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3A9C" w14:textId="77777777" w:rsidR="008430BD" w:rsidRPr="00A00187" w:rsidRDefault="008430BD" w:rsidP="008430BD">
      <w:r w:rsidRPr="00A00187">
        <w:rPr>
          <w:noProof/>
          <w:lang w:eastAsia="cs-CZ"/>
        </w:rPr>
        <mc:AlternateContent>
          <mc:Choice Requires="wps">
            <w:drawing>
              <wp:anchor distT="0" distB="0" distL="114300" distR="114300" simplePos="0" relativeHeight="251661312" behindDoc="0" locked="0" layoutInCell="1" allowOverlap="1" wp14:anchorId="5553C3B5" wp14:editId="0987D7DD">
                <wp:simplePos x="0" y="0"/>
                <wp:positionH relativeFrom="column">
                  <wp:posOffset>1682750</wp:posOffset>
                </wp:positionH>
                <wp:positionV relativeFrom="paragraph">
                  <wp:posOffset>-193675</wp:posOffset>
                </wp:positionV>
                <wp:extent cx="4652010" cy="9850120"/>
                <wp:effectExtent l="0" t="0" r="0" b="0"/>
                <wp:wrapNone/>
                <wp:docPr id="124"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2010" cy="9850120"/>
                        </a:xfrm>
                        <a:prstGeom prst="rect">
                          <a:avLst/>
                        </a:prstGeom>
                        <a:solidFill>
                          <a:sysClr val="window" lastClr="FFFFFF"/>
                        </a:solidFill>
                        <a:ln w="6350">
                          <a:noFill/>
                        </a:ln>
                        <a:effectLst/>
                      </wps:spPr>
                      <wps:txbx>
                        <w:txbxContent>
                          <w:p w14:paraId="24CDB75A" w14:textId="77777777" w:rsidR="008A1918" w:rsidRPr="00751F1F" w:rsidRDefault="008A1918"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02FFB165" w14:textId="7A078D0F" w:rsidR="008A1918" w:rsidRDefault="008A1918"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2021:</w:t>
                            </w:r>
                          </w:p>
                          <w:p w14:paraId="26451DED" w14:textId="77777777" w:rsidR="008A1918" w:rsidRPr="00751F1F" w:rsidRDefault="008A1918"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4499C359" w14:textId="77777777" w:rsidR="008A1918" w:rsidRDefault="008A1918" w:rsidP="008430BD">
                            <w:pPr>
                              <w:spacing w:line="240" w:lineRule="auto"/>
                              <w:rPr>
                                <w:rFonts w:ascii="DIN Next LT Pro Condensed" w:hAnsi="DIN Next LT Pro Condensed"/>
                                <w:sz w:val="56"/>
                              </w:rPr>
                            </w:pPr>
                          </w:p>
                          <w:p w14:paraId="59E80B4A" w14:textId="77777777" w:rsidR="008A1918" w:rsidRDefault="008A1918" w:rsidP="008430BD">
                            <w:pPr>
                              <w:spacing w:line="240" w:lineRule="auto"/>
                              <w:rPr>
                                <w:rFonts w:ascii="DIN Next LT Pro Condensed" w:hAnsi="DIN Next LT Pro Condensed"/>
                                <w:sz w:val="56"/>
                              </w:rPr>
                            </w:pPr>
                          </w:p>
                          <w:p w14:paraId="36060D8B" w14:textId="77777777" w:rsidR="008A1918" w:rsidRDefault="008A1918" w:rsidP="008430BD">
                            <w:pPr>
                              <w:spacing w:line="240" w:lineRule="auto"/>
                              <w:rPr>
                                <w:rFonts w:ascii="DIN Next LT Pro Condensed" w:hAnsi="DIN Next LT Pro Condensed"/>
                                <w:sz w:val="56"/>
                              </w:rPr>
                            </w:pPr>
                          </w:p>
                          <w:p w14:paraId="21426A69" w14:textId="77777777" w:rsidR="008A1918" w:rsidRPr="00751F1F" w:rsidRDefault="008A1918"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0BF8FA9D" w14:textId="77777777" w:rsidR="008A1918" w:rsidRPr="00751F1F" w:rsidRDefault="008A1918"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53C3B5" id="_x0000_t202" coordsize="21600,21600" o:spt="202" path="m,l,21600r21600,l21600,xe">
                <v:stroke joinstyle="miter"/>
                <v:path gradientshapeok="t" o:connecttype="rect"/>
              </v:shapetype>
              <v:shape id="Textové pole 71" o:spid="_x0000_s1026" type="#_x0000_t202" style="position:absolute;left:0;text-align:left;margin-left:132.5pt;margin-top:-15.25pt;width:366.3pt;height:7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" fillcolor="window" stroked="f" strokeweight=".5pt">
                <v:textbox>
                  <w:txbxContent>
                    <w:p w14:paraId="24CDB75A" w14:textId="77777777" w:rsidR="008A1918" w:rsidRPr="00751F1F" w:rsidRDefault="008A1918"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02FFB165" w14:textId="7A078D0F" w:rsidR="008A1918" w:rsidRDefault="008A1918"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2021:</w:t>
                      </w:r>
                    </w:p>
                    <w:p w14:paraId="26451DED" w14:textId="77777777" w:rsidR="008A1918" w:rsidRPr="00751F1F" w:rsidRDefault="008A1918"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4499C359" w14:textId="77777777" w:rsidR="008A1918" w:rsidRDefault="008A1918" w:rsidP="008430BD">
                      <w:pPr>
                        <w:spacing w:line="240" w:lineRule="auto"/>
                        <w:rPr>
                          <w:rFonts w:ascii="DIN Next LT Pro Condensed" w:hAnsi="DIN Next LT Pro Condensed"/>
                          <w:sz w:val="56"/>
                        </w:rPr>
                      </w:pPr>
                    </w:p>
                    <w:p w14:paraId="59E80B4A" w14:textId="77777777" w:rsidR="008A1918" w:rsidRDefault="008A1918" w:rsidP="008430BD">
                      <w:pPr>
                        <w:spacing w:line="240" w:lineRule="auto"/>
                        <w:rPr>
                          <w:rFonts w:ascii="DIN Next LT Pro Condensed" w:hAnsi="DIN Next LT Pro Condensed"/>
                          <w:sz w:val="56"/>
                        </w:rPr>
                      </w:pPr>
                    </w:p>
                    <w:p w14:paraId="36060D8B" w14:textId="77777777" w:rsidR="008A1918" w:rsidRDefault="008A1918" w:rsidP="008430BD">
                      <w:pPr>
                        <w:spacing w:line="240" w:lineRule="auto"/>
                        <w:rPr>
                          <w:rFonts w:ascii="DIN Next LT Pro Condensed" w:hAnsi="DIN Next LT Pro Condensed"/>
                          <w:sz w:val="56"/>
                        </w:rPr>
                      </w:pPr>
                    </w:p>
                    <w:p w14:paraId="21426A69" w14:textId="77777777" w:rsidR="008A1918" w:rsidRPr="00751F1F" w:rsidRDefault="008A1918"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0BF8FA9D" w14:textId="77777777" w:rsidR="008A1918" w:rsidRPr="00751F1F" w:rsidRDefault="008A1918"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v:textbox>
              </v:shape>
            </w:pict>
          </mc:Fallback>
        </mc:AlternateContent>
      </w:r>
      <w:r w:rsidRPr="00A00187">
        <w:rPr>
          <w:noProof/>
          <w:lang w:eastAsia="cs-CZ"/>
        </w:rPr>
        <mc:AlternateContent>
          <mc:Choice Requires="wps">
            <w:drawing>
              <wp:anchor distT="0" distB="0" distL="114299" distR="114299" simplePos="0" relativeHeight="251660288" behindDoc="0" locked="0" layoutInCell="1" allowOverlap="1" wp14:anchorId="3B70FC59" wp14:editId="788DAB9C">
                <wp:simplePos x="0" y="0"/>
                <wp:positionH relativeFrom="column">
                  <wp:posOffset>1442084</wp:posOffset>
                </wp:positionH>
                <wp:positionV relativeFrom="page">
                  <wp:posOffset>898525</wp:posOffset>
                </wp:positionV>
                <wp:extent cx="0" cy="9064625"/>
                <wp:effectExtent l="19050" t="0" r="19050" b="3175"/>
                <wp:wrapNone/>
                <wp:docPr id="123" name="Přímá spojnic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838383"/>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1F37E2" id="Přímá spojnice 7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" strokecolor="#838383" strokeweight="3.75pt">
                <o:lock v:ext="edit" shapetype="f"/>
                <w10:wrap anchory="page"/>
              </v:line>
            </w:pict>
          </mc:Fallback>
        </mc:AlternateContent>
      </w:r>
      <w:r w:rsidRPr="00A00187">
        <w:rPr>
          <w:noProof/>
          <w:lang w:eastAsia="cs-CZ"/>
        </w:rPr>
        <w:drawing>
          <wp:inline distT="0" distB="0" distL="0" distR="0" wp14:anchorId="6DFD723C" wp14:editId="2F145DA9">
            <wp:extent cx="1214755" cy="1057910"/>
            <wp:effectExtent l="0" t="0" r="0" b="0"/>
            <wp:docPr id="1"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14:paraId="7DF646AA" w14:textId="77777777" w:rsidR="008430BD" w:rsidRPr="00A00187" w:rsidRDefault="008430BD" w:rsidP="008430BD">
      <w:pPr>
        <w:spacing w:line="240" w:lineRule="auto"/>
        <w:jc w:val="left"/>
        <w:rPr>
          <w:noProof/>
          <w:sz w:val="20"/>
          <w:szCs w:val="40"/>
          <w:lang w:eastAsia="cs-CZ"/>
        </w:rPr>
      </w:pPr>
      <w:r w:rsidRPr="00A00187">
        <w:rPr>
          <w:noProof/>
          <w:sz w:val="20"/>
          <w:szCs w:val="40"/>
          <w:lang w:eastAsia="cs-CZ"/>
        </w:rPr>
        <w:br w:type="page"/>
      </w:r>
    </w:p>
    <w:p w14:paraId="6C01D959" w14:textId="77777777" w:rsidR="008430BD" w:rsidRPr="00A00187" w:rsidRDefault="008430BD" w:rsidP="008430BD">
      <w:pPr>
        <w:spacing w:line="240" w:lineRule="auto"/>
        <w:jc w:val="left"/>
        <w:rPr>
          <w:noProof/>
          <w:sz w:val="20"/>
          <w:szCs w:val="40"/>
          <w:lang w:eastAsia="cs-CZ"/>
        </w:rPr>
      </w:pPr>
    </w:p>
    <w:p w14:paraId="1DFC1343" w14:textId="77777777" w:rsidR="008430BD" w:rsidRPr="00A00187" w:rsidRDefault="008430BD" w:rsidP="008430BD">
      <w:pPr>
        <w:spacing w:line="240" w:lineRule="auto"/>
        <w:jc w:val="left"/>
        <w:rPr>
          <w:noProof/>
          <w:sz w:val="20"/>
          <w:szCs w:val="40"/>
          <w:lang w:eastAsia="cs-CZ"/>
        </w:rPr>
      </w:pPr>
    </w:p>
    <w:p w14:paraId="6A7BA26A" w14:textId="77777777" w:rsidR="008430BD" w:rsidRPr="00A00187" w:rsidRDefault="008430BD" w:rsidP="008430BD">
      <w:pPr>
        <w:spacing w:line="240" w:lineRule="auto"/>
        <w:jc w:val="left"/>
        <w:rPr>
          <w:noProof/>
          <w:sz w:val="20"/>
          <w:szCs w:val="40"/>
          <w:lang w:eastAsia="cs-CZ"/>
        </w:rPr>
      </w:pPr>
    </w:p>
    <w:p w14:paraId="2412BBBD" w14:textId="77777777" w:rsidR="008430BD" w:rsidRPr="00A00187" w:rsidRDefault="008430BD" w:rsidP="008430BD">
      <w:pPr>
        <w:spacing w:line="240" w:lineRule="auto"/>
        <w:jc w:val="left"/>
        <w:rPr>
          <w:noProof/>
          <w:sz w:val="20"/>
          <w:szCs w:val="40"/>
          <w:lang w:eastAsia="cs-CZ"/>
        </w:rPr>
      </w:pPr>
    </w:p>
    <w:p w14:paraId="7DB90578" w14:textId="77777777" w:rsidR="008430BD" w:rsidRPr="00A00187" w:rsidRDefault="008430BD" w:rsidP="008430BD">
      <w:pPr>
        <w:spacing w:line="240" w:lineRule="auto"/>
        <w:jc w:val="left"/>
        <w:rPr>
          <w:noProof/>
          <w:sz w:val="20"/>
          <w:szCs w:val="40"/>
          <w:lang w:eastAsia="cs-CZ"/>
        </w:rPr>
      </w:pPr>
    </w:p>
    <w:p w14:paraId="3E13B532" w14:textId="77777777" w:rsidR="008430BD" w:rsidRPr="00A00187" w:rsidRDefault="008430BD" w:rsidP="008430BD">
      <w:pPr>
        <w:spacing w:line="240" w:lineRule="auto"/>
        <w:jc w:val="left"/>
        <w:rPr>
          <w:noProof/>
          <w:sz w:val="20"/>
          <w:szCs w:val="40"/>
          <w:lang w:eastAsia="cs-CZ"/>
        </w:rPr>
      </w:pPr>
    </w:p>
    <w:p w14:paraId="151B0886" w14:textId="77777777" w:rsidR="008430BD" w:rsidRPr="00A00187" w:rsidRDefault="008430BD" w:rsidP="008430BD">
      <w:pPr>
        <w:spacing w:line="240" w:lineRule="auto"/>
        <w:jc w:val="left"/>
        <w:rPr>
          <w:noProof/>
          <w:sz w:val="20"/>
          <w:szCs w:val="40"/>
          <w:lang w:eastAsia="cs-CZ"/>
        </w:rPr>
      </w:pPr>
    </w:p>
    <w:p w14:paraId="4922A97D" w14:textId="77777777" w:rsidR="008430BD" w:rsidRPr="00A00187" w:rsidRDefault="008430BD" w:rsidP="008430BD">
      <w:pPr>
        <w:spacing w:line="240" w:lineRule="auto"/>
        <w:jc w:val="left"/>
        <w:rPr>
          <w:noProof/>
          <w:sz w:val="20"/>
          <w:szCs w:val="40"/>
          <w:lang w:eastAsia="cs-CZ"/>
        </w:rPr>
      </w:pPr>
    </w:p>
    <w:p w14:paraId="51CCEBB6" w14:textId="77777777" w:rsidR="008430BD" w:rsidRPr="00A00187" w:rsidRDefault="008430BD" w:rsidP="008430BD">
      <w:pPr>
        <w:spacing w:line="240" w:lineRule="auto"/>
        <w:jc w:val="left"/>
        <w:rPr>
          <w:noProof/>
          <w:sz w:val="20"/>
          <w:szCs w:val="40"/>
          <w:lang w:eastAsia="cs-CZ"/>
        </w:rPr>
      </w:pPr>
    </w:p>
    <w:p w14:paraId="3D7B9403" w14:textId="77777777" w:rsidR="008430BD" w:rsidRPr="00A00187" w:rsidRDefault="008430BD" w:rsidP="008430BD">
      <w:pPr>
        <w:spacing w:line="240" w:lineRule="auto"/>
        <w:jc w:val="left"/>
        <w:rPr>
          <w:noProof/>
          <w:sz w:val="20"/>
          <w:szCs w:val="40"/>
          <w:lang w:eastAsia="cs-CZ"/>
        </w:rPr>
      </w:pPr>
    </w:p>
    <w:p w14:paraId="48EA0A56" w14:textId="77777777" w:rsidR="008430BD" w:rsidRPr="00A00187" w:rsidRDefault="008430BD" w:rsidP="008430BD">
      <w:pPr>
        <w:spacing w:line="240" w:lineRule="auto"/>
        <w:jc w:val="left"/>
        <w:rPr>
          <w:noProof/>
          <w:sz w:val="20"/>
          <w:szCs w:val="40"/>
          <w:lang w:eastAsia="cs-CZ"/>
        </w:rPr>
      </w:pPr>
    </w:p>
    <w:p w14:paraId="559B5783" w14:textId="77777777" w:rsidR="008430BD" w:rsidRPr="00A00187" w:rsidRDefault="008430BD" w:rsidP="008430BD">
      <w:pPr>
        <w:spacing w:line="240" w:lineRule="auto"/>
        <w:jc w:val="left"/>
        <w:rPr>
          <w:noProof/>
          <w:sz w:val="20"/>
          <w:szCs w:val="40"/>
          <w:lang w:eastAsia="cs-CZ"/>
        </w:rPr>
      </w:pPr>
    </w:p>
    <w:p w14:paraId="4379275D" w14:textId="77777777" w:rsidR="008430BD" w:rsidRPr="00A00187" w:rsidRDefault="008430BD" w:rsidP="008430BD">
      <w:pPr>
        <w:spacing w:line="240" w:lineRule="auto"/>
        <w:jc w:val="left"/>
        <w:rPr>
          <w:noProof/>
          <w:sz w:val="20"/>
          <w:szCs w:val="40"/>
          <w:lang w:eastAsia="cs-CZ"/>
        </w:rPr>
      </w:pPr>
    </w:p>
    <w:p w14:paraId="19E7EE68" w14:textId="77777777" w:rsidR="008430BD" w:rsidRPr="00A00187" w:rsidRDefault="008430BD" w:rsidP="008430BD">
      <w:pPr>
        <w:spacing w:line="240" w:lineRule="auto"/>
        <w:jc w:val="left"/>
        <w:rPr>
          <w:noProof/>
          <w:sz w:val="20"/>
          <w:szCs w:val="40"/>
          <w:lang w:eastAsia="cs-CZ"/>
        </w:rPr>
      </w:pPr>
    </w:p>
    <w:p w14:paraId="71B1DA87" w14:textId="77777777" w:rsidR="008430BD" w:rsidRPr="00A00187" w:rsidRDefault="008430BD" w:rsidP="008430BD">
      <w:pPr>
        <w:spacing w:line="240" w:lineRule="auto"/>
        <w:jc w:val="left"/>
        <w:rPr>
          <w:noProof/>
          <w:sz w:val="20"/>
          <w:szCs w:val="40"/>
          <w:lang w:eastAsia="cs-CZ"/>
        </w:rPr>
      </w:pPr>
    </w:p>
    <w:p w14:paraId="4F196993" w14:textId="77777777" w:rsidR="008430BD" w:rsidRPr="00A00187" w:rsidRDefault="008430BD" w:rsidP="008430BD">
      <w:pPr>
        <w:spacing w:line="240" w:lineRule="auto"/>
        <w:jc w:val="left"/>
        <w:rPr>
          <w:noProof/>
          <w:sz w:val="20"/>
          <w:szCs w:val="40"/>
          <w:lang w:eastAsia="cs-CZ"/>
        </w:rPr>
      </w:pPr>
    </w:p>
    <w:p w14:paraId="1CF4020C" w14:textId="77777777" w:rsidR="008430BD" w:rsidRPr="00A00187" w:rsidRDefault="008430BD" w:rsidP="008430BD">
      <w:pPr>
        <w:spacing w:line="240" w:lineRule="auto"/>
        <w:jc w:val="left"/>
        <w:rPr>
          <w:noProof/>
          <w:sz w:val="20"/>
          <w:szCs w:val="40"/>
          <w:lang w:eastAsia="cs-CZ"/>
        </w:rPr>
      </w:pPr>
    </w:p>
    <w:p w14:paraId="57FF5170" w14:textId="77777777" w:rsidR="008430BD" w:rsidRPr="00A00187" w:rsidRDefault="008430BD" w:rsidP="008430BD">
      <w:pPr>
        <w:spacing w:line="240" w:lineRule="auto"/>
        <w:jc w:val="left"/>
        <w:rPr>
          <w:noProof/>
          <w:sz w:val="20"/>
          <w:szCs w:val="40"/>
          <w:lang w:eastAsia="cs-CZ"/>
        </w:rPr>
      </w:pPr>
    </w:p>
    <w:p w14:paraId="78E40FAC" w14:textId="77777777" w:rsidR="008430BD" w:rsidRPr="00A00187" w:rsidRDefault="008430BD" w:rsidP="008430BD">
      <w:pPr>
        <w:spacing w:line="240" w:lineRule="auto"/>
        <w:jc w:val="left"/>
        <w:rPr>
          <w:noProof/>
          <w:sz w:val="20"/>
          <w:szCs w:val="40"/>
          <w:lang w:eastAsia="cs-CZ"/>
        </w:rPr>
      </w:pPr>
    </w:p>
    <w:p w14:paraId="603A3F74" w14:textId="77777777" w:rsidR="008430BD" w:rsidRPr="00A00187" w:rsidRDefault="008430BD" w:rsidP="008430BD">
      <w:pPr>
        <w:spacing w:line="240" w:lineRule="auto"/>
        <w:jc w:val="left"/>
        <w:rPr>
          <w:noProof/>
          <w:sz w:val="20"/>
          <w:szCs w:val="40"/>
          <w:lang w:eastAsia="cs-CZ"/>
        </w:rPr>
      </w:pPr>
    </w:p>
    <w:p w14:paraId="35A13CA7" w14:textId="77777777" w:rsidR="008430BD" w:rsidRPr="00A00187" w:rsidRDefault="008430BD" w:rsidP="008430BD">
      <w:pPr>
        <w:spacing w:line="240" w:lineRule="auto"/>
        <w:jc w:val="left"/>
        <w:rPr>
          <w:noProof/>
          <w:sz w:val="20"/>
          <w:szCs w:val="40"/>
          <w:lang w:eastAsia="cs-CZ"/>
        </w:rPr>
      </w:pPr>
    </w:p>
    <w:p w14:paraId="05A0A1A5" w14:textId="77777777" w:rsidR="008430BD" w:rsidRPr="00A00187" w:rsidRDefault="008430BD" w:rsidP="008430BD">
      <w:pPr>
        <w:spacing w:line="240" w:lineRule="auto"/>
        <w:jc w:val="left"/>
        <w:rPr>
          <w:noProof/>
          <w:sz w:val="20"/>
          <w:szCs w:val="40"/>
          <w:lang w:eastAsia="cs-CZ"/>
        </w:rPr>
      </w:pPr>
    </w:p>
    <w:p w14:paraId="7E65FBA6" w14:textId="77777777" w:rsidR="008430BD" w:rsidRPr="00A00187" w:rsidRDefault="008430BD" w:rsidP="008430BD">
      <w:pPr>
        <w:spacing w:line="240" w:lineRule="auto"/>
        <w:jc w:val="left"/>
        <w:rPr>
          <w:noProof/>
          <w:sz w:val="20"/>
          <w:szCs w:val="40"/>
          <w:lang w:eastAsia="cs-CZ"/>
        </w:rPr>
      </w:pPr>
    </w:p>
    <w:p w14:paraId="2973FECD" w14:textId="77777777" w:rsidR="008430BD" w:rsidRPr="00A00187" w:rsidRDefault="008430BD" w:rsidP="008430BD">
      <w:pPr>
        <w:spacing w:line="240" w:lineRule="auto"/>
        <w:jc w:val="left"/>
        <w:rPr>
          <w:noProof/>
          <w:sz w:val="20"/>
          <w:szCs w:val="40"/>
          <w:lang w:eastAsia="cs-CZ"/>
        </w:rPr>
      </w:pPr>
    </w:p>
    <w:p w14:paraId="6202BCBC" w14:textId="77777777" w:rsidR="008430BD" w:rsidRPr="00A00187" w:rsidRDefault="008430BD" w:rsidP="008430BD">
      <w:pPr>
        <w:spacing w:line="240" w:lineRule="auto"/>
        <w:jc w:val="left"/>
        <w:rPr>
          <w:noProof/>
          <w:sz w:val="20"/>
          <w:szCs w:val="40"/>
          <w:lang w:eastAsia="cs-CZ"/>
        </w:rPr>
      </w:pPr>
    </w:p>
    <w:p w14:paraId="1E0F7654" w14:textId="77777777" w:rsidR="008430BD" w:rsidRPr="00A00187" w:rsidRDefault="008430BD" w:rsidP="008430BD">
      <w:pPr>
        <w:spacing w:line="240" w:lineRule="auto"/>
        <w:jc w:val="left"/>
        <w:rPr>
          <w:noProof/>
          <w:sz w:val="20"/>
          <w:szCs w:val="40"/>
          <w:lang w:eastAsia="cs-CZ"/>
        </w:rPr>
      </w:pPr>
    </w:p>
    <w:p w14:paraId="523B3BEC" w14:textId="77777777" w:rsidR="008430BD" w:rsidRPr="00A00187" w:rsidRDefault="008430BD" w:rsidP="008430BD">
      <w:pPr>
        <w:spacing w:line="240" w:lineRule="auto"/>
        <w:jc w:val="left"/>
        <w:rPr>
          <w:noProof/>
          <w:sz w:val="20"/>
          <w:szCs w:val="40"/>
          <w:lang w:eastAsia="cs-CZ"/>
        </w:rPr>
      </w:pPr>
    </w:p>
    <w:p w14:paraId="4576AA8B" w14:textId="77777777" w:rsidR="008430BD" w:rsidRPr="00A00187" w:rsidRDefault="008430BD" w:rsidP="008430BD">
      <w:pPr>
        <w:spacing w:line="240" w:lineRule="auto"/>
        <w:jc w:val="left"/>
        <w:rPr>
          <w:noProof/>
          <w:sz w:val="20"/>
          <w:szCs w:val="40"/>
          <w:lang w:eastAsia="cs-CZ"/>
        </w:rPr>
      </w:pPr>
    </w:p>
    <w:p w14:paraId="74798038" w14:textId="77777777" w:rsidR="008430BD" w:rsidRPr="00A00187" w:rsidRDefault="008430BD" w:rsidP="008430BD">
      <w:pPr>
        <w:spacing w:line="240" w:lineRule="auto"/>
        <w:jc w:val="left"/>
        <w:rPr>
          <w:noProof/>
          <w:sz w:val="20"/>
          <w:szCs w:val="40"/>
          <w:lang w:eastAsia="cs-CZ"/>
        </w:rPr>
      </w:pPr>
    </w:p>
    <w:p w14:paraId="7438C97E" w14:textId="77777777" w:rsidR="008430BD" w:rsidRPr="00A00187" w:rsidRDefault="008430BD" w:rsidP="008430BD">
      <w:pPr>
        <w:spacing w:line="240" w:lineRule="auto"/>
        <w:jc w:val="left"/>
        <w:rPr>
          <w:noProof/>
          <w:sz w:val="20"/>
          <w:szCs w:val="40"/>
          <w:lang w:eastAsia="cs-CZ"/>
        </w:rPr>
      </w:pPr>
    </w:p>
    <w:p w14:paraId="4196EF5E" w14:textId="77777777" w:rsidR="008430BD" w:rsidRPr="00A00187" w:rsidRDefault="008430BD" w:rsidP="008430BD">
      <w:pPr>
        <w:spacing w:line="240" w:lineRule="auto"/>
        <w:jc w:val="left"/>
        <w:rPr>
          <w:noProof/>
          <w:sz w:val="20"/>
          <w:szCs w:val="40"/>
          <w:lang w:eastAsia="cs-CZ"/>
        </w:rPr>
      </w:pPr>
    </w:p>
    <w:p w14:paraId="5669C815" w14:textId="77777777" w:rsidR="008430BD" w:rsidRPr="00A00187" w:rsidRDefault="008430BD" w:rsidP="008430BD">
      <w:pPr>
        <w:spacing w:line="240" w:lineRule="auto"/>
        <w:jc w:val="left"/>
        <w:rPr>
          <w:noProof/>
          <w:sz w:val="20"/>
          <w:szCs w:val="40"/>
          <w:lang w:eastAsia="cs-CZ"/>
        </w:rPr>
      </w:pPr>
    </w:p>
    <w:p w14:paraId="332DACCA" w14:textId="77777777" w:rsidR="008430BD" w:rsidRPr="00A00187" w:rsidRDefault="008430BD" w:rsidP="008430BD">
      <w:pPr>
        <w:spacing w:line="240" w:lineRule="auto"/>
        <w:jc w:val="left"/>
        <w:rPr>
          <w:noProof/>
          <w:sz w:val="20"/>
          <w:szCs w:val="40"/>
          <w:lang w:eastAsia="cs-CZ"/>
        </w:rPr>
      </w:pPr>
    </w:p>
    <w:p w14:paraId="7A4A8F15" w14:textId="77777777" w:rsidR="008430BD" w:rsidRPr="00A00187" w:rsidRDefault="008430BD" w:rsidP="008430BD">
      <w:pPr>
        <w:spacing w:line="240" w:lineRule="auto"/>
        <w:jc w:val="left"/>
        <w:rPr>
          <w:noProof/>
          <w:sz w:val="20"/>
          <w:szCs w:val="40"/>
          <w:lang w:eastAsia="cs-CZ"/>
        </w:rPr>
      </w:pPr>
    </w:p>
    <w:p w14:paraId="19600055" w14:textId="77777777" w:rsidR="008430BD" w:rsidRPr="00A00187" w:rsidRDefault="008430BD" w:rsidP="008430BD">
      <w:pPr>
        <w:spacing w:line="240" w:lineRule="auto"/>
        <w:jc w:val="left"/>
        <w:rPr>
          <w:noProof/>
          <w:sz w:val="20"/>
          <w:szCs w:val="40"/>
          <w:lang w:eastAsia="cs-CZ"/>
        </w:rPr>
      </w:pPr>
    </w:p>
    <w:p w14:paraId="12F97F58" w14:textId="77777777" w:rsidR="008430BD" w:rsidRPr="00A00187" w:rsidRDefault="008430BD" w:rsidP="008430BD">
      <w:pPr>
        <w:spacing w:line="240" w:lineRule="auto"/>
        <w:jc w:val="left"/>
        <w:rPr>
          <w:noProof/>
          <w:sz w:val="20"/>
          <w:szCs w:val="40"/>
          <w:lang w:eastAsia="cs-CZ"/>
        </w:rPr>
      </w:pPr>
    </w:p>
    <w:p w14:paraId="08970ADE" w14:textId="77777777" w:rsidR="008430BD" w:rsidRPr="00A00187" w:rsidRDefault="008430BD" w:rsidP="008430BD">
      <w:pPr>
        <w:spacing w:line="240" w:lineRule="auto"/>
        <w:jc w:val="left"/>
        <w:rPr>
          <w:noProof/>
          <w:sz w:val="20"/>
          <w:szCs w:val="40"/>
          <w:lang w:eastAsia="cs-CZ"/>
        </w:rPr>
      </w:pPr>
    </w:p>
    <w:p w14:paraId="2588AD75" w14:textId="77777777" w:rsidR="008430BD" w:rsidRPr="00A00187" w:rsidRDefault="008430BD" w:rsidP="008430BD">
      <w:pPr>
        <w:spacing w:line="240" w:lineRule="auto"/>
        <w:jc w:val="left"/>
        <w:rPr>
          <w:noProof/>
          <w:sz w:val="20"/>
          <w:szCs w:val="40"/>
          <w:lang w:eastAsia="cs-CZ"/>
        </w:rPr>
      </w:pPr>
    </w:p>
    <w:p w14:paraId="07732DEF" w14:textId="77777777" w:rsidR="008430BD" w:rsidRPr="00A00187" w:rsidRDefault="008430BD" w:rsidP="008430BD">
      <w:pPr>
        <w:spacing w:line="240" w:lineRule="auto"/>
        <w:jc w:val="left"/>
        <w:rPr>
          <w:noProof/>
          <w:sz w:val="20"/>
          <w:szCs w:val="40"/>
          <w:lang w:eastAsia="cs-CZ"/>
        </w:rPr>
      </w:pPr>
    </w:p>
    <w:p w14:paraId="68B5E7CA" w14:textId="77777777" w:rsidR="008430BD" w:rsidRPr="00A00187" w:rsidRDefault="008430BD" w:rsidP="008430BD">
      <w:pPr>
        <w:spacing w:line="240" w:lineRule="auto"/>
        <w:jc w:val="left"/>
        <w:rPr>
          <w:noProof/>
          <w:sz w:val="20"/>
          <w:szCs w:val="40"/>
          <w:lang w:eastAsia="cs-CZ"/>
        </w:rPr>
      </w:pPr>
    </w:p>
    <w:p w14:paraId="258A128A" w14:textId="77777777" w:rsidR="008430BD" w:rsidRPr="00A00187" w:rsidRDefault="008430BD" w:rsidP="008430BD">
      <w:pPr>
        <w:spacing w:line="240" w:lineRule="auto"/>
        <w:jc w:val="left"/>
        <w:rPr>
          <w:noProof/>
          <w:sz w:val="20"/>
          <w:szCs w:val="40"/>
          <w:lang w:eastAsia="cs-CZ"/>
        </w:rPr>
      </w:pPr>
    </w:p>
    <w:p w14:paraId="3CF61006" w14:textId="77777777" w:rsidR="008430BD" w:rsidRPr="00A00187" w:rsidRDefault="008430BD" w:rsidP="008430BD">
      <w:pPr>
        <w:spacing w:line="240" w:lineRule="auto"/>
        <w:jc w:val="left"/>
        <w:rPr>
          <w:noProof/>
          <w:sz w:val="20"/>
          <w:szCs w:val="40"/>
          <w:lang w:eastAsia="cs-CZ"/>
        </w:rPr>
      </w:pPr>
    </w:p>
    <w:p w14:paraId="46D1927E" w14:textId="77777777" w:rsidR="008430BD" w:rsidRPr="00A00187" w:rsidRDefault="008430BD" w:rsidP="008430BD">
      <w:pPr>
        <w:spacing w:line="240" w:lineRule="auto"/>
        <w:jc w:val="left"/>
        <w:rPr>
          <w:noProof/>
          <w:sz w:val="20"/>
          <w:szCs w:val="40"/>
          <w:lang w:eastAsia="cs-CZ"/>
        </w:rPr>
      </w:pPr>
    </w:p>
    <w:p w14:paraId="70EDBD38" w14:textId="77777777" w:rsidR="008430BD" w:rsidRPr="00A00187" w:rsidRDefault="008430BD" w:rsidP="008430BD">
      <w:pPr>
        <w:spacing w:line="240" w:lineRule="auto"/>
        <w:jc w:val="left"/>
        <w:rPr>
          <w:noProof/>
          <w:sz w:val="20"/>
          <w:szCs w:val="40"/>
          <w:lang w:eastAsia="cs-CZ"/>
        </w:rPr>
      </w:pPr>
    </w:p>
    <w:p w14:paraId="6B80F830" w14:textId="77777777" w:rsidR="008430BD" w:rsidRPr="00A00187" w:rsidRDefault="008430BD" w:rsidP="008430BD">
      <w:pPr>
        <w:spacing w:line="240" w:lineRule="auto"/>
        <w:jc w:val="left"/>
        <w:rPr>
          <w:noProof/>
          <w:sz w:val="20"/>
          <w:szCs w:val="40"/>
          <w:lang w:eastAsia="cs-CZ"/>
        </w:rPr>
      </w:pPr>
    </w:p>
    <w:p w14:paraId="4DBE4A8A" w14:textId="77777777" w:rsidR="008430BD" w:rsidRPr="00A00187" w:rsidRDefault="008430BD" w:rsidP="008430BD">
      <w:pPr>
        <w:spacing w:line="240" w:lineRule="auto"/>
        <w:jc w:val="left"/>
        <w:rPr>
          <w:noProof/>
          <w:sz w:val="20"/>
          <w:szCs w:val="40"/>
          <w:lang w:eastAsia="cs-CZ"/>
        </w:rPr>
      </w:pPr>
    </w:p>
    <w:p w14:paraId="183E68C7" w14:textId="77777777" w:rsidR="008430BD" w:rsidRPr="00A00187" w:rsidRDefault="008430BD" w:rsidP="008430BD">
      <w:pPr>
        <w:spacing w:line="240" w:lineRule="auto"/>
        <w:jc w:val="left"/>
        <w:rPr>
          <w:noProof/>
          <w:sz w:val="20"/>
          <w:szCs w:val="40"/>
          <w:lang w:eastAsia="cs-CZ"/>
        </w:rPr>
      </w:pPr>
    </w:p>
    <w:p w14:paraId="2D464933" w14:textId="77777777" w:rsidR="008430BD" w:rsidRPr="00A00187" w:rsidRDefault="008430BD" w:rsidP="008430BD">
      <w:pPr>
        <w:spacing w:line="240" w:lineRule="auto"/>
        <w:jc w:val="left"/>
        <w:rPr>
          <w:noProof/>
          <w:sz w:val="20"/>
          <w:szCs w:val="40"/>
          <w:lang w:eastAsia="cs-CZ"/>
        </w:rPr>
      </w:pPr>
    </w:p>
    <w:p w14:paraId="7C72F820" w14:textId="77777777" w:rsidR="008430BD" w:rsidRPr="00A00187" w:rsidRDefault="008430BD" w:rsidP="008430BD">
      <w:pPr>
        <w:spacing w:line="240" w:lineRule="auto"/>
        <w:jc w:val="left"/>
        <w:rPr>
          <w:noProof/>
          <w:sz w:val="20"/>
          <w:szCs w:val="40"/>
          <w:lang w:eastAsia="cs-CZ"/>
        </w:rPr>
      </w:pPr>
    </w:p>
    <w:p w14:paraId="61A5D238" w14:textId="77777777" w:rsidR="008430BD" w:rsidRPr="00A00187" w:rsidRDefault="008430BD" w:rsidP="008430BD">
      <w:pPr>
        <w:spacing w:line="240" w:lineRule="auto"/>
        <w:jc w:val="left"/>
        <w:rPr>
          <w:noProof/>
          <w:sz w:val="20"/>
          <w:szCs w:val="40"/>
          <w:lang w:eastAsia="cs-CZ"/>
        </w:rPr>
      </w:pPr>
    </w:p>
    <w:p w14:paraId="317E8C15" w14:textId="77777777" w:rsidR="008430BD" w:rsidRPr="00A00187" w:rsidRDefault="008430BD" w:rsidP="008430BD">
      <w:pPr>
        <w:spacing w:line="240" w:lineRule="auto"/>
        <w:jc w:val="left"/>
        <w:rPr>
          <w:noProof/>
          <w:sz w:val="20"/>
          <w:szCs w:val="40"/>
          <w:lang w:eastAsia="cs-CZ"/>
        </w:rPr>
      </w:pPr>
    </w:p>
    <w:p w14:paraId="5ED0BE05" w14:textId="77777777" w:rsidR="008430BD" w:rsidRPr="00A00187" w:rsidRDefault="008430BD" w:rsidP="008430BD">
      <w:pPr>
        <w:spacing w:line="240" w:lineRule="auto"/>
        <w:jc w:val="left"/>
        <w:rPr>
          <w:noProof/>
          <w:sz w:val="20"/>
          <w:szCs w:val="40"/>
          <w:lang w:eastAsia="cs-CZ"/>
        </w:rPr>
      </w:pPr>
    </w:p>
    <w:p w14:paraId="0916AF18" w14:textId="77777777" w:rsidR="008430BD" w:rsidRPr="00A00187" w:rsidRDefault="008430BD" w:rsidP="008430BD">
      <w:pPr>
        <w:spacing w:line="240" w:lineRule="auto"/>
        <w:jc w:val="left"/>
        <w:rPr>
          <w:noProof/>
          <w:sz w:val="20"/>
          <w:szCs w:val="40"/>
          <w:lang w:eastAsia="cs-CZ"/>
        </w:rPr>
      </w:pPr>
    </w:p>
    <w:p w14:paraId="4647E710" w14:textId="77777777" w:rsidR="008430BD" w:rsidRPr="00A00187" w:rsidRDefault="008430BD" w:rsidP="008430BD">
      <w:pPr>
        <w:spacing w:line="240" w:lineRule="auto"/>
        <w:jc w:val="left"/>
        <w:rPr>
          <w:noProof/>
          <w:sz w:val="20"/>
          <w:szCs w:val="40"/>
          <w:lang w:eastAsia="cs-CZ"/>
        </w:rPr>
      </w:pPr>
    </w:p>
    <w:p w14:paraId="4F782542" w14:textId="77777777" w:rsidR="008430BD" w:rsidRPr="00A00187" w:rsidRDefault="008430BD" w:rsidP="008430BD">
      <w:pPr>
        <w:spacing w:line="240" w:lineRule="auto"/>
        <w:jc w:val="left"/>
        <w:rPr>
          <w:noProof/>
          <w:sz w:val="20"/>
          <w:szCs w:val="40"/>
          <w:lang w:eastAsia="cs-CZ"/>
        </w:rPr>
      </w:pPr>
    </w:p>
    <w:p w14:paraId="4F3A23A7" w14:textId="77777777" w:rsidR="008430BD" w:rsidRPr="00A00187" w:rsidRDefault="008430BD" w:rsidP="008430BD">
      <w:pPr>
        <w:spacing w:line="240" w:lineRule="auto"/>
        <w:jc w:val="left"/>
        <w:rPr>
          <w:noProof/>
          <w:sz w:val="20"/>
          <w:szCs w:val="40"/>
          <w:lang w:eastAsia="cs-CZ"/>
        </w:rPr>
      </w:pPr>
    </w:p>
    <w:p w14:paraId="04768CDF" w14:textId="14CBECF0" w:rsidR="008430BD" w:rsidRPr="00A00187" w:rsidRDefault="008430BD" w:rsidP="008430BD">
      <w:pPr>
        <w:spacing w:line="240" w:lineRule="auto"/>
        <w:jc w:val="left"/>
        <w:rPr>
          <w:sz w:val="20"/>
        </w:rPr>
      </w:pPr>
      <w:r w:rsidRPr="00A00187">
        <w:rPr>
          <w:sz w:val="20"/>
        </w:rPr>
        <w:t xml:space="preserve">© Ministerstvo spravedlnosti, </w:t>
      </w:r>
      <w:r w:rsidR="000F1418" w:rsidRPr="00A00187">
        <w:rPr>
          <w:sz w:val="20"/>
        </w:rPr>
        <w:t>2022</w:t>
      </w:r>
    </w:p>
    <w:p w14:paraId="5306FA43" w14:textId="77777777" w:rsidR="008430BD" w:rsidRPr="00A00187" w:rsidRDefault="008430BD" w:rsidP="008430BD">
      <w:pPr>
        <w:spacing w:line="240" w:lineRule="auto"/>
        <w:jc w:val="left"/>
        <w:rPr>
          <w:sz w:val="20"/>
        </w:rPr>
      </w:pPr>
      <w:r w:rsidRPr="00A00187">
        <w:rPr>
          <w:sz w:val="20"/>
        </w:rPr>
        <w:t>Vyšehradská 16</w:t>
      </w:r>
    </w:p>
    <w:p w14:paraId="4DBBBF78" w14:textId="77777777" w:rsidR="008430BD" w:rsidRPr="00A00187" w:rsidRDefault="008430BD" w:rsidP="008430BD">
      <w:pPr>
        <w:spacing w:line="240" w:lineRule="auto"/>
        <w:jc w:val="left"/>
        <w:rPr>
          <w:sz w:val="20"/>
        </w:rPr>
      </w:pPr>
      <w:r w:rsidRPr="00A00187">
        <w:rPr>
          <w:sz w:val="20"/>
        </w:rPr>
        <w:t>128 </w:t>
      </w:r>
      <w:proofErr w:type="gramStart"/>
      <w:r w:rsidRPr="00A00187">
        <w:rPr>
          <w:sz w:val="20"/>
        </w:rPr>
        <w:t>10  Praha</w:t>
      </w:r>
      <w:proofErr w:type="gramEnd"/>
      <w:r w:rsidRPr="00A00187">
        <w:rPr>
          <w:sz w:val="20"/>
        </w:rPr>
        <w:t> 2</w:t>
      </w:r>
    </w:p>
    <w:p w14:paraId="36AD4459" w14:textId="77777777" w:rsidR="008430BD" w:rsidRPr="00A00187" w:rsidRDefault="008430BD" w:rsidP="008430BD">
      <w:pPr>
        <w:spacing w:line="240" w:lineRule="auto"/>
        <w:jc w:val="left"/>
        <w:rPr>
          <w:sz w:val="20"/>
        </w:rPr>
      </w:pPr>
      <w:r w:rsidRPr="00A00187">
        <w:rPr>
          <w:sz w:val="20"/>
        </w:rPr>
        <w:br w:type="page"/>
      </w:r>
    </w:p>
    <w:p w14:paraId="5526ED46" w14:textId="3932C625" w:rsidR="004D295C" w:rsidRDefault="004D295C" w:rsidP="004D295C">
      <w:pPr>
        <w:spacing w:line="240" w:lineRule="auto"/>
        <w:rPr>
          <w:noProof/>
          <w:color w:val="000000" w:themeColor="text1"/>
        </w:rPr>
      </w:pPr>
    </w:p>
    <w:p w14:paraId="6BE83C6D" w14:textId="47630A46" w:rsidR="008309E4" w:rsidRDefault="008309E4" w:rsidP="004D295C">
      <w:pPr>
        <w:spacing w:line="240" w:lineRule="auto"/>
        <w:rPr>
          <w:noProof/>
          <w:color w:val="000000" w:themeColor="text1"/>
        </w:rPr>
      </w:pPr>
    </w:p>
    <w:p w14:paraId="3D8DEFD4" w14:textId="1915AD4A" w:rsidR="008309E4" w:rsidRDefault="008309E4" w:rsidP="004D295C">
      <w:pPr>
        <w:spacing w:line="240" w:lineRule="auto"/>
        <w:rPr>
          <w:noProof/>
          <w:color w:val="000000" w:themeColor="text1"/>
        </w:rPr>
      </w:pPr>
    </w:p>
    <w:p w14:paraId="3245D512" w14:textId="5F84EBBA" w:rsidR="00C34A53" w:rsidRDefault="008309E4" w:rsidP="008309E4">
      <w:pPr>
        <w:spacing w:line="240" w:lineRule="auto"/>
        <w:rPr>
          <w:color w:val="000000" w:themeColor="text1"/>
        </w:rPr>
      </w:pPr>
      <w:r>
        <w:rPr>
          <w:noProof/>
        </w:rPr>
        <w:drawing>
          <wp:anchor distT="180340" distB="71755" distL="215900" distR="215900" simplePos="0" relativeHeight="251699200" behindDoc="0" locked="0" layoutInCell="1" allowOverlap="1" wp14:anchorId="791964E9" wp14:editId="2E731CD0">
            <wp:simplePos x="0" y="0"/>
            <wp:positionH relativeFrom="margin">
              <wp:align>left</wp:align>
            </wp:positionH>
            <wp:positionV relativeFrom="margin">
              <wp:posOffset>530860</wp:posOffset>
            </wp:positionV>
            <wp:extent cx="1895475" cy="2412365"/>
            <wp:effectExtent l="0" t="0" r="0" b="6985"/>
            <wp:wrapSquare wrapText="bothSides"/>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2412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A53" w:rsidRPr="00C34A53">
        <w:rPr>
          <w:color w:val="000000" w:themeColor="text1"/>
        </w:rPr>
        <w:t>Vážené dámy, vážení pánové,</w:t>
      </w:r>
    </w:p>
    <w:p w14:paraId="09542E11" w14:textId="77777777" w:rsidR="008309E4" w:rsidRPr="00C34A53" w:rsidRDefault="008309E4" w:rsidP="008309E4">
      <w:pPr>
        <w:spacing w:line="240" w:lineRule="auto"/>
        <w:rPr>
          <w:color w:val="000000" w:themeColor="text1"/>
        </w:rPr>
      </w:pPr>
    </w:p>
    <w:p w14:paraId="119CDB02" w14:textId="654C6D03" w:rsidR="00317406" w:rsidRPr="00D45684" w:rsidRDefault="00317406" w:rsidP="00317406">
      <w:pPr>
        <w:spacing w:after="240" w:line="300" w:lineRule="auto"/>
        <w:rPr>
          <w:color w:val="000000" w:themeColor="text1"/>
        </w:rPr>
      </w:pPr>
      <w:r w:rsidRPr="00317406">
        <w:rPr>
          <w:color w:val="000000" w:themeColor="text1"/>
        </w:rPr>
        <w:t xml:space="preserve">výroční statistická zpráva se stala již tradicí a opět přináší cenné údaje o stavu českého soudnictví. Ze statistických údajů můžeme například vyčíst, že i přes další pokračování covidové pandemie v loňském roce byly soudy schopny v plném rozsahu zvládat </w:t>
      </w:r>
      <w:r w:rsidRPr="00D45684">
        <w:rPr>
          <w:color w:val="000000" w:themeColor="text1"/>
        </w:rPr>
        <w:t xml:space="preserve">jednotlivé </w:t>
      </w:r>
      <w:r w:rsidR="00A758CC" w:rsidRPr="00D45684">
        <w:rPr>
          <w:color w:val="000000" w:themeColor="text1"/>
        </w:rPr>
        <w:t>a</w:t>
      </w:r>
      <w:r w:rsidRPr="00D45684">
        <w:rPr>
          <w:color w:val="000000" w:themeColor="text1"/>
        </w:rPr>
        <w:t>gendy. Podařilo se jim dokonce vyřídit více věcí, než napadlo; počet nevyřízených věcí byl tak nejnižší za celé sledované období. Od roku 2008 klesl asi na polovinu. Míra vyřizování se pohybovala v minulých letech kolem 100 %, v roce 2021 však vzrostla na hodnotu 103,1 % a byla poprvé nad 100 % ve všech krajích.</w:t>
      </w:r>
    </w:p>
    <w:p w14:paraId="498A8815" w14:textId="77777777" w:rsidR="00317406" w:rsidRPr="00D45684" w:rsidRDefault="00317406" w:rsidP="00317406">
      <w:pPr>
        <w:spacing w:after="240" w:line="300" w:lineRule="auto"/>
        <w:rPr>
          <w:color w:val="000000" w:themeColor="text1"/>
        </w:rPr>
      </w:pPr>
      <w:r w:rsidRPr="00D45684">
        <w:rPr>
          <w:color w:val="000000" w:themeColor="text1"/>
        </w:rPr>
        <w:t>Struktura statistické výroční zprávy je stejná jako v předchozích letech, změny jsou minimální, ovšem zpráva uvádí větší množství dalších statistik týkajících se opatrovnické agendy.</w:t>
      </w:r>
    </w:p>
    <w:p w14:paraId="62937BD9" w14:textId="66AE8B4E" w:rsidR="00317406" w:rsidRPr="00317406" w:rsidRDefault="00317406" w:rsidP="00317406">
      <w:pPr>
        <w:spacing w:after="240" w:line="300" w:lineRule="auto"/>
        <w:rPr>
          <w:color w:val="000000" w:themeColor="text1"/>
        </w:rPr>
      </w:pPr>
      <w:r w:rsidRPr="00D45684">
        <w:rPr>
          <w:color w:val="000000" w:themeColor="text1"/>
        </w:rPr>
        <w:t>Česká republika zaujímá v rámci 27 členských států Evropské unie třetí příčku v délce řízení na všech stupních soudní soustavy ve sporných civilních a obchodních věcech. Délka těchto řízení se drží pod hodnotou 200 dnů. Rychleji rozhodovaly i správní soudy v prvním stupni, a to jak v porovnání s rokem 2018, tak i s rokem 2019. České soudnictví i nadále představuje v unijním srovnání relativně nižší finanční zátěž v přepočtu na jednoho obyvatele. V případě České republiky se jedná konkrétně o 10. nejnižší finanční náklady v Evropské unii.</w:t>
      </w:r>
    </w:p>
    <w:p w14:paraId="6BA0003F" w14:textId="710D65E8" w:rsidR="00C34A53" w:rsidRPr="00C34A53" w:rsidRDefault="00317406" w:rsidP="00317406">
      <w:pPr>
        <w:spacing w:after="240" w:line="300" w:lineRule="auto"/>
        <w:rPr>
          <w:color w:val="000000" w:themeColor="text1"/>
        </w:rPr>
      </w:pPr>
      <w:r w:rsidRPr="00317406">
        <w:rPr>
          <w:color w:val="000000" w:themeColor="text1"/>
        </w:rPr>
        <w:t>Těší mě, že česká justice si nejen podle zprávy Evropské komise vede velmi dobře. Přesto vím, že je nutné pokračovat v trendu modernizace justice, a to především v posílení její předvídatelnosti a</w:t>
      </w:r>
      <w:r>
        <w:rPr>
          <w:color w:val="000000" w:themeColor="text1"/>
        </w:rPr>
        <w:t> </w:t>
      </w:r>
      <w:r w:rsidRPr="00317406">
        <w:rPr>
          <w:color w:val="000000" w:themeColor="text1"/>
        </w:rPr>
        <w:t>elektronizace.</w:t>
      </w:r>
    </w:p>
    <w:p w14:paraId="74366BD7" w14:textId="77777777" w:rsidR="00C34A53" w:rsidRPr="00C34A53" w:rsidRDefault="00C34A53" w:rsidP="00C34A53">
      <w:pPr>
        <w:rPr>
          <w:rFonts w:cs="Arial"/>
          <w:szCs w:val="24"/>
        </w:rPr>
      </w:pPr>
    </w:p>
    <w:p w14:paraId="66D41A27" w14:textId="77777777" w:rsidR="00C34A53" w:rsidRPr="00C34A53" w:rsidRDefault="00C34A53" w:rsidP="00C34A53">
      <w:pPr>
        <w:rPr>
          <w:rFonts w:cs="Arial"/>
          <w:szCs w:val="24"/>
        </w:rPr>
      </w:pPr>
    </w:p>
    <w:p w14:paraId="71FC3E87" w14:textId="77777777" w:rsidR="00C34A53" w:rsidRPr="00C34A53" w:rsidRDefault="00C34A53" w:rsidP="00C34A53">
      <w:pPr>
        <w:rPr>
          <w:rFonts w:eastAsia="Times New Roman"/>
          <w:szCs w:val="24"/>
        </w:rPr>
      </w:pPr>
    </w:p>
    <w:p w14:paraId="74F7C49D" w14:textId="77777777" w:rsidR="00C34A53" w:rsidRPr="00C34A53" w:rsidRDefault="00C34A53" w:rsidP="00C34A53">
      <w:pPr>
        <w:ind w:left="4536" w:firstLine="5"/>
        <w:jc w:val="center"/>
        <w:rPr>
          <w:rFonts w:cs="Arial"/>
          <w:i/>
          <w:szCs w:val="24"/>
        </w:rPr>
      </w:pPr>
      <w:r w:rsidRPr="00C34A53">
        <w:rPr>
          <w:rFonts w:cs="Arial"/>
          <w:i/>
          <w:szCs w:val="24"/>
        </w:rPr>
        <w:t>JUDr. Pavel Blažek, Ph.D.</w:t>
      </w:r>
    </w:p>
    <w:p w14:paraId="603EB9BD" w14:textId="7981E5D2" w:rsidR="00C34A53" w:rsidRPr="00C34A53" w:rsidRDefault="00C34A53" w:rsidP="00C34A53">
      <w:pPr>
        <w:ind w:left="4536" w:firstLine="5"/>
        <w:jc w:val="center"/>
        <w:rPr>
          <w:szCs w:val="24"/>
        </w:rPr>
      </w:pPr>
      <w:r w:rsidRPr="00C34A53">
        <w:rPr>
          <w:rFonts w:cs="Arial"/>
          <w:i/>
          <w:szCs w:val="24"/>
        </w:rPr>
        <w:t>ministr spravedlnosti</w:t>
      </w:r>
    </w:p>
    <w:p w14:paraId="5AEDA315" w14:textId="1ACFAC16" w:rsidR="0025530E" w:rsidRPr="00C34A53" w:rsidRDefault="0025530E" w:rsidP="00C34A53">
      <w:pPr>
        <w:spacing w:line="240" w:lineRule="auto"/>
        <w:jc w:val="left"/>
        <w:rPr>
          <w:noProof/>
          <w:szCs w:val="24"/>
          <w:lang w:eastAsia="cs-CZ"/>
        </w:rPr>
      </w:pPr>
    </w:p>
    <w:p w14:paraId="2752BBFE" w14:textId="266FF069" w:rsidR="00F47516" w:rsidRPr="00A00187" w:rsidRDefault="00F47516" w:rsidP="00EC44A7">
      <w:pPr>
        <w:spacing w:after="160" w:line="259" w:lineRule="auto"/>
        <w:rPr>
          <w:noProof/>
        </w:rPr>
      </w:pPr>
      <w:r w:rsidRPr="00A00187">
        <w:rPr>
          <w:noProof/>
        </w:rPr>
        <w:br w:type="page"/>
      </w:r>
    </w:p>
    <w:p w14:paraId="6A0C93A4" w14:textId="77777777" w:rsidR="008430BD" w:rsidRPr="00A00187" w:rsidRDefault="008430BD" w:rsidP="008430BD">
      <w:pPr>
        <w:pStyle w:val="Nadpis1"/>
        <w:ind w:left="432" w:hanging="432"/>
      </w:pPr>
      <w:bookmarkStart w:id="0" w:name="_Toc508873365"/>
      <w:bookmarkStart w:id="1" w:name="_Toc106092708"/>
      <w:bookmarkStart w:id="2" w:name="_Toc109801324"/>
      <w:r w:rsidRPr="00A00187">
        <w:lastRenderedPageBreak/>
        <w:t>Obsah</w:t>
      </w:r>
      <w:bookmarkEnd w:id="0"/>
      <w:bookmarkEnd w:id="1"/>
      <w:bookmarkEnd w:id="2"/>
    </w:p>
    <w:p w14:paraId="23B8DA0F" w14:textId="77777777" w:rsidR="00EC44A7" w:rsidRPr="00A00187" w:rsidRDefault="00EC44A7">
      <w:pPr>
        <w:pStyle w:val="Obsah1"/>
      </w:pPr>
    </w:p>
    <w:p w14:paraId="4DA6083E" w14:textId="140F454E" w:rsidR="0064349A" w:rsidRDefault="008430BD">
      <w:pPr>
        <w:pStyle w:val="Obsah1"/>
        <w:rPr>
          <w:rFonts w:asciiTheme="minorHAnsi" w:eastAsiaTheme="minorEastAsia" w:hAnsiTheme="minorHAnsi" w:cstheme="minorBidi"/>
          <w:noProof/>
          <w:sz w:val="22"/>
          <w:lang w:eastAsia="cs-CZ"/>
        </w:rPr>
      </w:pPr>
      <w:r w:rsidRPr="00A00187">
        <w:fldChar w:fldCharType="begin"/>
      </w:r>
      <w:r w:rsidRPr="00A00187">
        <w:instrText xml:space="preserve"> TOC \o "1-3" \h \z \u </w:instrText>
      </w:r>
      <w:r w:rsidRPr="00A00187">
        <w:fldChar w:fldCharType="separate"/>
      </w:r>
      <w:hyperlink w:anchor="_Toc109801324" w:history="1">
        <w:r w:rsidR="0064349A" w:rsidRPr="00075681">
          <w:rPr>
            <w:rStyle w:val="Hypertextovodkaz"/>
            <w:noProof/>
          </w:rPr>
          <w:t>Obsah</w:t>
        </w:r>
        <w:r w:rsidR="0064349A">
          <w:rPr>
            <w:noProof/>
            <w:webHidden/>
          </w:rPr>
          <w:tab/>
        </w:r>
        <w:r w:rsidR="0064349A">
          <w:rPr>
            <w:noProof/>
            <w:webHidden/>
          </w:rPr>
          <w:fldChar w:fldCharType="begin"/>
        </w:r>
        <w:r w:rsidR="0064349A">
          <w:rPr>
            <w:noProof/>
            <w:webHidden/>
          </w:rPr>
          <w:instrText xml:space="preserve"> PAGEREF _Toc109801324 \h </w:instrText>
        </w:r>
        <w:r w:rsidR="0064349A">
          <w:rPr>
            <w:noProof/>
            <w:webHidden/>
          </w:rPr>
        </w:r>
        <w:r w:rsidR="0064349A">
          <w:rPr>
            <w:noProof/>
            <w:webHidden/>
          </w:rPr>
          <w:fldChar w:fldCharType="separate"/>
        </w:r>
        <w:r w:rsidR="0064349A">
          <w:rPr>
            <w:noProof/>
            <w:webHidden/>
          </w:rPr>
          <w:t>4</w:t>
        </w:r>
        <w:r w:rsidR="0064349A">
          <w:rPr>
            <w:noProof/>
            <w:webHidden/>
          </w:rPr>
          <w:fldChar w:fldCharType="end"/>
        </w:r>
      </w:hyperlink>
    </w:p>
    <w:p w14:paraId="759722FD" w14:textId="70EDE21F" w:rsidR="0064349A" w:rsidRDefault="0064349A">
      <w:pPr>
        <w:pStyle w:val="Obsah1"/>
        <w:tabs>
          <w:tab w:val="left" w:pos="482"/>
        </w:tabs>
        <w:rPr>
          <w:rFonts w:asciiTheme="minorHAnsi" w:eastAsiaTheme="minorEastAsia" w:hAnsiTheme="minorHAnsi" w:cstheme="minorBidi"/>
          <w:noProof/>
          <w:sz w:val="22"/>
          <w:lang w:eastAsia="cs-CZ"/>
        </w:rPr>
      </w:pPr>
      <w:hyperlink w:anchor="_Toc109801325" w:history="1">
        <w:r w:rsidRPr="00075681">
          <w:rPr>
            <w:rStyle w:val="Hypertextovodkaz"/>
            <w:noProof/>
          </w:rPr>
          <w:t>1</w:t>
        </w:r>
        <w:r>
          <w:rPr>
            <w:rFonts w:asciiTheme="minorHAnsi" w:eastAsiaTheme="minorEastAsia" w:hAnsiTheme="minorHAnsi" w:cstheme="minorBidi"/>
            <w:noProof/>
            <w:sz w:val="22"/>
            <w:lang w:eastAsia="cs-CZ"/>
          </w:rPr>
          <w:tab/>
        </w:r>
        <w:r w:rsidRPr="00075681">
          <w:rPr>
            <w:rStyle w:val="Hypertextovodkaz"/>
            <w:noProof/>
          </w:rPr>
          <w:t>Úvod</w:t>
        </w:r>
        <w:r>
          <w:rPr>
            <w:noProof/>
            <w:webHidden/>
          </w:rPr>
          <w:tab/>
        </w:r>
        <w:r>
          <w:rPr>
            <w:noProof/>
            <w:webHidden/>
          </w:rPr>
          <w:fldChar w:fldCharType="begin"/>
        </w:r>
        <w:r>
          <w:rPr>
            <w:noProof/>
            <w:webHidden/>
          </w:rPr>
          <w:instrText xml:space="preserve"> PAGEREF _Toc109801325 \h </w:instrText>
        </w:r>
        <w:r>
          <w:rPr>
            <w:noProof/>
            <w:webHidden/>
          </w:rPr>
        </w:r>
        <w:r>
          <w:rPr>
            <w:noProof/>
            <w:webHidden/>
          </w:rPr>
          <w:fldChar w:fldCharType="separate"/>
        </w:r>
        <w:r>
          <w:rPr>
            <w:noProof/>
            <w:webHidden/>
          </w:rPr>
          <w:t>7</w:t>
        </w:r>
        <w:r>
          <w:rPr>
            <w:noProof/>
            <w:webHidden/>
          </w:rPr>
          <w:fldChar w:fldCharType="end"/>
        </w:r>
      </w:hyperlink>
    </w:p>
    <w:p w14:paraId="42263667" w14:textId="41F739BA" w:rsidR="0064349A" w:rsidRDefault="0064349A">
      <w:pPr>
        <w:pStyle w:val="Obsah2"/>
        <w:rPr>
          <w:rFonts w:asciiTheme="minorHAnsi" w:eastAsiaTheme="minorEastAsia" w:hAnsiTheme="minorHAnsi" w:cstheme="minorBidi"/>
          <w:sz w:val="22"/>
          <w:lang w:eastAsia="cs-CZ"/>
        </w:rPr>
      </w:pPr>
      <w:hyperlink w:anchor="_Toc109801326" w:history="1">
        <w:r w:rsidRPr="00075681">
          <w:rPr>
            <w:rStyle w:val="Hypertextovodkaz"/>
          </w:rPr>
          <w:t>1.1</w:t>
        </w:r>
        <w:r>
          <w:rPr>
            <w:rFonts w:asciiTheme="minorHAnsi" w:eastAsiaTheme="minorEastAsia" w:hAnsiTheme="minorHAnsi" w:cstheme="minorBidi"/>
            <w:sz w:val="22"/>
            <w:lang w:eastAsia="cs-CZ"/>
          </w:rPr>
          <w:tab/>
        </w:r>
        <w:r w:rsidRPr="00075681">
          <w:rPr>
            <w:rStyle w:val="Hypertextovodkaz"/>
          </w:rPr>
          <w:t>Základní východiska, předpoklady, omezení a upřesňující poznámky</w:t>
        </w:r>
        <w:r>
          <w:rPr>
            <w:webHidden/>
          </w:rPr>
          <w:tab/>
        </w:r>
        <w:r>
          <w:rPr>
            <w:webHidden/>
          </w:rPr>
          <w:fldChar w:fldCharType="begin"/>
        </w:r>
        <w:r>
          <w:rPr>
            <w:webHidden/>
          </w:rPr>
          <w:instrText xml:space="preserve"> PAGEREF _Toc109801326 \h </w:instrText>
        </w:r>
        <w:r>
          <w:rPr>
            <w:webHidden/>
          </w:rPr>
        </w:r>
        <w:r>
          <w:rPr>
            <w:webHidden/>
          </w:rPr>
          <w:fldChar w:fldCharType="separate"/>
        </w:r>
        <w:r>
          <w:rPr>
            <w:webHidden/>
          </w:rPr>
          <w:t>7</w:t>
        </w:r>
        <w:r>
          <w:rPr>
            <w:webHidden/>
          </w:rPr>
          <w:fldChar w:fldCharType="end"/>
        </w:r>
      </w:hyperlink>
    </w:p>
    <w:p w14:paraId="4F01D5DF" w14:textId="776F6464" w:rsidR="0064349A" w:rsidRDefault="0064349A">
      <w:pPr>
        <w:pStyle w:val="Obsah2"/>
        <w:rPr>
          <w:rFonts w:asciiTheme="minorHAnsi" w:eastAsiaTheme="minorEastAsia" w:hAnsiTheme="minorHAnsi" w:cstheme="minorBidi"/>
          <w:sz w:val="22"/>
          <w:lang w:eastAsia="cs-CZ"/>
        </w:rPr>
      </w:pPr>
      <w:hyperlink w:anchor="_Toc109801327" w:history="1">
        <w:r w:rsidRPr="00075681">
          <w:rPr>
            <w:rStyle w:val="Hypertextovodkaz"/>
          </w:rPr>
          <w:t>1.2</w:t>
        </w:r>
        <w:r>
          <w:rPr>
            <w:rFonts w:asciiTheme="minorHAnsi" w:eastAsiaTheme="minorEastAsia" w:hAnsiTheme="minorHAnsi" w:cstheme="minorBidi"/>
            <w:sz w:val="22"/>
            <w:lang w:eastAsia="cs-CZ"/>
          </w:rPr>
          <w:tab/>
        </w:r>
        <w:r w:rsidRPr="00075681">
          <w:rPr>
            <w:rStyle w:val="Hypertextovodkaz"/>
          </w:rPr>
          <w:t>Změny oproti verzi z minulého roku</w:t>
        </w:r>
        <w:r>
          <w:rPr>
            <w:webHidden/>
          </w:rPr>
          <w:tab/>
        </w:r>
        <w:r>
          <w:rPr>
            <w:webHidden/>
          </w:rPr>
          <w:fldChar w:fldCharType="begin"/>
        </w:r>
        <w:r>
          <w:rPr>
            <w:webHidden/>
          </w:rPr>
          <w:instrText xml:space="preserve"> PAGEREF _Toc109801327 \h </w:instrText>
        </w:r>
        <w:r>
          <w:rPr>
            <w:webHidden/>
          </w:rPr>
        </w:r>
        <w:r>
          <w:rPr>
            <w:webHidden/>
          </w:rPr>
          <w:fldChar w:fldCharType="separate"/>
        </w:r>
        <w:r>
          <w:rPr>
            <w:webHidden/>
          </w:rPr>
          <w:t>10</w:t>
        </w:r>
        <w:r>
          <w:rPr>
            <w:webHidden/>
          </w:rPr>
          <w:fldChar w:fldCharType="end"/>
        </w:r>
      </w:hyperlink>
    </w:p>
    <w:p w14:paraId="1476BEA8" w14:textId="13477B77" w:rsidR="0064349A" w:rsidRDefault="0064349A">
      <w:pPr>
        <w:pStyle w:val="Obsah1"/>
        <w:tabs>
          <w:tab w:val="left" w:pos="482"/>
        </w:tabs>
        <w:rPr>
          <w:rFonts w:asciiTheme="minorHAnsi" w:eastAsiaTheme="minorEastAsia" w:hAnsiTheme="minorHAnsi" w:cstheme="minorBidi"/>
          <w:noProof/>
          <w:sz w:val="22"/>
          <w:lang w:eastAsia="cs-CZ"/>
        </w:rPr>
      </w:pPr>
      <w:hyperlink w:anchor="_Toc109801328" w:history="1">
        <w:r w:rsidRPr="00075681">
          <w:rPr>
            <w:rStyle w:val="Hypertextovodkaz"/>
            <w:noProof/>
          </w:rPr>
          <w:t>2</w:t>
        </w:r>
        <w:r>
          <w:rPr>
            <w:rFonts w:asciiTheme="minorHAnsi" w:eastAsiaTheme="minorEastAsia" w:hAnsiTheme="minorHAnsi" w:cstheme="minorBidi"/>
            <w:noProof/>
            <w:sz w:val="22"/>
            <w:lang w:eastAsia="cs-CZ"/>
          </w:rPr>
          <w:tab/>
        </w:r>
        <w:r w:rsidRPr="00075681">
          <w:rPr>
            <w:rStyle w:val="Hypertextovodkaz"/>
            <w:noProof/>
          </w:rPr>
          <w:t>Okresní soudy</w:t>
        </w:r>
        <w:r>
          <w:rPr>
            <w:noProof/>
            <w:webHidden/>
          </w:rPr>
          <w:tab/>
        </w:r>
        <w:r>
          <w:rPr>
            <w:noProof/>
            <w:webHidden/>
          </w:rPr>
          <w:fldChar w:fldCharType="begin"/>
        </w:r>
        <w:r>
          <w:rPr>
            <w:noProof/>
            <w:webHidden/>
          </w:rPr>
          <w:instrText xml:space="preserve"> PAGEREF _Toc109801328 \h </w:instrText>
        </w:r>
        <w:r>
          <w:rPr>
            <w:noProof/>
            <w:webHidden/>
          </w:rPr>
        </w:r>
        <w:r>
          <w:rPr>
            <w:noProof/>
            <w:webHidden/>
          </w:rPr>
          <w:fldChar w:fldCharType="separate"/>
        </w:r>
        <w:r>
          <w:rPr>
            <w:noProof/>
            <w:webHidden/>
          </w:rPr>
          <w:t>11</w:t>
        </w:r>
        <w:r>
          <w:rPr>
            <w:noProof/>
            <w:webHidden/>
          </w:rPr>
          <w:fldChar w:fldCharType="end"/>
        </w:r>
      </w:hyperlink>
    </w:p>
    <w:p w14:paraId="2A7CE310" w14:textId="46BF679F" w:rsidR="0064349A" w:rsidRDefault="0064349A">
      <w:pPr>
        <w:pStyle w:val="Obsah2"/>
        <w:rPr>
          <w:rFonts w:asciiTheme="minorHAnsi" w:eastAsiaTheme="minorEastAsia" w:hAnsiTheme="minorHAnsi" w:cstheme="minorBidi"/>
          <w:sz w:val="22"/>
          <w:lang w:eastAsia="cs-CZ"/>
        </w:rPr>
      </w:pPr>
      <w:hyperlink w:anchor="_Toc109801329" w:history="1">
        <w:r w:rsidRPr="00075681">
          <w:rPr>
            <w:rStyle w:val="Hypertextovodkaz"/>
          </w:rPr>
          <w:t>2.1</w:t>
        </w:r>
        <w:r>
          <w:rPr>
            <w:rFonts w:asciiTheme="minorHAnsi" w:eastAsiaTheme="minorEastAsia" w:hAnsiTheme="minorHAnsi" w:cstheme="minorBidi"/>
            <w:sz w:val="22"/>
            <w:lang w:eastAsia="cs-CZ"/>
          </w:rPr>
          <w:tab/>
        </w:r>
        <w:r w:rsidRPr="00075681">
          <w:rPr>
            <w:rStyle w:val="Hypertextovodkaz"/>
          </w:rPr>
          <w:t>Personál</w:t>
        </w:r>
        <w:r>
          <w:rPr>
            <w:webHidden/>
          </w:rPr>
          <w:tab/>
        </w:r>
        <w:r>
          <w:rPr>
            <w:webHidden/>
          </w:rPr>
          <w:fldChar w:fldCharType="begin"/>
        </w:r>
        <w:r>
          <w:rPr>
            <w:webHidden/>
          </w:rPr>
          <w:instrText xml:space="preserve"> PAGEREF _Toc109801329 \h </w:instrText>
        </w:r>
        <w:r>
          <w:rPr>
            <w:webHidden/>
          </w:rPr>
        </w:r>
        <w:r>
          <w:rPr>
            <w:webHidden/>
          </w:rPr>
          <w:fldChar w:fldCharType="separate"/>
        </w:r>
        <w:r>
          <w:rPr>
            <w:webHidden/>
          </w:rPr>
          <w:t>11</w:t>
        </w:r>
        <w:r>
          <w:rPr>
            <w:webHidden/>
          </w:rPr>
          <w:fldChar w:fldCharType="end"/>
        </w:r>
      </w:hyperlink>
    </w:p>
    <w:p w14:paraId="141FA0DA" w14:textId="588101AD" w:rsidR="0064349A" w:rsidRDefault="0064349A">
      <w:pPr>
        <w:pStyle w:val="Obsah3"/>
        <w:rPr>
          <w:rFonts w:asciiTheme="minorHAnsi" w:eastAsiaTheme="minorEastAsia" w:hAnsiTheme="minorHAnsi" w:cstheme="minorBidi"/>
          <w:noProof/>
          <w:sz w:val="22"/>
          <w:lang w:eastAsia="cs-CZ"/>
        </w:rPr>
      </w:pPr>
      <w:hyperlink w:anchor="_Toc109801330" w:history="1">
        <w:r w:rsidRPr="00075681">
          <w:rPr>
            <w:rStyle w:val="Hypertextovodkaz"/>
            <w:noProof/>
          </w:rPr>
          <w:t>2.1.1</w:t>
        </w:r>
        <w:r>
          <w:rPr>
            <w:rFonts w:asciiTheme="minorHAnsi" w:eastAsiaTheme="minorEastAsia" w:hAnsiTheme="minorHAnsi" w:cstheme="minorBidi"/>
            <w:noProof/>
            <w:sz w:val="22"/>
            <w:lang w:eastAsia="cs-CZ"/>
          </w:rPr>
          <w:tab/>
        </w:r>
        <w:r w:rsidRPr="00075681">
          <w:rPr>
            <w:rStyle w:val="Hypertextovodkaz"/>
            <w:noProof/>
          </w:rPr>
          <w:t>Soudci</w:t>
        </w:r>
        <w:r>
          <w:rPr>
            <w:noProof/>
            <w:webHidden/>
          </w:rPr>
          <w:tab/>
        </w:r>
        <w:r>
          <w:rPr>
            <w:noProof/>
            <w:webHidden/>
          </w:rPr>
          <w:fldChar w:fldCharType="begin"/>
        </w:r>
        <w:r>
          <w:rPr>
            <w:noProof/>
            <w:webHidden/>
          </w:rPr>
          <w:instrText xml:space="preserve"> PAGEREF _Toc109801330 \h </w:instrText>
        </w:r>
        <w:r>
          <w:rPr>
            <w:noProof/>
            <w:webHidden/>
          </w:rPr>
        </w:r>
        <w:r>
          <w:rPr>
            <w:noProof/>
            <w:webHidden/>
          </w:rPr>
          <w:fldChar w:fldCharType="separate"/>
        </w:r>
        <w:r>
          <w:rPr>
            <w:noProof/>
            <w:webHidden/>
          </w:rPr>
          <w:t>11</w:t>
        </w:r>
        <w:r>
          <w:rPr>
            <w:noProof/>
            <w:webHidden/>
          </w:rPr>
          <w:fldChar w:fldCharType="end"/>
        </w:r>
      </w:hyperlink>
    </w:p>
    <w:p w14:paraId="1C6A7BFA" w14:textId="45055ECA" w:rsidR="0064349A" w:rsidRDefault="0064349A">
      <w:pPr>
        <w:pStyle w:val="Obsah3"/>
        <w:rPr>
          <w:rFonts w:asciiTheme="minorHAnsi" w:eastAsiaTheme="minorEastAsia" w:hAnsiTheme="minorHAnsi" w:cstheme="minorBidi"/>
          <w:noProof/>
          <w:sz w:val="22"/>
          <w:lang w:eastAsia="cs-CZ"/>
        </w:rPr>
      </w:pPr>
      <w:hyperlink w:anchor="_Toc109801331" w:history="1">
        <w:r w:rsidRPr="00075681">
          <w:rPr>
            <w:rStyle w:val="Hypertextovodkaz"/>
            <w:noProof/>
          </w:rPr>
          <w:t>2.1.2</w:t>
        </w:r>
        <w:r>
          <w:rPr>
            <w:rFonts w:asciiTheme="minorHAnsi" w:eastAsiaTheme="minorEastAsia" w:hAnsiTheme="minorHAnsi" w:cstheme="minorBidi"/>
            <w:noProof/>
            <w:sz w:val="22"/>
            <w:lang w:eastAsia="cs-CZ"/>
          </w:rPr>
          <w:tab/>
        </w:r>
        <w:r w:rsidRPr="00075681">
          <w:rPr>
            <w:rStyle w:val="Hypertextovodkaz"/>
            <w:noProof/>
          </w:rPr>
          <w:t>Zaměstnanci ve výkonu a ve správě</w:t>
        </w:r>
        <w:r>
          <w:rPr>
            <w:noProof/>
            <w:webHidden/>
          </w:rPr>
          <w:tab/>
        </w:r>
        <w:r>
          <w:rPr>
            <w:noProof/>
            <w:webHidden/>
          </w:rPr>
          <w:fldChar w:fldCharType="begin"/>
        </w:r>
        <w:r>
          <w:rPr>
            <w:noProof/>
            <w:webHidden/>
          </w:rPr>
          <w:instrText xml:space="preserve"> PAGEREF _Toc109801331 \h </w:instrText>
        </w:r>
        <w:r>
          <w:rPr>
            <w:noProof/>
            <w:webHidden/>
          </w:rPr>
        </w:r>
        <w:r>
          <w:rPr>
            <w:noProof/>
            <w:webHidden/>
          </w:rPr>
          <w:fldChar w:fldCharType="separate"/>
        </w:r>
        <w:r>
          <w:rPr>
            <w:noProof/>
            <w:webHidden/>
          </w:rPr>
          <w:t>18</w:t>
        </w:r>
        <w:r>
          <w:rPr>
            <w:noProof/>
            <w:webHidden/>
          </w:rPr>
          <w:fldChar w:fldCharType="end"/>
        </w:r>
      </w:hyperlink>
    </w:p>
    <w:p w14:paraId="3C22E2D0" w14:textId="3A59C5DF" w:rsidR="0064349A" w:rsidRDefault="0064349A">
      <w:pPr>
        <w:pStyle w:val="Obsah3"/>
        <w:rPr>
          <w:rFonts w:asciiTheme="minorHAnsi" w:eastAsiaTheme="minorEastAsia" w:hAnsiTheme="minorHAnsi" w:cstheme="minorBidi"/>
          <w:noProof/>
          <w:sz w:val="22"/>
          <w:lang w:eastAsia="cs-CZ"/>
        </w:rPr>
      </w:pPr>
      <w:hyperlink w:anchor="_Toc109801332" w:history="1">
        <w:r w:rsidRPr="00075681">
          <w:rPr>
            <w:rStyle w:val="Hypertextovodkaz"/>
            <w:noProof/>
          </w:rPr>
          <w:t>2.1.3</w:t>
        </w:r>
        <w:r>
          <w:rPr>
            <w:rFonts w:asciiTheme="minorHAnsi" w:eastAsiaTheme="minorEastAsia" w:hAnsiTheme="minorHAnsi" w:cstheme="minorBidi"/>
            <w:noProof/>
            <w:sz w:val="22"/>
            <w:lang w:eastAsia="cs-CZ"/>
          </w:rPr>
          <w:tab/>
        </w:r>
        <w:r w:rsidRPr="00075681">
          <w:rPr>
            <w:rStyle w:val="Hypertextovodkaz"/>
            <w:noProof/>
          </w:rPr>
          <w:t>Přísedící soudu</w:t>
        </w:r>
        <w:r>
          <w:rPr>
            <w:noProof/>
            <w:webHidden/>
          </w:rPr>
          <w:tab/>
        </w:r>
        <w:r>
          <w:rPr>
            <w:noProof/>
            <w:webHidden/>
          </w:rPr>
          <w:fldChar w:fldCharType="begin"/>
        </w:r>
        <w:r>
          <w:rPr>
            <w:noProof/>
            <w:webHidden/>
          </w:rPr>
          <w:instrText xml:space="preserve"> PAGEREF _Toc109801332 \h </w:instrText>
        </w:r>
        <w:r>
          <w:rPr>
            <w:noProof/>
            <w:webHidden/>
          </w:rPr>
        </w:r>
        <w:r>
          <w:rPr>
            <w:noProof/>
            <w:webHidden/>
          </w:rPr>
          <w:fldChar w:fldCharType="separate"/>
        </w:r>
        <w:r>
          <w:rPr>
            <w:noProof/>
            <w:webHidden/>
          </w:rPr>
          <w:t>20</w:t>
        </w:r>
        <w:r>
          <w:rPr>
            <w:noProof/>
            <w:webHidden/>
          </w:rPr>
          <w:fldChar w:fldCharType="end"/>
        </w:r>
      </w:hyperlink>
    </w:p>
    <w:p w14:paraId="216419DC" w14:textId="2A117EC4" w:rsidR="0064349A" w:rsidRDefault="0064349A">
      <w:pPr>
        <w:pStyle w:val="Obsah2"/>
        <w:rPr>
          <w:rFonts w:asciiTheme="minorHAnsi" w:eastAsiaTheme="minorEastAsia" w:hAnsiTheme="minorHAnsi" w:cstheme="minorBidi"/>
          <w:sz w:val="22"/>
          <w:lang w:eastAsia="cs-CZ"/>
        </w:rPr>
      </w:pPr>
      <w:hyperlink w:anchor="_Toc109801333" w:history="1">
        <w:r w:rsidRPr="00075681">
          <w:rPr>
            <w:rStyle w:val="Hypertextovodkaz"/>
          </w:rPr>
          <w:t>2.2</w:t>
        </w:r>
        <w:r>
          <w:rPr>
            <w:rFonts w:asciiTheme="minorHAnsi" w:eastAsiaTheme="minorEastAsia" w:hAnsiTheme="minorHAnsi" w:cstheme="minorBidi"/>
            <w:sz w:val="22"/>
            <w:lang w:eastAsia="cs-CZ"/>
          </w:rPr>
          <w:tab/>
        </w:r>
        <w:r w:rsidRPr="00075681">
          <w:rPr>
            <w:rStyle w:val="Hypertextovodkaz"/>
          </w:rPr>
          <w:t>Civilní agenda</w:t>
        </w:r>
        <w:r>
          <w:rPr>
            <w:webHidden/>
          </w:rPr>
          <w:tab/>
        </w:r>
        <w:r>
          <w:rPr>
            <w:webHidden/>
          </w:rPr>
          <w:fldChar w:fldCharType="begin"/>
        </w:r>
        <w:r>
          <w:rPr>
            <w:webHidden/>
          </w:rPr>
          <w:instrText xml:space="preserve"> PAGEREF _Toc109801333 \h </w:instrText>
        </w:r>
        <w:r>
          <w:rPr>
            <w:webHidden/>
          </w:rPr>
        </w:r>
        <w:r>
          <w:rPr>
            <w:webHidden/>
          </w:rPr>
          <w:fldChar w:fldCharType="separate"/>
        </w:r>
        <w:r>
          <w:rPr>
            <w:webHidden/>
          </w:rPr>
          <w:t>22</w:t>
        </w:r>
        <w:r>
          <w:rPr>
            <w:webHidden/>
          </w:rPr>
          <w:fldChar w:fldCharType="end"/>
        </w:r>
      </w:hyperlink>
    </w:p>
    <w:p w14:paraId="1840CDAA" w14:textId="5DA6F754" w:rsidR="0064349A" w:rsidRDefault="0064349A">
      <w:pPr>
        <w:pStyle w:val="Obsah3"/>
        <w:rPr>
          <w:rFonts w:asciiTheme="minorHAnsi" w:eastAsiaTheme="minorEastAsia" w:hAnsiTheme="minorHAnsi" w:cstheme="minorBidi"/>
          <w:noProof/>
          <w:sz w:val="22"/>
          <w:lang w:eastAsia="cs-CZ"/>
        </w:rPr>
      </w:pPr>
      <w:hyperlink w:anchor="_Toc109801334" w:history="1">
        <w:r w:rsidRPr="00075681">
          <w:rPr>
            <w:rStyle w:val="Hypertextovodkaz"/>
            <w:noProof/>
          </w:rPr>
          <w:t>2.2.1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_Toc109801334 \h </w:instrText>
        </w:r>
        <w:r>
          <w:rPr>
            <w:noProof/>
            <w:webHidden/>
          </w:rPr>
        </w:r>
        <w:r>
          <w:rPr>
            <w:noProof/>
            <w:webHidden/>
          </w:rPr>
          <w:fldChar w:fldCharType="separate"/>
        </w:r>
        <w:r>
          <w:rPr>
            <w:noProof/>
            <w:webHidden/>
          </w:rPr>
          <w:t>22</w:t>
        </w:r>
        <w:r>
          <w:rPr>
            <w:noProof/>
            <w:webHidden/>
          </w:rPr>
          <w:fldChar w:fldCharType="end"/>
        </w:r>
      </w:hyperlink>
    </w:p>
    <w:p w14:paraId="091EA3D7" w14:textId="0477A281" w:rsidR="0064349A" w:rsidRDefault="0064349A">
      <w:pPr>
        <w:pStyle w:val="Obsah3"/>
        <w:rPr>
          <w:rFonts w:asciiTheme="minorHAnsi" w:eastAsiaTheme="minorEastAsia" w:hAnsiTheme="minorHAnsi" w:cstheme="minorBidi"/>
          <w:noProof/>
          <w:sz w:val="22"/>
          <w:lang w:eastAsia="cs-CZ"/>
        </w:rPr>
      </w:pPr>
      <w:hyperlink w:anchor="_Toc109801335" w:history="1">
        <w:r w:rsidRPr="00075681">
          <w:rPr>
            <w:rStyle w:val="Hypertextovodkaz"/>
            <w:noProof/>
          </w:rPr>
          <w:t>2.2.2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_Toc109801335 \h </w:instrText>
        </w:r>
        <w:r>
          <w:rPr>
            <w:noProof/>
            <w:webHidden/>
          </w:rPr>
        </w:r>
        <w:r>
          <w:rPr>
            <w:noProof/>
            <w:webHidden/>
          </w:rPr>
          <w:fldChar w:fldCharType="separate"/>
        </w:r>
        <w:r>
          <w:rPr>
            <w:noProof/>
            <w:webHidden/>
          </w:rPr>
          <w:t>27</w:t>
        </w:r>
        <w:r>
          <w:rPr>
            <w:noProof/>
            <w:webHidden/>
          </w:rPr>
          <w:fldChar w:fldCharType="end"/>
        </w:r>
      </w:hyperlink>
    </w:p>
    <w:p w14:paraId="7780219B" w14:textId="554614E4" w:rsidR="0064349A" w:rsidRDefault="0064349A">
      <w:pPr>
        <w:pStyle w:val="Obsah3"/>
        <w:rPr>
          <w:rFonts w:asciiTheme="minorHAnsi" w:eastAsiaTheme="minorEastAsia" w:hAnsiTheme="minorHAnsi" w:cstheme="minorBidi"/>
          <w:noProof/>
          <w:sz w:val="22"/>
          <w:lang w:eastAsia="cs-CZ"/>
        </w:rPr>
      </w:pPr>
      <w:hyperlink w:anchor="_Toc109801336" w:history="1">
        <w:r w:rsidRPr="00075681">
          <w:rPr>
            <w:rStyle w:val="Hypertextovodkaz"/>
            <w:noProof/>
          </w:rPr>
          <w:t>2.2.3</w:t>
        </w:r>
        <w:r>
          <w:rPr>
            <w:rFonts w:asciiTheme="minorHAnsi" w:eastAsiaTheme="minorEastAsia" w:hAnsiTheme="minorHAnsi" w:cstheme="minorBidi"/>
            <w:noProof/>
            <w:sz w:val="22"/>
            <w:lang w:eastAsia="cs-CZ"/>
          </w:rPr>
          <w:tab/>
        </w:r>
        <w:r w:rsidRPr="00075681">
          <w:rPr>
            <w:rStyle w:val="Hypertextovodkaz"/>
            <w:noProof/>
          </w:rPr>
          <w:t>Vyřizování věcí v přepočtu na soudce</w:t>
        </w:r>
        <w:r>
          <w:rPr>
            <w:noProof/>
            <w:webHidden/>
          </w:rPr>
          <w:tab/>
        </w:r>
        <w:r>
          <w:rPr>
            <w:noProof/>
            <w:webHidden/>
          </w:rPr>
          <w:fldChar w:fldCharType="begin"/>
        </w:r>
        <w:r>
          <w:rPr>
            <w:noProof/>
            <w:webHidden/>
          </w:rPr>
          <w:instrText xml:space="preserve"> PAGEREF _Toc109801336 \h </w:instrText>
        </w:r>
        <w:r>
          <w:rPr>
            <w:noProof/>
            <w:webHidden/>
          </w:rPr>
        </w:r>
        <w:r>
          <w:rPr>
            <w:noProof/>
            <w:webHidden/>
          </w:rPr>
          <w:fldChar w:fldCharType="separate"/>
        </w:r>
        <w:r>
          <w:rPr>
            <w:noProof/>
            <w:webHidden/>
          </w:rPr>
          <w:t>28</w:t>
        </w:r>
        <w:r>
          <w:rPr>
            <w:noProof/>
            <w:webHidden/>
          </w:rPr>
          <w:fldChar w:fldCharType="end"/>
        </w:r>
      </w:hyperlink>
    </w:p>
    <w:p w14:paraId="0996217C" w14:textId="0EFD269F" w:rsidR="0064349A" w:rsidRDefault="0064349A">
      <w:pPr>
        <w:pStyle w:val="Obsah3"/>
        <w:rPr>
          <w:rFonts w:asciiTheme="minorHAnsi" w:eastAsiaTheme="minorEastAsia" w:hAnsiTheme="minorHAnsi" w:cstheme="minorBidi"/>
          <w:noProof/>
          <w:sz w:val="22"/>
          <w:lang w:eastAsia="cs-CZ"/>
        </w:rPr>
      </w:pPr>
      <w:hyperlink w:anchor="_Toc109801337" w:history="1">
        <w:r w:rsidRPr="00075681">
          <w:rPr>
            <w:rStyle w:val="Hypertextovodkaz"/>
            <w:noProof/>
          </w:rPr>
          <w:t>2.2.4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_Toc109801337 \h </w:instrText>
        </w:r>
        <w:r>
          <w:rPr>
            <w:noProof/>
            <w:webHidden/>
          </w:rPr>
        </w:r>
        <w:r>
          <w:rPr>
            <w:noProof/>
            <w:webHidden/>
          </w:rPr>
          <w:fldChar w:fldCharType="separate"/>
        </w:r>
        <w:r>
          <w:rPr>
            <w:noProof/>
            <w:webHidden/>
          </w:rPr>
          <w:t>30</w:t>
        </w:r>
        <w:r>
          <w:rPr>
            <w:noProof/>
            <w:webHidden/>
          </w:rPr>
          <w:fldChar w:fldCharType="end"/>
        </w:r>
      </w:hyperlink>
    </w:p>
    <w:p w14:paraId="5F8F545B" w14:textId="4841F65C" w:rsidR="0064349A" w:rsidRDefault="0064349A">
      <w:pPr>
        <w:pStyle w:val="Obsah3"/>
        <w:rPr>
          <w:rFonts w:asciiTheme="minorHAnsi" w:eastAsiaTheme="minorEastAsia" w:hAnsiTheme="minorHAnsi" w:cstheme="minorBidi"/>
          <w:noProof/>
          <w:sz w:val="22"/>
          <w:lang w:eastAsia="cs-CZ"/>
        </w:rPr>
      </w:pPr>
      <w:hyperlink w:anchor="_Toc109801338" w:history="1">
        <w:r w:rsidRPr="00075681">
          <w:rPr>
            <w:rStyle w:val="Hypertextovodkaz"/>
            <w:noProof/>
          </w:rPr>
          <w:t>2.2.5</w:t>
        </w:r>
        <w:r>
          <w:rPr>
            <w:rFonts w:asciiTheme="minorHAnsi" w:eastAsiaTheme="minorEastAsia" w:hAnsiTheme="minorHAnsi" w:cstheme="minorBidi"/>
            <w:noProof/>
            <w:sz w:val="22"/>
            <w:lang w:eastAsia="cs-CZ"/>
          </w:rPr>
          <w:tab/>
        </w:r>
        <w:r w:rsidRPr="00075681">
          <w:rPr>
            <w:rStyle w:val="Hypertextovodkaz"/>
            <w:noProof/>
          </w:rPr>
          <w:t>Další statistiky</w:t>
        </w:r>
        <w:r>
          <w:rPr>
            <w:noProof/>
            <w:webHidden/>
          </w:rPr>
          <w:tab/>
        </w:r>
        <w:r>
          <w:rPr>
            <w:noProof/>
            <w:webHidden/>
          </w:rPr>
          <w:fldChar w:fldCharType="begin"/>
        </w:r>
        <w:r>
          <w:rPr>
            <w:noProof/>
            <w:webHidden/>
          </w:rPr>
          <w:instrText xml:space="preserve"> PAGEREF _Toc109801338 \h </w:instrText>
        </w:r>
        <w:r>
          <w:rPr>
            <w:noProof/>
            <w:webHidden/>
          </w:rPr>
        </w:r>
        <w:r>
          <w:rPr>
            <w:noProof/>
            <w:webHidden/>
          </w:rPr>
          <w:fldChar w:fldCharType="separate"/>
        </w:r>
        <w:r>
          <w:rPr>
            <w:noProof/>
            <w:webHidden/>
          </w:rPr>
          <w:t>33</w:t>
        </w:r>
        <w:r>
          <w:rPr>
            <w:noProof/>
            <w:webHidden/>
          </w:rPr>
          <w:fldChar w:fldCharType="end"/>
        </w:r>
      </w:hyperlink>
    </w:p>
    <w:p w14:paraId="18A41DBF" w14:textId="0B023EF1" w:rsidR="0064349A" w:rsidRDefault="0064349A">
      <w:pPr>
        <w:pStyle w:val="Obsah2"/>
        <w:rPr>
          <w:rFonts w:asciiTheme="minorHAnsi" w:eastAsiaTheme="minorEastAsia" w:hAnsiTheme="minorHAnsi" w:cstheme="minorBidi"/>
          <w:sz w:val="22"/>
          <w:lang w:eastAsia="cs-CZ"/>
        </w:rPr>
      </w:pPr>
      <w:hyperlink w:anchor="_Toc109801339" w:history="1">
        <w:r w:rsidRPr="00075681">
          <w:rPr>
            <w:rStyle w:val="Hypertextovodkaz"/>
          </w:rPr>
          <w:t>2.3</w:t>
        </w:r>
        <w:r>
          <w:rPr>
            <w:rFonts w:asciiTheme="minorHAnsi" w:eastAsiaTheme="minorEastAsia" w:hAnsiTheme="minorHAnsi" w:cstheme="minorBidi"/>
            <w:sz w:val="22"/>
            <w:lang w:eastAsia="cs-CZ"/>
          </w:rPr>
          <w:tab/>
        </w:r>
        <w:r w:rsidRPr="00075681">
          <w:rPr>
            <w:rStyle w:val="Hypertextovodkaz"/>
          </w:rPr>
          <w:t>Civilní agenda – elektronické rozkazní řízení</w:t>
        </w:r>
        <w:r>
          <w:rPr>
            <w:webHidden/>
          </w:rPr>
          <w:tab/>
        </w:r>
        <w:r>
          <w:rPr>
            <w:webHidden/>
          </w:rPr>
          <w:fldChar w:fldCharType="begin"/>
        </w:r>
        <w:r>
          <w:rPr>
            <w:webHidden/>
          </w:rPr>
          <w:instrText xml:space="preserve"> PAGEREF _Toc109801339 \h </w:instrText>
        </w:r>
        <w:r>
          <w:rPr>
            <w:webHidden/>
          </w:rPr>
        </w:r>
        <w:r>
          <w:rPr>
            <w:webHidden/>
          </w:rPr>
          <w:fldChar w:fldCharType="separate"/>
        </w:r>
        <w:r>
          <w:rPr>
            <w:webHidden/>
          </w:rPr>
          <w:t>40</w:t>
        </w:r>
        <w:r>
          <w:rPr>
            <w:webHidden/>
          </w:rPr>
          <w:fldChar w:fldCharType="end"/>
        </w:r>
      </w:hyperlink>
    </w:p>
    <w:p w14:paraId="6B15F76F" w14:textId="41829D96" w:rsidR="0064349A" w:rsidRDefault="0064349A">
      <w:pPr>
        <w:pStyle w:val="Obsah3"/>
        <w:rPr>
          <w:rFonts w:asciiTheme="minorHAnsi" w:eastAsiaTheme="minorEastAsia" w:hAnsiTheme="minorHAnsi" w:cstheme="minorBidi"/>
          <w:noProof/>
          <w:sz w:val="22"/>
          <w:lang w:eastAsia="cs-CZ"/>
        </w:rPr>
      </w:pPr>
      <w:hyperlink w:anchor="_Toc109801340" w:history="1">
        <w:r w:rsidRPr="00075681">
          <w:rPr>
            <w:rStyle w:val="Hypertextovodkaz"/>
            <w:noProof/>
          </w:rPr>
          <w:t>2.3.1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_Toc109801340 \h </w:instrText>
        </w:r>
        <w:r>
          <w:rPr>
            <w:noProof/>
            <w:webHidden/>
          </w:rPr>
        </w:r>
        <w:r>
          <w:rPr>
            <w:noProof/>
            <w:webHidden/>
          </w:rPr>
          <w:fldChar w:fldCharType="separate"/>
        </w:r>
        <w:r>
          <w:rPr>
            <w:noProof/>
            <w:webHidden/>
          </w:rPr>
          <w:t>40</w:t>
        </w:r>
        <w:r>
          <w:rPr>
            <w:noProof/>
            <w:webHidden/>
          </w:rPr>
          <w:fldChar w:fldCharType="end"/>
        </w:r>
      </w:hyperlink>
    </w:p>
    <w:p w14:paraId="44C24F5D" w14:textId="2329F9F5" w:rsidR="0064349A" w:rsidRDefault="0064349A">
      <w:pPr>
        <w:pStyle w:val="Obsah3"/>
        <w:rPr>
          <w:rFonts w:asciiTheme="minorHAnsi" w:eastAsiaTheme="minorEastAsia" w:hAnsiTheme="minorHAnsi" w:cstheme="minorBidi"/>
          <w:noProof/>
          <w:sz w:val="22"/>
          <w:lang w:eastAsia="cs-CZ"/>
        </w:rPr>
      </w:pPr>
      <w:hyperlink w:anchor="_Toc109801341" w:history="1">
        <w:r w:rsidRPr="00075681">
          <w:rPr>
            <w:rStyle w:val="Hypertextovodkaz"/>
            <w:noProof/>
          </w:rPr>
          <w:t>2.3.2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_Toc109801341 \h </w:instrText>
        </w:r>
        <w:r>
          <w:rPr>
            <w:noProof/>
            <w:webHidden/>
          </w:rPr>
        </w:r>
        <w:r>
          <w:rPr>
            <w:noProof/>
            <w:webHidden/>
          </w:rPr>
          <w:fldChar w:fldCharType="separate"/>
        </w:r>
        <w:r>
          <w:rPr>
            <w:noProof/>
            <w:webHidden/>
          </w:rPr>
          <w:t>42</w:t>
        </w:r>
        <w:r>
          <w:rPr>
            <w:noProof/>
            <w:webHidden/>
          </w:rPr>
          <w:fldChar w:fldCharType="end"/>
        </w:r>
      </w:hyperlink>
    </w:p>
    <w:p w14:paraId="6D6B8E4E" w14:textId="6FE00B80" w:rsidR="0064349A" w:rsidRDefault="0064349A">
      <w:pPr>
        <w:pStyle w:val="Obsah3"/>
        <w:rPr>
          <w:rFonts w:asciiTheme="minorHAnsi" w:eastAsiaTheme="minorEastAsia" w:hAnsiTheme="minorHAnsi" w:cstheme="minorBidi"/>
          <w:noProof/>
          <w:sz w:val="22"/>
          <w:lang w:eastAsia="cs-CZ"/>
        </w:rPr>
      </w:pPr>
      <w:hyperlink w:anchor="_Toc109801342" w:history="1">
        <w:r w:rsidRPr="00075681">
          <w:rPr>
            <w:rStyle w:val="Hypertextovodkaz"/>
            <w:noProof/>
          </w:rPr>
          <w:t>2.3.3</w:t>
        </w:r>
        <w:r>
          <w:rPr>
            <w:rFonts w:asciiTheme="minorHAnsi" w:eastAsiaTheme="minorEastAsia" w:hAnsiTheme="minorHAnsi" w:cstheme="minorBidi"/>
            <w:noProof/>
            <w:sz w:val="22"/>
            <w:lang w:eastAsia="cs-CZ"/>
          </w:rPr>
          <w:tab/>
        </w:r>
        <w:r w:rsidRPr="00075681">
          <w:rPr>
            <w:rStyle w:val="Hypertextovodkaz"/>
            <w:noProof/>
          </w:rPr>
          <w:t>Další statistiky</w:t>
        </w:r>
        <w:r>
          <w:rPr>
            <w:noProof/>
            <w:webHidden/>
          </w:rPr>
          <w:tab/>
        </w:r>
        <w:r>
          <w:rPr>
            <w:noProof/>
            <w:webHidden/>
          </w:rPr>
          <w:fldChar w:fldCharType="begin"/>
        </w:r>
        <w:r>
          <w:rPr>
            <w:noProof/>
            <w:webHidden/>
          </w:rPr>
          <w:instrText xml:space="preserve"> PAGEREF _Toc109801342 \h </w:instrText>
        </w:r>
        <w:r>
          <w:rPr>
            <w:noProof/>
            <w:webHidden/>
          </w:rPr>
        </w:r>
        <w:r>
          <w:rPr>
            <w:noProof/>
            <w:webHidden/>
          </w:rPr>
          <w:fldChar w:fldCharType="separate"/>
        </w:r>
        <w:r>
          <w:rPr>
            <w:noProof/>
            <w:webHidden/>
          </w:rPr>
          <w:t>43</w:t>
        </w:r>
        <w:r>
          <w:rPr>
            <w:noProof/>
            <w:webHidden/>
          </w:rPr>
          <w:fldChar w:fldCharType="end"/>
        </w:r>
      </w:hyperlink>
    </w:p>
    <w:p w14:paraId="523F3946" w14:textId="2876534D" w:rsidR="0064349A" w:rsidRDefault="0064349A">
      <w:pPr>
        <w:pStyle w:val="Obsah2"/>
        <w:rPr>
          <w:rFonts w:asciiTheme="minorHAnsi" w:eastAsiaTheme="minorEastAsia" w:hAnsiTheme="minorHAnsi" w:cstheme="minorBidi"/>
          <w:sz w:val="22"/>
          <w:lang w:eastAsia="cs-CZ"/>
        </w:rPr>
      </w:pPr>
      <w:hyperlink w:anchor="_Toc109801343" w:history="1">
        <w:r w:rsidRPr="00075681">
          <w:rPr>
            <w:rStyle w:val="Hypertextovodkaz"/>
          </w:rPr>
          <w:t>2.4</w:t>
        </w:r>
        <w:r>
          <w:rPr>
            <w:rFonts w:asciiTheme="minorHAnsi" w:eastAsiaTheme="minorEastAsia" w:hAnsiTheme="minorHAnsi" w:cstheme="minorBidi"/>
            <w:sz w:val="22"/>
            <w:lang w:eastAsia="cs-CZ"/>
          </w:rPr>
          <w:tab/>
        </w:r>
        <w:r w:rsidRPr="00075681">
          <w:rPr>
            <w:rStyle w:val="Hypertextovodkaz"/>
          </w:rPr>
          <w:t>Trestní agenda</w:t>
        </w:r>
        <w:r>
          <w:rPr>
            <w:webHidden/>
          </w:rPr>
          <w:tab/>
        </w:r>
        <w:r>
          <w:rPr>
            <w:webHidden/>
          </w:rPr>
          <w:fldChar w:fldCharType="begin"/>
        </w:r>
        <w:r>
          <w:rPr>
            <w:webHidden/>
          </w:rPr>
          <w:instrText xml:space="preserve"> PAGEREF _Toc109801343 \h </w:instrText>
        </w:r>
        <w:r>
          <w:rPr>
            <w:webHidden/>
          </w:rPr>
        </w:r>
        <w:r>
          <w:rPr>
            <w:webHidden/>
          </w:rPr>
          <w:fldChar w:fldCharType="separate"/>
        </w:r>
        <w:r>
          <w:rPr>
            <w:webHidden/>
          </w:rPr>
          <w:t>45</w:t>
        </w:r>
        <w:r>
          <w:rPr>
            <w:webHidden/>
          </w:rPr>
          <w:fldChar w:fldCharType="end"/>
        </w:r>
      </w:hyperlink>
    </w:p>
    <w:p w14:paraId="5E8524D8" w14:textId="5603FB88" w:rsidR="0064349A" w:rsidRDefault="0064349A">
      <w:pPr>
        <w:pStyle w:val="Obsah3"/>
        <w:rPr>
          <w:rFonts w:asciiTheme="minorHAnsi" w:eastAsiaTheme="minorEastAsia" w:hAnsiTheme="minorHAnsi" w:cstheme="minorBidi"/>
          <w:noProof/>
          <w:sz w:val="22"/>
          <w:lang w:eastAsia="cs-CZ"/>
        </w:rPr>
      </w:pPr>
      <w:hyperlink w:anchor="_Toc109801344" w:history="1">
        <w:r w:rsidRPr="00075681">
          <w:rPr>
            <w:rStyle w:val="Hypertextovodkaz"/>
            <w:noProof/>
          </w:rPr>
          <w:t>2.4.1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_Toc109801344 \h </w:instrText>
        </w:r>
        <w:r>
          <w:rPr>
            <w:noProof/>
            <w:webHidden/>
          </w:rPr>
        </w:r>
        <w:r>
          <w:rPr>
            <w:noProof/>
            <w:webHidden/>
          </w:rPr>
          <w:fldChar w:fldCharType="separate"/>
        </w:r>
        <w:r>
          <w:rPr>
            <w:noProof/>
            <w:webHidden/>
          </w:rPr>
          <w:t>45</w:t>
        </w:r>
        <w:r>
          <w:rPr>
            <w:noProof/>
            <w:webHidden/>
          </w:rPr>
          <w:fldChar w:fldCharType="end"/>
        </w:r>
      </w:hyperlink>
    </w:p>
    <w:p w14:paraId="34E35A52" w14:textId="25368E75" w:rsidR="0064349A" w:rsidRDefault="0064349A">
      <w:pPr>
        <w:pStyle w:val="Obsah3"/>
        <w:rPr>
          <w:rFonts w:asciiTheme="minorHAnsi" w:eastAsiaTheme="minorEastAsia" w:hAnsiTheme="minorHAnsi" w:cstheme="minorBidi"/>
          <w:noProof/>
          <w:sz w:val="22"/>
          <w:lang w:eastAsia="cs-CZ"/>
        </w:rPr>
      </w:pPr>
      <w:hyperlink w:anchor="_Toc109801345" w:history="1">
        <w:r w:rsidRPr="00075681">
          <w:rPr>
            <w:rStyle w:val="Hypertextovodkaz"/>
            <w:noProof/>
          </w:rPr>
          <w:t>2.4.2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_Toc109801345 \h </w:instrText>
        </w:r>
        <w:r>
          <w:rPr>
            <w:noProof/>
            <w:webHidden/>
          </w:rPr>
        </w:r>
        <w:r>
          <w:rPr>
            <w:noProof/>
            <w:webHidden/>
          </w:rPr>
          <w:fldChar w:fldCharType="separate"/>
        </w:r>
        <w:r>
          <w:rPr>
            <w:noProof/>
            <w:webHidden/>
          </w:rPr>
          <w:t>49</w:t>
        </w:r>
        <w:r>
          <w:rPr>
            <w:noProof/>
            <w:webHidden/>
          </w:rPr>
          <w:fldChar w:fldCharType="end"/>
        </w:r>
      </w:hyperlink>
    </w:p>
    <w:p w14:paraId="110CCC31" w14:textId="282A2509" w:rsidR="0064349A" w:rsidRDefault="0064349A">
      <w:pPr>
        <w:pStyle w:val="Obsah3"/>
        <w:rPr>
          <w:rFonts w:asciiTheme="minorHAnsi" w:eastAsiaTheme="minorEastAsia" w:hAnsiTheme="minorHAnsi" w:cstheme="minorBidi"/>
          <w:noProof/>
          <w:sz w:val="22"/>
          <w:lang w:eastAsia="cs-CZ"/>
        </w:rPr>
      </w:pPr>
      <w:hyperlink w:anchor="_Toc109801346" w:history="1">
        <w:r w:rsidRPr="00075681">
          <w:rPr>
            <w:rStyle w:val="Hypertextovodkaz"/>
            <w:noProof/>
          </w:rPr>
          <w:t>2.4.3</w:t>
        </w:r>
        <w:r>
          <w:rPr>
            <w:rFonts w:asciiTheme="minorHAnsi" w:eastAsiaTheme="minorEastAsia" w:hAnsiTheme="minorHAnsi" w:cstheme="minorBidi"/>
            <w:noProof/>
            <w:sz w:val="22"/>
            <w:lang w:eastAsia="cs-CZ"/>
          </w:rPr>
          <w:tab/>
        </w:r>
        <w:r w:rsidRPr="00075681">
          <w:rPr>
            <w:rStyle w:val="Hypertextovodkaz"/>
            <w:noProof/>
          </w:rPr>
          <w:t>Vyřizování věcí v přepočtu na soudce</w:t>
        </w:r>
        <w:r>
          <w:rPr>
            <w:noProof/>
            <w:webHidden/>
          </w:rPr>
          <w:tab/>
        </w:r>
        <w:r>
          <w:rPr>
            <w:noProof/>
            <w:webHidden/>
          </w:rPr>
          <w:fldChar w:fldCharType="begin"/>
        </w:r>
        <w:r>
          <w:rPr>
            <w:noProof/>
            <w:webHidden/>
          </w:rPr>
          <w:instrText xml:space="preserve"> PAGEREF _Toc109801346 \h </w:instrText>
        </w:r>
        <w:r>
          <w:rPr>
            <w:noProof/>
            <w:webHidden/>
          </w:rPr>
        </w:r>
        <w:r>
          <w:rPr>
            <w:noProof/>
            <w:webHidden/>
          </w:rPr>
          <w:fldChar w:fldCharType="separate"/>
        </w:r>
        <w:r>
          <w:rPr>
            <w:noProof/>
            <w:webHidden/>
          </w:rPr>
          <w:t>50</w:t>
        </w:r>
        <w:r>
          <w:rPr>
            <w:noProof/>
            <w:webHidden/>
          </w:rPr>
          <w:fldChar w:fldCharType="end"/>
        </w:r>
      </w:hyperlink>
    </w:p>
    <w:p w14:paraId="33022375" w14:textId="5AEB1EA5" w:rsidR="0064349A" w:rsidRDefault="0064349A">
      <w:pPr>
        <w:pStyle w:val="Obsah3"/>
        <w:rPr>
          <w:rFonts w:asciiTheme="minorHAnsi" w:eastAsiaTheme="minorEastAsia" w:hAnsiTheme="minorHAnsi" w:cstheme="minorBidi"/>
          <w:noProof/>
          <w:sz w:val="22"/>
          <w:lang w:eastAsia="cs-CZ"/>
        </w:rPr>
      </w:pPr>
      <w:hyperlink w:anchor="_Toc109801347" w:history="1">
        <w:r w:rsidRPr="00075681">
          <w:rPr>
            <w:rStyle w:val="Hypertextovodkaz"/>
            <w:noProof/>
          </w:rPr>
          <w:t>2.4.4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_Toc109801347 \h </w:instrText>
        </w:r>
        <w:r>
          <w:rPr>
            <w:noProof/>
            <w:webHidden/>
          </w:rPr>
        </w:r>
        <w:r>
          <w:rPr>
            <w:noProof/>
            <w:webHidden/>
          </w:rPr>
          <w:fldChar w:fldCharType="separate"/>
        </w:r>
        <w:r>
          <w:rPr>
            <w:noProof/>
            <w:webHidden/>
          </w:rPr>
          <w:t>52</w:t>
        </w:r>
        <w:r>
          <w:rPr>
            <w:noProof/>
            <w:webHidden/>
          </w:rPr>
          <w:fldChar w:fldCharType="end"/>
        </w:r>
      </w:hyperlink>
    </w:p>
    <w:p w14:paraId="7417070F" w14:textId="2B47ACF3" w:rsidR="0064349A" w:rsidRDefault="0064349A">
      <w:pPr>
        <w:pStyle w:val="Obsah3"/>
        <w:rPr>
          <w:rFonts w:asciiTheme="minorHAnsi" w:eastAsiaTheme="minorEastAsia" w:hAnsiTheme="minorHAnsi" w:cstheme="minorBidi"/>
          <w:noProof/>
          <w:sz w:val="22"/>
          <w:lang w:eastAsia="cs-CZ"/>
        </w:rPr>
      </w:pPr>
      <w:hyperlink w:anchor="_Toc109801348" w:history="1">
        <w:r w:rsidRPr="00075681">
          <w:rPr>
            <w:rStyle w:val="Hypertextovodkaz"/>
            <w:noProof/>
          </w:rPr>
          <w:t>2.4.5</w:t>
        </w:r>
        <w:r>
          <w:rPr>
            <w:rFonts w:asciiTheme="minorHAnsi" w:eastAsiaTheme="minorEastAsia" w:hAnsiTheme="minorHAnsi" w:cstheme="minorBidi"/>
            <w:noProof/>
            <w:sz w:val="22"/>
            <w:lang w:eastAsia="cs-CZ"/>
          </w:rPr>
          <w:tab/>
        </w:r>
        <w:r w:rsidRPr="00075681">
          <w:rPr>
            <w:rStyle w:val="Hypertextovodkaz"/>
            <w:noProof/>
          </w:rPr>
          <w:t>Další statistiky</w:t>
        </w:r>
        <w:r>
          <w:rPr>
            <w:noProof/>
            <w:webHidden/>
          </w:rPr>
          <w:tab/>
        </w:r>
        <w:r>
          <w:rPr>
            <w:noProof/>
            <w:webHidden/>
          </w:rPr>
          <w:fldChar w:fldCharType="begin"/>
        </w:r>
        <w:r>
          <w:rPr>
            <w:noProof/>
            <w:webHidden/>
          </w:rPr>
          <w:instrText xml:space="preserve"> PAGEREF _Toc109801348 \h </w:instrText>
        </w:r>
        <w:r>
          <w:rPr>
            <w:noProof/>
            <w:webHidden/>
          </w:rPr>
        </w:r>
        <w:r>
          <w:rPr>
            <w:noProof/>
            <w:webHidden/>
          </w:rPr>
          <w:fldChar w:fldCharType="separate"/>
        </w:r>
        <w:r>
          <w:rPr>
            <w:noProof/>
            <w:webHidden/>
          </w:rPr>
          <w:t>54</w:t>
        </w:r>
        <w:r>
          <w:rPr>
            <w:noProof/>
            <w:webHidden/>
          </w:rPr>
          <w:fldChar w:fldCharType="end"/>
        </w:r>
      </w:hyperlink>
    </w:p>
    <w:p w14:paraId="3276B633" w14:textId="222B5730" w:rsidR="0064349A" w:rsidRDefault="0064349A">
      <w:pPr>
        <w:pStyle w:val="Obsah2"/>
        <w:rPr>
          <w:rFonts w:asciiTheme="minorHAnsi" w:eastAsiaTheme="minorEastAsia" w:hAnsiTheme="minorHAnsi" w:cstheme="minorBidi"/>
          <w:sz w:val="22"/>
          <w:lang w:eastAsia="cs-CZ"/>
        </w:rPr>
      </w:pPr>
      <w:hyperlink w:anchor="_Toc109801349" w:history="1">
        <w:r w:rsidRPr="00075681">
          <w:rPr>
            <w:rStyle w:val="Hypertextovodkaz"/>
          </w:rPr>
          <w:t>2.5</w:t>
        </w:r>
        <w:r>
          <w:rPr>
            <w:rFonts w:asciiTheme="minorHAnsi" w:eastAsiaTheme="minorEastAsia" w:hAnsiTheme="minorHAnsi" w:cstheme="minorBidi"/>
            <w:sz w:val="22"/>
            <w:lang w:eastAsia="cs-CZ"/>
          </w:rPr>
          <w:tab/>
        </w:r>
        <w:r w:rsidRPr="00075681">
          <w:rPr>
            <w:rStyle w:val="Hypertextovodkaz"/>
          </w:rPr>
          <w:t>Opatrovnická agenda</w:t>
        </w:r>
        <w:r>
          <w:rPr>
            <w:webHidden/>
          </w:rPr>
          <w:tab/>
        </w:r>
        <w:r>
          <w:rPr>
            <w:webHidden/>
          </w:rPr>
          <w:fldChar w:fldCharType="begin"/>
        </w:r>
        <w:r>
          <w:rPr>
            <w:webHidden/>
          </w:rPr>
          <w:instrText xml:space="preserve"> PAGEREF _Toc109801349 \h </w:instrText>
        </w:r>
        <w:r>
          <w:rPr>
            <w:webHidden/>
          </w:rPr>
        </w:r>
        <w:r>
          <w:rPr>
            <w:webHidden/>
          </w:rPr>
          <w:fldChar w:fldCharType="separate"/>
        </w:r>
        <w:r>
          <w:rPr>
            <w:webHidden/>
          </w:rPr>
          <w:t>64</w:t>
        </w:r>
        <w:r>
          <w:rPr>
            <w:webHidden/>
          </w:rPr>
          <w:fldChar w:fldCharType="end"/>
        </w:r>
      </w:hyperlink>
    </w:p>
    <w:p w14:paraId="0F387DCD" w14:textId="60436183" w:rsidR="0064349A" w:rsidRDefault="0064349A">
      <w:pPr>
        <w:pStyle w:val="Obsah3"/>
        <w:rPr>
          <w:rFonts w:asciiTheme="minorHAnsi" w:eastAsiaTheme="minorEastAsia" w:hAnsiTheme="minorHAnsi" w:cstheme="minorBidi"/>
          <w:noProof/>
          <w:sz w:val="22"/>
          <w:lang w:eastAsia="cs-CZ"/>
        </w:rPr>
      </w:pPr>
      <w:hyperlink w:anchor="_Toc109801350" w:history="1">
        <w:r w:rsidRPr="00075681">
          <w:rPr>
            <w:rStyle w:val="Hypertextovodkaz"/>
            <w:noProof/>
          </w:rPr>
          <w:t>2.5.1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_Toc109801350 \h </w:instrText>
        </w:r>
        <w:r>
          <w:rPr>
            <w:noProof/>
            <w:webHidden/>
          </w:rPr>
        </w:r>
        <w:r>
          <w:rPr>
            <w:noProof/>
            <w:webHidden/>
          </w:rPr>
          <w:fldChar w:fldCharType="separate"/>
        </w:r>
        <w:r>
          <w:rPr>
            <w:noProof/>
            <w:webHidden/>
          </w:rPr>
          <w:t>64</w:t>
        </w:r>
        <w:r>
          <w:rPr>
            <w:noProof/>
            <w:webHidden/>
          </w:rPr>
          <w:fldChar w:fldCharType="end"/>
        </w:r>
      </w:hyperlink>
    </w:p>
    <w:p w14:paraId="053EC897" w14:textId="7FEDEB74" w:rsidR="0064349A" w:rsidRDefault="0064349A">
      <w:pPr>
        <w:pStyle w:val="Obsah3"/>
        <w:rPr>
          <w:rFonts w:asciiTheme="minorHAnsi" w:eastAsiaTheme="minorEastAsia" w:hAnsiTheme="minorHAnsi" w:cstheme="minorBidi"/>
          <w:noProof/>
          <w:sz w:val="22"/>
          <w:lang w:eastAsia="cs-CZ"/>
        </w:rPr>
      </w:pPr>
      <w:hyperlink w:anchor="_Toc109801351" w:history="1">
        <w:r w:rsidRPr="00075681">
          <w:rPr>
            <w:rStyle w:val="Hypertextovodkaz"/>
            <w:noProof/>
          </w:rPr>
          <w:t>2.5.2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_Toc109801351 \h </w:instrText>
        </w:r>
        <w:r>
          <w:rPr>
            <w:noProof/>
            <w:webHidden/>
          </w:rPr>
        </w:r>
        <w:r>
          <w:rPr>
            <w:noProof/>
            <w:webHidden/>
          </w:rPr>
          <w:fldChar w:fldCharType="separate"/>
        </w:r>
        <w:r>
          <w:rPr>
            <w:noProof/>
            <w:webHidden/>
          </w:rPr>
          <w:t>68</w:t>
        </w:r>
        <w:r>
          <w:rPr>
            <w:noProof/>
            <w:webHidden/>
          </w:rPr>
          <w:fldChar w:fldCharType="end"/>
        </w:r>
      </w:hyperlink>
    </w:p>
    <w:p w14:paraId="54A1F549" w14:textId="637DC296" w:rsidR="0064349A" w:rsidRDefault="0064349A">
      <w:pPr>
        <w:pStyle w:val="Obsah3"/>
        <w:rPr>
          <w:rFonts w:asciiTheme="minorHAnsi" w:eastAsiaTheme="minorEastAsia" w:hAnsiTheme="minorHAnsi" w:cstheme="minorBidi"/>
          <w:noProof/>
          <w:sz w:val="22"/>
          <w:lang w:eastAsia="cs-CZ"/>
        </w:rPr>
      </w:pPr>
      <w:hyperlink w:anchor="_Toc109801352" w:history="1">
        <w:r w:rsidRPr="00075681">
          <w:rPr>
            <w:rStyle w:val="Hypertextovodkaz"/>
            <w:noProof/>
          </w:rPr>
          <w:t>2.5.3</w:t>
        </w:r>
        <w:r>
          <w:rPr>
            <w:rFonts w:asciiTheme="minorHAnsi" w:eastAsiaTheme="minorEastAsia" w:hAnsiTheme="minorHAnsi" w:cstheme="minorBidi"/>
            <w:noProof/>
            <w:sz w:val="22"/>
            <w:lang w:eastAsia="cs-CZ"/>
          </w:rPr>
          <w:tab/>
        </w:r>
        <w:r w:rsidRPr="00075681">
          <w:rPr>
            <w:rStyle w:val="Hypertextovodkaz"/>
            <w:noProof/>
          </w:rPr>
          <w:t>Vyřizování v přepočtu na soudce</w:t>
        </w:r>
        <w:r>
          <w:rPr>
            <w:noProof/>
            <w:webHidden/>
          </w:rPr>
          <w:tab/>
        </w:r>
        <w:r>
          <w:rPr>
            <w:noProof/>
            <w:webHidden/>
          </w:rPr>
          <w:fldChar w:fldCharType="begin"/>
        </w:r>
        <w:r>
          <w:rPr>
            <w:noProof/>
            <w:webHidden/>
          </w:rPr>
          <w:instrText xml:space="preserve"> PAGEREF _Toc109801352 \h </w:instrText>
        </w:r>
        <w:r>
          <w:rPr>
            <w:noProof/>
            <w:webHidden/>
          </w:rPr>
        </w:r>
        <w:r>
          <w:rPr>
            <w:noProof/>
            <w:webHidden/>
          </w:rPr>
          <w:fldChar w:fldCharType="separate"/>
        </w:r>
        <w:r>
          <w:rPr>
            <w:noProof/>
            <w:webHidden/>
          </w:rPr>
          <w:t>69</w:t>
        </w:r>
        <w:r>
          <w:rPr>
            <w:noProof/>
            <w:webHidden/>
          </w:rPr>
          <w:fldChar w:fldCharType="end"/>
        </w:r>
      </w:hyperlink>
    </w:p>
    <w:p w14:paraId="644BE6B5" w14:textId="7AE363C9" w:rsidR="0064349A" w:rsidRDefault="0064349A">
      <w:pPr>
        <w:pStyle w:val="Obsah3"/>
        <w:rPr>
          <w:rFonts w:asciiTheme="minorHAnsi" w:eastAsiaTheme="minorEastAsia" w:hAnsiTheme="minorHAnsi" w:cstheme="minorBidi"/>
          <w:noProof/>
          <w:sz w:val="22"/>
          <w:lang w:eastAsia="cs-CZ"/>
        </w:rPr>
      </w:pPr>
      <w:hyperlink w:anchor="_Toc109801353" w:history="1">
        <w:r w:rsidRPr="00075681">
          <w:rPr>
            <w:rStyle w:val="Hypertextovodkaz"/>
            <w:noProof/>
          </w:rPr>
          <w:t>2.5.4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_Toc109801353 \h </w:instrText>
        </w:r>
        <w:r>
          <w:rPr>
            <w:noProof/>
            <w:webHidden/>
          </w:rPr>
        </w:r>
        <w:r>
          <w:rPr>
            <w:noProof/>
            <w:webHidden/>
          </w:rPr>
          <w:fldChar w:fldCharType="separate"/>
        </w:r>
        <w:r>
          <w:rPr>
            <w:noProof/>
            <w:webHidden/>
          </w:rPr>
          <w:t>71</w:t>
        </w:r>
        <w:r>
          <w:rPr>
            <w:noProof/>
            <w:webHidden/>
          </w:rPr>
          <w:fldChar w:fldCharType="end"/>
        </w:r>
      </w:hyperlink>
    </w:p>
    <w:p w14:paraId="4EDE8AE4" w14:textId="24E5D9E7" w:rsidR="0064349A" w:rsidRDefault="0064349A">
      <w:pPr>
        <w:pStyle w:val="Obsah3"/>
        <w:rPr>
          <w:rFonts w:asciiTheme="minorHAnsi" w:eastAsiaTheme="minorEastAsia" w:hAnsiTheme="minorHAnsi" w:cstheme="minorBidi"/>
          <w:noProof/>
          <w:sz w:val="22"/>
          <w:lang w:eastAsia="cs-CZ"/>
        </w:rPr>
      </w:pPr>
      <w:hyperlink w:anchor="_Toc109801354" w:history="1">
        <w:r w:rsidRPr="00075681">
          <w:rPr>
            <w:rStyle w:val="Hypertextovodkaz"/>
            <w:noProof/>
          </w:rPr>
          <w:t>2.5.5</w:t>
        </w:r>
        <w:r>
          <w:rPr>
            <w:rFonts w:asciiTheme="minorHAnsi" w:eastAsiaTheme="minorEastAsia" w:hAnsiTheme="minorHAnsi" w:cstheme="minorBidi"/>
            <w:noProof/>
            <w:sz w:val="22"/>
            <w:lang w:eastAsia="cs-CZ"/>
          </w:rPr>
          <w:tab/>
        </w:r>
        <w:r w:rsidRPr="00075681">
          <w:rPr>
            <w:rStyle w:val="Hypertextovodkaz"/>
            <w:noProof/>
          </w:rPr>
          <w:t>Další statistiky</w:t>
        </w:r>
        <w:r>
          <w:rPr>
            <w:noProof/>
            <w:webHidden/>
          </w:rPr>
          <w:tab/>
        </w:r>
        <w:r>
          <w:rPr>
            <w:noProof/>
            <w:webHidden/>
          </w:rPr>
          <w:fldChar w:fldCharType="begin"/>
        </w:r>
        <w:r>
          <w:rPr>
            <w:noProof/>
            <w:webHidden/>
          </w:rPr>
          <w:instrText xml:space="preserve"> PAGEREF _Toc109801354 \h </w:instrText>
        </w:r>
        <w:r>
          <w:rPr>
            <w:noProof/>
            <w:webHidden/>
          </w:rPr>
        </w:r>
        <w:r>
          <w:rPr>
            <w:noProof/>
            <w:webHidden/>
          </w:rPr>
          <w:fldChar w:fldCharType="separate"/>
        </w:r>
        <w:r>
          <w:rPr>
            <w:noProof/>
            <w:webHidden/>
          </w:rPr>
          <w:t>73</w:t>
        </w:r>
        <w:r>
          <w:rPr>
            <w:noProof/>
            <w:webHidden/>
          </w:rPr>
          <w:fldChar w:fldCharType="end"/>
        </w:r>
      </w:hyperlink>
    </w:p>
    <w:p w14:paraId="4A831E33" w14:textId="3D6EA3A4" w:rsidR="0064349A" w:rsidRDefault="0064349A">
      <w:pPr>
        <w:pStyle w:val="Obsah2"/>
        <w:rPr>
          <w:rFonts w:asciiTheme="minorHAnsi" w:eastAsiaTheme="minorEastAsia" w:hAnsiTheme="minorHAnsi" w:cstheme="minorBidi"/>
          <w:sz w:val="22"/>
          <w:lang w:eastAsia="cs-CZ"/>
        </w:rPr>
      </w:pPr>
      <w:hyperlink w:anchor="_Toc109801355" w:history="1">
        <w:r w:rsidRPr="00075681">
          <w:rPr>
            <w:rStyle w:val="Hypertextovodkaz"/>
          </w:rPr>
          <w:t>2.6</w:t>
        </w:r>
        <w:r>
          <w:rPr>
            <w:rFonts w:asciiTheme="minorHAnsi" w:eastAsiaTheme="minorEastAsia" w:hAnsiTheme="minorHAnsi" w:cstheme="minorBidi"/>
            <w:sz w:val="22"/>
            <w:lang w:eastAsia="cs-CZ"/>
          </w:rPr>
          <w:tab/>
        </w:r>
        <w:r w:rsidRPr="00075681">
          <w:rPr>
            <w:rStyle w:val="Hypertextovodkaz"/>
          </w:rPr>
          <w:t>DEA</w:t>
        </w:r>
        <w:r>
          <w:rPr>
            <w:webHidden/>
          </w:rPr>
          <w:tab/>
        </w:r>
        <w:r>
          <w:rPr>
            <w:webHidden/>
          </w:rPr>
          <w:fldChar w:fldCharType="begin"/>
        </w:r>
        <w:r>
          <w:rPr>
            <w:webHidden/>
          </w:rPr>
          <w:instrText xml:space="preserve"> PAGEREF _Toc109801355 \h </w:instrText>
        </w:r>
        <w:r>
          <w:rPr>
            <w:webHidden/>
          </w:rPr>
        </w:r>
        <w:r>
          <w:rPr>
            <w:webHidden/>
          </w:rPr>
          <w:fldChar w:fldCharType="separate"/>
        </w:r>
        <w:r>
          <w:rPr>
            <w:webHidden/>
          </w:rPr>
          <w:t>83</w:t>
        </w:r>
        <w:r>
          <w:rPr>
            <w:webHidden/>
          </w:rPr>
          <w:fldChar w:fldCharType="end"/>
        </w:r>
      </w:hyperlink>
    </w:p>
    <w:p w14:paraId="232A6E69" w14:textId="74A46AEC" w:rsidR="0064349A" w:rsidRDefault="0064349A">
      <w:pPr>
        <w:pStyle w:val="Obsah3"/>
        <w:rPr>
          <w:rFonts w:asciiTheme="minorHAnsi" w:eastAsiaTheme="minorEastAsia" w:hAnsiTheme="minorHAnsi" w:cstheme="minorBidi"/>
          <w:noProof/>
          <w:sz w:val="22"/>
          <w:lang w:eastAsia="cs-CZ"/>
        </w:rPr>
      </w:pPr>
      <w:hyperlink w:anchor="_Toc109801356" w:history="1">
        <w:r w:rsidRPr="00075681">
          <w:rPr>
            <w:rStyle w:val="Hypertextovodkaz"/>
            <w:noProof/>
          </w:rPr>
          <w:t>2.6.1</w:t>
        </w:r>
        <w:r>
          <w:rPr>
            <w:rFonts w:asciiTheme="minorHAnsi" w:eastAsiaTheme="minorEastAsia" w:hAnsiTheme="minorHAnsi" w:cstheme="minorBidi"/>
            <w:noProof/>
            <w:sz w:val="22"/>
            <w:lang w:eastAsia="cs-CZ"/>
          </w:rPr>
          <w:tab/>
        </w:r>
        <w:r w:rsidRPr="00075681">
          <w:rPr>
            <w:rStyle w:val="Hypertextovodkaz"/>
            <w:noProof/>
          </w:rPr>
          <w:t>Výsledky a jejich interpretace</w:t>
        </w:r>
        <w:r>
          <w:rPr>
            <w:noProof/>
            <w:webHidden/>
          </w:rPr>
          <w:tab/>
        </w:r>
        <w:r>
          <w:rPr>
            <w:noProof/>
            <w:webHidden/>
          </w:rPr>
          <w:fldChar w:fldCharType="begin"/>
        </w:r>
        <w:r>
          <w:rPr>
            <w:noProof/>
            <w:webHidden/>
          </w:rPr>
          <w:instrText xml:space="preserve"> PAGEREF _Toc109801356 \h </w:instrText>
        </w:r>
        <w:r>
          <w:rPr>
            <w:noProof/>
            <w:webHidden/>
          </w:rPr>
        </w:r>
        <w:r>
          <w:rPr>
            <w:noProof/>
            <w:webHidden/>
          </w:rPr>
          <w:fldChar w:fldCharType="separate"/>
        </w:r>
        <w:r>
          <w:rPr>
            <w:noProof/>
            <w:webHidden/>
          </w:rPr>
          <w:t>83</w:t>
        </w:r>
        <w:r>
          <w:rPr>
            <w:noProof/>
            <w:webHidden/>
          </w:rPr>
          <w:fldChar w:fldCharType="end"/>
        </w:r>
      </w:hyperlink>
    </w:p>
    <w:p w14:paraId="2DDA6A7E" w14:textId="31A9C268" w:rsidR="0064349A" w:rsidRDefault="0064349A">
      <w:pPr>
        <w:pStyle w:val="Obsah3"/>
        <w:rPr>
          <w:rFonts w:asciiTheme="minorHAnsi" w:eastAsiaTheme="minorEastAsia" w:hAnsiTheme="minorHAnsi" w:cstheme="minorBidi"/>
          <w:noProof/>
          <w:sz w:val="22"/>
          <w:lang w:eastAsia="cs-CZ"/>
        </w:rPr>
      </w:pPr>
      <w:hyperlink w:anchor="_Toc109801357" w:history="1">
        <w:r w:rsidRPr="00075681">
          <w:rPr>
            <w:rStyle w:val="Hypertextovodkaz"/>
            <w:noProof/>
          </w:rPr>
          <w:t>2.6.2</w:t>
        </w:r>
        <w:r>
          <w:rPr>
            <w:rFonts w:asciiTheme="minorHAnsi" w:eastAsiaTheme="minorEastAsia" w:hAnsiTheme="minorHAnsi" w:cstheme="minorBidi"/>
            <w:noProof/>
            <w:sz w:val="22"/>
            <w:lang w:eastAsia="cs-CZ"/>
          </w:rPr>
          <w:tab/>
        </w:r>
        <w:r w:rsidRPr="00075681">
          <w:rPr>
            <w:rStyle w:val="Hypertextovodkaz"/>
            <w:noProof/>
          </w:rPr>
          <w:t>Srovnání s minulými roky</w:t>
        </w:r>
        <w:r>
          <w:rPr>
            <w:noProof/>
            <w:webHidden/>
          </w:rPr>
          <w:tab/>
        </w:r>
        <w:r>
          <w:rPr>
            <w:noProof/>
            <w:webHidden/>
          </w:rPr>
          <w:fldChar w:fldCharType="begin"/>
        </w:r>
        <w:r>
          <w:rPr>
            <w:noProof/>
            <w:webHidden/>
          </w:rPr>
          <w:instrText xml:space="preserve"> PAGEREF _Toc109801357 \h </w:instrText>
        </w:r>
        <w:r>
          <w:rPr>
            <w:noProof/>
            <w:webHidden/>
          </w:rPr>
        </w:r>
        <w:r>
          <w:rPr>
            <w:noProof/>
            <w:webHidden/>
          </w:rPr>
          <w:fldChar w:fldCharType="separate"/>
        </w:r>
        <w:r>
          <w:rPr>
            <w:noProof/>
            <w:webHidden/>
          </w:rPr>
          <w:t>84</w:t>
        </w:r>
        <w:r>
          <w:rPr>
            <w:noProof/>
            <w:webHidden/>
          </w:rPr>
          <w:fldChar w:fldCharType="end"/>
        </w:r>
      </w:hyperlink>
    </w:p>
    <w:p w14:paraId="2F342E07" w14:textId="0E4BB192" w:rsidR="0064349A" w:rsidRDefault="0064349A">
      <w:pPr>
        <w:pStyle w:val="Obsah1"/>
        <w:tabs>
          <w:tab w:val="left" w:pos="482"/>
        </w:tabs>
        <w:rPr>
          <w:rFonts w:asciiTheme="minorHAnsi" w:eastAsiaTheme="minorEastAsia" w:hAnsiTheme="minorHAnsi" w:cstheme="minorBidi"/>
          <w:noProof/>
          <w:sz w:val="22"/>
          <w:lang w:eastAsia="cs-CZ"/>
        </w:rPr>
      </w:pPr>
      <w:hyperlink w:anchor="_Toc109801358" w:history="1">
        <w:r w:rsidRPr="00075681">
          <w:rPr>
            <w:rStyle w:val="Hypertextovodkaz"/>
            <w:noProof/>
          </w:rPr>
          <w:t>3</w:t>
        </w:r>
        <w:r>
          <w:rPr>
            <w:rFonts w:asciiTheme="minorHAnsi" w:eastAsiaTheme="minorEastAsia" w:hAnsiTheme="minorHAnsi" w:cstheme="minorBidi"/>
            <w:noProof/>
            <w:sz w:val="22"/>
            <w:lang w:eastAsia="cs-CZ"/>
          </w:rPr>
          <w:tab/>
        </w:r>
        <w:r w:rsidRPr="00075681">
          <w:rPr>
            <w:rStyle w:val="Hypertextovodkaz"/>
            <w:noProof/>
          </w:rPr>
          <w:t>Krajské soudy</w:t>
        </w:r>
        <w:r>
          <w:rPr>
            <w:noProof/>
            <w:webHidden/>
          </w:rPr>
          <w:tab/>
        </w:r>
        <w:r>
          <w:rPr>
            <w:noProof/>
            <w:webHidden/>
          </w:rPr>
          <w:fldChar w:fldCharType="begin"/>
        </w:r>
        <w:r>
          <w:rPr>
            <w:noProof/>
            <w:webHidden/>
          </w:rPr>
          <w:instrText xml:space="preserve"> PAGEREF _Toc109801358 \h </w:instrText>
        </w:r>
        <w:r>
          <w:rPr>
            <w:noProof/>
            <w:webHidden/>
          </w:rPr>
        </w:r>
        <w:r>
          <w:rPr>
            <w:noProof/>
            <w:webHidden/>
          </w:rPr>
          <w:fldChar w:fldCharType="separate"/>
        </w:r>
        <w:r>
          <w:rPr>
            <w:noProof/>
            <w:webHidden/>
          </w:rPr>
          <w:t>88</w:t>
        </w:r>
        <w:r>
          <w:rPr>
            <w:noProof/>
            <w:webHidden/>
          </w:rPr>
          <w:fldChar w:fldCharType="end"/>
        </w:r>
      </w:hyperlink>
    </w:p>
    <w:p w14:paraId="7FD69C9A" w14:textId="52F8D47D" w:rsidR="0064349A" w:rsidRDefault="0064349A">
      <w:pPr>
        <w:pStyle w:val="Obsah2"/>
        <w:rPr>
          <w:rFonts w:asciiTheme="minorHAnsi" w:eastAsiaTheme="minorEastAsia" w:hAnsiTheme="minorHAnsi" w:cstheme="minorBidi"/>
          <w:sz w:val="22"/>
          <w:lang w:eastAsia="cs-CZ"/>
        </w:rPr>
      </w:pPr>
      <w:hyperlink w:anchor="_Toc109801359" w:history="1">
        <w:r w:rsidRPr="00075681">
          <w:rPr>
            <w:rStyle w:val="Hypertextovodkaz"/>
          </w:rPr>
          <w:t>3.1</w:t>
        </w:r>
        <w:r>
          <w:rPr>
            <w:rFonts w:asciiTheme="minorHAnsi" w:eastAsiaTheme="minorEastAsia" w:hAnsiTheme="minorHAnsi" w:cstheme="minorBidi"/>
            <w:sz w:val="22"/>
            <w:lang w:eastAsia="cs-CZ"/>
          </w:rPr>
          <w:tab/>
        </w:r>
        <w:r w:rsidRPr="00075681">
          <w:rPr>
            <w:rStyle w:val="Hypertextovodkaz"/>
          </w:rPr>
          <w:t>Personál</w:t>
        </w:r>
        <w:r>
          <w:rPr>
            <w:webHidden/>
          </w:rPr>
          <w:tab/>
        </w:r>
        <w:r>
          <w:rPr>
            <w:webHidden/>
          </w:rPr>
          <w:fldChar w:fldCharType="begin"/>
        </w:r>
        <w:r>
          <w:rPr>
            <w:webHidden/>
          </w:rPr>
          <w:instrText xml:space="preserve"> PAGEREF _Toc109801359 \h </w:instrText>
        </w:r>
        <w:r>
          <w:rPr>
            <w:webHidden/>
          </w:rPr>
        </w:r>
        <w:r>
          <w:rPr>
            <w:webHidden/>
          </w:rPr>
          <w:fldChar w:fldCharType="separate"/>
        </w:r>
        <w:r>
          <w:rPr>
            <w:webHidden/>
          </w:rPr>
          <w:t>88</w:t>
        </w:r>
        <w:r>
          <w:rPr>
            <w:webHidden/>
          </w:rPr>
          <w:fldChar w:fldCharType="end"/>
        </w:r>
      </w:hyperlink>
    </w:p>
    <w:p w14:paraId="6742CCE2" w14:textId="7B6B1442" w:rsidR="0064349A" w:rsidRDefault="0064349A">
      <w:pPr>
        <w:pStyle w:val="Obsah3"/>
        <w:rPr>
          <w:rFonts w:asciiTheme="minorHAnsi" w:eastAsiaTheme="minorEastAsia" w:hAnsiTheme="minorHAnsi" w:cstheme="minorBidi"/>
          <w:noProof/>
          <w:sz w:val="22"/>
          <w:lang w:eastAsia="cs-CZ"/>
        </w:rPr>
      </w:pPr>
      <w:hyperlink w:anchor="_Toc109801360" w:history="1">
        <w:r w:rsidRPr="00075681">
          <w:rPr>
            <w:rStyle w:val="Hypertextovodkaz"/>
            <w:noProof/>
          </w:rPr>
          <w:t>3.1.1</w:t>
        </w:r>
        <w:r>
          <w:rPr>
            <w:rFonts w:asciiTheme="minorHAnsi" w:eastAsiaTheme="minorEastAsia" w:hAnsiTheme="minorHAnsi" w:cstheme="minorBidi"/>
            <w:noProof/>
            <w:sz w:val="22"/>
            <w:lang w:eastAsia="cs-CZ"/>
          </w:rPr>
          <w:tab/>
        </w:r>
        <w:r w:rsidRPr="00075681">
          <w:rPr>
            <w:rStyle w:val="Hypertextovodkaz"/>
            <w:noProof/>
          </w:rPr>
          <w:t>Soudci</w:t>
        </w:r>
        <w:r>
          <w:rPr>
            <w:noProof/>
            <w:webHidden/>
          </w:rPr>
          <w:tab/>
        </w:r>
        <w:r>
          <w:rPr>
            <w:noProof/>
            <w:webHidden/>
          </w:rPr>
          <w:fldChar w:fldCharType="begin"/>
        </w:r>
        <w:r>
          <w:rPr>
            <w:noProof/>
            <w:webHidden/>
          </w:rPr>
          <w:instrText xml:space="preserve"> PAGEREF _Toc109801360 \h </w:instrText>
        </w:r>
        <w:r>
          <w:rPr>
            <w:noProof/>
            <w:webHidden/>
          </w:rPr>
        </w:r>
        <w:r>
          <w:rPr>
            <w:noProof/>
            <w:webHidden/>
          </w:rPr>
          <w:fldChar w:fldCharType="separate"/>
        </w:r>
        <w:r>
          <w:rPr>
            <w:noProof/>
            <w:webHidden/>
          </w:rPr>
          <w:t>88</w:t>
        </w:r>
        <w:r>
          <w:rPr>
            <w:noProof/>
            <w:webHidden/>
          </w:rPr>
          <w:fldChar w:fldCharType="end"/>
        </w:r>
      </w:hyperlink>
    </w:p>
    <w:p w14:paraId="08BAED92" w14:textId="2E77D95A" w:rsidR="0064349A" w:rsidRDefault="0064349A">
      <w:pPr>
        <w:pStyle w:val="Obsah3"/>
        <w:rPr>
          <w:rFonts w:asciiTheme="minorHAnsi" w:eastAsiaTheme="minorEastAsia" w:hAnsiTheme="minorHAnsi" w:cstheme="minorBidi"/>
          <w:noProof/>
          <w:sz w:val="22"/>
          <w:lang w:eastAsia="cs-CZ"/>
        </w:rPr>
      </w:pPr>
      <w:hyperlink w:anchor="_Toc109801361" w:history="1">
        <w:r w:rsidRPr="00075681">
          <w:rPr>
            <w:rStyle w:val="Hypertextovodkaz"/>
            <w:noProof/>
          </w:rPr>
          <w:t>3.1.2</w:t>
        </w:r>
        <w:r>
          <w:rPr>
            <w:rFonts w:asciiTheme="minorHAnsi" w:eastAsiaTheme="minorEastAsia" w:hAnsiTheme="minorHAnsi" w:cstheme="minorBidi"/>
            <w:noProof/>
            <w:sz w:val="22"/>
            <w:lang w:eastAsia="cs-CZ"/>
          </w:rPr>
          <w:tab/>
        </w:r>
        <w:r w:rsidRPr="00075681">
          <w:rPr>
            <w:rStyle w:val="Hypertextovodkaz"/>
            <w:noProof/>
          </w:rPr>
          <w:t>Zaměstnanci ve výkonu a ve správě</w:t>
        </w:r>
        <w:r>
          <w:rPr>
            <w:noProof/>
            <w:webHidden/>
          </w:rPr>
          <w:tab/>
        </w:r>
        <w:r>
          <w:rPr>
            <w:noProof/>
            <w:webHidden/>
          </w:rPr>
          <w:fldChar w:fldCharType="begin"/>
        </w:r>
        <w:r>
          <w:rPr>
            <w:noProof/>
            <w:webHidden/>
          </w:rPr>
          <w:instrText xml:space="preserve"> PAGEREF _Toc109801361 \h </w:instrText>
        </w:r>
        <w:r>
          <w:rPr>
            <w:noProof/>
            <w:webHidden/>
          </w:rPr>
        </w:r>
        <w:r>
          <w:rPr>
            <w:noProof/>
            <w:webHidden/>
          </w:rPr>
          <w:fldChar w:fldCharType="separate"/>
        </w:r>
        <w:r>
          <w:rPr>
            <w:noProof/>
            <w:webHidden/>
          </w:rPr>
          <w:t>93</w:t>
        </w:r>
        <w:r>
          <w:rPr>
            <w:noProof/>
            <w:webHidden/>
          </w:rPr>
          <w:fldChar w:fldCharType="end"/>
        </w:r>
      </w:hyperlink>
    </w:p>
    <w:p w14:paraId="0638A9FF" w14:textId="6107B340" w:rsidR="0064349A" w:rsidRDefault="0064349A">
      <w:pPr>
        <w:pStyle w:val="Obsah3"/>
        <w:rPr>
          <w:rFonts w:asciiTheme="minorHAnsi" w:eastAsiaTheme="minorEastAsia" w:hAnsiTheme="minorHAnsi" w:cstheme="minorBidi"/>
          <w:noProof/>
          <w:sz w:val="22"/>
          <w:lang w:eastAsia="cs-CZ"/>
        </w:rPr>
      </w:pPr>
      <w:hyperlink w:anchor="_Toc109801362" w:history="1">
        <w:r w:rsidRPr="00075681">
          <w:rPr>
            <w:rStyle w:val="Hypertextovodkaz"/>
            <w:noProof/>
          </w:rPr>
          <w:t>3.1.3</w:t>
        </w:r>
        <w:r>
          <w:rPr>
            <w:rFonts w:asciiTheme="minorHAnsi" w:eastAsiaTheme="minorEastAsia" w:hAnsiTheme="minorHAnsi" w:cstheme="minorBidi"/>
            <w:noProof/>
            <w:sz w:val="22"/>
            <w:lang w:eastAsia="cs-CZ"/>
          </w:rPr>
          <w:tab/>
        </w:r>
        <w:r w:rsidRPr="00075681">
          <w:rPr>
            <w:rStyle w:val="Hypertextovodkaz"/>
            <w:noProof/>
          </w:rPr>
          <w:t>Přísedící soudu</w:t>
        </w:r>
        <w:r>
          <w:rPr>
            <w:noProof/>
            <w:webHidden/>
          </w:rPr>
          <w:tab/>
        </w:r>
        <w:r>
          <w:rPr>
            <w:noProof/>
            <w:webHidden/>
          </w:rPr>
          <w:fldChar w:fldCharType="begin"/>
        </w:r>
        <w:r>
          <w:rPr>
            <w:noProof/>
            <w:webHidden/>
          </w:rPr>
          <w:instrText xml:space="preserve"> PAGEREF _Toc109801362 \h </w:instrText>
        </w:r>
        <w:r>
          <w:rPr>
            <w:noProof/>
            <w:webHidden/>
          </w:rPr>
        </w:r>
        <w:r>
          <w:rPr>
            <w:noProof/>
            <w:webHidden/>
          </w:rPr>
          <w:fldChar w:fldCharType="separate"/>
        </w:r>
        <w:r>
          <w:rPr>
            <w:noProof/>
            <w:webHidden/>
          </w:rPr>
          <w:t>94</w:t>
        </w:r>
        <w:r>
          <w:rPr>
            <w:noProof/>
            <w:webHidden/>
          </w:rPr>
          <w:fldChar w:fldCharType="end"/>
        </w:r>
      </w:hyperlink>
    </w:p>
    <w:p w14:paraId="46DE58B4" w14:textId="78175B0C" w:rsidR="0064349A" w:rsidRDefault="0064349A">
      <w:pPr>
        <w:pStyle w:val="Obsah2"/>
        <w:rPr>
          <w:rFonts w:asciiTheme="minorHAnsi" w:eastAsiaTheme="minorEastAsia" w:hAnsiTheme="minorHAnsi" w:cstheme="minorBidi"/>
          <w:sz w:val="22"/>
          <w:lang w:eastAsia="cs-CZ"/>
        </w:rPr>
      </w:pPr>
      <w:hyperlink w:anchor="_Toc109801363" w:history="1">
        <w:r w:rsidRPr="00075681">
          <w:rPr>
            <w:rStyle w:val="Hypertextovodkaz"/>
          </w:rPr>
          <w:t>3.2</w:t>
        </w:r>
        <w:r>
          <w:rPr>
            <w:rFonts w:asciiTheme="minorHAnsi" w:eastAsiaTheme="minorEastAsia" w:hAnsiTheme="minorHAnsi" w:cstheme="minorBidi"/>
            <w:sz w:val="22"/>
            <w:lang w:eastAsia="cs-CZ"/>
          </w:rPr>
          <w:tab/>
        </w:r>
        <w:r w:rsidRPr="00075681">
          <w:rPr>
            <w:rStyle w:val="Hypertextovodkaz"/>
          </w:rPr>
          <w:t>Prvostupňová civilní a obchodní agenda</w:t>
        </w:r>
        <w:r>
          <w:rPr>
            <w:webHidden/>
          </w:rPr>
          <w:tab/>
        </w:r>
        <w:r>
          <w:rPr>
            <w:webHidden/>
          </w:rPr>
          <w:fldChar w:fldCharType="begin"/>
        </w:r>
        <w:r>
          <w:rPr>
            <w:webHidden/>
          </w:rPr>
          <w:instrText xml:space="preserve"> PAGEREF _Toc109801363 \h </w:instrText>
        </w:r>
        <w:r>
          <w:rPr>
            <w:webHidden/>
          </w:rPr>
        </w:r>
        <w:r>
          <w:rPr>
            <w:webHidden/>
          </w:rPr>
          <w:fldChar w:fldCharType="separate"/>
        </w:r>
        <w:r>
          <w:rPr>
            <w:webHidden/>
          </w:rPr>
          <w:t>96</w:t>
        </w:r>
        <w:r>
          <w:rPr>
            <w:webHidden/>
          </w:rPr>
          <w:fldChar w:fldCharType="end"/>
        </w:r>
      </w:hyperlink>
    </w:p>
    <w:p w14:paraId="5AFDCCA7" w14:textId="487DD0C5" w:rsidR="0064349A" w:rsidRDefault="0064349A">
      <w:pPr>
        <w:pStyle w:val="Obsah3"/>
        <w:rPr>
          <w:rFonts w:asciiTheme="minorHAnsi" w:eastAsiaTheme="minorEastAsia" w:hAnsiTheme="minorHAnsi" w:cstheme="minorBidi"/>
          <w:noProof/>
          <w:sz w:val="22"/>
          <w:lang w:eastAsia="cs-CZ"/>
        </w:rPr>
      </w:pPr>
      <w:hyperlink w:anchor="_Toc109801364" w:history="1">
        <w:r w:rsidRPr="00075681">
          <w:rPr>
            <w:rStyle w:val="Hypertextovodkaz"/>
            <w:noProof/>
          </w:rPr>
          <w:t>3.2.1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_Toc109801364 \h </w:instrText>
        </w:r>
        <w:r>
          <w:rPr>
            <w:noProof/>
            <w:webHidden/>
          </w:rPr>
        </w:r>
        <w:r>
          <w:rPr>
            <w:noProof/>
            <w:webHidden/>
          </w:rPr>
          <w:fldChar w:fldCharType="separate"/>
        </w:r>
        <w:r>
          <w:rPr>
            <w:noProof/>
            <w:webHidden/>
          </w:rPr>
          <w:t>96</w:t>
        </w:r>
        <w:r>
          <w:rPr>
            <w:noProof/>
            <w:webHidden/>
          </w:rPr>
          <w:fldChar w:fldCharType="end"/>
        </w:r>
      </w:hyperlink>
    </w:p>
    <w:p w14:paraId="55A105A6" w14:textId="7452C2FC" w:rsidR="0064349A" w:rsidRDefault="0064349A">
      <w:pPr>
        <w:pStyle w:val="Obsah3"/>
        <w:rPr>
          <w:rFonts w:asciiTheme="minorHAnsi" w:eastAsiaTheme="minorEastAsia" w:hAnsiTheme="minorHAnsi" w:cstheme="minorBidi"/>
          <w:noProof/>
          <w:sz w:val="22"/>
          <w:lang w:eastAsia="cs-CZ"/>
        </w:rPr>
      </w:pPr>
      <w:hyperlink w:anchor="_Toc109801365" w:history="1">
        <w:r w:rsidRPr="00075681">
          <w:rPr>
            <w:rStyle w:val="Hypertextovodkaz"/>
            <w:noProof/>
          </w:rPr>
          <w:t>3.2.2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_Toc109801365 \h </w:instrText>
        </w:r>
        <w:r>
          <w:rPr>
            <w:noProof/>
            <w:webHidden/>
          </w:rPr>
        </w:r>
        <w:r>
          <w:rPr>
            <w:noProof/>
            <w:webHidden/>
          </w:rPr>
          <w:fldChar w:fldCharType="separate"/>
        </w:r>
        <w:r>
          <w:rPr>
            <w:noProof/>
            <w:webHidden/>
          </w:rPr>
          <w:t>99</w:t>
        </w:r>
        <w:r>
          <w:rPr>
            <w:noProof/>
            <w:webHidden/>
          </w:rPr>
          <w:fldChar w:fldCharType="end"/>
        </w:r>
      </w:hyperlink>
    </w:p>
    <w:p w14:paraId="1D628920" w14:textId="24F1039B" w:rsidR="0064349A" w:rsidRDefault="0064349A">
      <w:pPr>
        <w:pStyle w:val="Obsah3"/>
        <w:rPr>
          <w:rFonts w:asciiTheme="minorHAnsi" w:eastAsiaTheme="minorEastAsia" w:hAnsiTheme="minorHAnsi" w:cstheme="minorBidi"/>
          <w:noProof/>
          <w:sz w:val="22"/>
          <w:lang w:eastAsia="cs-CZ"/>
        </w:rPr>
      </w:pPr>
      <w:hyperlink w:anchor="_Toc109801366" w:history="1">
        <w:r w:rsidRPr="00075681">
          <w:rPr>
            <w:rStyle w:val="Hypertextovodkaz"/>
            <w:noProof/>
          </w:rPr>
          <w:t>3.2.3</w:t>
        </w:r>
        <w:r>
          <w:rPr>
            <w:rFonts w:asciiTheme="minorHAnsi" w:eastAsiaTheme="minorEastAsia" w:hAnsiTheme="minorHAnsi" w:cstheme="minorBidi"/>
            <w:noProof/>
            <w:sz w:val="22"/>
            <w:lang w:eastAsia="cs-CZ"/>
          </w:rPr>
          <w:tab/>
        </w:r>
        <w:r w:rsidRPr="00075681">
          <w:rPr>
            <w:rStyle w:val="Hypertextovodkaz"/>
            <w:noProof/>
          </w:rPr>
          <w:t>Vyřizování v přepočtu na soudce</w:t>
        </w:r>
        <w:r>
          <w:rPr>
            <w:noProof/>
            <w:webHidden/>
          </w:rPr>
          <w:tab/>
        </w:r>
        <w:r>
          <w:rPr>
            <w:noProof/>
            <w:webHidden/>
          </w:rPr>
          <w:fldChar w:fldCharType="begin"/>
        </w:r>
        <w:r>
          <w:rPr>
            <w:noProof/>
            <w:webHidden/>
          </w:rPr>
          <w:instrText xml:space="preserve"> PAGEREF _Toc109801366 \h </w:instrText>
        </w:r>
        <w:r>
          <w:rPr>
            <w:noProof/>
            <w:webHidden/>
          </w:rPr>
        </w:r>
        <w:r>
          <w:rPr>
            <w:noProof/>
            <w:webHidden/>
          </w:rPr>
          <w:fldChar w:fldCharType="separate"/>
        </w:r>
        <w:r>
          <w:rPr>
            <w:noProof/>
            <w:webHidden/>
          </w:rPr>
          <w:t>101</w:t>
        </w:r>
        <w:r>
          <w:rPr>
            <w:noProof/>
            <w:webHidden/>
          </w:rPr>
          <w:fldChar w:fldCharType="end"/>
        </w:r>
      </w:hyperlink>
    </w:p>
    <w:p w14:paraId="68333F9A" w14:textId="3EB7A4E6" w:rsidR="0064349A" w:rsidRDefault="0064349A">
      <w:pPr>
        <w:pStyle w:val="Obsah3"/>
        <w:rPr>
          <w:rFonts w:asciiTheme="minorHAnsi" w:eastAsiaTheme="minorEastAsia" w:hAnsiTheme="minorHAnsi" w:cstheme="minorBidi"/>
          <w:noProof/>
          <w:sz w:val="22"/>
          <w:lang w:eastAsia="cs-CZ"/>
        </w:rPr>
      </w:pPr>
      <w:hyperlink w:anchor="_Toc109801367" w:history="1">
        <w:r w:rsidRPr="00075681">
          <w:rPr>
            <w:rStyle w:val="Hypertextovodkaz"/>
            <w:noProof/>
          </w:rPr>
          <w:t>3.2.4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_Toc109801367 \h </w:instrText>
        </w:r>
        <w:r>
          <w:rPr>
            <w:noProof/>
            <w:webHidden/>
          </w:rPr>
        </w:r>
        <w:r>
          <w:rPr>
            <w:noProof/>
            <w:webHidden/>
          </w:rPr>
          <w:fldChar w:fldCharType="separate"/>
        </w:r>
        <w:r>
          <w:rPr>
            <w:noProof/>
            <w:webHidden/>
          </w:rPr>
          <w:t>102</w:t>
        </w:r>
        <w:r>
          <w:rPr>
            <w:noProof/>
            <w:webHidden/>
          </w:rPr>
          <w:fldChar w:fldCharType="end"/>
        </w:r>
      </w:hyperlink>
    </w:p>
    <w:p w14:paraId="111BF2E1" w14:textId="30E9FFD4" w:rsidR="0064349A" w:rsidRDefault="0064349A">
      <w:pPr>
        <w:pStyle w:val="Obsah3"/>
        <w:rPr>
          <w:rFonts w:asciiTheme="minorHAnsi" w:eastAsiaTheme="minorEastAsia" w:hAnsiTheme="minorHAnsi" w:cstheme="minorBidi"/>
          <w:noProof/>
          <w:sz w:val="22"/>
          <w:lang w:eastAsia="cs-CZ"/>
        </w:rPr>
      </w:pPr>
      <w:hyperlink w:anchor="_Toc109801368" w:history="1">
        <w:r w:rsidRPr="00075681">
          <w:rPr>
            <w:rStyle w:val="Hypertextovodkaz"/>
            <w:noProof/>
          </w:rPr>
          <w:t>3.2.5</w:t>
        </w:r>
        <w:r>
          <w:rPr>
            <w:rFonts w:asciiTheme="minorHAnsi" w:eastAsiaTheme="minorEastAsia" w:hAnsiTheme="minorHAnsi" w:cstheme="minorBidi"/>
            <w:noProof/>
            <w:sz w:val="22"/>
            <w:lang w:eastAsia="cs-CZ"/>
          </w:rPr>
          <w:tab/>
        </w:r>
        <w:r w:rsidRPr="00075681">
          <w:rPr>
            <w:rStyle w:val="Hypertextovodkaz"/>
            <w:noProof/>
          </w:rPr>
          <w:t>Další statistiky</w:t>
        </w:r>
        <w:r>
          <w:rPr>
            <w:noProof/>
            <w:webHidden/>
          </w:rPr>
          <w:tab/>
        </w:r>
        <w:r>
          <w:rPr>
            <w:noProof/>
            <w:webHidden/>
          </w:rPr>
          <w:fldChar w:fldCharType="begin"/>
        </w:r>
        <w:r>
          <w:rPr>
            <w:noProof/>
            <w:webHidden/>
          </w:rPr>
          <w:instrText xml:space="preserve"> PAGEREF _Toc109801368 \h </w:instrText>
        </w:r>
        <w:r>
          <w:rPr>
            <w:noProof/>
            <w:webHidden/>
          </w:rPr>
        </w:r>
        <w:r>
          <w:rPr>
            <w:noProof/>
            <w:webHidden/>
          </w:rPr>
          <w:fldChar w:fldCharType="separate"/>
        </w:r>
        <w:r>
          <w:rPr>
            <w:noProof/>
            <w:webHidden/>
          </w:rPr>
          <w:t>103</w:t>
        </w:r>
        <w:r>
          <w:rPr>
            <w:noProof/>
            <w:webHidden/>
          </w:rPr>
          <w:fldChar w:fldCharType="end"/>
        </w:r>
      </w:hyperlink>
    </w:p>
    <w:p w14:paraId="784165D8" w14:textId="4E78F0C0" w:rsidR="0064349A" w:rsidRDefault="0064349A">
      <w:pPr>
        <w:pStyle w:val="Obsah2"/>
        <w:rPr>
          <w:rFonts w:asciiTheme="minorHAnsi" w:eastAsiaTheme="minorEastAsia" w:hAnsiTheme="minorHAnsi" w:cstheme="minorBidi"/>
          <w:sz w:val="22"/>
          <w:lang w:eastAsia="cs-CZ"/>
        </w:rPr>
      </w:pPr>
      <w:hyperlink w:anchor="_Toc109801369" w:history="1">
        <w:r w:rsidRPr="00075681">
          <w:rPr>
            <w:rStyle w:val="Hypertextovodkaz"/>
          </w:rPr>
          <w:t>3.3</w:t>
        </w:r>
        <w:r>
          <w:rPr>
            <w:rFonts w:asciiTheme="minorHAnsi" w:eastAsiaTheme="minorEastAsia" w:hAnsiTheme="minorHAnsi" w:cstheme="minorBidi"/>
            <w:sz w:val="22"/>
            <w:lang w:eastAsia="cs-CZ"/>
          </w:rPr>
          <w:tab/>
        </w:r>
        <w:r w:rsidRPr="00075681">
          <w:rPr>
            <w:rStyle w:val="Hypertextovodkaz"/>
          </w:rPr>
          <w:t>Civilní odvolací agenda</w:t>
        </w:r>
        <w:r>
          <w:rPr>
            <w:webHidden/>
          </w:rPr>
          <w:tab/>
        </w:r>
        <w:r>
          <w:rPr>
            <w:webHidden/>
          </w:rPr>
          <w:fldChar w:fldCharType="begin"/>
        </w:r>
        <w:r>
          <w:rPr>
            <w:webHidden/>
          </w:rPr>
          <w:instrText xml:space="preserve"> PAGEREF _Toc109801369 \h </w:instrText>
        </w:r>
        <w:r>
          <w:rPr>
            <w:webHidden/>
          </w:rPr>
        </w:r>
        <w:r>
          <w:rPr>
            <w:webHidden/>
          </w:rPr>
          <w:fldChar w:fldCharType="separate"/>
        </w:r>
        <w:r>
          <w:rPr>
            <w:webHidden/>
          </w:rPr>
          <w:t>106</w:t>
        </w:r>
        <w:r>
          <w:rPr>
            <w:webHidden/>
          </w:rPr>
          <w:fldChar w:fldCharType="end"/>
        </w:r>
      </w:hyperlink>
    </w:p>
    <w:p w14:paraId="7FED13F0" w14:textId="5E64E2F8" w:rsidR="0064349A" w:rsidRDefault="0064349A">
      <w:pPr>
        <w:pStyle w:val="Obsah3"/>
        <w:rPr>
          <w:rFonts w:asciiTheme="minorHAnsi" w:eastAsiaTheme="minorEastAsia" w:hAnsiTheme="minorHAnsi" w:cstheme="minorBidi"/>
          <w:noProof/>
          <w:sz w:val="22"/>
          <w:lang w:eastAsia="cs-CZ"/>
        </w:rPr>
      </w:pPr>
      <w:hyperlink w:anchor="_Toc109801370" w:history="1">
        <w:r w:rsidRPr="00075681">
          <w:rPr>
            <w:rStyle w:val="Hypertextovodkaz"/>
            <w:noProof/>
          </w:rPr>
          <w:t>3.3.1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_Toc109801370 \h </w:instrText>
        </w:r>
        <w:r>
          <w:rPr>
            <w:noProof/>
            <w:webHidden/>
          </w:rPr>
        </w:r>
        <w:r>
          <w:rPr>
            <w:noProof/>
            <w:webHidden/>
          </w:rPr>
          <w:fldChar w:fldCharType="separate"/>
        </w:r>
        <w:r>
          <w:rPr>
            <w:noProof/>
            <w:webHidden/>
          </w:rPr>
          <w:t>106</w:t>
        </w:r>
        <w:r>
          <w:rPr>
            <w:noProof/>
            <w:webHidden/>
          </w:rPr>
          <w:fldChar w:fldCharType="end"/>
        </w:r>
      </w:hyperlink>
    </w:p>
    <w:p w14:paraId="4522E3C9" w14:textId="61EB1470" w:rsidR="0064349A" w:rsidRDefault="0064349A">
      <w:pPr>
        <w:pStyle w:val="Obsah3"/>
        <w:rPr>
          <w:rFonts w:asciiTheme="minorHAnsi" w:eastAsiaTheme="minorEastAsia" w:hAnsiTheme="minorHAnsi" w:cstheme="minorBidi"/>
          <w:noProof/>
          <w:sz w:val="22"/>
          <w:lang w:eastAsia="cs-CZ"/>
        </w:rPr>
      </w:pPr>
      <w:hyperlink w:anchor="_Toc109801371" w:history="1">
        <w:r w:rsidRPr="00075681">
          <w:rPr>
            <w:rStyle w:val="Hypertextovodkaz"/>
            <w:noProof/>
          </w:rPr>
          <w:t>3.3.2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_Toc109801371 \h </w:instrText>
        </w:r>
        <w:r>
          <w:rPr>
            <w:noProof/>
            <w:webHidden/>
          </w:rPr>
        </w:r>
        <w:r>
          <w:rPr>
            <w:noProof/>
            <w:webHidden/>
          </w:rPr>
          <w:fldChar w:fldCharType="separate"/>
        </w:r>
        <w:r>
          <w:rPr>
            <w:noProof/>
            <w:webHidden/>
          </w:rPr>
          <w:t>108</w:t>
        </w:r>
        <w:r>
          <w:rPr>
            <w:noProof/>
            <w:webHidden/>
          </w:rPr>
          <w:fldChar w:fldCharType="end"/>
        </w:r>
      </w:hyperlink>
    </w:p>
    <w:p w14:paraId="66896AC3" w14:textId="5A1FE0F1" w:rsidR="0064349A" w:rsidRDefault="0064349A">
      <w:pPr>
        <w:pStyle w:val="Obsah3"/>
        <w:rPr>
          <w:rFonts w:asciiTheme="minorHAnsi" w:eastAsiaTheme="minorEastAsia" w:hAnsiTheme="minorHAnsi" w:cstheme="minorBidi"/>
          <w:noProof/>
          <w:sz w:val="22"/>
          <w:lang w:eastAsia="cs-CZ"/>
        </w:rPr>
      </w:pPr>
      <w:hyperlink w:anchor="_Toc109801372" w:history="1">
        <w:r w:rsidRPr="00075681">
          <w:rPr>
            <w:rStyle w:val="Hypertextovodkaz"/>
            <w:noProof/>
          </w:rPr>
          <w:t>3.3.3</w:t>
        </w:r>
        <w:r>
          <w:rPr>
            <w:rFonts w:asciiTheme="minorHAnsi" w:eastAsiaTheme="minorEastAsia" w:hAnsiTheme="minorHAnsi" w:cstheme="minorBidi"/>
            <w:noProof/>
            <w:sz w:val="22"/>
            <w:lang w:eastAsia="cs-CZ"/>
          </w:rPr>
          <w:tab/>
        </w:r>
        <w:r w:rsidRPr="00075681">
          <w:rPr>
            <w:rStyle w:val="Hypertextovodkaz"/>
            <w:noProof/>
          </w:rPr>
          <w:t>Vyřizování věcí v přepočtu na soudce</w:t>
        </w:r>
        <w:r>
          <w:rPr>
            <w:noProof/>
            <w:webHidden/>
          </w:rPr>
          <w:tab/>
        </w:r>
        <w:r>
          <w:rPr>
            <w:noProof/>
            <w:webHidden/>
          </w:rPr>
          <w:fldChar w:fldCharType="begin"/>
        </w:r>
        <w:r>
          <w:rPr>
            <w:noProof/>
            <w:webHidden/>
          </w:rPr>
          <w:instrText xml:space="preserve"> PAGEREF _Toc109801372 \h </w:instrText>
        </w:r>
        <w:r>
          <w:rPr>
            <w:noProof/>
            <w:webHidden/>
          </w:rPr>
        </w:r>
        <w:r>
          <w:rPr>
            <w:noProof/>
            <w:webHidden/>
          </w:rPr>
          <w:fldChar w:fldCharType="separate"/>
        </w:r>
        <w:r>
          <w:rPr>
            <w:noProof/>
            <w:webHidden/>
          </w:rPr>
          <w:t>109</w:t>
        </w:r>
        <w:r>
          <w:rPr>
            <w:noProof/>
            <w:webHidden/>
          </w:rPr>
          <w:fldChar w:fldCharType="end"/>
        </w:r>
      </w:hyperlink>
    </w:p>
    <w:p w14:paraId="40D1A563" w14:textId="3A5E1035" w:rsidR="0064349A" w:rsidRDefault="0064349A">
      <w:pPr>
        <w:pStyle w:val="Obsah3"/>
        <w:rPr>
          <w:rFonts w:asciiTheme="minorHAnsi" w:eastAsiaTheme="minorEastAsia" w:hAnsiTheme="minorHAnsi" w:cstheme="minorBidi"/>
          <w:noProof/>
          <w:sz w:val="22"/>
          <w:lang w:eastAsia="cs-CZ"/>
        </w:rPr>
      </w:pPr>
      <w:hyperlink w:anchor="_Toc109801373" w:history="1">
        <w:r w:rsidRPr="00075681">
          <w:rPr>
            <w:rStyle w:val="Hypertextovodkaz"/>
            <w:noProof/>
          </w:rPr>
          <w:t>3.3.4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_Toc109801373 \h </w:instrText>
        </w:r>
        <w:r>
          <w:rPr>
            <w:noProof/>
            <w:webHidden/>
          </w:rPr>
        </w:r>
        <w:r>
          <w:rPr>
            <w:noProof/>
            <w:webHidden/>
          </w:rPr>
          <w:fldChar w:fldCharType="separate"/>
        </w:r>
        <w:r>
          <w:rPr>
            <w:noProof/>
            <w:webHidden/>
          </w:rPr>
          <w:t>110</w:t>
        </w:r>
        <w:r>
          <w:rPr>
            <w:noProof/>
            <w:webHidden/>
          </w:rPr>
          <w:fldChar w:fldCharType="end"/>
        </w:r>
      </w:hyperlink>
    </w:p>
    <w:p w14:paraId="45C2AC0B" w14:textId="36D4B919" w:rsidR="0064349A" w:rsidRDefault="0064349A">
      <w:pPr>
        <w:pStyle w:val="Obsah2"/>
        <w:rPr>
          <w:rFonts w:asciiTheme="minorHAnsi" w:eastAsiaTheme="minorEastAsia" w:hAnsiTheme="minorHAnsi" w:cstheme="minorBidi"/>
          <w:sz w:val="22"/>
          <w:lang w:eastAsia="cs-CZ"/>
        </w:rPr>
      </w:pPr>
      <w:hyperlink w:anchor="_Toc109801374" w:history="1">
        <w:r w:rsidRPr="00075681">
          <w:rPr>
            <w:rStyle w:val="Hypertextovodkaz"/>
          </w:rPr>
          <w:t>3.4</w:t>
        </w:r>
        <w:r>
          <w:rPr>
            <w:rFonts w:asciiTheme="minorHAnsi" w:eastAsiaTheme="minorEastAsia" w:hAnsiTheme="minorHAnsi" w:cstheme="minorBidi"/>
            <w:sz w:val="22"/>
            <w:lang w:eastAsia="cs-CZ"/>
          </w:rPr>
          <w:tab/>
        </w:r>
        <w:r w:rsidRPr="00075681">
          <w:rPr>
            <w:rStyle w:val="Hypertextovodkaz"/>
          </w:rPr>
          <w:t>Trestní prvostupňová agenda</w:t>
        </w:r>
        <w:r>
          <w:rPr>
            <w:webHidden/>
          </w:rPr>
          <w:tab/>
        </w:r>
        <w:r>
          <w:rPr>
            <w:webHidden/>
          </w:rPr>
          <w:fldChar w:fldCharType="begin"/>
        </w:r>
        <w:r>
          <w:rPr>
            <w:webHidden/>
          </w:rPr>
          <w:instrText xml:space="preserve"> PAGEREF _Toc109801374 \h </w:instrText>
        </w:r>
        <w:r>
          <w:rPr>
            <w:webHidden/>
          </w:rPr>
        </w:r>
        <w:r>
          <w:rPr>
            <w:webHidden/>
          </w:rPr>
          <w:fldChar w:fldCharType="separate"/>
        </w:r>
        <w:r>
          <w:rPr>
            <w:webHidden/>
          </w:rPr>
          <w:t>112</w:t>
        </w:r>
        <w:r>
          <w:rPr>
            <w:webHidden/>
          </w:rPr>
          <w:fldChar w:fldCharType="end"/>
        </w:r>
      </w:hyperlink>
    </w:p>
    <w:p w14:paraId="584EFD1C" w14:textId="278BEE0A" w:rsidR="0064349A" w:rsidRDefault="0064349A">
      <w:pPr>
        <w:pStyle w:val="Obsah3"/>
        <w:rPr>
          <w:rFonts w:asciiTheme="minorHAnsi" w:eastAsiaTheme="minorEastAsia" w:hAnsiTheme="minorHAnsi" w:cstheme="minorBidi"/>
          <w:noProof/>
          <w:sz w:val="22"/>
          <w:lang w:eastAsia="cs-CZ"/>
        </w:rPr>
      </w:pPr>
      <w:hyperlink w:anchor="_Toc109801375" w:history="1">
        <w:r w:rsidRPr="00075681">
          <w:rPr>
            <w:rStyle w:val="Hypertextovodkaz"/>
            <w:noProof/>
          </w:rPr>
          <w:t>3.4.1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_Toc109801375 \h </w:instrText>
        </w:r>
        <w:r>
          <w:rPr>
            <w:noProof/>
            <w:webHidden/>
          </w:rPr>
        </w:r>
        <w:r>
          <w:rPr>
            <w:noProof/>
            <w:webHidden/>
          </w:rPr>
          <w:fldChar w:fldCharType="separate"/>
        </w:r>
        <w:r>
          <w:rPr>
            <w:noProof/>
            <w:webHidden/>
          </w:rPr>
          <w:t>112</w:t>
        </w:r>
        <w:r>
          <w:rPr>
            <w:noProof/>
            <w:webHidden/>
          </w:rPr>
          <w:fldChar w:fldCharType="end"/>
        </w:r>
      </w:hyperlink>
    </w:p>
    <w:p w14:paraId="6950F037" w14:textId="0B2EAB47" w:rsidR="0064349A" w:rsidRDefault="0064349A">
      <w:pPr>
        <w:pStyle w:val="Obsah3"/>
        <w:rPr>
          <w:rFonts w:asciiTheme="minorHAnsi" w:eastAsiaTheme="minorEastAsia" w:hAnsiTheme="minorHAnsi" w:cstheme="minorBidi"/>
          <w:noProof/>
          <w:sz w:val="22"/>
          <w:lang w:eastAsia="cs-CZ"/>
        </w:rPr>
      </w:pPr>
      <w:hyperlink w:anchor="_Toc109801376" w:history="1">
        <w:r w:rsidRPr="00075681">
          <w:rPr>
            <w:rStyle w:val="Hypertextovodkaz"/>
            <w:noProof/>
          </w:rPr>
          <w:t>3.4.2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_Toc109801376 \h </w:instrText>
        </w:r>
        <w:r>
          <w:rPr>
            <w:noProof/>
            <w:webHidden/>
          </w:rPr>
        </w:r>
        <w:r>
          <w:rPr>
            <w:noProof/>
            <w:webHidden/>
          </w:rPr>
          <w:fldChar w:fldCharType="separate"/>
        </w:r>
        <w:r>
          <w:rPr>
            <w:noProof/>
            <w:webHidden/>
          </w:rPr>
          <w:t>114</w:t>
        </w:r>
        <w:r>
          <w:rPr>
            <w:noProof/>
            <w:webHidden/>
          </w:rPr>
          <w:fldChar w:fldCharType="end"/>
        </w:r>
      </w:hyperlink>
    </w:p>
    <w:p w14:paraId="611C4E09" w14:textId="178E234A" w:rsidR="0064349A" w:rsidRDefault="0064349A">
      <w:pPr>
        <w:pStyle w:val="Obsah3"/>
        <w:rPr>
          <w:rFonts w:asciiTheme="minorHAnsi" w:eastAsiaTheme="minorEastAsia" w:hAnsiTheme="minorHAnsi" w:cstheme="minorBidi"/>
          <w:noProof/>
          <w:sz w:val="22"/>
          <w:lang w:eastAsia="cs-CZ"/>
        </w:rPr>
      </w:pPr>
      <w:hyperlink w:anchor="_Toc109801377" w:history="1">
        <w:r w:rsidRPr="00075681">
          <w:rPr>
            <w:rStyle w:val="Hypertextovodkaz"/>
            <w:noProof/>
          </w:rPr>
          <w:t>3.4.3</w:t>
        </w:r>
        <w:r>
          <w:rPr>
            <w:rFonts w:asciiTheme="minorHAnsi" w:eastAsiaTheme="minorEastAsia" w:hAnsiTheme="minorHAnsi" w:cstheme="minorBidi"/>
            <w:noProof/>
            <w:sz w:val="22"/>
            <w:lang w:eastAsia="cs-CZ"/>
          </w:rPr>
          <w:tab/>
        </w:r>
        <w:r w:rsidRPr="00075681">
          <w:rPr>
            <w:rStyle w:val="Hypertextovodkaz"/>
            <w:noProof/>
          </w:rPr>
          <w:t>Vyřizování věcí v přepočtu na soudce</w:t>
        </w:r>
        <w:r>
          <w:rPr>
            <w:noProof/>
            <w:webHidden/>
          </w:rPr>
          <w:tab/>
        </w:r>
        <w:r>
          <w:rPr>
            <w:noProof/>
            <w:webHidden/>
          </w:rPr>
          <w:fldChar w:fldCharType="begin"/>
        </w:r>
        <w:r>
          <w:rPr>
            <w:noProof/>
            <w:webHidden/>
          </w:rPr>
          <w:instrText xml:space="preserve"> PAGEREF _Toc109801377 \h </w:instrText>
        </w:r>
        <w:r>
          <w:rPr>
            <w:noProof/>
            <w:webHidden/>
          </w:rPr>
        </w:r>
        <w:r>
          <w:rPr>
            <w:noProof/>
            <w:webHidden/>
          </w:rPr>
          <w:fldChar w:fldCharType="separate"/>
        </w:r>
        <w:r>
          <w:rPr>
            <w:noProof/>
            <w:webHidden/>
          </w:rPr>
          <w:t>116</w:t>
        </w:r>
        <w:r>
          <w:rPr>
            <w:noProof/>
            <w:webHidden/>
          </w:rPr>
          <w:fldChar w:fldCharType="end"/>
        </w:r>
      </w:hyperlink>
    </w:p>
    <w:p w14:paraId="15EAAA3B" w14:textId="318E6C72" w:rsidR="0064349A" w:rsidRDefault="0064349A">
      <w:pPr>
        <w:pStyle w:val="Obsah3"/>
        <w:rPr>
          <w:rFonts w:asciiTheme="minorHAnsi" w:eastAsiaTheme="minorEastAsia" w:hAnsiTheme="minorHAnsi" w:cstheme="minorBidi"/>
          <w:noProof/>
          <w:sz w:val="22"/>
          <w:lang w:eastAsia="cs-CZ"/>
        </w:rPr>
      </w:pPr>
      <w:hyperlink w:anchor="_Toc109801378" w:history="1">
        <w:r w:rsidRPr="00075681">
          <w:rPr>
            <w:rStyle w:val="Hypertextovodkaz"/>
            <w:noProof/>
          </w:rPr>
          <w:t>3.4.4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_Toc109801378 \h </w:instrText>
        </w:r>
        <w:r>
          <w:rPr>
            <w:noProof/>
            <w:webHidden/>
          </w:rPr>
        </w:r>
        <w:r>
          <w:rPr>
            <w:noProof/>
            <w:webHidden/>
          </w:rPr>
          <w:fldChar w:fldCharType="separate"/>
        </w:r>
        <w:r>
          <w:rPr>
            <w:noProof/>
            <w:webHidden/>
          </w:rPr>
          <w:t>116</w:t>
        </w:r>
        <w:r>
          <w:rPr>
            <w:noProof/>
            <w:webHidden/>
          </w:rPr>
          <w:fldChar w:fldCharType="end"/>
        </w:r>
      </w:hyperlink>
    </w:p>
    <w:p w14:paraId="66914FAE" w14:textId="70613A2F" w:rsidR="0064349A" w:rsidRDefault="0064349A">
      <w:pPr>
        <w:pStyle w:val="Obsah3"/>
        <w:rPr>
          <w:rFonts w:asciiTheme="minorHAnsi" w:eastAsiaTheme="minorEastAsia" w:hAnsiTheme="minorHAnsi" w:cstheme="minorBidi"/>
          <w:noProof/>
          <w:sz w:val="22"/>
          <w:lang w:eastAsia="cs-CZ"/>
        </w:rPr>
      </w:pPr>
      <w:hyperlink w:anchor="_Toc109801379" w:history="1">
        <w:r w:rsidRPr="00075681">
          <w:rPr>
            <w:rStyle w:val="Hypertextovodkaz"/>
            <w:noProof/>
          </w:rPr>
          <w:t>3.4.5</w:t>
        </w:r>
        <w:r>
          <w:rPr>
            <w:rFonts w:asciiTheme="minorHAnsi" w:eastAsiaTheme="minorEastAsia" w:hAnsiTheme="minorHAnsi" w:cstheme="minorBidi"/>
            <w:noProof/>
            <w:sz w:val="22"/>
            <w:lang w:eastAsia="cs-CZ"/>
          </w:rPr>
          <w:tab/>
        </w:r>
        <w:r w:rsidRPr="00075681">
          <w:rPr>
            <w:rStyle w:val="Hypertextovodkaz"/>
            <w:noProof/>
          </w:rPr>
          <w:t>Další statistiky</w:t>
        </w:r>
        <w:r>
          <w:rPr>
            <w:noProof/>
            <w:webHidden/>
          </w:rPr>
          <w:tab/>
        </w:r>
        <w:r>
          <w:rPr>
            <w:noProof/>
            <w:webHidden/>
          </w:rPr>
          <w:fldChar w:fldCharType="begin"/>
        </w:r>
        <w:r>
          <w:rPr>
            <w:noProof/>
            <w:webHidden/>
          </w:rPr>
          <w:instrText xml:space="preserve"> PAGEREF _Toc109801379 \h </w:instrText>
        </w:r>
        <w:r>
          <w:rPr>
            <w:noProof/>
            <w:webHidden/>
          </w:rPr>
        </w:r>
        <w:r>
          <w:rPr>
            <w:noProof/>
            <w:webHidden/>
          </w:rPr>
          <w:fldChar w:fldCharType="separate"/>
        </w:r>
        <w:r>
          <w:rPr>
            <w:noProof/>
            <w:webHidden/>
          </w:rPr>
          <w:t>118</w:t>
        </w:r>
        <w:r>
          <w:rPr>
            <w:noProof/>
            <w:webHidden/>
          </w:rPr>
          <w:fldChar w:fldCharType="end"/>
        </w:r>
      </w:hyperlink>
    </w:p>
    <w:p w14:paraId="6FAAB387" w14:textId="5274E751" w:rsidR="0064349A" w:rsidRDefault="0064349A">
      <w:pPr>
        <w:pStyle w:val="Obsah2"/>
        <w:rPr>
          <w:rFonts w:asciiTheme="minorHAnsi" w:eastAsiaTheme="minorEastAsia" w:hAnsiTheme="minorHAnsi" w:cstheme="minorBidi"/>
          <w:sz w:val="22"/>
          <w:lang w:eastAsia="cs-CZ"/>
        </w:rPr>
      </w:pPr>
      <w:hyperlink w:anchor="_Toc109801380" w:history="1">
        <w:r w:rsidRPr="00075681">
          <w:rPr>
            <w:rStyle w:val="Hypertextovodkaz"/>
          </w:rPr>
          <w:t>3.5</w:t>
        </w:r>
        <w:r>
          <w:rPr>
            <w:rFonts w:asciiTheme="minorHAnsi" w:eastAsiaTheme="minorEastAsia" w:hAnsiTheme="minorHAnsi" w:cstheme="minorBidi"/>
            <w:sz w:val="22"/>
            <w:lang w:eastAsia="cs-CZ"/>
          </w:rPr>
          <w:tab/>
        </w:r>
        <w:r w:rsidRPr="00075681">
          <w:rPr>
            <w:rStyle w:val="Hypertextovodkaz"/>
          </w:rPr>
          <w:t>Trestní odvolací agenda</w:t>
        </w:r>
        <w:r>
          <w:rPr>
            <w:webHidden/>
          </w:rPr>
          <w:tab/>
        </w:r>
        <w:r>
          <w:rPr>
            <w:webHidden/>
          </w:rPr>
          <w:fldChar w:fldCharType="begin"/>
        </w:r>
        <w:r>
          <w:rPr>
            <w:webHidden/>
          </w:rPr>
          <w:instrText xml:space="preserve"> PAGEREF _Toc109801380 \h </w:instrText>
        </w:r>
        <w:r>
          <w:rPr>
            <w:webHidden/>
          </w:rPr>
        </w:r>
        <w:r>
          <w:rPr>
            <w:webHidden/>
          </w:rPr>
          <w:fldChar w:fldCharType="separate"/>
        </w:r>
        <w:r>
          <w:rPr>
            <w:webHidden/>
          </w:rPr>
          <w:t>122</w:t>
        </w:r>
        <w:r>
          <w:rPr>
            <w:webHidden/>
          </w:rPr>
          <w:fldChar w:fldCharType="end"/>
        </w:r>
      </w:hyperlink>
    </w:p>
    <w:p w14:paraId="02B642C6" w14:textId="0E9A55F0" w:rsidR="0064349A" w:rsidRDefault="0064349A">
      <w:pPr>
        <w:pStyle w:val="Obsah3"/>
        <w:rPr>
          <w:rFonts w:asciiTheme="minorHAnsi" w:eastAsiaTheme="minorEastAsia" w:hAnsiTheme="minorHAnsi" w:cstheme="minorBidi"/>
          <w:noProof/>
          <w:sz w:val="22"/>
          <w:lang w:eastAsia="cs-CZ"/>
        </w:rPr>
      </w:pPr>
      <w:hyperlink w:anchor="_Toc109801381" w:history="1">
        <w:r w:rsidRPr="00075681">
          <w:rPr>
            <w:rStyle w:val="Hypertextovodkaz"/>
            <w:noProof/>
          </w:rPr>
          <w:t>3.5.1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_Toc109801381 \h </w:instrText>
        </w:r>
        <w:r>
          <w:rPr>
            <w:noProof/>
            <w:webHidden/>
          </w:rPr>
        </w:r>
        <w:r>
          <w:rPr>
            <w:noProof/>
            <w:webHidden/>
          </w:rPr>
          <w:fldChar w:fldCharType="separate"/>
        </w:r>
        <w:r>
          <w:rPr>
            <w:noProof/>
            <w:webHidden/>
          </w:rPr>
          <w:t>122</w:t>
        </w:r>
        <w:r>
          <w:rPr>
            <w:noProof/>
            <w:webHidden/>
          </w:rPr>
          <w:fldChar w:fldCharType="end"/>
        </w:r>
      </w:hyperlink>
    </w:p>
    <w:p w14:paraId="252C5BCE" w14:textId="4C3390F9" w:rsidR="0064349A" w:rsidRDefault="0064349A">
      <w:pPr>
        <w:pStyle w:val="Obsah3"/>
        <w:rPr>
          <w:rFonts w:asciiTheme="minorHAnsi" w:eastAsiaTheme="minorEastAsia" w:hAnsiTheme="minorHAnsi" w:cstheme="minorBidi"/>
          <w:noProof/>
          <w:sz w:val="22"/>
          <w:lang w:eastAsia="cs-CZ"/>
        </w:rPr>
      </w:pPr>
      <w:hyperlink w:anchor="_Toc109801382" w:history="1">
        <w:r w:rsidRPr="00075681">
          <w:rPr>
            <w:rStyle w:val="Hypertextovodkaz"/>
            <w:noProof/>
          </w:rPr>
          <w:t>3.5.2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_Toc109801382 \h </w:instrText>
        </w:r>
        <w:r>
          <w:rPr>
            <w:noProof/>
            <w:webHidden/>
          </w:rPr>
        </w:r>
        <w:r>
          <w:rPr>
            <w:noProof/>
            <w:webHidden/>
          </w:rPr>
          <w:fldChar w:fldCharType="separate"/>
        </w:r>
        <w:r>
          <w:rPr>
            <w:noProof/>
            <w:webHidden/>
          </w:rPr>
          <w:t>124</w:t>
        </w:r>
        <w:r>
          <w:rPr>
            <w:noProof/>
            <w:webHidden/>
          </w:rPr>
          <w:fldChar w:fldCharType="end"/>
        </w:r>
      </w:hyperlink>
    </w:p>
    <w:p w14:paraId="31CAB851" w14:textId="4A434E41" w:rsidR="0064349A" w:rsidRDefault="0064349A">
      <w:pPr>
        <w:pStyle w:val="Obsah3"/>
        <w:rPr>
          <w:rFonts w:asciiTheme="minorHAnsi" w:eastAsiaTheme="minorEastAsia" w:hAnsiTheme="minorHAnsi" w:cstheme="minorBidi"/>
          <w:noProof/>
          <w:sz w:val="22"/>
          <w:lang w:eastAsia="cs-CZ"/>
        </w:rPr>
      </w:pPr>
      <w:hyperlink w:anchor="_Toc109801383" w:history="1">
        <w:r w:rsidRPr="00075681">
          <w:rPr>
            <w:rStyle w:val="Hypertextovodkaz"/>
            <w:noProof/>
          </w:rPr>
          <w:t>3.5.3</w:t>
        </w:r>
        <w:r>
          <w:rPr>
            <w:rFonts w:asciiTheme="minorHAnsi" w:eastAsiaTheme="minorEastAsia" w:hAnsiTheme="minorHAnsi" w:cstheme="minorBidi"/>
            <w:noProof/>
            <w:sz w:val="22"/>
            <w:lang w:eastAsia="cs-CZ"/>
          </w:rPr>
          <w:tab/>
        </w:r>
        <w:r w:rsidRPr="00075681">
          <w:rPr>
            <w:rStyle w:val="Hypertextovodkaz"/>
            <w:noProof/>
          </w:rPr>
          <w:t>Vyřizování v přepočtu na soudce</w:t>
        </w:r>
        <w:r>
          <w:rPr>
            <w:noProof/>
            <w:webHidden/>
          </w:rPr>
          <w:tab/>
        </w:r>
        <w:r>
          <w:rPr>
            <w:noProof/>
            <w:webHidden/>
          </w:rPr>
          <w:fldChar w:fldCharType="begin"/>
        </w:r>
        <w:r>
          <w:rPr>
            <w:noProof/>
            <w:webHidden/>
          </w:rPr>
          <w:instrText xml:space="preserve"> PAGEREF _Toc109801383 \h </w:instrText>
        </w:r>
        <w:r>
          <w:rPr>
            <w:noProof/>
            <w:webHidden/>
          </w:rPr>
        </w:r>
        <w:r>
          <w:rPr>
            <w:noProof/>
            <w:webHidden/>
          </w:rPr>
          <w:fldChar w:fldCharType="separate"/>
        </w:r>
        <w:r>
          <w:rPr>
            <w:noProof/>
            <w:webHidden/>
          </w:rPr>
          <w:t>125</w:t>
        </w:r>
        <w:r>
          <w:rPr>
            <w:noProof/>
            <w:webHidden/>
          </w:rPr>
          <w:fldChar w:fldCharType="end"/>
        </w:r>
      </w:hyperlink>
    </w:p>
    <w:p w14:paraId="490DDB09" w14:textId="5B655409" w:rsidR="0064349A" w:rsidRDefault="0064349A">
      <w:pPr>
        <w:pStyle w:val="Obsah3"/>
        <w:rPr>
          <w:rFonts w:asciiTheme="minorHAnsi" w:eastAsiaTheme="minorEastAsia" w:hAnsiTheme="minorHAnsi" w:cstheme="minorBidi"/>
          <w:noProof/>
          <w:sz w:val="22"/>
          <w:lang w:eastAsia="cs-CZ"/>
        </w:rPr>
      </w:pPr>
      <w:hyperlink w:anchor="_Toc109801384" w:history="1">
        <w:r w:rsidRPr="00075681">
          <w:rPr>
            <w:rStyle w:val="Hypertextovodkaz"/>
            <w:noProof/>
          </w:rPr>
          <w:t>3.5.4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_Toc109801384 \h </w:instrText>
        </w:r>
        <w:r>
          <w:rPr>
            <w:noProof/>
            <w:webHidden/>
          </w:rPr>
        </w:r>
        <w:r>
          <w:rPr>
            <w:noProof/>
            <w:webHidden/>
          </w:rPr>
          <w:fldChar w:fldCharType="separate"/>
        </w:r>
        <w:r>
          <w:rPr>
            <w:noProof/>
            <w:webHidden/>
          </w:rPr>
          <w:t>126</w:t>
        </w:r>
        <w:r>
          <w:rPr>
            <w:noProof/>
            <w:webHidden/>
          </w:rPr>
          <w:fldChar w:fldCharType="end"/>
        </w:r>
      </w:hyperlink>
    </w:p>
    <w:p w14:paraId="3398B96B" w14:textId="7FB941E7" w:rsidR="0064349A" w:rsidRDefault="0064349A">
      <w:pPr>
        <w:pStyle w:val="Obsah2"/>
        <w:rPr>
          <w:rFonts w:asciiTheme="minorHAnsi" w:eastAsiaTheme="minorEastAsia" w:hAnsiTheme="minorHAnsi" w:cstheme="minorBidi"/>
          <w:sz w:val="22"/>
          <w:lang w:eastAsia="cs-CZ"/>
        </w:rPr>
      </w:pPr>
      <w:hyperlink w:anchor="_Toc109801385" w:history="1">
        <w:r w:rsidRPr="00075681">
          <w:rPr>
            <w:rStyle w:val="Hypertextovodkaz"/>
          </w:rPr>
          <w:t>3.6</w:t>
        </w:r>
        <w:r>
          <w:rPr>
            <w:rFonts w:asciiTheme="minorHAnsi" w:eastAsiaTheme="minorEastAsia" w:hAnsiTheme="minorHAnsi" w:cstheme="minorBidi"/>
            <w:sz w:val="22"/>
            <w:lang w:eastAsia="cs-CZ"/>
          </w:rPr>
          <w:tab/>
        </w:r>
        <w:r w:rsidRPr="00075681">
          <w:rPr>
            <w:rStyle w:val="Hypertextovodkaz"/>
          </w:rPr>
          <w:t>Správní agenda</w:t>
        </w:r>
        <w:r>
          <w:rPr>
            <w:webHidden/>
          </w:rPr>
          <w:tab/>
        </w:r>
        <w:r>
          <w:rPr>
            <w:webHidden/>
          </w:rPr>
          <w:fldChar w:fldCharType="begin"/>
        </w:r>
        <w:r>
          <w:rPr>
            <w:webHidden/>
          </w:rPr>
          <w:instrText xml:space="preserve"> PAGEREF _Toc109801385 \h </w:instrText>
        </w:r>
        <w:r>
          <w:rPr>
            <w:webHidden/>
          </w:rPr>
        </w:r>
        <w:r>
          <w:rPr>
            <w:webHidden/>
          </w:rPr>
          <w:fldChar w:fldCharType="separate"/>
        </w:r>
        <w:r>
          <w:rPr>
            <w:webHidden/>
          </w:rPr>
          <w:t>128</w:t>
        </w:r>
        <w:r>
          <w:rPr>
            <w:webHidden/>
          </w:rPr>
          <w:fldChar w:fldCharType="end"/>
        </w:r>
      </w:hyperlink>
    </w:p>
    <w:p w14:paraId="050E0CD9" w14:textId="256868CF" w:rsidR="0064349A" w:rsidRDefault="0064349A">
      <w:pPr>
        <w:pStyle w:val="Obsah3"/>
        <w:rPr>
          <w:rFonts w:asciiTheme="minorHAnsi" w:eastAsiaTheme="minorEastAsia" w:hAnsiTheme="minorHAnsi" w:cstheme="minorBidi"/>
          <w:noProof/>
          <w:sz w:val="22"/>
          <w:lang w:eastAsia="cs-CZ"/>
        </w:rPr>
      </w:pPr>
      <w:hyperlink w:anchor="_Toc109801386" w:history="1">
        <w:r w:rsidRPr="00075681">
          <w:rPr>
            <w:rStyle w:val="Hypertextovodkaz"/>
            <w:noProof/>
          </w:rPr>
          <w:t>3.6.1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_Toc109801386 \h </w:instrText>
        </w:r>
        <w:r>
          <w:rPr>
            <w:noProof/>
            <w:webHidden/>
          </w:rPr>
        </w:r>
        <w:r>
          <w:rPr>
            <w:noProof/>
            <w:webHidden/>
          </w:rPr>
          <w:fldChar w:fldCharType="separate"/>
        </w:r>
        <w:r>
          <w:rPr>
            <w:noProof/>
            <w:webHidden/>
          </w:rPr>
          <w:t>128</w:t>
        </w:r>
        <w:r>
          <w:rPr>
            <w:noProof/>
            <w:webHidden/>
          </w:rPr>
          <w:fldChar w:fldCharType="end"/>
        </w:r>
      </w:hyperlink>
    </w:p>
    <w:p w14:paraId="070FA58C" w14:textId="4FE9F46D" w:rsidR="0064349A" w:rsidRDefault="0064349A">
      <w:pPr>
        <w:pStyle w:val="Obsah3"/>
        <w:rPr>
          <w:rFonts w:asciiTheme="minorHAnsi" w:eastAsiaTheme="minorEastAsia" w:hAnsiTheme="minorHAnsi" w:cstheme="minorBidi"/>
          <w:noProof/>
          <w:sz w:val="22"/>
          <w:lang w:eastAsia="cs-CZ"/>
        </w:rPr>
      </w:pPr>
      <w:hyperlink w:anchor="_Toc109801387" w:history="1">
        <w:r w:rsidRPr="00075681">
          <w:rPr>
            <w:rStyle w:val="Hypertextovodkaz"/>
            <w:noProof/>
          </w:rPr>
          <w:t>3.6.2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_Toc109801387 \h </w:instrText>
        </w:r>
        <w:r>
          <w:rPr>
            <w:noProof/>
            <w:webHidden/>
          </w:rPr>
        </w:r>
        <w:r>
          <w:rPr>
            <w:noProof/>
            <w:webHidden/>
          </w:rPr>
          <w:fldChar w:fldCharType="separate"/>
        </w:r>
        <w:r>
          <w:rPr>
            <w:noProof/>
            <w:webHidden/>
          </w:rPr>
          <w:t>130</w:t>
        </w:r>
        <w:r>
          <w:rPr>
            <w:noProof/>
            <w:webHidden/>
          </w:rPr>
          <w:fldChar w:fldCharType="end"/>
        </w:r>
      </w:hyperlink>
    </w:p>
    <w:p w14:paraId="7E4E8E9F" w14:textId="21382823" w:rsidR="0064349A" w:rsidRDefault="0064349A">
      <w:pPr>
        <w:pStyle w:val="Obsah3"/>
        <w:rPr>
          <w:rFonts w:asciiTheme="minorHAnsi" w:eastAsiaTheme="minorEastAsia" w:hAnsiTheme="minorHAnsi" w:cstheme="minorBidi"/>
          <w:noProof/>
          <w:sz w:val="22"/>
          <w:lang w:eastAsia="cs-CZ"/>
        </w:rPr>
      </w:pPr>
      <w:hyperlink w:anchor="_Toc109801388" w:history="1">
        <w:r w:rsidRPr="00075681">
          <w:rPr>
            <w:rStyle w:val="Hypertextovodkaz"/>
            <w:noProof/>
          </w:rPr>
          <w:t>3.6.3</w:t>
        </w:r>
        <w:r>
          <w:rPr>
            <w:rFonts w:asciiTheme="minorHAnsi" w:eastAsiaTheme="minorEastAsia" w:hAnsiTheme="minorHAnsi" w:cstheme="minorBidi"/>
            <w:noProof/>
            <w:sz w:val="22"/>
            <w:lang w:eastAsia="cs-CZ"/>
          </w:rPr>
          <w:tab/>
        </w:r>
        <w:r w:rsidRPr="00075681">
          <w:rPr>
            <w:rStyle w:val="Hypertextovodkaz"/>
            <w:noProof/>
          </w:rPr>
          <w:t>Vyřizování věcí v přepočtu na soudce</w:t>
        </w:r>
        <w:r>
          <w:rPr>
            <w:noProof/>
            <w:webHidden/>
          </w:rPr>
          <w:tab/>
        </w:r>
        <w:r>
          <w:rPr>
            <w:noProof/>
            <w:webHidden/>
          </w:rPr>
          <w:fldChar w:fldCharType="begin"/>
        </w:r>
        <w:r>
          <w:rPr>
            <w:noProof/>
            <w:webHidden/>
          </w:rPr>
          <w:instrText xml:space="preserve"> PAGEREF _Toc109801388 \h </w:instrText>
        </w:r>
        <w:r>
          <w:rPr>
            <w:noProof/>
            <w:webHidden/>
          </w:rPr>
        </w:r>
        <w:r>
          <w:rPr>
            <w:noProof/>
            <w:webHidden/>
          </w:rPr>
          <w:fldChar w:fldCharType="separate"/>
        </w:r>
        <w:r>
          <w:rPr>
            <w:noProof/>
            <w:webHidden/>
          </w:rPr>
          <w:t>133</w:t>
        </w:r>
        <w:r>
          <w:rPr>
            <w:noProof/>
            <w:webHidden/>
          </w:rPr>
          <w:fldChar w:fldCharType="end"/>
        </w:r>
      </w:hyperlink>
    </w:p>
    <w:p w14:paraId="26C274C1" w14:textId="645A0802" w:rsidR="0064349A" w:rsidRDefault="0064349A">
      <w:pPr>
        <w:pStyle w:val="Obsah3"/>
        <w:rPr>
          <w:rFonts w:asciiTheme="minorHAnsi" w:eastAsiaTheme="minorEastAsia" w:hAnsiTheme="minorHAnsi" w:cstheme="minorBidi"/>
          <w:noProof/>
          <w:sz w:val="22"/>
          <w:lang w:eastAsia="cs-CZ"/>
        </w:rPr>
      </w:pPr>
      <w:hyperlink w:anchor="_Toc109801389" w:history="1">
        <w:r w:rsidRPr="00075681">
          <w:rPr>
            <w:rStyle w:val="Hypertextovodkaz"/>
            <w:noProof/>
          </w:rPr>
          <w:t>3.6.4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_Toc109801389 \h </w:instrText>
        </w:r>
        <w:r>
          <w:rPr>
            <w:noProof/>
            <w:webHidden/>
          </w:rPr>
        </w:r>
        <w:r>
          <w:rPr>
            <w:noProof/>
            <w:webHidden/>
          </w:rPr>
          <w:fldChar w:fldCharType="separate"/>
        </w:r>
        <w:r>
          <w:rPr>
            <w:noProof/>
            <w:webHidden/>
          </w:rPr>
          <w:t>134</w:t>
        </w:r>
        <w:r>
          <w:rPr>
            <w:noProof/>
            <w:webHidden/>
          </w:rPr>
          <w:fldChar w:fldCharType="end"/>
        </w:r>
      </w:hyperlink>
    </w:p>
    <w:p w14:paraId="0D05E7DC" w14:textId="41DC6660" w:rsidR="0064349A" w:rsidRDefault="0064349A">
      <w:pPr>
        <w:pStyle w:val="Obsah2"/>
        <w:rPr>
          <w:rFonts w:asciiTheme="minorHAnsi" w:eastAsiaTheme="minorEastAsia" w:hAnsiTheme="minorHAnsi" w:cstheme="minorBidi"/>
          <w:sz w:val="22"/>
          <w:lang w:eastAsia="cs-CZ"/>
        </w:rPr>
      </w:pPr>
      <w:hyperlink w:anchor="_Toc109801390" w:history="1">
        <w:r w:rsidRPr="00075681">
          <w:rPr>
            <w:rStyle w:val="Hypertextovodkaz"/>
          </w:rPr>
          <w:t>3.7</w:t>
        </w:r>
        <w:r>
          <w:rPr>
            <w:rFonts w:asciiTheme="minorHAnsi" w:eastAsiaTheme="minorEastAsia" w:hAnsiTheme="minorHAnsi" w:cstheme="minorBidi"/>
            <w:sz w:val="22"/>
            <w:lang w:eastAsia="cs-CZ"/>
          </w:rPr>
          <w:tab/>
        </w:r>
        <w:r w:rsidRPr="00075681">
          <w:rPr>
            <w:rStyle w:val="Hypertextovodkaz"/>
          </w:rPr>
          <w:t>Insolvenční agenda</w:t>
        </w:r>
        <w:r>
          <w:rPr>
            <w:webHidden/>
          </w:rPr>
          <w:tab/>
        </w:r>
        <w:r>
          <w:rPr>
            <w:webHidden/>
          </w:rPr>
          <w:fldChar w:fldCharType="begin"/>
        </w:r>
        <w:r>
          <w:rPr>
            <w:webHidden/>
          </w:rPr>
          <w:instrText xml:space="preserve"> PAGEREF _Toc109801390 \h </w:instrText>
        </w:r>
        <w:r>
          <w:rPr>
            <w:webHidden/>
          </w:rPr>
        </w:r>
        <w:r>
          <w:rPr>
            <w:webHidden/>
          </w:rPr>
          <w:fldChar w:fldCharType="separate"/>
        </w:r>
        <w:r>
          <w:rPr>
            <w:webHidden/>
          </w:rPr>
          <w:t>136</w:t>
        </w:r>
        <w:r>
          <w:rPr>
            <w:webHidden/>
          </w:rPr>
          <w:fldChar w:fldCharType="end"/>
        </w:r>
      </w:hyperlink>
    </w:p>
    <w:p w14:paraId="369C8AEF" w14:textId="4DDCA64F" w:rsidR="0064349A" w:rsidRDefault="0064349A">
      <w:pPr>
        <w:pStyle w:val="Obsah3"/>
        <w:rPr>
          <w:rFonts w:asciiTheme="minorHAnsi" w:eastAsiaTheme="minorEastAsia" w:hAnsiTheme="minorHAnsi" w:cstheme="minorBidi"/>
          <w:noProof/>
          <w:sz w:val="22"/>
          <w:lang w:eastAsia="cs-CZ"/>
        </w:rPr>
      </w:pPr>
      <w:hyperlink w:anchor="_Toc109801391" w:history="1">
        <w:r w:rsidRPr="00075681">
          <w:rPr>
            <w:rStyle w:val="Hypertextovodkaz"/>
            <w:noProof/>
          </w:rPr>
          <w:t>3.7.1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_Toc109801391 \h </w:instrText>
        </w:r>
        <w:r>
          <w:rPr>
            <w:noProof/>
            <w:webHidden/>
          </w:rPr>
        </w:r>
        <w:r>
          <w:rPr>
            <w:noProof/>
            <w:webHidden/>
          </w:rPr>
          <w:fldChar w:fldCharType="separate"/>
        </w:r>
        <w:r>
          <w:rPr>
            <w:noProof/>
            <w:webHidden/>
          </w:rPr>
          <w:t>136</w:t>
        </w:r>
        <w:r>
          <w:rPr>
            <w:noProof/>
            <w:webHidden/>
          </w:rPr>
          <w:fldChar w:fldCharType="end"/>
        </w:r>
      </w:hyperlink>
    </w:p>
    <w:p w14:paraId="2E8ACC84" w14:textId="5E1271D2" w:rsidR="0064349A" w:rsidRDefault="0064349A">
      <w:pPr>
        <w:pStyle w:val="Obsah3"/>
        <w:rPr>
          <w:rFonts w:asciiTheme="minorHAnsi" w:eastAsiaTheme="minorEastAsia" w:hAnsiTheme="minorHAnsi" w:cstheme="minorBidi"/>
          <w:noProof/>
          <w:sz w:val="22"/>
          <w:lang w:eastAsia="cs-CZ"/>
        </w:rPr>
      </w:pPr>
      <w:hyperlink w:anchor="_Toc109801392" w:history="1">
        <w:r w:rsidRPr="00075681">
          <w:rPr>
            <w:rStyle w:val="Hypertextovodkaz"/>
            <w:noProof/>
          </w:rPr>
          <w:t>3.7.2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_Toc109801392 \h </w:instrText>
        </w:r>
        <w:r>
          <w:rPr>
            <w:noProof/>
            <w:webHidden/>
          </w:rPr>
        </w:r>
        <w:r>
          <w:rPr>
            <w:noProof/>
            <w:webHidden/>
          </w:rPr>
          <w:fldChar w:fldCharType="separate"/>
        </w:r>
        <w:r>
          <w:rPr>
            <w:noProof/>
            <w:webHidden/>
          </w:rPr>
          <w:t>138</w:t>
        </w:r>
        <w:r>
          <w:rPr>
            <w:noProof/>
            <w:webHidden/>
          </w:rPr>
          <w:fldChar w:fldCharType="end"/>
        </w:r>
      </w:hyperlink>
    </w:p>
    <w:p w14:paraId="1DD4A7B1" w14:textId="7B7DFF12" w:rsidR="0064349A" w:rsidRDefault="0064349A">
      <w:pPr>
        <w:pStyle w:val="Obsah3"/>
        <w:rPr>
          <w:rFonts w:asciiTheme="minorHAnsi" w:eastAsiaTheme="minorEastAsia" w:hAnsiTheme="minorHAnsi" w:cstheme="minorBidi"/>
          <w:noProof/>
          <w:sz w:val="22"/>
          <w:lang w:eastAsia="cs-CZ"/>
        </w:rPr>
      </w:pPr>
      <w:hyperlink w:anchor="_Toc109801393" w:history="1">
        <w:r w:rsidRPr="00075681">
          <w:rPr>
            <w:rStyle w:val="Hypertextovodkaz"/>
            <w:noProof/>
          </w:rPr>
          <w:t>3.7.3</w:t>
        </w:r>
        <w:r>
          <w:rPr>
            <w:rFonts w:asciiTheme="minorHAnsi" w:eastAsiaTheme="minorEastAsia" w:hAnsiTheme="minorHAnsi" w:cstheme="minorBidi"/>
            <w:noProof/>
            <w:sz w:val="22"/>
            <w:lang w:eastAsia="cs-CZ"/>
          </w:rPr>
          <w:tab/>
        </w:r>
        <w:r w:rsidRPr="00075681">
          <w:rPr>
            <w:rStyle w:val="Hypertextovodkaz"/>
            <w:noProof/>
          </w:rPr>
          <w:t>Vyřizování věcí v přepočtu na soudce</w:t>
        </w:r>
        <w:r>
          <w:rPr>
            <w:noProof/>
            <w:webHidden/>
          </w:rPr>
          <w:tab/>
        </w:r>
        <w:r>
          <w:rPr>
            <w:noProof/>
            <w:webHidden/>
          </w:rPr>
          <w:fldChar w:fldCharType="begin"/>
        </w:r>
        <w:r>
          <w:rPr>
            <w:noProof/>
            <w:webHidden/>
          </w:rPr>
          <w:instrText xml:space="preserve"> PAGEREF _Toc109801393 \h </w:instrText>
        </w:r>
        <w:r>
          <w:rPr>
            <w:noProof/>
            <w:webHidden/>
          </w:rPr>
        </w:r>
        <w:r>
          <w:rPr>
            <w:noProof/>
            <w:webHidden/>
          </w:rPr>
          <w:fldChar w:fldCharType="separate"/>
        </w:r>
        <w:r>
          <w:rPr>
            <w:noProof/>
            <w:webHidden/>
          </w:rPr>
          <w:t>140</w:t>
        </w:r>
        <w:r>
          <w:rPr>
            <w:noProof/>
            <w:webHidden/>
          </w:rPr>
          <w:fldChar w:fldCharType="end"/>
        </w:r>
      </w:hyperlink>
    </w:p>
    <w:p w14:paraId="0231EC93" w14:textId="0A8D8AAB" w:rsidR="0064349A" w:rsidRDefault="0064349A">
      <w:pPr>
        <w:pStyle w:val="Obsah3"/>
        <w:rPr>
          <w:rFonts w:asciiTheme="minorHAnsi" w:eastAsiaTheme="minorEastAsia" w:hAnsiTheme="minorHAnsi" w:cstheme="minorBidi"/>
          <w:noProof/>
          <w:sz w:val="22"/>
          <w:lang w:eastAsia="cs-CZ"/>
        </w:rPr>
      </w:pPr>
      <w:hyperlink w:anchor="_Toc109801394" w:history="1">
        <w:r w:rsidRPr="00075681">
          <w:rPr>
            <w:rStyle w:val="Hypertextovodkaz"/>
            <w:noProof/>
          </w:rPr>
          <w:t>3.7.4</w:t>
        </w:r>
        <w:r>
          <w:rPr>
            <w:rFonts w:asciiTheme="minorHAnsi" w:eastAsiaTheme="minorEastAsia" w:hAnsiTheme="minorHAnsi" w:cstheme="minorBidi"/>
            <w:noProof/>
            <w:sz w:val="22"/>
            <w:lang w:eastAsia="cs-CZ"/>
          </w:rPr>
          <w:tab/>
        </w:r>
        <w:r w:rsidRPr="00075681">
          <w:rPr>
            <w:rStyle w:val="Hypertextovodkaz"/>
            <w:noProof/>
          </w:rPr>
          <w:t>Další statistiky</w:t>
        </w:r>
        <w:r>
          <w:rPr>
            <w:noProof/>
            <w:webHidden/>
          </w:rPr>
          <w:tab/>
        </w:r>
        <w:r>
          <w:rPr>
            <w:noProof/>
            <w:webHidden/>
          </w:rPr>
          <w:fldChar w:fldCharType="begin"/>
        </w:r>
        <w:r>
          <w:rPr>
            <w:noProof/>
            <w:webHidden/>
          </w:rPr>
          <w:instrText xml:space="preserve"> PAGEREF _Toc109801394 \h </w:instrText>
        </w:r>
        <w:r>
          <w:rPr>
            <w:noProof/>
            <w:webHidden/>
          </w:rPr>
        </w:r>
        <w:r>
          <w:rPr>
            <w:noProof/>
            <w:webHidden/>
          </w:rPr>
          <w:fldChar w:fldCharType="separate"/>
        </w:r>
        <w:r>
          <w:rPr>
            <w:noProof/>
            <w:webHidden/>
          </w:rPr>
          <w:t>141</w:t>
        </w:r>
        <w:r>
          <w:rPr>
            <w:noProof/>
            <w:webHidden/>
          </w:rPr>
          <w:fldChar w:fldCharType="end"/>
        </w:r>
      </w:hyperlink>
    </w:p>
    <w:p w14:paraId="504D6A84" w14:textId="43003105" w:rsidR="0064349A" w:rsidRDefault="0064349A">
      <w:pPr>
        <w:pStyle w:val="Obsah2"/>
        <w:rPr>
          <w:rFonts w:asciiTheme="minorHAnsi" w:eastAsiaTheme="minorEastAsia" w:hAnsiTheme="minorHAnsi" w:cstheme="minorBidi"/>
          <w:sz w:val="22"/>
          <w:lang w:eastAsia="cs-CZ"/>
        </w:rPr>
      </w:pPr>
      <w:hyperlink w:anchor="_Toc109801395" w:history="1">
        <w:r w:rsidRPr="00075681">
          <w:rPr>
            <w:rStyle w:val="Hypertextovodkaz"/>
          </w:rPr>
          <w:t>3.8</w:t>
        </w:r>
        <w:r>
          <w:rPr>
            <w:rFonts w:asciiTheme="minorHAnsi" w:eastAsiaTheme="minorEastAsia" w:hAnsiTheme="minorHAnsi" w:cstheme="minorBidi"/>
            <w:sz w:val="22"/>
            <w:lang w:eastAsia="cs-CZ"/>
          </w:rPr>
          <w:tab/>
        </w:r>
        <w:r w:rsidRPr="00075681">
          <w:rPr>
            <w:rStyle w:val="Hypertextovodkaz"/>
          </w:rPr>
          <w:t>Incidenční spory</w:t>
        </w:r>
        <w:r>
          <w:rPr>
            <w:webHidden/>
          </w:rPr>
          <w:tab/>
        </w:r>
        <w:r>
          <w:rPr>
            <w:webHidden/>
          </w:rPr>
          <w:fldChar w:fldCharType="begin"/>
        </w:r>
        <w:r>
          <w:rPr>
            <w:webHidden/>
          </w:rPr>
          <w:instrText xml:space="preserve"> PAGEREF _Toc109801395 \h </w:instrText>
        </w:r>
        <w:r>
          <w:rPr>
            <w:webHidden/>
          </w:rPr>
        </w:r>
        <w:r>
          <w:rPr>
            <w:webHidden/>
          </w:rPr>
          <w:fldChar w:fldCharType="separate"/>
        </w:r>
        <w:r>
          <w:rPr>
            <w:webHidden/>
          </w:rPr>
          <w:t>142</w:t>
        </w:r>
        <w:r>
          <w:rPr>
            <w:webHidden/>
          </w:rPr>
          <w:fldChar w:fldCharType="end"/>
        </w:r>
      </w:hyperlink>
    </w:p>
    <w:p w14:paraId="44FC1CC0" w14:textId="6231EF22" w:rsidR="0064349A" w:rsidRDefault="0064349A">
      <w:pPr>
        <w:pStyle w:val="Obsah3"/>
        <w:rPr>
          <w:rFonts w:asciiTheme="minorHAnsi" w:eastAsiaTheme="minorEastAsia" w:hAnsiTheme="minorHAnsi" w:cstheme="minorBidi"/>
          <w:noProof/>
          <w:sz w:val="22"/>
          <w:lang w:eastAsia="cs-CZ"/>
        </w:rPr>
      </w:pPr>
      <w:hyperlink w:anchor="_Toc109801396" w:history="1">
        <w:r w:rsidRPr="00075681">
          <w:rPr>
            <w:rStyle w:val="Hypertextovodkaz"/>
            <w:noProof/>
          </w:rPr>
          <w:t>3.8.1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_Toc109801396 \h </w:instrText>
        </w:r>
        <w:r>
          <w:rPr>
            <w:noProof/>
            <w:webHidden/>
          </w:rPr>
        </w:r>
        <w:r>
          <w:rPr>
            <w:noProof/>
            <w:webHidden/>
          </w:rPr>
          <w:fldChar w:fldCharType="separate"/>
        </w:r>
        <w:r>
          <w:rPr>
            <w:noProof/>
            <w:webHidden/>
          </w:rPr>
          <w:t>142</w:t>
        </w:r>
        <w:r>
          <w:rPr>
            <w:noProof/>
            <w:webHidden/>
          </w:rPr>
          <w:fldChar w:fldCharType="end"/>
        </w:r>
      </w:hyperlink>
    </w:p>
    <w:p w14:paraId="16E7D795" w14:textId="3A59082C" w:rsidR="0064349A" w:rsidRDefault="0064349A">
      <w:pPr>
        <w:pStyle w:val="Obsah3"/>
        <w:rPr>
          <w:rFonts w:asciiTheme="minorHAnsi" w:eastAsiaTheme="minorEastAsia" w:hAnsiTheme="minorHAnsi" w:cstheme="minorBidi"/>
          <w:noProof/>
          <w:sz w:val="22"/>
          <w:lang w:eastAsia="cs-CZ"/>
        </w:rPr>
      </w:pPr>
      <w:hyperlink w:anchor="_Toc109801397" w:history="1">
        <w:r w:rsidRPr="00075681">
          <w:rPr>
            <w:rStyle w:val="Hypertextovodkaz"/>
            <w:noProof/>
          </w:rPr>
          <w:t>3.8.2</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_Toc109801397 \h </w:instrText>
        </w:r>
        <w:r>
          <w:rPr>
            <w:noProof/>
            <w:webHidden/>
          </w:rPr>
        </w:r>
        <w:r>
          <w:rPr>
            <w:noProof/>
            <w:webHidden/>
          </w:rPr>
          <w:fldChar w:fldCharType="separate"/>
        </w:r>
        <w:r>
          <w:rPr>
            <w:noProof/>
            <w:webHidden/>
          </w:rPr>
          <w:t>144</w:t>
        </w:r>
        <w:r>
          <w:rPr>
            <w:noProof/>
            <w:webHidden/>
          </w:rPr>
          <w:fldChar w:fldCharType="end"/>
        </w:r>
      </w:hyperlink>
    </w:p>
    <w:p w14:paraId="57461CD6" w14:textId="611D7446" w:rsidR="0064349A" w:rsidRDefault="0064349A">
      <w:pPr>
        <w:pStyle w:val="Obsah3"/>
        <w:rPr>
          <w:rFonts w:asciiTheme="minorHAnsi" w:eastAsiaTheme="minorEastAsia" w:hAnsiTheme="minorHAnsi" w:cstheme="minorBidi"/>
          <w:noProof/>
          <w:sz w:val="22"/>
          <w:lang w:eastAsia="cs-CZ"/>
        </w:rPr>
      </w:pPr>
      <w:hyperlink w:anchor="_Toc109801398" w:history="1">
        <w:r w:rsidRPr="00075681">
          <w:rPr>
            <w:rStyle w:val="Hypertextovodkaz"/>
            <w:noProof/>
          </w:rPr>
          <w:t>3.8.3</w:t>
        </w:r>
        <w:r>
          <w:rPr>
            <w:rFonts w:asciiTheme="minorHAnsi" w:eastAsiaTheme="minorEastAsia" w:hAnsiTheme="minorHAnsi" w:cstheme="minorBidi"/>
            <w:noProof/>
            <w:sz w:val="22"/>
            <w:lang w:eastAsia="cs-CZ"/>
          </w:rPr>
          <w:tab/>
        </w:r>
        <w:r w:rsidRPr="00075681">
          <w:rPr>
            <w:rStyle w:val="Hypertextovodkaz"/>
            <w:noProof/>
          </w:rPr>
          <w:t>Vyřizování věcí v přepočtu na soudce</w:t>
        </w:r>
        <w:r>
          <w:rPr>
            <w:noProof/>
            <w:webHidden/>
          </w:rPr>
          <w:tab/>
        </w:r>
        <w:r>
          <w:rPr>
            <w:noProof/>
            <w:webHidden/>
          </w:rPr>
          <w:fldChar w:fldCharType="begin"/>
        </w:r>
        <w:r>
          <w:rPr>
            <w:noProof/>
            <w:webHidden/>
          </w:rPr>
          <w:instrText xml:space="preserve"> PAGEREF _Toc109801398 \h </w:instrText>
        </w:r>
        <w:r>
          <w:rPr>
            <w:noProof/>
            <w:webHidden/>
          </w:rPr>
        </w:r>
        <w:r>
          <w:rPr>
            <w:noProof/>
            <w:webHidden/>
          </w:rPr>
          <w:fldChar w:fldCharType="separate"/>
        </w:r>
        <w:r>
          <w:rPr>
            <w:noProof/>
            <w:webHidden/>
          </w:rPr>
          <w:t>146</w:t>
        </w:r>
        <w:r>
          <w:rPr>
            <w:noProof/>
            <w:webHidden/>
          </w:rPr>
          <w:fldChar w:fldCharType="end"/>
        </w:r>
      </w:hyperlink>
    </w:p>
    <w:p w14:paraId="37CD0FF0" w14:textId="2A717223" w:rsidR="0064349A" w:rsidRDefault="0064349A">
      <w:pPr>
        <w:pStyle w:val="Obsah3"/>
        <w:rPr>
          <w:rFonts w:asciiTheme="minorHAnsi" w:eastAsiaTheme="minorEastAsia" w:hAnsiTheme="minorHAnsi" w:cstheme="minorBidi"/>
          <w:noProof/>
          <w:sz w:val="22"/>
          <w:lang w:eastAsia="cs-CZ"/>
        </w:rPr>
      </w:pPr>
      <w:hyperlink w:anchor="_Toc109801399" w:history="1">
        <w:r w:rsidRPr="00075681">
          <w:rPr>
            <w:rStyle w:val="Hypertextovodkaz"/>
            <w:noProof/>
          </w:rPr>
          <w:t>3.8.4</w:t>
        </w:r>
        <w:r>
          <w:rPr>
            <w:rFonts w:asciiTheme="minorHAnsi" w:eastAsiaTheme="minorEastAsia" w:hAnsiTheme="minorHAnsi" w:cstheme="minorBidi"/>
            <w:noProof/>
            <w:sz w:val="22"/>
            <w:lang w:eastAsia="cs-CZ"/>
          </w:rPr>
          <w:tab/>
        </w:r>
        <w:r w:rsidRPr="00075681">
          <w:rPr>
            <w:rStyle w:val="Hypertextovodkaz"/>
            <w:noProof/>
          </w:rPr>
          <w:t>Disposition time (dispoziční čas)</w:t>
        </w:r>
        <w:r>
          <w:rPr>
            <w:noProof/>
            <w:webHidden/>
          </w:rPr>
          <w:tab/>
        </w:r>
        <w:r>
          <w:rPr>
            <w:noProof/>
            <w:webHidden/>
          </w:rPr>
          <w:fldChar w:fldCharType="begin"/>
        </w:r>
        <w:r>
          <w:rPr>
            <w:noProof/>
            <w:webHidden/>
          </w:rPr>
          <w:instrText xml:space="preserve"> PAGEREF _Toc109801399 \h </w:instrText>
        </w:r>
        <w:r>
          <w:rPr>
            <w:noProof/>
            <w:webHidden/>
          </w:rPr>
        </w:r>
        <w:r>
          <w:rPr>
            <w:noProof/>
            <w:webHidden/>
          </w:rPr>
          <w:fldChar w:fldCharType="separate"/>
        </w:r>
        <w:r>
          <w:rPr>
            <w:noProof/>
            <w:webHidden/>
          </w:rPr>
          <w:t>146</w:t>
        </w:r>
        <w:r>
          <w:rPr>
            <w:noProof/>
            <w:webHidden/>
          </w:rPr>
          <w:fldChar w:fldCharType="end"/>
        </w:r>
      </w:hyperlink>
    </w:p>
    <w:p w14:paraId="50E94DFE" w14:textId="4C87BC5B" w:rsidR="0064349A" w:rsidRDefault="0064349A">
      <w:pPr>
        <w:pStyle w:val="Obsah1"/>
        <w:tabs>
          <w:tab w:val="left" w:pos="482"/>
        </w:tabs>
        <w:rPr>
          <w:rFonts w:asciiTheme="minorHAnsi" w:eastAsiaTheme="minorEastAsia" w:hAnsiTheme="minorHAnsi" w:cstheme="minorBidi"/>
          <w:noProof/>
          <w:sz w:val="22"/>
          <w:lang w:eastAsia="cs-CZ"/>
        </w:rPr>
      </w:pPr>
      <w:hyperlink w:anchor="_Toc109801400" w:history="1">
        <w:r w:rsidRPr="00075681">
          <w:rPr>
            <w:rStyle w:val="Hypertextovodkaz"/>
            <w:noProof/>
            <w:lang w:eastAsia="cs-CZ"/>
          </w:rPr>
          <w:t>4</w:t>
        </w:r>
        <w:r>
          <w:rPr>
            <w:rFonts w:asciiTheme="minorHAnsi" w:eastAsiaTheme="minorEastAsia" w:hAnsiTheme="minorHAnsi" w:cstheme="minorBidi"/>
            <w:noProof/>
            <w:sz w:val="22"/>
            <w:lang w:eastAsia="cs-CZ"/>
          </w:rPr>
          <w:tab/>
        </w:r>
        <w:r w:rsidRPr="00075681">
          <w:rPr>
            <w:rStyle w:val="Hypertextovodkaz"/>
            <w:noProof/>
            <w:lang w:eastAsia="cs-CZ"/>
          </w:rPr>
          <w:t>Vrchní soudy</w:t>
        </w:r>
        <w:r>
          <w:rPr>
            <w:noProof/>
            <w:webHidden/>
          </w:rPr>
          <w:tab/>
        </w:r>
        <w:r>
          <w:rPr>
            <w:noProof/>
            <w:webHidden/>
          </w:rPr>
          <w:fldChar w:fldCharType="begin"/>
        </w:r>
        <w:r>
          <w:rPr>
            <w:noProof/>
            <w:webHidden/>
          </w:rPr>
          <w:instrText xml:space="preserve"> PAGEREF _Toc109801400 \h </w:instrText>
        </w:r>
        <w:r>
          <w:rPr>
            <w:noProof/>
            <w:webHidden/>
          </w:rPr>
        </w:r>
        <w:r>
          <w:rPr>
            <w:noProof/>
            <w:webHidden/>
          </w:rPr>
          <w:fldChar w:fldCharType="separate"/>
        </w:r>
        <w:r>
          <w:rPr>
            <w:noProof/>
            <w:webHidden/>
          </w:rPr>
          <w:t>148</w:t>
        </w:r>
        <w:r>
          <w:rPr>
            <w:noProof/>
            <w:webHidden/>
          </w:rPr>
          <w:fldChar w:fldCharType="end"/>
        </w:r>
      </w:hyperlink>
    </w:p>
    <w:p w14:paraId="2161E104" w14:textId="2B9A5B18" w:rsidR="0064349A" w:rsidRDefault="0064349A">
      <w:pPr>
        <w:pStyle w:val="Obsah2"/>
        <w:rPr>
          <w:rFonts w:asciiTheme="minorHAnsi" w:eastAsiaTheme="minorEastAsia" w:hAnsiTheme="minorHAnsi" w:cstheme="minorBidi"/>
          <w:sz w:val="22"/>
          <w:lang w:eastAsia="cs-CZ"/>
        </w:rPr>
      </w:pPr>
      <w:hyperlink w:anchor="_Toc109801401" w:history="1">
        <w:r w:rsidRPr="00075681">
          <w:rPr>
            <w:rStyle w:val="Hypertextovodkaz"/>
            <w:lang w:eastAsia="cs-CZ"/>
          </w:rPr>
          <w:t>4.1</w:t>
        </w:r>
        <w:r>
          <w:rPr>
            <w:rFonts w:asciiTheme="minorHAnsi" w:eastAsiaTheme="minorEastAsia" w:hAnsiTheme="minorHAnsi" w:cstheme="minorBidi"/>
            <w:sz w:val="22"/>
            <w:lang w:eastAsia="cs-CZ"/>
          </w:rPr>
          <w:tab/>
        </w:r>
        <w:r w:rsidRPr="00075681">
          <w:rPr>
            <w:rStyle w:val="Hypertextovodkaz"/>
            <w:lang w:eastAsia="cs-CZ"/>
          </w:rPr>
          <w:t>Personál</w:t>
        </w:r>
        <w:r>
          <w:rPr>
            <w:webHidden/>
          </w:rPr>
          <w:tab/>
        </w:r>
        <w:r>
          <w:rPr>
            <w:webHidden/>
          </w:rPr>
          <w:fldChar w:fldCharType="begin"/>
        </w:r>
        <w:r>
          <w:rPr>
            <w:webHidden/>
          </w:rPr>
          <w:instrText xml:space="preserve"> PAGEREF _Toc109801401 \h </w:instrText>
        </w:r>
        <w:r>
          <w:rPr>
            <w:webHidden/>
          </w:rPr>
        </w:r>
        <w:r>
          <w:rPr>
            <w:webHidden/>
          </w:rPr>
          <w:fldChar w:fldCharType="separate"/>
        </w:r>
        <w:r>
          <w:rPr>
            <w:webHidden/>
          </w:rPr>
          <w:t>148</w:t>
        </w:r>
        <w:r>
          <w:rPr>
            <w:webHidden/>
          </w:rPr>
          <w:fldChar w:fldCharType="end"/>
        </w:r>
      </w:hyperlink>
    </w:p>
    <w:p w14:paraId="430224D4" w14:textId="241D403F" w:rsidR="0064349A" w:rsidRDefault="0064349A">
      <w:pPr>
        <w:pStyle w:val="Obsah3"/>
        <w:rPr>
          <w:rFonts w:asciiTheme="minorHAnsi" w:eastAsiaTheme="minorEastAsia" w:hAnsiTheme="minorHAnsi" w:cstheme="minorBidi"/>
          <w:noProof/>
          <w:sz w:val="22"/>
          <w:lang w:eastAsia="cs-CZ"/>
        </w:rPr>
      </w:pPr>
      <w:hyperlink w:anchor="_Toc109801402" w:history="1">
        <w:r w:rsidRPr="00075681">
          <w:rPr>
            <w:rStyle w:val="Hypertextovodkaz"/>
            <w:noProof/>
            <w:lang w:eastAsia="cs-CZ"/>
          </w:rPr>
          <w:t>4.1.1</w:t>
        </w:r>
        <w:r>
          <w:rPr>
            <w:rFonts w:asciiTheme="minorHAnsi" w:eastAsiaTheme="minorEastAsia" w:hAnsiTheme="minorHAnsi" w:cstheme="minorBidi"/>
            <w:noProof/>
            <w:sz w:val="22"/>
            <w:lang w:eastAsia="cs-CZ"/>
          </w:rPr>
          <w:tab/>
        </w:r>
        <w:r w:rsidRPr="00075681">
          <w:rPr>
            <w:rStyle w:val="Hypertextovodkaz"/>
            <w:noProof/>
            <w:lang w:eastAsia="cs-CZ"/>
          </w:rPr>
          <w:t>Soudci</w:t>
        </w:r>
        <w:r>
          <w:rPr>
            <w:noProof/>
            <w:webHidden/>
          </w:rPr>
          <w:tab/>
        </w:r>
        <w:r>
          <w:rPr>
            <w:noProof/>
            <w:webHidden/>
          </w:rPr>
          <w:fldChar w:fldCharType="begin"/>
        </w:r>
        <w:r>
          <w:rPr>
            <w:noProof/>
            <w:webHidden/>
          </w:rPr>
          <w:instrText xml:space="preserve"> PAGEREF _Toc109801402 \h </w:instrText>
        </w:r>
        <w:r>
          <w:rPr>
            <w:noProof/>
            <w:webHidden/>
          </w:rPr>
        </w:r>
        <w:r>
          <w:rPr>
            <w:noProof/>
            <w:webHidden/>
          </w:rPr>
          <w:fldChar w:fldCharType="separate"/>
        </w:r>
        <w:r>
          <w:rPr>
            <w:noProof/>
            <w:webHidden/>
          </w:rPr>
          <w:t>148</w:t>
        </w:r>
        <w:r>
          <w:rPr>
            <w:noProof/>
            <w:webHidden/>
          </w:rPr>
          <w:fldChar w:fldCharType="end"/>
        </w:r>
      </w:hyperlink>
    </w:p>
    <w:p w14:paraId="444BB2B4" w14:textId="0D962944" w:rsidR="0064349A" w:rsidRDefault="0064349A">
      <w:pPr>
        <w:pStyle w:val="Obsah3"/>
        <w:rPr>
          <w:rFonts w:asciiTheme="minorHAnsi" w:eastAsiaTheme="minorEastAsia" w:hAnsiTheme="minorHAnsi" w:cstheme="minorBidi"/>
          <w:noProof/>
          <w:sz w:val="22"/>
          <w:lang w:eastAsia="cs-CZ"/>
        </w:rPr>
      </w:pPr>
      <w:hyperlink w:anchor="_Toc109801403" w:history="1">
        <w:r w:rsidRPr="00075681">
          <w:rPr>
            <w:rStyle w:val="Hypertextovodkaz"/>
            <w:noProof/>
            <w:lang w:eastAsia="cs-CZ"/>
          </w:rPr>
          <w:t>4.1.2</w:t>
        </w:r>
        <w:r>
          <w:rPr>
            <w:rFonts w:asciiTheme="minorHAnsi" w:eastAsiaTheme="minorEastAsia" w:hAnsiTheme="minorHAnsi" w:cstheme="minorBidi"/>
            <w:noProof/>
            <w:sz w:val="22"/>
            <w:lang w:eastAsia="cs-CZ"/>
          </w:rPr>
          <w:tab/>
        </w:r>
        <w:r w:rsidRPr="00075681">
          <w:rPr>
            <w:rStyle w:val="Hypertextovodkaz"/>
            <w:noProof/>
            <w:lang w:eastAsia="cs-CZ"/>
          </w:rPr>
          <w:t>Zaměstnanci ve výkonu</w:t>
        </w:r>
        <w:r>
          <w:rPr>
            <w:noProof/>
            <w:webHidden/>
          </w:rPr>
          <w:tab/>
        </w:r>
        <w:r>
          <w:rPr>
            <w:noProof/>
            <w:webHidden/>
          </w:rPr>
          <w:fldChar w:fldCharType="begin"/>
        </w:r>
        <w:r>
          <w:rPr>
            <w:noProof/>
            <w:webHidden/>
          </w:rPr>
          <w:instrText xml:space="preserve"> PAGEREF _Toc109801403 \h </w:instrText>
        </w:r>
        <w:r>
          <w:rPr>
            <w:noProof/>
            <w:webHidden/>
          </w:rPr>
        </w:r>
        <w:r>
          <w:rPr>
            <w:noProof/>
            <w:webHidden/>
          </w:rPr>
          <w:fldChar w:fldCharType="separate"/>
        </w:r>
        <w:r>
          <w:rPr>
            <w:noProof/>
            <w:webHidden/>
          </w:rPr>
          <w:t>152</w:t>
        </w:r>
        <w:r>
          <w:rPr>
            <w:noProof/>
            <w:webHidden/>
          </w:rPr>
          <w:fldChar w:fldCharType="end"/>
        </w:r>
      </w:hyperlink>
    </w:p>
    <w:p w14:paraId="27138D7E" w14:textId="6DB271BB" w:rsidR="0064349A" w:rsidRDefault="0064349A">
      <w:pPr>
        <w:pStyle w:val="Obsah2"/>
        <w:rPr>
          <w:rFonts w:asciiTheme="minorHAnsi" w:eastAsiaTheme="minorEastAsia" w:hAnsiTheme="minorHAnsi" w:cstheme="minorBidi"/>
          <w:sz w:val="22"/>
          <w:lang w:eastAsia="cs-CZ"/>
        </w:rPr>
      </w:pPr>
      <w:hyperlink w:anchor="_Toc109801404" w:history="1">
        <w:r w:rsidRPr="00075681">
          <w:rPr>
            <w:rStyle w:val="Hypertextovodkaz"/>
          </w:rPr>
          <w:t>4.2</w:t>
        </w:r>
        <w:r>
          <w:rPr>
            <w:rFonts w:asciiTheme="minorHAnsi" w:eastAsiaTheme="minorEastAsia" w:hAnsiTheme="minorHAnsi" w:cstheme="minorBidi"/>
            <w:sz w:val="22"/>
            <w:lang w:eastAsia="cs-CZ"/>
          </w:rPr>
          <w:tab/>
        </w:r>
        <w:r w:rsidRPr="00075681">
          <w:rPr>
            <w:rStyle w:val="Hypertextovodkaz"/>
          </w:rPr>
          <w:t>Civilní a obchodní odvolací agenda</w:t>
        </w:r>
        <w:r>
          <w:rPr>
            <w:webHidden/>
          </w:rPr>
          <w:tab/>
        </w:r>
        <w:r>
          <w:rPr>
            <w:webHidden/>
          </w:rPr>
          <w:fldChar w:fldCharType="begin"/>
        </w:r>
        <w:r>
          <w:rPr>
            <w:webHidden/>
          </w:rPr>
          <w:instrText xml:space="preserve"> PAGEREF _Toc109801404 \h </w:instrText>
        </w:r>
        <w:r>
          <w:rPr>
            <w:webHidden/>
          </w:rPr>
        </w:r>
        <w:r>
          <w:rPr>
            <w:webHidden/>
          </w:rPr>
          <w:fldChar w:fldCharType="separate"/>
        </w:r>
        <w:r>
          <w:rPr>
            <w:webHidden/>
          </w:rPr>
          <w:t>153</w:t>
        </w:r>
        <w:r>
          <w:rPr>
            <w:webHidden/>
          </w:rPr>
          <w:fldChar w:fldCharType="end"/>
        </w:r>
      </w:hyperlink>
    </w:p>
    <w:p w14:paraId="3427D60B" w14:textId="497C90BF" w:rsidR="0064349A" w:rsidRDefault="0064349A">
      <w:pPr>
        <w:pStyle w:val="Obsah3"/>
        <w:rPr>
          <w:rFonts w:asciiTheme="minorHAnsi" w:eastAsiaTheme="minorEastAsia" w:hAnsiTheme="minorHAnsi" w:cstheme="minorBidi"/>
          <w:noProof/>
          <w:sz w:val="22"/>
          <w:lang w:eastAsia="cs-CZ"/>
        </w:rPr>
      </w:pPr>
      <w:hyperlink w:anchor="_Toc109801405" w:history="1">
        <w:r w:rsidRPr="00075681">
          <w:rPr>
            <w:rStyle w:val="Hypertextovodkaz"/>
            <w:noProof/>
            <w:lang w:eastAsia="cs-CZ"/>
          </w:rPr>
          <w:t>4.2.1</w:t>
        </w:r>
        <w:r>
          <w:rPr>
            <w:rFonts w:asciiTheme="minorHAnsi" w:eastAsiaTheme="minorEastAsia" w:hAnsiTheme="minorHAnsi" w:cstheme="minorBidi"/>
            <w:noProof/>
            <w:sz w:val="22"/>
            <w:lang w:eastAsia="cs-CZ"/>
          </w:rPr>
          <w:tab/>
        </w:r>
        <w:r w:rsidRPr="00075681">
          <w:rPr>
            <w:rStyle w:val="Hypertextovodkaz"/>
            <w:noProof/>
            <w:lang w:eastAsia="cs-CZ"/>
          </w:rPr>
          <w:t>Délka řízení</w:t>
        </w:r>
        <w:r>
          <w:rPr>
            <w:noProof/>
            <w:webHidden/>
          </w:rPr>
          <w:tab/>
        </w:r>
        <w:r>
          <w:rPr>
            <w:noProof/>
            <w:webHidden/>
          </w:rPr>
          <w:fldChar w:fldCharType="begin"/>
        </w:r>
        <w:r>
          <w:rPr>
            <w:noProof/>
            <w:webHidden/>
          </w:rPr>
          <w:instrText xml:space="preserve"> PAGEREF _Toc109801405 \h </w:instrText>
        </w:r>
        <w:r>
          <w:rPr>
            <w:noProof/>
            <w:webHidden/>
          </w:rPr>
        </w:r>
        <w:r>
          <w:rPr>
            <w:noProof/>
            <w:webHidden/>
          </w:rPr>
          <w:fldChar w:fldCharType="separate"/>
        </w:r>
        <w:r>
          <w:rPr>
            <w:noProof/>
            <w:webHidden/>
          </w:rPr>
          <w:t>153</w:t>
        </w:r>
        <w:r>
          <w:rPr>
            <w:noProof/>
            <w:webHidden/>
          </w:rPr>
          <w:fldChar w:fldCharType="end"/>
        </w:r>
      </w:hyperlink>
    </w:p>
    <w:p w14:paraId="774B3178" w14:textId="107A4748" w:rsidR="0064349A" w:rsidRDefault="0064349A">
      <w:pPr>
        <w:pStyle w:val="Obsah3"/>
        <w:rPr>
          <w:rFonts w:asciiTheme="minorHAnsi" w:eastAsiaTheme="minorEastAsia" w:hAnsiTheme="minorHAnsi" w:cstheme="minorBidi"/>
          <w:noProof/>
          <w:sz w:val="22"/>
          <w:lang w:eastAsia="cs-CZ"/>
        </w:rPr>
      </w:pPr>
      <w:hyperlink w:anchor="_Toc109801406" w:history="1">
        <w:r w:rsidRPr="00075681">
          <w:rPr>
            <w:rStyle w:val="Hypertextovodkaz"/>
            <w:noProof/>
            <w:lang w:eastAsia="cs-CZ"/>
          </w:rPr>
          <w:t>4.2.2</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_Toc109801406 \h </w:instrText>
        </w:r>
        <w:r>
          <w:rPr>
            <w:noProof/>
            <w:webHidden/>
          </w:rPr>
        </w:r>
        <w:r>
          <w:rPr>
            <w:noProof/>
            <w:webHidden/>
          </w:rPr>
          <w:fldChar w:fldCharType="separate"/>
        </w:r>
        <w:r>
          <w:rPr>
            <w:noProof/>
            <w:webHidden/>
          </w:rPr>
          <w:t>155</w:t>
        </w:r>
        <w:r>
          <w:rPr>
            <w:noProof/>
            <w:webHidden/>
          </w:rPr>
          <w:fldChar w:fldCharType="end"/>
        </w:r>
      </w:hyperlink>
    </w:p>
    <w:p w14:paraId="1AB5C1C1" w14:textId="2F235AC9" w:rsidR="0064349A" w:rsidRDefault="0064349A">
      <w:pPr>
        <w:pStyle w:val="Obsah3"/>
        <w:rPr>
          <w:rFonts w:asciiTheme="minorHAnsi" w:eastAsiaTheme="minorEastAsia" w:hAnsiTheme="minorHAnsi" w:cstheme="minorBidi"/>
          <w:noProof/>
          <w:sz w:val="22"/>
          <w:lang w:eastAsia="cs-CZ"/>
        </w:rPr>
      </w:pPr>
      <w:hyperlink w:anchor="_Toc109801407" w:history="1">
        <w:r w:rsidRPr="00075681">
          <w:rPr>
            <w:rStyle w:val="Hypertextovodkaz"/>
            <w:noProof/>
            <w:lang w:eastAsia="cs-CZ"/>
          </w:rPr>
          <w:t>4.2.3</w:t>
        </w:r>
        <w:r>
          <w:rPr>
            <w:rFonts w:asciiTheme="minorHAnsi" w:eastAsiaTheme="minorEastAsia" w:hAnsiTheme="minorHAnsi" w:cstheme="minorBidi"/>
            <w:noProof/>
            <w:sz w:val="22"/>
            <w:lang w:eastAsia="cs-CZ"/>
          </w:rPr>
          <w:tab/>
        </w:r>
        <w:r w:rsidRPr="00075681">
          <w:rPr>
            <w:rStyle w:val="Hypertextovodkaz"/>
            <w:noProof/>
            <w:lang w:eastAsia="cs-CZ"/>
          </w:rPr>
          <w:t>Vyřizování v přepočtu na soudce</w:t>
        </w:r>
        <w:r>
          <w:rPr>
            <w:noProof/>
            <w:webHidden/>
          </w:rPr>
          <w:tab/>
        </w:r>
        <w:r>
          <w:rPr>
            <w:noProof/>
            <w:webHidden/>
          </w:rPr>
          <w:fldChar w:fldCharType="begin"/>
        </w:r>
        <w:r>
          <w:rPr>
            <w:noProof/>
            <w:webHidden/>
          </w:rPr>
          <w:instrText xml:space="preserve"> PAGEREF _Toc109801407 \h </w:instrText>
        </w:r>
        <w:r>
          <w:rPr>
            <w:noProof/>
            <w:webHidden/>
          </w:rPr>
        </w:r>
        <w:r>
          <w:rPr>
            <w:noProof/>
            <w:webHidden/>
          </w:rPr>
          <w:fldChar w:fldCharType="separate"/>
        </w:r>
        <w:r>
          <w:rPr>
            <w:noProof/>
            <w:webHidden/>
          </w:rPr>
          <w:t>156</w:t>
        </w:r>
        <w:r>
          <w:rPr>
            <w:noProof/>
            <w:webHidden/>
          </w:rPr>
          <w:fldChar w:fldCharType="end"/>
        </w:r>
      </w:hyperlink>
    </w:p>
    <w:p w14:paraId="49D6D803" w14:textId="24BC884E" w:rsidR="0064349A" w:rsidRDefault="0064349A">
      <w:pPr>
        <w:pStyle w:val="Obsah3"/>
        <w:rPr>
          <w:rFonts w:asciiTheme="minorHAnsi" w:eastAsiaTheme="minorEastAsia" w:hAnsiTheme="minorHAnsi" w:cstheme="minorBidi"/>
          <w:noProof/>
          <w:sz w:val="22"/>
          <w:lang w:eastAsia="cs-CZ"/>
        </w:rPr>
      </w:pPr>
      <w:hyperlink w:anchor="_Toc109801408" w:history="1">
        <w:r w:rsidRPr="00075681">
          <w:rPr>
            <w:rStyle w:val="Hypertextovodkaz"/>
            <w:noProof/>
            <w:lang w:eastAsia="cs-CZ"/>
          </w:rPr>
          <w:t>4.2.4</w:t>
        </w:r>
        <w:r>
          <w:rPr>
            <w:rFonts w:asciiTheme="minorHAnsi" w:eastAsiaTheme="minorEastAsia" w:hAnsiTheme="minorHAnsi" w:cstheme="minorBidi"/>
            <w:noProof/>
            <w:sz w:val="22"/>
            <w:lang w:eastAsia="cs-CZ"/>
          </w:rPr>
          <w:tab/>
        </w:r>
        <w:r w:rsidRPr="00075681">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_Toc109801408 \h </w:instrText>
        </w:r>
        <w:r>
          <w:rPr>
            <w:noProof/>
            <w:webHidden/>
          </w:rPr>
        </w:r>
        <w:r>
          <w:rPr>
            <w:noProof/>
            <w:webHidden/>
          </w:rPr>
          <w:fldChar w:fldCharType="separate"/>
        </w:r>
        <w:r>
          <w:rPr>
            <w:noProof/>
            <w:webHidden/>
          </w:rPr>
          <w:t>156</w:t>
        </w:r>
        <w:r>
          <w:rPr>
            <w:noProof/>
            <w:webHidden/>
          </w:rPr>
          <w:fldChar w:fldCharType="end"/>
        </w:r>
      </w:hyperlink>
    </w:p>
    <w:p w14:paraId="5229CF31" w14:textId="58EEDB57" w:rsidR="0064349A" w:rsidRDefault="0064349A">
      <w:pPr>
        <w:pStyle w:val="Obsah2"/>
        <w:rPr>
          <w:rFonts w:asciiTheme="minorHAnsi" w:eastAsiaTheme="minorEastAsia" w:hAnsiTheme="minorHAnsi" w:cstheme="minorBidi"/>
          <w:sz w:val="22"/>
          <w:lang w:eastAsia="cs-CZ"/>
        </w:rPr>
      </w:pPr>
      <w:hyperlink w:anchor="_Toc109801409" w:history="1">
        <w:r w:rsidRPr="00075681">
          <w:rPr>
            <w:rStyle w:val="Hypertextovodkaz"/>
            <w:lang w:eastAsia="cs-CZ"/>
          </w:rPr>
          <w:t>4.3</w:t>
        </w:r>
        <w:r>
          <w:rPr>
            <w:rFonts w:asciiTheme="minorHAnsi" w:eastAsiaTheme="minorEastAsia" w:hAnsiTheme="minorHAnsi" w:cstheme="minorBidi"/>
            <w:sz w:val="22"/>
            <w:lang w:eastAsia="cs-CZ"/>
          </w:rPr>
          <w:tab/>
        </w:r>
        <w:r w:rsidRPr="00075681">
          <w:rPr>
            <w:rStyle w:val="Hypertextovodkaz"/>
            <w:lang w:eastAsia="cs-CZ"/>
          </w:rPr>
          <w:t>Trestní odvolací agenda</w:t>
        </w:r>
        <w:r>
          <w:rPr>
            <w:webHidden/>
          </w:rPr>
          <w:tab/>
        </w:r>
        <w:r>
          <w:rPr>
            <w:webHidden/>
          </w:rPr>
          <w:fldChar w:fldCharType="begin"/>
        </w:r>
        <w:r>
          <w:rPr>
            <w:webHidden/>
          </w:rPr>
          <w:instrText xml:space="preserve"> PAGEREF _Toc109801409 \h </w:instrText>
        </w:r>
        <w:r>
          <w:rPr>
            <w:webHidden/>
          </w:rPr>
        </w:r>
        <w:r>
          <w:rPr>
            <w:webHidden/>
          </w:rPr>
          <w:fldChar w:fldCharType="separate"/>
        </w:r>
        <w:r>
          <w:rPr>
            <w:webHidden/>
          </w:rPr>
          <w:t>158</w:t>
        </w:r>
        <w:r>
          <w:rPr>
            <w:webHidden/>
          </w:rPr>
          <w:fldChar w:fldCharType="end"/>
        </w:r>
      </w:hyperlink>
    </w:p>
    <w:p w14:paraId="28FE7E6B" w14:textId="08800EAC" w:rsidR="0064349A" w:rsidRDefault="0064349A">
      <w:pPr>
        <w:pStyle w:val="Obsah3"/>
        <w:rPr>
          <w:rFonts w:asciiTheme="minorHAnsi" w:eastAsiaTheme="minorEastAsia" w:hAnsiTheme="minorHAnsi" w:cstheme="minorBidi"/>
          <w:noProof/>
          <w:sz w:val="22"/>
          <w:lang w:eastAsia="cs-CZ"/>
        </w:rPr>
      </w:pPr>
      <w:hyperlink w:anchor="_Toc109801410" w:history="1">
        <w:r w:rsidRPr="00075681">
          <w:rPr>
            <w:rStyle w:val="Hypertextovodkaz"/>
            <w:noProof/>
            <w:lang w:eastAsia="cs-CZ"/>
          </w:rPr>
          <w:t>4.3.1</w:t>
        </w:r>
        <w:r>
          <w:rPr>
            <w:rFonts w:asciiTheme="minorHAnsi" w:eastAsiaTheme="minorEastAsia" w:hAnsiTheme="minorHAnsi" w:cstheme="minorBidi"/>
            <w:noProof/>
            <w:sz w:val="22"/>
            <w:lang w:eastAsia="cs-CZ"/>
          </w:rPr>
          <w:tab/>
        </w:r>
        <w:r w:rsidRPr="00075681">
          <w:rPr>
            <w:rStyle w:val="Hypertextovodkaz"/>
            <w:noProof/>
            <w:lang w:eastAsia="cs-CZ"/>
          </w:rPr>
          <w:t>Délka řízení</w:t>
        </w:r>
        <w:r>
          <w:rPr>
            <w:noProof/>
            <w:webHidden/>
          </w:rPr>
          <w:tab/>
        </w:r>
        <w:r>
          <w:rPr>
            <w:noProof/>
            <w:webHidden/>
          </w:rPr>
          <w:fldChar w:fldCharType="begin"/>
        </w:r>
        <w:r>
          <w:rPr>
            <w:noProof/>
            <w:webHidden/>
          </w:rPr>
          <w:instrText xml:space="preserve"> PAGEREF _Toc109801410 \h </w:instrText>
        </w:r>
        <w:r>
          <w:rPr>
            <w:noProof/>
            <w:webHidden/>
          </w:rPr>
        </w:r>
        <w:r>
          <w:rPr>
            <w:noProof/>
            <w:webHidden/>
          </w:rPr>
          <w:fldChar w:fldCharType="separate"/>
        </w:r>
        <w:r>
          <w:rPr>
            <w:noProof/>
            <w:webHidden/>
          </w:rPr>
          <w:t>158</w:t>
        </w:r>
        <w:r>
          <w:rPr>
            <w:noProof/>
            <w:webHidden/>
          </w:rPr>
          <w:fldChar w:fldCharType="end"/>
        </w:r>
      </w:hyperlink>
    </w:p>
    <w:p w14:paraId="46448CC3" w14:textId="757722C8" w:rsidR="0064349A" w:rsidRDefault="0064349A">
      <w:pPr>
        <w:pStyle w:val="Obsah3"/>
        <w:rPr>
          <w:rFonts w:asciiTheme="minorHAnsi" w:eastAsiaTheme="minorEastAsia" w:hAnsiTheme="minorHAnsi" w:cstheme="minorBidi"/>
          <w:noProof/>
          <w:sz w:val="22"/>
          <w:lang w:eastAsia="cs-CZ"/>
        </w:rPr>
      </w:pPr>
      <w:hyperlink w:anchor="_Toc109801411" w:history="1">
        <w:r w:rsidRPr="00075681">
          <w:rPr>
            <w:rStyle w:val="Hypertextovodkaz"/>
            <w:noProof/>
            <w:lang w:eastAsia="cs-CZ"/>
          </w:rPr>
          <w:t>4.3.2</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_Toc109801411 \h </w:instrText>
        </w:r>
        <w:r>
          <w:rPr>
            <w:noProof/>
            <w:webHidden/>
          </w:rPr>
        </w:r>
        <w:r>
          <w:rPr>
            <w:noProof/>
            <w:webHidden/>
          </w:rPr>
          <w:fldChar w:fldCharType="separate"/>
        </w:r>
        <w:r>
          <w:rPr>
            <w:noProof/>
            <w:webHidden/>
          </w:rPr>
          <w:t>159</w:t>
        </w:r>
        <w:r>
          <w:rPr>
            <w:noProof/>
            <w:webHidden/>
          </w:rPr>
          <w:fldChar w:fldCharType="end"/>
        </w:r>
      </w:hyperlink>
    </w:p>
    <w:p w14:paraId="4ED8F007" w14:textId="111FC88A" w:rsidR="0064349A" w:rsidRDefault="0064349A">
      <w:pPr>
        <w:pStyle w:val="Obsah3"/>
        <w:rPr>
          <w:rFonts w:asciiTheme="minorHAnsi" w:eastAsiaTheme="minorEastAsia" w:hAnsiTheme="minorHAnsi" w:cstheme="minorBidi"/>
          <w:noProof/>
          <w:sz w:val="22"/>
          <w:lang w:eastAsia="cs-CZ"/>
        </w:rPr>
      </w:pPr>
      <w:hyperlink w:anchor="_Toc109801412" w:history="1">
        <w:r w:rsidRPr="00075681">
          <w:rPr>
            <w:rStyle w:val="Hypertextovodkaz"/>
            <w:noProof/>
            <w:lang w:eastAsia="cs-CZ"/>
          </w:rPr>
          <w:t>4.3.3</w:t>
        </w:r>
        <w:r>
          <w:rPr>
            <w:rFonts w:asciiTheme="minorHAnsi" w:eastAsiaTheme="minorEastAsia" w:hAnsiTheme="minorHAnsi" w:cstheme="minorBidi"/>
            <w:noProof/>
            <w:sz w:val="22"/>
            <w:lang w:eastAsia="cs-CZ"/>
          </w:rPr>
          <w:tab/>
        </w:r>
        <w:r w:rsidRPr="00075681">
          <w:rPr>
            <w:rStyle w:val="Hypertextovodkaz"/>
            <w:noProof/>
            <w:lang w:eastAsia="cs-CZ"/>
          </w:rPr>
          <w:t>Vyřizování věcí v přepočtu na soudce</w:t>
        </w:r>
        <w:r>
          <w:rPr>
            <w:noProof/>
            <w:webHidden/>
          </w:rPr>
          <w:tab/>
        </w:r>
        <w:r>
          <w:rPr>
            <w:noProof/>
            <w:webHidden/>
          </w:rPr>
          <w:fldChar w:fldCharType="begin"/>
        </w:r>
        <w:r>
          <w:rPr>
            <w:noProof/>
            <w:webHidden/>
          </w:rPr>
          <w:instrText xml:space="preserve"> PAGEREF _Toc109801412 \h </w:instrText>
        </w:r>
        <w:r>
          <w:rPr>
            <w:noProof/>
            <w:webHidden/>
          </w:rPr>
        </w:r>
        <w:r>
          <w:rPr>
            <w:noProof/>
            <w:webHidden/>
          </w:rPr>
          <w:fldChar w:fldCharType="separate"/>
        </w:r>
        <w:r>
          <w:rPr>
            <w:noProof/>
            <w:webHidden/>
          </w:rPr>
          <w:t>160</w:t>
        </w:r>
        <w:r>
          <w:rPr>
            <w:noProof/>
            <w:webHidden/>
          </w:rPr>
          <w:fldChar w:fldCharType="end"/>
        </w:r>
      </w:hyperlink>
    </w:p>
    <w:p w14:paraId="737D188D" w14:textId="38C0E790" w:rsidR="0064349A" w:rsidRDefault="0064349A">
      <w:pPr>
        <w:pStyle w:val="Obsah2"/>
        <w:rPr>
          <w:rFonts w:asciiTheme="minorHAnsi" w:eastAsiaTheme="minorEastAsia" w:hAnsiTheme="minorHAnsi" w:cstheme="minorBidi"/>
          <w:sz w:val="22"/>
          <w:lang w:eastAsia="cs-CZ"/>
        </w:rPr>
      </w:pPr>
      <w:hyperlink w:anchor="_Toc109801413" w:history="1">
        <w:r w:rsidRPr="00075681">
          <w:rPr>
            <w:rStyle w:val="Hypertextovodkaz"/>
          </w:rPr>
          <w:t>4.4</w:t>
        </w:r>
        <w:r>
          <w:rPr>
            <w:rFonts w:asciiTheme="minorHAnsi" w:eastAsiaTheme="minorEastAsia" w:hAnsiTheme="minorHAnsi" w:cstheme="minorBidi"/>
            <w:sz w:val="22"/>
            <w:lang w:eastAsia="cs-CZ"/>
          </w:rPr>
          <w:tab/>
        </w:r>
        <w:r w:rsidRPr="00075681">
          <w:rPr>
            <w:rStyle w:val="Hypertextovodkaz"/>
          </w:rPr>
          <w:t>Insolvenční agenda – II. stupeň</w:t>
        </w:r>
        <w:r>
          <w:rPr>
            <w:webHidden/>
          </w:rPr>
          <w:tab/>
        </w:r>
        <w:r>
          <w:rPr>
            <w:webHidden/>
          </w:rPr>
          <w:fldChar w:fldCharType="begin"/>
        </w:r>
        <w:r>
          <w:rPr>
            <w:webHidden/>
          </w:rPr>
          <w:instrText xml:space="preserve"> PAGEREF _Toc109801413 \h </w:instrText>
        </w:r>
        <w:r>
          <w:rPr>
            <w:webHidden/>
          </w:rPr>
        </w:r>
        <w:r>
          <w:rPr>
            <w:webHidden/>
          </w:rPr>
          <w:fldChar w:fldCharType="separate"/>
        </w:r>
        <w:r>
          <w:rPr>
            <w:webHidden/>
          </w:rPr>
          <w:t>162</w:t>
        </w:r>
        <w:r>
          <w:rPr>
            <w:webHidden/>
          </w:rPr>
          <w:fldChar w:fldCharType="end"/>
        </w:r>
      </w:hyperlink>
    </w:p>
    <w:p w14:paraId="2123DB86" w14:textId="227376C9" w:rsidR="0064349A" w:rsidRDefault="0064349A">
      <w:pPr>
        <w:pStyle w:val="Obsah3"/>
        <w:rPr>
          <w:rFonts w:asciiTheme="minorHAnsi" w:eastAsiaTheme="minorEastAsia" w:hAnsiTheme="minorHAnsi" w:cstheme="minorBidi"/>
          <w:noProof/>
          <w:sz w:val="22"/>
          <w:lang w:eastAsia="cs-CZ"/>
        </w:rPr>
      </w:pPr>
      <w:hyperlink w:anchor="_Toc109801414" w:history="1">
        <w:r w:rsidRPr="00075681">
          <w:rPr>
            <w:rStyle w:val="Hypertextovodkaz"/>
            <w:noProof/>
            <w:lang w:eastAsia="cs-CZ"/>
          </w:rPr>
          <w:t>4.4.1</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_Toc109801414 \h </w:instrText>
        </w:r>
        <w:r>
          <w:rPr>
            <w:noProof/>
            <w:webHidden/>
          </w:rPr>
        </w:r>
        <w:r>
          <w:rPr>
            <w:noProof/>
            <w:webHidden/>
          </w:rPr>
          <w:fldChar w:fldCharType="separate"/>
        </w:r>
        <w:r>
          <w:rPr>
            <w:noProof/>
            <w:webHidden/>
          </w:rPr>
          <w:t>162</w:t>
        </w:r>
        <w:r>
          <w:rPr>
            <w:noProof/>
            <w:webHidden/>
          </w:rPr>
          <w:fldChar w:fldCharType="end"/>
        </w:r>
      </w:hyperlink>
    </w:p>
    <w:p w14:paraId="77A978B8" w14:textId="132EF9D9" w:rsidR="0064349A" w:rsidRDefault="0064349A">
      <w:pPr>
        <w:pStyle w:val="Obsah3"/>
        <w:rPr>
          <w:rFonts w:asciiTheme="minorHAnsi" w:eastAsiaTheme="minorEastAsia" w:hAnsiTheme="minorHAnsi" w:cstheme="minorBidi"/>
          <w:noProof/>
          <w:sz w:val="22"/>
          <w:lang w:eastAsia="cs-CZ"/>
        </w:rPr>
      </w:pPr>
      <w:hyperlink w:anchor="_Toc109801415" w:history="1">
        <w:r w:rsidRPr="00075681">
          <w:rPr>
            <w:rStyle w:val="Hypertextovodkaz"/>
            <w:noProof/>
            <w:lang w:eastAsia="cs-CZ"/>
          </w:rPr>
          <w:t>4.4.2</w:t>
        </w:r>
        <w:r>
          <w:rPr>
            <w:rFonts w:asciiTheme="minorHAnsi" w:eastAsiaTheme="minorEastAsia" w:hAnsiTheme="minorHAnsi" w:cstheme="minorBidi"/>
            <w:noProof/>
            <w:sz w:val="22"/>
            <w:lang w:eastAsia="cs-CZ"/>
          </w:rPr>
          <w:tab/>
        </w:r>
        <w:r w:rsidRPr="00075681">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_Toc109801415 \h </w:instrText>
        </w:r>
        <w:r>
          <w:rPr>
            <w:noProof/>
            <w:webHidden/>
          </w:rPr>
        </w:r>
        <w:r>
          <w:rPr>
            <w:noProof/>
            <w:webHidden/>
          </w:rPr>
          <w:fldChar w:fldCharType="separate"/>
        </w:r>
        <w:r>
          <w:rPr>
            <w:noProof/>
            <w:webHidden/>
          </w:rPr>
          <w:t>163</w:t>
        </w:r>
        <w:r>
          <w:rPr>
            <w:noProof/>
            <w:webHidden/>
          </w:rPr>
          <w:fldChar w:fldCharType="end"/>
        </w:r>
      </w:hyperlink>
    </w:p>
    <w:p w14:paraId="3B893144" w14:textId="5E166C11" w:rsidR="0064349A" w:rsidRDefault="0064349A">
      <w:pPr>
        <w:pStyle w:val="Obsah2"/>
        <w:rPr>
          <w:rFonts w:asciiTheme="minorHAnsi" w:eastAsiaTheme="minorEastAsia" w:hAnsiTheme="minorHAnsi" w:cstheme="minorBidi"/>
          <w:sz w:val="22"/>
          <w:lang w:eastAsia="cs-CZ"/>
        </w:rPr>
      </w:pPr>
      <w:hyperlink w:anchor="_Toc109801416" w:history="1">
        <w:r w:rsidRPr="00075681">
          <w:rPr>
            <w:rStyle w:val="Hypertextovodkaz"/>
          </w:rPr>
          <w:t>4.5</w:t>
        </w:r>
        <w:r>
          <w:rPr>
            <w:rFonts w:asciiTheme="minorHAnsi" w:eastAsiaTheme="minorEastAsia" w:hAnsiTheme="minorHAnsi" w:cstheme="minorBidi"/>
            <w:sz w:val="22"/>
            <w:lang w:eastAsia="cs-CZ"/>
          </w:rPr>
          <w:tab/>
        </w:r>
        <w:r w:rsidRPr="00075681">
          <w:rPr>
            <w:rStyle w:val="Hypertextovodkaz"/>
          </w:rPr>
          <w:t>Incidenční spory – II. stupeň</w:t>
        </w:r>
        <w:r>
          <w:rPr>
            <w:webHidden/>
          </w:rPr>
          <w:tab/>
        </w:r>
        <w:r>
          <w:rPr>
            <w:webHidden/>
          </w:rPr>
          <w:fldChar w:fldCharType="begin"/>
        </w:r>
        <w:r>
          <w:rPr>
            <w:webHidden/>
          </w:rPr>
          <w:instrText xml:space="preserve"> PAGEREF _Toc109801416 \h </w:instrText>
        </w:r>
        <w:r>
          <w:rPr>
            <w:webHidden/>
          </w:rPr>
        </w:r>
        <w:r>
          <w:rPr>
            <w:webHidden/>
          </w:rPr>
          <w:fldChar w:fldCharType="separate"/>
        </w:r>
        <w:r>
          <w:rPr>
            <w:webHidden/>
          </w:rPr>
          <w:t>165</w:t>
        </w:r>
        <w:r>
          <w:rPr>
            <w:webHidden/>
          </w:rPr>
          <w:fldChar w:fldCharType="end"/>
        </w:r>
      </w:hyperlink>
    </w:p>
    <w:p w14:paraId="1933D273" w14:textId="549304F9" w:rsidR="0064349A" w:rsidRDefault="0064349A">
      <w:pPr>
        <w:pStyle w:val="Obsah3"/>
        <w:rPr>
          <w:rFonts w:asciiTheme="minorHAnsi" w:eastAsiaTheme="minorEastAsia" w:hAnsiTheme="minorHAnsi" w:cstheme="minorBidi"/>
          <w:noProof/>
          <w:sz w:val="22"/>
          <w:lang w:eastAsia="cs-CZ"/>
        </w:rPr>
      </w:pPr>
      <w:hyperlink w:anchor="_Toc109801417" w:history="1">
        <w:r w:rsidRPr="00075681">
          <w:rPr>
            <w:rStyle w:val="Hypertextovodkaz"/>
            <w:noProof/>
          </w:rPr>
          <w:t>4.5.1</w:t>
        </w:r>
        <w:r>
          <w:rPr>
            <w:rFonts w:asciiTheme="minorHAnsi" w:eastAsiaTheme="minorEastAsia" w:hAnsiTheme="minorHAnsi" w:cstheme="minorBidi"/>
            <w:noProof/>
            <w:sz w:val="22"/>
            <w:lang w:eastAsia="cs-CZ"/>
          </w:rPr>
          <w:tab/>
        </w:r>
        <w:r w:rsidRPr="00075681">
          <w:rPr>
            <w:rStyle w:val="Hypertextovodkaz"/>
            <w:noProof/>
          </w:rPr>
          <w:t>Délka řízení</w:t>
        </w:r>
        <w:r>
          <w:rPr>
            <w:noProof/>
            <w:webHidden/>
          </w:rPr>
          <w:tab/>
        </w:r>
        <w:r>
          <w:rPr>
            <w:noProof/>
            <w:webHidden/>
          </w:rPr>
          <w:fldChar w:fldCharType="begin"/>
        </w:r>
        <w:r>
          <w:rPr>
            <w:noProof/>
            <w:webHidden/>
          </w:rPr>
          <w:instrText xml:space="preserve"> PAGEREF _Toc109801417 \h </w:instrText>
        </w:r>
        <w:r>
          <w:rPr>
            <w:noProof/>
            <w:webHidden/>
          </w:rPr>
        </w:r>
        <w:r>
          <w:rPr>
            <w:noProof/>
            <w:webHidden/>
          </w:rPr>
          <w:fldChar w:fldCharType="separate"/>
        </w:r>
        <w:r>
          <w:rPr>
            <w:noProof/>
            <w:webHidden/>
          </w:rPr>
          <w:t>165</w:t>
        </w:r>
        <w:r>
          <w:rPr>
            <w:noProof/>
            <w:webHidden/>
          </w:rPr>
          <w:fldChar w:fldCharType="end"/>
        </w:r>
      </w:hyperlink>
    </w:p>
    <w:p w14:paraId="741D49F6" w14:textId="229C3BA8" w:rsidR="0064349A" w:rsidRDefault="0064349A">
      <w:pPr>
        <w:pStyle w:val="Obsah3"/>
        <w:rPr>
          <w:rFonts w:asciiTheme="minorHAnsi" w:eastAsiaTheme="minorEastAsia" w:hAnsiTheme="minorHAnsi" w:cstheme="minorBidi"/>
          <w:noProof/>
          <w:sz w:val="22"/>
          <w:lang w:eastAsia="cs-CZ"/>
        </w:rPr>
      </w:pPr>
      <w:hyperlink w:anchor="_Toc109801418" w:history="1">
        <w:r w:rsidRPr="00075681">
          <w:rPr>
            <w:rStyle w:val="Hypertextovodkaz"/>
            <w:noProof/>
            <w:lang w:eastAsia="cs-CZ"/>
          </w:rPr>
          <w:t>4.5.2</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_Toc109801418 \h </w:instrText>
        </w:r>
        <w:r>
          <w:rPr>
            <w:noProof/>
            <w:webHidden/>
          </w:rPr>
        </w:r>
        <w:r>
          <w:rPr>
            <w:noProof/>
            <w:webHidden/>
          </w:rPr>
          <w:fldChar w:fldCharType="separate"/>
        </w:r>
        <w:r>
          <w:rPr>
            <w:noProof/>
            <w:webHidden/>
          </w:rPr>
          <w:t>167</w:t>
        </w:r>
        <w:r>
          <w:rPr>
            <w:noProof/>
            <w:webHidden/>
          </w:rPr>
          <w:fldChar w:fldCharType="end"/>
        </w:r>
      </w:hyperlink>
    </w:p>
    <w:p w14:paraId="22AB4773" w14:textId="7D42CC5B" w:rsidR="0064349A" w:rsidRDefault="0064349A">
      <w:pPr>
        <w:pStyle w:val="Obsah3"/>
        <w:rPr>
          <w:rFonts w:asciiTheme="minorHAnsi" w:eastAsiaTheme="minorEastAsia" w:hAnsiTheme="minorHAnsi" w:cstheme="minorBidi"/>
          <w:noProof/>
          <w:sz w:val="22"/>
          <w:lang w:eastAsia="cs-CZ"/>
        </w:rPr>
      </w:pPr>
      <w:hyperlink w:anchor="_Toc109801419" w:history="1">
        <w:r w:rsidRPr="00075681">
          <w:rPr>
            <w:rStyle w:val="Hypertextovodkaz"/>
            <w:noProof/>
            <w:lang w:eastAsia="cs-CZ"/>
          </w:rPr>
          <w:t>4.5.3</w:t>
        </w:r>
        <w:r>
          <w:rPr>
            <w:rFonts w:asciiTheme="minorHAnsi" w:eastAsiaTheme="minorEastAsia" w:hAnsiTheme="minorHAnsi" w:cstheme="minorBidi"/>
            <w:noProof/>
            <w:sz w:val="22"/>
            <w:lang w:eastAsia="cs-CZ"/>
          </w:rPr>
          <w:tab/>
        </w:r>
        <w:r w:rsidRPr="00075681">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_Toc109801419 \h </w:instrText>
        </w:r>
        <w:r>
          <w:rPr>
            <w:noProof/>
            <w:webHidden/>
          </w:rPr>
        </w:r>
        <w:r>
          <w:rPr>
            <w:noProof/>
            <w:webHidden/>
          </w:rPr>
          <w:fldChar w:fldCharType="separate"/>
        </w:r>
        <w:r>
          <w:rPr>
            <w:noProof/>
            <w:webHidden/>
          </w:rPr>
          <w:t>168</w:t>
        </w:r>
        <w:r>
          <w:rPr>
            <w:noProof/>
            <w:webHidden/>
          </w:rPr>
          <w:fldChar w:fldCharType="end"/>
        </w:r>
      </w:hyperlink>
    </w:p>
    <w:p w14:paraId="1FE0BB9B" w14:textId="3FC2DF21" w:rsidR="0064349A" w:rsidRDefault="0064349A">
      <w:pPr>
        <w:pStyle w:val="Obsah1"/>
        <w:tabs>
          <w:tab w:val="left" w:pos="482"/>
        </w:tabs>
        <w:rPr>
          <w:rFonts w:asciiTheme="minorHAnsi" w:eastAsiaTheme="minorEastAsia" w:hAnsiTheme="minorHAnsi" w:cstheme="minorBidi"/>
          <w:noProof/>
          <w:sz w:val="22"/>
          <w:lang w:eastAsia="cs-CZ"/>
        </w:rPr>
      </w:pPr>
      <w:hyperlink w:anchor="_Toc109801420" w:history="1">
        <w:r w:rsidRPr="00075681">
          <w:rPr>
            <w:rStyle w:val="Hypertextovodkaz"/>
            <w:noProof/>
            <w:lang w:eastAsia="cs-CZ"/>
          </w:rPr>
          <w:t>5</w:t>
        </w:r>
        <w:r>
          <w:rPr>
            <w:rFonts w:asciiTheme="minorHAnsi" w:eastAsiaTheme="minorEastAsia" w:hAnsiTheme="minorHAnsi" w:cstheme="minorBidi"/>
            <w:noProof/>
            <w:sz w:val="22"/>
            <w:lang w:eastAsia="cs-CZ"/>
          </w:rPr>
          <w:tab/>
        </w:r>
        <w:r w:rsidRPr="00075681">
          <w:rPr>
            <w:rStyle w:val="Hypertextovodkaz"/>
            <w:noProof/>
            <w:lang w:eastAsia="cs-CZ"/>
          </w:rPr>
          <w:t>Nejvyšší soud</w:t>
        </w:r>
        <w:r>
          <w:rPr>
            <w:noProof/>
            <w:webHidden/>
          </w:rPr>
          <w:tab/>
        </w:r>
        <w:r>
          <w:rPr>
            <w:noProof/>
            <w:webHidden/>
          </w:rPr>
          <w:fldChar w:fldCharType="begin"/>
        </w:r>
        <w:r>
          <w:rPr>
            <w:noProof/>
            <w:webHidden/>
          </w:rPr>
          <w:instrText xml:space="preserve"> PAGEREF _Toc109801420 \h </w:instrText>
        </w:r>
        <w:r>
          <w:rPr>
            <w:noProof/>
            <w:webHidden/>
          </w:rPr>
        </w:r>
        <w:r>
          <w:rPr>
            <w:noProof/>
            <w:webHidden/>
          </w:rPr>
          <w:fldChar w:fldCharType="separate"/>
        </w:r>
        <w:r>
          <w:rPr>
            <w:noProof/>
            <w:webHidden/>
          </w:rPr>
          <w:t>169</w:t>
        </w:r>
        <w:r>
          <w:rPr>
            <w:noProof/>
            <w:webHidden/>
          </w:rPr>
          <w:fldChar w:fldCharType="end"/>
        </w:r>
      </w:hyperlink>
    </w:p>
    <w:p w14:paraId="0B89DEF6" w14:textId="37463907" w:rsidR="0064349A" w:rsidRDefault="0064349A">
      <w:pPr>
        <w:pStyle w:val="Obsah2"/>
        <w:rPr>
          <w:rFonts w:asciiTheme="minorHAnsi" w:eastAsiaTheme="minorEastAsia" w:hAnsiTheme="minorHAnsi" w:cstheme="minorBidi"/>
          <w:sz w:val="22"/>
          <w:lang w:eastAsia="cs-CZ"/>
        </w:rPr>
      </w:pPr>
      <w:hyperlink w:anchor="_Toc109801421" w:history="1">
        <w:r w:rsidRPr="00075681">
          <w:rPr>
            <w:rStyle w:val="Hypertextovodkaz"/>
            <w:lang w:eastAsia="cs-CZ"/>
          </w:rPr>
          <w:t>5.1</w:t>
        </w:r>
        <w:r>
          <w:rPr>
            <w:rFonts w:asciiTheme="minorHAnsi" w:eastAsiaTheme="minorEastAsia" w:hAnsiTheme="minorHAnsi" w:cstheme="minorBidi"/>
            <w:sz w:val="22"/>
            <w:lang w:eastAsia="cs-CZ"/>
          </w:rPr>
          <w:tab/>
        </w:r>
        <w:r w:rsidRPr="00075681">
          <w:rPr>
            <w:rStyle w:val="Hypertextovodkaz"/>
            <w:lang w:eastAsia="cs-CZ"/>
          </w:rPr>
          <w:t>Personál</w:t>
        </w:r>
        <w:r>
          <w:rPr>
            <w:webHidden/>
          </w:rPr>
          <w:tab/>
        </w:r>
        <w:r>
          <w:rPr>
            <w:webHidden/>
          </w:rPr>
          <w:fldChar w:fldCharType="begin"/>
        </w:r>
        <w:r>
          <w:rPr>
            <w:webHidden/>
          </w:rPr>
          <w:instrText xml:space="preserve"> PAGEREF _Toc109801421 \h </w:instrText>
        </w:r>
        <w:r>
          <w:rPr>
            <w:webHidden/>
          </w:rPr>
        </w:r>
        <w:r>
          <w:rPr>
            <w:webHidden/>
          </w:rPr>
          <w:fldChar w:fldCharType="separate"/>
        </w:r>
        <w:r>
          <w:rPr>
            <w:webHidden/>
          </w:rPr>
          <w:t>169</w:t>
        </w:r>
        <w:r>
          <w:rPr>
            <w:webHidden/>
          </w:rPr>
          <w:fldChar w:fldCharType="end"/>
        </w:r>
      </w:hyperlink>
    </w:p>
    <w:p w14:paraId="433B38F1" w14:textId="42E7A828" w:rsidR="0064349A" w:rsidRDefault="0064349A">
      <w:pPr>
        <w:pStyle w:val="Obsah3"/>
        <w:rPr>
          <w:rFonts w:asciiTheme="minorHAnsi" w:eastAsiaTheme="minorEastAsia" w:hAnsiTheme="minorHAnsi" w:cstheme="minorBidi"/>
          <w:noProof/>
          <w:sz w:val="22"/>
          <w:lang w:eastAsia="cs-CZ"/>
        </w:rPr>
      </w:pPr>
      <w:hyperlink w:anchor="_Toc109801422" w:history="1">
        <w:r w:rsidRPr="00075681">
          <w:rPr>
            <w:rStyle w:val="Hypertextovodkaz"/>
            <w:noProof/>
            <w:lang w:eastAsia="cs-CZ"/>
          </w:rPr>
          <w:t>5.1.1</w:t>
        </w:r>
        <w:r>
          <w:rPr>
            <w:rFonts w:asciiTheme="minorHAnsi" w:eastAsiaTheme="minorEastAsia" w:hAnsiTheme="minorHAnsi" w:cstheme="minorBidi"/>
            <w:noProof/>
            <w:sz w:val="22"/>
            <w:lang w:eastAsia="cs-CZ"/>
          </w:rPr>
          <w:tab/>
        </w:r>
        <w:r w:rsidRPr="00075681">
          <w:rPr>
            <w:rStyle w:val="Hypertextovodkaz"/>
            <w:noProof/>
            <w:lang w:eastAsia="cs-CZ"/>
          </w:rPr>
          <w:t>Soudci</w:t>
        </w:r>
        <w:r>
          <w:rPr>
            <w:noProof/>
            <w:webHidden/>
          </w:rPr>
          <w:tab/>
        </w:r>
        <w:r>
          <w:rPr>
            <w:noProof/>
            <w:webHidden/>
          </w:rPr>
          <w:fldChar w:fldCharType="begin"/>
        </w:r>
        <w:r>
          <w:rPr>
            <w:noProof/>
            <w:webHidden/>
          </w:rPr>
          <w:instrText xml:space="preserve"> PAGEREF _Toc109801422 \h </w:instrText>
        </w:r>
        <w:r>
          <w:rPr>
            <w:noProof/>
            <w:webHidden/>
          </w:rPr>
        </w:r>
        <w:r>
          <w:rPr>
            <w:noProof/>
            <w:webHidden/>
          </w:rPr>
          <w:fldChar w:fldCharType="separate"/>
        </w:r>
        <w:r>
          <w:rPr>
            <w:noProof/>
            <w:webHidden/>
          </w:rPr>
          <w:t>169</w:t>
        </w:r>
        <w:r>
          <w:rPr>
            <w:noProof/>
            <w:webHidden/>
          </w:rPr>
          <w:fldChar w:fldCharType="end"/>
        </w:r>
      </w:hyperlink>
    </w:p>
    <w:p w14:paraId="52044A85" w14:textId="533E534C" w:rsidR="0064349A" w:rsidRDefault="0064349A">
      <w:pPr>
        <w:pStyle w:val="Obsah3"/>
        <w:rPr>
          <w:rFonts w:asciiTheme="minorHAnsi" w:eastAsiaTheme="minorEastAsia" w:hAnsiTheme="minorHAnsi" w:cstheme="minorBidi"/>
          <w:noProof/>
          <w:sz w:val="22"/>
          <w:lang w:eastAsia="cs-CZ"/>
        </w:rPr>
      </w:pPr>
      <w:hyperlink w:anchor="_Toc109801423" w:history="1">
        <w:r w:rsidRPr="00075681">
          <w:rPr>
            <w:rStyle w:val="Hypertextovodkaz"/>
            <w:noProof/>
            <w:lang w:eastAsia="cs-CZ"/>
          </w:rPr>
          <w:t>5.1.2</w:t>
        </w:r>
        <w:r>
          <w:rPr>
            <w:rFonts w:asciiTheme="minorHAnsi" w:eastAsiaTheme="minorEastAsia" w:hAnsiTheme="minorHAnsi" w:cstheme="minorBidi"/>
            <w:noProof/>
            <w:sz w:val="22"/>
            <w:lang w:eastAsia="cs-CZ"/>
          </w:rPr>
          <w:tab/>
        </w:r>
        <w:r w:rsidRPr="00075681">
          <w:rPr>
            <w:rStyle w:val="Hypertextovodkaz"/>
            <w:noProof/>
            <w:lang w:eastAsia="cs-CZ"/>
          </w:rPr>
          <w:t>Zaměstnanci ve výkonu</w:t>
        </w:r>
        <w:r>
          <w:rPr>
            <w:noProof/>
            <w:webHidden/>
          </w:rPr>
          <w:tab/>
        </w:r>
        <w:r>
          <w:rPr>
            <w:noProof/>
            <w:webHidden/>
          </w:rPr>
          <w:fldChar w:fldCharType="begin"/>
        </w:r>
        <w:r>
          <w:rPr>
            <w:noProof/>
            <w:webHidden/>
          </w:rPr>
          <w:instrText xml:space="preserve"> PAGEREF _Toc109801423 \h </w:instrText>
        </w:r>
        <w:r>
          <w:rPr>
            <w:noProof/>
            <w:webHidden/>
          </w:rPr>
        </w:r>
        <w:r>
          <w:rPr>
            <w:noProof/>
            <w:webHidden/>
          </w:rPr>
          <w:fldChar w:fldCharType="separate"/>
        </w:r>
        <w:r>
          <w:rPr>
            <w:noProof/>
            <w:webHidden/>
          </w:rPr>
          <w:t>172</w:t>
        </w:r>
        <w:r>
          <w:rPr>
            <w:noProof/>
            <w:webHidden/>
          </w:rPr>
          <w:fldChar w:fldCharType="end"/>
        </w:r>
      </w:hyperlink>
    </w:p>
    <w:p w14:paraId="09ABA969" w14:textId="5A4DA24A" w:rsidR="0064349A" w:rsidRDefault="0064349A">
      <w:pPr>
        <w:pStyle w:val="Obsah2"/>
        <w:rPr>
          <w:rFonts w:asciiTheme="minorHAnsi" w:eastAsiaTheme="minorEastAsia" w:hAnsiTheme="minorHAnsi" w:cstheme="minorBidi"/>
          <w:sz w:val="22"/>
          <w:lang w:eastAsia="cs-CZ"/>
        </w:rPr>
      </w:pPr>
      <w:hyperlink w:anchor="_Toc109801424" w:history="1">
        <w:r w:rsidRPr="00075681">
          <w:rPr>
            <w:rStyle w:val="Hypertextovodkaz"/>
            <w:lang w:eastAsia="cs-CZ"/>
          </w:rPr>
          <w:t>5.2</w:t>
        </w:r>
        <w:r>
          <w:rPr>
            <w:rFonts w:asciiTheme="minorHAnsi" w:eastAsiaTheme="minorEastAsia" w:hAnsiTheme="minorHAnsi" w:cstheme="minorBidi"/>
            <w:sz w:val="22"/>
            <w:lang w:eastAsia="cs-CZ"/>
          </w:rPr>
          <w:tab/>
        </w:r>
        <w:r w:rsidRPr="00075681">
          <w:rPr>
            <w:rStyle w:val="Hypertextovodkaz"/>
            <w:lang w:eastAsia="cs-CZ"/>
          </w:rPr>
          <w:t>Civilní dovolací agenda</w:t>
        </w:r>
        <w:r>
          <w:rPr>
            <w:webHidden/>
          </w:rPr>
          <w:tab/>
        </w:r>
        <w:r>
          <w:rPr>
            <w:webHidden/>
          </w:rPr>
          <w:fldChar w:fldCharType="begin"/>
        </w:r>
        <w:r>
          <w:rPr>
            <w:webHidden/>
          </w:rPr>
          <w:instrText xml:space="preserve"> PAGEREF _Toc109801424 \h </w:instrText>
        </w:r>
        <w:r>
          <w:rPr>
            <w:webHidden/>
          </w:rPr>
        </w:r>
        <w:r>
          <w:rPr>
            <w:webHidden/>
          </w:rPr>
          <w:fldChar w:fldCharType="separate"/>
        </w:r>
        <w:r>
          <w:rPr>
            <w:webHidden/>
          </w:rPr>
          <w:t>173</w:t>
        </w:r>
        <w:r>
          <w:rPr>
            <w:webHidden/>
          </w:rPr>
          <w:fldChar w:fldCharType="end"/>
        </w:r>
      </w:hyperlink>
    </w:p>
    <w:p w14:paraId="198ED380" w14:textId="187DC2BC" w:rsidR="0064349A" w:rsidRDefault="0064349A">
      <w:pPr>
        <w:pStyle w:val="Obsah3"/>
        <w:rPr>
          <w:rFonts w:asciiTheme="minorHAnsi" w:eastAsiaTheme="minorEastAsia" w:hAnsiTheme="minorHAnsi" w:cstheme="minorBidi"/>
          <w:noProof/>
          <w:sz w:val="22"/>
          <w:lang w:eastAsia="cs-CZ"/>
        </w:rPr>
      </w:pPr>
      <w:hyperlink w:anchor="_Toc109801425" w:history="1">
        <w:r w:rsidRPr="00075681">
          <w:rPr>
            <w:rStyle w:val="Hypertextovodkaz"/>
            <w:noProof/>
            <w:lang w:eastAsia="cs-CZ"/>
          </w:rPr>
          <w:t>5.2.1</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_Toc109801425 \h </w:instrText>
        </w:r>
        <w:r>
          <w:rPr>
            <w:noProof/>
            <w:webHidden/>
          </w:rPr>
        </w:r>
        <w:r>
          <w:rPr>
            <w:noProof/>
            <w:webHidden/>
          </w:rPr>
          <w:fldChar w:fldCharType="separate"/>
        </w:r>
        <w:r>
          <w:rPr>
            <w:noProof/>
            <w:webHidden/>
          </w:rPr>
          <w:t>173</w:t>
        </w:r>
        <w:r>
          <w:rPr>
            <w:noProof/>
            <w:webHidden/>
          </w:rPr>
          <w:fldChar w:fldCharType="end"/>
        </w:r>
      </w:hyperlink>
    </w:p>
    <w:p w14:paraId="17548B60" w14:textId="6E700782" w:rsidR="0064349A" w:rsidRDefault="0064349A">
      <w:pPr>
        <w:pStyle w:val="Obsah2"/>
        <w:rPr>
          <w:rFonts w:asciiTheme="minorHAnsi" w:eastAsiaTheme="minorEastAsia" w:hAnsiTheme="minorHAnsi" w:cstheme="minorBidi"/>
          <w:sz w:val="22"/>
          <w:lang w:eastAsia="cs-CZ"/>
        </w:rPr>
      </w:pPr>
      <w:hyperlink w:anchor="_Toc109801426" w:history="1">
        <w:r w:rsidRPr="00075681">
          <w:rPr>
            <w:rStyle w:val="Hypertextovodkaz"/>
          </w:rPr>
          <w:t>5.3</w:t>
        </w:r>
        <w:r>
          <w:rPr>
            <w:rFonts w:asciiTheme="minorHAnsi" w:eastAsiaTheme="minorEastAsia" w:hAnsiTheme="minorHAnsi" w:cstheme="minorBidi"/>
            <w:sz w:val="22"/>
            <w:lang w:eastAsia="cs-CZ"/>
          </w:rPr>
          <w:tab/>
        </w:r>
        <w:r w:rsidRPr="00075681">
          <w:rPr>
            <w:rStyle w:val="Hypertextovodkaz"/>
          </w:rPr>
          <w:t>Trestní dovolací agenda</w:t>
        </w:r>
        <w:r>
          <w:rPr>
            <w:webHidden/>
          </w:rPr>
          <w:tab/>
        </w:r>
        <w:r>
          <w:rPr>
            <w:webHidden/>
          </w:rPr>
          <w:fldChar w:fldCharType="begin"/>
        </w:r>
        <w:r>
          <w:rPr>
            <w:webHidden/>
          </w:rPr>
          <w:instrText xml:space="preserve"> PAGEREF _Toc109801426 \h </w:instrText>
        </w:r>
        <w:r>
          <w:rPr>
            <w:webHidden/>
          </w:rPr>
        </w:r>
        <w:r>
          <w:rPr>
            <w:webHidden/>
          </w:rPr>
          <w:fldChar w:fldCharType="separate"/>
        </w:r>
        <w:r>
          <w:rPr>
            <w:webHidden/>
          </w:rPr>
          <w:t>174</w:t>
        </w:r>
        <w:r>
          <w:rPr>
            <w:webHidden/>
          </w:rPr>
          <w:fldChar w:fldCharType="end"/>
        </w:r>
      </w:hyperlink>
    </w:p>
    <w:p w14:paraId="2173AC5B" w14:textId="47ACAE0D" w:rsidR="0064349A" w:rsidRDefault="0064349A">
      <w:pPr>
        <w:pStyle w:val="Obsah3"/>
        <w:rPr>
          <w:rFonts w:asciiTheme="minorHAnsi" w:eastAsiaTheme="minorEastAsia" w:hAnsiTheme="minorHAnsi" w:cstheme="minorBidi"/>
          <w:noProof/>
          <w:sz w:val="22"/>
          <w:lang w:eastAsia="cs-CZ"/>
        </w:rPr>
      </w:pPr>
      <w:hyperlink w:anchor="_Toc109801427" w:history="1">
        <w:r w:rsidRPr="00075681">
          <w:rPr>
            <w:rStyle w:val="Hypertextovodkaz"/>
            <w:noProof/>
            <w:lang w:eastAsia="cs-CZ"/>
          </w:rPr>
          <w:t>5.3.1</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_Toc109801427 \h </w:instrText>
        </w:r>
        <w:r>
          <w:rPr>
            <w:noProof/>
            <w:webHidden/>
          </w:rPr>
        </w:r>
        <w:r>
          <w:rPr>
            <w:noProof/>
            <w:webHidden/>
          </w:rPr>
          <w:fldChar w:fldCharType="separate"/>
        </w:r>
        <w:r>
          <w:rPr>
            <w:noProof/>
            <w:webHidden/>
          </w:rPr>
          <w:t>174</w:t>
        </w:r>
        <w:r>
          <w:rPr>
            <w:noProof/>
            <w:webHidden/>
          </w:rPr>
          <w:fldChar w:fldCharType="end"/>
        </w:r>
      </w:hyperlink>
    </w:p>
    <w:p w14:paraId="6DA7E7A9" w14:textId="171FC3B2" w:rsidR="0064349A" w:rsidRDefault="0064349A">
      <w:pPr>
        <w:pStyle w:val="Obsah2"/>
        <w:rPr>
          <w:rFonts w:asciiTheme="minorHAnsi" w:eastAsiaTheme="minorEastAsia" w:hAnsiTheme="minorHAnsi" w:cstheme="minorBidi"/>
          <w:sz w:val="22"/>
          <w:lang w:eastAsia="cs-CZ"/>
        </w:rPr>
      </w:pPr>
      <w:hyperlink w:anchor="_Toc109801428" w:history="1">
        <w:r w:rsidRPr="00075681">
          <w:rPr>
            <w:rStyle w:val="Hypertextovodkaz"/>
          </w:rPr>
          <w:t>5.4</w:t>
        </w:r>
        <w:r>
          <w:rPr>
            <w:rFonts w:asciiTheme="minorHAnsi" w:eastAsiaTheme="minorEastAsia" w:hAnsiTheme="minorHAnsi" w:cstheme="minorBidi"/>
            <w:sz w:val="22"/>
            <w:lang w:eastAsia="cs-CZ"/>
          </w:rPr>
          <w:tab/>
        </w:r>
        <w:r w:rsidRPr="00075681">
          <w:rPr>
            <w:rStyle w:val="Hypertextovodkaz"/>
          </w:rPr>
          <w:t>Stížnosti pro porušení zákona</w:t>
        </w:r>
        <w:r>
          <w:rPr>
            <w:webHidden/>
          </w:rPr>
          <w:tab/>
        </w:r>
        <w:r>
          <w:rPr>
            <w:webHidden/>
          </w:rPr>
          <w:fldChar w:fldCharType="begin"/>
        </w:r>
        <w:r>
          <w:rPr>
            <w:webHidden/>
          </w:rPr>
          <w:instrText xml:space="preserve"> PAGEREF _Toc109801428 \h </w:instrText>
        </w:r>
        <w:r>
          <w:rPr>
            <w:webHidden/>
          </w:rPr>
        </w:r>
        <w:r>
          <w:rPr>
            <w:webHidden/>
          </w:rPr>
          <w:fldChar w:fldCharType="separate"/>
        </w:r>
        <w:r>
          <w:rPr>
            <w:webHidden/>
          </w:rPr>
          <w:t>175</w:t>
        </w:r>
        <w:r>
          <w:rPr>
            <w:webHidden/>
          </w:rPr>
          <w:fldChar w:fldCharType="end"/>
        </w:r>
      </w:hyperlink>
    </w:p>
    <w:p w14:paraId="5D6F3EF8" w14:textId="7D2992C1" w:rsidR="0064349A" w:rsidRDefault="0064349A">
      <w:pPr>
        <w:pStyle w:val="Obsah3"/>
        <w:rPr>
          <w:rFonts w:asciiTheme="minorHAnsi" w:eastAsiaTheme="minorEastAsia" w:hAnsiTheme="minorHAnsi" w:cstheme="minorBidi"/>
          <w:noProof/>
          <w:sz w:val="22"/>
          <w:lang w:eastAsia="cs-CZ"/>
        </w:rPr>
      </w:pPr>
      <w:hyperlink w:anchor="_Toc109801429" w:history="1">
        <w:r w:rsidRPr="00075681">
          <w:rPr>
            <w:rStyle w:val="Hypertextovodkaz"/>
            <w:noProof/>
            <w:lang w:eastAsia="cs-CZ"/>
          </w:rPr>
          <w:t>5.4.1</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_Toc109801429 \h </w:instrText>
        </w:r>
        <w:r>
          <w:rPr>
            <w:noProof/>
            <w:webHidden/>
          </w:rPr>
        </w:r>
        <w:r>
          <w:rPr>
            <w:noProof/>
            <w:webHidden/>
          </w:rPr>
          <w:fldChar w:fldCharType="separate"/>
        </w:r>
        <w:r>
          <w:rPr>
            <w:noProof/>
            <w:webHidden/>
          </w:rPr>
          <w:t>175</w:t>
        </w:r>
        <w:r>
          <w:rPr>
            <w:noProof/>
            <w:webHidden/>
          </w:rPr>
          <w:fldChar w:fldCharType="end"/>
        </w:r>
      </w:hyperlink>
    </w:p>
    <w:p w14:paraId="0FCFA49C" w14:textId="44E9F10C" w:rsidR="0064349A" w:rsidRDefault="0064349A">
      <w:pPr>
        <w:pStyle w:val="Obsah2"/>
        <w:rPr>
          <w:rFonts w:asciiTheme="minorHAnsi" w:eastAsiaTheme="minorEastAsia" w:hAnsiTheme="minorHAnsi" w:cstheme="minorBidi"/>
          <w:sz w:val="22"/>
          <w:lang w:eastAsia="cs-CZ"/>
        </w:rPr>
      </w:pPr>
      <w:hyperlink w:anchor="_Toc109801430" w:history="1">
        <w:r w:rsidRPr="00075681">
          <w:rPr>
            <w:rStyle w:val="Hypertextovodkaz"/>
          </w:rPr>
          <w:t>5.5</w:t>
        </w:r>
        <w:r>
          <w:rPr>
            <w:rFonts w:asciiTheme="minorHAnsi" w:eastAsiaTheme="minorEastAsia" w:hAnsiTheme="minorHAnsi" w:cstheme="minorBidi"/>
            <w:sz w:val="22"/>
            <w:lang w:eastAsia="cs-CZ"/>
          </w:rPr>
          <w:tab/>
        </w:r>
        <w:r w:rsidRPr="00075681">
          <w:rPr>
            <w:rStyle w:val="Hypertextovodkaz"/>
          </w:rPr>
          <w:t>Insolvenční agenda</w:t>
        </w:r>
        <w:r>
          <w:rPr>
            <w:webHidden/>
          </w:rPr>
          <w:tab/>
        </w:r>
        <w:r>
          <w:rPr>
            <w:webHidden/>
          </w:rPr>
          <w:fldChar w:fldCharType="begin"/>
        </w:r>
        <w:r>
          <w:rPr>
            <w:webHidden/>
          </w:rPr>
          <w:instrText xml:space="preserve"> PAGEREF _Toc109801430 \h </w:instrText>
        </w:r>
        <w:r>
          <w:rPr>
            <w:webHidden/>
          </w:rPr>
        </w:r>
        <w:r>
          <w:rPr>
            <w:webHidden/>
          </w:rPr>
          <w:fldChar w:fldCharType="separate"/>
        </w:r>
        <w:r>
          <w:rPr>
            <w:webHidden/>
          </w:rPr>
          <w:t>176</w:t>
        </w:r>
        <w:r>
          <w:rPr>
            <w:webHidden/>
          </w:rPr>
          <w:fldChar w:fldCharType="end"/>
        </w:r>
      </w:hyperlink>
    </w:p>
    <w:p w14:paraId="2BEAB975" w14:textId="6DE10A2C" w:rsidR="0064349A" w:rsidRDefault="0064349A">
      <w:pPr>
        <w:pStyle w:val="Obsah3"/>
        <w:rPr>
          <w:rFonts w:asciiTheme="minorHAnsi" w:eastAsiaTheme="minorEastAsia" w:hAnsiTheme="minorHAnsi" w:cstheme="minorBidi"/>
          <w:noProof/>
          <w:sz w:val="22"/>
          <w:lang w:eastAsia="cs-CZ"/>
        </w:rPr>
      </w:pPr>
      <w:hyperlink w:anchor="_Toc109801431" w:history="1">
        <w:r w:rsidRPr="00075681">
          <w:rPr>
            <w:rStyle w:val="Hypertextovodkaz"/>
            <w:noProof/>
          </w:rPr>
          <w:t>5.5.1</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_Toc109801431 \h </w:instrText>
        </w:r>
        <w:r>
          <w:rPr>
            <w:noProof/>
            <w:webHidden/>
          </w:rPr>
        </w:r>
        <w:r>
          <w:rPr>
            <w:noProof/>
            <w:webHidden/>
          </w:rPr>
          <w:fldChar w:fldCharType="separate"/>
        </w:r>
        <w:r>
          <w:rPr>
            <w:noProof/>
            <w:webHidden/>
          </w:rPr>
          <w:t>176</w:t>
        </w:r>
        <w:r>
          <w:rPr>
            <w:noProof/>
            <w:webHidden/>
          </w:rPr>
          <w:fldChar w:fldCharType="end"/>
        </w:r>
      </w:hyperlink>
    </w:p>
    <w:p w14:paraId="66D98D9A" w14:textId="145D2972" w:rsidR="0064349A" w:rsidRDefault="0064349A">
      <w:pPr>
        <w:pStyle w:val="Obsah1"/>
        <w:tabs>
          <w:tab w:val="left" w:pos="482"/>
        </w:tabs>
        <w:rPr>
          <w:rFonts w:asciiTheme="minorHAnsi" w:eastAsiaTheme="minorEastAsia" w:hAnsiTheme="minorHAnsi" w:cstheme="minorBidi"/>
          <w:noProof/>
          <w:sz w:val="22"/>
          <w:lang w:eastAsia="cs-CZ"/>
        </w:rPr>
      </w:pPr>
      <w:hyperlink w:anchor="_Toc109801432" w:history="1">
        <w:r w:rsidRPr="00075681">
          <w:rPr>
            <w:rStyle w:val="Hypertextovodkaz"/>
            <w:noProof/>
            <w:lang w:eastAsia="cs-CZ"/>
          </w:rPr>
          <w:t>6</w:t>
        </w:r>
        <w:r>
          <w:rPr>
            <w:rFonts w:asciiTheme="minorHAnsi" w:eastAsiaTheme="minorEastAsia" w:hAnsiTheme="minorHAnsi" w:cstheme="minorBidi"/>
            <w:noProof/>
            <w:sz w:val="22"/>
            <w:lang w:eastAsia="cs-CZ"/>
          </w:rPr>
          <w:tab/>
        </w:r>
        <w:r w:rsidRPr="00075681">
          <w:rPr>
            <w:rStyle w:val="Hypertextovodkaz"/>
            <w:noProof/>
            <w:lang w:eastAsia="cs-CZ"/>
          </w:rPr>
          <w:t>Nejvyšší správní soud</w:t>
        </w:r>
        <w:r>
          <w:rPr>
            <w:noProof/>
            <w:webHidden/>
          </w:rPr>
          <w:tab/>
        </w:r>
        <w:r>
          <w:rPr>
            <w:noProof/>
            <w:webHidden/>
          </w:rPr>
          <w:fldChar w:fldCharType="begin"/>
        </w:r>
        <w:r>
          <w:rPr>
            <w:noProof/>
            <w:webHidden/>
          </w:rPr>
          <w:instrText xml:space="preserve"> PAGEREF _Toc109801432 \h </w:instrText>
        </w:r>
        <w:r>
          <w:rPr>
            <w:noProof/>
            <w:webHidden/>
          </w:rPr>
        </w:r>
        <w:r>
          <w:rPr>
            <w:noProof/>
            <w:webHidden/>
          </w:rPr>
          <w:fldChar w:fldCharType="separate"/>
        </w:r>
        <w:r>
          <w:rPr>
            <w:noProof/>
            <w:webHidden/>
          </w:rPr>
          <w:t>177</w:t>
        </w:r>
        <w:r>
          <w:rPr>
            <w:noProof/>
            <w:webHidden/>
          </w:rPr>
          <w:fldChar w:fldCharType="end"/>
        </w:r>
      </w:hyperlink>
    </w:p>
    <w:p w14:paraId="431A2D74" w14:textId="076AC0C9" w:rsidR="0064349A" w:rsidRDefault="0064349A">
      <w:pPr>
        <w:pStyle w:val="Obsah2"/>
        <w:rPr>
          <w:rFonts w:asciiTheme="minorHAnsi" w:eastAsiaTheme="minorEastAsia" w:hAnsiTheme="minorHAnsi" w:cstheme="minorBidi"/>
          <w:sz w:val="22"/>
          <w:lang w:eastAsia="cs-CZ"/>
        </w:rPr>
      </w:pPr>
      <w:hyperlink w:anchor="_Toc109801433" w:history="1">
        <w:r w:rsidRPr="00075681">
          <w:rPr>
            <w:rStyle w:val="Hypertextovodkaz"/>
            <w:lang w:eastAsia="cs-CZ"/>
          </w:rPr>
          <w:t>6.1</w:t>
        </w:r>
        <w:r>
          <w:rPr>
            <w:rFonts w:asciiTheme="minorHAnsi" w:eastAsiaTheme="minorEastAsia" w:hAnsiTheme="minorHAnsi" w:cstheme="minorBidi"/>
            <w:sz w:val="22"/>
            <w:lang w:eastAsia="cs-CZ"/>
          </w:rPr>
          <w:tab/>
        </w:r>
        <w:r w:rsidRPr="00075681">
          <w:rPr>
            <w:rStyle w:val="Hypertextovodkaz"/>
            <w:lang w:eastAsia="cs-CZ"/>
          </w:rPr>
          <w:t>Personál</w:t>
        </w:r>
        <w:r>
          <w:rPr>
            <w:webHidden/>
          </w:rPr>
          <w:tab/>
        </w:r>
        <w:r>
          <w:rPr>
            <w:webHidden/>
          </w:rPr>
          <w:fldChar w:fldCharType="begin"/>
        </w:r>
        <w:r>
          <w:rPr>
            <w:webHidden/>
          </w:rPr>
          <w:instrText xml:space="preserve"> PAGEREF _Toc109801433 \h </w:instrText>
        </w:r>
        <w:r>
          <w:rPr>
            <w:webHidden/>
          </w:rPr>
        </w:r>
        <w:r>
          <w:rPr>
            <w:webHidden/>
          </w:rPr>
          <w:fldChar w:fldCharType="separate"/>
        </w:r>
        <w:r>
          <w:rPr>
            <w:webHidden/>
          </w:rPr>
          <w:t>177</w:t>
        </w:r>
        <w:r>
          <w:rPr>
            <w:webHidden/>
          </w:rPr>
          <w:fldChar w:fldCharType="end"/>
        </w:r>
      </w:hyperlink>
    </w:p>
    <w:p w14:paraId="5E4E932E" w14:textId="416BD3C6" w:rsidR="0064349A" w:rsidRDefault="0064349A">
      <w:pPr>
        <w:pStyle w:val="Obsah3"/>
        <w:rPr>
          <w:rFonts w:asciiTheme="minorHAnsi" w:eastAsiaTheme="minorEastAsia" w:hAnsiTheme="minorHAnsi" w:cstheme="minorBidi"/>
          <w:noProof/>
          <w:sz w:val="22"/>
          <w:lang w:eastAsia="cs-CZ"/>
        </w:rPr>
      </w:pPr>
      <w:hyperlink w:anchor="_Toc109801434" w:history="1">
        <w:r w:rsidRPr="00075681">
          <w:rPr>
            <w:rStyle w:val="Hypertextovodkaz"/>
            <w:noProof/>
            <w:lang w:eastAsia="cs-CZ"/>
          </w:rPr>
          <w:t>6.1.1</w:t>
        </w:r>
        <w:r>
          <w:rPr>
            <w:rFonts w:asciiTheme="minorHAnsi" w:eastAsiaTheme="minorEastAsia" w:hAnsiTheme="minorHAnsi" w:cstheme="minorBidi"/>
            <w:noProof/>
            <w:sz w:val="22"/>
            <w:lang w:eastAsia="cs-CZ"/>
          </w:rPr>
          <w:tab/>
        </w:r>
        <w:r w:rsidRPr="00075681">
          <w:rPr>
            <w:rStyle w:val="Hypertextovodkaz"/>
            <w:noProof/>
            <w:lang w:eastAsia="cs-CZ"/>
          </w:rPr>
          <w:t>Soudci</w:t>
        </w:r>
        <w:r>
          <w:rPr>
            <w:noProof/>
            <w:webHidden/>
          </w:rPr>
          <w:tab/>
        </w:r>
        <w:r>
          <w:rPr>
            <w:noProof/>
            <w:webHidden/>
          </w:rPr>
          <w:fldChar w:fldCharType="begin"/>
        </w:r>
        <w:r>
          <w:rPr>
            <w:noProof/>
            <w:webHidden/>
          </w:rPr>
          <w:instrText xml:space="preserve"> PAGEREF _Toc109801434 \h </w:instrText>
        </w:r>
        <w:r>
          <w:rPr>
            <w:noProof/>
            <w:webHidden/>
          </w:rPr>
        </w:r>
        <w:r>
          <w:rPr>
            <w:noProof/>
            <w:webHidden/>
          </w:rPr>
          <w:fldChar w:fldCharType="separate"/>
        </w:r>
        <w:r>
          <w:rPr>
            <w:noProof/>
            <w:webHidden/>
          </w:rPr>
          <w:t>177</w:t>
        </w:r>
        <w:r>
          <w:rPr>
            <w:noProof/>
            <w:webHidden/>
          </w:rPr>
          <w:fldChar w:fldCharType="end"/>
        </w:r>
      </w:hyperlink>
    </w:p>
    <w:p w14:paraId="077135F7" w14:textId="708EF664" w:rsidR="0064349A" w:rsidRDefault="0064349A">
      <w:pPr>
        <w:pStyle w:val="Obsah3"/>
        <w:rPr>
          <w:rFonts w:asciiTheme="minorHAnsi" w:eastAsiaTheme="minorEastAsia" w:hAnsiTheme="minorHAnsi" w:cstheme="minorBidi"/>
          <w:noProof/>
          <w:sz w:val="22"/>
          <w:lang w:eastAsia="cs-CZ"/>
        </w:rPr>
      </w:pPr>
      <w:hyperlink w:anchor="_Toc109801435" w:history="1">
        <w:r w:rsidRPr="00075681">
          <w:rPr>
            <w:rStyle w:val="Hypertextovodkaz"/>
            <w:noProof/>
            <w:lang w:eastAsia="cs-CZ"/>
          </w:rPr>
          <w:t>6.1.2</w:t>
        </w:r>
        <w:r>
          <w:rPr>
            <w:rFonts w:asciiTheme="minorHAnsi" w:eastAsiaTheme="minorEastAsia" w:hAnsiTheme="minorHAnsi" w:cstheme="minorBidi"/>
            <w:noProof/>
            <w:sz w:val="22"/>
            <w:lang w:eastAsia="cs-CZ"/>
          </w:rPr>
          <w:tab/>
        </w:r>
        <w:r w:rsidRPr="00075681">
          <w:rPr>
            <w:rStyle w:val="Hypertextovodkaz"/>
            <w:noProof/>
            <w:lang w:eastAsia="cs-CZ"/>
          </w:rPr>
          <w:t>Zaměstnanci ve výkonu</w:t>
        </w:r>
        <w:r>
          <w:rPr>
            <w:noProof/>
            <w:webHidden/>
          </w:rPr>
          <w:tab/>
        </w:r>
        <w:r>
          <w:rPr>
            <w:noProof/>
            <w:webHidden/>
          </w:rPr>
          <w:fldChar w:fldCharType="begin"/>
        </w:r>
        <w:r>
          <w:rPr>
            <w:noProof/>
            <w:webHidden/>
          </w:rPr>
          <w:instrText xml:space="preserve"> PAGEREF _Toc109801435 \h </w:instrText>
        </w:r>
        <w:r>
          <w:rPr>
            <w:noProof/>
            <w:webHidden/>
          </w:rPr>
        </w:r>
        <w:r>
          <w:rPr>
            <w:noProof/>
            <w:webHidden/>
          </w:rPr>
          <w:fldChar w:fldCharType="separate"/>
        </w:r>
        <w:r>
          <w:rPr>
            <w:noProof/>
            <w:webHidden/>
          </w:rPr>
          <w:t>180</w:t>
        </w:r>
        <w:r>
          <w:rPr>
            <w:noProof/>
            <w:webHidden/>
          </w:rPr>
          <w:fldChar w:fldCharType="end"/>
        </w:r>
      </w:hyperlink>
    </w:p>
    <w:p w14:paraId="1D2FE793" w14:textId="655EE972" w:rsidR="0064349A" w:rsidRDefault="0064349A">
      <w:pPr>
        <w:pStyle w:val="Obsah2"/>
        <w:rPr>
          <w:rFonts w:asciiTheme="minorHAnsi" w:eastAsiaTheme="minorEastAsia" w:hAnsiTheme="minorHAnsi" w:cstheme="minorBidi"/>
          <w:sz w:val="22"/>
          <w:lang w:eastAsia="cs-CZ"/>
        </w:rPr>
      </w:pPr>
      <w:hyperlink w:anchor="_Toc109801436" w:history="1">
        <w:r w:rsidRPr="00075681">
          <w:rPr>
            <w:rStyle w:val="Hypertextovodkaz"/>
          </w:rPr>
          <w:t>6.2</w:t>
        </w:r>
        <w:r>
          <w:rPr>
            <w:rFonts w:asciiTheme="minorHAnsi" w:eastAsiaTheme="minorEastAsia" w:hAnsiTheme="minorHAnsi" w:cstheme="minorBidi"/>
            <w:sz w:val="22"/>
            <w:lang w:eastAsia="cs-CZ"/>
          </w:rPr>
          <w:tab/>
        </w:r>
        <w:r w:rsidRPr="00075681">
          <w:rPr>
            <w:rStyle w:val="Hypertextovodkaz"/>
          </w:rPr>
          <w:t>Řízení o kasačních stížnostech</w:t>
        </w:r>
        <w:r>
          <w:rPr>
            <w:webHidden/>
          </w:rPr>
          <w:tab/>
        </w:r>
        <w:r>
          <w:rPr>
            <w:webHidden/>
          </w:rPr>
          <w:fldChar w:fldCharType="begin"/>
        </w:r>
        <w:r>
          <w:rPr>
            <w:webHidden/>
          </w:rPr>
          <w:instrText xml:space="preserve"> PAGEREF _Toc109801436 \h </w:instrText>
        </w:r>
        <w:r>
          <w:rPr>
            <w:webHidden/>
          </w:rPr>
        </w:r>
        <w:r>
          <w:rPr>
            <w:webHidden/>
          </w:rPr>
          <w:fldChar w:fldCharType="separate"/>
        </w:r>
        <w:r>
          <w:rPr>
            <w:webHidden/>
          </w:rPr>
          <w:t>181</w:t>
        </w:r>
        <w:r>
          <w:rPr>
            <w:webHidden/>
          </w:rPr>
          <w:fldChar w:fldCharType="end"/>
        </w:r>
      </w:hyperlink>
    </w:p>
    <w:p w14:paraId="51D3B7A3" w14:textId="68A65B42" w:rsidR="0064349A" w:rsidRDefault="0064349A">
      <w:pPr>
        <w:pStyle w:val="Obsah3"/>
        <w:rPr>
          <w:rFonts w:asciiTheme="minorHAnsi" w:eastAsiaTheme="minorEastAsia" w:hAnsiTheme="minorHAnsi" w:cstheme="minorBidi"/>
          <w:noProof/>
          <w:sz w:val="22"/>
          <w:lang w:eastAsia="cs-CZ"/>
        </w:rPr>
      </w:pPr>
      <w:hyperlink w:anchor="_Toc109801437" w:history="1">
        <w:r w:rsidRPr="00075681">
          <w:rPr>
            <w:rStyle w:val="Hypertextovodkaz"/>
            <w:noProof/>
          </w:rPr>
          <w:t>6.2.1</w:t>
        </w:r>
        <w:r>
          <w:rPr>
            <w:rFonts w:asciiTheme="minorHAnsi" w:eastAsiaTheme="minorEastAsia" w:hAnsiTheme="minorHAnsi" w:cstheme="minorBidi"/>
            <w:noProof/>
            <w:sz w:val="22"/>
            <w:lang w:eastAsia="cs-CZ"/>
          </w:rPr>
          <w:tab/>
        </w:r>
        <w:r w:rsidRPr="00075681">
          <w:rPr>
            <w:rStyle w:val="Hypertextovodkaz"/>
            <w:noProof/>
          </w:rPr>
          <w:t>Vyřizování věcí</w:t>
        </w:r>
        <w:r>
          <w:rPr>
            <w:noProof/>
            <w:webHidden/>
          </w:rPr>
          <w:tab/>
        </w:r>
        <w:r>
          <w:rPr>
            <w:noProof/>
            <w:webHidden/>
          </w:rPr>
          <w:fldChar w:fldCharType="begin"/>
        </w:r>
        <w:r>
          <w:rPr>
            <w:noProof/>
            <w:webHidden/>
          </w:rPr>
          <w:instrText xml:space="preserve"> PAGEREF _Toc109801437 \h </w:instrText>
        </w:r>
        <w:r>
          <w:rPr>
            <w:noProof/>
            <w:webHidden/>
          </w:rPr>
        </w:r>
        <w:r>
          <w:rPr>
            <w:noProof/>
            <w:webHidden/>
          </w:rPr>
          <w:fldChar w:fldCharType="separate"/>
        </w:r>
        <w:r>
          <w:rPr>
            <w:noProof/>
            <w:webHidden/>
          </w:rPr>
          <w:t>181</w:t>
        </w:r>
        <w:r>
          <w:rPr>
            <w:noProof/>
            <w:webHidden/>
          </w:rPr>
          <w:fldChar w:fldCharType="end"/>
        </w:r>
      </w:hyperlink>
    </w:p>
    <w:p w14:paraId="4238BBC3" w14:textId="3E23BD79" w:rsidR="0064349A" w:rsidRDefault="0064349A">
      <w:pPr>
        <w:pStyle w:val="Obsah2"/>
        <w:rPr>
          <w:rFonts w:asciiTheme="minorHAnsi" w:eastAsiaTheme="minorEastAsia" w:hAnsiTheme="minorHAnsi" w:cstheme="minorBidi"/>
          <w:sz w:val="22"/>
          <w:lang w:eastAsia="cs-CZ"/>
        </w:rPr>
      </w:pPr>
      <w:hyperlink w:anchor="_Toc109801438" w:history="1">
        <w:r w:rsidRPr="00075681">
          <w:rPr>
            <w:rStyle w:val="Hypertextovodkaz"/>
            <w:lang w:eastAsia="cs-CZ"/>
          </w:rPr>
          <w:t>6.3</w:t>
        </w:r>
        <w:r>
          <w:rPr>
            <w:rFonts w:asciiTheme="minorHAnsi" w:eastAsiaTheme="minorEastAsia" w:hAnsiTheme="minorHAnsi" w:cstheme="minorBidi"/>
            <w:sz w:val="22"/>
            <w:lang w:eastAsia="cs-CZ"/>
          </w:rPr>
          <w:tab/>
        </w:r>
        <w:r w:rsidRPr="00075681">
          <w:rPr>
            <w:rStyle w:val="Hypertextovodkaz"/>
            <w:lang w:eastAsia="cs-CZ"/>
          </w:rPr>
          <w:t>Řízení ve věcech soudců</w:t>
        </w:r>
        <w:r>
          <w:rPr>
            <w:webHidden/>
          </w:rPr>
          <w:tab/>
        </w:r>
        <w:r>
          <w:rPr>
            <w:webHidden/>
          </w:rPr>
          <w:fldChar w:fldCharType="begin"/>
        </w:r>
        <w:r>
          <w:rPr>
            <w:webHidden/>
          </w:rPr>
          <w:instrText xml:space="preserve"> PAGEREF _Toc109801438 \h </w:instrText>
        </w:r>
        <w:r>
          <w:rPr>
            <w:webHidden/>
          </w:rPr>
        </w:r>
        <w:r>
          <w:rPr>
            <w:webHidden/>
          </w:rPr>
          <w:fldChar w:fldCharType="separate"/>
        </w:r>
        <w:r>
          <w:rPr>
            <w:webHidden/>
          </w:rPr>
          <w:t>182</w:t>
        </w:r>
        <w:r>
          <w:rPr>
            <w:webHidden/>
          </w:rPr>
          <w:fldChar w:fldCharType="end"/>
        </w:r>
      </w:hyperlink>
    </w:p>
    <w:p w14:paraId="1587EFA0" w14:textId="2837A038" w:rsidR="0064349A" w:rsidRDefault="0064349A">
      <w:pPr>
        <w:pStyle w:val="Obsah3"/>
        <w:rPr>
          <w:rFonts w:asciiTheme="minorHAnsi" w:eastAsiaTheme="minorEastAsia" w:hAnsiTheme="minorHAnsi" w:cstheme="minorBidi"/>
          <w:noProof/>
          <w:sz w:val="22"/>
          <w:lang w:eastAsia="cs-CZ"/>
        </w:rPr>
      </w:pPr>
      <w:hyperlink w:anchor="_Toc109801439" w:history="1">
        <w:r w:rsidRPr="00075681">
          <w:rPr>
            <w:rStyle w:val="Hypertextovodkaz"/>
            <w:noProof/>
            <w:lang w:eastAsia="cs-CZ"/>
          </w:rPr>
          <w:t>6.3.1</w:t>
        </w:r>
        <w:r>
          <w:rPr>
            <w:rFonts w:asciiTheme="minorHAnsi" w:eastAsiaTheme="minorEastAsia" w:hAnsiTheme="minorHAnsi" w:cstheme="minorBidi"/>
            <w:noProof/>
            <w:sz w:val="22"/>
            <w:lang w:eastAsia="cs-CZ"/>
          </w:rPr>
          <w:tab/>
        </w:r>
        <w:r w:rsidRPr="00075681">
          <w:rPr>
            <w:rStyle w:val="Hypertextovodkaz"/>
            <w:noProof/>
            <w:lang w:eastAsia="cs-CZ"/>
          </w:rPr>
          <w:t>Vyřizování věcí</w:t>
        </w:r>
        <w:r>
          <w:rPr>
            <w:noProof/>
            <w:webHidden/>
          </w:rPr>
          <w:tab/>
        </w:r>
        <w:r>
          <w:rPr>
            <w:noProof/>
            <w:webHidden/>
          </w:rPr>
          <w:fldChar w:fldCharType="begin"/>
        </w:r>
        <w:r>
          <w:rPr>
            <w:noProof/>
            <w:webHidden/>
          </w:rPr>
          <w:instrText xml:space="preserve"> PAGEREF _Toc109801439 \h </w:instrText>
        </w:r>
        <w:r>
          <w:rPr>
            <w:noProof/>
            <w:webHidden/>
          </w:rPr>
        </w:r>
        <w:r>
          <w:rPr>
            <w:noProof/>
            <w:webHidden/>
          </w:rPr>
          <w:fldChar w:fldCharType="separate"/>
        </w:r>
        <w:r>
          <w:rPr>
            <w:noProof/>
            <w:webHidden/>
          </w:rPr>
          <w:t>182</w:t>
        </w:r>
        <w:r>
          <w:rPr>
            <w:noProof/>
            <w:webHidden/>
          </w:rPr>
          <w:fldChar w:fldCharType="end"/>
        </w:r>
      </w:hyperlink>
    </w:p>
    <w:p w14:paraId="1B00810E" w14:textId="01B38187" w:rsidR="0064349A" w:rsidRDefault="0064349A">
      <w:pPr>
        <w:pStyle w:val="Obsah1"/>
        <w:tabs>
          <w:tab w:val="left" w:pos="482"/>
        </w:tabs>
        <w:rPr>
          <w:rFonts w:asciiTheme="minorHAnsi" w:eastAsiaTheme="minorEastAsia" w:hAnsiTheme="minorHAnsi" w:cstheme="minorBidi"/>
          <w:noProof/>
          <w:sz w:val="22"/>
          <w:lang w:eastAsia="cs-CZ"/>
        </w:rPr>
      </w:pPr>
      <w:hyperlink w:anchor="_Toc109801440" w:history="1">
        <w:r w:rsidRPr="00075681">
          <w:rPr>
            <w:rStyle w:val="Hypertextovodkaz"/>
            <w:noProof/>
            <w:lang w:eastAsia="cs-CZ"/>
          </w:rPr>
          <w:t>7</w:t>
        </w:r>
        <w:r>
          <w:rPr>
            <w:rFonts w:asciiTheme="minorHAnsi" w:eastAsiaTheme="minorEastAsia" w:hAnsiTheme="minorHAnsi" w:cstheme="minorBidi"/>
            <w:noProof/>
            <w:sz w:val="22"/>
            <w:lang w:eastAsia="cs-CZ"/>
          </w:rPr>
          <w:tab/>
        </w:r>
        <w:r w:rsidRPr="00075681">
          <w:rPr>
            <w:rStyle w:val="Hypertextovodkaz"/>
            <w:noProof/>
            <w:lang w:eastAsia="cs-CZ"/>
          </w:rPr>
          <w:t>Shrnutí a mezinárodní srovnání</w:t>
        </w:r>
        <w:r>
          <w:rPr>
            <w:noProof/>
            <w:webHidden/>
          </w:rPr>
          <w:tab/>
        </w:r>
        <w:r>
          <w:rPr>
            <w:noProof/>
            <w:webHidden/>
          </w:rPr>
          <w:fldChar w:fldCharType="begin"/>
        </w:r>
        <w:r>
          <w:rPr>
            <w:noProof/>
            <w:webHidden/>
          </w:rPr>
          <w:instrText xml:space="preserve"> PAGEREF _Toc109801440 \h </w:instrText>
        </w:r>
        <w:r>
          <w:rPr>
            <w:noProof/>
            <w:webHidden/>
          </w:rPr>
        </w:r>
        <w:r>
          <w:rPr>
            <w:noProof/>
            <w:webHidden/>
          </w:rPr>
          <w:fldChar w:fldCharType="separate"/>
        </w:r>
        <w:r>
          <w:rPr>
            <w:noProof/>
            <w:webHidden/>
          </w:rPr>
          <w:t>183</w:t>
        </w:r>
        <w:r>
          <w:rPr>
            <w:noProof/>
            <w:webHidden/>
          </w:rPr>
          <w:fldChar w:fldCharType="end"/>
        </w:r>
      </w:hyperlink>
    </w:p>
    <w:p w14:paraId="7D63A4D6" w14:textId="11A1EDC5" w:rsidR="0064349A" w:rsidRDefault="0064349A">
      <w:pPr>
        <w:pStyle w:val="Obsah2"/>
        <w:rPr>
          <w:rFonts w:asciiTheme="minorHAnsi" w:eastAsiaTheme="minorEastAsia" w:hAnsiTheme="minorHAnsi" w:cstheme="minorBidi"/>
          <w:sz w:val="22"/>
          <w:lang w:eastAsia="cs-CZ"/>
        </w:rPr>
      </w:pPr>
      <w:hyperlink w:anchor="_Toc109801441" w:history="1">
        <w:r w:rsidRPr="00075681">
          <w:rPr>
            <w:rStyle w:val="Hypertextovodkaz"/>
            <w:lang w:eastAsia="cs-CZ"/>
          </w:rPr>
          <w:t>7.1</w:t>
        </w:r>
        <w:r>
          <w:rPr>
            <w:rFonts w:asciiTheme="minorHAnsi" w:eastAsiaTheme="minorEastAsia" w:hAnsiTheme="minorHAnsi" w:cstheme="minorBidi"/>
            <w:sz w:val="22"/>
            <w:lang w:eastAsia="cs-CZ"/>
          </w:rPr>
          <w:tab/>
        </w:r>
        <w:r w:rsidRPr="00075681">
          <w:rPr>
            <w:rStyle w:val="Hypertextovodkaz"/>
            <w:lang w:eastAsia="cs-CZ"/>
          </w:rPr>
          <w:t>Shrnutí</w:t>
        </w:r>
        <w:r>
          <w:rPr>
            <w:webHidden/>
          </w:rPr>
          <w:tab/>
        </w:r>
        <w:r>
          <w:rPr>
            <w:webHidden/>
          </w:rPr>
          <w:fldChar w:fldCharType="begin"/>
        </w:r>
        <w:r>
          <w:rPr>
            <w:webHidden/>
          </w:rPr>
          <w:instrText xml:space="preserve"> PAGEREF _Toc109801441 \h </w:instrText>
        </w:r>
        <w:r>
          <w:rPr>
            <w:webHidden/>
          </w:rPr>
        </w:r>
        <w:r>
          <w:rPr>
            <w:webHidden/>
          </w:rPr>
          <w:fldChar w:fldCharType="separate"/>
        </w:r>
        <w:r>
          <w:rPr>
            <w:webHidden/>
          </w:rPr>
          <w:t>183</w:t>
        </w:r>
        <w:r>
          <w:rPr>
            <w:webHidden/>
          </w:rPr>
          <w:fldChar w:fldCharType="end"/>
        </w:r>
      </w:hyperlink>
    </w:p>
    <w:p w14:paraId="72B7B321" w14:textId="4375EFCA" w:rsidR="0064349A" w:rsidRDefault="0064349A">
      <w:pPr>
        <w:pStyle w:val="Obsah2"/>
        <w:rPr>
          <w:rFonts w:asciiTheme="minorHAnsi" w:eastAsiaTheme="minorEastAsia" w:hAnsiTheme="minorHAnsi" w:cstheme="minorBidi"/>
          <w:sz w:val="22"/>
          <w:lang w:eastAsia="cs-CZ"/>
        </w:rPr>
      </w:pPr>
      <w:hyperlink w:anchor="_Toc109801442" w:history="1">
        <w:r w:rsidRPr="00075681">
          <w:rPr>
            <w:rStyle w:val="Hypertextovodkaz"/>
            <w:lang w:eastAsia="cs-CZ"/>
          </w:rPr>
          <w:t>7.2</w:t>
        </w:r>
        <w:r>
          <w:rPr>
            <w:rFonts w:asciiTheme="minorHAnsi" w:eastAsiaTheme="minorEastAsia" w:hAnsiTheme="minorHAnsi" w:cstheme="minorBidi"/>
            <w:sz w:val="22"/>
            <w:lang w:eastAsia="cs-CZ"/>
          </w:rPr>
          <w:tab/>
        </w:r>
        <w:r w:rsidRPr="00075681">
          <w:rPr>
            <w:rStyle w:val="Hypertextovodkaz"/>
            <w:lang w:eastAsia="cs-CZ"/>
          </w:rPr>
          <w:t>Mezinárodní srovnání</w:t>
        </w:r>
        <w:r>
          <w:rPr>
            <w:webHidden/>
          </w:rPr>
          <w:tab/>
        </w:r>
        <w:r>
          <w:rPr>
            <w:webHidden/>
          </w:rPr>
          <w:fldChar w:fldCharType="begin"/>
        </w:r>
        <w:r>
          <w:rPr>
            <w:webHidden/>
          </w:rPr>
          <w:instrText xml:space="preserve"> PAGEREF _Toc109801442 \h </w:instrText>
        </w:r>
        <w:r>
          <w:rPr>
            <w:webHidden/>
          </w:rPr>
        </w:r>
        <w:r>
          <w:rPr>
            <w:webHidden/>
          </w:rPr>
          <w:fldChar w:fldCharType="separate"/>
        </w:r>
        <w:r>
          <w:rPr>
            <w:webHidden/>
          </w:rPr>
          <w:t>186</w:t>
        </w:r>
        <w:r>
          <w:rPr>
            <w:webHidden/>
          </w:rPr>
          <w:fldChar w:fldCharType="end"/>
        </w:r>
      </w:hyperlink>
    </w:p>
    <w:p w14:paraId="0C5FEFE7" w14:textId="3A71B930" w:rsidR="0064349A" w:rsidRDefault="0064349A">
      <w:pPr>
        <w:pStyle w:val="Obsah1"/>
        <w:rPr>
          <w:rFonts w:asciiTheme="minorHAnsi" w:eastAsiaTheme="minorEastAsia" w:hAnsiTheme="minorHAnsi" w:cstheme="minorBidi"/>
          <w:noProof/>
          <w:sz w:val="22"/>
          <w:lang w:eastAsia="cs-CZ"/>
        </w:rPr>
      </w:pPr>
      <w:hyperlink w:anchor="_Toc109801443" w:history="1">
        <w:r w:rsidRPr="00075681">
          <w:rPr>
            <w:rStyle w:val="Hypertextovodkaz"/>
            <w:noProof/>
          </w:rPr>
          <w:t>Seznam grafů</w:t>
        </w:r>
        <w:r>
          <w:rPr>
            <w:noProof/>
            <w:webHidden/>
          </w:rPr>
          <w:tab/>
        </w:r>
        <w:r>
          <w:rPr>
            <w:noProof/>
            <w:webHidden/>
          </w:rPr>
          <w:fldChar w:fldCharType="begin"/>
        </w:r>
        <w:r>
          <w:rPr>
            <w:noProof/>
            <w:webHidden/>
          </w:rPr>
          <w:instrText xml:space="preserve"> PAGEREF _Toc109801443 \h </w:instrText>
        </w:r>
        <w:r>
          <w:rPr>
            <w:noProof/>
            <w:webHidden/>
          </w:rPr>
        </w:r>
        <w:r>
          <w:rPr>
            <w:noProof/>
            <w:webHidden/>
          </w:rPr>
          <w:fldChar w:fldCharType="separate"/>
        </w:r>
        <w:r>
          <w:rPr>
            <w:noProof/>
            <w:webHidden/>
          </w:rPr>
          <w:t>195</w:t>
        </w:r>
        <w:r>
          <w:rPr>
            <w:noProof/>
            <w:webHidden/>
          </w:rPr>
          <w:fldChar w:fldCharType="end"/>
        </w:r>
      </w:hyperlink>
    </w:p>
    <w:p w14:paraId="57832E95" w14:textId="2AA4ADAF" w:rsidR="0064349A" w:rsidRDefault="0064349A">
      <w:pPr>
        <w:pStyle w:val="Obsah1"/>
        <w:rPr>
          <w:rFonts w:asciiTheme="minorHAnsi" w:eastAsiaTheme="minorEastAsia" w:hAnsiTheme="minorHAnsi" w:cstheme="minorBidi"/>
          <w:noProof/>
          <w:sz w:val="22"/>
          <w:lang w:eastAsia="cs-CZ"/>
        </w:rPr>
      </w:pPr>
      <w:hyperlink w:anchor="_Toc109801444" w:history="1">
        <w:r w:rsidRPr="00075681">
          <w:rPr>
            <w:rStyle w:val="Hypertextovodkaz"/>
            <w:noProof/>
          </w:rPr>
          <w:t>Seznam tabulek</w:t>
        </w:r>
        <w:r>
          <w:rPr>
            <w:noProof/>
            <w:webHidden/>
          </w:rPr>
          <w:tab/>
        </w:r>
        <w:r>
          <w:rPr>
            <w:noProof/>
            <w:webHidden/>
          </w:rPr>
          <w:fldChar w:fldCharType="begin"/>
        </w:r>
        <w:r>
          <w:rPr>
            <w:noProof/>
            <w:webHidden/>
          </w:rPr>
          <w:instrText xml:space="preserve"> PAGEREF _Toc109801444 \h </w:instrText>
        </w:r>
        <w:r>
          <w:rPr>
            <w:noProof/>
            <w:webHidden/>
          </w:rPr>
        </w:r>
        <w:r>
          <w:rPr>
            <w:noProof/>
            <w:webHidden/>
          </w:rPr>
          <w:fldChar w:fldCharType="separate"/>
        </w:r>
        <w:r>
          <w:rPr>
            <w:noProof/>
            <w:webHidden/>
          </w:rPr>
          <w:t>198</w:t>
        </w:r>
        <w:r>
          <w:rPr>
            <w:noProof/>
            <w:webHidden/>
          </w:rPr>
          <w:fldChar w:fldCharType="end"/>
        </w:r>
      </w:hyperlink>
    </w:p>
    <w:p w14:paraId="5E9EF6C6" w14:textId="40AA7F9B" w:rsidR="0064349A" w:rsidRDefault="0064349A">
      <w:pPr>
        <w:pStyle w:val="Obsah1"/>
        <w:rPr>
          <w:rFonts w:asciiTheme="minorHAnsi" w:eastAsiaTheme="minorEastAsia" w:hAnsiTheme="minorHAnsi" w:cstheme="minorBidi"/>
          <w:noProof/>
          <w:sz w:val="22"/>
          <w:lang w:eastAsia="cs-CZ"/>
        </w:rPr>
      </w:pPr>
      <w:hyperlink w:anchor="_Toc109801445" w:history="1">
        <w:r w:rsidRPr="00075681">
          <w:rPr>
            <w:rStyle w:val="Hypertextovodkaz"/>
            <w:noProof/>
          </w:rPr>
          <w:t>Přílohy</w:t>
        </w:r>
        <w:r>
          <w:rPr>
            <w:noProof/>
            <w:webHidden/>
          </w:rPr>
          <w:tab/>
        </w:r>
        <w:r>
          <w:rPr>
            <w:noProof/>
            <w:webHidden/>
          </w:rPr>
          <w:fldChar w:fldCharType="begin"/>
        </w:r>
        <w:r>
          <w:rPr>
            <w:noProof/>
            <w:webHidden/>
          </w:rPr>
          <w:instrText xml:space="preserve"> PAGEREF _Toc109801445 \h </w:instrText>
        </w:r>
        <w:r>
          <w:rPr>
            <w:noProof/>
            <w:webHidden/>
          </w:rPr>
        </w:r>
        <w:r>
          <w:rPr>
            <w:noProof/>
            <w:webHidden/>
          </w:rPr>
          <w:fldChar w:fldCharType="separate"/>
        </w:r>
        <w:r>
          <w:rPr>
            <w:noProof/>
            <w:webHidden/>
          </w:rPr>
          <w:t>200</w:t>
        </w:r>
        <w:r>
          <w:rPr>
            <w:noProof/>
            <w:webHidden/>
          </w:rPr>
          <w:fldChar w:fldCharType="end"/>
        </w:r>
      </w:hyperlink>
    </w:p>
    <w:p w14:paraId="136DF24F" w14:textId="2529AF2C" w:rsidR="0064349A" w:rsidRDefault="0064349A">
      <w:pPr>
        <w:pStyle w:val="Obsah2"/>
        <w:rPr>
          <w:rFonts w:asciiTheme="minorHAnsi" w:eastAsiaTheme="minorEastAsia" w:hAnsiTheme="minorHAnsi" w:cstheme="minorBidi"/>
          <w:sz w:val="22"/>
          <w:lang w:eastAsia="cs-CZ"/>
        </w:rPr>
      </w:pPr>
      <w:hyperlink w:anchor="_Toc109801446" w:history="1">
        <w:r w:rsidRPr="00075681">
          <w:rPr>
            <w:rStyle w:val="Hypertextovodkaz"/>
          </w:rPr>
          <w:t>Příloha A – seznam použitých pojmů</w:t>
        </w:r>
        <w:r>
          <w:rPr>
            <w:webHidden/>
          </w:rPr>
          <w:tab/>
        </w:r>
        <w:r>
          <w:rPr>
            <w:webHidden/>
          </w:rPr>
          <w:fldChar w:fldCharType="begin"/>
        </w:r>
        <w:r>
          <w:rPr>
            <w:webHidden/>
          </w:rPr>
          <w:instrText xml:space="preserve"> PAGEREF _Toc109801446 \h </w:instrText>
        </w:r>
        <w:r>
          <w:rPr>
            <w:webHidden/>
          </w:rPr>
        </w:r>
        <w:r>
          <w:rPr>
            <w:webHidden/>
          </w:rPr>
          <w:fldChar w:fldCharType="separate"/>
        </w:r>
        <w:r>
          <w:rPr>
            <w:webHidden/>
          </w:rPr>
          <w:t>200</w:t>
        </w:r>
        <w:r>
          <w:rPr>
            <w:webHidden/>
          </w:rPr>
          <w:fldChar w:fldCharType="end"/>
        </w:r>
      </w:hyperlink>
    </w:p>
    <w:p w14:paraId="7BF57525" w14:textId="103DC201" w:rsidR="0064349A" w:rsidRDefault="0064349A">
      <w:pPr>
        <w:pStyle w:val="Obsah3"/>
        <w:rPr>
          <w:rFonts w:asciiTheme="minorHAnsi" w:eastAsiaTheme="minorEastAsia" w:hAnsiTheme="minorHAnsi" w:cstheme="minorBidi"/>
          <w:noProof/>
          <w:sz w:val="22"/>
          <w:lang w:eastAsia="cs-CZ"/>
        </w:rPr>
      </w:pPr>
      <w:hyperlink w:anchor="_Toc109801447" w:history="1">
        <w:r w:rsidRPr="00075681">
          <w:rPr>
            <w:rStyle w:val="Hypertextovodkaz"/>
            <w:noProof/>
          </w:rPr>
          <w:t>Statistické pojmy a použité statistické ukazatele</w:t>
        </w:r>
        <w:r>
          <w:rPr>
            <w:noProof/>
            <w:webHidden/>
          </w:rPr>
          <w:tab/>
        </w:r>
        <w:r>
          <w:rPr>
            <w:noProof/>
            <w:webHidden/>
          </w:rPr>
          <w:fldChar w:fldCharType="begin"/>
        </w:r>
        <w:r>
          <w:rPr>
            <w:noProof/>
            <w:webHidden/>
          </w:rPr>
          <w:instrText xml:space="preserve"> PAGEREF _Toc109801447 \h </w:instrText>
        </w:r>
        <w:r>
          <w:rPr>
            <w:noProof/>
            <w:webHidden/>
          </w:rPr>
        </w:r>
        <w:r>
          <w:rPr>
            <w:noProof/>
            <w:webHidden/>
          </w:rPr>
          <w:fldChar w:fldCharType="separate"/>
        </w:r>
        <w:r>
          <w:rPr>
            <w:noProof/>
            <w:webHidden/>
          </w:rPr>
          <w:t>200</w:t>
        </w:r>
        <w:r>
          <w:rPr>
            <w:noProof/>
            <w:webHidden/>
          </w:rPr>
          <w:fldChar w:fldCharType="end"/>
        </w:r>
      </w:hyperlink>
    </w:p>
    <w:p w14:paraId="129C1257" w14:textId="5A6E2ECD" w:rsidR="0064349A" w:rsidRDefault="0064349A">
      <w:pPr>
        <w:pStyle w:val="Obsah3"/>
        <w:rPr>
          <w:rFonts w:asciiTheme="minorHAnsi" w:eastAsiaTheme="minorEastAsia" w:hAnsiTheme="minorHAnsi" w:cstheme="minorBidi"/>
          <w:noProof/>
          <w:sz w:val="22"/>
          <w:lang w:eastAsia="cs-CZ"/>
        </w:rPr>
      </w:pPr>
      <w:hyperlink w:anchor="_Toc109801448" w:history="1">
        <w:r w:rsidRPr="00075681">
          <w:rPr>
            <w:rStyle w:val="Hypertextovodkaz"/>
            <w:noProof/>
          </w:rPr>
          <w:t>Právní a ostatní pojmy</w:t>
        </w:r>
        <w:r>
          <w:rPr>
            <w:noProof/>
            <w:webHidden/>
          </w:rPr>
          <w:tab/>
        </w:r>
        <w:r>
          <w:rPr>
            <w:noProof/>
            <w:webHidden/>
          </w:rPr>
          <w:fldChar w:fldCharType="begin"/>
        </w:r>
        <w:r>
          <w:rPr>
            <w:noProof/>
            <w:webHidden/>
          </w:rPr>
          <w:instrText xml:space="preserve"> PAGEREF _Toc109801448 \h </w:instrText>
        </w:r>
        <w:r>
          <w:rPr>
            <w:noProof/>
            <w:webHidden/>
          </w:rPr>
        </w:r>
        <w:r>
          <w:rPr>
            <w:noProof/>
            <w:webHidden/>
          </w:rPr>
          <w:fldChar w:fldCharType="separate"/>
        </w:r>
        <w:r>
          <w:rPr>
            <w:noProof/>
            <w:webHidden/>
          </w:rPr>
          <w:t>205</w:t>
        </w:r>
        <w:r>
          <w:rPr>
            <w:noProof/>
            <w:webHidden/>
          </w:rPr>
          <w:fldChar w:fldCharType="end"/>
        </w:r>
      </w:hyperlink>
    </w:p>
    <w:p w14:paraId="08785DDD" w14:textId="121E1B91" w:rsidR="0064349A" w:rsidRDefault="0064349A">
      <w:pPr>
        <w:pStyle w:val="Obsah2"/>
        <w:rPr>
          <w:rFonts w:asciiTheme="minorHAnsi" w:eastAsiaTheme="minorEastAsia" w:hAnsiTheme="minorHAnsi" w:cstheme="minorBidi"/>
          <w:sz w:val="22"/>
          <w:lang w:eastAsia="cs-CZ"/>
        </w:rPr>
      </w:pPr>
      <w:hyperlink w:anchor="_Toc109801449" w:history="1">
        <w:r w:rsidRPr="00075681">
          <w:rPr>
            <w:rStyle w:val="Hypertextovodkaz"/>
          </w:rPr>
          <w:t>Příloha B – seznam zkr. soudních okresů a soudních obvodů hl. m. Prahy</w:t>
        </w:r>
        <w:r>
          <w:rPr>
            <w:webHidden/>
          </w:rPr>
          <w:tab/>
        </w:r>
        <w:r>
          <w:rPr>
            <w:webHidden/>
          </w:rPr>
          <w:fldChar w:fldCharType="begin"/>
        </w:r>
        <w:r>
          <w:rPr>
            <w:webHidden/>
          </w:rPr>
          <w:instrText xml:space="preserve"> PAGEREF _Toc109801449 \h </w:instrText>
        </w:r>
        <w:r>
          <w:rPr>
            <w:webHidden/>
          </w:rPr>
        </w:r>
        <w:r>
          <w:rPr>
            <w:webHidden/>
          </w:rPr>
          <w:fldChar w:fldCharType="separate"/>
        </w:r>
        <w:r>
          <w:rPr>
            <w:webHidden/>
          </w:rPr>
          <w:t>210</w:t>
        </w:r>
        <w:r>
          <w:rPr>
            <w:webHidden/>
          </w:rPr>
          <w:fldChar w:fldCharType="end"/>
        </w:r>
      </w:hyperlink>
    </w:p>
    <w:p w14:paraId="0CB59AFD" w14:textId="05BDEDC6" w:rsidR="0064349A" w:rsidRDefault="0064349A">
      <w:pPr>
        <w:pStyle w:val="Obsah2"/>
        <w:rPr>
          <w:rFonts w:asciiTheme="minorHAnsi" w:eastAsiaTheme="minorEastAsia" w:hAnsiTheme="minorHAnsi" w:cstheme="minorBidi"/>
          <w:sz w:val="22"/>
          <w:lang w:eastAsia="cs-CZ"/>
        </w:rPr>
      </w:pPr>
      <w:hyperlink w:anchor="_Toc109801450" w:history="1">
        <w:r w:rsidRPr="00075681">
          <w:rPr>
            <w:rStyle w:val="Hypertextovodkaz"/>
          </w:rPr>
          <w:t>Příloha C – seznam vybraných rejstříků soudů</w:t>
        </w:r>
        <w:r>
          <w:rPr>
            <w:webHidden/>
          </w:rPr>
          <w:tab/>
        </w:r>
        <w:r>
          <w:rPr>
            <w:webHidden/>
          </w:rPr>
          <w:fldChar w:fldCharType="begin"/>
        </w:r>
        <w:r>
          <w:rPr>
            <w:webHidden/>
          </w:rPr>
          <w:instrText xml:space="preserve"> PAGEREF _Toc109801450 \h </w:instrText>
        </w:r>
        <w:r>
          <w:rPr>
            <w:webHidden/>
          </w:rPr>
        </w:r>
        <w:r>
          <w:rPr>
            <w:webHidden/>
          </w:rPr>
          <w:fldChar w:fldCharType="separate"/>
        </w:r>
        <w:r>
          <w:rPr>
            <w:webHidden/>
          </w:rPr>
          <w:t>211</w:t>
        </w:r>
        <w:r>
          <w:rPr>
            <w:webHidden/>
          </w:rPr>
          <w:fldChar w:fldCharType="end"/>
        </w:r>
      </w:hyperlink>
    </w:p>
    <w:p w14:paraId="2E079C20" w14:textId="10B0F27A" w:rsidR="0064349A" w:rsidRDefault="0064349A">
      <w:pPr>
        <w:pStyle w:val="Obsah2"/>
        <w:rPr>
          <w:rFonts w:asciiTheme="minorHAnsi" w:eastAsiaTheme="minorEastAsia" w:hAnsiTheme="minorHAnsi" w:cstheme="minorBidi"/>
          <w:sz w:val="22"/>
          <w:lang w:eastAsia="cs-CZ"/>
        </w:rPr>
      </w:pPr>
      <w:hyperlink w:anchor="_Toc109801451" w:history="1">
        <w:r w:rsidRPr="00075681">
          <w:rPr>
            <w:rStyle w:val="Hypertextovodkaz"/>
          </w:rPr>
          <w:t>Příloha D – přehledové listy s daty soudů</w:t>
        </w:r>
        <w:r>
          <w:rPr>
            <w:webHidden/>
          </w:rPr>
          <w:tab/>
        </w:r>
        <w:r>
          <w:rPr>
            <w:webHidden/>
          </w:rPr>
          <w:fldChar w:fldCharType="begin"/>
        </w:r>
        <w:r>
          <w:rPr>
            <w:webHidden/>
          </w:rPr>
          <w:instrText xml:space="preserve"> PAGEREF _Toc109801451 \h </w:instrText>
        </w:r>
        <w:r>
          <w:rPr>
            <w:webHidden/>
          </w:rPr>
        </w:r>
        <w:r>
          <w:rPr>
            <w:webHidden/>
          </w:rPr>
          <w:fldChar w:fldCharType="separate"/>
        </w:r>
        <w:r>
          <w:rPr>
            <w:webHidden/>
          </w:rPr>
          <w:t>213</w:t>
        </w:r>
        <w:r>
          <w:rPr>
            <w:webHidden/>
          </w:rPr>
          <w:fldChar w:fldCharType="end"/>
        </w:r>
      </w:hyperlink>
    </w:p>
    <w:p w14:paraId="74FD44A6" w14:textId="6A89FEB1" w:rsidR="0064349A" w:rsidRDefault="0064349A">
      <w:pPr>
        <w:pStyle w:val="Obsah2"/>
        <w:rPr>
          <w:rFonts w:asciiTheme="minorHAnsi" w:eastAsiaTheme="minorEastAsia" w:hAnsiTheme="minorHAnsi" w:cstheme="minorBidi"/>
          <w:sz w:val="22"/>
          <w:lang w:eastAsia="cs-CZ"/>
        </w:rPr>
      </w:pPr>
      <w:hyperlink w:anchor="_Toc109801452" w:history="1">
        <w:r w:rsidRPr="00075681">
          <w:rPr>
            <w:rStyle w:val="Hypertextovodkaz"/>
          </w:rPr>
          <w:t>Příloha E – detailnější popis DEA</w:t>
        </w:r>
        <w:r>
          <w:rPr>
            <w:webHidden/>
          </w:rPr>
          <w:tab/>
        </w:r>
        <w:r>
          <w:rPr>
            <w:webHidden/>
          </w:rPr>
          <w:fldChar w:fldCharType="begin"/>
        </w:r>
        <w:r>
          <w:rPr>
            <w:webHidden/>
          </w:rPr>
          <w:instrText xml:space="preserve"> PAGEREF _Toc109801452 \h </w:instrText>
        </w:r>
        <w:r>
          <w:rPr>
            <w:webHidden/>
          </w:rPr>
        </w:r>
        <w:r>
          <w:rPr>
            <w:webHidden/>
          </w:rPr>
          <w:fldChar w:fldCharType="separate"/>
        </w:r>
        <w:r>
          <w:rPr>
            <w:webHidden/>
          </w:rPr>
          <w:t>214</w:t>
        </w:r>
        <w:r>
          <w:rPr>
            <w:webHidden/>
          </w:rPr>
          <w:fldChar w:fldCharType="end"/>
        </w:r>
      </w:hyperlink>
    </w:p>
    <w:p w14:paraId="333F8A05" w14:textId="24FF82C7" w:rsidR="0064349A" w:rsidRDefault="0064349A">
      <w:pPr>
        <w:pStyle w:val="Obsah3"/>
        <w:rPr>
          <w:rFonts w:asciiTheme="minorHAnsi" w:eastAsiaTheme="minorEastAsia" w:hAnsiTheme="minorHAnsi" w:cstheme="minorBidi"/>
          <w:noProof/>
          <w:sz w:val="22"/>
          <w:lang w:eastAsia="cs-CZ"/>
        </w:rPr>
      </w:pPr>
      <w:hyperlink w:anchor="_Toc109801453" w:history="1">
        <w:r w:rsidRPr="00075681">
          <w:rPr>
            <w:rStyle w:val="Hypertextovodkaz"/>
            <w:noProof/>
          </w:rPr>
          <w:t>Teorie a literatura</w:t>
        </w:r>
        <w:r>
          <w:rPr>
            <w:noProof/>
            <w:webHidden/>
          </w:rPr>
          <w:tab/>
        </w:r>
        <w:r>
          <w:rPr>
            <w:noProof/>
            <w:webHidden/>
          </w:rPr>
          <w:fldChar w:fldCharType="begin"/>
        </w:r>
        <w:r>
          <w:rPr>
            <w:noProof/>
            <w:webHidden/>
          </w:rPr>
          <w:instrText xml:space="preserve"> PAGEREF _Toc109801453 \h </w:instrText>
        </w:r>
        <w:r>
          <w:rPr>
            <w:noProof/>
            <w:webHidden/>
          </w:rPr>
        </w:r>
        <w:r>
          <w:rPr>
            <w:noProof/>
            <w:webHidden/>
          </w:rPr>
          <w:fldChar w:fldCharType="separate"/>
        </w:r>
        <w:r>
          <w:rPr>
            <w:noProof/>
            <w:webHidden/>
          </w:rPr>
          <w:t>214</w:t>
        </w:r>
        <w:r>
          <w:rPr>
            <w:noProof/>
            <w:webHidden/>
          </w:rPr>
          <w:fldChar w:fldCharType="end"/>
        </w:r>
      </w:hyperlink>
    </w:p>
    <w:p w14:paraId="279EA315" w14:textId="29AB32B5" w:rsidR="0064349A" w:rsidRDefault="0064349A">
      <w:pPr>
        <w:pStyle w:val="Obsah3"/>
        <w:rPr>
          <w:rFonts w:asciiTheme="minorHAnsi" w:eastAsiaTheme="minorEastAsia" w:hAnsiTheme="minorHAnsi" w:cstheme="minorBidi"/>
          <w:noProof/>
          <w:sz w:val="22"/>
          <w:lang w:eastAsia="cs-CZ"/>
        </w:rPr>
      </w:pPr>
      <w:hyperlink w:anchor="_Toc109801454" w:history="1">
        <w:r w:rsidRPr="00075681">
          <w:rPr>
            <w:rStyle w:val="Hypertextovodkaz"/>
            <w:noProof/>
          </w:rPr>
          <w:t>Metodika, specifikace modelu</w:t>
        </w:r>
        <w:r>
          <w:rPr>
            <w:noProof/>
            <w:webHidden/>
          </w:rPr>
          <w:tab/>
        </w:r>
        <w:r>
          <w:rPr>
            <w:noProof/>
            <w:webHidden/>
          </w:rPr>
          <w:fldChar w:fldCharType="begin"/>
        </w:r>
        <w:r>
          <w:rPr>
            <w:noProof/>
            <w:webHidden/>
          </w:rPr>
          <w:instrText xml:space="preserve"> PAGEREF _Toc109801454 \h </w:instrText>
        </w:r>
        <w:r>
          <w:rPr>
            <w:noProof/>
            <w:webHidden/>
          </w:rPr>
        </w:r>
        <w:r>
          <w:rPr>
            <w:noProof/>
            <w:webHidden/>
          </w:rPr>
          <w:fldChar w:fldCharType="separate"/>
        </w:r>
        <w:r>
          <w:rPr>
            <w:noProof/>
            <w:webHidden/>
          </w:rPr>
          <w:t>217</w:t>
        </w:r>
        <w:r>
          <w:rPr>
            <w:noProof/>
            <w:webHidden/>
          </w:rPr>
          <w:fldChar w:fldCharType="end"/>
        </w:r>
      </w:hyperlink>
    </w:p>
    <w:p w14:paraId="0BE31820" w14:textId="15F8DD8E" w:rsidR="0064349A" w:rsidRDefault="0064349A">
      <w:pPr>
        <w:pStyle w:val="Obsah3"/>
        <w:rPr>
          <w:rFonts w:asciiTheme="minorHAnsi" w:eastAsiaTheme="minorEastAsia" w:hAnsiTheme="minorHAnsi" w:cstheme="minorBidi"/>
          <w:noProof/>
          <w:sz w:val="22"/>
          <w:lang w:eastAsia="cs-CZ"/>
        </w:rPr>
      </w:pPr>
      <w:hyperlink w:anchor="_Toc109801455" w:history="1">
        <w:r w:rsidRPr="00075681">
          <w:rPr>
            <w:rStyle w:val="Hypertextovodkaz"/>
            <w:noProof/>
          </w:rPr>
          <w:t>Seznam literatury (DEA)</w:t>
        </w:r>
        <w:r>
          <w:rPr>
            <w:noProof/>
            <w:webHidden/>
          </w:rPr>
          <w:tab/>
        </w:r>
        <w:r>
          <w:rPr>
            <w:noProof/>
            <w:webHidden/>
          </w:rPr>
          <w:fldChar w:fldCharType="begin"/>
        </w:r>
        <w:r>
          <w:rPr>
            <w:noProof/>
            <w:webHidden/>
          </w:rPr>
          <w:instrText xml:space="preserve"> PAGEREF _Toc109801455 \h </w:instrText>
        </w:r>
        <w:r>
          <w:rPr>
            <w:noProof/>
            <w:webHidden/>
          </w:rPr>
        </w:r>
        <w:r>
          <w:rPr>
            <w:noProof/>
            <w:webHidden/>
          </w:rPr>
          <w:fldChar w:fldCharType="separate"/>
        </w:r>
        <w:r>
          <w:rPr>
            <w:noProof/>
            <w:webHidden/>
          </w:rPr>
          <w:t>219</w:t>
        </w:r>
        <w:r>
          <w:rPr>
            <w:noProof/>
            <w:webHidden/>
          </w:rPr>
          <w:fldChar w:fldCharType="end"/>
        </w:r>
      </w:hyperlink>
    </w:p>
    <w:p w14:paraId="480D4A29" w14:textId="22213FA5" w:rsidR="008430BD" w:rsidRPr="00B72E56" w:rsidRDefault="008430BD" w:rsidP="008430BD">
      <w:pPr>
        <w:rPr>
          <w:sz w:val="2"/>
          <w:szCs w:val="2"/>
        </w:rPr>
      </w:pPr>
      <w:r w:rsidRPr="00A00187">
        <w:fldChar w:fldCharType="end"/>
      </w:r>
    </w:p>
    <w:p w14:paraId="40E2D053" w14:textId="77777777" w:rsidR="008430BD" w:rsidRPr="00A00187" w:rsidRDefault="008430BD" w:rsidP="008430BD">
      <w:pPr>
        <w:pStyle w:val="Nadpis1"/>
        <w:pageBreakBefore/>
        <w:numPr>
          <w:ilvl w:val="0"/>
          <w:numId w:val="1"/>
        </w:numPr>
        <w:spacing w:after="120"/>
      </w:pPr>
      <w:bookmarkStart w:id="3" w:name="_Toc487791222"/>
      <w:bookmarkStart w:id="4" w:name="_Toc106092709"/>
      <w:bookmarkStart w:id="5" w:name="_Toc109801325"/>
      <w:r w:rsidRPr="00A00187">
        <w:lastRenderedPageBreak/>
        <w:t>Úvod</w:t>
      </w:r>
      <w:bookmarkEnd w:id="3"/>
      <w:bookmarkEnd w:id="4"/>
      <w:bookmarkEnd w:id="5"/>
    </w:p>
    <w:p w14:paraId="479E51A1" w14:textId="1910F47E" w:rsidR="00B07E76" w:rsidRPr="00A00187" w:rsidRDefault="008430BD" w:rsidP="008430BD">
      <w:pPr>
        <w:pStyle w:val="OdstavecASR"/>
      </w:pPr>
      <w:r w:rsidRPr="00A00187">
        <w:t>Cílem této výroční zprávy je seznámit odbornou i laickou veřejnost s činností české justice z pohledu statistik. Zpráva obsahuje vybraná statistická data za okresní, krajské a vrchní soudy, Nejvyšší 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 Část</w:t>
      </w:r>
      <w:r w:rsidR="000C3B1E" w:rsidRPr="00A00187">
        <w:t> </w:t>
      </w:r>
      <w:r w:rsidRPr="00A00187">
        <w:t>7 pak stručně shrnuje poznatky z předchozích kapitol a</w:t>
      </w:r>
      <w:r w:rsidR="00A74487" w:rsidRPr="00A00187">
        <w:t> </w:t>
      </w:r>
      <w:r w:rsidRPr="00A00187">
        <w:t>krátce ČR srovnává s ostatními členskými státy EU.</w:t>
      </w:r>
    </w:p>
    <w:p w14:paraId="49E9366D" w14:textId="2C049A40" w:rsidR="008430BD" w:rsidRPr="00A00187" w:rsidRDefault="008430BD" w:rsidP="008430BD">
      <w:pPr>
        <w:pStyle w:val="OdstavecASR"/>
      </w:pPr>
      <w:r w:rsidRPr="00A00187">
        <w:t>Kapitola 1.1 podrobněji vysvětluje účel této zprávy, seznamuje čtenáře s jejími základními východisky, předpoklady a určitými omezeními a přidává další poznámky, které je třeba mít při čtení dokumentu na mysli.</w:t>
      </w:r>
    </w:p>
    <w:p w14:paraId="12D9E2DF" w14:textId="621D67DE" w:rsidR="008430BD" w:rsidRPr="00A00187" w:rsidRDefault="008430BD" w:rsidP="008430BD">
      <w:pPr>
        <w:pStyle w:val="OdstavecASR"/>
      </w:pPr>
      <w:r w:rsidRPr="00A00187">
        <w:t>Statistická výroční zpráva za rok 202</w:t>
      </w:r>
      <w:r w:rsidR="00F56CE3" w:rsidRPr="00A00187">
        <w:t>1</w:t>
      </w:r>
      <w:r w:rsidRPr="00A00187">
        <w:t xml:space="preserve"> je v mnoha ohledech (obsažená data, metodologie komentáře, grafická úprava apod.) velmi podobná zprávám předchozím, určitých změn však doznala. Jako každý rok byly doplněny nové ukazatele, upřesněna metodika některých výpočtů apod. Kapitola 1.2 vyjmenovává a stručně popisuje nejvýznamnější z těchto změn.</w:t>
      </w:r>
    </w:p>
    <w:p w14:paraId="4BE12E5F" w14:textId="77777777" w:rsidR="008430BD" w:rsidRPr="00A00187" w:rsidRDefault="008430BD" w:rsidP="008430BD">
      <w:pPr>
        <w:pStyle w:val="Nadpis2"/>
        <w:numPr>
          <w:ilvl w:val="1"/>
          <w:numId w:val="1"/>
        </w:numPr>
        <w:spacing w:before="120"/>
        <w:rPr>
          <w:color w:val="auto"/>
        </w:rPr>
      </w:pPr>
      <w:bookmarkStart w:id="6" w:name="_Ref482901858"/>
      <w:bookmarkStart w:id="7" w:name="_Ref482901954"/>
      <w:bookmarkStart w:id="8" w:name="_Toc487791223"/>
      <w:bookmarkStart w:id="9" w:name="_Toc517118504"/>
      <w:bookmarkStart w:id="10" w:name="_Toc106092710"/>
      <w:bookmarkStart w:id="11" w:name="_Toc109801326"/>
      <w:r w:rsidRPr="00A00187">
        <w:rPr>
          <w:color w:val="auto"/>
        </w:rPr>
        <w:t>Základní východiska, předpoklady, omezení a upřesňující poznámky</w:t>
      </w:r>
      <w:bookmarkEnd w:id="6"/>
      <w:bookmarkEnd w:id="7"/>
      <w:bookmarkEnd w:id="8"/>
      <w:bookmarkEnd w:id="9"/>
      <w:bookmarkEnd w:id="10"/>
      <w:bookmarkEnd w:id="11"/>
    </w:p>
    <w:p w14:paraId="18BCD68B" w14:textId="77777777" w:rsidR="008430BD" w:rsidRPr="00A00187" w:rsidRDefault="008430BD" w:rsidP="008430BD">
      <w:pPr>
        <w:pStyle w:val="OdstavecASR"/>
      </w:pPr>
      <w:r w:rsidRPr="00A00187">
        <w:t>Při čtení této zprávy je třeba pamatovat zejména na následující skutečnosti:</w:t>
      </w:r>
    </w:p>
    <w:p w14:paraId="1F7F58C8" w14:textId="02D3F616" w:rsidR="008430BD" w:rsidRPr="00A00187" w:rsidRDefault="008430BD" w:rsidP="008430BD">
      <w:pPr>
        <w:pStyle w:val="Odstavecseseznamem"/>
        <w:numPr>
          <w:ilvl w:val="0"/>
          <w:numId w:val="2"/>
        </w:numPr>
      </w:pPr>
      <w:r w:rsidRPr="00A00187">
        <w:t>Cílem zprávy je poskytnout čtenáři přístupný, ale poměrně detailní náhled na fungování české justice prostřednictvím statistik. Oproti ostatním veřejně dostupným zdrojům justičních statistik (Justiční statistické ročenky</w:t>
      </w:r>
      <w:r w:rsidRPr="00A00187">
        <w:rPr>
          <w:rStyle w:val="Znakapoznpodarou"/>
        </w:rPr>
        <w:footnoteReference w:id="2"/>
      </w:r>
      <w:r w:rsidRPr="00A00187">
        <w:t xml:space="preserve">, </w:t>
      </w:r>
      <w:hyperlink r:id="rId10" w:history="1">
        <w:r w:rsidRPr="000777CE">
          <w:rPr>
            <w:rStyle w:val="Hypertextovodkaz"/>
          </w:rPr>
          <w:t xml:space="preserve">internetové stránky </w:t>
        </w:r>
        <w:proofErr w:type="spellStart"/>
        <w:r w:rsidRPr="000777CE">
          <w:rPr>
            <w:rStyle w:val="Hypertextovodkaz"/>
          </w:rPr>
          <w:t>InfoData</w:t>
        </w:r>
        <w:proofErr w:type="spellEnd"/>
      </w:hyperlink>
      <w:r w:rsidR="000777CE">
        <w:t xml:space="preserve">, </w:t>
      </w:r>
      <w:r w:rsidRPr="00A00187">
        <w:t>data publikovaná Českým statistickým úřadem) má tato zpráva mnoho výhod:</w:t>
      </w:r>
    </w:p>
    <w:p w14:paraId="737DB2AA" w14:textId="77777777" w:rsidR="008430BD" w:rsidRPr="00A00187" w:rsidRDefault="008430BD" w:rsidP="008430BD">
      <w:pPr>
        <w:pStyle w:val="Odstavecseseznamem"/>
        <w:numPr>
          <w:ilvl w:val="1"/>
          <w:numId w:val="2"/>
        </w:numPr>
      </w:pPr>
      <w:r w:rsidRPr="00A00187">
        <w:t>Obsahuje množství dat, která nejsou jinak dostupná, například nejen průměrné, ale i mediánové délky řízení.</w:t>
      </w:r>
    </w:p>
    <w:p w14:paraId="383C24EF" w14:textId="3C1ACF3F" w:rsidR="008430BD" w:rsidRPr="00A00187" w:rsidRDefault="008430BD" w:rsidP="008430BD">
      <w:pPr>
        <w:pStyle w:val="Odstavecseseznamem"/>
        <w:numPr>
          <w:ilvl w:val="1"/>
          <w:numId w:val="2"/>
        </w:numPr>
      </w:pPr>
      <w:r w:rsidRPr="00A00187">
        <w:t xml:space="preserve">V průběhu let docházelo ke změnám v legislativě a způsobu vedení statistik a některé zdroje (například </w:t>
      </w:r>
      <w:proofErr w:type="spellStart"/>
      <w:r w:rsidRPr="00A00187">
        <w:t>InfoData</w:t>
      </w:r>
      <w:proofErr w:type="spellEnd"/>
      <w:r w:rsidRPr="00A00187">
        <w:t xml:space="preserve">) ne vždy detailně rozlišují rejstříky. Ostatní zdroje dat rovněž obsahují jisté, byť velmi malé, množství chybných pozorování. Data v této zprávě jsou vždy, když je to možné, očištěna </w:t>
      </w:r>
      <w:r w:rsidR="000C3B1E" w:rsidRPr="00A00187">
        <w:t>a </w:t>
      </w:r>
      <w:r w:rsidRPr="00A00187">
        <w:t>výše zmíněnými nedostatky tak netrpí.</w:t>
      </w:r>
    </w:p>
    <w:p w14:paraId="7661C45B" w14:textId="77777777" w:rsidR="008430BD" w:rsidRPr="00A00187" w:rsidRDefault="008430BD" w:rsidP="008430BD">
      <w:pPr>
        <w:pStyle w:val="Odstavecseseznamem"/>
        <w:numPr>
          <w:ilvl w:val="1"/>
          <w:numId w:val="2"/>
        </w:numPr>
      </w:pPr>
      <w:r w:rsidRPr="00A00187">
        <w:t>Data jsou zobrazena v přehledné podobě v různých typech grafů, případně tabulkách. Především sledování vývoje ukazatelů v čase nebo rozdílů mezi jednotlivými soudy je takto výrazně snadnější.</w:t>
      </w:r>
    </w:p>
    <w:p w14:paraId="1FB6C79A" w14:textId="77777777" w:rsidR="008430BD" w:rsidRPr="00A00187" w:rsidRDefault="008430BD" w:rsidP="008430BD">
      <w:pPr>
        <w:pStyle w:val="Odstavecseseznamem"/>
        <w:numPr>
          <w:ilvl w:val="1"/>
          <w:numId w:val="2"/>
        </w:numPr>
      </w:pPr>
      <w:r w:rsidRPr="00A00187">
        <w:t>Data jsou doplněna komentářem a vysvětlivkami.</w:t>
      </w:r>
    </w:p>
    <w:p w14:paraId="42143231" w14:textId="77777777" w:rsidR="008430BD" w:rsidRPr="00A00187" w:rsidRDefault="008430BD" w:rsidP="008430BD">
      <w:pPr>
        <w:pStyle w:val="Odstavecseseznamem"/>
        <w:numPr>
          <w:ilvl w:val="0"/>
          <w:numId w:val="2"/>
        </w:numPr>
      </w:pPr>
      <w:r w:rsidRPr="00A00187">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14:paraId="1BD65413" w14:textId="77777777" w:rsidR="008430BD" w:rsidRPr="00A00187" w:rsidRDefault="008430BD" w:rsidP="008430BD">
      <w:pPr>
        <w:pStyle w:val="Odstavecseseznamem"/>
        <w:numPr>
          <w:ilvl w:val="0"/>
          <w:numId w:val="2"/>
        </w:numPr>
      </w:pPr>
      <w:r w:rsidRPr="00A00187">
        <w:t xml:space="preserve">Definitivní závěry nemohou být vyvozovány pouze na základě jednoho statistického ukazatele. Například vysoké délky řízení nemusí znamenat (a často také neznamenají), že </w:t>
      </w:r>
      <w:r w:rsidRPr="00A00187">
        <w:lastRenderedPageBreak/>
        <w:t>soud pracuje špatně. Mohou ve skutečnosti ukazovat to, že soud z nějakého důvodu (nízký počet personálu, špatná organizace práce apod.) přestal zvládat vyřizovat svou agendu před několika lety, a ačkoliv již nyní pracuje dobře, potýká se s problémy, které vznikly dříve.</w:t>
      </w:r>
    </w:p>
    <w:p w14:paraId="08642151" w14:textId="6987A793" w:rsidR="008430BD" w:rsidRPr="00A00187" w:rsidRDefault="008430BD" w:rsidP="008430BD">
      <w:pPr>
        <w:pStyle w:val="Odstavecseseznamem"/>
        <w:numPr>
          <w:ilvl w:val="0"/>
          <w:numId w:val="2"/>
        </w:numPr>
      </w:pPr>
      <w:r w:rsidRPr="00A00187">
        <w:t>Zpráva se zabývá pouze hlavními agendami soudů</w:t>
      </w:r>
      <w:r w:rsidR="00F732C0" w:rsidRPr="00A00187">
        <w:t xml:space="preserve">, </w:t>
      </w:r>
      <w:r w:rsidR="00726EC3" w:rsidRPr="00A00187">
        <w:t>i</w:t>
      </w:r>
      <w:r w:rsidR="00726EC3">
        <w:t> </w:t>
      </w:r>
      <w:r w:rsidR="00F732C0" w:rsidRPr="00A00187">
        <w:t>když</w:t>
      </w:r>
      <w:r w:rsidRPr="00A00187">
        <w:t xml:space="preserve"> </w:t>
      </w:r>
      <w:r w:rsidR="00F732C0" w:rsidRPr="00A00187">
        <w:t>s</w:t>
      </w:r>
      <w:r w:rsidRPr="00A00187">
        <w:t xml:space="preserve">oudy vyřizují i množství vedlejších agend. Základní údaje o nich lze </w:t>
      </w:r>
      <w:r w:rsidR="00F732C0" w:rsidRPr="00A00187">
        <w:t xml:space="preserve">však </w:t>
      </w:r>
      <w:r w:rsidRPr="00A00187">
        <w:t>najít v jiných informačních zdrojích (</w:t>
      </w:r>
      <w:proofErr w:type="spellStart"/>
      <w:r w:rsidRPr="00A00187">
        <w:t>InfoData</w:t>
      </w:r>
      <w:proofErr w:type="spellEnd"/>
      <w:r w:rsidRPr="00A00187">
        <w:t xml:space="preserve">, Statistická ročenka). Další rozcestník lze najít </w:t>
      </w:r>
      <w:r w:rsidR="00726EC3" w:rsidRPr="00A00187">
        <w:t>i</w:t>
      </w:r>
      <w:r w:rsidR="00726EC3">
        <w:t> </w:t>
      </w:r>
      <w:r w:rsidRPr="00A00187">
        <w:t>na internetových stránkách Ministerstva spravedlnosti v části věnující se justiční statistice</w:t>
      </w:r>
      <w:r w:rsidRPr="00A00187">
        <w:rPr>
          <w:rStyle w:val="Znakapoznpodarou"/>
        </w:rPr>
        <w:footnoteReference w:id="3"/>
      </w:r>
      <w:r w:rsidRPr="00A00187">
        <w:t>.</w:t>
      </w:r>
    </w:p>
    <w:p w14:paraId="045ECDB0" w14:textId="484FCF26" w:rsidR="008430BD" w:rsidRPr="00A00187" w:rsidRDefault="008430BD" w:rsidP="008430BD">
      <w:pPr>
        <w:pStyle w:val="Odstavecseseznamem"/>
        <w:numPr>
          <w:ilvl w:val="0"/>
          <w:numId w:val="2"/>
        </w:numPr>
      </w:pPr>
      <w:r w:rsidRPr="00A00187">
        <w:t>Soudní obvody neodpovídají novému samosprávnímu členění státu a vycházejí v základu ze správního členění z roku 1960.</w:t>
      </w:r>
      <w:r w:rsidR="007F5182" w:rsidRPr="00A00187">
        <w:t xml:space="preserve"> Rovněž neodpovídají novému zákonu </w:t>
      </w:r>
      <w:r w:rsidR="00726EC3" w:rsidRPr="00A00187">
        <w:t>o</w:t>
      </w:r>
      <w:r w:rsidR="00726EC3">
        <w:t> </w:t>
      </w:r>
      <w:r w:rsidR="007F5182" w:rsidRPr="00A00187">
        <w:t xml:space="preserve">územně správním členění státu z roku 2020, který zrušil zákon </w:t>
      </w:r>
      <w:r w:rsidR="00726EC3" w:rsidRPr="00A00187">
        <w:t>o</w:t>
      </w:r>
      <w:r w:rsidR="00726EC3">
        <w:t> </w:t>
      </w:r>
      <w:r w:rsidR="007F5182" w:rsidRPr="00A00187">
        <w:t>územním členění státu z roku 1960.</w:t>
      </w:r>
      <w:r w:rsidRPr="00A00187">
        <w:t xml:space="preserve"> Na úrovni okresů se hranice liší pouze mírně</w:t>
      </w:r>
      <w:r w:rsidR="00202836" w:rsidRPr="00A00187">
        <w:t>, nicméně určité</w:t>
      </w:r>
      <w:r w:rsidRPr="00A00187">
        <w:t xml:space="preserve"> odlišnosti můžeme najít u okresů </w:t>
      </w:r>
      <w:r w:rsidR="0053190F" w:rsidRPr="00A00187">
        <w:t>Brno</w:t>
      </w:r>
      <w:r w:rsidR="0053190F" w:rsidRPr="00A00187">
        <w:noBreakHyphen/>
      </w:r>
      <w:r w:rsidRPr="00A00187">
        <w:t xml:space="preserve">venkov, Břeclav, Žďár nad Sázavou, </w:t>
      </w:r>
      <w:r w:rsidR="0053190F" w:rsidRPr="00A00187">
        <w:t>Praha</w:t>
      </w:r>
      <w:r w:rsidR="0053190F" w:rsidRPr="00A00187">
        <w:noBreakHyphen/>
      </w:r>
      <w:r w:rsidRPr="00A00187">
        <w:t xml:space="preserve">východ, Kolín, Ostrava-město, </w:t>
      </w:r>
      <w:r w:rsidR="0053190F" w:rsidRPr="00A00187">
        <w:t>Frýdek</w:t>
      </w:r>
      <w:r w:rsidR="0053190F" w:rsidRPr="00A00187">
        <w:noBreakHyphen/>
        <w:t>Místek</w:t>
      </w:r>
      <w:r w:rsidRPr="00A00187">
        <w:t xml:space="preserve">, Nový Jičín, </w:t>
      </w:r>
      <w:r w:rsidR="0053190F" w:rsidRPr="00A00187">
        <w:t>Plzeň</w:t>
      </w:r>
      <w:r w:rsidR="0053190F" w:rsidRPr="00A00187">
        <w:noBreakHyphen/>
      </w:r>
      <w:r w:rsidRPr="00A00187">
        <w:t xml:space="preserve">jih nebo </w:t>
      </w:r>
      <w:r w:rsidR="0053190F" w:rsidRPr="00A00187">
        <w:t>Plzeň</w:t>
      </w:r>
      <w:r w:rsidR="0053190F" w:rsidRPr="00A00187">
        <w:noBreakHyphen/>
      </w:r>
      <w:r w:rsidRPr="00A00187">
        <w:t xml:space="preserve">město. Výrazně větší rozdíly jsou </w:t>
      </w:r>
      <w:r w:rsidR="00202836" w:rsidRPr="00A00187">
        <w:t>však</w:t>
      </w:r>
      <w:r w:rsidRPr="00A00187">
        <w:t xml:space="preserve"> patrné na úrovni krajů, když existuje 14 samosprávných krajů, ale jen 8 krajů soudních. Tato zpráva se zaměřuje na soudnictví a vychází tedy pouze ze soudního členění. Například pojmem </w:t>
      </w:r>
      <w:r w:rsidRPr="00A00187">
        <w:rPr>
          <w:i/>
        </w:rPr>
        <w:t>kraj</w:t>
      </w:r>
      <w:r w:rsidRPr="00A00187">
        <w:t xml:space="preserve"> se tedy myslí kraj podle soudního členění. Hlavní město Praha má podle soudního členění 10 obvodů.</w:t>
      </w:r>
    </w:p>
    <w:p w14:paraId="44058153" w14:textId="77777777" w:rsidR="008430BD" w:rsidRPr="00A00187" w:rsidRDefault="008430BD" w:rsidP="008430BD">
      <w:pPr>
        <w:pStyle w:val="Odstavecseseznamem"/>
        <w:numPr>
          <w:ilvl w:val="0"/>
          <w:numId w:val="2"/>
        </w:numPr>
      </w:pPr>
      <w:r w:rsidRPr="00A00187">
        <w:t>Ačkoliv je to na první pohled nelogické, ve statistikách týkajících se vyřizování věcí nutně neplatí, že (nevyřízené věci)</w:t>
      </w:r>
      <w:r w:rsidRPr="00A00187">
        <w:rPr>
          <w:vertAlign w:val="subscript"/>
        </w:rPr>
        <w:t>t-1</w:t>
      </w:r>
      <w:r w:rsidRPr="00A00187">
        <w:t xml:space="preserve"> + (příchozí věci)</w:t>
      </w:r>
      <w:r w:rsidRPr="00A00187">
        <w:rPr>
          <w:vertAlign w:val="subscript"/>
        </w:rPr>
        <w:t>t</w:t>
      </w:r>
      <w:r w:rsidRPr="00A00187">
        <w:t xml:space="preserve"> – (vyřízené věci)</w:t>
      </w:r>
      <w:r w:rsidRPr="00A00187">
        <w:rPr>
          <w:vertAlign w:val="subscript"/>
        </w:rPr>
        <w:t xml:space="preserve">t </w:t>
      </w:r>
      <w:r w:rsidRPr="00A00187">
        <w:t>= (nevyřízené věci)</w:t>
      </w:r>
      <w:r w:rsidRPr="00A00187">
        <w:rPr>
          <w:vertAlign w:val="subscript"/>
        </w:rPr>
        <w:t>t</w:t>
      </w:r>
      <w:r w:rsidRPr="00A00187">
        <w:t>. Tedy například, že počet nevyřízených 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14:paraId="223F2352" w14:textId="77777777" w:rsidR="008430BD" w:rsidRPr="00A00187" w:rsidRDefault="008430BD" w:rsidP="008430BD">
      <w:pPr>
        <w:pStyle w:val="Odstavecseseznamem"/>
        <w:numPr>
          <w:ilvl w:val="0"/>
          <w:numId w:val="2"/>
        </w:numPr>
      </w:pPr>
      <w:r w:rsidRPr="00A00187">
        <w:t>U grafů je třeba věnovat pozornost měřítku na ose </w:t>
      </w:r>
      <w:r w:rsidRPr="00A00187">
        <w:rPr>
          <w:i/>
        </w:rPr>
        <w:t xml:space="preserve">y </w:t>
      </w:r>
      <w:r w:rsidRPr="00A00187">
        <w:t>(svislá osa), měřítka se totiž liší. Stejně důležitý je rozsah osy. Ta totiž například nezačíná na hodnotě 0, ale na hodnotě vyšší. Na první pohled se tak mohou rozdíly zdát větší, než ve skutečnosti jsou. U kartogramů musíme sledovat velikost intervalů.</w:t>
      </w:r>
    </w:p>
    <w:p w14:paraId="6B3AD648" w14:textId="46442F47" w:rsidR="008430BD" w:rsidRPr="00A00187" w:rsidRDefault="008430BD" w:rsidP="008430BD">
      <w:pPr>
        <w:pStyle w:val="Odstavecseseznamem"/>
        <w:numPr>
          <w:ilvl w:val="0"/>
          <w:numId w:val="2"/>
        </w:numPr>
      </w:pPr>
      <w:r w:rsidRPr="00A00187">
        <w:t>U trestních agend je potřeba rozlišovat mezi počtem věcí a počtem osob</w:t>
      </w:r>
      <w:r w:rsidR="009443E0" w:rsidRPr="00A00187">
        <w:t xml:space="preserve">, neboť jedno trestní řízení může být vedeno </w:t>
      </w:r>
      <w:r w:rsidR="00726EC3" w:rsidRPr="00A00187">
        <w:t>i</w:t>
      </w:r>
      <w:r w:rsidR="00726EC3">
        <w:t> </w:t>
      </w:r>
      <w:r w:rsidR="009443E0" w:rsidRPr="00A00187">
        <w:t>proti více osobám.</w:t>
      </w:r>
      <w:r w:rsidRPr="00A00187">
        <w:t xml:space="preserve"> </w:t>
      </w:r>
      <w:r w:rsidR="009443E0" w:rsidRPr="00A00187">
        <w:t>P</w:t>
      </w:r>
      <w:r w:rsidRPr="00A00187">
        <w:t>očet osob tak může být výrazně vyšší než počet věcí</w:t>
      </w:r>
      <w:r w:rsidR="009443E0" w:rsidRPr="00A00187">
        <w:t>, což</w:t>
      </w:r>
      <w:r w:rsidR="002A4AC8" w:rsidRPr="00A00187">
        <w:t xml:space="preserve"> </w:t>
      </w:r>
      <w:r w:rsidRPr="00A00187">
        <w:t xml:space="preserve">platí především u krajských a vrchních soudů. Tato zpráva se </w:t>
      </w:r>
      <w:r w:rsidR="009443E0" w:rsidRPr="00A00187">
        <w:t xml:space="preserve">pak </w:t>
      </w:r>
      <w:r w:rsidRPr="00A00187">
        <w:t xml:space="preserve">zabývá pouze počtem věcí. Za zmínku </w:t>
      </w:r>
      <w:r w:rsidR="009443E0" w:rsidRPr="00A00187">
        <w:t xml:space="preserve">však </w:t>
      </w:r>
      <w:r w:rsidRPr="00A00187">
        <w:t xml:space="preserve">stojí </w:t>
      </w:r>
      <w:r w:rsidR="009443E0" w:rsidRPr="00A00187">
        <w:t>uvést skutečnost</w:t>
      </w:r>
      <w:r w:rsidRPr="00A00187">
        <w:t xml:space="preserve">, že počet stíhaných osob lze považovat za aproximaci složitosti věci. Více osob </w:t>
      </w:r>
      <w:r w:rsidR="009443E0" w:rsidRPr="00A00187">
        <w:t xml:space="preserve">totiž </w:t>
      </w:r>
      <w:r w:rsidRPr="00A00187">
        <w:t>znamená zpravidla složitější věc.</w:t>
      </w:r>
    </w:p>
    <w:p w14:paraId="4B3B6BA9" w14:textId="77777777" w:rsidR="008430BD" w:rsidRPr="00A00187" w:rsidRDefault="008430BD" w:rsidP="008430BD">
      <w:pPr>
        <w:pStyle w:val="Odstavecseseznamem"/>
        <w:numPr>
          <w:ilvl w:val="0"/>
          <w:numId w:val="2"/>
        </w:numPr>
      </w:pPr>
      <w:r w:rsidRPr="00A00187">
        <w:t>Mediánová délka řízení má z trojice medián, průměr a percentil 90 pro účely této zprávy zřejmě nejlepší vypovídající hodnotu, protože eliminuje extrémní hodnoty. Proto v kartogramech využíváme mediánovou délku řízení a ne průměrnou délku řízení nebo devadesátý percentil.</w:t>
      </w:r>
    </w:p>
    <w:p w14:paraId="419E14A0" w14:textId="77777777" w:rsidR="008430BD" w:rsidRPr="00A00187" w:rsidRDefault="008430BD" w:rsidP="008430BD">
      <w:pPr>
        <w:pStyle w:val="Odstavecseseznamem"/>
        <w:numPr>
          <w:ilvl w:val="0"/>
          <w:numId w:val="2"/>
        </w:numPr>
      </w:pPr>
      <w:r w:rsidRPr="00A00187">
        <w:t>Seznam použitých pojmů, seznam zkratek soudních okresů a soudních obvodů hlavního města Prahy využitých v kartogramech a seznam vybraných rejstříků soudů naleznete v příloze této zprávy.</w:t>
      </w:r>
    </w:p>
    <w:p w14:paraId="688A1CFB" w14:textId="3819C94C" w:rsidR="008430BD" w:rsidRPr="00A00187" w:rsidRDefault="008430BD" w:rsidP="008430BD">
      <w:pPr>
        <w:pStyle w:val="Odstavecseseznamem"/>
        <w:numPr>
          <w:ilvl w:val="0"/>
          <w:numId w:val="2"/>
        </w:numPr>
      </w:pPr>
      <w:r w:rsidRPr="00A00187">
        <w:lastRenderedPageBreak/>
        <w:t xml:space="preserve">Přesné číselné údaje </w:t>
      </w:r>
      <w:r w:rsidR="000C3B1E" w:rsidRPr="00A00187">
        <w:t>o </w:t>
      </w:r>
      <w:r w:rsidRPr="00A00187">
        <w:t>jednotlivých okresních soudech jsou v</w:t>
      </w:r>
      <w:r w:rsidR="000C3B1E" w:rsidRPr="00A00187">
        <w:t> </w:t>
      </w:r>
      <w:r w:rsidRPr="00A00187">
        <w:t>Příloze</w:t>
      </w:r>
      <w:r w:rsidR="000C3B1E" w:rsidRPr="00A00187">
        <w:t> </w:t>
      </w:r>
      <w:r w:rsidRPr="00A00187">
        <w:t>D. Lze je také dohledat na internetových stránkách Ministerstva spravedlnosti v části věnující se justiční statistice.</w:t>
      </w:r>
    </w:p>
    <w:p w14:paraId="1586C7BE" w14:textId="1DAF8A93" w:rsidR="008430BD" w:rsidRPr="00A00187" w:rsidRDefault="008430BD" w:rsidP="008430BD">
      <w:pPr>
        <w:pStyle w:val="Odstavecseseznamem"/>
        <w:numPr>
          <w:ilvl w:val="0"/>
          <w:numId w:val="2"/>
        </w:numPr>
      </w:pPr>
      <w:r w:rsidRPr="00A00187">
        <w:t>Od výroční zprávy za rok 20</w:t>
      </w:r>
      <w:r w:rsidR="00F56CE3" w:rsidRPr="00A00187">
        <w:t>19</w:t>
      </w:r>
      <w:r w:rsidRPr="00A00187">
        <w:t xml:space="preserve"> jsou ve zprávě využity dva různé ukazatele pro počty soudců.</w:t>
      </w:r>
    </w:p>
    <w:p w14:paraId="6EA96F7B" w14:textId="137D88FE" w:rsidR="008430BD" w:rsidRPr="00A00187" w:rsidRDefault="008430BD" w:rsidP="008430BD">
      <w:pPr>
        <w:pStyle w:val="Odstavecseseznamem"/>
        <w:numPr>
          <w:ilvl w:val="1"/>
          <w:numId w:val="2"/>
        </w:numPr>
      </w:pPr>
      <w:r w:rsidRPr="00A00187">
        <w:t xml:space="preserve">Stejně jako v předchozích verzích zprávy je využit evidenční počet soudců, </w:t>
      </w:r>
      <w:r w:rsidR="000C3B1E" w:rsidRPr="00A00187">
        <w:t>a </w:t>
      </w:r>
      <w:r w:rsidRPr="00A00187">
        <w:t xml:space="preserve">to v kapitolách o personálu. Výhodou je především to, že data jsou sbírána pravidelně stejnou metodikou </w:t>
      </w:r>
      <w:r w:rsidR="000C3B1E" w:rsidRPr="00A00187">
        <w:t>a </w:t>
      </w:r>
      <w:r w:rsidRPr="00A00187">
        <w:t>jsou k dispozici za dlouhé časové období.</w:t>
      </w:r>
    </w:p>
    <w:p w14:paraId="7526A902" w14:textId="7CCCF552" w:rsidR="008430BD" w:rsidRPr="00A00187" w:rsidRDefault="008430BD" w:rsidP="008430BD">
      <w:pPr>
        <w:pStyle w:val="Odstavecseseznamem"/>
        <w:numPr>
          <w:ilvl w:val="1"/>
          <w:numId w:val="2"/>
        </w:numPr>
      </w:pPr>
      <w:r w:rsidRPr="00A00187">
        <w:t xml:space="preserve">Opět jsou využita data </w:t>
      </w:r>
      <w:r w:rsidR="000C3B1E" w:rsidRPr="00A00187">
        <w:t>o </w:t>
      </w:r>
      <w:r w:rsidRPr="00A00187">
        <w:t>počtu skutečných úvazků, která byla poprvé sbírána k 1. 1. 2020</w:t>
      </w:r>
      <w:r w:rsidR="00782F55" w:rsidRPr="00A00187">
        <w:t>,</w:t>
      </w:r>
      <w:r w:rsidRPr="00A00187">
        <w:t xml:space="preserve"> </w:t>
      </w:r>
      <w:r w:rsidR="000C3B1E" w:rsidRPr="00A00187">
        <w:t>a </w:t>
      </w:r>
      <w:r w:rsidRPr="00A00187">
        <w:t>v této zprávě jsou platná k 1. 1. 202</w:t>
      </w:r>
      <w:r w:rsidR="00F56CE3" w:rsidRPr="00A00187">
        <w:t>2</w:t>
      </w:r>
      <w:r w:rsidRPr="00A00187">
        <w:t xml:space="preserve">. Jejich velkou výhodou je </w:t>
      </w:r>
      <w:r w:rsidR="00782F55" w:rsidRPr="00A00187">
        <w:t>skutečnost</w:t>
      </w:r>
      <w:r w:rsidRPr="00A00187">
        <w:t>, že jsou přesnější, neboť je v nich například vyčleněna opatrovnická agenda (a není tedy uvedena dohromady s rejstříkem C)</w:t>
      </w:r>
      <w:r w:rsidR="00782F55" w:rsidRPr="00A00187">
        <w:t>,</w:t>
      </w:r>
      <w:r w:rsidRPr="00A00187">
        <w:t xml:space="preserve"> </w:t>
      </w:r>
      <w:r w:rsidR="000C3B1E" w:rsidRPr="00A00187">
        <w:t>a </w:t>
      </w:r>
      <w:r w:rsidRPr="00A00187">
        <w:t xml:space="preserve">dále jsou zohledněny i nepřítomnosti soudců, </w:t>
      </w:r>
      <w:r w:rsidR="00FC1534" w:rsidRPr="00A00187">
        <w:t>jako</w:t>
      </w:r>
      <w:r w:rsidRPr="00A00187">
        <w:t xml:space="preserve"> je </w:t>
      </w:r>
      <w:r w:rsidR="00782F55" w:rsidRPr="00A00187">
        <w:t xml:space="preserve">například </w:t>
      </w:r>
      <w:r w:rsidRPr="00A00187">
        <w:t>dlouhodobá nemoc apod. Počty skutečných úvazků jsou uvedeny s přesností na desetinu soudce. Tato data jsou pak tedy využita v kapitolách s přepočty věcí na soudce.</w:t>
      </w:r>
    </w:p>
    <w:p w14:paraId="672E9E25" w14:textId="77777777" w:rsidR="008430BD" w:rsidRPr="00A00187" w:rsidRDefault="008430BD" w:rsidP="008430BD"/>
    <w:p w14:paraId="0275EB5B" w14:textId="77777777" w:rsidR="008430BD" w:rsidRPr="00A00187" w:rsidRDefault="008430BD" w:rsidP="008430BD">
      <w:pPr>
        <w:pStyle w:val="Odstavecseseznamem"/>
        <w:numPr>
          <w:ilvl w:val="1"/>
          <w:numId w:val="2"/>
        </w:numPr>
      </w:pPr>
      <w:r w:rsidRPr="00A00187">
        <w:br w:type="page"/>
      </w:r>
    </w:p>
    <w:p w14:paraId="00D2A37B" w14:textId="77777777" w:rsidR="008430BD" w:rsidRPr="00A00187" w:rsidRDefault="008430BD" w:rsidP="008430BD">
      <w:pPr>
        <w:pStyle w:val="Nadpis2"/>
        <w:numPr>
          <w:ilvl w:val="1"/>
          <w:numId w:val="1"/>
        </w:numPr>
        <w:spacing w:before="120"/>
        <w:rPr>
          <w:color w:val="auto"/>
        </w:rPr>
      </w:pPr>
      <w:bookmarkStart w:id="12" w:name="_Ref508884198"/>
      <w:bookmarkStart w:id="13" w:name="_Toc517118505"/>
      <w:bookmarkStart w:id="14" w:name="_Toc106092711"/>
      <w:bookmarkStart w:id="15" w:name="_Toc109801327"/>
      <w:r w:rsidRPr="00A00187">
        <w:rPr>
          <w:color w:val="auto"/>
        </w:rPr>
        <w:lastRenderedPageBreak/>
        <w:t>Změny oproti verzi z minulého roku</w:t>
      </w:r>
      <w:bookmarkEnd w:id="12"/>
      <w:bookmarkEnd w:id="13"/>
      <w:bookmarkEnd w:id="14"/>
      <w:bookmarkEnd w:id="15"/>
    </w:p>
    <w:p w14:paraId="2BD6599D" w14:textId="0F68BCAA" w:rsidR="008430BD" w:rsidRPr="00A00187" w:rsidRDefault="008430BD" w:rsidP="008430BD">
      <w:pPr>
        <w:pStyle w:val="OdstavecASR"/>
      </w:pPr>
      <w:r w:rsidRPr="00A00187">
        <w:t>Statistická výroční zpráva za rok 202</w:t>
      </w:r>
      <w:r w:rsidR="00F56CE3" w:rsidRPr="00A00187">
        <w:t>1</w:t>
      </w:r>
      <w:r w:rsidRPr="00A00187">
        <w:t xml:space="preserve"> je v mnoha ohledech (obsažená data, metodologie komentáře, grafická úprava apod.) velmi podobná zprávě za rok 20</w:t>
      </w:r>
      <w:r w:rsidR="00F56CE3" w:rsidRPr="00A00187">
        <w:t>20</w:t>
      </w:r>
      <w:r w:rsidRPr="00A00187">
        <w:t xml:space="preserve">. </w:t>
      </w:r>
      <w:r w:rsidR="00516B7E" w:rsidRPr="00A00187">
        <w:t xml:space="preserve">V tomto </w:t>
      </w:r>
      <w:r w:rsidR="00541D63" w:rsidRPr="00A00187">
        <w:t>vydání</w:t>
      </w:r>
      <w:r w:rsidR="00516B7E" w:rsidRPr="00A00187">
        <w:t xml:space="preserve"> došlo k minimálním změnám</w:t>
      </w:r>
      <w:r w:rsidR="00541D63" w:rsidRPr="00A00187">
        <w:t xml:space="preserve"> shrnutým níže</w:t>
      </w:r>
      <w:r w:rsidRPr="00A00187">
        <w:t>:</w:t>
      </w:r>
    </w:p>
    <w:p w14:paraId="71C229CD" w14:textId="1CE379F2" w:rsidR="00CB570A" w:rsidRDefault="008430BD" w:rsidP="008430BD">
      <w:pPr>
        <w:pStyle w:val="Odstavecseseznamem"/>
        <w:numPr>
          <w:ilvl w:val="0"/>
          <w:numId w:val="3"/>
        </w:numPr>
      </w:pPr>
      <w:r w:rsidRPr="00A00187">
        <w:t xml:space="preserve">U některých agend uvádíme jiné </w:t>
      </w:r>
      <w:r w:rsidRPr="00A00187">
        <w:rPr>
          <w:i/>
        </w:rPr>
        <w:t>další statistiky</w:t>
      </w:r>
      <w:r w:rsidRPr="00A00187">
        <w:t xml:space="preserve"> než v roce 20</w:t>
      </w:r>
      <w:r w:rsidR="00986FC3" w:rsidRPr="00A00187">
        <w:t>20</w:t>
      </w:r>
      <w:r w:rsidRPr="00A00187">
        <w:t>.</w:t>
      </w:r>
      <w:r w:rsidR="00516B7E" w:rsidRPr="00A00187">
        <w:t xml:space="preserve"> V tomto roce se zpráva soustředí na opatrovnickou agendu, </w:t>
      </w:r>
      <w:r w:rsidR="00726EC3" w:rsidRPr="00A00187">
        <w:t>a</w:t>
      </w:r>
      <w:r w:rsidR="00726EC3">
        <w:t> </w:t>
      </w:r>
      <w:r w:rsidR="00516B7E" w:rsidRPr="00A00187">
        <w:t>proto je uvedeno výrazně větší množství dalších statistik.</w:t>
      </w:r>
    </w:p>
    <w:p w14:paraId="78BA571E" w14:textId="753E4AA2" w:rsidR="00FC1534" w:rsidRPr="00A00187" w:rsidRDefault="008430BD" w:rsidP="008430BD">
      <w:pPr>
        <w:pStyle w:val="Odstavecseseznamem"/>
        <w:numPr>
          <w:ilvl w:val="0"/>
          <w:numId w:val="3"/>
        </w:numPr>
      </w:pPr>
      <w:r w:rsidRPr="00A00187">
        <w:t xml:space="preserve">Byla </w:t>
      </w:r>
      <w:r w:rsidR="00986FC3" w:rsidRPr="00A00187">
        <w:t>rozšířena</w:t>
      </w:r>
      <w:r w:rsidRPr="00A00187">
        <w:t xml:space="preserve"> část </w:t>
      </w:r>
      <w:r w:rsidR="00FC1534" w:rsidRPr="00A00187">
        <w:t xml:space="preserve">7, která stručně shrnuje poznatky z předchozích kapitol </w:t>
      </w:r>
      <w:r w:rsidR="000C3B1E" w:rsidRPr="00A00187">
        <w:t>a </w:t>
      </w:r>
      <w:r w:rsidR="00FC1534" w:rsidRPr="00A00187">
        <w:t>krátce ČR srovnává s ostatními členskými státy EU.</w:t>
      </w:r>
    </w:p>
    <w:p w14:paraId="0E8476B8" w14:textId="1E7DE95B" w:rsidR="008430BD" w:rsidRPr="00A00187" w:rsidRDefault="008430BD" w:rsidP="008430BD">
      <w:pPr>
        <w:pStyle w:val="OdstavecASR"/>
      </w:pPr>
      <w:r w:rsidRPr="00A00187">
        <w:t>Zejména jsme však doplnili data za rok 202</w:t>
      </w:r>
      <w:r w:rsidR="00516B7E" w:rsidRPr="00A00187">
        <w:t>1</w:t>
      </w:r>
      <w:r w:rsidRPr="00A00187">
        <w:t xml:space="preserve"> </w:t>
      </w:r>
      <w:r w:rsidR="000C3B1E" w:rsidRPr="00A00187">
        <w:t>a </w:t>
      </w:r>
      <w:r w:rsidRPr="00A00187">
        <w:t xml:space="preserve">upravili grafy </w:t>
      </w:r>
      <w:r w:rsidR="000C3B1E" w:rsidRPr="00A00187">
        <w:t>i </w:t>
      </w:r>
      <w:r w:rsidRPr="00A00187">
        <w:t>textovou část, kterou jsme také rozšířili</w:t>
      </w:r>
      <w:r w:rsidR="007F5182" w:rsidRPr="00A00187">
        <w:t xml:space="preserve"> </w:t>
      </w:r>
      <w:r w:rsidR="00726EC3" w:rsidRPr="00A00187">
        <w:t>o</w:t>
      </w:r>
      <w:r w:rsidR="00726EC3">
        <w:t> </w:t>
      </w:r>
      <w:r w:rsidR="007F5182" w:rsidRPr="00A00187">
        <w:t xml:space="preserve">komentáře k datům za </w:t>
      </w:r>
      <w:r w:rsidR="00726EC3">
        <w:t>r</w:t>
      </w:r>
      <w:r w:rsidR="007F5182" w:rsidRPr="00A00187">
        <w:t>ok 2021.</w:t>
      </w:r>
    </w:p>
    <w:p w14:paraId="5E4A1D6C" w14:textId="77777777" w:rsidR="007F5182" w:rsidRPr="00A00187" w:rsidRDefault="007F5182" w:rsidP="008430BD">
      <w:pPr>
        <w:pStyle w:val="OdstavecASR"/>
      </w:pPr>
    </w:p>
    <w:p w14:paraId="0ACB3C4D" w14:textId="76212E97" w:rsidR="008430BD" w:rsidRPr="00A00187" w:rsidRDefault="008430BD" w:rsidP="008430BD">
      <w:pPr>
        <w:pStyle w:val="Nadpis1"/>
        <w:pageBreakBefore/>
        <w:numPr>
          <w:ilvl w:val="0"/>
          <w:numId w:val="1"/>
        </w:numPr>
        <w:spacing w:after="120"/>
      </w:pPr>
      <w:bookmarkStart w:id="16" w:name="_Toc517118506"/>
      <w:bookmarkStart w:id="17" w:name="_Toc106092712"/>
      <w:bookmarkStart w:id="18" w:name="_Toc109801328"/>
      <w:r w:rsidRPr="00A00187">
        <w:lastRenderedPageBreak/>
        <w:t>Okresní soudy</w:t>
      </w:r>
      <w:bookmarkEnd w:id="16"/>
      <w:bookmarkEnd w:id="17"/>
      <w:bookmarkEnd w:id="18"/>
    </w:p>
    <w:p w14:paraId="0990F7F1" w14:textId="68835962" w:rsidR="00AE1FE2" w:rsidRPr="00A00187" w:rsidRDefault="00AE1FE2" w:rsidP="00AE1FE2">
      <w:r w:rsidRPr="00A00187">
        <w:t xml:space="preserve">Tato část výroční zprávy obsahuje data, která se týkají všech okresních soudů (OS) </w:t>
      </w:r>
      <w:r w:rsidR="00726EC3" w:rsidRPr="00A00187">
        <w:t>v</w:t>
      </w:r>
      <w:r w:rsidR="00726EC3">
        <w:t> </w:t>
      </w:r>
      <w:r w:rsidRPr="00A00187">
        <w:t xml:space="preserve">ČR. Jedná se </w:t>
      </w:r>
      <w:r w:rsidR="00726EC3" w:rsidRPr="00A00187">
        <w:t>o</w:t>
      </w:r>
      <w:r w:rsidR="00726EC3">
        <w:t> </w:t>
      </w:r>
      <w:r w:rsidRPr="00A00187">
        <w:t xml:space="preserve">75 okresních soudů, Městský soud </w:t>
      </w:r>
      <w:r w:rsidR="00726EC3" w:rsidRPr="00A00187">
        <w:t>v</w:t>
      </w:r>
      <w:r w:rsidR="00726EC3">
        <w:t> </w:t>
      </w:r>
      <w:r w:rsidRPr="00A00187">
        <w:t xml:space="preserve">Brně </w:t>
      </w:r>
      <w:r w:rsidR="00726EC3" w:rsidRPr="00A00187">
        <w:t>a</w:t>
      </w:r>
      <w:r w:rsidR="00726EC3">
        <w:t> </w:t>
      </w:r>
      <w:r w:rsidRPr="00A00187">
        <w:t xml:space="preserve">10 obvodních soudů </w:t>
      </w:r>
      <w:r w:rsidR="00726EC3" w:rsidRPr="00A00187">
        <w:t>v</w:t>
      </w:r>
      <w:r w:rsidR="00726EC3">
        <w:t> </w:t>
      </w:r>
      <w:r w:rsidRPr="00A00187">
        <w:t>Praze.</w:t>
      </w:r>
    </w:p>
    <w:p w14:paraId="19849638" w14:textId="6F83DDD9" w:rsidR="00AE1FE2" w:rsidRPr="00A00187" w:rsidRDefault="00726EC3" w:rsidP="00AE1FE2">
      <w:r w:rsidRPr="00A00187">
        <w:t>V</w:t>
      </w:r>
      <w:r>
        <w:t> </w:t>
      </w:r>
      <w:r w:rsidR="00AE1FE2" w:rsidRPr="00A00187">
        <w:t>první podkapitole uvádíme statistiky týkající se počtu soudců, počtu zaměstnanců ve výkonu a</w:t>
      </w:r>
      <w:r w:rsidR="008F3B3F" w:rsidRPr="00A00187">
        <w:t> </w:t>
      </w:r>
      <w:r w:rsidR="00AE1FE2" w:rsidRPr="00A00187">
        <w:t xml:space="preserve">ve správě </w:t>
      </w:r>
      <w:r w:rsidRPr="00A00187">
        <w:t>a</w:t>
      </w:r>
      <w:r>
        <w:t> </w:t>
      </w:r>
      <w:r w:rsidR="00AE1FE2" w:rsidRPr="00A00187">
        <w:t xml:space="preserve">počtu přísedících. Další podkapitoly se věnují jednotlivým soudním agendám. Okresní soudy jsou soudy prvoinstanční </w:t>
      </w:r>
      <w:r w:rsidRPr="00A00187">
        <w:t>a</w:t>
      </w:r>
      <w:r>
        <w:t> </w:t>
      </w:r>
      <w:r w:rsidR="00AE1FE2" w:rsidRPr="00A00187">
        <w:t xml:space="preserve">vyřizují </w:t>
      </w:r>
      <w:r w:rsidRPr="00A00187">
        <w:t>v</w:t>
      </w:r>
      <w:r>
        <w:t> </w:t>
      </w:r>
      <w:r w:rsidR="00AE1FE2" w:rsidRPr="00A00187">
        <w:t xml:space="preserve">zásadě tři hlavní typy agend – civilní, trestní </w:t>
      </w:r>
      <w:r w:rsidR="008F3B3F" w:rsidRPr="00A00187">
        <w:t>a </w:t>
      </w:r>
      <w:r w:rsidR="00AE1FE2" w:rsidRPr="00A00187">
        <w:t>opatrovnickou.</w:t>
      </w:r>
    </w:p>
    <w:p w14:paraId="72055D0D" w14:textId="1A45681D" w:rsidR="00AE1FE2" w:rsidRPr="00A00187" w:rsidRDefault="00AE1FE2" w:rsidP="00AE1FE2">
      <w:r w:rsidRPr="00A00187">
        <w:t xml:space="preserve">Pro většinu agend (tedy ve většině podkapitol) uvádíme délky řízení ode dne nápadu do dne vyřízení soudem I. stupně (průměr, medián </w:t>
      </w:r>
      <w:r w:rsidR="00726EC3" w:rsidRPr="00A00187">
        <w:t>a</w:t>
      </w:r>
      <w:r w:rsidR="00726EC3">
        <w:t> </w:t>
      </w:r>
      <w:r w:rsidRPr="00A00187">
        <w:t xml:space="preserve">percentil 90). Dále následují data týkající se vyřizování věcí: nápad + obživlé věci, vyřízené věci, nevyřízené věci </w:t>
      </w:r>
      <w:r w:rsidR="00726EC3" w:rsidRPr="00A00187">
        <w:t>a</w:t>
      </w:r>
      <w:r w:rsidR="00726EC3">
        <w:t> </w:t>
      </w:r>
      <w:r w:rsidRPr="00A00187">
        <w:t>míra vyřizování v</w:t>
      </w:r>
      <w:r w:rsidR="00071631">
        <w:t> </w:t>
      </w:r>
      <w:r w:rsidRPr="00A00187">
        <w:t xml:space="preserve">% (vyřízené věci/příchozí věci × 100 %). Údaje jsou většinou řazeny </w:t>
      </w:r>
      <w:r w:rsidR="00726EC3" w:rsidRPr="00A00187">
        <w:t>v</w:t>
      </w:r>
      <w:r w:rsidR="00726EC3">
        <w:t> </w:t>
      </w:r>
      <w:r w:rsidRPr="00A00187">
        <w:t xml:space="preserve">časových řadách pro celou ČR, následují data za kraje </w:t>
      </w:r>
      <w:r w:rsidR="00726EC3" w:rsidRPr="00A00187">
        <w:t>v</w:t>
      </w:r>
      <w:r w:rsidR="00726EC3">
        <w:t> </w:t>
      </w:r>
      <w:r w:rsidRPr="00A00187">
        <w:t>roce 202</w:t>
      </w:r>
      <w:r w:rsidR="00066CFA">
        <w:t>1</w:t>
      </w:r>
      <w:r w:rsidRPr="00A00187">
        <w:t xml:space="preserve"> </w:t>
      </w:r>
      <w:r w:rsidR="00726EC3" w:rsidRPr="00A00187">
        <w:t>a</w:t>
      </w:r>
      <w:r w:rsidR="00726EC3">
        <w:t> </w:t>
      </w:r>
      <w:r w:rsidRPr="00A00187">
        <w:t xml:space="preserve">kartogramy pro jednotlivé okresní soudy. Ve většině tabulek </w:t>
      </w:r>
      <w:r w:rsidR="008F3B3F" w:rsidRPr="00A00187">
        <w:t>s </w:t>
      </w:r>
      <w:r w:rsidRPr="00A00187">
        <w:t xml:space="preserve">průřezovými daty po krajích je také menším písmem uvedena změna oproti roku 2020. </w:t>
      </w:r>
      <w:r w:rsidR="00507D7A" w:rsidRPr="00A00187">
        <w:t xml:space="preserve">Jedná se </w:t>
      </w:r>
      <w:r w:rsidR="00151EFF" w:rsidRPr="00A00187">
        <w:t>buď</w:t>
      </w:r>
      <w:r w:rsidR="002C6A7A" w:rsidRPr="00A00187">
        <w:t xml:space="preserve"> </w:t>
      </w:r>
      <w:r w:rsidR="00726EC3" w:rsidRPr="00A00187">
        <w:t>o</w:t>
      </w:r>
      <w:r w:rsidR="00726EC3">
        <w:t> </w:t>
      </w:r>
      <w:r w:rsidR="00507D7A" w:rsidRPr="00A00187">
        <w:t>změny v procentních bodech</w:t>
      </w:r>
      <w:r w:rsidR="00B61A5A" w:rsidRPr="00A00187">
        <w:t>, označen</w:t>
      </w:r>
      <w:r w:rsidR="00EF5050" w:rsidRPr="00A00187">
        <w:t>é</w:t>
      </w:r>
      <w:r w:rsidR="00B61A5A" w:rsidRPr="00A00187">
        <w:t xml:space="preserve"> zkratkou „</w:t>
      </w:r>
      <w:proofErr w:type="spellStart"/>
      <w:r w:rsidR="00B61A5A" w:rsidRPr="00A00187">
        <w:t>p.b</w:t>
      </w:r>
      <w:proofErr w:type="spellEnd"/>
      <w:r w:rsidR="00B61A5A" w:rsidRPr="00A00187">
        <w:t>.“ nebo</w:t>
      </w:r>
      <w:r w:rsidR="002C6A7A" w:rsidRPr="00A00187">
        <w:t xml:space="preserve"> </w:t>
      </w:r>
      <w:r w:rsidR="00726EC3" w:rsidRPr="00A00187">
        <w:t>o</w:t>
      </w:r>
      <w:r w:rsidR="00726EC3">
        <w:t> </w:t>
      </w:r>
      <w:r w:rsidR="002C6A7A" w:rsidRPr="00A00187">
        <w:t>změny v</w:t>
      </w:r>
      <w:r w:rsidR="00071631">
        <w:t> </w:t>
      </w:r>
      <w:r w:rsidR="00B61A5A" w:rsidRPr="00A00187">
        <w:t>%</w:t>
      </w:r>
      <w:r w:rsidR="00507D7A" w:rsidRPr="00A00187">
        <w:t xml:space="preserve"> </w:t>
      </w:r>
      <w:r w:rsidR="00726EC3" w:rsidRPr="00A00187">
        <w:t>a</w:t>
      </w:r>
      <w:r w:rsidR="00726EC3">
        <w:t> </w:t>
      </w:r>
      <w:r w:rsidR="00507D7A" w:rsidRPr="00A00187">
        <w:t xml:space="preserve">bližší vysvětlení je uvedeno </w:t>
      </w:r>
      <w:r w:rsidR="00726EC3" w:rsidRPr="00A00187">
        <w:t>u</w:t>
      </w:r>
      <w:r w:rsidR="00726EC3">
        <w:t> </w:t>
      </w:r>
      <w:r w:rsidR="00507D7A" w:rsidRPr="00A00187">
        <w:t xml:space="preserve">tabulky 14. </w:t>
      </w:r>
      <w:r w:rsidR="00EF5050" w:rsidRPr="00A00187">
        <w:t xml:space="preserve">Pokud je to přínosné, jsou délky řízení za rok 2021 </w:t>
      </w:r>
      <w:r w:rsidR="006D79E9" w:rsidRPr="00A00187">
        <w:t xml:space="preserve">zobrazeny </w:t>
      </w:r>
      <w:r w:rsidR="00EF5050" w:rsidRPr="00A00187">
        <w:t xml:space="preserve">pomocí histogramu (viz </w:t>
      </w:r>
      <w:r w:rsidR="008F3B3F" w:rsidRPr="00A00187">
        <w:t xml:space="preserve">heslo </w:t>
      </w:r>
      <w:r w:rsidR="00726EC3" w:rsidRPr="00A00187">
        <w:t>v</w:t>
      </w:r>
      <w:r w:rsidR="00726EC3">
        <w:t> </w:t>
      </w:r>
      <w:r w:rsidR="00EF5050" w:rsidRPr="00A00187">
        <w:t>přílo</w:t>
      </w:r>
      <w:r w:rsidR="008F3B3F" w:rsidRPr="00A00187">
        <w:t>ze</w:t>
      </w:r>
      <w:r w:rsidR="00EF5050" w:rsidRPr="00A00187">
        <w:t xml:space="preserve"> A). </w:t>
      </w:r>
      <w:r w:rsidR="00726EC3" w:rsidRPr="00A00187">
        <w:t>V</w:t>
      </w:r>
      <w:r w:rsidR="00726EC3">
        <w:t> </w:t>
      </w:r>
      <w:r w:rsidR="00605B24" w:rsidRPr="00A00187">
        <w:t>závěru každé podkapitoly předkládáme další zajímavé statistiky (např. míru odvolání, míru změny rozsudku apod.).</w:t>
      </w:r>
    </w:p>
    <w:p w14:paraId="1BB36D23" w14:textId="77777777" w:rsidR="00C74A49" w:rsidRPr="00A00187" w:rsidRDefault="008430BD" w:rsidP="008430BD">
      <w:pPr>
        <w:pStyle w:val="Nadpis2"/>
        <w:numPr>
          <w:ilvl w:val="1"/>
          <w:numId w:val="1"/>
        </w:numPr>
        <w:spacing w:before="120"/>
        <w:rPr>
          <w:color w:val="auto"/>
        </w:rPr>
      </w:pPr>
      <w:bookmarkStart w:id="19" w:name="_Toc487791225"/>
      <w:bookmarkStart w:id="20" w:name="_Toc517118507"/>
      <w:bookmarkStart w:id="21" w:name="_Toc106092713"/>
      <w:bookmarkStart w:id="22" w:name="_Toc109801329"/>
      <w:r w:rsidRPr="00A00187">
        <w:rPr>
          <w:color w:val="auto"/>
        </w:rPr>
        <w:t>Personál</w:t>
      </w:r>
      <w:bookmarkEnd w:id="19"/>
      <w:bookmarkEnd w:id="20"/>
      <w:bookmarkEnd w:id="21"/>
      <w:bookmarkEnd w:id="22"/>
    </w:p>
    <w:p w14:paraId="2BAE07D0" w14:textId="44F36262" w:rsidR="00C74A49" w:rsidRPr="00A00187" w:rsidRDefault="00C74A49" w:rsidP="00C74A49">
      <w:pPr>
        <w:pStyle w:val="OdstavecASR"/>
      </w:pPr>
      <w:r w:rsidRPr="00A00187">
        <w:t>Podkapitolu dělíme na tři části. V první části se věnujeme soudcům, druhá se zaměřuje na další zaměstnance soudu a třetí pojednává o přísedících soudu. Všechny uvedené údaje jsou v osobách a data vyjadřují vždy stav k 1. 1. daného roku.</w:t>
      </w:r>
    </w:p>
    <w:p w14:paraId="57B665AE" w14:textId="6D095946" w:rsidR="008430BD" w:rsidRPr="00A00187" w:rsidRDefault="008430BD" w:rsidP="008430BD">
      <w:pPr>
        <w:pStyle w:val="Nadpis3"/>
        <w:numPr>
          <w:ilvl w:val="2"/>
          <w:numId w:val="1"/>
        </w:numPr>
        <w:spacing w:before="0"/>
        <w:rPr>
          <w:color w:val="auto"/>
        </w:rPr>
      </w:pPr>
      <w:bookmarkStart w:id="23" w:name="_Ref486090162"/>
      <w:bookmarkStart w:id="24" w:name="_Toc487791226"/>
      <w:bookmarkStart w:id="25" w:name="_Toc517118508"/>
      <w:bookmarkStart w:id="26" w:name="_Toc106092714"/>
      <w:bookmarkStart w:id="27" w:name="_Toc109801330"/>
      <w:r w:rsidRPr="00A00187">
        <w:rPr>
          <w:color w:val="auto"/>
        </w:rPr>
        <w:t>Soudci</w:t>
      </w:r>
      <w:bookmarkEnd w:id="23"/>
      <w:bookmarkEnd w:id="24"/>
      <w:bookmarkEnd w:id="25"/>
      <w:bookmarkEnd w:id="26"/>
      <w:bookmarkEnd w:id="27"/>
    </w:p>
    <w:p w14:paraId="365DFF39" w14:textId="31D18582" w:rsidR="00C74A49" w:rsidRPr="00A00187" w:rsidRDefault="00C74A49" w:rsidP="00C74A49">
      <w:pPr>
        <w:pStyle w:val="Podnadpis"/>
        <w:numPr>
          <w:ilvl w:val="0"/>
          <w:numId w:val="0"/>
        </w:numPr>
        <w:rPr>
          <w:color w:val="auto"/>
        </w:rPr>
      </w:pPr>
      <w:bookmarkStart w:id="28" w:name="_Ref509212911"/>
      <w:bookmarkStart w:id="29" w:name="_Toc515871326"/>
      <w:bookmarkStart w:id="30" w:name="_Toc11135062"/>
      <w:bookmarkStart w:id="31" w:name="_Toc43841381"/>
      <w:bookmarkStart w:id="32" w:name="_Toc75952181"/>
      <w:bookmarkStart w:id="33" w:name="_Toc106106635"/>
      <w:bookmarkStart w:id="34" w:name="_Toc10980195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w:t>
      </w:r>
      <w:r w:rsidRPr="00A00187">
        <w:rPr>
          <w:color w:val="auto"/>
        </w:rPr>
        <w:fldChar w:fldCharType="end"/>
      </w:r>
      <w:bookmarkEnd w:id="28"/>
      <w:r w:rsidRPr="00A00187">
        <w:rPr>
          <w:color w:val="auto"/>
        </w:rPr>
        <w:t>: OS – počet soudců v letech 2008–20</w:t>
      </w:r>
      <w:bookmarkEnd w:id="29"/>
      <w:bookmarkEnd w:id="30"/>
      <w:bookmarkEnd w:id="31"/>
      <w:r w:rsidRPr="00A00187">
        <w:rPr>
          <w:color w:val="auto"/>
        </w:rPr>
        <w:t>2</w:t>
      </w:r>
      <w:bookmarkEnd w:id="32"/>
      <w:r w:rsidR="00DD7D1C" w:rsidRPr="00A00187">
        <w:rPr>
          <w:color w:val="auto"/>
        </w:rPr>
        <w:t>1</w:t>
      </w:r>
      <w:bookmarkEnd w:id="33"/>
      <w:bookmarkEnd w:id="34"/>
    </w:p>
    <w:p w14:paraId="2394E653" w14:textId="43B1AD94" w:rsidR="00C74A49" w:rsidRPr="00A00187" w:rsidRDefault="00D0486B" w:rsidP="00C74A49">
      <w:r w:rsidRPr="00A00187">
        <w:rPr>
          <w:noProof/>
        </w:rPr>
        <w:drawing>
          <wp:inline distT="0" distB="0" distL="0" distR="0" wp14:anchorId="7F08995A" wp14:editId="14ECB4FF">
            <wp:extent cx="5029200" cy="3654000"/>
            <wp:effectExtent l="0" t="0" r="0" b="381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ek 4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29200" cy="3654000"/>
                    </a:xfrm>
                    <a:prstGeom prst="rect">
                      <a:avLst/>
                    </a:prstGeom>
                    <a:noFill/>
                    <a:ln>
                      <a:noFill/>
                    </a:ln>
                  </pic:spPr>
                </pic:pic>
              </a:graphicData>
            </a:graphic>
          </wp:inline>
        </w:drawing>
      </w:r>
    </w:p>
    <w:p w14:paraId="5C028032" w14:textId="77777777" w:rsidR="008F78D5" w:rsidRPr="00A00187" w:rsidRDefault="008F78D5" w:rsidP="008F78D5">
      <w:pPr>
        <w:pStyle w:val="OdstavecASR"/>
      </w:pPr>
    </w:p>
    <w:p w14:paraId="076638BC" w14:textId="3F4D9712" w:rsidR="008F78D5" w:rsidRPr="00A00187" w:rsidRDefault="008F78D5" w:rsidP="008F78D5">
      <w:pPr>
        <w:pStyle w:val="OdstavecASR"/>
      </w:pPr>
      <w:r w:rsidRPr="00A00187">
        <w:lastRenderedPageBreak/>
        <w:t xml:space="preserve">Z grafu je patrné, že počet soudců u OS je v ČR velmi stabilní. Plánovaný počet všech soudců byl v minulosti prakticky neměnný, a to 3 063 nebo 3 062 soudců. Tento počet byl </w:t>
      </w:r>
      <w:r w:rsidR="007F5182" w:rsidRPr="00A00187">
        <w:t>následně</w:t>
      </w:r>
      <w:r w:rsidRPr="00A00187">
        <w:t xml:space="preserve"> rozdělen mezi všechny články soudní soustavy (OS, KS, VS, NS, NSS). Mírné změny v plánovaném počtu soudců u OS tak byly způsobeny pouze přesouváním plánovaného počtu soudců mezi jednotlivými články soudní soustavy a </w:t>
      </w:r>
      <w:r w:rsidR="003C0CE5" w:rsidRPr="00A00187">
        <w:t xml:space="preserve">vyplývaly </w:t>
      </w:r>
      <w:r w:rsidRPr="00A00187">
        <w:t xml:space="preserve">z výpočtu potřeby soudců a systemizace soudů, která se </w:t>
      </w:r>
      <w:r w:rsidR="003C0CE5" w:rsidRPr="00A00187">
        <w:t xml:space="preserve">odvíjela </w:t>
      </w:r>
      <w:r w:rsidRPr="00A00187">
        <w:t xml:space="preserve">od nápadu jednotlivých soudů (viz seznam použitých pojmů v příloze). V roce 2018 došlo k určitým změnám v systemizaci – došlo k přehodnocení náročnosti vybraných rejstříků, protože </w:t>
      </w:r>
      <w:r w:rsidRPr="00A00187">
        <w:rPr>
          <w:lang w:eastAsia="cs-CZ"/>
        </w:rPr>
        <w:t>náročnost agendy v průměru rostla.</w:t>
      </w:r>
      <w:r w:rsidRPr="00A00187">
        <w:t xml:space="preserve"> Na druhou stranu </w:t>
      </w:r>
      <w:r w:rsidR="00DB1BF7" w:rsidRPr="00A00187">
        <w:t xml:space="preserve">však nápad </w:t>
      </w:r>
      <w:r w:rsidRPr="00A00187">
        <w:t>stabilně a </w:t>
      </w:r>
      <w:r w:rsidR="00DB1BF7" w:rsidRPr="00A00187">
        <w:t>poměrně</w:t>
      </w:r>
      <w:r w:rsidRPr="00A00187">
        <w:t xml:space="preserve"> rychle klesal.</w:t>
      </w:r>
    </w:p>
    <w:p w14:paraId="411A20E7" w14:textId="52E39376" w:rsidR="008F78D5" w:rsidRPr="00A00187" w:rsidRDefault="00834DD8" w:rsidP="008F78D5">
      <w:pPr>
        <w:pStyle w:val="OdstavecASR"/>
      </w:pPr>
      <w:r w:rsidRPr="00A00187">
        <w:t>V</w:t>
      </w:r>
      <w:r w:rsidR="008F78D5" w:rsidRPr="00A00187">
        <w:t> roce 2021 došlo k citelnější změně v plánovaném počtu soudců.</w:t>
      </w:r>
      <w:r w:rsidR="003C5AE1" w:rsidRPr="00A00187">
        <w:t xml:space="preserve"> Oproti roku 2020 klesl plánovaný počet soudců </w:t>
      </w:r>
      <w:r w:rsidRPr="00A00187">
        <w:t>okresních soudů</w:t>
      </w:r>
      <w:r w:rsidR="003C5AE1" w:rsidRPr="00A00187">
        <w:t xml:space="preserve"> </w:t>
      </w:r>
      <w:r w:rsidR="00726EC3" w:rsidRPr="00A00187">
        <w:t>o</w:t>
      </w:r>
      <w:r w:rsidR="00726EC3">
        <w:t> </w:t>
      </w:r>
      <w:r w:rsidR="003C5AE1" w:rsidRPr="00A00187">
        <w:t xml:space="preserve">82, tedy </w:t>
      </w:r>
      <w:r w:rsidR="00726EC3" w:rsidRPr="00A00187">
        <w:t>o</w:t>
      </w:r>
      <w:r w:rsidR="00726EC3">
        <w:t> </w:t>
      </w:r>
      <w:r w:rsidR="003C5AE1" w:rsidRPr="00A00187">
        <w:t xml:space="preserve">necelých </w:t>
      </w:r>
      <w:r w:rsidR="00726EC3" w:rsidRPr="00A00187">
        <w:t>5</w:t>
      </w:r>
      <w:r w:rsidR="00726EC3">
        <w:t> </w:t>
      </w:r>
      <w:r w:rsidR="003C5AE1" w:rsidRPr="00A00187">
        <w:t xml:space="preserve">%. Změny </w:t>
      </w:r>
      <w:r w:rsidR="003C0CE5" w:rsidRPr="00A00187">
        <w:t>vyplynuly</w:t>
      </w:r>
      <w:r w:rsidR="003C5AE1" w:rsidRPr="00A00187">
        <w:t xml:space="preserve"> z velkého poklesu nápadu v </w:t>
      </w:r>
      <w:r w:rsidR="003C0CE5" w:rsidRPr="00A00187">
        <w:t xml:space="preserve">předešlých </w:t>
      </w:r>
      <w:r w:rsidR="003C5AE1" w:rsidRPr="00A00187">
        <w:t xml:space="preserve">letech, především pak v roce 2020. </w:t>
      </w:r>
      <w:r w:rsidRPr="00A00187">
        <w:t>V</w:t>
      </w:r>
      <w:r w:rsidR="003C5AE1" w:rsidRPr="00A00187">
        <w:t xml:space="preserve"> systemizaci </w:t>
      </w:r>
      <w:r w:rsidRPr="00A00187">
        <w:t xml:space="preserve">nicméně </w:t>
      </w:r>
      <w:r w:rsidR="003C0CE5" w:rsidRPr="00A00187">
        <w:t xml:space="preserve">docházelo </w:t>
      </w:r>
      <w:r w:rsidR="00726EC3" w:rsidRPr="00A00187">
        <w:t>a</w:t>
      </w:r>
      <w:r w:rsidR="00726EC3">
        <w:t> </w:t>
      </w:r>
      <w:r w:rsidR="003C5AE1" w:rsidRPr="00A00187">
        <w:t xml:space="preserve">bude docházet k určitým </w:t>
      </w:r>
      <w:r w:rsidR="003C0CE5" w:rsidRPr="00A00187">
        <w:t xml:space="preserve">dodatečným </w:t>
      </w:r>
      <w:r w:rsidR="003C5AE1" w:rsidRPr="00A00187">
        <w:t>změnám, které vyplývají z disku</w:t>
      </w:r>
      <w:r w:rsidRPr="00A00187">
        <w:t>s</w:t>
      </w:r>
      <w:r w:rsidR="003C5AE1" w:rsidRPr="00A00187">
        <w:t>e mezi soudy a</w:t>
      </w:r>
      <w:r w:rsidR="002A4AC8" w:rsidRPr="00A00187">
        <w:t> </w:t>
      </w:r>
      <w:r w:rsidR="003C5AE1" w:rsidRPr="00A00187">
        <w:t>Ministerstvem spravedlnosti</w:t>
      </w:r>
      <w:r w:rsidRPr="00A00187">
        <w:t xml:space="preserve">. </w:t>
      </w:r>
      <w:r w:rsidR="009516B8">
        <w:t>V</w:t>
      </w:r>
      <w:r w:rsidR="00F53660" w:rsidRPr="00A00187">
        <w:t xml:space="preserve">ýsledkem </w:t>
      </w:r>
      <w:r w:rsidR="009516B8">
        <w:t xml:space="preserve">je </w:t>
      </w:r>
      <w:r w:rsidR="00925BD9" w:rsidRPr="00A00187">
        <w:t>změn</w:t>
      </w:r>
      <w:r w:rsidRPr="00A00187">
        <w:t>a některých</w:t>
      </w:r>
      <w:r w:rsidR="00925BD9" w:rsidRPr="00A00187">
        <w:t xml:space="preserve"> měřítek a</w:t>
      </w:r>
      <w:r w:rsidR="00440175" w:rsidRPr="00A00187">
        <w:t> </w:t>
      </w:r>
      <w:r w:rsidR="00925BD9" w:rsidRPr="00A00187">
        <w:t xml:space="preserve">dalších </w:t>
      </w:r>
      <w:r w:rsidRPr="00A00187">
        <w:t xml:space="preserve">parametrů </w:t>
      </w:r>
      <w:r w:rsidR="00925BD9" w:rsidRPr="00A00187">
        <w:t xml:space="preserve">výpočtu </w:t>
      </w:r>
      <w:r w:rsidRPr="00A00187">
        <w:t>pro rok 2022,</w:t>
      </w:r>
      <w:r w:rsidR="00925BD9" w:rsidRPr="00A00187">
        <w:t xml:space="preserve"> </w:t>
      </w:r>
      <w:r w:rsidRPr="00A00187">
        <w:t xml:space="preserve">která vedla k nárůstu </w:t>
      </w:r>
      <w:r w:rsidR="00925BD9" w:rsidRPr="00A00187">
        <w:t>plánovan</w:t>
      </w:r>
      <w:r w:rsidRPr="00A00187">
        <w:t>ého</w:t>
      </w:r>
      <w:r w:rsidR="00925BD9" w:rsidRPr="00A00187">
        <w:t xml:space="preserve"> počt</w:t>
      </w:r>
      <w:r w:rsidR="00F53660" w:rsidRPr="00A00187">
        <w:t>u</w:t>
      </w:r>
      <w:r w:rsidR="00925BD9" w:rsidRPr="00A00187">
        <w:t xml:space="preserve"> soudců </w:t>
      </w:r>
      <w:r w:rsidRPr="00A00187">
        <w:t>pro</w:t>
      </w:r>
      <w:r w:rsidR="00925BD9" w:rsidRPr="00A00187">
        <w:t xml:space="preserve"> </w:t>
      </w:r>
      <w:r w:rsidRPr="00A00187">
        <w:t>tento rok</w:t>
      </w:r>
      <w:r w:rsidR="00F53660" w:rsidRPr="00A00187">
        <w:t>.</w:t>
      </w:r>
    </w:p>
    <w:p w14:paraId="0A11E0C4" w14:textId="40A661E8" w:rsidR="00CB570A" w:rsidRDefault="008F78D5" w:rsidP="008F78D5">
      <w:pPr>
        <w:pStyle w:val="OdstavecASR"/>
      </w:pPr>
      <w:r w:rsidRPr="00A00187">
        <w:t xml:space="preserve">Evidenční počet soudců je </w:t>
      </w:r>
      <w:r w:rsidR="00DB1BF7" w:rsidRPr="00A00187">
        <w:t>rovněž</w:t>
      </w:r>
      <w:r w:rsidRPr="00A00187">
        <w:t xml:space="preserve"> velmi stabilní</w:t>
      </w:r>
      <w:r w:rsidR="003C5AE1" w:rsidRPr="00A00187">
        <w:t>. Změny v</w:t>
      </w:r>
      <w:r w:rsidRPr="00A00187">
        <w:t xml:space="preserve"> evidenčním počtu soudců jsou dány především </w:t>
      </w:r>
      <w:r w:rsidR="00834DD8" w:rsidRPr="00A00187">
        <w:t xml:space="preserve">zánikem funkcí jednotlivých soudců </w:t>
      </w:r>
      <w:r w:rsidR="00726EC3" w:rsidRPr="00A00187">
        <w:t>a</w:t>
      </w:r>
      <w:r w:rsidR="00726EC3">
        <w:t> </w:t>
      </w:r>
      <w:r w:rsidRPr="00A00187">
        <w:t>načasováním jednotlivých jmenovacích etap</w:t>
      </w:r>
      <w:r w:rsidR="00834DD8" w:rsidRPr="00A00187">
        <w:t>, a</w:t>
      </w:r>
      <w:r w:rsidR="00806CD7" w:rsidRPr="00A00187">
        <w:t> </w:t>
      </w:r>
      <w:r w:rsidR="00834DD8" w:rsidRPr="00A00187">
        <w:t>vykazují tudíž velkou setrvačnost</w:t>
      </w:r>
      <w:r w:rsidRPr="00A00187">
        <w:t xml:space="preserve">. </w:t>
      </w:r>
      <w:r w:rsidR="003C5AE1" w:rsidRPr="00A00187">
        <w:t xml:space="preserve">Výše diskutovaná změna v plánovaném počtu se </w:t>
      </w:r>
      <w:r w:rsidR="00834DD8" w:rsidRPr="00A00187">
        <w:t xml:space="preserve">proto </w:t>
      </w:r>
      <w:r w:rsidR="003C5AE1" w:rsidRPr="00A00187">
        <w:t xml:space="preserve">neodrazila </w:t>
      </w:r>
      <w:r w:rsidR="00DD7D1C" w:rsidRPr="00A00187">
        <w:t>v </w:t>
      </w:r>
      <w:r w:rsidR="00201CB0" w:rsidRPr="00A00187">
        <w:t>evidenčním</w:t>
      </w:r>
      <w:r w:rsidR="00DD7D1C" w:rsidRPr="00A00187">
        <w:t xml:space="preserve"> počtu soudců</w:t>
      </w:r>
      <w:r w:rsidR="00834DD8" w:rsidRPr="00A00187">
        <w:t xml:space="preserve"> v roce 2021</w:t>
      </w:r>
      <w:r w:rsidR="00DD7D1C" w:rsidRPr="00A00187">
        <w:t>.</w:t>
      </w:r>
    </w:p>
    <w:p w14:paraId="46C969F5" w14:textId="1DB61387" w:rsidR="00FE253E" w:rsidRPr="00A00187" w:rsidRDefault="00DD7D1C" w:rsidP="00DD7D1C">
      <w:pPr>
        <w:pStyle w:val="OdstavecASR"/>
      </w:pPr>
      <w:r w:rsidRPr="00A00187">
        <w:t>Za povšimnutí stojí výrazný pokles v počtu soudkyň (soudců) na MD/RD (mateřské/rodičovské dovolené) mezi roky 2009 až 2015 (pokles o 48 %) a jeho stabilizace na průměrné hodnotě 90,</w:t>
      </w:r>
      <w:r w:rsidR="00072D67" w:rsidRPr="00A00187">
        <w:t>1</w:t>
      </w:r>
      <w:r w:rsidRPr="00A00187">
        <w:t xml:space="preserve"> v letech 2015 až 202</w:t>
      </w:r>
      <w:r w:rsidR="00072D67" w:rsidRPr="00A00187">
        <w:t>1</w:t>
      </w:r>
      <w:r w:rsidRPr="00A00187">
        <w:t xml:space="preserve">. </w:t>
      </w:r>
      <w:r w:rsidR="00516609" w:rsidRPr="00A00187">
        <w:t xml:space="preserve">V datech dále v této podkapitole </w:t>
      </w:r>
      <w:r w:rsidR="00051736" w:rsidRPr="00A00187">
        <w:t>také zjistíme</w:t>
      </w:r>
      <w:r w:rsidR="00516609" w:rsidRPr="00A00187">
        <w:t xml:space="preserve">, že věk soudců </w:t>
      </w:r>
      <w:r w:rsidR="00726EC3" w:rsidRPr="00A00187">
        <w:t>u</w:t>
      </w:r>
      <w:r w:rsidR="00726EC3">
        <w:t> </w:t>
      </w:r>
      <w:r w:rsidR="00516609" w:rsidRPr="00A00187">
        <w:t xml:space="preserve">OS se postupně zvyšuje (snižuje se podíl soudců </w:t>
      </w:r>
      <w:r w:rsidR="00726EC3" w:rsidRPr="00A00187">
        <w:t>a</w:t>
      </w:r>
      <w:r w:rsidR="00726EC3">
        <w:t> </w:t>
      </w:r>
      <w:r w:rsidR="00516609" w:rsidRPr="00A00187">
        <w:t xml:space="preserve">soudkyň ve věku 30 až 40 let). To logicky vede ke snižování </w:t>
      </w:r>
      <w:r w:rsidR="00FE253E" w:rsidRPr="00A00187">
        <w:t xml:space="preserve">počtů soudkyň na MR/MD, </w:t>
      </w:r>
      <w:r w:rsidR="00726EC3" w:rsidRPr="00A00187">
        <w:t>a</w:t>
      </w:r>
      <w:r w:rsidR="00726EC3">
        <w:t> </w:t>
      </w:r>
      <w:r w:rsidR="00FE253E" w:rsidRPr="00A00187">
        <w:t xml:space="preserve">proto mírně roste počet soudců, kteří skutečně </w:t>
      </w:r>
      <w:r w:rsidR="00726EC3" w:rsidRPr="00A00187">
        <w:t>u</w:t>
      </w:r>
      <w:r w:rsidR="00726EC3">
        <w:t> </w:t>
      </w:r>
      <w:r w:rsidR="00FE253E" w:rsidRPr="00A00187">
        <w:t>soudů působí (skutečný úvazek).</w:t>
      </w:r>
    </w:p>
    <w:p w14:paraId="4790F131" w14:textId="7E2B473B" w:rsidR="00DD7D1C" w:rsidRPr="00A00187" w:rsidRDefault="00DD7D1C" w:rsidP="00DD7D1C">
      <w:pPr>
        <w:pStyle w:val="OdstavecASR"/>
      </w:pPr>
      <w:r w:rsidRPr="00A00187">
        <w:t xml:space="preserve">V grafu níže vidíme, že poměr velikosti soudních úseků je velmi stabilní – počet soudců na civilním úseku je asi třikrát </w:t>
      </w:r>
      <w:r w:rsidR="002C6A7A" w:rsidRPr="00A00187">
        <w:t xml:space="preserve">vyšší </w:t>
      </w:r>
      <w:r w:rsidRPr="00A00187">
        <w:t>než počet soudců na úseku trestním. Ještě je třeba upozornit, že do civilního úseku v tomto kontextu spadají i soudci, kteří vyřizují opatrovnickou agendu</w:t>
      </w:r>
      <w:r w:rsidR="008F3B3F" w:rsidRPr="00A00187">
        <w:t>, příp. další civilní agendy</w:t>
      </w:r>
      <w:r w:rsidRPr="00A00187">
        <w:t>. V podkapitolách o vyřizování věcí na soudce již jsou tito soudci uvedeni zvlášť.</w:t>
      </w:r>
    </w:p>
    <w:p w14:paraId="4EA8E433" w14:textId="70C2CC70" w:rsidR="00AA52A0" w:rsidRPr="00A00187" w:rsidRDefault="00AA52A0" w:rsidP="00AA52A0">
      <w:pPr>
        <w:pStyle w:val="OdstavecASR"/>
      </w:pPr>
      <w:r w:rsidRPr="00A00187">
        <w:t xml:space="preserve">V předchozích letech docházelo k postupnému zmenšování rozdílu mezi plánovaným a evidenčním počtem soudců, kdy v roce 2016 byl evidenční počet vyšší o 73 soudců než plánovaný a v roce 2020 </w:t>
      </w:r>
      <w:r w:rsidR="004C1F51" w:rsidRPr="00A00187">
        <w:t xml:space="preserve">pouze </w:t>
      </w:r>
      <w:r w:rsidRPr="00A00187">
        <w:t xml:space="preserve">o 26 soudců (snížení rozdílu o 64 %). V roce 2008 </w:t>
      </w:r>
      <w:r w:rsidR="004C1F51" w:rsidRPr="00A00187">
        <w:t xml:space="preserve">ale </w:t>
      </w:r>
      <w:r w:rsidRPr="00A00187">
        <w:t>činil rozdíl mezi evidenčním a plánovaným počtem dokonce 176 soudců ve prospěch počtu evidenčního. Vzhledem k poklesu v plánovaném počtu soudců v roce 2021 se rozdíl mezi plánovaným a</w:t>
      </w:r>
      <w:r w:rsidR="00806CD7" w:rsidRPr="00A00187">
        <w:t> </w:t>
      </w:r>
      <w:r w:rsidRPr="00A00187">
        <w:t>evide</w:t>
      </w:r>
      <w:r w:rsidR="00F80860" w:rsidRPr="00A00187">
        <w:t>n</w:t>
      </w:r>
      <w:r w:rsidRPr="00A00187">
        <w:t xml:space="preserve">čním počtem soudců zvýšil na 98. Další informace k tomuto tématu viz </w:t>
      </w:r>
      <w:r w:rsidR="00066CFA">
        <w:t>t</w:t>
      </w:r>
      <w:r w:rsidRPr="00A00187">
        <w:t>abulka</w:t>
      </w:r>
      <w:r w:rsidR="004C1F51" w:rsidRPr="00A00187">
        <w:t> </w:t>
      </w:r>
      <w:r w:rsidRPr="00A00187">
        <w:t>5.</w:t>
      </w:r>
    </w:p>
    <w:p w14:paraId="4F8C265F" w14:textId="77777777" w:rsidR="00AA52A0" w:rsidRPr="00A00187" w:rsidRDefault="00AA52A0" w:rsidP="00DD7D1C">
      <w:pPr>
        <w:pStyle w:val="OdstavecASR"/>
      </w:pPr>
    </w:p>
    <w:p w14:paraId="3553EEB4" w14:textId="2540389B" w:rsidR="00DD7D1C" w:rsidRPr="00A00187" w:rsidRDefault="00DD7D1C" w:rsidP="00DD7D1C">
      <w:pPr>
        <w:pStyle w:val="Podnadpis"/>
        <w:rPr>
          <w:color w:val="auto"/>
        </w:rPr>
      </w:pPr>
      <w:bookmarkStart w:id="35" w:name="_Toc515871327"/>
      <w:bookmarkStart w:id="36" w:name="_Toc11135063"/>
      <w:bookmarkStart w:id="37" w:name="_Toc43841382"/>
      <w:bookmarkStart w:id="38" w:name="_Toc75952182"/>
      <w:bookmarkStart w:id="39" w:name="_Toc106106636"/>
      <w:bookmarkStart w:id="40" w:name="_Toc109801960"/>
      <w:r w:rsidRPr="00A00187">
        <w:rPr>
          <w:color w:val="auto"/>
        </w:rPr>
        <w:lastRenderedPageBreak/>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2</w:t>
      </w:r>
      <w:r w:rsidRPr="00A00187">
        <w:rPr>
          <w:noProof/>
          <w:color w:val="auto"/>
        </w:rPr>
        <w:fldChar w:fldCharType="end"/>
      </w:r>
      <w:r w:rsidRPr="00A00187">
        <w:rPr>
          <w:color w:val="auto"/>
        </w:rPr>
        <w:t>: OS – evidenční počet soudců dle soudních úseků v letech 2008–20</w:t>
      </w:r>
      <w:bookmarkEnd w:id="35"/>
      <w:bookmarkEnd w:id="36"/>
      <w:bookmarkEnd w:id="37"/>
      <w:r w:rsidRPr="00A00187">
        <w:rPr>
          <w:color w:val="auto"/>
        </w:rPr>
        <w:t>2</w:t>
      </w:r>
      <w:bookmarkEnd w:id="38"/>
      <w:r w:rsidRPr="00A00187">
        <w:rPr>
          <w:color w:val="auto"/>
        </w:rPr>
        <w:t>1</w:t>
      </w:r>
      <w:bookmarkEnd w:id="39"/>
      <w:bookmarkEnd w:id="40"/>
    </w:p>
    <w:p w14:paraId="26DE9746" w14:textId="576B9B4F" w:rsidR="00C74A49" w:rsidRPr="00A00187" w:rsidRDefault="00DD7D1C" w:rsidP="00C74A49">
      <w:r w:rsidRPr="00A00187">
        <w:rPr>
          <w:noProof/>
        </w:rPr>
        <w:drawing>
          <wp:inline distT="0" distB="0" distL="0" distR="0" wp14:anchorId="145DD8F9" wp14:editId="05E5AEB2">
            <wp:extent cx="5029200" cy="3657600"/>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43D79A" w14:textId="7F9CE5BD" w:rsidR="006D79E9" w:rsidRPr="00A00187" w:rsidRDefault="006D79E9">
      <w:pPr>
        <w:spacing w:after="160" w:line="259" w:lineRule="auto"/>
        <w:jc w:val="left"/>
      </w:pPr>
      <w:bookmarkStart w:id="41" w:name="_Toc11133203"/>
      <w:bookmarkStart w:id="42" w:name="_Toc43931174"/>
      <w:bookmarkStart w:id="43" w:name="_Toc75952304"/>
    </w:p>
    <w:p w14:paraId="4F71FB8E" w14:textId="0CC9C394" w:rsidR="00AA52A0" w:rsidRPr="00A00187" w:rsidRDefault="00AA52A0" w:rsidP="00AA52A0">
      <w:pPr>
        <w:pStyle w:val="Podnadpis"/>
        <w:rPr>
          <w:color w:val="auto"/>
        </w:rPr>
      </w:pPr>
      <w:bookmarkStart w:id="44" w:name="_Toc106106763"/>
      <w:bookmarkStart w:id="45" w:name="_Toc109802086"/>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1</w:t>
      </w:r>
      <w:r w:rsidRPr="00A00187">
        <w:rPr>
          <w:noProof/>
          <w:color w:val="auto"/>
        </w:rPr>
        <w:fldChar w:fldCharType="end"/>
      </w:r>
      <w:r w:rsidRPr="00A00187">
        <w:rPr>
          <w:color w:val="auto"/>
        </w:rPr>
        <w:t>: OS – počet soudců dle krajů</w:t>
      </w:r>
      <w:bookmarkEnd w:id="41"/>
      <w:bookmarkEnd w:id="42"/>
      <w:bookmarkEnd w:id="43"/>
      <w:bookmarkEnd w:id="44"/>
      <w:bookmarkEnd w:id="45"/>
    </w:p>
    <w:tbl>
      <w:tblPr>
        <w:tblW w:w="9225" w:type="dxa"/>
        <w:tblCellMar>
          <w:left w:w="70" w:type="dxa"/>
          <w:right w:w="70" w:type="dxa"/>
        </w:tblCellMar>
        <w:tblLook w:val="04A0" w:firstRow="1" w:lastRow="0" w:firstColumn="1" w:lastColumn="0" w:noHBand="0" w:noVBand="1"/>
      </w:tblPr>
      <w:tblGrid>
        <w:gridCol w:w="2496"/>
        <w:gridCol w:w="1473"/>
        <w:gridCol w:w="1469"/>
        <w:gridCol w:w="1548"/>
        <w:gridCol w:w="953"/>
        <w:gridCol w:w="1286"/>
      </w:tblGrid>
      <w:tr w:rsidR="00AC1E67" w:rsidRPr="00A00187" w14:paraId="5C77E780" w14:textId="77777777" w:rsidTr="00B72E56">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65ED33A9"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1473" w:type="dxa"/>
            <w:vMerge w:val="restart"/>
            <w:tcBorders>
              <w:top w:val="double" w:sz="6" w:space="0" w:color="auto"/>
              <w:left w:val="nil"/>
              <w:bottom w:val="double" w:sz="6" w:space="0" w:color="000000"/>
              <w:right w:val="nil"/>
            </w:tcBorders>
            <w:shd w:val="clear" w:color="auto" w:fill="auto"/>
            <w:vAlign w:val="center"/>
            <w:hideMark/>
          </w:tcPr>
          <w:p w14:paraId="57E3D833"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Plánovaný počet soudců</w:t>
            </w:r>
          </w:p>
        </w:tc>
        <w:tc>
          <w:tcPr>
            <w:tcW w:w="5256" w:type="dxa"/>
            <w:gridSpan w:val="4"/>
            <w:tcBorders>
              <w:top w:val="double" w:sz="6" w:space="0" w:color="auto"/>
              <w:left w:val="nil"/>
              <w:bottom w:val="nil"/>
              <w:right w:val="nil"/>
            </w:tcBorders>
            <w:shd w:val="clear" w:color="auto" w:fill="auto"/>
            <w:noWrap/>
            <w:vAlign w:val="center"/>
            <w:hideMark/>
          </w:tcPr>
          <w:p w14:paraId="5AE9F564"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Evidenční počet soudců</w:t>
            </w:r>
          </w:p>
        </w:tc>
      </w:tr>
      <w:tr w:rsidR="00AC1E67" w:rsidRPr="00A00187" w14:paraId="3234E531" w14:textId="77777777" w:rsidTr="00B72E56">
        <w:trPr>
          <w:trHeight w:val="645"/>
        </w:trPr>
        <w:tc>
          <w:tcPr>
            <w:tcW w:w="2496" w:type="dxa"/>
            <w:vMerge/>
            <w:tcBorders>
              <w:top w:val="double" w:sz="6" w:space="0" w:color="auto"/>
              <w:left w:val="nil"/>
              <w:bottom w:val="double" w:sz="6" w:space="0" w:color="000000"/>
              <w:right w:val="nil"/>
            </w:tcBorders>
            <w:vAlign w:val="center"/>
            <w:hideMark/>
          </w:tcPr>
          <w:p w14:paraId="7EF90219" w14:textId="77777777" w:rsidR="00AA52A0" w:rsidRPr="00A00187" w:rsidRDefault="00AA52A0" w:rsidP="00AA52A0">
            <w:pPr>
              <w:spacing w:line="240" w:lineRule="auto"/>
              <w:jc w:val="left"/>
              <w:rPr>
                <w:rFonts w:eastAsia="Times New Roman"/>
                <w:b/>
                <w:bCs/>
                <w:szCs w:val="24"/>
                <w:lang w:eastAsia="cs-CZ"/>
              </w:rPr>
            </w:pPr>
          </w:p>
        </w:tc>
        <w:tc>
          <w:tcPr>
            <w:tcW w:w="1473" w:type="dxa"/>
            <w:vMerge/>
            <w:tcBorders>
              <w:top w:val="double" w:sz="6" w:space="0" w:color="auto"/>
              <w:left w:val="nil"/>
              <w:bottom w:val="double" w:sz="6" w:space="0" w:color="000000"/>
              <w:right w:val="nil"/>
            </w:tcBorders>
            <w:vAlign w:val="center"/>
            <w:hideMark/>
          </w:tcPr>
          <w:p w14:paraId="31D268CD" w14:textId="77777777" w:rsidR="00AA52A0" w:rsidRPr="00A00187" w:rsidRDefault="00AA52A0" w:rsidP="00AA52A0">
            <w:pPr>
              <w:spacing w:line="240" w:lineRule="auto"/>
              <w:jc w:val="left"/>
              <w:rPr>
                <w:rFonts w:eastAsia="Times New Roman"/>
                <w:b/>
                <w:bCs/>
                <w:szCs w:val="24"/>
                <w:lang w:eastAsia="cs-CZ"/>
              </w:rPr>
            </w:pPr>
          </w:p>
        </w:tc>
        <w:tc>
          <w:tcPr>
            <w:tcW w:w="1469" w:type="dxa"/>
            <w:tcBorders>
              <w:top w:val="nil"/>
              <w:left w:val="nil"/>
              <w:bottom w:val="double" w:sz="6" w:space="0" w:color="auto"/>
              <w:right w:val="nil"/>
            </w:tcBorders>
            <w:shd w:val="clear" w:color="auto" w:fill="auto"/>
            <w:noWrap/>
            <w:vAlign w:val="center"/>
            <w:hideMark/>
          </w:tcPr>
          <w:p w14:paraId="700B53B7"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Civilní úsek</w:t>
            </w:r>
          </w:p>
        </w:tc>
        <w:tc>
          <w:tcPr>
            <w:tcW w:w="1548" w:type="dxa"/>
            <w:tcBorders>
              <w:top w:val="nil"/>
              <w:left w:val="nil"/>
              <w:bottom w:val="double" w:sz="6" w:space="0" w:color="auto"/>
              <w:right w:val="nil"/>
            </w:tcBorders>
            <w:shd w:val="clear" w:color="auto" w:fill="auto"/>
            <w:noWrap/>
            <w:vAlign w:val="center"/>
            <w:hideMark/>
          </w:tcPr>
          <w:p w14:paraId="7D978C1D"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Trestní úsek</w:t>
            </w:r>
          </w:p>
        </w:tc>
        <w:tc>
          <w:tcPr>
            <w:tcW w:w="953" w:type="dxa"/>
            <w:tcBorders>
              <w:top w:val="nil"/>
              <w:left w:val="nil"/>
              <w:bottom w:val="double" w:sz="6" w:space="0" w:color="auto"/>
              <w:right w:val="nil"/>
            </w:tcBorders>
            <w:shd w:val="clear" w:color="auto" w:fill="auto"/>
            <w:noWrap/>
            <w:vAlign w:val="center"/>
            <w:hideMark/>
          </w:tcPr>
          <w:p w14:paraId="39E71F75"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Celkem</w:t>
            </w:r>
          </w:p>
        </w:tc>
        <w:tc>
          <w:tcPr>
            <w:tcW w:w="1286" w:type="dxa"/>
            <w:tcBorders>
              <w:top w:val="nil"/>
              <w:left w:val="nil"/>
              <w:bottom w:val="double" w:sz="6" w:space="0" w:color="auto"/>
              <w:right w:val="nil"/>
            </w:tcBorders>
            <w:shd w:val="clear" w:color="auto" w:fill="auto"/>
            <w:vAlign w:val="center"/>
            <w:hideMark/>
          </w:tcPr>
          <w:p w14:paraId="72AEAD22"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Na 100 000 obyvatel</w:t>
            </w:r>
          </w:p>
        </w:tc>
      </w:tr>
      <w:tr w:rsidR="00AC1E67" w:rsidRPr="00A00187" w14:paraId="68E4BBEB" w14:textId="77777777" w:rsidTr="00B72E56">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32495BBF"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MS Praha</w:t>
            </w:r>
          </w:p>
        </w:tc>
        <w:tc>
          <w:tcPr>
            <w:tcW w:w="1473" w:type="dxa"/>
            <w:tcBorders>
              <w:top w:val="single" w:sz="4" w:space="0" w:color="auto"/>
              <w:left w:val="nil"/>
              <w:bottom w:val="single" w:sz="4" w:space="0" w:color="auto"/>
              <w:right w:val="nil"/>
            </w:tcBorders>
            <w:shd w:val="clear" w:color="auto" w:fill="auto"/>
            <w:noWrap/>
            <w:vAlign w:val="bottom"/>
            <w:hideMark/>
          </w:tcPr>
          <w:p w14:paraId="43518B26"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280</w:t>
            </w:r>
          </w:p>
        </w:tc>
        <w:tc>
          <w:tcPr>
            <w:tcW w:w="1469" w:type="dxa"/>
            <w:tcBorders>
              <w:top w:val="single" w:sz="4" w:space="0" w:color="auto"/>
              <w:left w:val="nil"/>
              <w:bottom w:val="single" w:sz="4" w:space="0" w:color="auto"/>
              <w:right w:val="nil"/>
            </w:tcBorders>
            <w:shd w:val="clear" w:color="auto" w:fill="auto"/>
            <w:noWrap/>
            <w:vAlign w:val="bottom"/>
            <w:hideMark/>
          </w:tcPr>
          <w:p w14:paraId="2A5405B3"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231</w:t>
            </w:r>
          </w:p>
        </w:tc>
        <w:tc>
          <w:tcPr>
            <w:tcW w:w="1548" w:type="dxa"/>
            <w:tcBorders>
              <w:top w:val="single" w:sz="4" w:space="0" w:color="auto"/>
              <w:left w:val="nil"/>
              <w:bottom w:val="single" w:sz="4" w:space="0" w:color="auto"/>
              <w:right w:val="nil"/>
            </w:tcBorders>
            <w:shd w:val="clear" w:color="auto" w:fill="auto"/>
            <w:noWrap/>
            <w:vAlign w:val="bottom"/>
            <w:hideMark/>
          </w:tcPr>
          <w:p w14:paraId="746B7625"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65</w:t>
            </w:r>
          </w:p>
        </w:tc>
        <w:tc>
          <w:tcPr>
            <w:tcW w:w="953" w:type="dxa"/>
            <w:tcBorders>
              <w:top w:val="single" w:sz="4" w:space="0" w:color="auto"/>
              <w:left w:val="nil"/>
              <w:bottom w:val="single" w:sz="4" w:space="0" w:color="auto"/>
              <w:right w:val="nil"/>
            </w:tcBorders>
            <w:shd w:val="clear" w:color="auto" w:fill="auto"/>
            <w:noWrap/>
            <w:vAlign w:val="bottom"/>
            <w:hideMark/>
          </w:tcPr>
          <w:p w14:paraId="59A06CA4"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296</w:t>
            </w:r>
          </w:p>
        </w:tc>
        <w:tc>
          <w:tcPr>
            <w:tcW w:w="1286" w:type="dxa"/>
            <w:tcBorders>
              <w:top w:val="single" w:sz="4" w:space="0" w:color="auto"/>
              <w:left w:val="nil"/>
              <w:bottom w:val="single" w:sz="4" w:space="0" w:color="auto"/>
              <w:right w:val="nil"/>
            </w:tcBorders>
            <w:shd w:val="clear" w:color="auto" w:fill="auto"/>
            <w:noWrap/>
            <w:vAlign w:val="bottom"/>
            <w:hideMark/>
          </w:tcPr>
          <w:p w14:paraId="7A74AB83" w14:textId="59FCC074"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22</w:t>
            </w:r>
            <w:r w:rsidR="0086784E" w:rsidRPr="00A00187">
              <w:rPr>
                <w:rFonts w:eastAsia="Times New Roman"/>
                <w:szCs w:val="24"/>
                <w:lang w:eastAsia="cs-CZ"/>
              </w:rPr>
              <w:t>,</w:t>
            </w:r>
            <w:r w:rsidRPr="00A00187">
              <w:rPr>
                <w:rFonts w:eastAsia="Times New Roman"/>
                <w:szCs w:val="24"/>
                <w:lang w:eastAsia="cs-CZ"/>
              </w:rPr>
              <w:t>4</w:t>
            </w:r>
          </w:p>
        </w:tc>
      </w:tr>
      <w:tr w:rsidR="00AC1E67" w:rsidRPr="00A00187" w14:paraId="5BE13B5D" w14:textId="77777777" w:rsidTr="00B72E56">
        <w:trPr>
          <w:trHeight w:val="315"/>
        </w:trPr>
        <w:tc>
          <w:tcPr>
            <w:tcW w:w="2496" w:type="dxa"/>
            <w:tcBorders>
              <w:top w:val="nil"/>
              <w:left w:val="nil"/>
              <w:bottom w:val="single" w:sz="4" w:space="0" w:color="auto"/>
              <w:right w:val="nil"/>
            </w:tcBorders>
            <w:shd w:val="clear" w:color="auto" w:fill="auto"/>
            <w:noWrap/>
            <w:vAlign w:val="bottom"/>
            <w:hideMark/>
          </w:tcPr>
          <w:p w14:paraId="2A0A25FA"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KS Praha</w:t>
            </w:r>
          </w:p>
        </w:tc>
        <w:tc>
          <w:tcPr>
            <w:tcW w:w="1473" w:type="dxa"/>
            <w:tcBorders>
              <w:top w:val="nil"/>
              <w:left w:val="nil"/>
              <w:bottom w:val="single" w:sz="4" w:space="0" w:color="auto"/>
              <w:right w:val="nil"/>
            </w:tcBorders>
            <w:shd w:val="clear" w:color="auto" w:fill="auto"/>
            <w:noWrap/>
            <w:vAlign w:val="bottom"/>
            <w:hideMark/>
          </w:tcPr>
          <w:p w14:paraId="625FA81B"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207</w:t>
            </w:r>
          </w:p>
        </w:tc>
        <w:tc>
          <w:tcPr>
            <w:tcW w:w="1469" w:type="dxa"/>
            <w:tcBorders>
              <w:top w:val="nil"/>
              <w:left w:val="nil"/>
              <w:bottom w:val="single" w:sz="4" w:space="0" w:color="auto"/>
              <w:right w:val="nil"/>
            </w:tcBorders>
            <w:shd w:val="clear" w:color="auto" w:fill="auto"/>
            <w:noWrap/>
            <w:vAlign w:val="bottom"/>
            <w:hideMark/>
          </w:tcPr>
          <w:p w14:paraId="0AC10E2C"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168</w:t>
            </w:r>
          </w:p>
        </w:tc>
        <w:tc>
          <w:tcPr>
            <w:tcW w:w="1548" w:type="dxa"/>
            <w:tcBorders>
              <w:top w:val="nil"/>
              <w:left w:val="nil"/>
              <w:bottom w:val="single" w:sz="4" w:space="0" w:color="auto"/>
              <w:right w:val="nil"/>
            </w:tcBorders>
            <w:shd w:val="clear" w:color="auto" w:fill="auto"/>
            <w:noWrap/>
            <w:vAlign w:val="bottom"/>
            <w:hideMark/>
          </w:tcPr>
          <w:p w14:paraId="2B4952DA"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47</w:t>
            </w:r>
          </w:p>
        </w:tc>
        <w:tc>
          <w:tcPr>
            <w:tcW w:w="953" w:type="dxa"/>
            <w:tcBorders>
              <w:top w:val="nil"/>
              <w:left w:val="nil"/>
              <w:bottom w:val="single" w:sz="4" w:space="0" w:color="auto"/>
              <w:right w:val="nil"/>
            </w:tcBorders>
            <w:shd w:val="clear" w:color="auto" w:fill="auto"/>
            <w:noWrap/>
            <w:vAlign w:val="bottom"/>
            <w:hideMark/>
          </w:tcPr>
          <w:p w14:paraId="36FC36C2"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215</w:t>
            </w:r>
          </w:p>
        </w:tc>
        <w:tc>
          <w:tcPr>
            <w:tcW w:w="1286" w:type="dxa"/>
            <w:tcBorders>
              <w:top w:val="nil"/>
              <w:left w:val="nil"/>
              <w:bottom w:val="single" w:sz="4" w:space="0" w:color="auto"/>
              <w:right w:val="nil"/>
            </w:tcBorders>
            <w:shd w:val="clear" w:color="auto" w:fill="auto"/>
            <w:noWrap/>
            <w:vAlign w:val="bottom"/>
            <w:hideMark/>
          </w:tcPr>
          <w:p w14:paraId="04CD87D9" w14:textId="7780CB8B"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15</w:t>
            </w:r>
            <w:r w:rsidR="0086784E" w:rsidRPr="00A00187">
              <w:rPr>
                <w:rFonts w:eastAsia="Times New Roman"/>
                <w:szCs w:val="24"/>
                <w:lang w:eastAsia="cs-CZ"/>
              </w:rPr>
              <w:t>,</w:t>
            </w:r>
            <w:r w:rsidRPr="00A00187">
              <w:rPr>
                <w:rFonts w:eastAsia="Times New Roman"/>
                <w:szCs w:val="24"/>
                <w:lang w:eastAsia="cs-CZ"/>
              </w:rPr>
              <w:t>5</w:t>
            </w:r>
          </w:p>
        </w:tc>
      </w:tr>
      <w:tr w:rsidR="00AC1E67" w:rsidRPr="00A00187" w14:paraId="0F78F191" w14:textId="77777777" w:rsidTr="00B72E56">
        <w:trPr>
          <w:trHeight w:val="315"/>
        </w:trPr>
        <w:tc>
          <w:tcPr>
            <w:tcW w:w="2496" w:type="dxa"/>
            <w:tcBorders>
              <w:top w:val="nil"/>
              <w:left w:val="nil"/>
              <w:bottom w:val="single" w:sz="4" w:space="0" w:color="auto"/>
              <w:right w:val="nil"/>
            </w:tcBorders>
            <w:shd w:val="clear" w:color="auto" w:fill="auto"/>
            <w:noWrap/>
            <w:vAlign w:val="bottom"/>
            <w:hideMark/>
          </w:tcPr>
          <w:p w14:paraId="6AAF4D14"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KS Č. Budějovice</w:t>
            </w:r>
          </w:p>
        </w:tc>
        <w:tc>
          <w:tcPr>
            <w:tcW w:w="1473" w:type="dxa"/>
            <w:tcBorders>
              <w:top w:val="nil"/>
              <w:left w:val="nil"/>
              <w:bottom w:val="single" w:sz="4" w:space="0" w:color="auto"/>
              <w:right w:val="nil"/>
            </w:tcBorders>
            <w:shd w:val="clear" w:color="auto" w:fill="auto"/>
            <w:noWrap/>
            <w:vAlign w:val="bottom"/>
            <w:hideMark/>
          </w:tcPr>
          <w:p w14:paraId="622CE07D"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103</w:t>
            </w:r>
          </w:p>
        </w:tc>
        <w:tc>
          <w:tcPr>
            <w:tcW w:w="1469" w:type="dxa"/>
            <w:tcBorders>
              <w:top w:val="nil"/>
              <w:left w:val="nil"/>
              <w:bottom w:val="single" w:sz="4" w:space="0" w:color="auto"/>
              <w:right w:val="nil"/>
            </w:tcBorders>
            <w:shd w:val="clear" w:color="auto" w:fill="auto"/>
            <w:noWrap/>
            <w:vAlign w:val="bottom"/>
            <w:hideMark/>
          </w:tcPr>
          <w:p w14:paraId="6EAD0EA6"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72</w:t>
            </w:r>
          </w:p>
        </w:tc>
        <w:tc>
          <w:tcPr>
            <w:tcW w:w="1548" w:type="dxa"/>
            <w:tcBorders>
              <w:top w:val="nil"/>
              <w:left w:val="nil"/>
              <w:bottom w:val="single" w:sz="4" w:space="0" w:color="auto"/>
              <w:right w:val="nil"/>
            </w:tcBorders>
            <w:shd w:val="clear" w:color="auto" w:fill="auto"/>
            <w:noWrap/>
            <w:vAlign w:val="bottom"/>
            <w:hideMark/>
          </w:tcPr>
          <w:p w14:paraId="0017DE16"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28</w:t>
            </w:r>
          </w:p>
        </w:tc>
        <w:tc>
          <w:tcPr>
            <w:tcW w:w="953" w:type="dxa"/>
            <w:tcBorders>
              <w:top w:val="nil"/>
              <w:left w:val="nil"/>
              <w:bottom w:val="single" w:sz="4" w:space="0" w:color="auto"/>
              <w:right w:val="nil"/>
            </w:tcBorders>
            <w:shd w:val="clear" w:color="auto" w:fill="auto"/>
            <w:noWrap/>
            <w:vAlign w:val="bottom"/>
            <w:hideMark/>
          </w:tcPr>
          <w:p w14:paraId="2EAF9523"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100</w:t>
            </w:r>
          </w:p>
        </w:tc>
        <w:tc>
          <w:tcPr>
            <w:tcW w:w="1286" w:type="dxa"/>
            <w:tcBorders>
              <w:top w:val="nil"/>
              <w:left w:val="nil"/>
              <w:bottom w:val="single" w:sz="4" w:space="0" w:color="auto"/>
              <w:right w:val="nil"/>
            </w:tcBorders>
            <w:shd w:val="clear" w:color="auto" w:fill="auto"/>
            <w:noWrap/>
            <w:vAlign w:val="bottom"/>
            <w:hideMark/>
          </w:tcPr>
          <w:p w14:paraId="20F91A76" w14:textId="5C101E8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14</w:t>
            </w:r>
            <w:r w:rsidR="0086784E" w:rsidRPr="00A00187">
              <w:rPr>
                <w:rFonts w:eastAsia="Times New Roman"/>
                <w:szCs w:val="24"/>
                <w:lang w:eastAsia="cs-CZ"/>
              </w:rPr>
              <w:t>,</w:t>
            </w:r>
            <w:r w:rsidRPr="00A00187">
              <w:rPr>
                <w:rFonts w:eastAsia="Times New Roman"/>
                <w:szCs w:val="24"/>
                <w:lang w:eastAsia="cs-CZ"/>
              </w:rPr>
              <w:t>0</w:t>
            </w:r>
          </w:p>
        </w:tc>
      </w:tr>
      <w:tr w:rsidR="00AC1E67" w:rsidRPr="00A00187" w14:paraId="064230A4" w14:textId="77777777" w:rsidTr="00B72E56">
        <w:trPr>
          <w:trHeight w:val="315"/>
        </w:trPr>
        <w:tc>
          <w:tcPr>
            <w:tcW w:w="2496" w:type="dxa"/>
            <w:tcBorders>
              <w:top w:val="nil"/>
              <w:left w:val="nil"/>
              <w:bottom w:val="single" w:sz="4" w:space="0" w:color="auto"/>
              <w:right w:val="nil"/>
            </w:tcBorders>
            <w:shd w:val="clear" w:color="auto" w:fill="auto"/>
            <w:noWrap/>
            <w:vAlign w:val="bottom"/>
            <w:hideMark/>
          </w:tcPr>
          <w:p w14:paraId="2DD81334"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KS Plzeň</w:t>
            </w:r>
          </w:p>
        </w:tc>
        <w:tc>
          <w:tcPr>
            <w:tcW w:w="1473" w:type="dxa"/>
            <w:tcBorders>
              <w:top w:val="nil"/>
              <w:left w:val="nil"/>
              <w:bottom w:val="single" w:sz="4" w:space="0" w:color="auto"/>
              <w:right w:val="nil"/>
            </w:tcBorders>
            <w:shd w:val="clear" w:color="auto" w:fill="auto"/>
            <w:noWrap/>
            <w:vAlign w:val="bottom"/>
            <w:hideMark/>
          </w:tcPr>
          <w:p w14:paraId="55658F53"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158</w:t>
            </w:r>
          </w:p>
        </w:tc>
        <w:tc>
          <w:tcPr>
            <w:tcW w:w="1469" w:type="dxa"/>
            <w:tcBorders>
              <w:top w:val="nil"/>
              <w:left w:val="nil"/>
              <w:bottom w:val="single" w:sz="4" w:space="0" w:color="auto"/>
              <w:right w:val="nil"/>
            </w:tcBorders>
            <w:shd w:val="clear" w:color="auto" w:fill="auto"/>
            <w:noWrap/>
            <w:vAlign w:val="bottom"/>
            <w:hideMark/>
          </w:tcPr>
          <w:p w14:paraId="34385066"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115</w:t>
            </w:r>
          </w:p>
        </w:tc>
        <w:tc>
          <w:tcPr>
            <w:tcW w:w="1548" w:type="dxa"/>
            <w:tcBorders>
              <w:top w:val="nil"/>
              <w:left w:val="nil"/>
              <w:bottom w:val="single" w:sz="4" w:space="0" w:color="auto"/>
              <w:right w:val="nil"/>
            </w:tcBorders>
            <w:shd w:val="clear" w:color="auto" w:fill="auto"/>
            <w:noWrap/>
            <w:vAlign w:val="bottom"/>
            <w:hideMark/>
          </w:tcPr>
          <w:p w14:paraId="6F712C73"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43</w:t>
            </w:r>
          </w:p>
        </w:tc>
        <w:tc>
          <w:tcPr>
            <w:tcW w:w="953" w:type="dxa"/>
            <w:tcBorders>
              <w:top w:val="nil"/>
              <w:left w:val="nil"/>
              <w:bottom w:val="single" w:sz="4" w:space="0" w:color="auto"/>
              <w:right w:val="nil"/>
            </w:tcBorders>
            <w:shd w:val="clear" w:color="auto" w:fill="auto"/>
            <w:noWrap/>
            <w:vAlign w:val="bottom"/>
            <w:hideMark/>
          </w:tcPr>
          <w:p w14:paraId="63C317FC"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158</w:t>
            </w:r>
          </w:p>
        </w:tc>
        <w:tc>
          <w:tcPr>
            <w:tcW w:w="1286" w:type="dxa"/>
            <w:tcBorders>
              <w:top w:val="nil"/>
              <w:left w:val="nil"/>
              <w:bottom w:val="single" w:sz="4" w:space="0" w:color="auto"/>
              <w:right w:val="nil"/>
            </w:tcBorders>
            <w:shd w:val="clear" w:color="auto" w:fill="auto"/>
            <w:noWrap/>
            <w:vAlign w:val="bottom"/>
            <w:hideMark/>
          </w:tcPr>
          <w:p w14:paraId="4E7C0114" w14:textId="719F0EC3"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17</w:t>
            </w:r>
            <w:r w:rsidR="0086784E" w:rsidRPr="00A00187">
              <w:rPr>
                <w:rFonts w:eastAsia="Times New Roman"/>
                <w:szCs w:val="24"/>
                <w:lang w:eastAsia="cs-CZ"/>
              </w:rPr>
              <w:t>,</w:t>
            </w:r>
            <w:r w:rsidRPr="00A00187">
              <w:rPr>
                <w:rFonts w:eastAsia="Times New Roman"/>
                <w:szCs w:val="24"/>
                <w:lang w:eastAsia="cs-CZ"/>
              </w:rPr>
              <w:t>9</w:t>
            </w:r>
          </w:p>
        </w:tc>
      </w:tr>
      <w:tr w:rsidR="00AC1E67" w:rsidRPr="00A00187" w14:paraId="4518A33C" w14:textId="77777777" w:rsidTr="00B72E56">
        <w:trPr>
          <w:trHeight w:val="315"/>
        </w:trPr>
        <w:tc>
          <w:tcPr>
            <w:tcW w:w="2496" w:type="dxa"/>
            <w:tcBorders>
              <w:top w:val="nil"/>
              <w:left w:val="nil"/>
              <w:bottom w:val="single" w:sz="4" w:space="0" w:color="auto"/>
              <w:right w:val="nil"/>
            </w:tcBorders>
            <w:shd w:val="clear" w:color="auto" w:fill="auto"/>
            <w:noWrap/>
            <w:vAlign w:val="bottom"/>
            <w:hideMark/>
          </w:tcPr>
          <w:p w14:paraId="3450A4EC"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KS Ústí n. Labem</w:t>
            </w:r>
          </w:p>
        </w:tc>
        <w:tc>
          <w:tcPr>
            <w:tcW w:w="1473" w:type="dxa"/>
            <w:tcBorders>
              <w:top w:val="nil"/>
              <w:left w:val="nil"/>
              <w:bottom w:val="single" w:sz="4" w:space="0" w:color="auto"/>
              <w:right w:val="nil"/>
            </w:tcBorders>
            <w:shd w:val="clear" w:color="auto" w:fill="auto"/>
            <w:noWrap/>
            <w:vAlign w:val="bottom"/>
            <w:hideMark/>
          </w:tcPr>
          <w:p w14:paraId="14D3C50F"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245</w:t>
            </w:r>
          </w:p>
        </w:tc>
        <w:tc>
          <w:tcPr>
            <w:tcW w:w="1469" w:type="dxa"/>
            <w:tcBorders>
              <w:top w:val="nil"/>
              <w:left w:val="nil"/>
              <w:bottom w:val="single" w:sz="4" w:space="0" w:color="auto"/>
              <w:right w:val="nil"/>
            </w:tcBorders>
            <w:shd w:val="clear" w:color="auto" w:fill="auto"/>
            <w:noWrap/>
            <w:vAlign w:val="bottom"/>
            <w:hideMark/>
          </w:tcPr>
          <w:p w14:paraId="1B3B8354"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195</w:t>
            </w:r>
          </w:p>
        </w:tc>
        <w:tc>
          <w:tcPr>
            <w:tcW w:w="1548" w:type="dxa"/>
            <w:tcBorders>
              <w:top w:val="nil"/>
              <w:left w:val="nil"/>
              <w:bottom w:val="single" w:sz="4" w:space="0" w:color="auto"/>
              <w:right w:val="nil"/>
            </w:tcBorders>
            <w:shd w:val="clear" w:color="auto" w:fill="auto"/>
            <w:noWrap/>
            <w:vAlign w:val="bottom"/>
            <w:hideMark/>
          </w:tcPr>
          <w:p w14:paraId="5529EDCE"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81</w:t>
            </w:r>
          </w:p>
        </w:tc>
        <w:tc>
          <w:tcPr>
            <w:tcW w:w="953" w:type="dxa"/>
            <w:tcBorders>
              <w:top w:val="nil"/>
              <w:left w:val="nil"/>
              <w:bottom w:val="single" w:sz="4" w:space="0" w:color="auto"/>
              <w:right w:val="nil"/>
            </w:tcBorders>
            <w:shd w:val="clear" w:color="auto" w:fill="auto"/>
            <w:noWrap/>
            <w:vAlign w:val="bottom"/>
            <w:hideMark/>
          </w:tcPr>
          <w:p w14:paraId="4494CBD5"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276</w:t>
            </w:r>
          </w:p>
        </w:tc>
        <w:tc>
          <w:tcPr>
            <w:tcW w:w="1286" w:type="dxa"/>
            <w:tcBorders>
              <w:top w:val="nil"/>
              <w:left w:val="nil"/>
              <w:bottom w:val="single" w:sz="4" w:space="0" w:color="auto"/>
              <w:right w:val="nil"/>
            </w:tcBorders>
            <w:shd w:val="clear" w:color="auto" w:fill="auto"/>
            <w:noWrap/>
            <w:vAlign w:val="bottom"/>
            <w:hideMark/>
          </w:tcPr>
          <w:p w14:paraId="1B5C759C" w14:textId="4E789FC4"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23</w:t>
            </w:r>
            <w:r w:rsidR="0086784E" w:rsidRPr="00A00187">
              <w:rPr>
                <w:rFonts w:eastAsia="Times New Roman"/>
                <w:szCs w:val="24"/>
                <w:lang w:eastAsia="cs-CZ"/>
              </w:rPr>
              <w:t>,</w:t>
            </w:r>
            <w:r w:rsidRPr="00A00187">
              <w:rPr>
                <w:rFonts w:eastAsia="Times New Roman"/>
                <w:szCs w:val="24"/>
                <w:lang w:eastAsia="cs-CZ"/>
              </w:rPr>
              <w:t>2</w:t>
            </w:r>
          </w:p>
        </w:tc>
      </w:tr>
      <w:tr w:rsidR="00AC1E67" w:rsidRPr="00A00187" w14:paraId="637E2111" w14:textId="77777777" w:rsidTr="00B72E56">
        <w:trPr>
          <w:trHeight w:val="315"/>
        </w:trPr>
        <w:tc>
          <w:tcPr>
            <w:tcW w:w="2496" w:type="dxa"/>
            <w:tcBorders>
              <w:top w:val="nil"/>
              <w:left w:val="nil"/>
              <w:bottom w:val="single" w:sz="4" w:space="0" w:color="auto"/>
              <w:right w:val="nil"/>
            </w:tcBorders>
            <w:shd w:val="clear" w:color="auto" w:fill="auto"/>
            <w:noWrap/>
            <w:vAlign w:val="bottom"/>
            <w:hideMark/>
          </w:tcPr>
          <w:p w14:paraId="5D3B0C29"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KS Hr. Králové</w:t>
            </w:r>
          </w:p>
        </w:tc>
        <w:tc>
          <w:tcPr>
            <w:tcW w:w="1473" w:type="dxa"/>
            <w:tcBorders>
              <w:top w:val="nil"/>
              <w:left w:val="nil"/>
              <w:bottom w:val="single" w:sz="4" w:space="0" w:color="auto"/>
              <w:right w:val="nil"/>
            </w:tcBorders>
            <w:shd w:val="clear" w:color="auto" w:fill="auto"/>
            <w:noWrap/>
            <w:vAlign w:val="bottom"/>
            <w:hideMark/>
          </w:tcPr>
          <w:p w14:paraId="3D4E7928"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163</w:t>
            </w:r>
          </w:p>
        </w:tc>
        <w:tc>
          <w:tcPr>
            <w:tcW w:w="1469" w:type="dxa"/>
            <w:tcBorders>
              <w:top w:val="nil"/>
              <w:left w:val="nil"/>
              <w:bottom w:val="single" w:sz="4" w:space="0" w:color="auto"/>
              <w:right w:val="nil"/>
            </w:tcBorders>
            <w:shd w:val="clear" w:color="auto" w:fill="auto"/>
            <w:noWrap/>
            <w:vAlign w:val="bottom"/>
            <w:hideMark/>
          </w:tcPr>
          <w:p w14:paraId="068ABB77"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132</w:t>
            </w:r>
          </w:p>
        </w:tc>
        <w:tc>
          <w:tcPr>
            <w:tcW w:w="1548" w:type="dxa"/>
            <w:tcBorders>
              <w:top w:val="nil"/>
              <w:left w:val="nil"/>
              <w:bottom w:val="single" w:sz="4" w:space="0" w:color="auto"/>
              <w:right w:val="nil"/>
            </w:tcBorders>
            <w:shd w:val="clear" w:color="auto" w:fill="auto"/>
            <w:noWrap/>
            <w:vAlign w:val="bottom"/>
            <w:hideMark/>
          </w:tcPr>
          <w:p w14:paraId="13468618"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40</w:t>
            </w:r>
          </w:p>
        </w:tc>
        <w:tc>
          <w:tcPr>
            <w:tcW w:w="953" w:type="dxa"/>
            <w:tcBorders>
              <w:top w:val="nil"/>
              <w:left w:val="nil"/>
              <w:bottom w:val="single" w:sz="4" w:space="0" w:color="auto"/>
              <w:right w:val="nil"/>
            </w:tcBorders>
            <w:shd w:val="clear" w:color="auto" w:fill="auto"/>
            <w:noWrap/>
            <w:vAlign w:val="bottom"/>
            <w:hideMark/>
          </w:tcPr>
          <w:p w14:paraId="13931399"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172</w:t>
            </w:r>
          </w:p>
        </w:tc>
        <w:tc>
          <w:tcPr>
            <w:tcW w:w="1286" w:type="dxa"/>
            <w:tcBorders>
              <w:top w:val="nil"/>
              <w:left w:val="nil"/>
              <w:bottom w:val="single" w:sz="4" w:space="0" w:color="auto"/>
              <w:right w:val="nil"/>
            </w:tcBorders>
            <w:shd w:val="clear" w:color="auto" w:fill="auto"/>
            <w:noWrap/>
            <w:vAlign w:val="bottom"/>
            <w:hideMark/>
          </w:tcPr>
          <w:p w14:paraId="0C6395FF" w14:textId="0A2F3572"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13</w:t>
            </w:r>
            <w:r w:rsidR="0086784E" w:rsidRPr="00A00187">
              <w:rPr>
                <w:rFonts w:eastAsia="Times New Roman"/>
                <w:szCs w:val="24"/>
                <w:lang w:eastAsia="cs-CZ"/>
              </w:rPr>
              <w:t>,</w:t>
            </w:r>
            <w:r w:rsidRPr="00A00187">
              <w:rPr>
                <w:rFonts w:eastAsia="Times New Roman"/>
                <w:szCs w:val="24"/>
                <w:lang w:eastAsia="cs-CZ"/>
              </w:rPr>
              <w:t>8</w:t>
            </w:r>
          </w:p>
        </w:tc>
      </w:tr>
      <w:tr w:rsidR="00AC1E67" w:rsidRPr="00A00187" w14:paraId="1267A2FF" w14:textId="77777777" w:rsidTr="00B72E56">
        <w:trPr>
          <w:trHeight w:val="315"/>
        </w:trPr>
        <w:tc>
          <w:tcPr>
            <w:tcW w:w="2496" w:type="dxa"/>
            <w:tcBorders>
              <w:top w:val="nil"/>
              <w:left w:val="nil"/>
              <w:bottom w:val="single" w:sz="4" w:space="0" w:color="auto"/>
              <w:right w:val="nil"/>
            </w:tcBorders>
            <w:shd w:val="clear" w:color="auto" w:fill="auto"/>
            <w:noWrap/>
            <w:vAlign w:val="bottom"/>
            <w:hideMark/>
          </w:tcPr>
          <w:p w14:paraId="78C76350"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KS Brno</w:t>
            </w:r>
          </w:p>
        </w:tc>
        <w:tc>
          <w:tcPr>
            <w:tcW w:w="1473" w:type="dxa"/>
            <w:tcBorders>
              <w:top w:val="nil"/>
              <w:left w:val="nil"/>
              <w:bottom w:val="single" w:sz="4" w:space="0" w:color="auto"/>
              <w:right w:val="nil"/>
            </w:tcBorders>
            <w:shd w:val="clear" w:color="auto" w:fill="auto"/>
            <w:noWrap/>
            <w:vAlign w:val="bottom"/>
            <w:hideMark/>
          </w:tcPr>
          <w:p w14:paraId="1439E19C"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261</w:t>
            </w:r>
          </w:p>
        </w:tc>
        <w:tc>
          <w:tcPr>
            <w:tcW w:w="1469" w:type="dxa"/>
            <w:tcBorders>
              <w:top w:val="nil"/>
              <w:left w:val="nil"/>
              <w:bottom w:val="single" w:sz="4" w:space="0" w:color="auto"/>
              <w:right w:val="nil"/>
            </w:tcBorders>
            <w:shd w:val="clear" w:color="auto" w:fill="auto"/>
            <w:noWrap/>
            <w:vAlign w:val="bottom"/>
            <w:hideMark/>
          </w:tcPr>
          <w:p w14:paraId="0B90E6BB"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225</w:t>
            </w:r>
          </w:p>
        </w:tc>
        <w:tc>
          <w:tcPr>
            <w:tcW w:w="1548" w:type="dxa"/>
            <w:tcBorders>
              <w:top w:val="nil"/>
              <w:left w:val="nil"/>
              <w:bottom w:val="single" w:sz="4" w:space="0" w:color="auto"/>
              <w:right w:val="nil"/>
            </w:tcBorders>
            <w:shd w:val="clear" w:color="auto" w:fill="auto"/>
            <w:noWrap/>
            <w:vAlign w:val="bottom"/>
            <w:hideMark/>
          </w:tcPr>
          <w:p w14:paraId="50F04B3B"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60</w:t>
            </w:r>
          </w:p>
        </w:tc>
        <w:tc>
          <w:tcPr>
            <w:tcW w:w="953" w:type="dxa"/>
            <w:tcBorders>
              <w:top w:val="nil"/>
              <w:left w:val="nil"/>
              <w:bottom w:val="single" w:sz="4" w:space="0" w:color="auto"/>
              <w:right w:val="nil"/>
            </w:tcBorders>
            <w:shd w:val="clear" w:color="auto" w:fill="auto"/>
            <w:noWrap/>
            <w:vAlign w:val="bottom"/>
            <w:hideMark/>
          </w:tcPr>
          <w:p w14:paraId="2D82F239"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285</w:t>
            </w:r>
          </w:p>
        </w:tc>
        <w:tc>
          <w:tcPr>
            <w:tcW w:w="1286" w:type="dxa"/>
            <w:tcBorders>
              <w:top w:val="nil"/>
              <w:left w:val="nil"/>
              <w:bottom w:val="single" w:sz="4" w:space="0" w:color="auto"/>
              <w:right w:val="nil"/>
            </w:tcBorders>
            <w:shd w:val="clear" w:color="auto" w:fill="auto"/>
            <w:noWrap/>
            <w:vAlign w:val="bottom"/>
            <w:hideMark/>
          </w:tcPr>
          <w:p w14:paraId="13933BBE" w14:textId="45DF361F"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13</w:t>
            </w:r>
            <w:r w:rsidR="0086784E" w:rsidRPr="00A00187">
              <w:rPr>
                <w:rFonts w:eastAsia="Times New Roman"/>
                <w:szCs w:val="24"/>
                <w:lang w:eastAsia="cs-CZ"/>
              </w:rPr>
              <w:t>,</w:t>
            </w:r>
            <w:r w:rsidRPr="00A00187">
              <w:rPr>
                <w:rFonts w:eastAsia="Times New Roman"/>
                <w:szCs w:val="24"/>
                <w:lang w:eastAsia="cs-CZ"/>
              </w:rPr>
              <w:t>7</w:t>
            </w:r>
          </w:p>
        </w:tc>
      </w:tr>
      <w:tr w:rsidR="00AC1E67" w:rsidRPr="00A00187" w14:paraId="678BFB4A" w14:textId="77777777" w:rsidTr="00B72E56">
        <w:trPr>
          <w:trHeight w:val="330"/>
        </w:trPr>
        <w:tc>
          <w:tcPr>
            <w:tcW w:w="2496" w:type="dxa"/>
            <w:tcBorders>
              <w:top w:val="nil"/>
              <w:left w:val="nil"/>
              <w:bottom w:val="double" w:sz="6" w:space="0" w:color="auto"/>
              <w:right w:val="nil"/>
            </w:tcBorders>
            <w:shd w:val="clear" w:color="auto" w:fill="auto"/>
            <w:noWrap/>
            <w:vAlign w:val="bottom"/>
            <w:hideMark/>
          </w:tcPr>
          <w:p w14:paraId="2CE4C23E" w14:textId="77777777" w:rsidR="00AA52A0" w:rsidRPr="00A00187" w:rsidRDefault="00AA52A0" w:rsidP="00AA52A0">
            <w:pPr>
              <w:spacing w:line="240" w:lineRule="auto"/>
              <w:jc w:val="left"/>
              <w:rPr>
                <w:rFonts w:eastAsia="Times New Roman"/>
                <w:szCs w:val="24"/>
                <w:lang w:eastAsia="cs-CZ"/>
              </w:rPr>
            </w:pPr>
            <w:r w:rsidRPr="00A00187">
              <w:rPr>
                <w:rFonts w:eastAsia="Times New Roman"/>
                <w:szCs w:val="24"/>
                <w:lang w:eastAsia="cs-CZ"/>
              </w:rPr>
              <w:t>KS Ostrava</w:t>
            </w:r>
          </w:p>
        </w:tc>
        <w:tc>
          <w:tcPr>
            <w:tcW w:w="1473" w:type="dxa"/>
            <w:tcBorders>
              <w:top w:val="nil"/>
              <w:left w:val="nil"/>
              <w:bottom w:val="double" w:sz="6" w:space="0" w:color="auto"/>
              <w:right w:val="nil"/>
            </w:tcBorders>
            <w:shd w:val="clear" w:color="auto" w:fill="auto"/>
            <w:noWrap/>
            <w:vAlign w:val="bottom"/>
            <w:hideMark/>
          </w:tcPr>
          <w:p w14:paraId="5EFC8170"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299</w:t>
            </w:r>
          </w:p>
        </w:tc>
        <w:tc>
          <w:tcPr>
            <w:tcW w:w="1469" w:type="dxa"/>
            <w:tcBorders>
              <w:top w:val="nil"/>
              <w:left w:val="nil"/>
              <w:bottom w:val="double" w:sz="6" w:space="0" w:color="auto"/>
              <w:right w:val="nil"/>
            </w:tcBorders>
            <w:shd w:val="clear" w:color="auto" w:fill="auto"/>
            <w:noWrap/>
            <w:vAlign w:val="bottom"/>
            <w:hideMark/>
          </w:tcPr>
          <w:p w14:paraId="17FE9961"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231</w:t>
            </w:r>
          </w:p>
        </w:tc>
        <w:tc>
          <w:tcPr>
            <w:tcW w:w="1548" w:type="dxa"/>
            <w:tcBorders>
              <w:top w:val="nil"/>
              <w:left w:val="nil"/>
              <w:bottom w:val="double" w:sz="6" w:space="0" w:color="auto"/>
              <w:right w:val="nil"/>
            </w:tcBorders>
            <w:shd w:val="clear" w:color="auto" w:fill="auto"/>
            <w:noWrap/>
            <w:vAlign w:val="bottom"/>
            <w:hideMark/>
          </w:tcPr>
          <w:p w14:paraId="1D4EE31A"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81</w:t>
            </w:r>
          </w:p>
        </w:tc>
        <w:tc>
          <w:tcPr>
            <w:tcW w:w="953" w:type="dxa"/>
            <w:tcBorders>
              <w:top w:val="nil"/>
              <w:left w:val="nil"/>
              <w:bottom w:val="single" w:sz="4" w:space="0" w:color="auto"/>
              <w:right w:val="nil"/>
            </w:tcBorders>
            <w:shd w:val="clear" w:color="auto" w:fill="auto"/>
            <w:noWrap/>
            <w:vAlign w:val="bottom"/>
            <w:hideMark/>
          </w:tcPr>
          <w:p w14:paraId="766B0D25" w14:textId="77777777"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312</w:t>
            </w:r>
          </w:p>
        </w:tc>
        <w:tc>
          <w:tcPr>
            <w:tcW w:w="1286" w:type="dxa"/>
            <w:tcBorders>
              <w:top w:val="nil"/>
              <w:left w:val="nil"/>
              <w:bottom w:val="double" w:sz="6" w:space="0" w:color="auto"/>
              <w:right w:val="nil"/>
            </w:tcBorders>
            <w:shd w:val="clear" w:color="auto" w:fill="auto"/>
            <w:noWrap/>
            <w:vAlign w:val="bottom"/>
            <w:hideMark/>
          </w:tcPr>
          <w:p w14:paraId="03E44732" w14:textId="77B91EE5" w:rsidR="00AA52A0" w:rsidRPr="00A00187" w:rsidRDefault="00AA52A0" w:rsidP="00AA52A0">
            <w:pPr>
              <w:spacing w:line="240" w:lineRule="auto"/>
              <w:jc w:val="center"/>
              <w:rPr>
                <w:rFonts w:eastAsia="Times New Roman"/>
                <w:szCs w:val="24"/>
                <w:lang w:eastAsia="cs-CZ"/>
              </w:rPr>
            </w:pPr>
            <w:r w:rsidRPr="00A00187">
              <w:rPr>
                <w:rFonts w:eastAsia="Times New Roman"/>
                <w:szCs w:val="24"/>
                <w:lang w:eastAsia="cs-CZ"/>
              </w:rPr>
              <w:t>16</w:t>
            </w:r>
            <w:r w:rsidR="0086784E" w:rsidRPr="00A00187">
              <w:rPr>
                <w:rFonts w:eastAsia="Times New Roman"/>
                <w:szCs w:val="24"/>
                <w:lang w:eastAsia="cs-CZ"/>
              </w:rPr>
              <w:t>,</w:t>
            </w:r>
            <w:r w:rsidRPr="00A00187">
              <w:rPr>
                <w:rFonts w:eastAsia="Times New Roman"/>
                <w:szCs w:val="24"/>
                <w:lang w:eastAsia="cs-CZ"/>
              </w:rPr>
              <w:t>7</w:t>
            </w:r>
          </w:p>
        </w:tc>
      </w:tr>
      <w:tr w:rsidR="00AC1E67" w:rsidRPr="00A00187" w14:paraId="5384812C" w14:textId="77777777" w:rsidTr="00B72E56">
        <w:trPr>
          <w:trHeight w:val="345"/>
        </w:trPr>
        <w:tc>
          <w:tcPr>
            <w:tcW w:w="2496" w:type="dxa"/>
            <w:tcBorders>
              <w:top w:val="nil"/>
              <w:left w:val="nil"/>
              <w:bottom w:val="double" w:sz="6" w:space="0" w:color="auto"/>
              <w:right w:val="nil"/>
            </w:tcBorders>
            <w:shd w:val="clear" w:color="auto" w:fill="auto"/>
            <w:noWrap/>
            <w:vAlign w:val="bottom"/>
            <w:hideMark/>
          </w:tcPr>
          <w:p w14:paraId="00343395" w14:textId="77777777" w:rsidR="00AA52A0" w:rsidRPr="00A00187" w:rsidRDefault="00AA52A0" w:rsidP="00AA52A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473" w:type="dxa"/>
            <w:tcBorders>
              <w:top w:val="nil"/>
              <w:left w:val="nil"/>
              <w:bottom w:val="double" w:sz="6" w:space="0" w:color="auto"/>
              <w:right w:val="nil"/>
            </w:tcBorders>
            <w:shd w:val="clear" w:color="auto" w:fill="auto"/>
            <w:noWrap/>
            <w:vAlign w:val="bottom"/>
            <w:hideMark/>
          </w:tcPr>
          <w:p w14:paraId="6DAB8B9B" w14:textId="459C51EE"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1</w:t>
            </w:r>
            <w:r w:rsidR="001E6618" w:rsidRPr="00A00187">
              <w:rPr>
                <w:rFonts w:eastAsia="Times New Roman"/>
                <w:b/>
                <w:bCs/>
                <w:szCs w:val="24"/>
                <w:lang w:eastAsia="cs-CZ"/>
              </w:rPr>
              <w:t xml:space="preserve"> </w:t>
            </w:r>
            <w:r w:rsidRPr="00A00187">
              <w:rPr>
                <w:rFonts w:eastAsia="Times New Roman"/>
                <w:b/>
                <w:bCs/>
                <w:szCs w:val="24"/>
                <w:lang w:eastAsia="cs-CZ"/>
              </w:rPr>
              <w:t>716</w:t>
            </w:r>
          </w:p>
        </w:tc>
        <w:tc>
          <w:tcPr>
            <w:tcW w:w="1469" w:type="dxa"/>
            <w:tcBorders>
              <w:top w:val="nil"/>
              <w:left w:val="nil"/>
              <w:bottom w:val="double" w:sz="6" w:space="0" w:color="auto"/>
              <w:right w:val="nil"/>
            </w:tcBorders>
            <w:shd w:val="clear" w:color="auto" w:fill="auto"/>
            <w:noWrap/>
            <w:vAlign w:val="bottom"/>
            <w:hideMark/>
          </w:tcPr>
          <w:p w14:paraId="6917A727"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1369</w:t>
            </w:r>
          </w:p>
        </w:tc>
        <w:tc>
          <w:tcPr>
            <w:tcW w:w="1548" w:type="dxa"/>
            <w:tcBorders>
              <w:top w:val="nil"/>
              <w:left w:val="nil"/>
              <w:bottom w:val="double" w:sz="6" w:space="0" w:color="auto"/>
              <w:right w:val="nil"/>
            </w:tcBorders>
            <w:shd w:val="clear" w:color="auto" w:fill="auto"/>
            <w:noWrap/>
            <w:vAlign w:val="bottom"/>
            <w:hideMark/>
          </w:tcPr>
          <w:p w14:paraId="4B747655" w14:textId="77777777"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445</w:t>
            </w:r>
          </w:p>
        </w:tc>
        <w:tc>
          <w:tcPr>
            <w:tcW w:w="953" w:type="dxa"/>
            <w:tcBorders>
              <w:top w:val="double" w:sz="6" w:space="0" w:color="auto"/>
              <w:left w:val="nil"/>
              <w:bottom w:val="double" w:sz="6" w:space="0" w:color="auto"/>
              <w:right w:val="nil"/>
            </w:tcBorders>
            <w:shd w:val="clear" w:color="auto" w:fill="auto"/>
            <w:noWrap/>
            <w:vAlign w:val="bottom"/>
            <w:hideMark/>
          </w:tcPr>
          <w:p w14:paraId="4DEC7BB0" w14:textId="18FFE6F6"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1</w:t>
            </w:r>
            <w:r w:rsidR="001E6618" w:rsidRPr="00A00187">
              <w:rPr>
                <w:rFonts w:eastAsia="Times New Roman"/>
                <w:b/>
                <w:bCs/>
                <w:szCs w:val="24"/>
                <w:lang w:eastAsia="cs-CZ"/>
              </w:rPr>
              <w:t xml:space="preserve"> </w:t>
            </w:r>
            <w:r w:rsidRPr="00A00187">
              <w:rPr>
                <w:rFonts w:eastAsia="Times New Roman"/>
                <w:b/>
                <w:bCs/>
                <w:szCs w:val="24"/>
                <w:lang w:eastAsia="cs-CZ"/>
              </w:rPr>
              <w:t>814</w:t>
            </w:r>
          </w:p>
        </w:tc>
        <w:tc>
          <w:tcPr>
            <w:tcW w:w="1286" w:type="dxa"/>
            <w:tcBorders>
              <w:top w:val="nil"/>
              <w:left w:val="nil"/>
              <w:bottom w:val="double" w:sz="6" w:space="0" w:color="auto"/>
              <w:right w:val="nil"/>
            </w:tcBorders>
            <w:shd w:val="clear" w:color="auto" w:fill="auto"/>
            <w:noWrap/>
            <w:vAlign w:val="bottom"/>
            <w:hideMark/>
          </w:tcPr>
          <w:p w14:paraId="0451DC7E" w14:textId="0C418CEE" w:rsidR="00AA52A0" w:rsidRPr="00A00187" w:rsidRDefault="00AA52A0" w:rsidP="00AA52A0">
            <w:pPr>
              <w:spacing w:line="240" w:lineRule="auto"/>
              <w:jc w:val="center"/>
              <w:rPr>
                <w:rFonts w:eastAsia="Times New Roman"/>
                <w:b/>
                <w:bCs/>
                <w:szCs w:val="24"/>
                <w:lang w:eastAsia="cs-CZ"/>
              </w:rPr>
            </w:pPr>
            <w:r w:rsidRPr="00A00187">
              <w:rPr>
                <w:rFonts w:eastAsia="Times New Roman"/>
                <w:b/>
                <w:bCs/>
                <w:szCs w:val="24"/>
                <w:lang w:eastAsia="cs-CZ"/>
              </w:rPr>
              <w:t>17</w:t>
            </w:r>
            <w:r w:rsidR="0086784E" w:rsidRPr="00A00187">
              <w:rPr>
                <w:rFonts w:eastAsia="Times New Roman"/>
                <w:b/>
                <w:bCs/>
                <w:szCs w:val="24"/>
                <w:lang w:eastAsia="cs-CZ"/>
              </w:rPr>
              <w:t>,</w:t>
            </w:r>
            <w:r w:rsidRPr="00A00187">
              <w:rPr>
                <w:rFonts w:eastAsia="Times New Roman"/>
                <w:b/>
                <w:bCs/>
                <w:szCs w:val="24"/>
                <w:lang w:eastAsia="cs-CZ"/>
              </w:rPr>
              <w:t>0</w:t>
            </w:r>
          </w:p>
        </w:tc>
      </w:tr>
      <w:tr w:rsidR="00AC1E67" w:rsidRPr="00A00187" w14:paraId="31A5F726" w14:textId="77777777" w:rsidTr="00B72E56">
        <w:trPr>
          <w:trHeight w:val="330"/>
        </w:trPr>
        <w:tc>
          <w:tcPr>
            <w:tcW w:w="2496" w:type="dxa"/>
            <w:tcBorders>
              <w:top w:val="nil"/>
              <w:left w:val="nil"/>
              <w:bottom w:val="nil"/>
              <w:right w:val="nil"/>
            </w:tcBorders>
            <w:shd w:val="clear" w:color="auto" w:fill="auto"/>
            <w:noWrap/>
            <w:vAlign w:val="bottom"/>
            <w:hideMark/>
          </w:tcPr>
          <w:p w14:paraId="1D5C660E" w14:textId="77777777" w:rsidR="00AA52A0" w:rsidRPr="00A00187" w:rsidRDefault="00AA52A0" w:rsidP="00AA52A0">
            <w:pPr>
              <w:spacing w:line="240" w:lineRule="auto"/>
              <w:jc w:val="center"/>
              <w:rPr>
                <w:rFonts w:eastAsia="Times New Roman"/>
                <w:b/>
                <w:bCs/>
                <w:szCs w:val="24"/>
                <w:lang w:eastAsia="cs-CZ"/>
              </w:rPr>
            </w:pPr>
          </w:p>
        </w:tc>
        <w:tc>
          <w:tcPr>
            <w:tcW w:w="1473" w:type="dxa"/>
            <w:tcBorders>
              <w:top w:val="nil"/>
              <w:left w:val="nil"/>
              <w:bottom w:val="nil"/>
              <w:right w:val="nil"/>
            </w:tcBorders>
            <w:shd w:val="clear" w:color="auto" w:fill="auto"/>
            <w:noWrap/>
            <w:vAlign w:val="bottom"/>
            <w:hideMark/>
          </w:tcPr>
          <w:p w14:paraId="7CC3DE3B" w14:textId="77777777" w:rsidR="00AA52A0" w:rsidRPr="00A00187" w:rsidRDefault="00AA52A0" w:rsidP="00AA52A0">
            <w:pPr>
              <w:spacing w:line="240" w:lineRule="auto"/>
              <w:jc w:val="left"/>
              <w:rPr>
                <w:rFonts w:ascii="Times New Roman" w:eastAsia="Times New Roman" w:hAnsi="Times New Roman"/>
                <w:sz w:val="20"/>
                <w:szCs w:val="20"/>
                <w:lang w:eastAsia="cs-CZ"/>
              </w:rPr>
            </w:pPr>
          </w:p>
        </w:tc>
        <w:tc>
          <w:tcPr>
            <w:tcW w:w="1469" w:type="dxa"/>
            <w:tcBorders>
              <w:top w:val="nil"/>
              <w:left w:val="nil"/>
              <w:bottom w:val="nil"/>
              <w:right w:val="nil"/>
            </w:tcBorders>
            <w:shd w:val="clear" w:color="auto" w:fill="auto"/>
            <w:noWrap/>
            <w:vAlign w:val="bottom"/>
            <w:hideMark/>
          </w:tcPr>
          <w:p w14:paraId="013171A7" w14:textId="77777777" w:rsidR="00AA52A0" w:rsidRPr="00A00187" w:rsidRDefault="00AA52A0" w:rsidP="00AA52A0">
            <w:pPr>
              <w:spacing w:line="240" w:lineRule="auto"/>
              <w:jc w:val="left"/>
              <w:rPr>
                <w:rFonts w:ascii="Times New Roman" w:eastAsia="Times New Roman" w:hAnsi="Times New Roman"/>
                <w:sz w:val="20"/>
                <w:szCs w:val="20"/>
                <w:lang w:eastAsia="cs-CZ"/>
              </w:rPr>
            </w:pPr>
          </w:p>
        </w:tc>
        <w:tc>
          <w:tcPr>
            <w:tcW w:w="1548" w:type="dxa"/>
            <w:tcBorders>
              <w:top w:val="nil"/>
              <w:left w:val="nil"/>
              <w:bottom w:val="nil"/>
              <w:right w:val="nil"/>
            </w:tcBorders>
            <w:shd w:val="clear" w:color="auto" w:fill="auto"/>
            <w:noWrap/>
            <w:vAlign w:val="bottom"/>
            <w:hideMark/>
          </w:tcPr>
          <w:p w14:paraId="60E1BCA7" w14:textId="77777777" w:rsidR="00AA52A0" w:rsidRPr="00A00187" w:rsidRDefault="00AA52A0" w:rsidP="00AA52A0">
            <w:pPr>
              <w:spacing w:line="240" w:lineRule="auto"/>
              <w:jc w:val="left"/>
              <w:rPr>
                <w:rFonts w:ascii="Times New Roman" w:eastAsia="Times New Roman" w:hAnsi="Times New Roman"/>
                <w:sz w:val="20"/>
                <w:szCs w:val="20"/>
                <w:lang w:eastAsia="cs-CZ"/>
              </w:rPr>
            </w:pPr>
          </w:p>
        </w:tc>
        <w:tc>
          <w:tcPr>
            <w:tcW w:w="953" w:type="dxa"/>
            <w:tcBorders>
              <w:top w:val="nil"/>
              <w:left w:val="nil"/>
              <w:bottom w:val="nil"/>
              <w:right w:val="nil"/>
            </w:tcBorders>
            <w:shd w:val="clear" w:color="auto" w:fill="auto"/>
            <w:noWrap/>
            <w:vAlign w:val="bottom"/>
            <w:hideMark/>
          </w:tcPr>
          <w:p w14:paraId="4F0F3A38" w14:textId="77777777" w:rsidR="00AA52A0" w:rsidRPr="00A00187" w:rsidRDefault="00AA52A0" w:rsidP="00AA52A0">
            <w:pPr>
              <w:spacing w:line="240" w:lineRule="auto"/>
              <w:jc w:val="left"/>
              <w:rPr>
                <w:rFonts w:ascii="Times New Roman" w:eastAsia="Times New Roman" w:hAnsi="Times New Roman"/>
                <w:sz w:val="20"/>
                <w:szCs w:val="20"/>
                <w:lang w:eastAsia="cs-CZ"/>
              </w:rPr>
            </w:pPr>
          </w:p>
        </w:tc>
        <w:tc>
          <w:tcPr>
            <w:tcW w:w="1286" w:type="dxa"/>
            <w:tcBorders>
              <w:top w:val="nil"/>
              <w:left w:val="nil"/>
              <w:bottom w:val="nil"/>
              <w:right w:val="nil"/>
            </w:tcBorders>
            <w:shd w:val="clear" w:color="auto" w:fill="auto"/>
            <w:noWrap/>
            <w:vAlign w:val="bottom"/>
            <w:hideMark/>
          </w:tcPr>
          <w:p w14:paraId="16395CB3" w14:textId="77777777" w:rsidR="00AA52A0" w:rsidRPr="00A00187" w:rsidRDefault="00AA52A0" w:rsidP="00AA52A0">
            <w:pPr>
              <w:spacing w:line="240" w:lineRule="auto"/>
              <w:jc w:val="left"/>
              <w:rPr>
                <w:rFonts w:ascii="Times New Roman" w:eastAsia="Times New Roman" w:hAnsi="Times New Roman"/>
                <w:sz w:val="20"/>
                <w:szCs w:val="20"/>
                <w:lang w:eastAsia="cs-CZ"/>
              </w:rPr>
            </w:pPr>
          </w:p>
        </w:tc>
      </w:tr>
    </w:tbl>
    <w:p w14:paraId="3A82A6EB" w14:textId="14886668" w:rsidR="00AA52A0" w:rsidRPr="00A00187" w:rsidRDefault="00726EC3" w:rsidP="00AA52A0">
      <w:pPr>
        <w:pStyle w:val="OdstavecASR"/>
      </w:pPr>
      <w:r w:rsidRPr="00A00187">
        <w:t>V</w:t>
      </w:r>
      <w:r>
        <w:t> </w:t>
      </w:r>
      <w:r w:rsidR="004C1F51" w:rsidRPr="00A00187">
        <w:t>přepočtu na 100 tis. obyvatel jsou</w:t>
      </w:r>
      <w:r w:rsidR="00027839" w:rsidRPr="00A00187">
        <w:t xml:space="preserve"> </w:t>
      </w:r>
      <w:r w:rsidR="004C1F51" w:rsidRPr="00A00187">
        <w:t xml:space="preserve">personálně </w:t>
      </w:r>
      <w:r w:rsidR="00027839" w:rsidRPr="00A00187">
        <w:t xml:space="preserve">výrazně </w:t>
      </w:r>
      <w:r w:rsidR="004C1F51" w:rsidRPr="00A00187">
        <w:t>nejsilnější OS v severočeském soudním kraji a v</w:t>
      </w:r>
      <w:r w:rsidR="006D79E9" w:rsidRPr="00A00187">
        <w:t> </w:t>
      </w:r>
      <w:r w:rsidR="004C1F51" w:rsidRPr="00A00187">
        <w:t>Praze</w:t>
      </w:r>
      <w:r w:rsidR="006D79E9" w:rsidRPr="00A00187">
        <w:t xml:space="preserve">. </w:t>
      </w:r>
      <w:r w:rsidR="00AA52A0" w:rsidRPr="00A00187">
        <w:t xml:space="preserve">Největšími okresními soudy </w:t>
      </w:r>
      <w:r w:rsidR="00027839" w:rsidRPr="00A00187">
        <w:t xml:space="preserve">v absolutních počtech soudců </w:t>
      </w:r>
      <w:r w:rsidR="00225127" w:rsidRPr="00A00187">
        <w:t>jsou</w:t>
      </w:r>
      <w:r w:rsidR="00AA52A0" w:rsidRPr="00A00187">
        <w:t xml:space="preserve"> MS Brno </w:t>
      </w:r>
      <w:r w:rsidRPr="00A00187">
        <w:t>a</w:t>
      </w:r>
      <w:r>
        <w:t> </w:t>
      </w:r>
      <w:r w:rsidR="00AA52A0" w:rsidRPr="00A00187">
        <w:t xml:space="preserve">OS Ostrava (oba 76 soudců) </w:t>
      </w:r>
      <w:r w:rsidRPr="00A00187">
        <w:t>a</w:t>
      </w:r>
      <w:r>
        <w:t> </w:t>
      </w:r>
      <w:r w:rsidR="00225127" w:rsidRPr="00A00187">
        <w:t xml:space="preserve">OS Karviná </w:t>
      </w:r>
      <w:r w:rsidR="00AA52A0" w:rsidRPr="00A00187">
        <w:t>(</w:t>
      </w:r>
      <w:r w:rsidR="00225127" w:rsidRPr="00A00187">
        <w:t>48</w:t>
      </w:r>
      <w:r w:rsidR="00AA52A0" w:rsidRPr="00A00187">
        <w:t> soudců). Naopak nejmenší okresní soudy</w:t>
      </w:r>
      <w:r w:rsidR="0012339A" w:rsidRPr="00A00187">
        <w:t xml:space="preserve"> dle evidenčního počtu soudců</w:t>
      </w:r>
      <w:r w:rsidR="00AA52A0" w:rsidRPr="00A00187">
        <w:t xml:space="preserve"> </w:t>
      </w:r>
      <w:r w:rsidR="0012339A" w:rsidRPr="00A00187">
        <w:t xml:space="preserve">jsou OS </w:t>
      </w:r>
      <w:r w:rsidRPr="00A00187">
        <w:t>v</w:t>
      </w:r>
      <w:r>
        <w:t> </w:t>
      </w:r>
      <w:r w:rsidR="00AA52A0" w:rsidRPr="00A00187">
        <w:t>Pelhřimově a Rokycanech (</w:t>
      </w:r>
      <w:r w:rsidR="0086784E" w:rsidRPr="00A00187">
        <w:t>oba</w:t>
      </w:r>
      <w:r w:rsidR="00AA52A0" w:rsidRPr="00A00187">
        <w:t xml:space="preserve"> 7 soudc</w:t>
      </w:r>
      <w:r w:rsidR="0086784E" w:rsidRPr="00A00187">
        <w:t>ů</w:t>
      </w:r>
      <w:r w:rsidR="00AA52A0" w:rsidRPr="00A00187">
        <w:t>). Velikost jednotlivých soudů lze přibližně vyčíst z kartogramu.</w:t>
      </w:r>
    </w:p>
    <w:p w14:paraId="414A5911" w14:textId="4110F9CE" w:rsidR="00AA52A0" w:rsidRPr="00A00187" w:rsidRDefault="00AA52A0" w:rsidP="00AA52A0">
      <w:pPr>
        <w:pStyle w:val="Podnadpis"/>
        <w:rPr>
          <w:color w:val="auto"/>
        </w:rPr>
      </w:pPr>
      <w:bookmarkStart w:id="46" w:name="_Ref41044837"/>
      <w:bookmarkStart w:id="47" w:name="_Toc515871328"/>
      <w:bookmarkStart w:id="48" w:name="_Toc11135064"/>
      <w:bookmarkStart w:id="49" w:name="_Toc43841383"/>
      <w:bookmarkStart w:id="50" w:name="_Toc75952183"/>
      <w:bookmarkStart w:id="51" w:name="_Toc106106637"/>
      <w:bookmarkStart w:id="52" w:name="_Toc109801961"/>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w:t>
      </w:r>
      <w:r w:rsidRPr="00A00187">
        <w:rPr>
          <w:color w:val="auto"/>
        </w:rPr>
        <w:fldChar w:fldCharType="end"/>
      </w:r>
      <w:bookmarkEnd w:id="46"/>
      <w:r w:rsidRPr="00A00187">
        <w:rPr>
          <w:color w:val="auto"/>
        </w:rPr>
        <w:t>: OS – evidenční počet soudců u jednotlivých soudů</w:t>
      </w:r>
      <w:bookmarkEnd w:id="47"/>
      <w:bookmarkEnd w:id="48"/>
      <w:bookmarkEnd w:id="49"/>
      <w:bookmarkEnd w:id="50"/>
      <w:bookmarkEnd w:id="51"/>
      <w:bookmarkEnd w:id="52"/>
    </w:p>
    <w:p w14:paraId="1D722EB9" w14:textId="374CD2F8" w:rsidR="00AA52A0" w:rsidRPr="00A00187" w:rsidRDefault="00E17096" w:rsidP="00C74A49">
      <w:r w:rsidRPr="00A00187">
        <w:rPr>
          <w:noProof/>
        </w:rPr>
        <w:drawing>
          <wp:anchor distT="0" distB="0" distL="114300" distR="114300" simplePos="0" relativeHeight="251663360" behindDoc="0" locked="0" layoutInCell="1" allowOverlap="1" wp14:anchorId="70CCD40C" wp14:editId="43850C18">
            <wp:simplePos x="0" y="0"/>
            <wp:positionH relativeFrom="margin">
              <wp:align>right</wp:align>
            </wp:positionH>
            <wp:positionV relativeFrom="paragraph">
              <wp:posOffset>13970</wp:posOffset>
            </wp:positionV>
            <wp:extent cx="1260000" cy="918000"/>
            <wp:effectExtent l="0" t="0" r="0" b="0"/>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anchor>
        </w:drawing>
      </w:r>
      <w:r w:rsidRPr="00A00187">
        <w:rPr>
          <w:noProof/>
        </w:rPr>
        <w:drawing>
          <wp:inline distT="0" distB="0" distL="0" distR="0" wp14:anchorId="40241E74" wp14:editId="3B5D2FD3">
            <wp:extent cx="5759450" cy="3296285"/>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9C4EE67" w14:textId="77777777" w:rsidR="00E17096" w:rsidRPr="00A00187" w:rsidRDefault="00E17096" w:rsidP="00C74A49"/>
    <w:p w14:paraId="739F87F7" w14:textId="7F04DE1E" w:rsidR="00AA52A0" w:rsidRPr="00A00187" w:rsidRDefault="00E17096" w:rsidP="00C74A49">
      <w:r w:rsidRPr="00A00187">
        <w:t>V kartogramu vidíme, že největší soudy jsou především ve větších městech. Relativně velké soudy se nachází v Severočeském a Severomoravském kraji. Velké jsou také některé obvodní soudy v Praze (OS pro Prahu 4, OS pro Prahu 1 a OS pro Prahu 5).</w:t>
      </w:r>
    </w:p>
    <w:p w14:paraId="230621D8" w14:textId="1BB33495" w:rsidR="00E17096" w:rsidRPr="00A00187" w:rsidRDefault="00E17096" w:rsidP="00E17096">
      <w:pPr>
        <w:pStyle w:val="Podnadpis"/>
        <w:rPr>
          <w:color w:val="auto"/>
        </w:rPr>
      </w:pPr>
      <w:bookmarkStart w:id="53" w:name="_Toc515871329"/>
      <w:bookmarkStart w:id="54" w:name="_Toc11135065"/>
      <w:bookmarkStart w:id="55" w:name="_Toc43841384"/>
      <w:bookmarkStart w:id="56" w:name="_Toc75952184"/>
      <w:bookmarkStart w:id="57" w:name="_Toc106106638"/>
      <w:bookmarkStart w:id="58" w:name="_Toc109801962"/>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4</w:t>
      </w:r>
      <w:r w:rsidRPr="00A00187">
        <w:rPr>
          <w:noProof/>
          <w:color w:val="auto"/>
        </w:rPr>
        <w:fldChar w:fldCharType="end"/>
      </w:r>
      <w:r w:rsidRPr="00A00187">
        <w:rPr>
          <w:color w:val="auto"/>
        </w:rPr>
        <w:t xml:space="preserve">: </w:t>
      </w:r>
      <w:bookmarkStart w:id="59" w:name="_Toc485734466"/>
      <w:bookmarkStart w:id="60" w:name="_Toc487792737"/>
      <w:r w:rsidRPr="00A00187">
        <w:rPr>
          <w:color w:val="auto"/>
        </w:rPr>
        <w:t>OS – evidenční počet soudců dle pohlaví v letech 2008–</w:t>
      </w:r>
      <w:bookmarkEnd w:id="53"/>
      <w:bookmarkEnd w:id="54"/>
      <w:bookmarkEnd w:id="59"/>
      <w:bookmarkEnd w:id="60"/>
      <w:r w:rsidRPr="00A00187">
        <w:rPr>
          <w:color w:val="auto"/>
        </w:rPr>
        <w:t>20</w:t>
      </w:r>
      <w:bookmarkEnd w:id="55"/>
      <w:r w:rsidRPr="00A00187">
        <w:rPr>
          <w:color w:val="auto"/>
        </w:rPr>
        <w:t>2</w:t>
      </w:r>
      <w:bookmarkEnd w:id="56"/>
      <w:r w:rsidRPr="00A00187">
        <w:rPr>
          <w:color w:val="auto"/>
        </w:rPr>
        <w:t>1</w:t>
      </w:r>
      <w:bookmarkEnd w:id="57"/>
      <w:bookmarkEnd w:id="58"/>
    </w:p>
    <w:p w14:paraId="6D698AE2" w14:textId="3D38B926" w:rsidR="00E17096" w:rsidRPr="00A00187" w:rsidRDefault="00AC343A" w:rsidP="00E17096">
      <w:r w:rsidRPr="00A00187">
        <w:rPr>
          <w:noProof/>
        </w:rPr>
        <w:drawing>
          <wp:inline distT="0" distB="0" distL="0" distR="0" wp14:anchorId="36010C34" wp14:editId="5619F77F">
            <wp:extent cx="5029200" cy="3657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CC932A" w14:textId="2E4F399F" w:rsidR="00E17096" w:rsidRPr="00A00187" w:rsidRDefault="00E17096" w:rsidP="00C74A49"/>
    <w:p w14:paraId="74E7EE50" w14:textId="77777777" w:rsidR="006678CD" w:rsidRPr="00A00187" w:rsidRDefault="006678CD" w:rsidP="006678CD">
      <w:pPr>
        <w:pStyle w:val="OdstavecASR"/>
      </w:pPr>
    </w:p>
    <w:p w14:paraId="0008EDFB" w14:textId="1A51BA7C" w:rsidR="006678CD" w:rsidRPr="00A00187" w:rsidRDefault="006678CD" w:rsidP="006678CD">
      <w:pPr>
        <w:pStyle w:val="OdstavecASR"/>
      </w:pPr>
      <w:r w:rsidRPr="00A00187">
        <w:lastRenderedPageBreak/>
        <w:t xml:space="preserve">Jak ukazuje graf, je </w:t>
      </w:r>
      <w:r w:rsidR="007F5182" w:rsidRPr="00A00187">
        <w:t>procentuální</w:t>
      </w:r>
      <w:r w:rsidRPr="00A00187">
        <w:t xml:space="preserve"> podíl soudkyň celkem stabilní, a to přibližně v rozpětí 65 až 67 %. Tabulka </w:t>
      </w:r>
      <w:r w:rsidRPr="00A00187">
        <w:rPr>
          <w:noProof/>
        </w:rPr>
        <w:t>2</w:t>
      </w:r>
      <w:r w:rsidRPr="00A00187">
        <w:t xml:space="preserve"> uvádí evidenční počty soudců a soudkyň podle soudních krajů. Podíl žen u soudů spadajících pod MS Praha a KS Praha je vyšší než ve zbytku ČR.</w:t>
      </w:r>
    </w:p>
    <w:p w14:paraId="29D087D4" w14:textId="677B0201" w:rsidR="006678CD" w:rsidRPr="00A00187" w:rsidRDefault="006678CD" w:rsidP="006678CD">
      <w:pPr>
        <w:pStyle w:val="Podnadpis"/>
        <w:rPr>
          <w:color w:val="auto"/>
        </w:rPr>
      </w:pPr>
      <w:bookmarkStart w:id="61" w:name="_Ref511985934"/>
      <w:bookmarkStart w:id="62" w:name="_Toc515871437"/>
      <w:bookmarkStart w:id="63" w:name="_Toc11133204"/>
      <w:bookmarkStart w:id="64" w:name="_Toc43931175"/>
      <w:bookmarkStart w:id="65" w:name="_Toc75952305"/>
      <w:bookmarkStart w:id="66" w:name="_Toc106106764"/>
      <w:bookmarkStart w:id="67" w:name="_Toc109802087"/>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w:t>
      </w:r>
      <w:r w:rsidRPr="00A00187">
        <w:rPr>
          <w:noProof/>
          <w:color w:val="auto"/>
        </w:rPr>
        <w:fldChar w:fldCharType="end"/>
      </w:r>
      <w:bookmarkEnd w:id="61"/>
      <w:r w:rsidRPr="00A00187">
        <w:rPr>
          <w:color w:val="auto"/>
        </w:rPr>
        <w:t>: OS – evidenční počet soudců dle pohlaví a krajů</w:t>
      </w:r>
      <w:bookmarkEnd w:id="62"/>
      <w:bookmarkEnd w:id="63"/>
      <w:bookmarkEnd w:id="64"/>
      <w:bookmarkEnd w:id="65"/>
      <w:bookmarkEnd w:id="66"/>
      <w:bookmarkEnd w:id="67"/>
    </w:p>
    <w:tbl>
      <w:tblPr>
        <w:tblW w:w="6800" w:type="dxa"/>
        <w:tblCellMar>
          <w:left w:w="70" w:type="dxa"/>
          <w:right w:w="70" w:type="dxa"/>
        </w:tblCellMar>
        <w:tblLook w:val="04A0" w:firstRow="1" w:lastRow="0" w:firstColumn="1" w:lastColumn="0" w:noHBand="0" w:noVBand="1"/>
      </w:tblPr>
      <w:tblGrid>
        <w:gridCol w:w="2496"/>
        <w:gridCol w:w="1122"/>
        <w:gridCol w:w="1614"/>
        <w:gridCol w:w="1568"/>
      </w:tblGrid>
      <w:tr w:rsidR="00AC1E67" w:rsidRPr="00A00187" w14:paraId="1E64A7DA" w14:textId="77777777" w:rsidTr="006678CD">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739B6256" w14:textId="77777777"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2736" w:type="dxa"/>
            <w:gridSpan w:val="2"/>
            <w:tcBorders>
              <w:top w:val="double" w:sz="6" w:space="0" w:color="auto"/>
              <w:left w:val="nil"/>
              <w:bottom w:val="nil"/>
              <w:right w:val="nil"/>
            </w:tcBorders>
            <w:shd w:val="clear" w:color="auto" w:fill="auto"/>
            <w:noWrap/>
            <w:vAlign w:val="center"/>
            <w:hideMark/>
          </w:tcPr>
          <w:p w14:paraId="2B1883E4" w14:textId="77777777"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Evidenční počet</w:t>
            </w:r>
          </w:p>
        </w:tc>
        <w:tc>
          <w:tcPr>
            <w:tcW w:w="1568" w:type="dxa"/>
            <w:vMerge w:val="restart"/>
            <w:tcBorders>
              <w:top w:val="double" w:sz="6" w:space="0" w:color="auto"/>
              <w:left w:val="nil"/>
              <w:bottom w:val="double" w:sz="6" w:space="0" w:color="000000"/>
              <w:right w:val="nil"/>
            </w:tcBorders>
            <w:shd w:val="clear" w:color="auto" w:fill="auto"/>
            <w:vAlign w:val="center"/>
            <w:hideMark/>
          </w:tcPr>
          <w:p w14:paraId="66888509" w14:textId="43A5DEF5"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Podíl žen v</w:t>
            </w:r>
            <w:r w:rsidR="00CB570A">
              <w:rPr>
                <w:rFonts w:eastAsia="Times New Roman"/>
                <w:b/>
                <w:bCs/>
                <w:szCs w:val="24"/>
                <w:lang w:eastAsia="cs-CZ"/>
              </w:rPr>
              <w:t> </w:t>
            </w:r>
            <w:r w:rsidRPr="00A00187">
              <w:rPr>
                <w:rFonts w:eastAsia="Times New Roman"/>
                <w:b/>
                <w:bCs/>
                <w:szCs w:val="24"/>
                <w:lang w:eastAsia="cs-CZ"/>
              </w:rPr>
              <w:t>%</w:t>
            </w:r>
          </w:p>
        </w:tc>
      </w:tr>
      <w:tr w:rsidR="00AC1E67" w:rsidRPr="00A00187" w14:paraId="1F045D2C" w14:textId="77777777" w:rsidTr="006678CD">
        <w:trPr>
          <w:trHeight w:val="330"/>
        </w:trPr>
        <w:tc>
          <w:tcPr>
            <w:tcW w:w="2496" w:type="dxa"/>
            <w:vMerge/>
            <w:tcBorders>
              <w:top w:val="double" w:sz="6" w:space="0" w:color="auto"/>
              <w:left w:val="nil"/>
              <w:bottom w:val="double" w:sz="6" w:space="0" w:color="000000"/>
              <w:right w:val="nil"/>
            </w:tcBorders>
            <w:vAlign w:val="center"/>
            <w:hideMark/>
          </w:tcPr>
          <w:p w14:paraId="16881A28" w14:textId="77777777" w:rsidR="006678CD" w:rsidRPr="00A00187" w:rsidRDefault="006678CD" w:rsidP="006678CD">
            <w:pPr>
              <w:spacing w:line="240" w:lineRule="auto"/>
              <w:jc w:val="left"/>
              <w:rPr>
                <w:rFonts w:eastAsia="Times New Roman"/>
                <w:b/>
                <w:bCs/>
                <w:szCs w:val="24"/>
                <w:lang w:eastAsia="cs-CZ"/>
              </w:rPr>
            </w:pPr>
          </w:p>
        </w:tc>
        <w:tc>
          <w:tcPr>
            <w:tcW w:w="1122" w:type="dxa"/>
            <w:tcBorders>
              <w:top w:val="nil"/>
              <w:left w:val="nil"/>
              <w:bottom w:val="double" w:sz="6" w:space="0" w:color="auto"/>
              <w:right w:val="nil"/>
            </w:tcBorders>
            <w:shd w:val="clear" w:color="auto" w:fill="auto"/>
            <w:noWrap/>
            <w:vAlign w:val="center"/>
            <w:hideMark/>
          </w:tcPr>
          <w:p w14:paraId="7E6040B3" w14:textId="77777777"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Žen</w:t>
            </w:r>
          </w:p>
        </w:tc>
        <w:tc>
          <w:tcPr>
            <w:tcW w:w="1614" w:type="dxa"/>
            <w:tcBorders>
              <w:top w:val="nil"/>
              <w:left w:val="nil"/>
              <w:bottom w:val="double" w:sz="6" w:space="0" w:color="auto"/>
              <w:right w:val="nil"/>
            </w:tcBorders>
            <w:shd w:val="clear" w:color="auto" w:fill="auto"/>
            <w:noWrap/>
            <w:vAlign w:val="center"/>
            <w:hideMark/>
          </w:tcPr>
          <w:p w14:paraId="4D9F20DE" w14:textId="77777777"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Mužů</w:t>
            </w:r>
          </w:p>
        </w:tc>
        <w:tc>
          <w:tcPr>
            <w:tcW w:w="1568" w:type="dxa"/>
            <w:vMerge/>
            <w:tcBorders>
              <w:top w:val="double" w:sz="6" w:space="0" w:color="auto"/>
              <w:left w:val="nil"/>
              <w:bottom w:val="double" w:sz="6" w:space="0" w:color="000000"/>
              <w:right w:val="nil"/>
            </w:tcBorders>
            <w:vAlign w:val="center"/>
            <w:hideMark/>
          </w:tcPr>
          <w:p w14:paraId="6CBCB8A4" w14:textId="77777777" w:rsidR="006678CD" w:rsidRPr="00A00187" w:rsidRDefault="006678CD" w:rsidP="006678CD">
            <w:pPr>
              <w:spacing w:line="240" w:lineRule="auto"/>
              <w:jc w:val="left"/>
              <w:rPr>
                <w:rFonts w:eastAsia="Times New Roman"/>
                <w:b/>
                <w:bCs/>
                <w:szCs w:val="24"/>
                <w:lang w:eastAsia="cs-CZ"/>
              </w:rPr>
            </w:pPr>
          </w:p>
        </w:tc>
      </w:tr>
      <w:tr w:rsidR="00AC1E67" w:rsidRPr="00A00187" w14:paraId="37A5A668" w14:textId="77777777" w:rsidTr="006678CD">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0577228D"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MS Praha</w:t>
            </w:r>
          </w:p>
        </w:tc>
        <w:tc>
          <w:tcPr>
            <w:tcW w:w="1122" w:type="dxa"/>
            <w:tcBorders>
              <w:top w:val="single" w:sz="4" w:space="0" w:color="auto"/>
              <w:left w:val="nil"/>
              <w:bottom w:val="single" w:sz="4" w:space="0" w:color="auto"/>
              <w:right w:val="nil"/>
            </w:tcBorders>
            <w:shd w:val="clear" w:color="auto" w:fill="auto"/>
            <w:noWrap/>
            <w:vAlign w:val="bottom"/>
            <w:hideMark/>
          </w:tcPr>
          <w:p w14:paraId="46752C3A"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222</w:t>
            </w:r>
          </w:p>
        </w:tc>
        <w:tc>
          <w:tcPr>
            <w:tcW w:w="1614" w:type="dxa"/>
            <w:tcBorders>
              <w:top w:val="single" w:sz="4" w:space="0" w:color="auto"/>
              <w:left w:val="nil"/>
              <w:bottom w:val="single" w:sz="4" w:space="0" w:color="auto"/>
              <w:right w:val="nil"/>
            </w:tcBorders>
            <w:shd w:val="clear" w:color="auto" w:fill="auto"/>
            <w:noWrap/>
            <w:vAlign w:val="bottom"/>
            <w:hideMark/>
          </w:tcPr>
          <w:p w14:paraId="182E7EF8"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74</w:t>
            </w:r>
          </w:p>
        </w:tc>
        <w:tc>
          <w:tcPr>
            <w:tcW w:w="1568" w:type="dxa"/>
            <w:tcBorders>
              <w:top w:val="single" w:sz="4" w:space="0" w:color="auto"/>
              <w:left w:val="nil"/>
              <w:bottom w:val="single" w:sz="4" w:space="0" w:color="auto"/>
              <w:right w:val="nil"/>
            </w:tcBorders>
            <w:shd w:val="clear" w:color="auto" w:fill="auto"/>
            <w:noWrap/>
            <w:vAlign w:val="bottom"/>
            <w:hideMark/>
          </w:tcPr>
          <w:p w14:paraId="4AC9B806" w14:textId="45748B31"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75,00</w:t>
            </w:r>
          </w:p>
        </w:tc>
      </w:tr>
      <w:tr w:rsidR="00AC1E67" w:rsidRPr="00A00187" w14:paraId="62659722" w14:textId="77777777" w:rsidTr="006678CD">
        <w:trPr>
          <w:trHeight w:val="315"/>
        </w:trPr>
        <w:tc>
          <w:tcPr>
            <w:tcW w:w="2496" w:type="dxa"/>
            <w:tcBorders>
              <w:top w:val="nil"/>
              <w:left w:val="nil"/>
              <w:bottom w:val="single" w:sz="4" w:space="0" w:color="auto"/>
              <w:right w:val="nil"/>
            </w:tcBorders>
            <w:shd w:val="clear" w:color="auto" w:fill="auto"/>
            <w:noWrap/>
            <w:vAlign w:val="bottom"/>
            <w:hideMark/>
          </w:tcPr>
          <w:p w14:paraId="68EDB0A8"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KS Praha</w:t>
            </w:r>
          </w:p>
        </w:tc>
        <w:tc>
          <w:tcPr>
            <w:tcW w:w="1122" w:type="dxa"/>
            <w:tcBorders>
              <w:top w:val="nil"/>
              <w:left w:val="nil"/>
              <w:bottom w:val="single" w:sz="4" w:space="0" w:color="auto"/>
              <w:right w:val="nil"/>
            </w:tcBorders>
            <w:shd w:val="clear" w:color="auto" w:fill="auto"/>
            <w:noWrap/>
            <w:vAlign w:val="bottom"/>
            <w:hideMark/>
          </w:tcPr>
          <w:p w14:paraId="019F04D0"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158</w:t>
            </w:r>
          </w:p>
        </w:tc>
        <w:tc>
          <w:tcPr>
            <w:tcW w:w="1614" w:type="dxa"/>
            <w:tcBorders>
              <w:top w:val="nil"/>
              <w:left w:val="nil"/>
              <w:bottom w:val="single" w:sz="4" w:space="0" w:color="auto"/>
              <w:right w:val="nil"/>
            </w:tcBorders>
            <w:shd w:val="clear" w:color="auto" w:fill="auto"/>
            <w:noWrap/>
            <w:vAlign w:val="bottom"/>
            <w:hideMark/>
          </w:tcPr>
          <w:p w14:paraId="4C8842A1"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57</w:t>
            </w:r>
          </w:p>
        </w:tc>
        <w:tc>
          <w:tcPr>
            <w:tcW w:w="1568" w:type="dxa"/>
            <w:tcBorders>
              <w:top w:val="nil"/>
              <w:left w:val="nil"/>
              <w:bottom w:val="single" w:sz="4" w:space="0" w:color="auto"/>
              <w:right w:val="nil"/>
            </w:tcBorders>
            <w:shd w:val="clear" w:color="auto" w:fill="auto"/>
            <w:noWrap/>
            <w:vAlign w:val="bottom"/>
            <w:hideMark/>
          </w:tcPr>
          <w:p w14:paraId="2270F4A1" w14:textId="38B07773"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73,49</w:t>
            </w:r>
          </w:p>
        </w:tc>
      </w:tr>
      <w:tr w:rsidR="00AC1E67" w:rsidRPr="00A00187" w14:paraId="4EBA8BA4" w14:textId="77777777" w:rsidTr="006678CD">
        <w:trPr>
          <w:trHeight w:val="315"/>
        </w:trPr>
        <w:tc>
          <w:tcPr>
            <w:tcW w:w="2496" w:type="dxa"/>
            <w:tcBorders>
              <w:top w:val="nil"/>
              <w:left w:val="nil"/>
              <w:bottom w:val="single" w:sz="4" w:space="0" w:color="auto"/>
              <w:right w:val="nil"/>
            </w:tcBorders>
            <w:shd w:val="clear" w:color="auto" w:fill="auto"/>
            <w:noWrap/>
            <w:vAlign w:val="bottom"/>
            <w:hideMark/>
          </w:tcPr>
          <w:p w14:paraId="6E63DA9A"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KS Č. Budějovice</w:t>
            </w:r>
          </w:p>
        </w:tc>
        <w:tc>
          <w:tcPr>
            <w:tcW w:w="1122" w:type="dxa"/>
            <w:tcBorders>
              <w:top w:val="nil"/>
              <w:left w:val="nil"/>
              <w:bottom w:val="single" w:sz="4" w:space="0" w:color="auto"/>
              <w:right w:val="nil"/>
            </w:tcBorders>
            <w:shd w:val="clear" w:color="auto" w:fill="auto"/>
            <w:noWrap/>
            <w:vAlign w:val="bottom"/>
            <w:hideMark/>
          </w:tcPr>
          <w:p w14:paraId="07C62B54"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64</w:t>
            </w:r>
          </w:p>
        </w:tc>
        <w:tc>
          <w:tcPr>
            <w:tcW w:w="1614" w:type="dxa"/>
            <w:tcBorders>
              <w:top w:val="nil"/>
              <w:left w:val="nil"/>
              <w:bottom w:val="single" w:sz="4" w:space="0" w:color="auto"/>
              <w:right w:val="nil"/>
            </w:tcBorders>
            <w:shd w:val="clear" w:color="auto" w:fill="auto"/>
            <w:noWrap/>
            <w:vAlign w:val="bottom"/>
            <w:hideMark/>
          </w:tcPr>
          <w:p w14:paraId="5878DFD9"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36</w:t>
            </w:r>
          </w:p>
        </w:tc>
        <w:tc>
          <w:tcPr>
            <w:tcW w:w="1568" w:type="dxa"/>
            <w:tcBorders>
              <w:top w:val="nil"/>
              <w:left w:val="nil"/>
              <w:bottom w:val="single" w:sz="4" w:space="0" w:color="auto"/>
              <w:right w:val="nil"/>
            </w:tcBorders>
            <w:shd w:val="clear" w:color="auto" w:fill="auto"/>
            <w:noWrap/>
            <w:vAlign w:val="bottom"/>
            <w:hideMark/>
          </w:tcPr>
          <w:p w14:paraId="303079B9" w14:textId="7E877B5A"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64,00</w:t>
            </w:r>
          </w:p>
        </w:tc>
      </w:tr>
      <w:tr w:rsidR="00AC1E67" w:rsidRPr="00A00187" w14:paraId="5349439F" w14:textId="77777777" w:rsidTr="006678CD">
        <w:trPr>
          <w:trHeight w:val="315"/>
        </w:trPr>
        <w:tc>
          <w:tcPr>
            <w:tcW w:w="2496" w:type="dxa"/>
            <w:tcBorders>
              <w:top w:val="nil"/>
              <w:left w:val="nil"/>
              <w:bottom w:val="single" w:sz="4" w:space="0" w:color="auto"/>
              <w:right w:val="nil"/>
            </w:tcBorders>
            <w:shd w:val="clear" w:color="auto" w:fill="auto"/>
            <w:noWrap/>
            <w:vAlign w:val="bottom"/>
            <w:hideMark/>
          </w:tcPr>
          <w:p w14:paraId="658BFFD2"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KS Plzeň</w:t>
            </w:r>
          </w:p>
        </w:tc>
        <w:tc>
          <w:tcPr>
            <w:tcW w:w="1122" w:type="dxa"/>
            <w:tcBorders>
              <w:top w:val="nil"/>
              <w:left w:val="nil"/>
              <w:bottom w:val="single" w:sz="4" w:space="0" w:color="auto"/>
              <w:right w:val="nil"/>
            </w:tcBorders>
            <w:shd w:val="clear" w:color="auto" w:fill="auto"/>
            <w:noWrap/>
            <w:vAlign w:val="bottom"/>
            <w:hideMark/>
          </w:tcPr>
          <w:p w14:paraId="46E2150C"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93</w:t>
            </w:r>
          </w:p>
        </w:tc>
        <w:tc>
          <w:tcPr>
            <w:tcW w:w="1614" w:type="dxa"/>
            <w:tcBorders>
              <w:top w:val="nil"/>
              <w:left w:val="nil"/>
              <w:bottom w:val="single" w:sz="4" w:space="0" w:color="auto"/>
              <w:right w:val="nil"/>
            </w:tcBorders>
            <w:shd w:val="clear" w:color="auto" w:fill="auto"/>
            <w:noWrap/>
            <w:vAlign w:val="bottom"/>
            <w:hideMark/>
          </w:tcPr>
          <w:p w14:paraId="6A4E4D91"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65</w:t>
            </w:r>
          </w:p>
        </w:tc>
        <w:tc>
          <w:tcPr>
            <w:tcW w:w="1568" w:type="dxa"/>
            <w:tcBorders>
              <w:top w:val="nil"/>
              <w:left w:val="nil"/>
              <w:bottom w:val="single" w:sz="4" w:space="0" w:color="auto"/>
              <w:right w:val="nil"/>
            </w:tcBorders>
            <w:shd w:val="clear" w:color="auto" w:fill="auto"/>
            <w:noWrap/>
            <w:vAlign w:val="bottom"/>
            <w:hideMark/>
          </w:tcPr>
          <w:p w14:paraId="59029635" w14:textId="06817B94"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58,86</w:t>
            </w:r>
          </w:p>
        </w:tc>
      </w:tr>
      <w:tr w:rsidR="00AC1E67" w:rsidRPr="00A00187" w14:paraId="6B092C0D" w14:textId="77777777" w:rsidTr="006678CD">
        <w:trPr>
          <w:trHeight w:val="315"/>
        </w:trPr>
        <w:tc>
          <w:tcPr>
            <w:tcW w:w="2496" w:type="dxa"/>
            <w:tcBorders>
              <w:top w:val="nil"/>
              <w:left w:val="nil"/>
              <w:bottom w:val="single" w:sz="4" w:space="0" w:color="auto"/>
              <w:right w:val="nil"/>
            </w:tcBorders>
            <w:shd w:val="clear" w:color="auto" w:fill="auto"/>
            <w:noWrap/>
            <w:vAlign w:val="bottom"/>
            <w:hideMark/>
          </w:tcPr>
          <w:p w14:paraId="3CB418D5"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KS Ústí n. Labem</w:t>
            </w:r>
          </w:p>
        </w:tc>
        <w:tc>
          <w:tcPr>
            <w:tcW w:w="1122" w:type="dxa"/>
            <w:tcBorders>
              <w:top w:val="nil"/>
              <w:left w:val="nil"/>
              <w:bottom w:val="single" w:sz="4" w:space="0" w:color="auto"/>
              <w:right w:val="nil"/>
            </w:tcBorders>
            <w:shd w:val="clear" w:color="auto" w:fill="auto"/>
            <w:noWrap/>
            <w:vAlign w:val="bottom"/>
            <w:hideMark/>
          </w:tcPr>
          <w:p w14:paraId="642976B3"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174</w:t>
            </w:r>
          </w:p>
        </w:tc>
        <w:tc>
          <w:tcPr>
            <w:tcW w:w="1614" w:type="dxa"/>
            <w:tcBorders>
              <w:top w:val="nil"/>
              <w:left w:val="nil"/>
              <w:bottom w:val="single" w:sz="4" w:space="0" w:color="auto"/>
              <w:right w:val="nil"/>
            </w:tcBorders>
            <w:shd w:val="clear" w:color="auto" w:fill="auto"/>
            <w:noWrap/>
            <w:vAlign w:val="bottom"/>
            <w:hideMark/>
          </w:tcPr>
          <w:p w14:paraId="25BB8A45"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102</w:t>
            </w:r>
          </w:p>
        </w:tc>
        <w:tc>
          <w:tcPr>
            <w:tcW w:w="1568" w:type="dxa"/>
            <w:tcBorders>
              <w:top w:val="nil"/>
              <w:left w:val="nil"/>
              <w:bottom w:val="single" w:sz="4" w:space="0" w:color="auto"/>
              <w:right w:val="nil"/>
            </w:tcBorders>
            <w:shd w:val="clear" w:color="auto" w:fill="auto"/>
            <w:noWrap/>
            <w:vAlign w:val="bottom"/>
            <w:hideMark/>
          </w:tcPr>
          <w:p w14:paraId="26B4395B" w14:textId="1AFF9EF3"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63,04</w:t>
            </w:r>
          </w:p>
        </w:tc>
      </w:tr>
      <w:tr w:rsidR="00AC1E67" w:rsidRPr="00A00187" w14:paraId="76AFAC3B" w14:textId="77777777" w:rsidTr="006678CD">
        <w:trPr>
          <w:trHeight w:val="315"/>
        </w:trPr>
        <w:tc>
          <w:tcPr>
            <w:tcW w:w="2496" w:type="dxa"/>
            <w:tcBorders>
              <w:top w:val="nil"/>
              <w:left w:val="nil"/>
              <w:bottom w:val="single" w:sz="4" w:space="0" w:color="auto"/>
              <w:right w:val="nil"/>
            </w:tcBorders>
            <w:shd w:val="clear" w:color="auto" w:fill="auto"/>
            <w:noWrap/>
            <w:vAlign w:val="bottom"/>
            <w:hideMark/>
          </w:tcPr>
          <w:p w14:paraId="59EBE050"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KS Hr. Králové</w:t>
            </w:r>
          </w:p>
        </w:tc>
        <w:tc>
          <w:tcPr>
            <w:tcW w:w="1122" w:type="dxa"/>
            <w:tcBorders>
              <w:top w:val="nil"/>
              <w:left w:val="nil"/>
              <w:bottom w:val="single" w:sz="4" w:space="0" w:color="auto"/>
              <w:right w:val="nil"/>
            </w:tcBorders>
            <w:shd w:val="clear" w:color="auto" w:fill="auto"/>
            <w:noWrap/>
            <w:vAlign w:val="bottom"/>
            <w:hideMark/>
          </w:tcPr>
          <w:p w14:paraId="490944FD"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111</w:t>
            </w:r>
          </w:p>
        </w:tc>
        <w:tc>
          <w:tcPr>
            <w:tcW w:w="1614" w:type="dxa"/>
            <w:tcBorders>
              <w:top w:val="nil"/>
              <w:left w:val="nil"/>
              <w:bottom w:val="single" w:sz="4" w:space="0" w:color="auto"/>
              <w:right w:val="nil"/>
            </w:tcBorders>
            <w:shd w:val="clear" w:color="auto" w:fill="auto"/>
            <w:noWrap/>
            <w:vAlign w:val="bottom"/>
            <w:hideMark/>
          </w:tcPr>
          <w:p w14:paraId="03A87548"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61</w:t>
            </w:r>
          </w:p>
        </w:tc>
        <w:tc>
          <w:tcPr>
            <w:tcW w:w="1568" w:type="dxa"/>
            <w:tcBorders>
              <w:top w:val="nil"/>
              <w:left w:val="nil"/>
              <w:bottom w:val="single" w:sz="4" w:space="0" w:color="auto"/>
              <w:right w:val="nil"/>
            </w:tcBorders>
            <w:shd w:val="clear" w:color="auto" w:fill="auto"/>
            <w:noWrap/>
            <w:vAlign w:val="bottom"/>
            <w:hideMark/>
          </w:tcPr>
          <w:p w14:paraId="70A7F6B0" w14:textId="15E70F6A"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64,53</w:t>
            </w:r>
          </w:p>
        </w:tc>
      </w:tr>
      <w:tr w:rsidR="00AC1E67" w:rsidRPr="00A00187" w14:paraId="19FD45E6" w14:textId="77777777" w:rsidTr="006678CD">
        <w:trPr>
          <w:trHeight w:val="315"/>
        </w:trPr>
        <w:tc>
          <w:tcPr>
            <w:tcW w:w="2496" w:type="dxa"/>
            <w:tcBorders>
              <w:top w:val="nil"/>
              <w:left w:val="nil"/>
              <w:bottom w:val="single" w:sz="4" w:space="0" w:color="auto"/>
              <w:right w:val="nil"/>
            </w:tcBorders>
            <w:shd w:val="clear" w:color="auto" w:fill="auto"/>
            <w:noWrap/>
            <w:vAlign w:val="bottom"/>
            <w:hideMark/>
          </w:tcPr>
          <w:p w14:paraId="4C6F3BA9"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KS Brno</w:t>
            </w:r>
          </w:p>
        </w:tc>
        <w:tc>
          <w:tcPr>
            <w:tcW w:w="1122" w:type="dxa"/>
            <w:tcBorders>
              <w:top w:val="nil"/>
              <w:left w:val="nil"/>
              <w:bottom w:val="single" w:sz="4" w:space="0" w:color="auto"/>
              <w:right w:val="nil"/>
            </w:tcBorders>
            <w:shd w:val="clear" w:color="auto" w:fill="auto"/>
            <w:noWrap/>
            <w:vAlign w:val="bottom"/>
            <w:hideMark/>
          </w:tcPr>
          <w:p w14:paraId="62508F58"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176</w:t>
            </w:r>
          </w:p>
        </w:tc>
        <w:tc>
          <w:tcPr>
            <w:tcW w:w="1614" w:type="dxa"/>
            <w:tcBorders>
              <w:top w:val="nil"/>
              <w:left w:val="nil"/>
              <w:bottom w:val="single" w:sz="4" w:space="0" w:color="auto"/>
              <w:right w:val="nil"/>
            </w:tcBorders>
            <w:shd w:val="clear" w:color="auto" w:fill="auto"/>
            <w:noWrap/>
            <w:vAlign w:val="bottom"/>
            <w:hideMark/>
          </w:tcPr>
          <w:p w14:paraId="479811B6"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109</w:t>
            </w:r>
          </w:p>
        </w:tc>
        <w:tc>
          <w:tcPr>
            <w:tcW w:w="1568" w:type="dxa"/>
            <w:tcBorders>
              <w:top w:val="nil"/>
              <w:left w:val="nil"/>
              <w:bottom w:val="single" w:sz="4" w:space="0" w:color="auto"/>
              <w:right w:val="nil"/>
            </w:tcBorders>
            <w:shd w:val="clear" w:color="auto" w:fill="auto"/>
            <w:noWrap/>
            <w:vAlign w:val="bottom"/>
            <w:hideMark/>
          </w:tcPr>
          <w:p w14:paraId="2FEC5ECA" w14:textId="2BDD20F9"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61,75</w:t>
            </w:r>
          </w:p>
        </w:tc>
      </w:tr>
      <w:tr w:rsidR="00AC1E67" w:rsidRPr="00A00187" w14:paraId="7D0140EE" w14:textId="77777777" w:rsidTr="006678CD">
        <w:trPr>
          <w:trHeight w:val="330"/>
        </w:trPr>
        <w:tc>
          <w:tcPr>
            <w:tcW w:w="2496" w:type="dxa"/>
            <w:tcBorders>
              <w:top w:val="nil"/>
              <w:left w:val="nil"/>
              <w:bottom w:val="double" w:sz="6" w:space="0" w:color="auto"/>
              <w:right w:val="nil"/>
            </w:tcBorders>
            <w:shd w:val="clear" w:color="auto" w:fill="auto"/>
            <w:noWrap/>
            <w:vAlign w:val="bottom"/>
            <w:hideMark/>
          </w:tcPr>
          <w:p w14:paraId="246F4C38" w14:textId="77777777" w:rsidR="006678CD" w:rsidRPr="00A00187" w:rsidRDefault="006678CD" w:rsidP="006678CD">
            <w:pPr>
              <w:spacing w:line="240" w:lineRule="auto"/>
              <w:jc w:val="left"/>
              <w:rPr>
                <w:rFonts w:eastAsia="Times New Roman"/>
                <w:szCs w:val="24"/>
                <w:lang w:eastAsia="cs-CZ"/>
              </w:rPr>
            </w:pPr>
            <w:r w:rsidRPr="00A00187">
              <w:rPr>
                <w:rFonts w:eastAsia="Times New Roman"/>
                <w:szCs w:val="24"/>
                <w:lang w:eastAsia="cs-CZ"/>
              </w:rPr>
              <w:t>KS Ostrava</w:t>
            </w:r>
          </w:p>
        </w:tc>
        <w:tc>
          <w:tcPr>
            <w:tcW w:w="1122" w:type="dxa"/>
            <w:tcBorders>
              <w:top w:val="nil"/>
              <w:left w:val="nil"/>
              <w:bottom w:val="double" w:sz="6" w:space="0" w:color="auto"/>
              <w:right w:val="nil"/>
            </w:tcBorders>
            <w:shd w:val="clear" w:color="auto" w:fill="auto"/>
            <w:noWrap/>
            <w:vAlign w:val="bottom"/>
            <w:hideMark/>
          </w:tcPr>
          <w:p w14:paraId="5CCBB4A4"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215</w:t>
            </w:r>
          </w:p>
        </w:tc>
        <w:tc>
          <w:tcPr>
            <w:tcW w:w="1614" w:type="dxa"/>
            <w:tcBorders>
              <w:top w:val="nil"/>
              <w:left w:val="nil"/>
              <w:bottom w:val="double" w:sz="6" w:space="0" w:color="auto"/>
              <w:right w:val="nil"/>
            </w:tcBorders>
            <w:shd w:val="clear" w:color="auto" w:fill="auto"/>
            <w:noWrap/>
            <w:vAlign w:val="bottom"/>
            <w:hideMark/>
          </w:tcPr>
          <w:p w14:paraId="0DDDEF8B" w14:textId="77777777"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97</w:t>
            </w:r>
          </w:p>
        </w:tc>
        <w:tc>
          <w:tcPr>
            <w:tcW w:w="1568" w:type="dxa"/>
            <w:tcBorders>
              <w:top w:val="nil"/>
              <w:left w:val="nil"/>
              <w:bottom w:val="double" w:sz="6" w:space="0" w:color="auto"/>
              <w:right w:val="nil"/>
            </w:tcBorders>
            <w:shd w:val="clear" w:color="auto" w:fill="auto"/>
            <w:noWrap/>
            <w:vAlign w:val="bottom"/>
            <w:hideMark/>
          </w:tcPr>
          <w:p w14:paraId="163B538F" w14:textId="7AA432A3" w:rsidR="006678CD" w:rsidRPr="00A00187" w:rsidRDefault="006678CD" w:rsidP="006678CD">
            <w:pPr>
              <w:spacing w:line="240" w:lineRule="auto"/>
              <w:jc w:val="center"/>
              <w:rPr>
                <w:rFonts w:eastAsia="Times New Roman"/>
                <w:szCs w:val="24"/>
                <w:lang w:eastAsia="cs-CZ"/>
              </w:rPr>
            </w:pPr>
            <w:r w:rsidRPr="00A00187">
              <w:rPr>
                <w:rFonts w:eastAsia="Times New Roman"/>
                <w:szCs w:val="24"/>
                <w:lang w:eastAsia="cs-CZ"/>
              </w:rPr>
              <w:t>68,91</w:t>
            </w:r>
          </w:p>
        </w:tc>
      </w:tr>
      <w:tr w:rsidR="00AC1E67" w:rsidRPr="00A00187" w14:paraId="2E788BAD" w14:textId="77777777" w:rsidTr="006678CD">
        <w:trPr>
          <w:trHeight w:val="345"/>
        </w:trPr>
        <w:tc>
          <w:tcPr>
            <w:tcW w:w="2496" w:type="dxa"/>
            <w:tcBorders>
              <w:top w:val="nil"/>
              <w:left w:val="nil"/>
              <w:bottom w:val="double" w:sz="6" w:space="0" w:color="auto"/>
              <w:right w:val="nil"/>
            </w:tcBorders>
            <w:shd w:val="clear" w:color="auto" w:fill="auto"/>
            <w:noWrap/>
            <w:vAlign w:val="bottom"/>
            <w:hideMark/>
          </w:tcPr>
          <w:p w14:paraId="3424DC34" w14:textId="77777777" w:rsidR="006678CD" w:rsidRPr="00A00187" w:rsidRDefault="006678CD" w:rsidP="006678CD">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22" w:type="dxa"/>
            <w:tcBorders>
              <w:top w:val="nil"/>
              <w:left w:val="nil"/>
              <w:bottom w:val="double" w:sz="6" w:space="0" w:color="auto"/>
              <w:right w:val="nil"/>
            </w:tcBorders>
            <w:shd w:val="clear" w:color="auto" w:fill="auto"/>
            <w:noWrap/>
            <w:vAlign w:val="bottom"/>
            <w:hideMark/>
          </w:tcPr>
          <w:p w14:paraId="0520868B" w14:textId="78CA30A3"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1</w:t>
            </w:r>
            <w:r w:rsidR="001E6618" w:rsidRPr="00A00187">
              <w:rPr>
                <w:rFonts w:eastAsia="Times New Roman"/>
                <w:b/>
                <w:bCs/>
                <w:szCs w:val="24"/>
                <w:lang w:eastAsia="cs-CZ"/>
              </w:rPr>
              <w:t xml:space="preserve"> </w:t>
            </w:r>
            <w:r w:rsidRPr="00A00187">
              <w:rPr>
                <w:rFonts w:eastAsia="Times New Roman"/>
                <w:b/>
                <w:bCs/>
                <w:szCs w:val="24"/>
                <w:lang w:eastAsia="cs-CZ"/>
              </w:rPr>
              <w:t>213</w:t>
            </w:r>
          </w:p>
        </w:tc>
        <w:tc>
          <w:tcPr>
            <w:tcW w:w="1614" w:type="dxa"/>
            <w:tcBorders>
              <w:top w:val="nil"/>
              <w:left w:val="nil"/>
              <w:bottom w:val="double" w:sz="6" w:space="0" w:color="auto"/>
              <w:right w:val="nil"/>
            </w:tcBorders>
            <w:shd w:val="clear" w:color="auto" w:fill="auto"/>
            <w:noWrap/>
            <w:vAlign w:val="bottom"/>
            <w:hideMark/>
          </w:tcPr>
          <w:p w14:paraId="4BD63931" w14:textId="77777777"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601</w:t>
            </w:r>
          </w:p>
        </w:tc>
        <w:tc>
          <w:tcPr>
            <w:tcW w:w="1568" w:type="dxa"/>
            <w:tcBorders>
              <w:top w:val="nil"/>
              <w:left w:val="nil"/>
              <w:bottom w:val="double" w:sz="6" w:space="0" w:color="auto"/>
              <w:right w:val="nil"/>
            </w:tcBorders>
            <w:shd w:val="clear" w:color="auto" w:fill="auto"/>
            <w:noWrap/>
            <w:vAlign w:val="bottom"/>
            <w:hideMark/>
          </w:tcPr>
          <w:p w14:paraId="745CFD91" w14:textId="596AC22A" w:rsidR="006678CD" w:rsidRPr="00A00187" w:rsidRDefault="006678CD" w:rsidP="006678CD">
            <w:pPr>
              <w:spacing w:line="240" w:lineRule="auto"/>
              <w:jc w:val="center"/>
              <w:rPr>
                <w:rFonts w:eastAsia="Times New Roman"/>
                <w:b/>
                <w:bCs/>
                <w:szCs w:val="24"/>
                <w:lang w:eastAsia="cs-CZ"/>
              </w:rPr>
            </w:pPr>
            <w:r w:rsidRPr="00A00187">
              <w:rPr>
                <w:rFonts w:eastAsia="Times New Roman"/>
                <w:b/>
                <w:bCs/>
                <w:szCs w:val="24"/>
                <w:lang w:eastAsia="cs-CZ"/>
              </w:rPr>
              <w:t>66,87</w:t>
            </w:r>
          </w:p>
        </w:tc>
      </w:tr>
      <w:tr w:rsidR="00AC1E67" w:rsidRPr="00A00187" w14:paraId="264C7D87" w14:textId="77777777" w:rsidTr="006678CD">
        <w:trPr>
          <w:trHeight w:val="330"/>
        </w:trPr>
        <w:tc>
          <w:tcPr>
            <w:tcW w:w="2496" w:type="dxa"/>
            <w:tcBorders>
              <w:top w:val="nil"/>
              <w:left w:val="nil"/>
              <w:bottom w:val="nil"/>
              <w:right w:val="nil"/>
            </w:tcBorders>
            <w:shd w:val="clear" w:color="auto" w:fill="auto"/>
            <w:noWrap/>
            <w:vAlign w:val="bottom"/>
            <w:hideMark/>
          </w:tcPr>
          <w:p w14:paraId="61934A2E" w14:textId="77777777" w:rsidR="006678CD" w:rsidRPr="00A00187" w:rsidRDefault="006678CD" w:rsidP="006678CD">
            <w:pPr>
              <w:spacing w:line="240" w:lineRule="auto"/>
              <w:jc w:val="center"/>
              <w:rPr>
                <w:rFonts w:eastAsia="Times New Roman"/>
                <w:b/>
                <w:bCs/>
                <w:szCs w:val="24"/>
                <w:lang w:eastAsia="cs-CZ"/>
              </w:rPr>
            </w:pPr>
          </w:p>
        </w:tc>
        <w:tc>
          <w:tcPr>
            <w:tcW w:w="1122" w:type="dxa"/>
            <w:tcBorders>
              <w:top w:val="nil"/>
              <w:left w:val="nil"/>
              <w:bottom w:val="nil"/>
              <w:right w:val="nil"/>
            </w:tcBorders>
            <w:shd w:val="clear" w:color="auto" w:fill="auto"/>
            <w:noWrap/>
            <w:vAlign w:val="bottom"/>
            <w:hideMark/>
          </w:tcPr>
          <w:p w14:paraId="6A91BAD9" w14:textId="77777777" w:rsidR="006678CD" w:rsidRPr="00A00187" w:rsidRDefault="006678CD" w:rsidP="006678CD">
            <w:pPr>
              <w:spacing w:line="240" w:lineRule="auto"/>
              <w:jc w:val="left"/>
              <w:rPr>
                <w:rFonts w:ascii="Times New Roman" w:eastAsia="Times New Roman" w:hAnsi="Times New Roman"/>
                <w:sz w:val="20"/>
                <w:szCs w:val="20"/>
                <w:lang w:eastAsia="cs-CZ"/>
              </w:rPr>
            </w:pPr>
          </w:p>
        </w:tc>
        <w:tc>
          <w:tcPr>
            <w:tcW w:w="1614" w:type="dxa"/>
            <w:tcBorders>
              <w:top w:val="nil"/>
              <w:left w:val="nil"/>
              <w:bottom w:val="nil"/>
              <w:right w:val="nil"/>
            </w:tcBorders>
            <w:shd w:val="clear" w:color="auto" w:fill="auto"/>
            <w:noWrap/>
            <w:vAlign w:val="bottom"/>
            <w:hideMark/>
          </w:tcPr>
          <w:p w14:paraId="73BA0580" w14:textId="77777777" w:rsidR="006678CD" w:rsidRPr="00A00187" w:rsidRDefault="006678CD" w:rsidP="006678CD">
            <w:pPr>
              <w:spacing w:line="240" w:lineRule="auto"/>
              <w:jc w:val="left"/>
              <w:rPr>
                <w:rFonts w:ascii="Times New Roman" w:eastAsia="Times New Roman" w:hAnsi="Times New Roman"/>
                <w:sz w:val="20"/>
                <w:szCs w:val="20"/>
                <w:lang w:eastAsia="cs-CZ"/>
              </w:rPr>
            </w:pPr>
          </w:p>
        </w:tc>
        <w:tc>
          <w:tcPr>
            <w:tcW w:w="1568" w:type="dxa"/>
            <w:tcBorders>
              <w:top w:val="nil"/>
              <w:left w:val="nil"/>
              <w:bottom w:val="nil"/>
              <w:right w:val="nil"/>
            </w:tcBorders>
            <w:shd w:val="clear" w:color="auto" w:fill="auto"/>
            <w:noWrap/>
            <w:vAlign w:val="bottom"/>
            <w:hideMark/>
          </w:tcPr>
          <w:p w14:paraId="4271E434" w14:textId="77777777" w:rsidR="006678CD" w:rsidRPr="00A00187" w:rsidRDefault="006678CD" w:rsidP="006678CD">
            <w:pPr>
              <w:spacing w:line="240" w:lineRule="auto"/>
              <w:jc w:val="left"/>
              <w:rPr>
                <w:rFonts w:ascii="Times New Roman" w:eastAsia="Times New Roman" w:hAnsi="Times New Roman"/>
                <w:sz w:val="20"/>
                <w:szCs w:val="20"/>
                <w:lang w:eastAsia="cs-CZ"/>
              </w:rPr>
            </w:pPr>
          </w:p>
        </w:tc>
      </w:tr>
    </w:tbl>
    <w:p w14:paraId="4DFAA340" w14:textId="33109900" w:rsidR="006678CD" w:rsidRPr="00A00187" w:rsidRDefault="006678CD" w:rsidP="006678CD">
      <w:pPr>
        <w:pStyle w:val="OdstavecASR"/>
      </w:pPr>
      <w:r w:rsidRPr="00A00187">
        <w:t xml:space="preserve">Oproti roku 2020 klesl počet žen </w:t>
      </w:r>
      <w:r w:rsidR="00726EC3" w:rsidRPr="00A00187">
        <w:t>o</w:t>
      </w:r>
      <w:r w:rsidR="00726EC3">
        <w:t> </w:t>
      </w:r>
      <w:r w:rsidRPr="00A00187">
        <w:t xml:space="preserve">10 </w:t>
      </w:r>
      <w:r w:rsidR="00726EC3" w:rsidRPr="00A00187">
        <w:t>a</w:t>
      </w:r>
      <w:r w:rsidR="00726EC3">
        <w:t> </w:t>
      </w:r>
      <w:r w:rsidRPr="00A00187">
        <w:t xml:space="preserve">počet mužů zůstal zcela stejný. Z toho plyne, že </w:t>
      </w:r>
      <w:r w:rsidR="00726EC3" w:rsidRPr="00A00187">
        <w:t>i</w:t>
      </w:r>
      <w:r w:rsidR="00726EC3">
        <w:t> </w:t>
      </w:r>
      <w:r w:rsidRPr="00A00187">
        <w:t xml:space="preserve">podíl žen mezi soudci OS </w:t>
      </w:r>
      <w:r w:rsidR="008F5421" w:rsidRPr="00A00187">
        <w:t xml:space="preserve">se </w:t>
      </w:r>
      <w:r w:rsidRPr="00A00187">
        <w:t>oproti roku 2020 takřka nezměnil.</w:t>
      </w:r>
    </w:p>
    <w:p w14:paraId="2355BC8C" w14:textId="59FF214D" w:rsidR="006678CD" w:rsidRPr="00A00187" w:rsidRDefault="006678CD" w:rsidP="006678CD">
      <w:pPr>
        <w:pStyle w:val="OdstavecASR"/>
      </w:pPr>
      <w:r w:rsidRPr="00A00187">
        <w:t>V kontextu podílu žen mezi soudci dále můžeme sledovat jejich podíl mezi předsedy a místopředsedy soudů. Data jsou v tabulce níže.</w:t>
      </w:r>
      <w:r w:rsidR="006D79E9" w:rsidRPr="00A00187">
        <w:t xml:space="preserve"> Data jsou k 1.</w:t>
      </w:r>
      <w:r w:rsidR="00B72E56">
        <w:t> </w:t>
      </w:r>
      <w:r w:rsidR="006D79E9" w:rsidRPr="00A00187">
        <w:t>1.</w:t>
      </w:r>
      <w:r w:rsidR="00B72E56">
        <w:t> </w:t>
      </w:r>
      <w:r w:rsidR="006D79E9" w:rsidRPr="00A00187">
        <w:t>2021.</w:t>
      </w:r>
    </w:p>
    <w:p w14:paraId="6398822C" w14:textId="29609C07" w:rsidR="006678CD" w:rsidRPr="00A00187" w:rsidRDefault="00054887" w:rsidP="00054887">
      <w:pPr>
        <w:pStyle w:val="Podnadpis"/>
        <w:rPr>
          <w:color w:val="auto"/>
        </w:rPr>
      </w:pPr>
      <w:bookmarkStart w:id="68" w:name="_Toc11133205"/>
      <w:bookmarkStart w:id="69" w:name="_Toc43931176"/>
      <w:bookmarkStart w:id="70" w:name="_Toc75952306"/>
      <w:bookmarkStart w:id="71" w:name="_Toc106106765"/>
      <w:bookmarkStart w:id="72" w:name="_Toc109802088"/>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3</w:t>
      </w:r>
      <w:r w:rsidRPr="00A00187">
        <w:rPr>
          <w:noProof/>
          <w:color w:val="auto"/>
        </w:rPr>
        <w:fldChar w:fldCharType="end"/>
      </w:r>
      <w:r w:rsidRPr="00A00187">
        <w:rPr>
          <w:color w:val="auto"/>
        </w:rPr>
        <w:t xml:space="preserve">: OS – předsedové a místopředsedové </w:t>
      </w:r>
      <w:r w:rsidR="00975A8F" w:rsidRPr="00A00187">
        <w:rPr>
          <w:color w:val="auto"/>
        </w:rPr>
        <w:t xml:space="preserve">okresních </w:t>
      </w:r>
      <w:r w:rsidRPr="00A00187">
        <w:rPr>
          <w:color w:val="auto"/>
        </w:rPr>
        <w:t>soudů</w:t>
      </w:r>
      <w:bookmarkEnd w:id="68"/>
      <w:bookmarkEnd w:id="69"/>
      <w:bookmarkEnd w:id="70"/>
      <w:bookmarkEnd w:id="71"/>
      <w:bookmarkEnd w:id="72"/>
    </w:p>
    <w:tbl>
      <w:tblPr>
        <w:tblW w:w="8460" w:type="dxa"/>
        <w:tblCellMar>
          <w:left w:w="70" w:type="dxa"/>
          <w:right w:w="70" w:type="dxa"/>
        </w:tblCellMar>
        <w:tblLook w:val="04A0" w:firstRow="1" w:lastRow="0" w:firstColumn="1" w:lastColumn="0" w:noHBand="0" w:noVBand="1"/>
      </w:tblPr>
      <w:tblGrid>
        <w:gridCol w:w="2236"/>
        <w:gridCol w:w="846"/>
        <w:gridCol w:w="1250"/>
        <w:gridCol w:w="1016"/>
        <w:gridCol w:w="846"/>
        <w:gridCol w:w="1250"/>
        <w:gridCol w:w="1016"/>
      </w:tblGrid>
      <w:tr w:rsidR="00AC1E67" w:rsidRPr="00A00187" w14:paraId="5A08C7F5" w14:textId="77777777" w:rsidTr="00054887">
        <w:trPr>
          <w:trHeight w:val="330"/>
        </w:trPr>
        <w:tc>
          <w:tcPr>
            <w:tcW w:w="2236" w:type="dxa"/>
            <w:vMerge w:val="restart"/>
            <w:tcBorders>
              <w:top w:val="double" w:sz="6" w:space="0" w:color="auto"/>
              <w:left w:val="nil"/>
              <w:bottom w:val="double" w:sz="6" w:space="0" w:color="000000"/>
              <w:right w:val="nil"/>
            </w:tcBorders>
            <w:shd w:val="clear" w:color="auto" w:fill="auto"/>
            <w:noWrap/>
            <w:vAlign w:val="center"/>
            <w:hideMark/>
          </w:tcPr>
          <w:p w14:paraId="5D367D8A"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2096" w:type="dxa"/>
            <w:gridSpan w:val="2"/>
            <w:tcBorders>
              <w:top w:val="double" w:sz="6" w:space="0" w:color="auto"/>
              <w:left w:val="nil"/>
              <w:bottom w:val="nil"/>
              <w:right w:val="nil"/>
            </w:tcBorders>
            <w:shd w:val="clear" w:color="auto" w:fill="auto"/>
            <w:noWrap/>
            <w:vAlign w:val="center"/>
            <w:hideMark/>
          </w:tcPr>
          <w:p w14:paraId="0E7AFC84"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Předsedové</w:t>
            </w:r>
          </w:p>
        </w:tc>
        <w:tc>
          <w:tcPr>
            <w:tcW w:w="1016" w:type="dxa"/>
            <w:vMerge w:val="restart"/>
            <w:tcBorders>
              <w:top w:val="double" w:sz="6" w:space="0" w:color="auto"/>
              <w:left w:val="nil"/>
              <w:bottom w:val="double" w:sz="6" w:space="0" w:color="000000"/>
              <w:right w:val="nil"/>
            </w:tcBorders>
            <w:shd w:val="clear" w:color="auto" w:fill="auto"/>
            <w:vAlign w:val="center"/>
            <w:hideMark/>
          </w:tcPr>
          <w:p w14:paraId="1F35FE37" w14:textId="063ABE28"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 xml:space="preserve">Podíl žen </w:t>
            </w:r>
            <w:r w:rsidR="00726EC3" w:rsidRPr="00A00187">
              <w:rPr>
                <w:rFonts w:eastAsia="Times New Roman"/>
                <w:b/>
                <w:bCs/>
                <w:szCs w:val="24"/>
                <w:lang w:eastAsia="cs-CZ"/>
              </w:rPr>
              <w:t>v</w:t>
            </w:r>
            <w:r w:rsidR="00726EC3">
              <w:rPr>
                <w:rFonts w:eastAsia="Times New Roman"/>
                <w:b/>
                <w:bCs/>
                <w:szCs w:val="24"/>
                <w:lang w:eastAsia="cs-CZ"/>
              </w:rPr>
              <w:t> </w:t>
            </w:r>
            <w:r w:rsidRPr="00A00187">
              <w:rPr>
                <w:rFonts w:eastAsia="Times New Roman"/>
                <w:b/>
                <w:bCs/>
                <w:szCs w:val="24"/>
                <w:lang w:eastAsia="cs-CZ"/>
              </w:rPr>
              <w:t>%</w:t>
            </w:r>
          </w:p>
        </w:tc>
        <w:tc>
          <w:tcPr>
            <w:tcW w:w="2096" w:type="dxa"/>
            <w:gridSpan w:val="2"/>
            <w:tcBorders>
              <w:top w:val="double" w:sz="6" w:space="0" w:color="auto"/>
              <w:left w:val="nil"/>
              <w:bottom w:val="nil"/>
              <w:right w:val="nil"/>
            </w:tcBorders>
            <w:shd w:val="clear" w:color="auto" w:fill="auto"/>
            <w:noWrap/>
            <w:vAlign w:val="center"/>
            <w:hideMark/>
          </w:tcPr>
          <w:p w14:paraId="75664889"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Místopředsedové</w:t>
            </w:r>
          </w:p>
        </w:tc>
        <w:tc>
          <w:tcPr>
            <w:tcW w:w="1016" w:type="dxa"/>
            <w:vMerge w:val="restart"/>
            <w:tcBorders>
              <w:top w:val="double" w:sz="6" w:space="0" w:color="auto"/>
              <w:left w:val="nil"/>
              <w:bottom w:val="double" w:sz="6" w:space="0" w:color="000000"/>
              <w:right w:val="nil"/>
            </w:tcBorders>
            <w:shd w:val="clear" w:color="auto" w:fill="auto"/>
            <w:vAlign w:val="center"/>
            <w:hideMark/>
          </w:tcPr>
          <w:p w14:paraId="6FF9B7B0" w14:textId="46F2C87E"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 xml:space="preserve">Podíl žen </w:t>
            </w:r>
            <w:r w:rsidR="00726EC3" w:rsidRPr="00A00187">
              <w:rPr>
                <w:rFonts w:eastAsia="Times New Roman"/>
                <w:b/>
                <w:bCs/>
                <w:szCs w:val="24"/>
                <w:lang w:eastAsia="cs-CZ"/>
              </w:rPr>
              <w:t>v</w:t>
            </w:r>
            <w:r w:rsidR="00726EC3">
              <w:rPr>
                <w:rFonts w:eastAsia="Times New Roman"/>
                <w:b/>
                <w:bCs/>
                <w:szCs w:val="24"/>
                <w:lang w:eastAsia="cs-CZ"/>
              </w:rPr>
              <w:t> </w:t>
            </w:r>
            <w:r w:rsidRPr="00A00187">
              <w:rPr>
                <w:rFonts w:eastAsia="Times New Roman"/>
                <w:b/>
                <w:bCs/>
                <w:szCs w:val="24"/>
                <w:lang w:eastAsia="cs-CZ"/>
              </w:rPr>
              <w:t>%</w:t>
            </w:r>
          </w:p>
        </w:tc>
      </w:tr>
      <w:tr w:rsidR="00AC1E67" w:rsidRPr="00A00187" w14:paraId="0A1DFE52" w14:textId="77777777" w:rsidTr="00054887">
        <w:trPr>
          <w:trHeight w:val="330"/>
        </w:trPr>
        <w:tc>
          <w:tcPr>
            <w:tcW w:w="2236" w:type="dxa"/>
            <w:vMerge/>
            <w:tcBorders>
              <w:top w:val="double" w:sz="6" w:space="0" w:color="auto"/>
              <w:left w:val="nil"/>
              <w:bottom w:val="double" w:sz="6" w:space="0" w:color="000000"/>
              <w:right w:val="nil"/>
            </w:tcBorders>
            <w:vAlign w:val="center"/>
            <w:hideMark/>
          </w:tcPr>
          <w:p w14:paraId="1DEBE6EF" w14:textId="77777777" w:rsidR="00054887" w:rsidRPr="00A00187" w:rsidRDefault="00054887" w:rsidP="00054887">
            <w:pPr>
              <w:spacing w:line="240" w:lineRule="auto"/>
              <w:jc w:val="left"/>
              <w:rPr>
                <w:rFonts w:eastAsia="Times New Roman"/>
                <w:b/>
                <w:bCs/>
                <w:szCs w:val="24"/>
                <w:lang w:eastAsia="cs-CZ"/>
              </w:rPr>
            </w:pPr>
          </w:p>
        </w:tc>
        <w:tc>
          <w:tcPr>
            <w:tcW w:w="846" w:type="dxa"/>
            <w:tcBorders>
              <w:top w:val="nil"/>
              <w:left w:val="nil"/>
              <w:bottom w:val="double" w:sz="6" w:space="0" w:color="auto"/>
              <w:right w:val="nil"/>
            </w:tcBorders>
            <w:shd w:val="clear" w:color="auto" w:fill="auto"/>
            <w:noWrap/>
            <w:vAlign w:val="center"/>
            <w:hideMark/>
          </w:tcPr>
          <w:p w14:paraId="7E072BFF"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Žen</w:t>
            </w:r>
          </w:p>
        </w:tc>
        <w:tc>
          <w:tcPr>
            <w:tcW w:w="1250" w:type="dxa"/>
            <w:tcBorders>
              <w:top w:val="nil"/>
              <w:left w:val="nil"/>
              <w:bottom w:val="double" w:sz="6" w:space="0" w:color="auto"/>
              <w:right w:val="nil"/>
            </w:tcBorders>
            <w:shd w:val="clear" w:color="auto" w:fill="auto"/>
            <w:noWrap/>
            <w:vAlign w:val="center"/>
            <w:hideMark/>
          </w:tcPr>
          <w:p w14:paraId="742FD948"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Mužů</w:t>
            </w:r>
          </w:p>
        </w:tc>
        <w:tc>
          <w:tcPr>
            <w:tcW w:w="1016" w:type="dxa"/>
            <w:vMerge/>
            <w:tcBorders>
              <w:top w:val="double" w:sz="6" w:space="0" w:color="auto"/>
              <w:left w:val="nil"/>
              <w:bottom w:val="double" w:sz="6" w:space="0" w:color="000000"/>
              <w:right w:val="nil"/>
            </w:tcBorders>
            <w:vAlign w:val="center"/>
            <w:hideMark/>
          </w:tcPr>
          <w:p w14:paraId="6AAFA4E7" w14:textId="77777777" w:rsidR="00054887" w:rsidRPr="00A00187" w:rsidRDefault="00054887" w:rsidP="00054887">
            <w:pPr>
              <w:spacing w:line="240" w:lineRule="auto"/>
              <w:jc w:val="left"/>
              <w:rPr>
                <w:rFonts w:eastAsia="Times New Roman"/>
                <w:b/>
                <w:bCs/>
                <w:szCs w:val="24"/>
                <w:lang w:eastAsia="cs-CZ"/>
              </w:rPr>
            </w:pPr>
          </w:p>
        </w:tc>
        <w:tc>
          <w:tcPr>
            <w:tcW w:w="846" w:type="dxa"/>
            <w:tcBorders>
              <w:top w:val="nil"/>
              <w:left w:val="nil"/>
              <w:bottom w:val="double" w:sz="6" w:space="0" w:color="auto"/>
              <w:right w:val="nil"/>
            </w:tcBorders>
            <w:shd w:val="clear" w:color="auto" w:fill="auto"/>
            <w:noWrap/>
            <w:vAlign w:val="center"/>
            <w:hideMark/>
          </w:tcPr>
          <w:p w14:paraId="6F561499"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Žen</w:t>
            </w:r>
          </w:p>
        </w:tc>
        <w:tc>
          <w:tcPr>
            <w:tcW w:w="1250" w:type="dxa"/>
            <w:tcBorders>
              <w:top w:val="nil"/>
              <w:left w:val="nil"/>
              <w:bottom w:val="double" w:sz="6" w:space="0" w:color="auto"/>
              <w:right w:val="nil"/>
            </w:tcBorders>
            <w:shd w:val="clear" w:color="auto" w:fill="auto"/>
            <w:noWrap/>
            <w:vAlign w:val="center"/>
            <w:hideMark/>
          </w:tcPr>
          <w:p w14:paraId="546113E3"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Mužů</w:t>
            </w:r>
          </w:p>
        </w:tc>
        <w:tc>
          <w:tcPr>
            <w:tcW w:w="1016" w:type="dxa"/>
            <w:vMerge/>
            <w:tcBorders>
              <w:top w:val="double" w:sz="6" w:space="0" w:color="auto"/>
              <w:left w:val="nil"/>
              <w:bottom w:val="double" w:sz="6" w:space="0" w:color="000000"/>
              <w:right w:val="nil"/>
            </w:tcBorders>
            <w:vAlign w:val="center"/>
            <w:hideMark/>
          </w:tcPr>
          <w:p w14:paraId="2B44D14B" w14:textId="77777777" w:rsidR="00054887" w:rsidRPr="00A00187" w:rsidRDefault="00054887" w:rsidP="00054887">
            <w:pPr>
              <w:spacing w:line="240" w:lineRule="auto"/>
              <w:jc w:val="left"/>
              <w:rPr>
                <w:rFonts w:eastAsia="Times New Roman"/>
                <w:b/>
                <w:bCs/>
                <w:szCs w:val="24"/>
                <w:lang w:eastAsia="cs-CZ"/>
              </w:rPr>
            </w:pPr>
          </w:p>
        </w:tc>
      </w:tr>
      <w:tr w:rsidR="00AC1E67" w:rsidRPr="00A00187" w14:paraId="6012C7D3" w14:textId="77777777" w:rsidTr="00054887">
        <w:trPr>
          <w:trHeight w:val="330"/>
        </w:trPr>
        <w:tc>
          <w:tcPr>
            <w:tcW w:w="2236" w:type="dxa"/>
            <w:tcBorders>
              <w:top w:val="single" w:sz="4" w:space="0" w:color="auto"/>
              <w:left w:val="nil"/>
              <w:bottom w:val="single" w:sz="4" w:space="0" w:color="auto"/>
              <w:right w:val="nil"/>
            </w:tcBorders>
            <w:shd w:val="clear" w:color="auto" w:fill="auto"/>
            <w:noWrap/>
            <w:vAlign w:val="bottom"/>
            <w:hideMark/>
          </w:tcPr>
          <w:p w14:paraId="3BB23B9F"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MS Praha</w:t>
            </w:r>
          </w:p>
        </w:tc>
        <w:tc>
          <w:tcPr>
            <w:tcW w:w="846" w:type="dxa"/>
            <w:tcBorders>
              <w:top w:val="single" w:sz="4" w:space="0" w:color="auto"/>
              <w:left w:val="nil"/>
              <w:bottom w:val="single" w:sz="4" w:space="0" w:color="auto"/>
              <w:right w:val="nil"/>
            </w:tcBorders>
            <w:shd w:val="clear" w:color="auto" w:fill="auto"/>
            <w:noWrap/>
            <w:vAlign w:val="bottom"/>
            <w:hideMark/>
          </w:tcPr>
          <w:p w14:paraId="3FA62691"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250" w:type="dxa"/>
            <w:tcBorders>
              <w:top w:val="single" w:sz="4" w:space="0" w:color="auto"/>
              <w:left w:val="nil"/>
              <w:bottom w:val="single" w:sz="4" w:space="0" w:color="auto"/>
              <w:right w:val="nil"/>
            </w:tcBorders>
            <w:shd w:val="clear" w:color="auto" w:fill="auto"/>
            <w:noWrap/>
            <w:vAlign w:val="bottom"/>
            <w:hideMark/>
          </w:tcPr>
          <w:p w14:paraId="6422606A"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w:t>
            </w:r>
          </w:p>
        </w:tc>
        <w:tc>
          <w:tcPr>
            <w:tcW w:w="1016" w:type="dxa"/>
            <w:tcBorders>
              <w:top w:val="single" w:sz="4" w:space="0" w:color="auto"/>
              <w:left w:val="nil"/>
              <w:bottom w:val="single" w:sz="4" w:space="0" w:color="auto"/>
              <w:right w:val="nil"/>
            </w:tcBorders>
            <w:shd w:val="clear" w:color="auto" w:fill="auto"/>
            <w:noWrap/>
            <w:vAlign w:val="bottom"/>
            <w:hideMark/>
          </w:tcPr>
          <w:p w14:paraId="15D9B740" w14:textId="09C94E9B"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40,00</w:t>
            </w:r>
          </w:p>
        </w:tc>
        <w:tc>
          <w:tcPr>
            <w:tcW w:w="846" w:type="dxa"/>
            <w:tcBorders>
              <w:top w:val="single" w:sz="4" w:space="0" w:color="auto"/>
              <w:left w:val="nil"/>
              <w:bottom w:val="single" w:sz="4" w:space="0" w:color="auto"/>
              <w:right w:val="nil"/>
            </w:tcBorders>
            <w:shd w:val="clear" w:color="auto" w:fill="auto"/>
            <w:noWrap/>
            <w:vAlign w:val="bottom"/>
            <w:hideMark/>
          </w:tcPr>
          <w:p w14:paraId="5C57C593"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19</w:t>
            </w:r>
          </w:p>
        </w:tc>
        <w:tc>
          <w:tcPr>
            <w:tcW w:w="1250" w:type="dxa"/>
            <w:tcBorders>
              <w:top w:val="single" w:sz="4" w:space="0" w:color="auto"/>
              <w:left w:val="nil"/>
              <w:bottom w:val="single" w:sz="4" w:space="0" w:color="auto"/>
              <w:right w:val="nil"/>
            </w:tcBorders>
            <w:shd w:val="clear" w:color="auto" w:fill="auto"/>
            <w:noWrap/>
            <w:vAlign w:val="bottom"/>
            <w:hideMark/>
          </w:tcPr>
          <w:p w14:paraId="2E438281"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016" w:type="dxa"/>
            <w:tcBorders>
              <w:top w:val="single" w:sz="4" w:space="0" w:color="auto"/>
              <w:left w:val="nil"/>
              <w:bottom w:val="single" w:sz="4" w:space="0" w:color="auto"/>
              <w:right w:val="nil"/>
            </w:tcBorders>
            <w:shd w:val="clear" w:color="auto" w:fill="auto"/>
            <w:noWrap/>
            <w:vAlign w:val="bottom"/>
            <w:hideMark/>
          </w:tcPr>
          <w:p w14:paraId="6EF24A21" w14:textId="4DE77239"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82,61</w:t>
            </w:r>
          </w:p>
        </w:tc>
      </w:tr>
      <w:tr w:rsidR="00AC1E67" w:rsidRPr="00A00187" w14:paraId="5333CC72" w14:textId="77777777" w:rsidTr="00054887">
        <w:trPr>
          <w:trHeight w:val="315"/>
        </w:trPr>
        <w:tc>
          <w:tcPr>
            <w:tcW w:w="2236" w:type="dxa"/>
            <w:tcBorders>
              <w:top w:val="nil"/>
              <w:left w:val="nil"/>
              <w:bottom w:val="single" w:sz="4" w:space="0" w:color="auto"/>
              <w:right w:val="nil"/>
            </w:tcBorders>
            <w:shd w:val="clear" w:color="auto" w:fill="auto"/>
            <w:noWrap/>
            <w:vAlign w:val="bottom"/>
            <w:hideMark/>
          </w:tcPr>
          <w:p w14:paraId="4B88E2F6"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KS Praha</w:t>
            </w:r>
          </w:p>
        </w:tc>
        <w:tc>
          <w:tcPr>
            <w:tcW w:w="846" w:type="dxa"/>
            <w:tcBorders>
              <w:top w:val="nil"/>
              <w:left w:val="nil"/>
              <w:bottom w:val="single" w:sz="4" w:space="0" w:color="auto"/>
              <w:right w:val="nil"/>
            </w:tcBorders>
            <w:shd w:val="clear" w:color="auto" w:fill="auto"/>
            <w:noWrap/>
            <w:vAlign w:val="bottom"/>
            <w:hideMark/>
          </w:tcPr>
          <w:p w14:paraId="5D77D420"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8</w:t>
            </w:r>
          </w:p>
        </w:tc>
        <w:tc>
          <w:tcPr>
            <w:tcW w:w="1250" w:type="dxa"/>
            <w:tcBorders>
              <w:top w:val="nil"/>
              <w:left w:val="nil"/>
              <w:bottom w:val="single" w:sz="4" w:space="0" w:color="auto"/>
              <w:right w:val="nil"/>
            </w:tcBorders>
            <w:shd w:val="clear" w:color="auto" w:fill="auto"/>
            <w:noWrap/>
            <w:vAlign w:val="bottom"/>
            <w:hideMark/>
          </w:tcPr>
          <w:p w14:paraId="5911CAE1"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016" w:type="dxa"/>
            <w:tcBorders>
              <w:top w:val="nil"/>
              <w:left w:val="nil"/>
              <w:bottom w:val="single" w:sz="4" w:space="0" w:color="auto"/>
              <w:right w:val="nil"/>
            </w:tcBorders>
            <w:shd w:val="clear" w:color="auto" w:fill="auto"/>
            <w:noWrap/>
            <w:vAlign w:val="bottom"/>
            <w:hideMark/>
          </w:tcPr>
          <w:p w14:paraId="1AA1123A" w14:textId="37879830"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66,67</w:t>
            </w:r>
          </w:p>
        </w:tc>
        <w:tc>
          <w:tcPr>
            <w:tcW w:w="846" w:type="dxa"/>
            <w:tcBorders>
              <w:top w:val="nil"/>
              <w:left w:val="nil"/>
              <w:bottom w:val="single" w:sz="4" w:space="0" w:color="auto"/>
              <w:right w:val="nil"/>
            </w:tcBorders>
            <w:shd w:val="clear" w:color="auto" w:fill="auto"/>
            <w:noWrap/>
            <w:vAlign w:val="bottom"/>
            <w:hideMark/>
          </w:tcPr>
          <w:p w14:paraId="3044F18B"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8</w:t>
            </w:r>
          </w:p>
        </w:tc>
        <w:tc>
          <w:tcPr>
            <w:tcW w:w="1250" w:type="dxa"/>
            <w:tcBorders>
              <w:top w:val="nil"/>
              <w:left w:val="nil"/>
              <w:bottom w:val="single" w:sz="4" w:space="0" w:color="auto"/>
              <w:right w:val="nil"/>
            </w:tcBorders>
            <w:shd w:val="clear" w:color="auto" w:fill="auto"/>
            <w:noWrap/>
            <w:vAlign w:val="bottom"/>
            <w:hideMark/>
          </w:tcPr>
          <w:p w14:paraId="5FF33D5B"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w:t>
            </w:r>
          </w:p>
        </w:tc>
        <w:tc>
          <w:tcPr>
            <w:tcW w:w="1016" w:type="dxa"/>
            <w:tcBorders>
              <w:top w:val="nil"/>
              <w:left w:val="nil"/>
              <w:bottom w:val="single" w:sz="4" w:space="0" w:color="auto"/>
              <w:right w:val="nil"/>
            </w:tcBorders>
            <w:shd w:val="clear" w:color="auto" w:fill="auto"/>
            <w:noWrap/>
            <w:vAlign w:val="bottom"/>
            <w:hideMark/>
          </w:tcPr>
          <w:p w14:paraId="1185C06D" w14:textId="0434B48F"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57,14</w:t>
            </w:r>
          </w:p>
        </w:tc>
      </w:tr>
      <w:tr w:rsidR="00AC1E67" w:rsidRPr="00A00187" w14:paraId="71ECE26C" w14:textId="77777777" w:rsidTr="00054887">
        <w:trPr>
          <w:trHeight w:val="315"/>
        </w:trPr>
        <w:tc>
          <w:tcPr>
            <w:tcW w:w="2236" w:type="dxa"/>
            <w:tcBorders>
              <w:top w:val="nil"/>
              <w:left w:val="nil"/>
              <w:bottom w:val="single" w:sz="4" w:space="0" w:color="auto"/>
              <w:right w:val="nil"/>
            </w:tcBorders>
            <w:shd w:val="clear" w:color="auto" w:fill="auto"/>
            <w:noWrap/>
            <w:vAlign w:val="bottom"/>
            <w:hideMark/>
          </w:tcPr>
          <w:p w14:paraId="053709C2"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KS Č. Budějovice</w:t>
            </w:r>
          </w:p>
        </w:tc>
        <w:tc>
          <w:tcPr>
            <w:tcW w:w="846" w:type="dxa"/>
            <w:tcBorders>
              <w:top w:val="nil"/>
              <w:left w:val="nil"/>
              <w:bottom w:val="single" w:sz="4" w:space="0" w:color="auto"/>
              <w:right w:val="nil"/>
            </w:tcBorders>
            <w:shd w:val="clear" w:color="auto" w:fill="auto"/>
            <w:noWrap/>
            <w:vAlign w:val="bottom"/>
            <w:hideMark/>
          </w:tcPr>
          <w:p w14:paraId="2B7E10E0"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250" w:type="dxa"/>
            <w:tcBorders>
              <w:top w:val="nil"/>
              <w:left w:val="nil"/>
              <w:bottom w:val="single" w:sz="4" w:space="0" w:color="auto"/>
              <w:right w:val="nil"/>
            </w:tcBorders>
            <w:shd w:val="clear" w:color="auto" w:fill="auto"/>
            <w:noWrap/>
            <w:vAlign w:val="bottom"/>
            <w:hideMark/>
          </w:tcPr>
          <w:p w14:paraId="1E5A1A19"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016" w:type="dxa"/>
            <w:tcBorders>
              <w:top w:val="nil"/>
              <w:left w:val="nil"/>
              <w:bottom w:val="single" w:sz="4" w:space="0" w:color="auto"/>
              <w:right w:val="nil"/>
            </w:tcBorders>
            <w:shd w:val="clear" w:color="auto" w:fill="auto"/>
            <w:noWrap/>
            <w:vAlign w:val="bottom"/>
            <w:hideMark/>
          </w:tcPr>
          <w:p w14:paraId="01A7F7D2" w14:textId="0B57E522"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50,00</w:t>
            </w:r>
          </w:p>
        </w:tc>
        <w:tc>
          <w:tcPr>
            <w:tcW w:w="846" w:type="dxa"/>
            <w:tcBorders>
              <w:top w:val="nil"/>
              <w:left w:val="nil"/>
              <w:bottom w:val="single" w:sz="4" w:space="0" w:color="auto"/>
              <w:right w:val="nil"/>
            </w:tcBorders>
            <w:shd w:val="clear" w:color="auto" w:fill="auto"/>
            <w:noWrap/>
            <w:vAlign w:val="bottom"/>
            <w:hideMark/>
          </w:tcPr>
          <w:p w14:paraId="23DAD263"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3</w:t>
            </w:r>
          </w:p>
        </w:tc>
        <w:tc>
          <w:tcPr>
            <w:tcW w:w="1250" w:type="dxa"/>
            <w:tcBorders>
              <w:top w:val="nil"/>
              <w:left w:val="nil"/>
              <w:bottom w:val="single" w:sz="4" w:space="0" w:color="auto"/>
              <w:right w:val="nil"/>
            </w:tcBorders>
            <w:shd w:val="clear" w:color="auto" w:fill="auto"/>
            <w:noWrap/>
            <w:vAlign w:val="bottom"/>
            <w:hideMark/>
          </w:tcPr>
          <w:p w14:paraId="1CC5E20E"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3</w:t>
            </w:r>
          </w:p>
        </w:tc>
        <w:tc>
          <w:tcPr>
            <w:tcW w:w="1016" w:type="dxa"/>
            <w:tcBorders>
              <w:top w:val="nil"/>
              <w:left w:val="nil"/>
              <w:bottom w:val="single" w:sz="4" w:space="0" w:color="auto"/>
              <w:right w:val="nil"/>
            </w:tcBorders>
            <w:shd w:val="clear" w:color="auto" w:fill="auto"/>
            <w:noWrap/>
            <w:vAlign w:val="bottom"/>
            <w:hideMark/>
          </w:tcPr>
          <w:p w14:paraId="6E7DFA01" w14:textId="3C631C7B"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50,00</w:t>
            </w:r>
          </w:p>
        </w:tc>
      </w:tr>
      <w:tr w:rsidR="00AC1E67" w:rsidRPr="00A00187" w14:paraId="1D2498C2" w14:textId="77777777" w:rsidTr="00054887">
        <w:trPr>
          <w:trHeight w:val="315"/>
        </w:trPr>
        <w:tc>
          <w:tcPr>
            <w:tcW w:w="2236" w:type="dxa"/>
            <w:tcBorders>
              <w:top w:val="nil"/>
              <w:left w:val="nil"/>
              <w:bottom w:val="single" w:sz="4" w:space="0" w:color="auto"/>
              <w:right w:val="nil"/>
            </w:tcBorders>
            <w:shd w:val="clear" w:color="auto" w:fill="auto"/>
            <w:noWrap/>
            <w:vAlign w:val="bottom"/>
            <w:hideMark/>
          </w:tcPr>
          <w:p w14:paraId="27B73A9A"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KS Plzeň</w:t>
            </w:r>
          </w:p>
        </w:tc>
        <w:tc>
          <w:tcPr>
            <w:tcW w:w="846" w:type="dxa"/>
            <w:tcBorders>
              <w:top w:val="nil"/>
              <w:left w:val="nil"/>
              <w:bottom w:val="single" w:sz="4" w:space="0" w:color="auto"/>
              <w:right w:val="nil"/>
            </w:tcBorders>
            <w:shd w:val="clear" w:color="auto" w:fill="auto"/>
            <w:noWrap/>
            <w:vAlign w:val="bottom"/>
            <w:hideMark/>
          </w:tcPr>
          <w:p w14:paraId="3B4FF90B"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250" w:type="dxa"/>
            <w:tcBorders>
              <w:top w:val="nil"/>
              <w:left w:val="nil"/>
              <w:bottom w:val="single" w:sz="4" w:space="0" w:color="auto"/>
              <w:right w:val="nil"/>
            </w:tcBorders>
            <w:shd w:val="clear" w:color="auto" w:fill="auto"/>
            <w:noWrap/>
            <w:vAlign w:val="bottom"/>
            <w:hideMark/>
          </w:tcPr>
          <w:p w14:paraId="0611DF56"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w:t>
            </w:r>
          </w:p>
        </w:tc>
        <w:tc>
          <w:tcPr>
            <w:tcW w:w="1016" w:type="dxa"/>
            <w:tcBorders>
              <w:top w:val="nil"/>
              <w:left w:val="nil"/>
              <w:bottom w:val="single" w:sz="4" w:space="0" w:color="auto"/>
              <w:right w:val="nil"/>
            </w:tcBorders>
            <w:shd w:val="clear" w:color="auto" w:fill="auto"/>
            <w:noWrap/>
            <w:vAlign w:val="bottom"/>
            <w:hideMark/>
          </w:tcPr>
          <w:p w14:paraId="76B18C87" w14:textId="12B3D57A"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44,44</w:t>
            </w:r>
          </w:p>
        </w:tc>
        <w:tc>
          <w:tcPr>
            <w:tcW w:w="846" w:type="dxa"/>
            <w:tcBorders>
              <w:top w:val="nil"/>
              <w:left w:val="nil"/>
              <w:bottom w:val="single" w:sz="4" w:space="0" w:color="auto"/>
              <w:right w:val="nil"/>
            </w:tcBorders>
            <w:shd w:val="clear" w:color="auto" w:fill="auto"/>
            <w:noWrap/>
            <w:vAlign w:val="bottom"/>
            <w:hideMark/>
          </w:tcPr>
          <w:p w14:paraId="14691048"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7</w:t>
            </w:r>
          </w:p>
        </w:tc>
        <w:tc>
          <w:tcPr>
            <w:tcW w:w="1250" w:type="dxa"/>
            <w:tcBorders>
              <w:top w:val="nil"/>
              <w:left w:val="nil"/>
              <w:bottom w:val="single" w:sz="4" w:space="0" w:color="auto"/>
              <w:right w:val="nil"/>
            </w:tcBorders>
            <w:shd w:val="clear" w:color="auto" w:fill="auto"/>
            <w:noWrap/>
            <w:vAlign w:val="bottom"/>
            <w:hideMark/>
          </w:tcPr>
          <w:p w14:paraId="1DA249BD"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7</w:t>
            </w:r>
          </w:p>
        </w:tc>
        <w:tc>
          <w:tcPr>
            <w:tcW w:w="1016" w:type="dxa"/>
            <w:tcBorders>
              <w:top w:val="nil"/>
              <w:left w:val="nil"/>
              <w:bottom w:val="single" w:sz="4" w:space="0" w:color="auto"/>
              <w:right w:val="nil"/>
            </w:tcBorders>
            <w:shd w:val="clear" w:color="auto" w:fill="auto"/>
            <w:noWrap/>
            <w:vAlign w:val="bottom"/>
            <w:hideMark/>
          </w:tcPr>
          <w:p w14:paraId="75F3983F" w14:textId="6E6F40C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50,00</w:t>
            </w:r>
          </w:p>
        </w:tc>
      </w:tr>
      <w:tr w:rsidR="00AC1E67" w:rsidRPr="00A00187" w14:paraId="55585841" w14:textId="77777777" w:rsidTr="00054887">
        <w:trPr>
          <w:trHeight w:val="315"/>
        </w:trPr>
        <w:tc>
          <w:tcPr>
            <w:tcW w:w="2236" w:type="dxa"/>
            <w:tcBorders>
              <w:top w:val="nil"/>
              <w:left w:val="nil"/>
              <w:bottom w:val="single" w:sz="4" w:space="0" w:color="auto"/>
              <w:right w:val="nil"/>
            </w:tcBorders>
            <w:shd w:val="clear" w:color="auto" w:fill="auto"/>
            <w:noWrap/>
            <w:vAlign w:val="bottom"/>
            <w:hideMark/>
          </w:tcPr>
          <w:p w14:paraId="2005054C"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KS Ústí n. Labem</w:t>
            </w:r>
          </w:p>
        </w:tc>
        <w:tc>
          <w:tcPr>
            <w:tcW w:w="846" w:type="dxa"/>
            <w:tcBorders>
              <w:top w:val="nil"/>
              <w:left w:val="nil"/>
              <w:bottom w:val="single" w:sz="4" w:space="0" w:color="auto"/>
              <w:right w:val="nil"/>
            </w:tcBorders>
            <w:shd w:val="clear" w:color="auto" w:fill="auto"/>
            <w:noWrap/>
            <w:vAlign w:val="bottom"/>
            <w:hideMark/>
          </w:tcPr>
          <w:p w14:paraId="7BA8FEA3"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w:t>
            </w:r>
          </w:p>
        </w:tc>
        <w:tc>
          <w:tcPr>
            <w:tcW w:w="1250" w:type="dxa"/>
            <w:tcBorders>
              <w:top w:val="nil"/>
              <w:left w:val="nil"/>
              <w:bottom w:val="single" w:sz="4" w:space="0" w:color="auto"/>
              <w:right w:val="nil"/>
            </w:tcBorders>
            <w:shd w:val="clear" w:color="auto" w:fill="auto"/>
            <w:noWrap/>
            <w:vAlign w:val="bottom"/>
            <w:hideMark/>
          </w:tcPr>
          <w:p w14:paraId="1D3D9EBD"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016" w:type="dxa"/>
            <w:tcBorders>
              <w:top w:val="nil"/>
              <w:left w:val="nil"/>
              <w:bottom w:val="single" w:sz="4" w:space="0" w:color="auto"/>
              <w:right w:val="nil"/>
            </w:tcBorders>
            <w:shd w:val="clear" w:color="auto" w:fill="auto"/>
            <w:noWrap/>
            <w:vAlign w:val="bottom"/>
            <w:hideMark/>
          </w:tcPr>
          <w:p w14:paraId="5FFF854F" w14:textId="69BBC32E"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60,00</w:t>
            </w:r>
          </w:p>
        </w:tc>
        <w:tc>
          <w:tcPr>
            <w:tcW w:w="846" w:type="dxa"/>
            <w:tcBorders>
              <w:top w:val="nil"/>
              <w:left w:val="nil"/>
              <w:bottom w:val="single" w:sz="4" w:space="0" w:color="auto"/>
              <w:right w:val="nil"/>
            </w:tcBorders>
            <w:shd w:val="clear" w:color="auto" w:fill="auto"/>
            <w:noWrap/>
            <w:vAlign w:val="bottom"/>
            <w:hideMark/>
          </w:tcPr>
          <w:p w14:paraId="68AA20EE"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9</w:t>
            </w:r>
          </w:p>
        </w:tc>
        <w:tc>
          <w:tcPr>
            <w:tcW w:w="1250" w:type="dxa"/>
            <w:tcBorders>
              <w:top w:val="nil"/>
              <w:left w:val="nil"/>
              <w:bottom w:val="single" w:sz="4" w:space="0" w:color="auto"/>
              <w:right w:val="nil"/>
            </w:tcBorders>
            <w:shd w:val="clear" w:color="auto" w:fill="auto"/>
            <w:noWrap/>
            <w:vAlign w:val="bottom"/>
            <w:hideMark/>
          </w:tcPr>
          <w:p w14:paraId="61BE469E"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w:t>
            </w:r>
          </w:p>
        </w:tc>
        <w:tc>
          <w:tcPr>
            <w:tcW w:w="1016" w:type="dxa"/>
            <w:tcBorders>
              <w:top w:val="nil"/>
              <w:left w:val="nil"/>
              <w:bottom w:val="single" w:sz="4" w:space="0" w:color="auto"/>
              <w:right w:val="nil"/>
            </w:tcBorders>
            <w:shd w:val="clear" w:color="auto" w:fill="auto"/>
            <w:noWrap/>
            <w:vAlign w:val="bottom"/>
            <w:hideMark/>
          </w:tcPr>
          <w:p w14:paraId="5BA7F469" w14:textId="00D968E8"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60,00</w:t>
            </w:r>
          </w:p>
        </w:tc>
      </w:tr>
      <w:tr w:rsidR="00AC1E67" w:rsidRPr="00A00187" w14:paraId="2AAA823C" w14:textId="77777777" w:rsidTr="00054887">
        <w:trPr>
          <w:trHeight w:val="315"/>
        </w:trPr>
        <w:tc>
          <w:tcPr>
            <w:tcW w:w="2236" w:type="dxa"/>
            <w:tcBorders>
              <w:top w:val="nil"/>
              <w:left w:val="nil"/>
              <w:bottom w:val="single" w:sz="4" w:space="0" w:color="auto"/>
              <w:right w:val="nil"/>
            </w:tcBorders>
            <w:shd w:val="clear" w:color="auto" w:fill="auto"/>
            <w:noWrap/>
            <w:vAlign w:val="bottom"/>
            <w:hideMark/>
          </w:tcPr>
          <w:p w14:paraId="393E95F9"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KS Hr. Králové</w:t>
            </w:r>
          </w:p>
        </w:tc>
        <w:tc>
          <w:tcPr>
            <w:tcW w:w="846" w:type="dxa"/>
            <w:tcBorders>
              <w:top w:val="nil"/>
              <w:left w:val="nil"/>
              <w:bottom w:val="single" w:sz="4" w:space="0" w:color="auto"/>
              <w:right w:val="nil"/>
            </w:tcBorders>
            <w:shd w:val="clear" w:color="auto" w:fill="auto"/>
            <w:noWrap/>
            <w:vAlign w:val="bottom"/>
            <w:hideMark/>
          </w:tcPr>
          <w:p w14:paraId="310C3B90"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w:t>
            </w:r>
          </w:p>
        </w:tc>
        <w:tc>
          <w:tcPr>
            <w:tcW w:w="1250" w:type="dxa"/>
            <w:tcBorders>
              <w:top w:val="nil"/>
              <w:left w:val="nil"/>
              <w:bottom w:val="single" w:sz="4" w:space="0" w:color="auto"/>
              <w:right w:val="nil"/>
            </w:tcBorders>
            <w:shd w:val="clear" w:color="auto" w:fill="auto"/>
            <w:noWrap/>
            <w:vAlign w:val="bottom"/>
            <w:hideMark/>
          </w:tcPr>
          <w:p w14:paraId="3D55CF71"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w:t>
            </w:r>
          </w:p>
        </w:tc>
        <w:tc>
          <w:tcPr>
            <w:tcW w:w="1016" w:type="dxa"/>
            <w:tcBorders>
              <w:top w:val="nil"/>
              <w:left w:val="nil"/>
              <w:bottom w:val="single" w:sz="4" w:space="0" w:color="auto"/>
              <w:right w:val="nil"/>
            </w:tcBorders>
            <w:shd w:val="clear" w:color="auto" w:fill="auto"/>
            <w:noWrap/>
            <w:vAlign w:val="bottom"/>
            <w:hideMark/>
          </w:tcPr>
          <w:p w14:paraId="2003EA82" w14:textId="4ABAF09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54,55</w:t>
            </w:r>
          </w:p>
        </w:tc>
        <w:tc>
          <w:tcPr>
            <w:tcW w:w="846" w:type="dxa"/>
            <w:tcBorders>
              <w:top w:val="nil"/>
              <w:left w:val="nil"/>
              <w:bottom w:val="single" w:sz="4" w:space="0" w:color="auto"/>
              <w:right w:val="nil"/>
            </w:tcBorders>
            <w:shd w:val="clear" w:color="auto" w:fill="auto"/>
            <w:noWrap/>
            <w:vAlign w:val="bottom"/>
            <w:hideMark/>
          </w:tcPr>
          <w:p w14:paraId="51484981"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250" w:type="dxa"/>
            <w:tcBorders>
              <w:top w:val="nil"/>
              <w:left w:val="nil"/>
              <w:bottom w:val="single" w:sz="4" w:space="0" w:color="auto"/>
              <w:right w:val="nil"/>
            </w:tcBorders>
            <w:shd w:val="clear" w:color="auto" w:fill="auto"/>
            <w:noWrap/>
            <w:vAlign w:val="bottom"/>
            <w:hideMark/>
          </w:tcPr>
          <w:p w14:paraId="5D38B041"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3</w:t>
            </w:r>
          </w:p>
        </w:tc>
        <w:tc>
          <w:tcPr>
            <w:tcW w:w="1016" w:type="dxa"/>
            <w:tcBorders>
              <w:top w:val="nil"/>
              <w:left w:val="nil"/>
              <w:bottom w:val="single" w:sz="4" w:space="0" w:color="auto"/>
              <w:right w:val="nil"/>
            </w:tcBorders>
            <w:shd w:val="clear" w:color="auto" w:fill="auto"/>
            <w:noWrap/>
            <w:vAlign w:val="bottom"/>
            <w:hideMark/>
          </w:tcPr>
          <w:p w14:paraId="62CE9802" w14:textId="7BDC67B2"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57,14</w:t>
            </w:r>
          </w:p>
        </w:tc>
      </w:tr>
      <w:tr w:rsidR="00AC1E67" w:rsidRPr="00A00187" w14:paraId="3F1EDD62" w14:textId="77777777" w:rsidTr="00054887">
        <w:trPr>
          <w:trHeight w:val="315"/>
        </w:trPr>
        <w:tc>
          <w:tcPr>
            <w:tcW w:w="2236" w:type="dxa"/>
            <w:tcBorders>
              <w:top w:val="nil"/>
              <w:left w:val="nil"/>
              <w:bottom w:val="single" w:sz="4" w:space="0" w:color="auto"/>
              <w:right w:val="nil"/>
            </w:tcBorders>
            <w:shd w:val="clear" w:color="auto" w:fill="auto"/>
            <w:noWrap/>
            <w:vAlign w:val="bottom"/>
            <w:hideMark/>
          </w:tcPr>
          <w:p w14:paraId="6A52F4C9"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KS Brno</w:t>
            </w:r>
          </w:p>
        </w:tc>
        <w:tc>
          <w:tcPr>
            <w:tcW w:w="846" w:type="dxa"/>
            <w:tcBorders>
              <w:top w:val="nil"/>
              <w:left w:val="nil"/>
              <w:bottom w:val="single" w:sz="4" w:space="0" w:color="auto"/>
              <w:right w:val="nil"/>
            </w:tcBorders>
            <w:shd w:val="clear" w:color="auto" w:fill="auto"/>
            <w:noWrap/>
            <w:vAlign w:val="bottom"/>
            <w:hideMark/>
          </w:tcPr>
          <w:p w14:paraId="0B85BDAE"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w:t>
            </w:r>
          </w:p>
        </w:tc>
        <w:tc>
          <w:tcPr>
            <w:tcW w:w="1250" w:type="dxa"/>
            <w:tcBorders>
              <w:top w:val="nil"/>
              <w:left w:val="nil"/>
              <w:bottom w:val="single" w:sz="4" w:space="0" w:color="auto"/>
              <w:right w:val="nil"/>
            </w:tcBorders>
            <w:shd w:val="clear" w:color="auto" w:fill="auto"/>
            <w:noWrap/>
            <w:vAlign w:val="bottom"/>
            <w:hideMark/>
          </w:tcPr>
          <w:p w14:paraId="24CA7CF3"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8</w:t>
            </w:r>
          </w:p>
        </w:tc>
        <w:tc>
          <w:tcPr>
            <w:tcW w:w="1016" w:type="dxa"/>
            <w:tcBorders>
              <w:top w:val="nil"/>
              <w:left w:val="nil"/>
              <w:bottom w:val="single" w:sz="4" w:space="0" w:color="auto"/>
              <w:right w:val="nil"/>
            </w:tcBorders>
            <w:shd w:val="clear" w:color="auto" w:fill="auto"/>
            <w:noWrap/>
            <w:vAlign w:val="bottom"/>
            <w:hideMark/>
          </w:tcPr>
          <w:p w14:paraId="07284DB9" w14:textId="2BCD4D3B"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42,86</w:t>
            </w:r>
          </w:p>
        </w:tc>
        <w:tc>
          <w:tcPr>
            <w:tcW w:w="846" w:type="dxa"/>
            <w:tcBorders>
              <w:top w:val="nil"/>
              <w:left w:val="nil"/>
              <w:bottom w:val="single" w:sz="4" w:space="0" w:color="auto"/>
              <w:right w:val="nil"/>
            </w:tcBorders>
            <w:shd w:val="clear" w:color="auto" w:fill="auto"/>
            <w:noWrap/>
            <w:vAlign w:val="bottom"/>
            <w:hideMark/>
          </w:tcPr>
          <w:p w14:paraId="303A64B6"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5</w:t>
            </w:r>
          </w:p>
        </w:tc>
        <w:tc>
          <w:tcPr>
            <w:tcW w:w="1250" w:type="dxa"/>
            <w:tcBorders>
              <w:top w:val="nil"/>
              <w:left w:val="nil"/>
              <w:bottom w:val="single" w:sz="4" w:space="0" w:color="auto"/>
              <w:right w:val="nil"/>
            </w:tcBorders>
            <w:shd w:val="clear" w:color="auto" w:fill="auto"/>
            <w:noWrap/>
            <w:vAlign w:val="bottom"/>
            <w:hideMark/>
          </w:tcPr>
          <w:p w14:paraId="4B365DED"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9</w:t>
            </w:r>
          </w:p>
        </w:tc>
        <w:tc>
          <w:tcPr>
            <w:tcW w:w="1016" w:type="dxa"/>
            <w:tcBorders>
              <w:top w:val="nil"/>
              <w:left w:val="nil"/>
              <w:bottom w:val="single" w:sz="4" w:space="0" w:color="auto"/>
              <w:right w:val="nil"/>
            </w:tcBorders>
            <w:shd w:val="clear" w:color="auto" w:fill="auto"/>
            <w:noWrap/>
            <w:vAlign w:val="bottom"/>
            <w:hideMark/>
          </w:tcPr>
          <w:p w14:paraId="7FBE35B2" w14:textId="116EC672"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35,71</w:t>
            </w:r>
          </w:p>
        </w:tc>
      </w:tr>
      <w:tr w:rsidR="00AC1E67" w:rsidRPr="00A00187" w14:paraId="2899DE85" w14:textId="77777777" w:rsidTr="00054887">
        <w:trPr>
          <w:trHeight w:val="330"/>
        </w:trPr>
        <w:tc>
          <w:tcPr>
            <w:tcW w:w="2236" w:type="dxa"/>
            <w:tcBorders>
              <w:top w:val="nil"/>
              <w:left w:val="nil"/>
              <w:bottom w:val="double" w:sz="6" w:space="0" w:color="auto"/>
              <w:right w:val="nil"/>
            </w:tcBorders>
            <w:shd w:val="clear" w:color="auto" w:fill="auto"/>
            <w:noWrap/>
            <w:vAlign w:val="bottom"/>
            <w:hideMark/>
          </w:tcPr>
          <w:p w14:paraId="1E1FCBD9" w14:textId="77777777" w:rsidR="00054887" w:rsidRPr="00A00187" w:rsidRDefault="00054887" w:rsidP="00054887">
            <w:pPr>
              <w:spacing w:line="240" w:lineRule="auto"/>
              <w:jc w:val="left"/>
              <w:rPr>
                <w:rFonts w:eastAsia="Times New Roman"/>
                <w:szCs w:val="24"/>
                <w:lang w:eastAsia="cs-CZ"/>
              </w:rPr>
            </w:pPr>
            <w:r w:rsidRPr="00A00187">
              <w:rPr>
                <w:rFonts w:eastAsia="Times New Roman"/>
                <w:szCs w:val="24"/>
                <w:lang w:eastAsia="cs-CZ"/>
              </w:rPr>
              <w:t>KS Ostrava</w:t>
            </w:r>
          </w:p>
        </w:tc>
        <w:tc>
          <w:tcPr>
            <w:tcW w:w="846" w:type="dxa"/>
            <w:tcBorders>
              <w:top w:val="nil"/>
              <w:left w:val="nil"/>
              <w:bottom w:val="nil"/>
              <w:right w:val="nil"/>
            </w:tcBorders>
            <w:shd w:val="clear" w:color="auto" w:fill="auto"/>
            <w:noWrap/>
            <w:vAlign w:val="bottom"/>
            <w:hideMark/>
          </w:tcPr>
          <w:p w14:paraId="44DC161A"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4</w:t>
            </w:r>
          </w:p>
        </w:tc>
        <w:tc>
          <w:tcPr>
            <w:tcW w:w="1250" w:type="dxa"/>
            <w:tcBorders>
              <w:top w:val="nil"/>
              <w:left w:val="nil"/>
              <w:bottom w:val="nil"/>
              <w:right w:val="nil"/>
            </w:tcBorders>
            <w:shd w:val="clear" w:color="auto" w:fill="auto"/>
            <w:noWrap/>
            <w:vAlign w:val="bottom"/>
            <w:hideMark/>
          </w:tcPr>
          <w:p w14:paraId="4A48CE38"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7</w:t>
            </w:r>
          </w:p>
        </w:tc>
        <w:tc>
          <w:tcPr>
            <w:tcW w:w="1016" w:type="dxa"/>
            <w:tcBorders>
              <w:top w:val="nil"/>
              <w:left w:val="nil"/>
              <w:bottom w:val="nil"/>
              <w:right w:val="nil"/>
            </w:tcBorders>
            <w:shd w:val="clear" w:color="auto" w:fill="auto"/>
            <w:noWrap/>
            <w:vAlign w:val="bottom"/>
            <w:hideMark/>
          </w:tcPr>
          <w:p w14:paraId="661C0DF6" w14:textId="11346D62"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36,36</w:t>
            </w:r>
          </w:p>
        </w:tc>
        <w:tc>
          <w:tcPr>
            <w:tcW w:w="846" w:type="dxa"/>
            <w:tcBorders>
              <w:top w:val="nil"/>
              <w:left w:val="nil"/>
              <w:bottom w:val="nil"/>
              <w:right w:val="nil"/>
            </w:tcBorders>
            <w:shd w:val="clear" w:color="auto" w:fill="auto"/>
            <w:noWrap/>
            <w:vAlign w:val="bottom"/>
            <w:hideMark/>
          </w:tcPr>
          <w:p w14:paraId="5D508B7B"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12</w:t>
            </w:r>
          </w:p>
        </w:tc>
        <w:tc>
          <w:tcPr>
            <w:tcW w:w="1250" w:type="dxa"/>
            <w:tcBorders>
              <w:top w:val="nil"/>
              <w:left w:val="nil"/>
              <w:bottom w:val="nil"/>
              <w:right w:val="nil"/>
            </w:tcBorders>
            <w:shd w:val="clear" w:color="auto" w:fill="auto"/>
            <w:noWrap/>
            <w:vAlign w:val="bottom"/>
            <w:hideMark/>
          </w:tcPr>
          <w:p w14:paraId="7603C3D9" w14:textId="77777777"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8</w:t>
            </w:r>
          </w:p>
        </w:tc>
        <w:tc>
          <w:tcPr>
            <w:tcW w:w="1016" w:type="dxa"/>
            <w:tcBorders>
              <w:top w:val="nil"/>
              <w:left w:val="nil"/>
              <w:bottom w:val="nil"/>
              <w:right w:val="nil"/>
            </w:tcBorders>
            <w:shd w:val="clear" w:color="auto" w:fill="auto"/>
            <w:noWrap/>
            <w:vAlign w:val="bottom"/>
            <w:hideMark/>
          </w:tcPr>
          <w:p w14:paraId="097D57B1" w14:textId="12343074" w:rsidR="00054887" w:rsidRPr="00A00187" w:rsidRDefault="00054887" w:rsidP="00054887">
            <w:pPr>
              <w:spacing w:line="240" w:lineRule="auto"/>
              <w:jc w:val="center"/>
              <w:rPr>
                <w:rFonts w:eastAsia="Times New Roman"/>
                <w:szCs w:val="24"/>
                <w:lang w:eastAsia="cs-CZ"/>
              </w:rPr>
            </w:pPr>
            <w:r w:rsidRPr="00A00187">
              <w:rPr>
                <w:rFonts w:eastAsia="Times New Roman"/>
                <w:szCs w:val="24"/>
                <w:lang w:eastAsia="cs-CZ"/>
              </w:rPr>
              <w:t>60,00</w:t>
            </w:r>
          </w:p>
        </w:tc>
      </w:tr>
      <w:tr w:rsidR="00AC1E67" w:rsidRPr="00A00187" w14:paraId="40EEDE08" w14:textId="77777777" w:rsidTr="00054887">
        <w:trPr>
          <w:trHeight w:val="345"/>
        </w:trPr>
        <w:tc>
          <w:tcPr>
            <w:tcW w:w="2236" w:type="dxa"/>
            <w:tcBorders>
              <w:top w:val="nil"/>
              <w:left w:val="nil"/>
              <w:bottom w:val="double" w:sz="6" w:space="0" w:color="auto"/>
              <w:right w:val="nil"/>
            </w:tcBorders>
            <w:shd w:val="clear" w:color="auto" w:fill="auto"/>
            <w:noWrap/>
            <w:vAlign w:val="bottom"/>
            <w:hideMark/>
          </w:tcPr>
          <w:p w14:paraId="31FA5727" w14:textId="77777777" w:rsidR="00054887" w:rsidRPr="00A00187" w:rsidRDefault="00054887" w:rsidP="00054887">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846" w:type="dxa"/>
            <w:tcBorders>
              <w:top w:val="double" w:sz="6" w:space="0" w:color="auto"/>
              <w:left w:val="nil"/>
              <w:bottom w:val="double" w:sz="6" w:space="0" w:color="auto"/>
              <w:right w:val="nil"/>
            </w:tcBorders>
            <w:shd w:val="clear" w:color="auto" w:fill="auto"/>
            <w:noWrap/>
            <w:vAlign w:val="bottom"/>
            <w:hideMark/>
          </w:tcPr>
          <w:p w14:paraId="6BEE4DE7"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42</w:t>
            </w:r>
          </w:p>
        </w:tc>
        <w:tc>
          <w:tcPr>
            <w:tcW w:w="1250" w:type="dxa"/>
            <w:tcBorders>
              <w:top w:val="double" w:sz="6" w:space="0" w:color="auto"/>
              <w:left w:val="nil"/>
              <w:bottom w:val="double" w:sz="6" w:space="0" w:color="auto"/>
              <w:right w:val="nil"/>
            </w:tcBorders>
            <w:shd w:val="clear" w:color="auto" w:fill="auto"/>
            <w:noWrap/>
            <w:vAlign w:val="bottom"/>
            <w:hideMark/>
          </w:tcPr>
          <w:p w14:paraId="302F95D9"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43</w:t>
            </w:r>
          </w:p>
        </w:tc>
        <w:tc>
          <w:tcPr>
            <w:tcW w:w="1016" w:type="dxa"/>
            <w:tcBorders>
              <w:top w:val="double" w:sz="6" w:space="0" w:color="auto"/>
              <w:left w:val="nil"/>
              <w:bottom w:val="double" w:sz="6" w:space="0" w:color="auto"/>
              <w:right w:val="nil"/>
            </w:tcBorders>
            <w:shd w:val="clear" w:color="auto" w:fill="auto"/>
            <w:noWrap/>
            <w:vAlign w:val="bottom"/>
            <w:hideMark/>
          </w:tcPr>
          <w:p w14:paraId="2C947449" w14:textId="0ECD8DBF"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49,41</w:t>
            </w:r>
          </w:p>
        </w:tc>
        <w:tc>
          <w:tcPr>
            <w:tcW w:w="846" w:type="dxa"/>
            <w:tcBorders>
              <w:top w:val="double" w:sz="6" w:space="0" w:color="auto"/>
              <w:left w:val="nil"/>
              <w:bottom w:val="double" w:sz="6" w:space="0" w:color="auto"/>
              <w:right w:val="nil"/>
            </w:tcBorders>
            <w:shd w:val="clear" w:color="auto" w:fill="auto"/>
            <w:noWrap/>
            <w:vAlign w:val="bottom"/>
            <w:hideMark/>
          </w:tcPr>
          <w:p w14:paraId="563DCED0"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67</w:t>
            </w:r>
          </w:p>
        </w:tc>
        <w:tc>
          <w:tcPr>
            <w:tcW w:w="1250" w:type="dxa"/>
            <w:tcBorders>
              <w:top w:val="double" w:sz="6" w:space="0" w:color="auto"/>
              <w:left w:val="nil"/>
              <w:bottom w:val="double" w:sz="6" w:space="0" w:color="auto"/>
              <w:right w:val="nil"/>
            </w:tcBorders>
            <w:shd w:val="clear" w:color="auto" w:fill="auto"/>
            <w:noWrap/>
            <w:vAlign w:val="bottom"/>
            <w:hideMark/>
          </w:tcPr>
          <w:p w14:paraId="1C33E78B" w14:textId="77777777"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46</w:t>
            </w:r>
          </w:p>
        </w:tc>
        <w:tc>
          <w:tcPr>
            <w:tcW w:w="1016" w:type="dxa"/>
            <w:tcBorders>
              <w:top w:val="double" w:sz="6" w:space="0" w:color="auto"/>
              <w:left w:val="nil"/>
              <w:bottom w:val="double" w:sz="6" w:space="0" w:color="auto"/>
              <w:right w:val="nil"/>
            </w:tcBorders>
            <w:shd w:val="clear" w:color="auto" w:fill="auto"/>
            <w:noWrap/>
            <w:vAlign w:val="bottom"/>
            <w:hideMark/>
          </w:tcPr>
          <w:p w14:paraId="0E467B24" w14:textId="2F29EB56" w:rsidR="00054887" w:rsidRPr="00A00187" w:rsidRDefault="00054887" w:rsidP="00054887">
            <w:pPr>
              <w:spacing w:line="240" w:lineRule="auto"/>
              <w:jc w:val="center"/>
              <w:rPr>
                <w:rFonts w:eastAsia="Times New Roman"/>
                <w:b/>
                <w:bCs/>
                <w:szCs w:val="24"/>
                <w:lang w:eastAsia="cs-CZ"/>
              </w:rPr>
            </w:pPr>
            <w:r w:rsidRPr="00A00187">
              <w:rPr>
                <w:rFonts w:eastAsia="Times New Roman"/>
                <w:b/>
                <w:bCs/>
                <w:szCs w:val="24"/>
                <w:lang w:eastAsia="cs-CZ"/>
              </w:rPr>
              <w:t>59,29</w:t>
            </w:r>
          </w:p>
        </w:tc>
      </w:tr>
      <w:tr w:rsidR="00AC1E67" w:rsidRPr="00A00187" w14:paraId="5F43D85F" w14:textId="77777777" w:rsidTr="00054887">
        <w:trPr>
          <w:trHeight w:val="330"/>
        </w:trPr>
        <w:tc>
          <w:tcPr>
            <w:tcW w:w="2236" w:type="dxa"/>
            <w:tcBorders>
              <w:top w:val="nil"/>
              <w:left w:val="nil"/>
              <w:bottom w:val="nil"/>
              <w:right w:val="nil"/>
            </w:tcBorders>
            <w:shd w:val="clear" w:color="auto" w:fill="auto"/>
            <w:noWrap/>
            <w:vAlign w:val="bottom"/>
            <w:hideMark/>
          </w:tcPr>
          <w:p w14:paraId="26C8BD76" w14:textId="77777777" w:rsidR="00054887" w:rsidRPr="00A00187" w:rsidRDefault="00054887" w:rsidP="00054887">
            <w:pPr>
              <w:spacing w:line="240" w:lineRule="auto"/>
              <w:jc w:val="center"/>
              <w:rPr>
                <w:rFonts w:eastAsia="Times New Roman"/>
                <w:b/>
                <w:bCs/>
                <w:szCs w:val="24"/>
                <w:lang w:eastAsia="cs-CZ"/>
              </w:rPr>
            </w:pPr>
          </w:p>
        </w:tc>
        <w:tc>
          <w:tcPr>
            <w:tcW w:w="846" w:type="dxa"/>
            <w:tcBorders>
              <w:top w:val="nil"/>
              <w:left w:val="nil"/>
              <w:bottom w:val="nil"/>
              <w:right w:val="nil"/>
            </w:tcBorders>
            <w:shd w:val="clear" w:color="auto" w:fill="auto"/>
            <w:noWrap/>
            <w:vAlign w:val="bottom"/>
            <w:hideMark/>
          </w:tcPr>
          <w:p w14:paraId="7E192890" w14:textId="77777777" w:rsidR="00054887" w:rsidRPr="00A00187" w:rsidRDefault="00054887" w:rsidP="00054887">
            <w:pPr>
              <w:spacing w:line="240" w:lineRule="auto"/>
              <w:jc w:val="left"/>
              <w:rPr>
                <w:rFonts w:ascii="Times New Roman" w:eastAsia="Times New Roman" w:hAnsi="Times New Roman"/>
                <w:sz w:val="20"/>
                <w:szCs w:val="20"/>
                <w:lang w:eastAsia="cs-CZ"/>
              </w:rPr>
            </w:pPr>
          </w:p>
        </w:tc>
        <w:tc>
          <w:tcPr>
            <w:tcW w:w="1250" w:type="dxa"/>
            <w:tcBorders>
              <w:top w:val="nil"/>
              <w:left w:val="nil"/>
              <w:bottom w:val="nil"/>
              <w:right w:val="nil"/>
            </w:tcBorders>
            <w:shd w:val="clear" w:color="auto" w:fill="auto"/>
            <w:noWrap/>
            <w:vAlign w:val="bottom"/>
            <w:hideMark/>
          </w:tcPr>
          <w:p w14:paraId="26360E35" w14:textId="77777777" w:rsidR="00054887" w:rsidRPr="00A00187" w:rsidRDefault="00054887" w:rsidP="00054887">
            <w:pPr>
              <w:spacing w:line="240" w:lineRule="auto"/>
              <w:jc w:val="left"/>
              <w:rPr>
                <w:rFonts w:ascii="Times New Roman" w:eastAsia="Times New Roman" w:hAnsi="Times New Roman"/>
                <w:sz w:val="20"/>
                <w:szCs w:val="20"/>
                <w:lang w:eastAsia="cs-CZ"/>
              </w:rPr>
            </w:pPr>
          </w:p>
        </w:tc>
        <w:tc>
          <w:tcPr>
            <w:tcW w:w="1016" w:type="dxa"/>
            <w:tcBorders>
              <w:top w:val="nil"/>
              <w:left w:val="nil"/>
              <w:bottom w:val="nil"/>
              <w:right w:val="nil"/>
            </w:tcBorders>
            <w:shd w:val="clear" w:color="auto" w:fill="auto"/>
            <w:noWrap/>
            <w:vAlign w:val="bottom"/>
            <w:hideMark/>
          </w:tcPr>
          <w:p w14:paraId="02CBBE55" w14:textId="77777777" w:rsidR="00054887" w:rsidRPr="00A00187" w:rsidRDefault="00054887" w:rsidP="00054887">
            <w:pPr>
              <w:spacing w:line="240" w:lineRule="auto"/>
              <w:jc w:val="left"/>
              <w:rPr>
                <w:rFonts w:ascii="Times New Roman" w:eastAsia="Times New Roman" w:hAnsi="Times New Roman"/>
                <w:sz w:val="20"/>
                <w:szCs w:val="20"/>
                <w:lang w:eastAsia="cs-CZ"/>
              </w:rPr>
            </w:pPr>
          </w:p>
        </w:tc>
        <w:tc>
          <w:tcPr>
            <w:tcW w:w="846" w:type="dxa"/>
            <w:tcBorders>
              <w:top w:val="nil"/>
              <w:left w:val="nil"/>
              <w:bottom w:val="nil"/>
              <w:right w:val="nil"/>
            </w:tcBorders>
            <w:shd w:val="clear" w:color="auto" w:fill="auto"/>
            <w:noWrap/>
            <w:vAlign w:val="bottom"/>
            <w:hideMark/>
          </w:tcPr>
          <w:p w14:paraId="5D516365" w14:textId="77777777" w:rsidR="00054887" w:rsidRPr="00A00187" w:rsidRDefault="00054887" w:rsidP="00054887">
            <w:pPr>
              <w:spacing w:line="240" w:lineRule="auto"/>
              <w:jc w:val="left"/>
              <w:rPr>
                <w:rFonts w:ascii="Times New Roman" w:eastAsia="Times New Roman" w:hAnsi="Times New Roman"/>
                <w:sz w:val="20"/>
                <w:szCs w:val="20"/>
                <w:lang w:eastAsia="cs-CZ"/>
              </w:rPr>
            </w:pPr>
          </w:p>
        </w:tc>
        <w:tc>
          <w:tcPr>
            <w:tcW w:w="1250" w:type="dxa"/>
            <w:tcBorders>
              <w:top w:val="nil"/>
              <w:left w:val="nil"/>
              <w:bottom w:val="nil"/>
              <w:right w:val="nil"/>
            </w:tcBorders>
            <w:shd w:val="clear" w:color="auto" w:fill="auto"/>
            <w:noWrap/>
            <w:vAlign w:val="bottom"/>
            <w:hideMark/>
          </w:tcPr>
          <w:p w14:paraId="165F1375" w14:textId="77777777" w:rsidR="00054887" w:rsidRPr="00A00187" w:rsidRDefault="00054887" w:rsidP="00054887">
            <w:pPr>
              <w:spacing w:line="240" w:lineRule="auto"/>
              <w:jc w:val="left"/>
              <w:rPr>
                <w:rFonts w:ascii="Times New Roman" w:eastAsia="Times New Roman" w:hAnsi="Times New Roman"/>
                <w:sz w:val="20"/>
                <w:szCs w:val="20"/>
                <w:lang w:eastAsia="cs-CZ"/>
              </w:rPr>
            </w:pPr>
          </w:p>
        </w:tc>
        <w:tc>
          <w:tcPr>
            <w:tcW w:w="1016" w:type="dxa"/>
            <w:tcBorders>
              <w:top w:val="nil"/>
              <w:left w:val="nil"/>
              <w:bottom w:val="nil"/>
              <w:right w:val="nil"/>
            </w:tcBorders>
            <w:shd w:val="clear" w:color="auto" w:fill="auto"/>
            <w:noWrap/>
            <w:vAlign w:val="bottom"/>
            <w:hideMark/>
          </w:tcPr>
          <w:p w14:paraId="587A19FD" w14:textId="77777777" w:rsidR="00054887" w:rsidRPr="00A00187" w:rsidRDefault="00054887" w:rsidP="00054887">
            <w:pPr>
              <w:spacing w:line="240" w:lineRule="auto"/>
              <w:jc w:val="left"/>
              <w:rPr>
                <w:rFonts w:ascii="Times New Roman" w:eastAsia="Times New Roman" w:hAnsi="Times New Roman"/>
                <w:sz w:val="20"/>
                <w:szCs w:val="20"/>
                <w:lang w:eastAsia="cs-CZ"/>
              </w:rPr>
            </w:pPr>
          </w:p>
        </w:tc>
      </w:tr>
    </w:tbl>
    <w:p w14:paraId="357463AC" w14:textId="4BA52F9F" w:rsidR="00054887" w:rsidRPr="00A00187" w:rsidRDefault="00054887" w:rsidP="00054887">
      <w:pPr>
        <w:pStyle w:val="OdstavecASR"/>
      </w:pPr>
      <w:r w:rsidRPr="00A00187">
        <w:t>Na vysvětlenou je třeba uvést, že součet počtu předsedů a předsedkyň není roven počtu okresních soudů (86), protože ne všude je funkce předsedy obsazená. Z tabulky můžeme vyčíst, že počet žen a mužů na místech předsedů a místopředsedů je mnohem vyrovnanější, než je tomu u celkového počtu soudců. V roce 2018 ženy představovaly přesně polovinu předsedů. V letech 2019 až 2021 to je o něco méně. Místopředsedkyň je více než místopředsedů soudů</w:t>
      </w:r>
      <w:r w:rsidR="00FB58E9" w:rsidRPr="00A00187">
        <w:t xml:space="preserve"> </w:t>
      </w:r>
      <w:r w:rsidR="00726EC3" w:rsidRPr="00A00187">
        <w:t>a</w:t>
      </w:r>
      <w:r w:rsidR="00726EC3">
        <w:t> </w:t>
      </w:r>
      <w:r w:rsidR="00975A8F" w:rsidRPr="00A00187">
        <w:t xml:space="preserve">zejména </w:t>
      </w:r>
      <w:r w:rsidR="00726EC3" w:rsidRPr="00A00187">
        <w:t>v</w:t>
      </w:r>
      <w:r w:rsidR="00726EC3">
        <w:t> </w:t>
      </w:r>
      <w:r w:rsidRPr="00A00187">
        <w:t>Praze je nyní velmi vysoký podíl místopředsedkyň – 83 %.</w:t>
      </w:r>
    </w:p>
    <w:p w14:paraId="17958B68" w14:textId="4FCE6F67" w:rsidR="003C7B73" w:rsidRPr="00A00187" w:rsidRDefault="003C7B73" w:rsidP="003C7B73">
      <w:pPr>
        <w:pStyle w:val="OdstavecASR"/>
      </w:pPr>
      <w:r w:rsidRPr="00A00187">
        <w:lastRenderedPageBreak/>
        <w:t xml:space="preserve">Dalším sledovaným ukazatelem je věková struktura soudců. Na grafu níže vidíme její vývoj v letech 2008 až </w:t>
      </w:r>
      <w:r w:rsidR="00AD7D48" w:rsidRPr="00A00187">
        <w:t>2021</w:t>
      </w:r>
      <w:r w:rsidRPr="00A00187">
        <w:t xml:space="preserve">. V tabulce </w:t>
      </w:r>
      <w:r w:rsidR="001629FF" w:rsidRPr="00A00187">
        <w:t xml:space="preserve">4 </w:t>
      </w:r>
      <w:r w:rsidRPr="00A00187">
        <w:t xml:space="preserve">pak jsou průřezová data okresních soudů po krajích za rok </w:t>
      </w:r>
      <w:r w:rsidR="00AD7D48" w:rsidRPr="00A00187">
        <w:t>2021</w:t>
      </w:r>
      <w:r w:rsidRPr="00A00187">
        <w:t>.</w:t>
      </w:r>
    </w:p>
    <w:p w14:paraId="5F11D1D9" w14:textId="748882FB" w:rsidR="003C7B73" w:rsidRPr="00A00187" w:rsidRDefault="003C7B73" w:rsidP="003C7B73">
      <w:pPr>
        <w:pStyle w:val="Podnadpis"/>
        <w:rPr>
          <w:color w:val="auto"/>
        </w:rPr>
      </w:pPr>
      <w:bookmarkStart w:id="73" w:name="_Toc11135066"/>
      <w:bookmarkStart w:id="74" w:name="_Toc43841385"/>
      <w:bookmarkStart w:id="75" w:name="_Toc75952185"/>
      <w:bookmarkStart w:id="76" w:name="_Toc106106639"/>
      <w:bookmarkStart w:id="77" w:name="_Toc109801963"/>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5</w:t>
      </w:r>
      <w:r w:rsidRPr="00A00187">
        <w:rPr>
          <w:noProof/>
          <w:color w:val="auto"/>
        </w:rPr>
        <w:fldChar w:fldCharType="end"/>
      </w:r>
      <w:r w:rsidRPr="00A00187">
        <w:rPr>
          <w:color w:val="auto"/>
        </w:rPr>
        <w:t>: OS – věková struktura soudců v letech 2008–20</w:t>
      </w:r>
      <w:bookmarkEnd w:id="73"/>
      <w:bookmarkEnd w:id="74"/>
      <w:r w:rsidRPr="00A00187">
        <w:rPr>
          <w:color w:val="auto"/>
        </w:rPr>
        <w:t>2</w:t>
      </w:r>
      <w:bookmarkEnd w:id="75"/>
      <w:r w:rsidRPr="00A00187">
        <w:rPr>
          <w:color w:val="auto"/>
        </w:rPr>
        <w:t>1</w:t>
      </w:r>
      <w:bookmarkEnd w:id="76"/>
      <w:bookmarkEnd w:id="77"/>
    </w:p>
    <w:p w14:paraId="202D07A0" w14:textId="256C511A" w:rsidR="006678CD" w:rsidRPr="00A00187" w:rsidRDefault="00D0645F" w:rsidP="006678CD">
      <w:pPr>
        <w:pStyle w:val="OdstavecASR"/>
      </w:pPr>
      <w:r w:rsidRPr="00A00187">
        <w:rPr>
          <w:noProof/>
        </w:rPr>
        <w:drawing>
          <wp:inline distT="0" distB="0" distL="0" distR="0" wp14:anchorId="6CFD2336" wp14:editId="6CA9A418">
            <wp:extent cx="5029200" cy="365760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E2DED4A" w14:textId="06F0BAF7" w:rsidR="00FF0624" w:rsidRPr="00A00187" w:rsidRDefault="00FF0624" w:rsidP="00FF0624">
      <w:pPr>
        <w:pStyle w:val="OdstavecASR"/>
      </w:pPr>
      <w:r w:rsidRPr="00A00187">
        <w:t>Z grafu je patrný pokračující trend z minulých let, tedy že soudci okresních soudů v ČR v průměru zestárli. Především soudci z věkové kategorie 30 až 40 let se postupně přesunuli do věkové kategorie 41 až 50 let, přičemž po jednorázovém mas</w:t>
      </w:r>
      <w:r w:rsidR="00F80860" w:rsidRPr="00A00187">
        <w:t>i</w:t>
      </w:r>
      <w:r w:rsidRPr="00A00187">
        <w:t xml:space="preserve">vním porevolučním doplnění okresních soudů v roce 1992 již nejsou okresní (ale ani krajské) soudy ve stejné míře doplňovány novými mladými soudci </w:t>
      </w:r>
      <w:r w:rsidR="00726EC3" w:rsidRPr="00A00187">
        <w:t>a</w:t>
      </w:r>
      <w:r w:rsidR="00726EC3">
        <w:t> </w:t>
      </w:r>
      <w:r w:rsidRPr="00A00187">
        <w:t>soudkyněmi. Pro srovnání v roce 2021 bylo u OS 416 soudců</w:t>
      </w:r>
      <w:r w:rsidR="00F80860" w:rsidRPr="00A00187">
        <w:t xml:space="preserve"> </w:t>
      </w:r>
      <w:r w:rsidR="00726EC3" w:rsidRPr="00A00187">
        <w:t>a</w:t>
      </w:r>
      <w:r w:rsidR="00726EC3">
        <w:t> </w:t>
      </w:r>
      <w:r w:rsidRPr="00A00187">
        <w:t xml:space="preserve">soudkyň v kategorii 30 až 40 let </w:t>
      </w:r>
      <w:r w:rsidR="00F80860" w:rsidRPr="00A00187">
        <w:t>oproti</w:t>
      </w:r>
      <w:r w:rsidRPr="00A00187">
        <w:t xml:space="preserve"> 913 v roce 2008, což znamená pokles na méně než polovinu (</w:t>
      </w:r>
      <w:r w:rsidR="0012339A" w:rsidRPr="00A00187">
        <w:t xml:space="preserve">obdobně je tomu </w:t>
      </w:r>
      <w:r w:rsidR="00726EC3" w:rsidRPr="00A00187">
        <w:t>u</w:t>
      </w:r>
      <w:r w:rsidR="00726EC3">
        <w:t> </w:t>
      </w:r>
      <w:r w:rsidR="0012339A" w:rsidRPr="00A00187">
        <w:t>KS</w:t>
      </w:r>
      <w:r w:rsidRPr="00A00187">
        <w:t>).</w:t>
      </w:r>
    </w:p>
    <w:p w14:paraId="22F50C1F" w14:textId="6B155E23" w:rsidR="00FF0624" w:rsidRPr="00A00187" w:rsidRDefault="00FF0624" w:rsidP="00FF0624">
      <w:pPr>
        <w:rPr>
          <w:rStyle w:val="OdstavecASRChar"/>
        </w:rPr>
      </w:pPr>
      <w:r w:rsidRPr="00A00187">
        <w:t xml:space="preserve">To dokazuje i procentní podíl mladých soudců </w:t>
      </w:r>
      <w:r w:rsidR="00726EC3" w:rsidRPr="00A00187">
        <w:t>a</w:t>
      </w:r>
      <w:r w:rsidR="00726EC3">
        <w:t> </w:t>
      </w:r>
      <w:r w:rsidRPr="00A00187">
        <w:t xml:space="preserve">soudkyň: v roce 2007 byl podíl soudců ve věku 30 až 40 let 49 %, v roce 2021 byl již pouze necelých 23 %. Naopak podíl soudců ve věku 41 až 50 let byl v roce 2007 </w:t>
      </w:r>
      <w:r w:rsidR="00C661F2" w:rsidRPr="00A00187">
        <w:t xml:space="preserve">na hodnotě </w:t>
      </w:r>
      <w:r w:rsidRPr="00A00187">
        <w:t xml:space="preserve">25 % a přibližně 41 % v roce 2021. </w:t>
      </w:r>
      <w:r w:rsidR="00121DC9" w:rsidRPr="00A00187">
        <w:t xml:space="preserve">Zdvojnásobil se také podíl nejstarších soudců / soudkyň. </w:t>
      </w:r>
      <w:r w:rsidRPr="00A00187">
        <w:t>Příčin tohoto posunu je zřejmě několik:</w:t>
      </w:r>
    </w:p>
    <w:p w14:paraId="2DDECBBE" w14:textId="44D79301" w:rsidR="00FF0624" w:rsidRPr="00A00187" w:rsidRDefault="00FF0624" w:rsidP="00FF0624">
      <w:pPr>
        <w:pStyle w:val="Odstavecseseznamem"/>
        <w:numPr>
          <w:ilvl w:val="0"/>
          <w:numId w:val="13"/>
        </w:numPr>
      </w:pPr>
      <w:r w:rsidRPr="00A00187">
        <w:t>Až do roku 2006 se počet soudců rychle zvyšoval</w:t>
      </w:r>
      <w:r w:rsidR="00454168" w:rsidRPr="00A00187">
        <w:t xml:space="preserve"> </w:t>
      </w:r>
      <w:r w:rsidR="00726EC3" w:rsidRPr="00A00187">
        <w:t>a</w:t>
      </w:r>
      <w:r w:rsidR="00726EC3">
        <w:t> </w:t>
      </w:r>
      <w:r w:rsidRPr="00A00187">
        <w:t>počet nově jmenovaných soudců za rok byl tedy výrazně vyšší než v posledních letech. K okresním soudům byli přitom většinou jmenováni mladí soudci. Právě tato rozsáhlá generace soudců se ve sledovaném období postupně přesouvá do vyšší věkové skupiny.</w:t>
      </w:r>
      <w:r w:rsidR="00454168" w:rsidRPr="00A00187">
        <w:t xml:space="preserve"> Ve sledovaném období je již celkový počet soudců velmi stabilní.</w:t>
      </w:r>
    </w:p>
    <w:p w14:paraId="573B00A1" w14:textId="41F4D224" w:rsidR="00FF0624" w:rsidRPr="00A00187" w:rsidRDefault="00AC2EFA" w:rsidP="00FF0624">
      <w:pPr>
        <w:pStyle w:val="Odstavecseseznamem"/>
        <w:numPr>
          <w:ilvl w:val="0"/>
          <w:numId w:val="13"/>
        </w:numPr>
      </w:pPr>
      <w:r w:rsidRPr="00A00187">
        <w:t>Nepatrnou</w:t>
      </w:r>
      <w:r w:rsidR="00FF0624" w:rsidRPr="00A00187">
        <w:t xml:space="preserve"> roli mohlo po určitou dobu hrát také to, že v roce 2003 byl stanoven minimální věk pro jmenování soudcem 30 let.</w:t>
      </w:r>
    </w:p>
    <w:p w14:paraId="0D93FAB5" w14:textId="77777777" w:rsidR="00FF0624" w:rsidRPr="00A00187" w:rsidRDefault="00FF0624" w:rsidP="00FF0624">
      <w:pPr>
        <w:pStyle w:val="Odstavecseseznamem"/>
        <w:numPr>
          <w:ilvl w:val="0"/>
          <w:numId w:val="13"/>
        </w:numPr>
      </w:pPr>
      <w:r w:rsidRPr="00A00187">
        <w:t>V průběhu let docházelo ke změnám a zpřísňování podmínek pro jmenování soudcem a ke zpřesnění administrativně technického postupu. V důsledku těchto změn se zvyšuje průměrný věk, ve kterém je soudce jmenován.</w:t>
      </w:r>
    </w:p>
    <w:p w14:paraId="15FABE87" w14:textId="3B4C74D2" w:rsidR="00FF0624" w:rsidRPr="00A00187" w:rsidRDefault="007A6864" w:rsidP="00FF0624">
      <w:pPr>
        <w:pStyle w:val="OdstavecASR"/>
      </w:pPr>
      <w:r w:rsidRPr="00A00187">
        <w:lastRenderedPageBreak/>
        <w:t>Data v</w:t>
      </w:r>
      <w:r w:rsidR="00FF0624" w:rsidRPr="00A00187">
        <w:t xml:space="preserve"> tabulce </w:t>
      </w:r>
      <w:r w:rsidR="001629FF" w:rsidRPr="00A00187">
        <w:t>4</w:t>
      </w:r>
      <w:r w:rsidRPr="00A00187">
        <w:t xml:space="preserve"> jsou k 1.</w:t>
      </w:r>
      <w:r w:rsidR="00726EC3">
        <w:t> </w:t>
      </w:r>
      <w:r w:rsidRPr="00A00187">
        <w:t>1.</w:t>
      </w:r>
      <w:r w:rsidR="00726EC3">
        <w:t> </w:t>
      </w:r>
      <w:r w:rsidRPr="00A00187">
        <w:t xml:space="preserve">2021 </w:t>
      </w:r>
      <w:r w:rsidR="00726EC3" w:rsidRPr="00A00187">
        <w:t>a</w:t>
      </w:r>
      <w:r w:rsidR="00726EC3">
        <w:t> </w:t>
      </w:r>
      <w:r w:rsidR="00FF0624" w:rsidRPr="00A00187">
        <w:t xml:space="preserve">vidíme, že věkové složení soudců se liší i mezi jednotlivými kraji. Zaujme například srovnání Severočeského </w:t>
      </w:r>
      <w:r w:rsidR="00726EC3" w:rsidRPr="00A00187">
        <w:t>a</w:t>
      </w:r>
      <w:r w:rsidR="00726EC3">
        <w:t> </w:t>
      </w:r>
      <w:r w:rsidR="00FF0624" w:rsidRPr="00A00187">
        <w:t>Středočeského kraje</w:t>
      </w:r>
      <w:r w:rsidR="00F80860" w:rsidRPr="00A00187">
        <w:t>:</w:t>
      </w:r>
      <w:r w:rsidR="00FF0624" w:rsidRPr="00A00187">
        <w:t xml:space="preserve"> každoročně </w:t>
      </w:r>
      <w:r w:rsidR="00F80860" w:rsidRPr="00A00187">
        <w:t xml:space="preserve">se </w:t>
      </w:r>
      <w:r w:rsidR="00FF0624" w:rsidRPr="00A00187">
        <w:t xml:space="preserve">snižuje podíl soudců </w:t>
      </w:r>
      <w:r w:rsidR="00F80860" w:rsidRPr="00A00187">
        <w:t xml:space="preserve">ve věku </w:t>
      </w:r>
      <w:r w:rsidR="009D057B" w:rsidRPr="00A00187">
        <w:t>30</w:t>
      </w:r>
      <w:r w:rsidR="00FF0624" w:rsidRPr="00A00187">
        <w:t xml:space="preserve"> </w:t>
      </w:r>
      <w:r w:rsidR="009D057B" w:rsidRPr="00A00187">
        <w:t>až</w:t>
      </w:r>
      <w:r w:rsidR="00FF0624" w:rsidRPr="00A00187">
        <w:t xml:space="preserve"> 40 let v kraji Severočeském (po dřívějším jmenování nových soudců právě do tohoto kraje) </w:t>
      </w:r>
      <w:r w:rsidR="00726EC3" w:rsidRPr="00A00187">
        <w:t>a</w:t>
      </w:r>
      <w:r w:rsidR="00726EC3">
        <w:t> </w:t>
      </w:r>
      <w:r w:rsidR="00FF0624" w:rsidRPr="00A00187">
        <w:t xml:space="preserve">současně tato věková kategorie posiluje v kraji Středočeském. </w:t>
      </w:r>
      <w:r w:rsidR="00AC2EFA" w:rsidRPr="00A00187">
        <w:t>V obou krajích nicméně stále působí nejmladší soudci.</w:t>
      </w:r>
      <w:r w:rsidR="00A5499F" w:rsidRPr="00A00187">
        <w:t xml:space="preserve"> </w:t>
      </w:r>
      <w:r w:rsidR="00FF0624" w:rsidRPr="00A00187">
        <w:t>Naopak v průměru starší jsou soudci v Západočeském kraji, kde je téměř šestina soudců ve věku mezi 61 a 70 lety. Celkově nejstarší soudci jsou v Jihočeském kraji, kde je 15 % soudců starší než 61 let a 26 % soudců ve věku mezi 51 a 60 lety.</w:t>
      </w:r>
    </w:p>
    <w:p w14:paraId="1F1C2390" w14:textId="1D95F79C" w:rsidR="00FF0624" w:rsidRPr="00A00187" w:rsidRDefault="00FF0624" w:rsidP="00FF0624">
      <w:pPr>
        <w:pStyle w:val="Podnadpis"/>
        <w:rPr>
          <w:color w:val="auto"/>
        </w:rPr>
      </w:pPr>
      <w:bookmarkStart w:id="78" w:name="_Toc515871438"/>
      <w:bookmarkStart w:id="79" w:name="_Toc11133206"/>
      <w:bookmarkStart w:id="80" w:name="_Toc43931177"/>
      <w:bookmarkStart w:id="81" w:name="_Toc75952307"/>
      <w:bookmarkStart w:id="82" w:name="_Toc106106766"/>
      <w:bookmarkStart w:id="83" w:name="_Toc109802089"/>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w:t>
      </w:r>
      <w:r w:rsidRPr="00A00187">
        <w:rPr>
          <w:noProof/>
          <w:color w:val="auto"/>
        </w:rPr>
        <w:fldChar w:fldCharType="end"/>
      </w:r>
      <w:r w:rsidRPr="00A00187">
        <w:rPr>
          <w:color w:val="auto"/>
        </w:rPr>
        <w:t>: OS – věková struktura soudců dle krajů</w:t>
      </w:r>
      <w:bookmarkEnd w:id="78"/>
      <w:bookmarkEnd w:id="79"/>
      <w:bookmarkEnd w:id="80"/>
      <w:bookmarkEnd w:id="81"/>
      <w:r w:rsidR="003A7737" w:rsidRPr="00A00187">
        <w:rPr>
          <w:color w:val="auto"/>
        </w:rPr>
        <w:t xml:space="preserve"> </w:t>
      </w:r>
      <w:r w:rsidR="00726EC3" w:rsidRPr="00A00187">
        <w:rPr>
          <w:color w:val="auto"/>
        </w:rPr>
        <w:t>v</w:t>
      </w:r>
      <w:r w:rsidR="00726EC3">
        <w:rPr>
          <w:color w:val="auto"/>
        </w:rPr>
        <w:t> </w:t>
      </w:r>
      <w:r w:rsidR="003A7737" w:rsidRPr="00A00187">
        <w:rPr>
          <w:color w:val="auto"/>
        </w:rPr>
        <w:t>%</w:t>
      </w:r>
      <w:bookmarkEnd w:id="82"/>
      <w:bookmarkEnd w:id="83"/>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AC1E67" w:rsidRPr="00A00187" w14:paraId="1D294F6F" w14:textId="77777777" w:rsidTr="007A686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C80B15C" w14:textId="77777777"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5441" w:type="dxa"/>
            <w:gridSpan w:val="4"/>
            <w:tcBorders>
              <w:top w:val="double" w:sz="6" w:space="0" w:color="auto"/>
              <w:left w:val="nil"/>
              <w:bottom w:val="nil"/>
              <w:right w:val="nil"/>
            </w:tcBorders>
            <w:shd w:val="clear" w:color="auto" w:fill="auto"/>
            <w:noWrap/>
            <w:vAlign w:val="center"/>
            <w:hideMark/>
          </w:tcPr>
          <w:p w14:paraId="502100D2" w14:textId="77777777"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Podíl na celkovém počtu soudců dle věku</w:t>
            </w:r>
          </w:p>
        </w:tc>
      </w:tr>
      <w:tr w:rsidR="00AC1E67" w:rsidRPr="00A00187" w14:paraId="3FD3B7C7" w14:textId="77777777" w:rsidTr="007A6864">
        <w:trPr>
          <w:trHeight w:val="330"/>
        </w:trPr>
        <w:tc>
          <w:tcPr>
            <w:tcW w:w="2480" w:type="dxa"/>
            <w:vMerge/>
            <w:tcBorders>
              <w:top w:val="double" w:sz="6" w:space="0" w:color="auto"/>
              <w:left w:val="nil"/>
              <w:bottom w:val="double" w:sz="6" w:space="0" w:color="000000"/>
              <w:right w:val="nil"/>
            </w:tcBorders>
            <w:vAlign w:val="center"/>
            <w:hideMark/>
          </w:tcPr>
          <w:p w14:paraId="54D91251" w14:textId="77777777" w:rsidR="007A6864" w:rsidRPr="00A00187" w:rsidRDefault="007A6864" w:rsidP="007A6864">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26A081B9" w14:textId="77777777"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769D56F1" w14:textId="77777777"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0D1D595C" w14:textId="77777777"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39F9D100" w14:textId="77777777"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61 až 70 let</w:t>
            </w:r>
          </w:p>
        </w:tc>
      </w:tr>
      <w:tr w:rsidR="00AC1E67" w:rsidRPr="00A00187" w14:paraId="77784431" w14:textId="77777777" w:rsidTr="007A6864">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83E31C6"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450842A9" w14:textId="283CFE19"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17</w:t>
            </w:r>
            <w:r w:rsidR="00806CD7" w:rsidRPr="00A00187">
              <w:rPr>
                <w:rFonts w:eastAsia="Times New Roman"/>
                <w:szCs w:val="24"/>
                <w:lang w:eastAsia="cs-CZ"/>
              </w:rPr>
              <w:t>,</w:t>
            </w:r>
            <w:r w:rsidRPr="00A00187">
              <w:rPr>
                <w:rFonts w:eastAsia="Times New Roman"/>
                <w:szCs w:val="24"/>
                <w:lang w:eastAsia="cs-CZ"/>
              </w:rPr>
              <w:t>57</w:t>
            </w:r>
          </w:p>
        </w:tc>
        <w:tc>
          <w:tcPr>
            <w:tcW w:w="1355" w:type="dxa"/>
            <w:tcBorders>
              <w:top w:val="single" w:sz="4" w:space="0" w:color="auto"/>
              <w:left w:val="nil"/>
              <w:bottom w:val="single" w:sz="4" w:space="0" w:color="auto"/>
              <w:right w:val="nil"/>
            </w:tcBorders>
            <w:shd w:val="clear" w:color="auto" w:fill="auto"/>
            <w:noWrap/>
            <w:vAlign w:val="bottom"/>
            <w:hideMark/>
          </w:tcPr>
          <w:p w14:paraId="68F21D0B" w14:textId="0593138B"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43</w:t>
            </w:r>
            <w:r w:rsidR="00806CD7" w:rsidRPr="00A00187">
              <w:rPr>
                <w:rFonts w:eastAsia="Times New Roman"/>
                <w:szCs w:val="24"/>
                <w:lang w:eastAsia="cs-CZ"/>
              </w:rPr>
              <w:t>,</w:t>
            </w:r>
            <w:r w:rsidRPr="00A00187">
              <w:rPr>
                <w:rFonts w:eastAsia="Times New Roman"/>
                <w:szCs w:val="24"/>
                <w:lang w:eastAsia="cs-CZ"/>
              </w:rPr>
              <w:t>24</w:t>
            </w:r>
          </w:p>
        </w:tc>
        <w:tc>
          <w:tcPr>
            <w:tcW w:w="1355" w:type="dxa"/>
            <w:tcBorders>
              <w:top w:val="single" w:sz="4" w:space="0" w:color="auto"/>
              <w:left w:val="nil"/>
              <w:bottom w:val="single" w:sz="4" w:space="0" w:color="auto"/>
              <w:right w:val="nil"/>
            </w:tcBorders>
            <w:shd w:val="clear" w:color="auto" w:fill="auto"/>
            <w:noWrap/>
            <w:vAlign w:val="bottom"/>
            <w:hideMark/>
          </w:tcPr>
          <w:p w14:paraId="2B510C0F" w14:textId="1304F6F8"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26</w:t>
            </w:r>
            <w:r w:rsidR="00806CD7" w:rsidRPr="00A00187">
              <w:rPr>
                <w:rFonts w:eastAsia="Times New Roman"/>
                <w:szCs w:val="24"/>
                <w:lang w:eastAsia="cs-CZ"/>
              </w:rPr>
              <w:t>,</w:t>
            </w:r>
            <w:r w:rsidRPr="00A00187">
              <w:rPr>
                <w:rFonts w:eastAsia="Times New Roman"/>
                <w:szCs w:val="24"/>
                <w:lang w:eastAsia="cs-CZ"/>
              </w:rPr>
              <w:t>69</w:t>
            </w:r>
          </w:p>
        </w:tc>
        <w:tc>
          <w:tcPr>
            <w:tcW w:w="1355" w:type="dxa"/>
            <w:tcBorders>
              <w:top w:val="single" w:sz="4" w:space="0" w:color="auto"/>
              <w:left w:val="nil"/>
              <w:bottom w:val="single" w:sz="4" w:space="0" w:color="auto"/>
              <w:right w:val="nil"/>
            </w:tcBorders>
            <w:shd w:val="clear" w:color="auto" w:fill="auto"/>
            <w:noWrap/>
            <w:vAlign w:val="bottom"/>
            <w:hideMark/>
          </w:tcPr>
          <w:p w14:paraId="5F4865DA" w14:textId="05B3A02A"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12</w:t>
            </w:r>
            <w:r w:rsidR="00806CD7" w:rsidRPr="00A00187">
              <w:rPr>
                <w:rFonts w:eastAsia="Times New Roman"/>
                <w:szCs w:val="24"/>
                <w:lang w:eastAsia="cs-CZ"/>
              </w:rPr>
              <w:t>,</w:t>
            </w:r>
            <w:r w:rsidRPr="00A00187">
              <w:rPr>
                <w:rFonts w:eastAsia="Times New Roman"/>
                <w:szCs w:val="24"/>
                <w:lang w:eastAsia="cs-CZ"/>
              </w:rPr>
              <w:t>50</w:t>
            </w:r>
          </w:p>
        </w:tc>
      </w:tr>
      <w:tr w:rsidR="00AC1E67" w:rsidRPr="00A00187" w14:paraId="261A33A2" w14:textId="77777777" w:rsidTr="007A6864">
        <w:trPr>
          <w:trHeight w:val="315"/>
        </w:trPr>
        <w:tc>
          <w:tcPr>
            <w:tcW w:w="2480" w:type="dxa"/>
            <w:tcBorders>
              <w:top w:val="nil"/>
              <w:left w:val="nil"/>
              <w:bottom w:val="single" w:sz="4" w:space="0" w:color="auto"/>
              <w:right w:val="nil"/>
            </w:tcBorders>
            <w:shd w:val="clear" w:color="auto" w:fill="auto"/>
            <w:noWrap/>
            <w:vAlign w:val="bottom"/>
            <w:hideMark/>
          </w:tcPr>
          <w:p w14:paraId="5BDD107F"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4ACECC5A" w14:textId="383137E3"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36</w:t>
            </w:r>
            <w:r w:rsidR="00806CD7" w:rsidRPr="00A00187">
              <w:rPr>
                <w:rFonts w:eastAsia="Times New Roman"/>
                <w:szCs w:val="24"/>
                <w:lang w:eastAsia="cs-CZ"/>
              </w:rPr>
              <w:t>,</w:t>
            </w:r>
            <w:r w:rsidRPr="00A00187">
              <w:rPr>
                <w:rFonts w:eastAsia="Times New Roman"/>
                <w:szCs w:val="24"/>
                <w:lang w:eastAsia="cs-CZ"/>
              </w:rPr>
              <w:t>74</w:t>
            </w:r>
          </w:p>
        </w:tc>
        <w:tc>
          <w:tcPr>
            <w:tcW w:w="1355" w:type="dxa"/>
            <w:tcBorders>
              <w:top w:val="nil"/>
              <w:left w:val="nil"/>
              <w:bottom w:val="single" w:sz="4" w:space="0" w:color="auto"/>
              <w:right w:val="nil"/>
            </w:tcBorders>
            <w:shd w:val="clear" w:color="auto" w:fill="auto"/>
            <w:noWrap/>
            <w:vAlign w:val="bottom"/>
            <w:hideMark/>
          </w:tcPr>
          <w:p w14:paraId="7A8267F7" w14:textId="6AA0760B"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33</w:t>
            </w:r>
            <w:r w:rsidR="00806CD7" w:rsidRPr="00A00187">
              <w:rPr>
                <w:rFonts w:eastAsia="Times New Roman"/>
                <w:szCs w:val="24"/>
                <w:lang w:eastAsia="cs-CZ"/>
              </w:rPr>
              <w:t>,</w:t>
            </w:r>
            <w:r w:rsidRPr="00A00187">
              <w:rPr>
                <w:rFonts w:eastAsia="Times New Roman"/>
                <w:szCs w:val="24"/>
                <w:lang w:eastAsia="cs-CZ"/>
              </w:rPr>
              <w:t>95</w:t>
            </w:r>
          </w:p>
        </w:tc>
        <w:tc>
          <w:tcPr>
            <w:tcW w:w="1355" w:type="dxa"/>
            <w:tcBorders>
              <w:top w:val="nil"/>
              <w:left w:val="nil"/>
              <w:bottom w:val="single" w:sz="4" w:space="0" w:color="auto"/>
              <w:right w:val="nil"/>
            </w:tcBorders>
            <w:shd w:val="clear" w:color="auto" w:fill="auto"/>
            <w:noWrap/>
            <w:vAlign w:val="bottom"/>
            <w:hideMark/>
          </w:tcPr>
          <w:p w14:paraId="77DB75AC" w14:textId="53D23975"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19</w:t>
            </w:r>
            <w:r w:rsidR="00806CD7" w:rsidRPr="00A00187">
              <w:rPr>
                <w:rFonts w:eastAsia="Times New Roman"/>
                <w:szCs w:val="24"/>
                <w:lang w:eastAsia="cs-CZ"/>
              </w:rPr>
              <w:t>,</w:t>
            </w:r>
            <w:r w:rsidRPr="00A00187">
              <w:rPr>
                <w:rFonts w:eastAsia="Times New Roman"/>
                <w:szCs w:val="24"/>
                <w:lang w:eastAsia="cs-CZ"/>
              </w:rPr>
              <w:t>07</w:t>
            </w:r>
          </w:p>
        </w:tc>
        <w:tc>
          <w:tcPr>
            <w:tcW w:w="1355" w:type="dxa"/>
            <w:tcBorders>
              <w:top w:val="nil"/>
              <w:left w:val="nil"/>
              <w:bottom w:val="single" w:sz="4" w:space="0" w:color="auto"/>
              <w:right w:val="nil"/>
            </w:tcBorders>
            <w:shd w:val="clear" w:color="auto" w:fill="auto"/>
            <w:noWrap/>
            <w:vAlign w:val="bottom"/>
            <w:hideMark/>
          </w:tcPr>
          <w:p w14:paraId="393E4CEF" w14:textId="06A4B0AC"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10</w:t>
            </w:r>
            <w:r w:rsidR="00806CD7" w:rsidRPr="00A00187">
              <w:rPr>
                <w:rFonts w:eastAsia="Times New Roman"/>
                <w:szCs w:val="24"/>
                <w:lang w:eastAsia="cs-CZ"/>
              </w:rPr>
              <w:t>,</w:t>
            </w:r>
            <w:r w:rsidRPr="00A00187">
              <w:rPr>
                <w:rFonts w:eastAsia="Times New Roman"/>
                <w:szCs w:val="24"/>
                <w:lang w:eastAsia="cs-CZ"/>
              </w:rPr>
              <w:t>23</w:t>
            </w:r>
          </w:p>
        </w:tc>
      </w:tr>
      <w:tr w:rsidR="00AC1E67" w:rsidRPr="00A00187" w14:paraId="4D89679D" w14:textId="77777777" w:rsidTr="007A6864">
        <w:trPr>
          <w:trHeight w:val="315"/>
        </w:trPr>
        <w:tc>
          <w:tcPr>
            <w:tcW w:w="2480" w:type="dxa"/>
            <w:tcBorders>
              <w:top w:val="nil"/>
              <w:left w:val="nil"/>
              <w:bottom w:val="single" w:sz="4" w:space="0" w:color="auto"/>
              <w:right w:val="nil"/>
            </w:tcBorders>
            <w:shd w:val="clear" w:color="auto" w:fill="auto"/>
            <w:noWrap/>
            <w:vAlign w:val="bottom"/>
            <w:hideMark/>
          </w:tcPr>
          <w:p w14:paraId="563B9A47"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479A7A1F" w14:textId="4E0BF542"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17</w:t>
            </w:r>
            <w:r w:rsidR="00806CD7" w:rsidRPr="00A00187">
              <w:rPr>
                <w:rFonts w:eastAsia="Times New Roman"/>
                <w:szCs w:val="24"/>
                <w:lang w:eastAsia="cs-CZ"/>
              </w:rPr>
              <w:t>,</w:t>
            </w:r>
            <w:r w:rsidRPr="00A00187">
              <w:rPr>
                <w:rFonts w:eastAsia="Times New Roman"/>
                <w:szCs w:val="24"/>
                <w:lang w:eastAsia="cs-CZ"/>
              </w:rPr>
              <w:t>00</w:t>
            </w:r>
          </w:p>
        </w:tc>
        <w:tc>
          <w:tcPr>
            <w:tcW w:w="1355" w:type="dxa"/>
            <w:tcBorders>
              <w:top w:val="nil"/>
              <w:left w:val="nil"/>
              <w:bottom w:val="single" w:sz="4" w:space="0" w:color="auto"/>
              <w:right w:val="nil"/>
            </w:tcBorders>
            <w:shd w:val="clear" w:color="auto" w:fill="auto"/>
            <w:noWrap/>
            <w:vAlign w:val="bottom"/>
            <w:hideMark/>
          </w:tcPr>
          <w:p w14:paraId="0C4BD96C" w14:textId="3B2E0DAA"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42</w:t>
            </w:r>
            <w:r w:rsidR="00806CD7" w:rsidRPr="00A00187">
              <w:rPr>
                <w:rFonts w:eastAsia="Times New Roman"/>
                <w:szCs w:val="24"/>
                <w:lang w:eastAsia="cs-CZ"/>
              </w:rPr>
              <w:t>,</w:t>
            </w:r>
            <w:r w:rsidRPr="00A00187">
              <w:rPr>
                <w:rFonts w:eastAsia="Times New Roman"/>
                <w:szCs w:val="24"/>
                <w:lang w:eastAsia="cs-CZ"/>
              </w:rPr>
              <w:t>00</w:t>
            </w:r>
          </w:p>
        </w:tc>
        <w:tc>
          <w:tcPr>
            <w:tcW w:w="1355" w:type="dxa"/>
            <w:tcBorders>
              <w:top w:val="nil"/>
              <w:left w:val="nil"/>
              <w:bottom w:val="single" w:sz="4" w:space="0" w:color="auto"/>
              <w:right w:val="nil"/>
            </w:tcBorders>
            <w:shd w:val="clear" w:color="auto" w:fill="auto"/>
            <w:noWrap/>
            <w:vAlign w:val="bottom"/>
            <w:hideMark/>
          </w:tcPr>
          <w:p w14:paraId="54E0B5C3" w14:textId="50E6E97B"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26</w:t>
            </w:r>
            <w:r w:rsidR="00806CD7" w:rsidRPr="00A00187">
              <w:rPr>
                <w:rFonts w:eastAsia="Times New Roman"/>
                <w:szCs w:val="24"/>
                <w:lang w:eastAsia="cs-CZ"/>
              </w:rPr>
              <w:t>,</w:t>
            </w:r>
            <w:r w:rsidRPr="00A00187">
              <w:rPr>
                <w:rFonts w:eastAsia="Times New Roman"/>
                <w:szCs w:val="24"/>
                <w:lang w:eastAsia="cs-CZ"/>
              </w:rPr>
              <w:t>00</w:t>
            </w:r>
          </w:p>
        </w:tc>
        <w:tc>
          <w:tcPr>
            <w:tcW w:w="1355" w:type="dxa"/>
            <w:tcBorders>
              <w:top w:val="nil"/>
              <w:left w:val="nil"/>
              <w:bottom w:val="single" w:sz="4" w:space="0" w:color="auto"/>
              <w:right w:val="nil"/>
            </w:tcBorders>
            <w:shd w:val="clear" w:color="auto" w:fill="auto"/>
            <w:noWrap/>
            <w:vAlign w:val="bottom"/>
            <w:hideMark/>
          </w:tcPr>
          <w:p w14:paraId="4BA9D627" w14:textId="6F608C48"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15</w:t>
            </w:r>
            <w:r w:rsidR="00806CD7" w:rsidRPr="00A00187">
              <w:rPr>
                <w:rFonts w:eastAsia="Times New Roman"/>
                <w:szCs w:val="24"/>
                <w:lang w:eastAsia="cs-CZ"/>
              </w:rPr>
              <w:t>,</w:t>
            </w:r>
            <w:r w:rsidRPr="00A00187">
              <w:rPr>
                <w:rFonts w:eastAsia="Times New Roman"/>
                <w:szCs w:val="24"/>
                <w:lang w:eastAsia="cs-CZ"/>
              </w:rPr>
              <w:t>00</w:t>
            </w:r>
          </w:p>
        </w:tc>
      </w:tr>
      <w:tr w:rsidR="00AC1E67" w:rsidRPr="00A00187" w14:paraId="59368724" w14:textId="77777777" w:rsidTr="007A6864">
        <w:trPr>
          <w:trHeight w:val="315"/>
        </w:trPr>
        <w:tc>
          <w:tcPr>
            <w:tcW w:w="2480" w:type="dxa"/>
            <w:tcBorders>
              <w:top w:val="nil"/>
              <w:left w:val="nil"/>
              <w:bottom w:val="single" w:sz="4" w:space="0" w:color="auto"/>
              <w:right w:val="nil"/>
            </w:tcBorders>
            <w:shd w:val="clear" w:color="auto" w:fill="auto"/>
            <w:noWrap/>
            <w:vAlign w:val="bottom"/>
            <w:hideMark/>
          </w:tcPr>
          <w:p w14:paraId="2B58DCE2"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0B1EA4B2" w14:textId="27583B04"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14</w:t>
            </w:r>
            <w:r w:rsidR="00806CD7" w:rsidRPr="00A00187">
              <w:rPr>
                <w:rFonts w:eastAsia="Times New Roman"/>
                <w:szCs w:val="24"/>
                <w:lang w:eastAsia="cs-CZ"/>
              </w:rPr>
              <w:t>,</w:t>
            </w:r>
            <w:r w:rsidRPr="00A00187">
              <w:rPr>
                <w:rFonts w:eastAsia="Times New Roman"/>
                <w:szCs w:val="24"/>
                <w:lang w:eastAsia="cs-CZ"/>
              </w:rPr>
              <w:t>56</w:t>
            </w:r>
          </w:p>
        </w:tc>
        <w:tc>
          <w:tcPr>
            <w:tcW w:w="1355" w:type="dxa"/>
            <w:tcBorders>
              <w:top w:val="nil"/>
              <w:left w:val="nil"/>
              <w:bottom w:val="single" w:sz="4" w:space="0" w:color="auto"/>
              <w:right w:val="nil"/>
            </w:tcBorders>
            <w:shd w:val="clear" w:color="auto" w:fill="auto"/>
            <w:noWrap/>
            <w:vAlign w:val="bottom"/>
            <w:hideMark/>
          </w:tcPr>
          <w:p w14:paraId="31A0E4EE" w14:textId="7AD9894D"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54</w:t>
            </w:r>
            <w:r w:rsidR="00806CD7" w:rsidRPr="00A00187">
              <w:rPr>
                <w:rFonts w:eastAsia="Times New Roman"/>
                <w:szCs w:val="24"/>
                <w:lang w:eastAsia="cs-CZ"/>
              </w:rPr>
              <w:t>,</w:t>
            </w:r>
            <w:r w:rsidRPr="00A00187">
              <w:rPr>
                <w:rFonts w:eastAsia="Times New Roman"/>
                <w:szCs w:val="24"/>
                <w:lang w:eastAsia="cs-CZ"/>
              </w:rPr>
              <w:t>43</w:t>
            </w:r>
          </w:p>
        </w:tc>
        <w:tc>
          <w:tcPr>
            <w:tcW w:w="1355" w:type="dxa"/>
            <w:tcBorders>
              <w:top w:val="nil"/>
              <w:left w:val="nil"/>
              <w:bottom w:val="single" w:sz="4" w:space="0" w:color="auto"/>
              <w:right w:val="nil"/>
            </w:tcBorders>
            <w:shd w:val="clear" w:color="auto" w:fill="auto"/>
            <w:noWrap/>
            <w:vAlign w:val="bottom"/>
            <w:hideMark/>
          </w:tcPr>
          <w:p w14:paraId="047B5502" w14:textId="5F372E67"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15</w:t>
            </w:r>
            <w:r w:rsidR="00806CD7" w:rsidRPr="00A00187">
              <w:rPr>
                <w:rFonts w:eastAsia="Times New Roman"/>
                <w:szCs w:val="24"/>
                <w:lang w:eastAsia="cs-CZ"/>
              </w:rPr>
              <w:t>,</w:t>
            </w:r>
            <w:r w:rsidRPr="00A00187">
              <w:rPr>
                <w:rFonts w:eastAsia="Times New Roman"/>
                <w:szCs w:val="24"/>
                <w:lang w:eastAsia="cs-CZ"/>
              </w:rPr>
              <w:t>82</w:t>
            </w:r>
          </w:p>
        </w:tc>
        <w:tc>
          <w:tcPr>
            <w:tcW w:w="1355" w:type="dxa"/>
            <w:tcBorders>
              <w:top w:val="nil"/>
              <w:left w:val="nil"/>
              <w:bottom w:val="single" w:sz="4" w:space="0" w:color="auto"/>
              <w:right w:val="nil"/>
            </w:tcBorders>
            <w:shd w:val="clear" w:color="auto" w:fill="auto"/>
            <w:noWrap/>
            <w:vAlign w:val="bottom"/>
            <w:hideMark/>
          </w:tcPr>
          <w:p w14:paraId="0A78D957" w14:textId="786279CF"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15</w:t>
            </w:r>
            <w:r w:rsidR="00806CD7" w:rsidRPr="00A00187">
              <w:rPr>
                <w:rFonts w:eastAsia="Times New Roman"/>
                <w:szCs w:val="24"/>
                <w:lang w:eastAsia="cs-CZ"/>
              </w:rPr>
              <w:t>,</w:t>
            </w:r>
            <w:r w:rsidRPr="00A00187">
              <w:rPr>
                <w:rFonts w:eastAsia="Times New Roman"/>
                <w:szCs w:val="24"/>
                <w:lang w:eastAsia="cs-CZ"/>
              </w:rPr>
              <w:t>19</w:t>
            </w:r>
          </w:p>
        </w:tc>
      </w:tr>
      <w:tr w:rsidR="00AC1E67" w:rsidRPr="00A00187" w14:paraId="27EBC5BF" w14:textId="77777777" w:rsidTr="007A6864">
        <w:trPr>
          <w:trHeight w:val="315"/>
        </w:trPr>
        <w:tc>
          <w:tcPr>
            <w:tcW w:w="2480" w:type="dxa"/>
            <w:tcBorders>
              <w:top w:val="nil"/>
              <w:left w:val="nil"/>
              <w:bottom w:val="single" w:sz="4" w:space="0" w:color="auto"/>
              <w:right w:val="nil"/>
            </w:tcBorders>
            <w:shd w:val="clear" w:color="auto" w:fill="auto"/>
            <w:noWrap/>
            <w:vAlign w:val="bottom"/>
            <w:hideMark/>
          </w:tcPr>
          <w:p w14:paraId="1BEB542F"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2E095C54" w14:textId="023BF612"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28</w:t>
            </w:r>
            <w:r w:rsidR="00806CD7" w:rsidRPr="00A00187">
              <w:rPr>
                <w:rFonts w:eastAsia="Times New Roman"/>
                <w:szCs w:val="24"/>
                <w:lang w:eastAsia="cs-CZ"/>
              </w:rPr>
              <w:t>,</w:t>
            </w:r>
            <w:r w:rsidRPr="00A00187">
              <w:rPr>
                <w:rFonts w:eastAsia="Times New Roman"/>
                <w:szCs w:val="24"/>
                <w:lang w:eastAsia="cs-CZ"/>
              </w:rPr>
              <w:t>62</w:t>
            </w:r>
          </w:p>
        </w:tc>
        <w:tc>
          <w:tcPr>
            <w:tcW w:w="1355" w:type="dxa"/>
            <w:tcBorders>
              <w:top w:val="nil"/>
              <w:left w:val="nil"/>
              <w:bottom w:val="single" w:sz="4" w:space="0" w:color="auto"/>
              <w:right w:val="nil"/>
            </w:tcBorders>
            <w:shd w:val="clear" w:color="auto" w:fill="auto"/>
            <w:noWrap/>
            <w:vAlign w:val="bottom"/>
            <w:hideMark/>
          </w:tcPr>
          <w:p w14:paraId="3827C068" w14:textId="456242D2"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38</w:t>
            </w:r>
            <w:r w:rsidR="00806CD7" w:rsidRPr="00A00187">
              <w:rPr>
                <w:rFonts w:eastAsia="Times New Roman"/>
                <w:szCs w:val="24"/>
                <w:lang w:eastAsia="cs-CZ"/>
              </w:rPr>
              <w:t>,</w:t>
            </w:r>
            <w:r w:rsidRPr="00A00187">
              <w:rPr>
                <w:rFonts w:eastAsia="Times New Roman"/>
                <w:szCs w:val="24"/>
                <w:lang w:eastAsia="cs-CZ"/>
              </w:rPr>
              <w:t>41</w:t>
            </w:r>
          </w:p>
        </w:tc>
        <w:tc>
          <w:tcPr>
            <w:tcW w:w="1355" w:type="dxa"/>
            <w:tcBorders>
              <w:top w:val="nil"/>
              <w:left w:val="nil"/>
              <w:bottom w:val="single" w:sz="4" w:space="0" w:color="auto"/>
              <w:right w:val="nil"/>
            </w:tcBorders>
            <w:shd w:val="clear" w:color="auto" w:fill="auto"/>
            <w:noWrap/>
            <w:vAlign w:val="bottom"/>
            <w:hideMark/>
          </w:tcPr>
          <w:p w14:paraId="680D30F8" w14:textId="52933003"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23</w:t>
            </w:r>
            <w:r w:rsidR="00806CD7" w:rsidRPr="00A00187">
              <w:rPr>
                <w:rFonts w:eastAsia="Times New Roman"/>
                <w:szCs w:val="24"/>
                <w:lang w:eastAsia="cs-CZ"/>
              </w:rPr>
              <w:t>,</w:t>
            </w:r>
            <w:r w:rsidRPr="00A00187">
              <w:rPr>
                <w:rFonts w:eastAsia="Times New Roman"/>
                <w:szCs w:val="24"/>
                <w:lang w:eastAsia="cs-CZ"/>
              </w:rPr>
              <w:t>19</w:t>
            </w:r>
          </w:p>
        </w:tc>
        <w:tc>
          <w:tcPr>
            <w:tcW w:w="1355" w:type="dxa"/>
            <w:tcBorders>
              <w:top w:val="nil"/>
              <w:left w:val="nil"/>
              <w:bottom w:val="single" w:sz="4" w:space="0" w:color="auto"/>
              <w:right w:val="nil"/>
            </w:tcBorders>
            <w:shd w:val="clear" w:color="auto" w:fill="auto"/>
            <w:noWrap/>
            <w:vAlign w:val="bottom"/>
            <w:hideMark/>
          </w:tcPr>
          <w:p w14:paraId="5D1C761B" w14:textId="383F68C8"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9</w:t>
            </w:r>
            <w:r w:rsidR="00806CD7" w:rsidRPr="00A00187">
              <w:rPr>
                <w:rFonts w:eastAsia="Times New Roman"/>
                <w:szCs w:val="24"/>
                <w:lang w:eastAsia="cs-CZ"/>
              </w:rPr>
              <w:t>,</w:t>
            </w:r>
            <w:r w:rsidRPr="00A00187">
              <w:rPr>
                <w:rFonts w:eastAsia="Times New Roman"/>
                <w:szCs w:val="24"/>
                <w:lang w:eastAsia="cs-CZ"/>
              </w:rPr>
              <w:t>78</w:t>
            </w:r>
          </w:p>
        </w:tc>
      </w:tr>
      <w:tr w:rsidR="00AC1E67" w:rsidRPr="00A00187" w14:paraId="045307C9" w14:textId="77777777" w:rsidTr="007A6864">
        <w:trPr>
          <w:trHeight w:val="315"/>
        </w:trPr>
        <w:tc>
          <w:tcPr>
            <w:tcW w:w="2480" w:type="dxa"/>
            <w:tcBorders>
              <w:top w:val="nil"/>
              <w:left w:val="nil"/>
              <w:bottom w:val="single" w:sz="4" w:space="0" w:color="auto"/>
              <w:right w:val="nil"/>
            </w:tcBorders>
            <w:shd w:val="clear" w:color="auto" w:fill="auto"/>
            <w:noWrap/>
            <w:vAlign w:val="bottom"/>
            <w:hideMark/>
          </w:tcPr>
          <w:p w14:paraId="1B0E055C"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03F04D27" w14:textId="63B32B1B"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21</w:t>
            </w:r>
            <w:r w:rsidR="00806CD7" w:rsidRPr="00A00187">
              <w:rPr>
                <w:rFonts w:eastAsia="Times New Roman"/>
                <w:szCs w:val="24"/>
                <w:lang w:eastAsia="cs-CZ"/>
              </w:rPr>
              <w:t>,</w:t>
            </w:r>
            <w:r w:rsidRPr="00A00187">
              <w:rPr>
                <w:rFonts w:eastAsia="Times New Roman"/>
                <w:szCs w:val="24"/>
                <w:lang w:eastAsia="cs-CZ"/>
              </w:rPr>
              <w:t>51</w:t>
            </w:r>
          </w:p>
        </w:tc>
        <w:tc>
          <w:tcPr>
            <w:tcW w:w="1355" w:type="dxa"/>
            <w:tcBorders>
              <w:top w:val="nil"/>
              <w:left w:val="nil"/>
              <w:bottom w:val="single" w:sz="4" w:space="0" w:color="auto"/>
              <w:right w:val="nil"/>
            </w:tcBorders>
            <w:shd w:val="clear" w:color="auto" w:fill="auto"/>
            <w:noWrap/>
            <w:vAlign w:val="bottom"/>
            <w:hideMark/>
          </w:tcPr>
          <w:p w14:paraId="34CC8385" w14:textId="159BA704"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37</w:t>
            </w:r>
            <w:r w:rsidR="00806CD7" w:rsidRPr="00A00187">
              <w:rPr>
                <w:rFonts w:eastAsia="Times New Roman"/>
                <w:szCs w:val="24"/>
                <w:lang w:eastAsia="cs-CZ"/>
              </w:rPr>
              <w:t>,</w:t>
            </w:r>
            <w:r w:rsidRPr="00A00187">
              <w:rPr>
                <w:rFonts w:eastAsia="Times New Roman"/>
                <w:szCs w:val="24"/>
                <w:lang w:eastAsia="cs-CZ"/>
              </w:rPr>
              <w:t>21</w:t>
            </w:r>
          </w:p>
        </w:tc>
        <w:tc>
          <w:tcPr>
            <w:tcW w:w="1355" w:type="dxa"/>
            <w:tcBorders>
              <w:top w:val="nil"/>
              <w:left w:val="nil"/>
              <w:bottom w:val="single" w:sz="4" w:space="0" w:color="auto"/>
              <w:right w:val="nil"/>
            </w:tcBorders>
            <w:shd w:val="clear" w:color="auto" w:fill="auto"/>
            <w:noWrap/>
            <w:vAlign w:val="bottom"/>
            <w:hideMark/>
          </w:tcPr>
          <w:p w14:paraId="24DE618E" w14:textId="61F3C0F6"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28</w:t>
            </w:r>
            <w:r w:rsidR="00806CD7" w:rsidRPr="00A00187">
              <w:rPr>
                <w:rFonts w:eastAsia="Times New Roman"/>
                <w:szCs w:val="24"/>
                <w:lang w:eastAsia="cs-CZ"/>
              </w:rPr>
              <w:t>,</w:t>
            </w:r>
            <w:r w:rsidRPr="00A00187">
              <w:rPr>
                <w:rFonts w:eastAsia="Times New Roman"/>
                <w:szCs w:val="24"/>
                <w:lang w:eastAsia="cs-CZ"/>
              </w:rPr>
              <w:t>49</w:t>
            </w:r>
          </w:p>
        </w:tc>
        <w:tc>
          <w:tcPr>
            <w:tcW w:w="1355" w:type="dxa"/>
            <w:tcBorders>
              <w:top w:val="nil"/>
              <w:left w:val="nil"/>
              <w:bottom w:val="single" w:sz="4" w:space="0" w:color="auto"/>
              <w:right w:val="nil"/>
            </w:tcBorders>
            <w:shd w:val="clear" w:color="auto" w:fill="auto"/>
            <w:noWrap/>
            <w:vAlign w:val="bottom"/>
            <w:hideMark/>
          </w:tcPr>
          <w:p w14:paraId="02514F12" w14:textId="7B5033D6"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12</w:t>
            </w:r>
            <w:r w:rsidR="00806CD7" w:rsidRPr="00A00187">
              <w:rPr>
                <w:rFonts w:eastAsia="Times New Roman"/>
                <w:szCs w:val="24"/>
                <w:lang w:eastAsia="cs-CZ"/>
              </w:rPr>
              <w:t>,</w:t>
            </w:r>
            <w:r w:rsidRPr="00A00187">
              <w:rPr>
                <w:rFonts w:eastAsia="Times New Roman"/>
                <w:szCs w:val="24"/>
                <w:lang w:eastAsia="cs-CZ"/>
              </w:rPr>
              <w:t>79</w:t>
            </w:r>
          </w:p>
        </w:tc>
      </w:tr>
      <w:tr w:rsidR="00AC1E67" w:rsidRPr="00A00187" w14:paraId="0B5979B8" w14:textId="77777777" w:rsidTr="007A6864">
        <w:trPr>
          <w:trHeight w:val="315"/>
        </w:trPr>
        <w:tc>
          <w:tcPr>
            <w:tcW w:w="2480" w:type="dxa"/>
            <w:tcBorders>
              <w:top w:val="nil"/>
              <w:left w:val="nil"/>
              <w:bottom w:val="single" w:sz="4" w:space="0" w:color="auto"/>
              <w:right w:val="nil"/>
            </w:tcBorders>
            <w:shd w:val="clear" w:color="auto" w:fill="auto"/>
            <w:noWrap/>
            <w:vAlign w:val="bottom"/>
            <w:hideMark/>
          </w:tcPr>
          <w:p w14:paraId="005E5DE0"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3F441928" w14:textId="3D766787"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22</w:t>
            </w:r>
            <w:r w:rsidR="00806CD7" w:rsidRPr="00A00187">
              <w:rPr>
                <w:rFonts w:eastAsia="Times New Roman"/>
                <w:szCs w:val="24"/>
                <w:lang w:eastAsia="cs-CZ"/>
              </w:rPr>
              <w:t>,</w:t>
            </w:r>
            <w:r w:rsidRPr="00A00187">
              <w:rPr>
                <w:rFonts w:eastAsia="Times New Roman"/>
                <w:szCs w:val="24"/>
                <w:lang w:eastAsia="cs-CZ"/>
              </w:rPr>
              <w:t>11</w:t>
            </w:r>
          </w:p>
        </w:tc>
        <w:tc>
          <w:tcPr>
            <w:tcW w:w="1355" w:type="dxa"/>
            <w:tcBorders>
              <w:top w:val="nil"/>
              <w:left w:val="nil"/>
              <w:bottom w:val="single" w:sz="4" w:space="0" w:color="auto"/>
              <w:right w:val="nil"/>
            </w:tcBorders>
            <w:shd w:val="clear" w:color="auto" w:fill="auto"/>
            <w:noWrap/>
            <w:vAlign w:val="bottom"/>
            <w:hideMark/>
          </w:tcPr>
          <w:p w14:paraId="3285E65C" w14:textId="623009AA"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41</w:t>
            </w:r>
            <w:r w:rsidR="00806CD7" w:rsidRPr="00A00187">
              <w:rPr>
                <w:rFonts w:eastAsia="Times New Roman"/>
                <w:szCs w:val="24"/>
                <w:lang w:eastAsia="cs-CZ"/>
              </w:rPr>
              <w:t>,</w:t>
            </w:r>
            <w:r w:rsidRPr="00A00187">
              <w:rPr>
                <w:rFonts w:eastAsia="Times New Roman"/>
                <w:szCs w:val="24"/>
                <w:lang w:eastAsia="cs-CZ"/>
              </w:rPr>
              <w:t>40</w:t>
            </w:r>
          </w:p>
        </w:tc>
        <w:tc>
          <w:tcPr>
            <w:tcW w:w="1355" w:type="dxa"/>
            <w:tcBorders>
              <w:top w:val="nil"/>
              <w:left w:val="nil"/>
              <w:bottom w:val="single" w:sz="4" w:space="0" w:color="auto"/>
              <w:right w:val="nil"/>
            </w:tcBorders>
            <w:shd w:val="clear" w:color="auto" w:fill="auto"/>
            <w:noWrap/>
            <w:vAlign w:val="bottom"/>
            <w:hideMark/>
          </w:tcPr>
          <w:p w14:paraId="55E315B0" w14:textId="6DC0EE20"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23</w:t>
            </w:r>
            <w:r w:rsidR="00806CD7" w:rsidRPr="00A00187">
              <w:rPr>
                <w:rFonts w:eastAsia="Times New Roman"/>
                <w:szCs w:val="24"/>
                <w:lang w:eastAsia="cs-CZ"/>
              </w:rPr>
              <w:t>,</w:t>
            </w:r>
            <w:r w:rsidRPr="00A00187">
              <w:rPr>
                <w:rFonts w:eastAsia="Times New Roman"/>
                <w:szCs w:val="24"/>
                <w:lang w:eastAsia="cs-CZ"/>
              </w:rPr>
              <w:t>86</w:t>
            </w:r>
          </w:p>
        </w:tc>
        <w:tc>
          <w:tcPr>
            <w:tcW w:w="1355" w:type="dxa"/>
            <w:tcBorders>
              <w:top w:val="nil"/>
              <w:left w:val="nil"/>
              <w:bottom w:val="single" w:sz="4" w:space="0" w:color="auto"/>
              <w:right w:val="nil"/>
            </w:tcBorders>
            <w:shd w:val="clear" w:color="auto" w:fill="auto"/>
            <w:noWrap/>
            <w:vAlign w:val="bottom"/>
            <w:hideMark/>
          </w:tcPr>
          <w:p w14:paraId="03C3D89C" w14:textId="40EB0B4D"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12</w:t>
            </w:r>
            <w:r w:rsidR="00806CD7" w:rsidRPr="00A00187">
              <w:rPr>
                <w:rFonts w:eastAsia="Times New Roman"/>
                <w:szCs w:val="24"/>
                <w:lang w:eastAsia="cs-CZ"/>
              </w:rPr>
              <w:t>,</w:t>
            </w:r>
            <w:r w:rsidRPr="00A00187">
              <w:rPr>
                <w:rFonts w:eastAsia="Times New Roman"/>
                <w:szCs w:val="24"/>
                <w:lang w:eastAsia="cs-CZ"/>
              </w:rPr>
              <w:t>63</w:t>
            </w:r>
          </w:p>
        </w:tc>
      </w:tr>
      <w:tr w:rsidR="00AC1E67" w:rsidRPr="00A00187" w14:paraId="19AEEE65" w14:textId="77777777" w:rsidTr="007A6864">
        <w:trPr>
          <w:trHeight w:val="330"/>
        </w:trPr>
        <w:tc>
          <w:tcPr>
            <w:tcW w:w="2480" w:type="dxa"/>
            <w:tcBorders>
              <w:top w:val="nil"/>
              <w:left w:val="nil"/>
              <w:bottom w:val="double" w:sz="6" w:space="0" w:color="auto"/>
              <w:right w:val="nil"/>
            </w:tcBorders>
            <w:shd w:val="clear" w:color="auto" w:fill="auto"/>
            <w:noWrap/>
            <w:vAlign w:val="bottom"/>
            <w:hideMark/>
          </w:tcPr>
          <w:p w14:paraId="029F3F4B" w14:textId="77777777" w:rsidR="007A6864" w:rsidRPr="00A00187" w:rsidRDefault="007A6864" w:rsidP="007A6864">
            <w:pPr>
              <w:spacing w:line="240" w:lineRule="auto"/>
              <w:jc w:val="left"/>
              <w:rPr>
                <w:rFonts w:eastAsia="Times New Roman"/>
                <w:szCs w:val="24"/>
                <w:lang w:eastAsia="cs-CZ"/>
              </w:rPr>
            </w:pPr>
            <w:r w:rsidRPr="00A00187">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324BE39C" w14:textId="44C989BA"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21</w:t>
            </w:r>
            <w:r w:rsidR="00806CD7" w:rsidRPr="00A00187">
              <w:rPr>
                <w:rFonts w:eastAsia="Times New Roman"/>
                <w:szCs w:val="24"/>
                <w:lang w:eastAsia="cs-CZ"/>
              </w:rPr>
              <w:t>,</w:t>
            </w:r>
            <w:r w:rsidRPr="00A00187">
              <w:rPr>
                <w:rFonts w:eastAsia="Times New Roman"/>
                <w:szCs w:val="24"/>
                <w:lang w:eastAsia="cs-CZ"/>
              </w:rPr>
              <w:t>15</w:t>
            </w:r>
          </w:p>
        </w:tc>
        <w:tc>
          <w:tcPr>
            <w:tcW w:w="1355" w:type="dxa"/>
            <w:tcBorders>
              <w:top w:val="nil"/>
              <w:left w:val="nil"/>
              <w:bottom w:val="double" w:sz="6" w:space="0" w:color="auto"/>
              <w:right w:val="nil"/>
            </w:tcBorders>
            <w:shd w:val="clear" w:color="auto" w:fill="auto"/>
            <w:noWrap/>
            <w:vAlign w:val="bottom"/>
            <w:hideMark/>
          </w:tcPr>
          <w:p w14:paraId="24679677" w14:textId="09C1DCAC"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42</w:t>
            </w:r>
            <w:r w:rsidR="00806CD7" w:rsidRPr="00A00187">
              <w:rPr>
                <w:rFonts w:eastAsia="Times New Roman"/>
                <w:szCs w:val="24"/>
                <w:lang w:eastAsia="cs-CZ"/>
              </w:rPr>
              <w:t>,</w:t>
            </w:r>
            <w:r w:rsidRPr="00A00187">
              <w:rPr>
                <w:rFonts w:eastAsia="Times New Roman"/>
                <w:szCs w:val="24"/>
                <w:lang w:eastAsia="cs-CZ"/>
              </w:rPr>
              <w:t>63</w:t>
            </w:r>
          </w:p>
        </w:tc>
        <w:tc>
          <w:tcPr>
            <w:tcW w:w="1355" w:type="dxa"/>
            <w:tcBorders>
              <w:top w:val="nil"/>
              <w:left w:val="nil"/>
              <w:bottom w:val="double" w:sz="6" w:space="0" w:color="auto"/>
              <w:right w:val="nil"/>
            </w:tcBorders>
            <w:shd w:val="clear" w:color="auto" w:fill="auto"/>
            <w:noWrap/>
            <w:vAlign w:val="bottom"/>
            <w:hideMark/>
          </w:tcPr>
          <w:p w14:paraId="350425F4" w14:textId="1961E6F1"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25</w:t>
            </w:r>
            <w:r w:rsidR="00806CD7" w:rsidRPr="00A00187">
              <w:rPr>
                <w:rFonts w:eastAsia="Times New Roman"/>
                <w:szCs w:val="24"/>
                <w:lang w:eastAsia="cs-CZ"/>
              </w:rPr>
              <w:t>,</w:t>
            </w:r>
            <w:r w:rsidRPr="00A00187">
              <w:rPr>
                <w:rFonts w:eastAsia="Times New Roman"/>
                <w:szCs w:val="24"/>
                <w:lang w:eastAsia="cs-CZ"/>
              </w:rPr>
              <w:t>32</w:t>
            </w:r>
          </w:p>
        </w:tc>
        <w:tc>
          <w:tcPr>
            <w:tcW w:w="1355" w:type="dxa"/>
            <w:tcBorders>
              <w:top w:val="nil"/>
              <w:left w:val="nil"/>
              <w:bottom w:val="double" w:sz="6" w:space="0" w:color="auto"/>
              <w:right w:val="nil"/>
            </w:tcBorders>
            <w:shd w:val="clear" w:color="auto" w:fill="auto"/>
            <w:noWrap/>
            <w:vAlign w:val="bottom"/>
            <w:hideMark/>
          </w:tcPr>
          <w:p w14:paraId="7B30C97E" w14:textId="0CC2BB75" w:rsidR="007A6864" w:rsidRPr="00A00187" w:rsidRDefault="007A6864" w:rsidP="007A6864">
            <w:pPr>
              <w:spacing w:line="240" w:lineRule="auto"/>
              <w:jc w:val="center"/>
              <w:rPr>
                <w:rFonts w:eastAsia="Times New Roman"/>
                <w:szCs w:val="24"/>
                <w:lang w:eastAsia="cs-CZ"/>
              </w:rPr>
            </w:pPr>
            <w:r w:rsidRPr="00A00187">
              <w:rPr>
                <w:rFonts w:eastAsia="Times New Roman"/>
                <w:szCs w:val="24"/>
                <w:lang w:eastAsia="cs-CZ"/>
              </w:rPr>
              <w:t>10</w:t>
            </w:r>
            <w:r w:rsidR="00806CD7" w:rsidRPr="00A00187">
              <w:rPr>
                <w:rFonts w:eastAsia="Times New Roman"/>
                <w:szCs w:val="24"/>
                <w:lang w:eastAsia="cs-CZ"/>
              </w:rPr>
              <w:t>,</w:t>
            </w:r>
            <w:r w:rsidRPr="00A00187">
              <w:rPr>
                <w:rFonts w:eastAsia="Times New Roman"/>
                <w:szCs w:val="24"/>
                <w:lang w:eastAsia="cs-CZ"/>
              </w:rPr>
              <w:t>90</w:t>
            </w:r>
          </w:p>
        </w:tc>
      </w:tr>
      <w:tr w:rsidR="007A6864" w:rsidRPr="00A00187" w14:paraId="198DF5A8" w14:textId="77777777" w:rsidTr="007A6864">
        <w:trPr>
          <w:trHeight w:val="345"/>
        </w:trPr>
        <w:tc>
          <w:tcPr>
            <w:tcW w:w="2480" w:type="dxa"/>
            <w:tcBorders>
              <w:top w:val="nil"/>
              <w:left w:val="nil"/>
              <w:bottom w:val="double" w:sz="6" w:space="0" w:color="auto"/>
              <w:right w:val="nil"/>
            </w:tcBorders>
            <w:shd w:val="clear" w:color="auto" w:fill="auto"/>
            <w:noWrap/>
            <w:vAlign w:val="bottom"/>
            <w:hideMark/>
          </w:tcPr>
          <w:p w14:paraId="66FC69D6" w14:textId="77777777" w:rsidR="007A6864" w:rsidRPr="00A00187" w:rsidRDefault="007A6864" w:rsidP="007A6864">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7C752C14" w14:textId="3DB609F2"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22</w:t>
            </w:r>
            <w:r w:rsidR="00806CD7" w:rsidRPr="00A00187">
              <w:rPr>
                <w:rFonts w:eastAsia="Times New Roman"/>
                <w:b/>
                <w:bCs/>
                <w:szCs w:val="24"/>
                <w:lang w:eastAsia="cs-CZ"/>
              </w:rPr>
              <w:t>,</w:t>
            </w:r>
            <w:r w:rsidRPr="00A00187">
              <w:rPr>
                <w:rFonts w:eastAsia="Times New Roman"/>
                <w:b/>
                <w:bCs/>
                <w:szCs w:val="24"/>
                <w:lang w:eastAsia="cs-CZ"/>
              </w:rPr>
              <w:t>93</w:t>
            </w:r>
          </w:p>
        </w:tc>
        <w:tc>
          <w:tcPr>
            <w:tcW w:w="1355" w:type="dxa"/>
            <w:tcBorders>
              <w:top w:val="nil"/>
              <w:left w:val="nil"/>
              <w:bottom w:val="double" w:sz="6" w:space="0" w:color="auto"/>
              <w:right w:val="nil"/>
            </w:tcBorders>
            <w:shd w:val="clear" w:color="auto" w:fill="auto"/>
            <w:noWrap/>
            <w:vAlign w:val="bottom"/>
            <w:hideMark/>
          </w:tcPr>
          <w:p w14:paraId="3628E657" w14:textId="54E4632A"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41</w:t>
            </w:r>
            <w:r w:rsidR="00806CD7" w:rsidRPr="00A00187">
              <w:rPr>
                <w:rFonts w:eastAsia="Times New Roman"/>
                <w:b/>
                <w:bCs/>
                <w:szCs w:val="24"/>
                <w:lang w:eastAsia="cs-CZ"/>
              </w:rPr>
              <w:t>,</w:t>
            </w:r>
            <w:r w:rsidRPr="00A00187">
              <w:rPr>
                <w:rFonts w:eastAsia="Times New Roman"/>
                <w:b/>
                <w:bCs/>
                <w:szCs w:val="24"/>
                <w:lang w:eastAsia="cs-CZ"/>
              </w:rPr>
              <w:t>35</w:t>
            </w:r>
          </w:p>
        </w:tc>
        <w:tc>
          <w:tcPr>
            <w:tcW w:w="1355" w:type="dxa"/>
            <w:tcBorders>
              <w:top w:val="nil"/>
              <w:left w:val="nil"/>
              <w:bottom w:val="double" w:sz="6" w:space="0" w:color="auto"/>
              <w:right w:val="nil"/>
            </w:tcBorders>
            <w:shd w:val="clear" w:color="auto" w:fill="auto"/>
            <w:noWrap/>
            <w:vAlign w:val="bottom"/>
            <w:hideMark/>
          </w:tcPr>
          <w:p w14:paraId="5A1960CF" w14:textId="6C755F86"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23</w:t>
            </w:r>
            <w:r w:rsidR="00806CD7" w:rsidRPr="00A00187">
              <w:rPr>
                <w:rFonts w:eastAsia="Times New Roman"/>
                <w:b/>
                <w:bCs/>
                <w:szCs w:val="24"/>
                <w:lang w:eastAsia="cs-CZ"/>
              </w:rPr>
              <w:t>,</w:t>
            </w:r>
            <w:r w:rsidRPr="00A00187">
              <w:rPr>
                <w:rFonts w:eastAsia="Times New Roman"/>
                <w:b/>
                <w:bCs/>
                <w:szCs w:val="24"/>
                <w:lang w:eastAsia="cs-CZ"/>
              </w:rPr>
              <w:t>76</w:t>
            </w:r>
          </w:p>
        </w:tc>
        <w:tc>
          <w:tcPr>
            <w:tcW w:w="1355" w:type="dxa"/>
            <w:tcBorders>
              <w:top w:val="nil"/>
              <w:left w:val="nil"/>
              <w:bottom w:val="double" w:sz="6" w:space="0" w:color="auto"/>
              <w:right w:val="nil"/>
            </w:tcBorders>
            <w:shd w:val="clear" w:color="auto" w:fill="auto"/>
            <w:noWrap/>
            <w:vAlign w:val="bottom"/>
            <w:hideMark/>
          </w:tcPr>
          <w:p w14:paraId="1AA3D0CD" w14:textId="0DCC1DFE" w:rsidR="007A6864" w:rsidRPr="00A00187" w:rsidRDefault="007A6864" w:rsidP="007A6864">
            <w:pPr>
              <w:spacing w:line="240" w:lineRule="auto"/>
              <w:jc w:val="center"/>
              <w:rPr>
                <w:rFonts w:eastAsia="Times New Roman"/>
                <w:b/>
                <w:bCs/>
                <w:szCs w:val="24"/>
                <w:lang w:eastAsia="cs-CZ"/>
              </w:rPr>
            </w:pPr>
            <w:r w:rsidRPr="00A00187">
              <w:rPr>
                <w:rFonts w:eastAsia="Times New Roman"/>
                <w:b/>
                <w:bCs/>
                <w:szCs w:val="24"/>
                <w:lang w:eastAsia="cs-CZ"/>
              </w:rPr>
              <w:t>11</w:t>
            </w:r>
            <w:r w:rsidR="00806CD7" w:rsidRPr="00A00187">
              <w:rPr>
                <w:rFonts w:eastAsia="Times New Roman"/>
                <w:b/>
                <w:bCs/>
                <w:szCs w:val="24"/>
                <w:lang w:eastAsia="cs-CZ"/>
              </w:rPr>
              <w:t>,</w:t>
            </w:r>
            <w:r w:rsidRPr="00A00187">
              <w:rPr>
                <w:rFonts w:eastAsia="Times New Roman"/>
                <w:b/>
                <w:bCs/>
                <w:szCs w:val="24"/>
                <w:lang w:eastAsia="cs-CZ"/>
              </w:rPr>
              <w:t>96</w:t>
            </w:r>
          </w:p>
        </w:tc>
      </w:tr>
    </w:tbl>
    <w:p w14:paraId="1FE29E44" w14:textId="77777777" w:rsidR="007A6864" w:rsidRPr="00A00187" w:rsidRDefault="007A6864" w:rsidP="007A6864"/>
    <w:p w14:paraId="4FC960D2" w14:textId="48093DFC" w:rsidR="00167F87" w:rsidRPr="00A00187" w:rsidRDefault="00167F87" w:rsidP="00167F87">
      <w:pPr>
        <w:pStyle w:val="OdstavecASR"/>
      </w:pPr>
      <w:r w:rsidRPr="00A00187">
        <w:t xml:space="preserve">Posledním ukazatelem, na který se v této části zaměříme, bude srovnání plánovaného a evidenčního počtu soudců v jednotlivých krajích za posledních </w:t>
      </w:r>
      <w:r w:rsidR="0020731E" w:rsidRPr="00A00187">
        <w:t>7</w:t>
      </w:r>
      <w:r w:rsidRPr="00A00187">
        <w:t> let. Tento ukazatel může pomoci identifikovat, zda je v nějakých krajích dlouhodobý rozdíl mezi evidenčním a plánovaným počtem soudců. Průměry za celé období najdeme v následující tabulce:</w:t>
      </w:r>
    </w:p>
    <w:p w14:paraId="02C4B030" w14:textId="417D0030" w:rsidR="00167F87" w:rsidRPr="00A00187" w:rsidRDefault="00167F87" w:rsidP="00167F87">
      <w:pPr>
        <w:pStyle w:val="Podnadpis"/>
        <w:rPr>
          <w:color w:val="auto"/>
        </w:rPr>
      </w:pPr>
      <w:bookmarkStart w:id="84" w:name="_Toc75952308"/>
      <w:bookmarkStart w:id="85" w:name="_Toc106106767"/>
      <w:bookmarkStart w:id="86" w:name="_Toc109802090"/>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5</w:t>
      </w:r>
      <w:r w:rsidRPr="00A00187">
        <w:rPr>
          <w:noProof/>
          <w:color w:val="auto"/>
        </w:rPr>
        <w:fldChar w:fldCharType="end"/>
      </w:r>
      <w:r w:rsidRPr="00A00187">
        <w:rPr>
          <w:color w:val="auto"/>
        </w:rPr>
        <w:t xml:space="preserve">: OS – srovnání evidenčního a plánovaného počtu soudců za </w:t>
      </w:r>
      <w:r w:rsidR="0020731E" w:rsidRPr="00A00187">
        <w:rPr>
          <w:color w:val="auto"/>
        </w:rPr>
        <w:t>7</w:t>
      </w:r>
      <w:r w:rsidRPr="00A00187">
        <w:rPr>
          <w:color w:val="auto"/>
        </w:rPr>
        <w:t> let</w:t>
      </w:r>
      <w:bookmarkEnd w:id="84"/>
      <w:bookmarkEnd w:id="85"/>
      <w:bookmarkEnd w:id="86"/>
    </w:p>
    <w:tbl>
      <w:tblPr>
        <w:tblW w:w="7920" w:type="dxa"/>
        <w:tblCellMar>
          <w:left w:w="70" w:type="dxa"/>
          <w:right w:w="70" w:type="dxa"/>
        </w:tblCellMar>
        <w:tblLook w:val="04A0" w:firstRow="1" w:lastRow="0" w:firstColumn="1" w:lastColumn="0" w:noHBand="0" w:noVBand="1"/>
      </w:tblPr>
      <w:tblGrid>
        <w:gridCol w:w="2236"/>
        <w:gridCol w:w="1506"/>
        <w:gridCol w:w="1750"/>
        <w:gridCol w:w="2428"/>
      </w:tblGrid>
      <w:tr w:rsidR="00AC1E67" w:rsidRPr="00A00187" w14:paraId="1D2C647E" w14:textId="77777777" w:rsidTr="00167F87">
        <w:trPr>
          <w:trHeight w:val="330"/>
        </w:trPr>
        <w:tc>
          <w:tcPr>
            <w:tcW w:w="2236" w:type="dxa"/>
            <w:vMerge w:val="restart"/>
            <w:tcBorders>
              <w:top w:val="double" w:sz="6" w:space="0" w:color="auto"/>
              <w:left w:val="nil"/>
              <w:bottom w:val="double" w:sz="6" w:space="0" w:color="000000"/>
              <w:right w:val="nil"/>
            </w:tcBorders>
            <w:shd w:val="clear" w:color="auto" w:fill="auto"/>
            <w:noWrap/>
            <w:vAlign w:val="center"/>
            <w:hideMark/>
          </w:tcPr>
          <w:p w14:paraId="0A5F1ECA" w14:textId="77777777" w:rsidR="00167F87" w:rsidRPr="00A00187" w:rsidRDefault="00167F87" w:rsidP="00167F87">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256" w:type="dxa"/>
            <w:gridSpan w:val="2"/>
            <w:tcBorders>
              <w:top w:val="double" w:sz="6" w:space="0" w:color="auto"/>
              <w:left w:val="nil"/>
              <w:bottom w:val="nil"/>
              <w:right w:val="nil"/>
            </w:tcBorders>
            <w:shd w:val="clear" w:color="auto" w:fill="auto"/>
            <w:noWrap/>
            <w:vAlign w:val="bottom"/>
            <w:hideMark/>
          </w:tcPr>
          <w:p w14:paraId="7E2CF2DC" w14:textId="77777777" w:rsidR="00167F87" w:rsidRPr="00A00187" w:rsidRDefault="00167F87" w:rsidP="00167F87">
            <w:pPr>
              <w:spacing w:line="240" w:lineRule="auto"/>
              <w:jc w:val="center"/>
              <w:rPr>
                <w:rFonts w:eastAsia="Times New Roman"/>
                <w:b/>
                <w:bCs/>
                <w:szCs w:val="24"/>
                <w:lang w:eastAsia="cs-CZ"/>
              </w:rPr>
            </w:pPr>
            <w:r w:rsidRPr="00A00187">
              <w:rPr>
                <w:rFonts w:eastAsia="Times New Roman"/>
                <w:b/>
                <w:bCs/>
                <w:szCs w:val="24"/>
                <w:lang w:eastAsia="cs-CZ"/>
              </w:rPr>
              <w:t>Průměrný počet soudců</w:t>
            </w:r>
          </w:p>
        </w:tc>
        <w:tc>
          <w:tcPr>
            <w:tcW w:w="2428" w:type="dxa"/>
            <w:vMerge w:val="restart"/>
            <w:tcBorders>
              <w:top w:val="double" w:sz="6" w:space="0" w:color="auto"/>
              <w:left w:val="nil"/>
              <w:bottom w:val="double" w:sz="6" w:space="0" w:color="000000"/>
              <w:right w:val="nil"/>
            </w:tcBorders>
            <w:shd w:val="clear" w:color="auto" w:fill="auto"/>
            <w:vAlign w:val="center"/>
            <w:hideMark/>
          </w:tcPr>
          <w:p w14:paraId="1D6DED11" w14:textId="7C31EFE2" w:rsidR="00167F87" w:rsidRPr="00A00187" w:rsidRDefault="00167F87" w:rsidP="00167F87">
            <w:pPr>
              <w:spacing w:line="240" w:lineRule="auto"/>
              <w:jc w:val="center"/>
              <w:rPr>
                <w:rFonts w:eastAsia="Times New Roman"/>
                <w:b/>
                <w:bCs/>
                <w:szCs w:val="24"/>
                <w:lang w:eastAsia="cs-CZ"/>
              </w:rPr>
            </w:pPr>
            <w:r w:rsidRPr="00A00187">
              <w:rPr>
                <w:rFonts w:eastAsia="Times New Roman"/>
                <w:b/>
                <w:bCs/>
                <w:szCs w:val="24"/>
                <w:lang w:eastAsia="cs-CZ"/>
              </w:rPr>
              <w:t>Nadstav/podstav v</w:t>
            </w:r>
            <w:r w:rsidR="00CB570A">
              <w:rPr>
                <w:rFonts w:eastAsia="Times New Roman"/>
                <w:b/>
                <w:bCs/>
                <w:szCs w:val="24"/>
                <w:lang w:eastAsia="cs-CZ"/>
              </w:rPr>
              <w:t> </w:t>
            </w:r>
            <w:r w:rsidRPr="00A00187">
              <w:rPr>
                <w:rFonts w:eastAsia="Times New Roman"/>
                <w:b/>
                <w:bCs/>
                <w:szCs w:val="24"/>
                <w:lang w:eastAsia="cs-CZ"/>
              </w:rPr>
              <w:t>%</w:t>
            </w:r>
          </w:p>
        </w:tc>
      </w:tr>
      <w:tr w:rsidR="00AC1E67" w:rsidRPr="00A00187" w14:paraId="4829B6A5" w14:textId="77777777" w:rsidTr="00167F87">
        <w:trPr>
          <w:trHeight w:val="330"/>
        </w:trPr>
        <w:tc>
          <w:tcPr>
            <w:tcW w:w="2236" w:type="dxa"/>
            <w:vMerge/>
            <w:tcBorders>
              <w:top w:val="double" w:sz="6" w:space="0" w:color="auto"/>
              <w:left w:val="nil"/>
              <w:bottom w:val="double" w:sz="6" w:space="0" w:color="000000"/>
              <w:right w:val="nil"/>
            </w:tcBorders>
            <w:vAlign w:val="center"/>
            <w:hideMark/>
          </w:tcPr>
          <w:p w14:paraId="4B17FBE8" w14:textId="77777777" w:rsidR="00167F87" w:rsidRPr="00A00187" w:rsidRDefault="00167F87" w:rsidP="00167F87">
            <w:pPr>
              <w:spacing w:line="240" w:lineRule="auto"/>
              <w:jc w:val="left"/>
              <w:rPr>
                <w:rFonts w:eastAsia="Times New Roman"/>
                <w:b/>
                <w:bCs/>
                <w:szCs w:val="24"/>
                <w:lang w:eastAsia="cs-CZ"/>
              </w:rPr>
            </w:pPr>
          </w:p>
        </w:tc>
        <w:tc>
          <w:tcPr>
            <w:tcW w:w="1506" w:type="dxa"/>
            <w:tcBorders>
              <w:top w:val="nil"/>
              <w:left w:val="nil"/>
              <w:bottom w:val="double" w:sz="6" w:space="0" w:color="auto"/>
              <w:right w:val="nil"/>
            </w:tcBorders>
            <w:shd w:val="clear" w:color="auto" w:fill="auto"/>
            <w:noWrap/>
            <w:vAlign w:val="bottom"/>
            <w:hideMark/>
          </w:tcPr>
          <w:p w14:paraId="7227CDB8" w14:textId="3E7ADD7E" w:rsidR="00167F87" w:rsidRPr="00A00187" w:rsidRDefault="009D057B" w:rsidP="00167F87">
            <w:pPr>
              <w:spacing w:line="240" w:lineRule="auto"/>
              <w:jc w:val="center"/>
              <w:rPr>
                <w:rFonts w:eastAsia="Times New Roman"/>
                <w:b/>
                <w:bCs/>
                <w:szCs w:val="24"/>
                <w:lang w:eastAsia="cs-CZ"/>
              </w:rPr>
            </w:pPr>
            <w:r w:rsidRPr="00A00187">
              <w:rPr>
                <w:rFonts w:eastAsia="Times New Roman"/>
                <w:b/>
                <w:bCs/>
                <w:szCs w:val="24"/>
                <w:lang w:eastAsia="cs-CZ"/>
              </w:rPr>
              <w:t>Evidenční</w:t>
            </w:r>
          </w:p>
        </w:tc>
        <w:tc>
          <w:tcPr>
            <w:tcW w:w="1750" w:type="dxa"/>
            <w:tcBorders>
              <w:top w:val="nil"/>
              <w:left w:val="nil"/>
              <w:bottom w:val="double" w:sz="6" w:space="0" w:color="auto"/>
              <w:right w:val="nil"/>
            </w:tcBorders>
            <w:shd w:val="clear" w:color="auto" w:fill="auto"/>
            <w:noWrap/>
            <w:vAlign w:val="bottom"/>
            <w:hideMark/>
          </w:tcPr>
          <w:p w14:paraId="7C0BEEE5" w14:textId="77777777" w:rsidR="00167F87" w:rsidRPr="00A00187" w:rsidRDefault="00167F87" w:rsidP="00167F87">
            <w:pPr>
              <w:spacing w:line="240" w:lineRule="auto"/>
              <w:jc w:val="center"/>
              <w:rPr>
                <w:rFonts w:eastAsia="Times New Roman"/>
                <w:b/>
                <w:bCs/>
                <w:szCs w:val="24"/>
                <w:lang w:eastAsia="cs-CZ"/>
              </w:rPr>
            </w:pPr>
            <w:r w:rsidRPr="00A00187">
              <w:rPr>
                <w:rFonts w:eastAsia="Times New Roman"/>
                <w:b/>
                <w:bCs/>
                <w:szCs w:val="24"/>
                <w:lang w:eastAsia="cs-CZ"/>
              </w:rPr>
              <w:t>Plánovaný</w:t>
            </w:r>
          </w:p>
        </w:tc>
        <w:tc>
          <w:tcPr>
            <w:tcW w:w="2428" w:type="dxa"/>
            <w:vMerge/>
            <w:tcBorders>
              <w:top w:val="double" w:sz="6" w:space="0" w:color="auto"/>
              <w:left w:val="nil"/>
              <w:bottom w:val="double" w:sz="6" w:space="0" w:color="000000"/>
              <w:right w:val="nil"/>
            </w:tcBorders>
            <w:vAlign w:val="center"/>
            <w:hideMark/>
          </w:tcPr>
          <w:p w14:paraId="70D8CC7C" w14:textId="77777777" w:rsidR="00167F87" w:rsidRPr="00A00187" w:rsidRDefault="00167F87" w:rsidP="00167F87">
            <w:pPr>
              <w:spacing w:line="240" w:lineRule="auto"/>
              <w:jc w:val="left"/>
              <w:rPr>
                <w:rFonts w:eastAsia="Times New Roman"/>
                <w:b/>
                <w:bCs/>
                <w:szCs w:val="24"/>
                <w:lang w:eastAsia="cs-CZ"/>
              </w:rPr>
            </w:pPr>
          </w:p>
        </w:tc>
      </w:tr>
      <w:tr w:rsidR="00AC1E67" w:rsidRPr="00A00187" w14:paraId="6A762E2F" w14:textId="77777777" w:rsidTr="00167F87">
        <w:trPr>
          <w:trHeight w:val="330"/>
        </w:trPr>
        <w:tc>
          <w:tcPr>
            <w:tcW w:w="2236" w:type="dxa"/>
            <w:tcBorders>
              <w:top w:val="nil"/>
              <w:left w:val="nil"/>
              <w:bottom w:val="single" w:sz="4" w:space="0" w:color="auto"/>
              <w:right w:val="nil"/>
            </w:tcBorders>
            <w:shd w:val="clear" w:color="auto" w:fill="auto"/>
            <w:noWrap/>
            <w:vAlign w:val="bottom"/>
            <w:hideMark/>
          </w:tcPr>
          <w:p w14:paraId="0350ACB0"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MS Praha</w:t>
            </w:r>
          </w:p>
        </w:tc>
        <w:tc>
          <w:tcPr>
            <w:tcW w:w="1506" w:type="dxa"/>
            <w:tcBorders>
              <w:top w:val="nil"/>
              <w:left w:val="nil"/>
              <w:bottom w:val="single" w:sz="4" w:space="0" w:color="auto"/>
              <w:right w:val="nil"/>
            </w:tcBorders>
            <w:shd w:val="clear" w:color="auto" w:fill="auto"/>
            <w:noWrap/>
            <w:vAlign w:val="bottom"/>
            <w:hideMark/>
          </w:tcPr>
          <w:p w14:paraId="48FDA01F" w14:textId="7099EC79"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312</w:t>
            </w:r>
            <w:r w:rsidR="0020731E" w:rsidRPr="00A00187">
              <w:rPr>
                <w:rFonts w:eastAsia="Times New Roman"/>
                <w:szCs w:val="24"/>
                <w:lang w:eastAsia="cs-CZ"/>
              </w:rPr>
              <w:t>,</w:t>
            </w:r>
            <w:r w:rsidRPr="00A00187">
              <w:rPr>
                <w:rFonts w:eastAsia="Times New Roman"/>
                <w:szCs w:val="24"/>
                <w:lang w:eastAsia="cs-CZ"/>
              </w:rPr>
              <w:t>1</w:t>
            </w:r>
          </w:p>
        </w:tc>
        <w:tc>
          <w:tcPr>
            <w:tcW w:w="1750" w:type="dxa"/>
            <w:tcBorders>
              <w:top w:val="nil"/>
              <w:left w:val="nil"/>
              <w:bottom w:val="single" w:sz="4" w:space="0" w:color="auto"/>
              <w:right w:val="nil"/>
            </w:tcBorders>
            <w:shd w:val="clear" w:color="auto" w:fill="auto"/>
            <w:noWrap/>
            <w:vAlign w:val="bottom"/>
            <w:hideMark/>
          </w:tcPr>
          <w:p w14:paraId="44F4AA58" w14:textId="318DBEC9"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285</w:t>
            </w:r>
            <w:r w:rsidR="0020731E" w:rsidRPr="00A00187">
              <w:rPr>
                <w:rFonts w:eastAsia="Times New Roman"/>
                <w:szCs w:val="24"/>
                <w:lang w:eastAsia="cs-CZ"/>
              </w:rPr>
              <w:t>,</w:t>
            </w:r>
            <w:r w:rsidRPr="00A00187">
              <w:rPr>
                <w:rFonts w:eastAsia="Times New Roman"/>
                <w:szCs w:val="24"/>
                <w:lang w:eastAsia="cs-CZ"/>
              </w:rPr>
              <w:t>6</w:t>
            </w:r>
          </w:p>
        </w:tc>
        <w:tc>
          <w:tcPr>
            <w:tcW w:w="2428" w:type="dxa"/>
            <w:tcBorders>
              <w:top w:val="nil"/>
              <w:left w:val="nil"/>
              <w:bottom w:val="single" w:sz="4" w:space="0" w:color="auto"/>
              <w:right w:val="nil"/>
            </w:tcBorders>
            <w:shd w:val="clear" w:color="auto" w:fill="auto"/>
            <w:noWrap/>
            <w:vAlign w:val="bottom"/>
            <w:hideMark/>
          </w:tcPr>
          <w:p w14:paraId="7937BDB8" w14:textId="7BBD3304"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9</w:t>
            </w:r>
            <w:r w:rsidR="0020731E" w:rsidRPr="00A00187">
              <w:rPr>
                <w:rFonts w:eastAsia="Times New Roman"/>
                <w:szCs w:val="24"/>
                <w:lang w:eastAsia="cs-CZ"/>
              </w:rPr>
              <w:t>,</w:t>
            </w:r>
            <w:r w:rsidRPr="00A00187">
              <w:rPr>
                <w:rFonts w:eastAsia="Times New Roman"/>
                <w:szCs w:val="24"/>
                <w:lang w:eastAsia="cs-CZ"/>
              </w:rPr>
              <w:t>30</w:t>
            </w:r>
          </w:p>
        </w:tc>
      </w:tr>
      <w:tr w:rsidR="00AC1E67" w:rsidRPr="00A00187" w14:paraId="586DB129" w14:textId="77777777" w:rsidTr="00167F87">
        <w:trPr>
          <w:trHeight w:val="315"/>
        </w:trPr>
        <w:tc>
          <w:tcPr>
            <w:tcW w:w="2236" w:type="dxa"/>
            <w:tcBorders>
              <w:top w:val="nil"/>
              <w:left w:val="nil"/>
              <w:bottom w:val="single" w:sz="4" w:space="0" w:color="auto"/>
              <w:right w:val="nil"/>
            </w:tcBorders>
            <w:shd w:val="clear" w:color="auto" w:fill="auto"/>
            <w:noWrap/>
            <w:vAlign w:val="bottom"/>
            <w:hideMark/>
          </w:tcPr>
          <w:p w14:paraId="52D6A21B"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KS Praha</w:t>
            </w:r>
          </w:p>
        </w:tc>
        <w:tc>
          <w:tcPr>
            <w:tcW w:w="1506" w:type="dxa"/>
            <w:tcBorders>
              <w:top w:val="nil"/>
              <w:left w:val="nil"/>
              <w:bottom w:val="single" w:sz="4" w:space="0" w:color="auto"/>
              <w:right w:val="nil"/>
            </w:tcBorders>
            <w:shd w:val="clear" w:color="auto" w:fill="auto"/>
            <w:noWrap/>
            <w:vAlign w:val="bottom"/>
            <w:hideMark/>
          </w:tcPr>
          <w:p w14:paraId="0F15C845" w14:textId="27754EC3"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202</w:t>
            </w:r>
            <w:r w:rsidR="0020731E" w:rsidRPr="00A00187">
              <w:rPr>
                <w:rFonts w:eastAsia="Times New Roman"/>
                <w:szCs w:val="24"/>
                <w:lang w:eastAsia="cs-CZ"/>
              </w:rPr>
              <w:t>,</w:t>
            </w:r>
            <w:r w:rsidRPr="00A00187">
              <w:rPr>
                <w:rFonts w:eastAsia="Times New Roman"/>
                <w:szCs w:val="24"/>
                <w:lang w:eastAsia="cs-CZ"/>
              </w:rPr>
              <w:t>0</w:t>
            </w:r>
          </w:p>
        </w:tc>
        <w:tc>
          <w:tcPr>
            <w:tcW w:w="1750" w:type="dxa"/>
            <w:tcBorders>
              <w:top w:val="nil"/>
              <w:left w:val="nil"/>
              <w:bottom w:val="single" w:sz="4" w:space="0" w:color="auto"/>
              <w:right w:val="nil"/>
            </w:tcBorders>
            <w:shd w:val="clear" w:color="auto" w:fill="auto"/>
            <w:noWrap/>
            <w:vAlign w:val="bottom"/>
            <w:hideMark/>
          </w:tcPr>
          <w:p w14:paraId="51B0A61A" w14:textId="7F169507"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203</w:t>
            </w:r>
            <w:r w:rsidR="0020731E" w:rsidRPr="00A00187">
              <w:rPr>
                <w:rFonts w:eastAsia="Times New Roman"/>
                <w:szCs w:val="24"/>
                <w:lang w:eastAsia="cs-CZ"/>
              </w:rPr>
              <w:t>,</w:t>
            </w:r>
            <w:r w:rsidRPr="00A00187">
              <w:rPr>
                <w:rFonts w:eastAsia="Times New Roman"/>
                <w:szCs w:val="24"/>
                <w:lang w:eastAsia="cs-CZ"/>
              </w:rPr>
              <w:t>7</w:t>
            </w:r>
          </w:p>
        </w:tc>
        <w:tc>
          <w:tcPr>
            <w:tcW w:w="2428" w:type="dxa"/>
            <w:tcBorders>
              <w:top w:val="nil"/>
              <w:left w:val="nil"/>
              <w:bottom w:val="single" w:sz="4" w:space="0" w:color="auto"/>
              <w:right w:val="nil"/>
            </w:tcBorders>
            <w:shd w:val="clear" w:color="auto" w:fill="auto"/>
            <w:noWrap/>
            <w:vAlign w:val="bottom"/>
            <w:hideMark/>
          </w:tcPr>
          <w:p w14:paraId="00E125A4" w14:textId="5603AA28"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-0</w:t>
            </w:r>
            <w:r w:rsidR="0020731E" w:rsidRPr="00A00187">
              <w:rPr>
                <w:rFonts w:eastAsia="Times New Roman"/>
                <w:szCs w:val="24"/>
                <w:lang w:eastAsia="cs-CZ"/>
              </w:rPr>
              <w:t>,</w:t>
            </w:r>
            <w:r w:rsidRPr="00A00187">
              <w:rPr>
                <w:rFonts w:eastAsia="Times New Roman"/>
                <w:szCs w:val="24"/>
                <w:lang w:eastAsia="cs-CZ"/>
              </w:rPr>
              <w:t>84</w:t>
            </w:r>
          </w:p>
        </w:tc>
      </w:tr>
      <w:tr w:rsidR="00AC1E67" w:rsidRPr="00A00187" w14:paraId="6CEBFDF7" w14:textId="77777777" w:rsidTr="00167F87">
        <w:trPr>
          <w:trHeight w:val="315"/>
        </w:trPr>
        <w:tc>
          <w:tcPr>
            <w:tcW w:w="2236" w:type="dxa"/>
            <w:tcBorders>
              <w:top w:val="nil"/>
              <w:left w:val="nil"/>
              <w:bottom w:val="single" w:sz="4" w:space="0" w:color="auto"/>
              <w:right w:val="nil"/>
            </w:tcBorders>
            <w:shd w:val="clear" w:color="auto" w:fill="auto"/>
            <w:noWrap/>
            <w:vAlign w:val="bottom"/>
            <w:hideMark/>
          </w:tcPr>
          <w:p w14:paraId="03324EA9"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KS Č. Budějovice</w:t>
            </w:r>
          </w:p>
        </w:tc>
        <w:tc>
          <w:tcPr>
            <w:tcW w:w="1506" w:type="dxa"/>
            <w:tcBorders>
              <w:top w:val="nil"/>
              <w:left w:val="nil"/>
              <w:bottom w:val="single" w:sz="4" w:space="0" w:color="auto"/>
              <w:right w:val="nil"/>
            </w:tcBorders>
            <w:shd w:val="clear" w:color="auto" w:fill="auto"/>
            <w:noWrap/>
            <w:vAlign w:val="bottom"/>
            <w:hideMark/>
          </w:tcPr>
          <w:p w14:paraId="3C006364" w14:textId="23607A60"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103</w:t>
            </w:r>
            <w:r w:rsidR="0020731E" w:rsidRPr="00A00187">
              <w:rPr>
                <w:rFonts w:eastAsia="Times New Roman"/>
                <w:szCs w:val="24"/>
                <w:lang w:eastAsia="cs-CZ"/>
              </w:rPr>
              <w:t>,</w:t>
            </w:r>
            <w:r w:rsidRPr="00A00187">
              <w:rPr>
                <w:rFonts w:eastAsia="Times New Roman"/>
                <w:szCs w:val="24"/>
                <w:lang w:eastAsia="cs-CZ"/>
              </w:rPr>
              <w:t>3</w:t>
            </w:r>
          </w:p>
        </w:tc>
        <w:tc>
          <w:tcPr>
            <w:tcW w:w="1750" w:type="dxa"/>
            <w:tcBorders>
              <w:top w:val="nil"/>
              <w:left w:val="nil"/>
              <w:bottom w:val="single" w:sz="4" w:space="0" w:color="auto"/>
              <w:right w:val="nil"/>
            </w:tcBorders>
            <w:shd w:val="clear" w:color="auto" w:fill="auto"/>
            <w:noWrap/>
            <w:vAlign w:val="bottom"/>
            <w:hideMark/>
          </w:tcPr>
          <w:p w14:paraId="75F1BD6E" w14:textId="048202C5"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102</w:t>
            </w:r>
            <w:r w:rsidR="0020731E" w:rsidRPr="00A00187">
              <w:rPr>
                <w:rFonts w:eastAsia="Times New Roman"/>
                <w:szCs w:val="24"/>
                <w:lang w:eastAsia="cs-CZ"/>
              </w:rPr>
              <w:t>,</w:t>
            </w:r>
            <w:r w:rsidRPr="00A00187">
              <w:rPr>
                <w:rFonts w:eastAsia="Times New Roman"/>
                <w:szCs w:val="24"/>
                <w:lang w:eastAsia="cs-CZ"/>
              </w:rPr>
              <w:t>1</w:t>
            </w:r>
          </w:p>
        </w:tc>
        <w:tc>
          <w:tcPr>
            <w:tcW w:w="2428" w:type="dxa"/>
            <w:tcBorders>
              <w:top w:val="nil"/>
              <w:left w:val="nil"/>
              <w:bottom w:val="single" w:sz="4" w:space="0" w:color="auto"/>
              <w:right w:val="nil"/>
            </w:tcBorders>
            <w:shd w:val="clear" w:color="auto" w:fill="auto"/>
            <w:noWrap/>
            <w:vAlign w:val="bottom"/>
            <w:hideMark/>
          </w:tcPr>
          <w:p w14:paraId="55FD2E74" w14:textId="53FAF6ED"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w:t>
            </w:r>
            <w:r w:rsidR="0020731E" w:rsidRPr="00A00187">
              <w:rPr>
                <w:rFonts w:eastAsia="Times New Roman"/>
                <w:szCs w:val="24"/>
                <w:lang w:eastAsia="cs-CZ"/>
              </w:rPr>
              <w:t>,</w:t>
            </w:r>
            <w:r w:rsidRPr="00A00187">
              <w:rPr>
                <w:rFonts w:eastAsia="Times New Roman"/>
                <w:szCs w:val="24"/>
                <w:lang w:eastAsia="cs-CZ"/>
              </w:rPr>
              <w:t>12</w:t>
            </w:r>
          </w:p>
        </w:tc>
      </w:tr>
      <w:tr w:rsidR="00AC1E67" w:rsidRPr="00A00187" w14:paraId="739BBFCF" w14:textId="77777777" w:rsidTr="00167F87">
        <w:trPr>
          <w:trHeight w:val="315"/>
        </w:trPr>
        <w:tc>
          <w:tcPr>
            <w:tcW w:w="2236" w:type="dxa"/>
            <w:tcBorders>
              <w:top w:val="nil"/>
              <w:left w:val="nil"/>
              <w:bottom w:val="single" w:sz="4" w:space="0" w:color="auto"/>
              <w:right w:val="nil"/>
            </w:tcBorders>
            <w:shd w:val="clear" w:color="auto" w:fill="auto"/>
            <w:noWrap/>
            <w:vAlign w:val="bottom"/>
            <w:hideMark/>
          </w:tcPr>
          <w:p w14:paraId="347AE72A"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KS Plzeň</w:t>
            </w:r>
          </w:p>
        </w:tc>
        <w:tc>
          <w:tcPr>
            <w:tcW w:w="1506" w:type="dxa"/>
            <w:tcBorders>
              <w:top w:val="nil"/>
              <w:left w:val="nil"/>
              <w:bottom w:val="single" w:sz="4" w:space="0" w:color="auto"/>
              <w:right w:val="nil"/>
            </w:tcBorders>
            <w:shd w:val="clear" w:color="auto" w:fill="auto"/>
            <w:noWrap/>
            <w:vAlign w:val="bottom"/>
            <w:hideMark/>
          </w:tcPr>
          <w:p w14:paraId="6A03089A" w14:textId="42239643"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160</w:t>
            </w:r>
            <w:r w:rsidR="0020731E" w:rsidRPr="00A00187">
              <w:rPr>
                <w:rFonts w:eastAsia="Times New Roman"/>
                <w:szCs w:val="24"/>
                <w:lang w:eastAsia="cs-CZ"/>
              </w:rPr>
              <w:t>,</w:t>
            </w:r>
            <w:r w:rsidRPr="00A00187">
              <w:rPr>
                <w:rFonts w:eastAsia="Times New Roman"/>
                <w:szCs w:val="24"/>
                <w:lang w:eastAsia="cs-CZ"/>
              </w:rPr>
              <w:t>9</w:t>
            </w:r>
          </w:p>
        </w:tc>
        <w:tc>
          <w:tcPr>
            <w:tcW w:w="1750" w:type="dxa"/>
            <w:tcBorders>
              <w:top w:val="nil"/>
              <w:left w:val="nil"/>
              <w:bottom w:val="single" w:sz="4" w:space="0" w:color="auto"/>
              <w:right w:val="nil"/>
            </w:tcBorders>
            <w:shd w:val="clear" w:color="auto" w:fill="auto"/>
            <w:noWrap/>
            <w:vAlign w:val="bottom"/>
            <w:hideMark/>
          </w:tcPr>
          <w:p w14:paraId="116DEDB1" w14:textId="75F3EFFE"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160</w:t>
            </w:r>
            <w:r w:rsidR="0020731E" w:rsidRPr="00A00187">
              <w:rPr>
                <w:rFonts w:eastAsia="Times New Roman"/>
                <w:szCs w:val="24"/>
                <w:lang w:eastAsia="cs-CZ"/>
              </w:rPr>
              <w:t>,</w:t>
            </w:r>
            <w:r w:rsidRPr="00A00187">
              <w:rPr>
                <w:rFonts w:eastAsia="Times New Roman"/>
                <w:szCs w:val="24"/>
                <w:lang w:eastAsia="cs-CZ"/>
              </w:rPr>
              <w:t>6</w:t>
            </w:r>
          </w:p>
        </w:tc>
        <w:tc>
          <w:tcPr>
            <w:tcW w:w="2428" w:type="dxa"/>
            <w:tcBorders>
              <w:top w:val="nil"/>
              <w:left w:val="nil"/>
              <w:bottom w:val="single" w:sz="4" w:space="0" w:color="auto"/>
              <w:right w:val="nil"/>
            </w:tcBorders>
            <w:shd w:val="clear" w:color="auto" w:fill="auto"/>
            <w:noWrap/>
            <w:vAlign w:val="bottom"/>
            <w:hideMark/>
          </w:tcPr>
          <w:p w14:paraId="41444870" w14:textId="6F5E6823"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0</w:t>
            </w:r>
            <w:r w:rsidR="0020731E" w:rsidRPr="00A00187">
              <w:rPr>
                <w:rFonts w:eastAsia="Times New Roman"/>
                <w:szCs w:val="24"/>
                <w:lang w:eastAsia="cs-CZ"/>
              </w:rPr>
              <w:t>,</w:t>
            </w:r>
            <w:r w:rsidRPr="00A00187">
              <w:rPr>
                <w:rFonts w:eastAsia="Times New Roman"/>
                <w:szCs w:val="24"/>
                <w:lang w:eastAsia="cs-CZ"/>
              </w:rPr>
              <w:t>18</w:t>
            </w:r>
          </w:p>
        </w:tc>
      </w:tr>
      <w:tr w:rsidR="00AC1E67" w:rsidRPr="00A00187" w14:paraId="4E408891" w14:textId="77777777" w:rsidTr="00167F87">
        <w:trPr>
          <w:trHeight w:val="315"/>
        </w:trPr>
        <w:tc>
          <w:tcPr>
            <w:tcW w:w="2236" w:type="dxa"/>
            <w:tcBorders>
              <w:top w:val="nil"/>
              <w:left w:val="nil"/>
              <w:bottom w:val="single" w:sz="4" w:space="0" w:color="auto"/>
              <w:right w:val="nil"/>
            </w:tcBorders>
            <w:shd w:val="clear" w:color="auto" w:fill="auto"/>
            <w:noWrap/>
            <w:vAlign w:val="bottom"/>
            <w:hideMark/>
          </w:tcPr>
          <w:p w14:paraId="391A6136"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KS Ústí n. Labem</w:t>
            </w:r>
          </w:p>
        </w:tc>
        <w:tc>
          <w:tcPr>
            <w:tcW w:w="1506" w:type="dxa"/>
            <w:tcBorders>
              <w:top w:val="nil"/>
              <w:left w:val="nil"/>
              <w:bottom w:val="single" w:sz="4" w:space="0" w:color="auto"/>
              <w:right w:val="nil"/>
            </w:tcBorders>
            <w:shd w:val="clear" w:color="auto" w:fill="auto"/>
            <w:noWrap/>
            <w:vAlign w:val="bottom"/>
            <w:hideMark/>
          </w:tcPr>
          <w:p w14:paraId="44101595" w14:textId="141A071C"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275</w:t>
            </w:r>
            <w:r w:rsidR="0020731E" w:rsidRPr="00A00187">
              <w:rPr>
                <w:rFonts w:eastAsia="Times New Roman"/>
                <w:szCs w:val="24"/>
                <w:lang w:eastAsia="cs-CZ"/>
              </w:rPr>
              <w:t>,</w:t>
            </w:r>
            <w:r w:rsidRPr="00A00187">
              <w:rPr>
                <w:rFonts w:eastAsia="Times New Roman"/>
                <w:szCs w:val="24"/>
                <w:lang w:eastAsia="cs-CZ"/>
              </w:rPr>
              <w:t>9</w:t>
            </w:r>
          </w:p>
        </w:tc>
        <w:tc>
          <w:tcPr>
            <w:tcW w:w="1750" w:type="dxa"/>
            <w:tcBorders>
              <w:top w:val="nil"/>
              <w:left w:val="nil"/>
              <w:bottom w:val="single" w:sz="4" w:space="0" w:color="auto"/>
              <w:right w:val="nil"/>
            </w:tcBorders>
            <w:shd w:val="clear" w:color="auto" w:fill="auto"/>
            <w:noWrap/>
            <w:vAlign w:val="bottom"/>
            <w:hideMark/>
          </w:tcPr>
          <w:p w14:paraId="3818BB1D" w14:textId="2CEF6A50"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261</w:t>
            </w:r>
            <w:r w:rsidR="0020731E" w:rsidRPr="00A00187">
              <w:rPr>
                <w:rFonts w:eastAsia="Times New Roman"/>
                <w:szCs w:val="24"/>
                <w:lang w:eastAsia="cs-CZ"/>
              </w:rPr>
              <w:t>,</w:t>
            </w:r>
            <w:r w:rsidRPr="00A00187">
              <w:rPr>
                <w:rFonts w:eastAsia="Times New Roman"/>
                <w:szCs w:val="24"/>
                <w:lang w:eastAsia="cs-CZ"/>
              </w:rPr>
              <w:t>4</w:t>
            </w:r>
          </w:p>
        </w:tc>
        <w:tc>
          <w:tcPr>
            <w:tcW w:w="2428" w:type="dxa"/>
            <w:tcBorders>
              <w:top w:val="nil"/>
              <w:left w:val="nil"/>
              <w:bottom w:val="single" w:sz="4" w:space="0" w:color="auto"/>
              <w:right w:val="nil"/>
            </w:tcBorders>
            <w:shd w:val="clear" w:color="auto" w:fill="auto"/>
            <w:noWrap/>
            <w:vAlign w:val="bottom"/>
            <w:hideMark/>
          </w:tcPr>
          <w:p w14:paraId="27CF140A" w14:textId="5E2F0242"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5</w:t>
            </w:r>
            <w:r w:rsidR="0020731E" w:rsidRPr="00A00187">
              <w:rPr>
                <w:rFonts w:eastAsia="Times New Roman"/>
                <w:szCs w:val="24"/>
                <w:lang w:eastAsia="cs-CZ"/>
              </w:rPr>
              <w:t>,</w:t>
            </w:r>
            <w:r w:rsidRPr="00A00187">
              <w:rPr>
                <w:rFonts w:eastAsia="Times New Roman"/>
                <w:szCs w:val="24"/>
                <w:lang w:eastAsia="cs-CZ"/>
              </w:rPr>
              <w:t>52</w:t>
            </w:r>
          </w:p>
        </w:tc>
      </w:tr>
      <w:tr w:rsidR="00AC1E67" w:rsidRPr="00A00187" w14:paraId="1C9DAF21" w14:textId="77777777" w:rsidTr="00167F87">
        <w:trPr>
          <w:trHeight w:val="315"/>
        </w:trPr>
        <w:tc>
          <w:tcPr>
            <w:tcW w:w="2236" w:type="dxa"/>
            <w:tcBorders>
              <w:top w:val="nil"/>
              <w:left w:val="nil"/>
              <w:bottom w:val="single" w:sz="4" w:space="0" w:color="auto"/>
              <w:right w:val="nil"/>
            </w:tcBorders>
            <w:shd w:val="clear" w:color="auto" w:fill="auto"/>
            <w:noWrap/>
            <w:vAlign w:val="bottom"/>
            <w:hideMark/>
          </w:tcPr>
          <w:p w14:paraId="1CC400B7"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KS Hr. Králové</w:t>
            </w:r>
          </w:p>
        </w:tc>
        <w:tc>
          <w:tcPr>
            <w:tcW w:w="1506" w:type="dxa"/>
            <w:tcBorders>
              <w:top w:val="nil"/>
              <w:left w:val="nil"/>
              <w:bottom w:val="single" w:sz="4" w:space="0" w:color="auto"/>
              <w:right w:val="nil"/>
            </w:tcBorders>
            <w:shd w:val="clear" w:color="auto" w:fill="auto"/>
            <w:noWrap/>
            <w:vAlign w:val="bottom"/>
            <w:hideMark/>
          </w:tcPr>
          <w:p w14:paraId="265C1E62" w14:textId="3E5B73F3"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169</w:t>
            </w:r>
            <w:r w:rsidR="0020731E" w:rsidRPr="00A00187">
              <w:rPr>
                <w:rFonts w:eastAsia="Times New Roman"/>
                <w:szCs w:val="24"/>
                <w:lang w:eastAsia="cs-CZ"/>
              </w:rPr>
              <w:t>,</w:t>
            </w:r>
            <w:r w:rsidRPr="00A00187">
              <w:rPr>
                <w:rFonts w:eastAsia="Times New Roman"/>
                <w:szCs w:val="24"/>
                <w:lang w:eastAsia="cs-CZ"/>
              </w:rPr>
              <w:t>3</w:t>
            </w:r>
          </w:p>
        </w:tc>
        <w:tc>
          <w:tcPr>
            <w:tcW w:w="1750" w:type="dxa"/>
            <w:tcBorders>
              <w:top w:val="nil"/>
              <w:left w:val="nil"/>
              <w:bottom w:val="single" w:sz="4" w:space="0" w:color="auto"/>
              <w:right w:val="nil"/>
            </w:tcBorders>
            <w:shd w:val="clear" w:color="auto" w:fill="auto"/>
            <w:noWrap/>
            <w:vAlign w:val="bottom"/>
            <w:hideMark/>
          </w:tcPr>
          <w:p w14:paraId="37066E64" w14:textId="11D1DA70"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167</w:t>
            </w:r>
            <w:r w:rsidR="0020731E" w:rsidRPr="00A00187">
              <w:rPr>
                <w:rFonts w:eastAsia="Times New Roman"/>
                <w:szCs w:val="24"/>
                <w:lang w:eastAsia="cs-CZ"/>
              </w:rPr>
              <w:t>,</w:t>
            </w:r>
            <w:r w:rsidRPr="00A00187">
              <w:rPr>
                <w:rFonts w:eastAsia="Times New Roman"/>
                <w:szCs w:val="24"/>
                <w:lang w:eastAsia="cs-CZ"/>
              </w:rPr>
              <w:t>6</w:t>
            </w:r>
          </w:p>
        </w:tc>
        <w:tc>
          <w:tcPr>
            <w:tcW w:w="2428" w:type="dxa"/>
            <w:tcBorders>
              <w:top w:val="nil"/>
              <w:left w:val="nil"/>
              <w:bottom w:val="single" w:sz="4" w:space="0" w:color="auto"/>
              <w:right w:val="nil"/>
            </w:tcBorders>
            <w:shd w:val="clear" w:color="auto" w:fill="auto"/>
            <w:noWrap/>
            <w:vAlign w:val="bottom"/>
            <w:hideMark/>
          </w:tcPr>
          <w:p w14:paraId="0CC5D589" w14:textId="78947672"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1</w:t>
            </w:r>
            <w:r w:rsidR="0020731E" w:rsidRPr="00A00187">
              <w:rPr>
                <w:rFonts w:eastAsia="Times New Roman"/>
                <w:szCs w:val="24"/>
                <w:lang w:eastAsia="cs-CZ"/>
              </w:rPr>
              <w:t>,</w:t>
            </w:r>
            <w:r w:rsidRPr="00A00187">
              <w:rPr>
                <w:rFonts w:eastAsia="Times New Roman"/>
                <w:szCs w:val="24"/>
                <w:lang w:eastAsia="cs-CZ"/>
              </w:rPr>
              <w:t>02</w:t>
            </w:r>
          </w:p>
        </w:tc>
      </w:tr>
      <w:tr w:rsidR="00AC1E67" w:rsidRPr="00A00187" w14:paraId="107FBBC2" w14:textId="77777777" w:rsidTr="00167F87">
        <w:trPr>
          <w:trHeight w:val="315"/>
        </w:trPr>
        <w:tc>
          <w:tcPr>
            <w:tcW w:w="2236" w:type="dxa"/>
            <w:tcBorders>
              <w:top w:val="nil"/>
              <w:left w:val="nil"/>
              <w:bottom w:val="single" w:sz="4" w:space="0" w:color="auto"/>
              <w:right w:val="nil"/>
            </w:tcBorders>
            <w:shd w:val="clear" w:color="auto" w:fill="auto"/>
            <w:noWrap/>
            <w:vAlign w:val="bottom"/>
            <w:hideMark/>
          </w:tcPr>
          <w:p w14:paraId="68544DF7"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KS Brno</w:t>
            </w:r>
          </w:p>
        </w:tc>
        <w:tc>
          <w:tcPr>
            <w:tcW w:w="1506" w:type="dxa"/>
            <w:tcBorders>
              <w:top w:val="nil"/>
              <w:left w:val="nil"/>
              <w:bottom w:val="single" w:sz="4" w:space="0" w:color="auto"/>
              <w:right w:val="nil"/>
            </w:tcBorders>
            <w:shd w:val="clear" w:color="auto" w:fill="auto"/>
            <w:noWrap/>
            <w:vAlign w:val="bottom"/>
            <w:hideMark/>
          </w:tcPr>
          <w:p w14:paraId="053FF9CA" w14:textId="66F89227"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286</w:t>
            </w:r>
            <w:r w:rsidR="0020731E" w:rsidRPr="00A00187">
              <w:rPr>
                <w:rFonts w:eastAsia="Times New Roman"/>
                <w:szCs w:val="24"/>
                <w:lang w:eastAsia="cs-CZ"/>
              </w:rPr>
              <w:t>,</w:t>
            </w:r>
            <w:r w:rsidRPr="00A00187">
              <w:rPr>
                <w:rFonts w:eastAsia="Times New Roman"/>
                <w:szCs w:val="24"/>
                <w:lang w:eastAsia="cs-CZ"/>
              </w:rPr>
              <w:t>7</w:t>
            </w:r>
          </w:p>
        </w:tc>
        <w:tc>
          <w:tcPr>
            <w:tcW w:w="1750" w:type="dxa"/>
            <w:tcBorders>
              <w:top w:val="nil"/>
              <w:left w:val="nil"/>
              <w:bottom w:val="single" w:sz="4" w:space="0" w:color="auto"/>
              <w:right w:val="nil"/>
            </w:tcBorders>
            <w:shd w:val="clear" w:color="auto" w:fill="auto"/>
            <w:noWrap/>
            <w:vAlign w:val="bottom"/>
            <w:hideMark/>
          </w:tcPr>
          <w:p w14:paraId="025E73EF" w14:textId="043253A4"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276</w:t>
            </w:r>
            <w:r w:rsidR="0020731E" w:rsidRPr="00A00187">
              <w:rPr>
                <w:rFonts w:eastAsia="Times New Roman"/>
                <w:szCs w:val="24"/>
                <w:lang w:eastAsia="cs-CZ"/>
              </w:rPr>
              <w:t>,</w:t>
            </w:r>
            <w:r w:rsidRPr="00A00187">
              <w:rPr>
                <w:rFonts w:eastAsia="Times New Roman"/>
                <w:szCs w:val="24"/>
                <w:lang w:eastAsia="cs-CZ"/>
              </w:rPr>
              <w:t>6</w:t>
            </w:r>
          </w:p>
        </w:tc>
        <w:tc>
          <w:tcPr>
            <w:tcW w:w="2428" w:type="dxa"/>
            <w:tcBorders>
              <w:top w:val="nil"/>
              <w:left w:val="nil"/>
              <w:bottom w:val="single" w:sz="4" w:space="0" w:color="auto"/>
              <w:right w:val="nil"/>
            </w:tcBorders>
            <w:shd w:val="clear" w:color="auto" w:fill="auto"/>
            <w:noWrap/>
            <w:vAlign w:val="bottom"/>
            <w:hideMark/>
          </w:tcPr>
          <w:p w14:paraId="7C92381D" w14:textId="3F239775"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3</w:t>
            </w:r>
            <w:r w:rsidR="0020731E" w:rsidRPr="00A00187">
              <w:rPr>
                <w:rFonts w:eastAsia="Times New Roman"/>
                <w:szCs w:val="24"/>
                <w:lang w:eastAsia="cs-CZ"/>
              </w:rPr>
              <w:t>,</w:t>
            </w:r>
            <w:r w:rsidRPr="00A00187">
              <w:rPr>
                <w:rFonts w:eastAsia="Times New Roman"/>
                <w:szCs w:val="24"/>
                <w:lang w:eastAsia="cs-CZ"/>
              </w:rPr>
              <w:t>67</w:t>
            </w:r>
          </w:p>
        </w:tc>
      </w:tr>
      <w:tr w:rsidR="00AC1E67" w:rsidRPr="00A00187" w14:paraId="1311C8C0" w14:textId="77777777" w:rsidTr="00167F87">
        <w:trPr>
          <w:trHeight w:val="330"/>
        </w:trPr>
        <w:tc>
          <w:tcPr>
            <w:tcW w:w="2236" w:type="dxa"/>
            <w:tcBorders>
              <w:top w:val="nil"/>
              <w:left w:val="nil"/>
              <w:bottom w:val="double" w:sz="6" w:space="0" w:color="auto"/>
              <w:right w:val="nil"/>
            </w:tcBorders>
            <w:shd w:val="clear" w:color="auto" w:fill="auto"/>
            <w:noWrap/>
            <w:vAlign w:val="bottom"/>
            <w:hideMark/>
          </w:tcPr>
          <w:p w14:paraId="0F52B867" w14:textId="77777777" w:rsidR="00167F87" w:rsidRPr="00A00187" w:rsidRDefault="00167F87" w:rsidP="00167F87">
            <w:pPr>
              <w:spacing w:line="240" w:lineRule="auto"/>
              <w:jc w:val="left"/>
              <w:rPr>
                <w:rFonts w:eastAsia="Times New Roman"/>
                <w:szCs w:val="24"/>
                <w:lang w:eastAsia="cs-CZ"/>
              </w:rPr>
            </w:pPr>
            <w:r w:rsidRPr="00A00187">
              <w:rPr>
                <w:rFonts w:eastAsia="Times New Roman"/>
                <w:szCs w:val="24"/>
                <w:lang w:eastAsia="cs-CZ"/>
              </w:rPr>
              <w:t>KS Ostrava</w:t>
            </w:r>
          </w:p>
        </w:tc>
        <w:tc>
          <w:tcPr>
            <w:tcW w:w="1506" w:type="dxa"/>
            <w:tcBorders>
              <w:top w:val="nil"/>
              <w:left w:val="nil"/>
              <w:bottom w:val="double" w:sz="6" w:space="0" w:color="auto"/>
              <w:right w:val="nil"/>
            </w:tcBorders>
            <w:shd w:val="clear" w:color="auto" w:fill="auto"/>
            <w:noWrap/>
            <w:vAlign w:val="bottom"/>
            <w:hideMark/>
          </w:tcPr>
          <w:p w14:paraId="7379005C" w14:textId="60669B53"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319</w:t>
            </w:r>
            <w:r w:rsidR="0020731E" w:rsidRPr="00A00187">
              <w:rPr>
                <w:rFonts w:eastAsia="Times New Roman"/>
                <w:szCs w:val="24"/>
                <w:lang w:eastAsia="cs-CZ"/>
              </w:rPr>
              <w:t>,</w:t>
            </w:r>
            <w:r w:rsidRPr="00A00187">
              <w:rPr>
                <w:rFonts w:eastAsia="Times New Roman"/>
                <w:szCs w:val="24"/>
                <w:lang w:eastAsia="cs-CZ"/>
              </w:rPr>
              <w:t>7</w:t>
            </w:r>
          </w:p>
        </w:tc>
        <w:tc>
          <w:tcPr>
            <w:tcW w:w="1750" w:type="dxa"/>
            <w:tcBorders>
              <w:top w:val="nil"/>
              <w:left w:val="nil"/>
              <w:bottom w:val="double" w:sz="6" w:space="0" w:color="auto"/>
              <w:right w:val="nil"/>
            </w:tcBorders>
            <w:shd w:val="clear" w:color="auto" w:fill="auto"/>
            <w:noWrap/>
            <w:vAlign w:val="bottom"/>
            <w:hideMark/>
          </w:tcPr>
          <w:p w14:paraId="040FCB6D" w14:textId="4CF47A64"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312</w:t>
            </w:r>
            <w:r w:rsidR="0020731E" w:rsidRPr="00A00187">
              <w:rPr>
                <w:rFonts w:eastAsia="Times New Roman"/>
                <w:szCs w:val="24"/>
                <w:lang w:eastAsia="cs-CZ"/>
              </w:rPr>
              <w:t>,</w:t>
            </w:r>
            <w:r w:rsidRPr="00A00187">
              <w:rPr>
                <w:rFonts w:eastAsia="Times New Roman"/>
                <w:szCs w:val="24"/>
                <w:lang w:eastAsia="cs-CZ"/>
              </w:rPr>
              <w:t>3</w:t>
            </w:r>
          </w:p>
        </w:tc>
        <w:tc>
          <w:tcPr>
            <w:tcW w:w="2428" w:type="dxa"/>
            <w:tcBorders>
              <w:top w:val="nil"/>
              <w:left w:val="nil"/>
              <w:bottom w:val="double" w:sz="6" w:space="0" w:color="auto"/>
              <w:right w:val="nil"/>
            </w:tcBorders>
            <w:shd w:val="clear" w:color="auto" w:fill="auto"/>
            <w:noWrap/>
            <w:vAlign w:val="bottom"/>
            <w:hideMark/>
          </w:tcPr>
          <w:p w14:paraId="6CFBCDC4" w14:textId="7941B477" w:rsidR="00167F87" w:rsidRPr="00A00187" w:rsidRDefault="00167F87" w:rsidP="00167F87">
            <w:pPr>
              <w:spacing w:line="240" w:lineRule="auto"/>
              <w:jc w:val="center"/>
              <w:rPr>
                <w:rFonts w:eastAsia="Times New Roman"/>
                <w:szCs w:val="24"/>
                <w:lang w:eastAsia="cs-CZ"/>
              </w:rPr>
            </w:pPr>
            <w:r w:rsidRPr="00A00187">
              <w:rPr>
                <w:rFonts w:eastAsia="Times New Roman"/>
                <w:szCs w:val="24"/>
                <w:lang w:eastAsia="cs-CZ"/>
              </w:rPr>
              <w:t>2</w:t>
            </w:r>
            <w:r w:rsidR="0020731E" w:rsidRPr="00A00187">
              <w:rPr>
                <w:rFonts w:eastAsia="Times New Roman"/>
                <w:szCs w:val="24"/>
                <w:lang w:eastAsia="cs-CZ"/>
              </w:rPr>
              <w:t>,</w:t>
            </w:r>
            <w:r w:rsidRPr="00A00187">
              <w:rPr>
                <w:rFonts w:eastAsia="Times New Roman"/>
                <w:szCs w:val="24"/>
                <w:lang w:eastAsia="cs-CZ"/>
              </w:rPr>
              <w:t>38</w:t>
            </w:r>
          </w:p>
        </w:tc>
      </w:tr>
      <w:tr w:rsidR="00167F87" w:rsidRPr="00A00187" w14:paraId="10459C74" w14:textId="77777777" w:rsidTr="00167F87">
        <w:trPr>
          <w:trHeight w:val="345"/>
        </w:trPr>
        <w:tc>
          <w:tcPr>
            <w:tcW w:w="2236" w:type="dxa"/>
            <w:tcBorders>
              <w:top w:val="nil"/>
              <w:left w:val="nil"/>
              <w:bottom w:val="double" w:sz="6" w:space="0" w:color="auto"/>
              <w:right w:val="nil"/>
            </w:tcBorders>
            <w:shd w:val="clear" w:color="auto" w:fill="auto"/>
            <w:noWrap/>
            <w:vAlign w:val="bottom"/>
            <w:hideMark/>
          </w:tcPr>
          <w:p w14:paraId="2C4F1AA2" w14:textId="77777777" w:rsidR="00167F87" w:rsidRPr="00A00187" w:rsidRDefault="00167F87" w:rsidP="00167F87">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506" w:type="dxa"/>
            <w:tcBorders>
              <w:top w:val="nil"/>
              <w:left w:val="nil"/>
              <w:bottom w:val="double" w:sz="6" w:space="0" w:color="auto"/>
              <w:right w:val="nil"/>
            </w:tcBorders>
            <w:shd w:val="clear" w:color="auto" w:fill="auto"/>
            <w:noWrap/>
            <w:vAlign w:val="bottom"/>
            <w:hideMark/>
          </w:tcPr>
          <w:p w14:paraId="71BD8B1F" w14:textId="2E45FD9C" w:rsidR="00167F87" w:rsidRPr="00A00187" w:rsidRDefault="00167F87" w:rsidP="00167F87">
            <w:pPr>
              <w:spacing w:line="240" w:lineRule="auto"/>
              <w:jc w:val="center"/>
              <w:rPr>
                <w:rFonts w:eastAsia="Times New Roman"/>
                <w:b/>
                <w:bCs/>
                <w:szCs w:val="24"/>
                <w:lang w:eastAsia="cs-CZ"/>
              </w:rPr>
            </w:pPr>
            <w:r w:rsidRPr="00A00187">
              <w:rPr>
                <w:rFonts w:eastAsia="Times New Roman"/>
                <w:b/>
                <w:bCs/>
                <w:szCs w:val="24"/>
                <w:lang w:eastAsia="cs-CZ"/>
              </w:rPr>
              <w:t>1</w:t>
            </w:r>
            <w:r w:rsidR="00AD7D48" w:rsidRPr="00A00187">
              <w:rPr>
                <w:rFonts w:eastAsia="Times New Roman"/>
                <w:b/>
                <w:bCs/>
                <w:szCs w:val="24"/>
                <w:lang w:eastAsia="cs-CZ"/>
              </w:rPr>
              <w:t xml:space="preserve"> </w:t>
            </w:r>
            <w:r w:rsidRPr="00A00187">
              <w:rPr>
                <w:rFonts w:eastAsia="Times New Roman"/>
                <w:b/>
                <w:bCs/>
                <w:szCs w:val="24"/>
                <w:lang w:eastAsia="cs-CZ"/>
              </w:rPr>
              <w:t>829</w:t>
            </w:r>
            <w:r w:rsidR="0020731E" w:rsidRPr="00A00187">
              <w:rPr>
                <w:rFonts w:eastAsia="Times New Roman"/>
                <w:b/>
                <w:bCs/>
                <w:szCs w:val="24"/>
                <w:lang w:eastAsia="cs-CZ"/>
              </w:rPr>
              <w:t>,</w:t>
            </w:r>
            <w:r w:rsidRPr="00A00187">
              <w:rPr>
                <w:rFonts w:eastAsia="Times New Roman"/>
                <w:b/>
                <w:bCs/>
                <w:szCs w:val="24"/>
                <w:lang w:eastAsia="cs-CZ"/>
              </w:rPr>
              <w:t>9</w:t>
            </w:r>
          </w:p>
        </w:tc>
        <w:tc>
          <w:tcPr>
            <w:tcW w:w="1750" w:type="dxa"/>
            <w:tcBorders>
              <w:top w:val="nil"/>
              <w:left w:val="nil"/>
              <w:bottom w:val="double" w:sz="6" w:space="0" w:color="auto"/>
              <w:right w:val="nil"/>
            </w:tcBorders>
            <w:shd w:val="clear" w:color="auto" w:fill="auto"/>
            <w:noWrap/>
            <w:vAlign w:val="bottom"/>
            <w:hideMark/>
          </w:tcPr>
          <w:p w14:paraId="0F8F0F0A" w14:textId="0994092C" w:rsidR="00167F87" w:rsidRPr="00A00187" w:rsidRDefault="00167F87" w:rsidP="00167F87">
            <w:pPr>
              <w:spacing w:line="240" w:lineRule="auto"/>
              <w:jc w:val="center"/>
              <w:rPr>
                <w:rFonts w:eastAsia="Times New Roman"/>
                <w:b/>
                <w:bCs/>
                <w:szCs w:val="24"/>
                <w:lang w:eastAsia="cs-CZ"/>
              </w:rPr>
            </w:pPr>
            <w:r w:rsidRPr="00A00187">
              <w:rPr>
                <w:rFonts w:eastAsia="Times New Roman"/>
                <w:b/>
                <w:bCs/>
                <w:szCs w:val="24"/>
                <w:lang w:eastAsia="cs-CZ"/>
              </w:rPr>
              <w:t>1</w:t>
            </w:r>
            <w:r w:rsidR="00AD7D48" w:rsidRPr="00A00187">
              <w:rPr>
                <w:rFonts w:eastAsia="Times New Roman"/>
                <w:b/>
                <w:bCs/>
                <w:szCs w:val="24"/>
                <w:lang w:eastAsia="cs-CZ"/>
              </w:rPr>
              <w:t xml:space="preserve"> </w:t>
            </w:r>
            <w:r w:rsidRPr="00A00187">
              <w:rPr>
                <w:rFonts w:eastAsia="Times New Roman"/>
                <w:b/>
                <w:bCs/>
                <w:szCs w:val="24"/>
                <w:lang w:eastAsia="cs-CZ"/>
              </w:rPr>
              <w:t>769</w:t>
            </w:r>
            <w:r w:rsidR="0020731E" w:rsidRPr="00A00187">
              <w:rPr>
                <w:rFonts w:eastAsia="Times New Roman"/>
                <w:b/>
                <w:bCs/>
                <w:szCs w:val="24"/>
                <w:lang w:eastAsia="cs-CZ"/>
              </w:rPr>
              <w:t>,</w:t>
            </w:r>
            <w:r w:rsidRPr="00A00187">
              <w:rPr>
                <w:rFonts w:eastAsia="Times New Roman"/>
                <w:b/>
                <w:bCs/>
                <w:szCs w:val="24"/>
                <w:lang w:eastAsia="cs-CZ"/>
              </w:rPr>
              <w:t>9</w:t>
            </w:r>
          </w:p>
        </w:tc>
        <w:tc>
          <w:tcPr>
            <w:tcW w:w="2428" w:type="dxa"/>
            <w:tcBorders>
              <w:top w:val="nil"/>
              <w:left w:val="nil"/>
              <w:bottom w:val="double" w:sz="6" w:space="0" w:color="auto"/>
              <w:right w:val="nil"/>
            </w:tcBorders>
            <w:shd w:val="clear" w:color="auto" w:fill="auto"/>
            <w:noWrap/>
            <w:vAlign w:val="bottom"/>
            <w:hideMark/>
          </w:tcPr>
          <w:p w14:paraId="7E409FF6" w14:textId="0C495EFD" w:rsidR="00167F87" w:rsidRPr="00A00187" w:rsidRDefault="00167F87" w:rsidP="00167F87">
            <w:pPr>
              <w:spacing w:line="240" w:lineRule="auto"/>
              <w:jc w:val="center"/>
              <w:rPr>
                <w:rFonts w:eastAsia="Times New Roman"/>
                <w:b/>
                <w:bCs/>
                <w:szCs w:val="24"/>
                <w:lang w:eastAsia="cs-CZ"/>
              </w:rPr>
            </w:pPr>
            <w:r w:rsidRPr="00A00187">
              <w:rPr>
                <w:rFonts w:eastAsia="Times New Roman"/>
                <w:b/>
                <w:bCs/>
                <w:szCs w:val="24"/>
                <w:lang w:eastAsia="cs-CZ"/>
              </w:rPr>
              <w:t>3</w:t>
            </w:r>
            <w:r w:rsidR="0020731E" w:rsidRPr="00A00187">
              <w:rPr>
                <w:rFonts w:eastAsia="Times New Roman"/>
                <w:b/>
                <w:bCs/>
                <w:szCs w:val="24"/>
                <w:lang w:eastAsia="cs-CZ"/>
              </w:rPr>
              <w:t>,</w:t>
            </w:r>
            <w:r w:rsidRPr="00A00187">
              <w:rPr>
                <w:rFonts w:eastAsia="Times New Roman"/>
                <w:b/>
                <w:bCs/>
                <w:szCs w:val="24"/>
                <w:lang w:eastAsia="cs-CZ"/>
              </w:rPr>
              <w:t>39</w:t>
            </w:r>
          </w:p>
        </w:tc>
      </w:tr>
    </w:tbl>
    <w:p w14:paraId="3DE9DCD3" w14:textId="77777777" w:rsidR="00167F87" w:rsidRPr="00A00187" w:rsidRDefault="00167F87" w:rsidP="006678CD">
      <w:pPr>
        <w:pStyle w:val="OdstavecASR"/>
      </w:pPr>
    </w:p>
    <w:p w14:paraId="24CB5D8D" w14:textId="11A69E06" w:rsidR="005A4C85" w:rsidRPr="00A00187" w:rsidRDefault="005A4C85" w:rsidP="005A4C85">
      <w:pPr>
        <w:pStyle w:val="OdstavecASR"/>
      </w:pPr>
      <w:r w:rsidRPr="00A00187">
        <w:t xml:space="preserve">V tabulce vidíme, že dlouhodobě jsou okresní soudy v „plusu“ oproti plánovanému počtu. To </w:t>
      </w:r>
      <w:r w:rsidR="00F80860" w:rsidRPr="00A00187">
        <w:t>je</w:t>
      </w:r>
      <w:r w:rsidRPr="00A00187">
        <w:t xml:space="preserve"> koneckonců vidět i na grafu výše. Zdaleka nejvíce to platí pro obvodní soudy v Praze, což vyplývá z faktu, že tyto soudy mají specifickou agendu, a obecná měřítka tak dle systemizační komise ve vztahu k nim zcela neodráží realitu. Dlouhodobě mají vyšší počet evidenčních soudců všechny </w:t>
      </w:r>
      <w:r w:rsidRPr="00A00187">
        <w:lastRenderedPageBreak/>
        <w:t xml:space="preserve">kraje s výjimkou Středočeského, byť rozdíly nejsou velké. V některých krajích (Severočeský, Jihomoravský, Severomoravský) se odráží posilování vybraných soudů v těchto krajích z důvodu velkého počtu nevyřízených věcí a vysokých délek řízení. </w:t>
      </w:r>
      <w:r w:rsidR="009D057B" w:rsidRPr="00A00187">
        <w:t>Do statistiky</w:t>
      </w:r>
      <w:r w:rsidRPr="00A00187">
        <w:t xml:space="preserve"> se značně promítl rok 2021, neboť došlo k poklesu plánovaného počtu soudců, ale ne k poklesu evidenčního počtu soudců.</w:t>
      </w:r>
    </w:p>
    <w:p w14:paraId="0F041C2A" w14:textId="677F96DC" w:rsidR="005A4C85" w:rsidRPr="00A00187" w:rsidRDefault="005A4C85" w:rsidP="005A4C85">
      <w:pPr>
        <w:pStyle w:val="OdstavecASR"/>
      </w:pPr>
      <w:r w:rsidRPr="00A00187">
        <w:t>Na závěr je třeba upozornit, že v systemizaci (v plánovaném počtu soudců) nejsou promítnuty všechny faktory (například počet nevyřízených věcí nebo počet věcí přerušených</w:t>
      </w:r>
      <w:r w:rsidRPr="00A00187">
        <w:rPr>
          <w:rStyle w:val="Znakapoznpodarou"/>
        </w:rPr>
        <w:footnoteReference w:id="4"/>
      </w:r>
      <w:r w:rsidRPr="00A00187">
        <w:t>).</w:t>
      </w:r>
    </w:p>
    <w:p w14:paraId="7036460E" w14:textId="06A702DB" w:rsidR="008430BD" w:rsidRPr="00A00187" w:rsidRDefault="008430BD" w:rsidP="008430BD">
      <w:pPr>
        <w:pStyle w:val="Nadpis3"/>
        <w:numPr>
          <w:ilvl w:val="2"/>
          <w:numId w:val="1"/>
        </w:numPr>
        <w:rPr>
          <w:color w:val="auto"/>
        </w:rPr>
      </w:pPr>
      <w:bookmarkStart w:id="87" w:name="_Ref3374388"/>
      <w:bookmarkStart w:id="88" w:name="_Ref10813793"/>
      <w:bookmarkStart w:id="89" w:name="_Toc106092715"/>
      <w:bookmarkStart w:id="90" w:name="_Toc109801331"/>
      <w:r w:rsidRPr="00A00187">
        <w:rPr>
          <w:color w:val="auto"/>
        </w:rPr>
        <w:t>Zaměstnanci ve výkonu</w:t>
      </w:r>
      <w:bookmarkEnd w:id="87"/>
      <w:r w:rsidRPr="00A00187">
        <w:rPr>
          <w:color w:val="auto"/>
        </w:rPr>
        <w:t xml:space="preserve"> </w:t>
      </w:r>
      <w:r w:rsidR="001B5E6A" w:rsidRPr="00A00187">
        <w:rPr>
          <w:color w:val="auto"/>
        </w:rPr>
        <w:t>a </w:t>
      </w:r>
      <w:r w:rsidRPr="00A00187">
        <w:rPr>
          <w:color w:val="auto"/>
        </w:rPr>
        <w:t>ve správě</w:t>
      </w:r>
      <w:bookmarkEnd w:id="88"/>
      <w:bookmarkEnd w:id="89"/>
      <w:bookmarkEnd w:id="90"/>
    </w:p>
    <w:p w14:paraId="37414F46" w14:textId="5DA53B10" w:rsidR="005A4C85" w:rsidRDefault="005A4C85" w:rsidP="005A4C85">
      <w:pPr>
        <w:pStyle w:val="OdstavecASR"/>
      </w:pPr>
      <w:r w:rsidRPr="00A00187">
        <w:t>Vzhledem k většímu počtu kategorií zaměstnanců ve výkonu uvádíme pro zachování přehlednosti v tabulce níže pouze jejich počty k 1. 1. 2021, a to po krajích a pouze pro vybrané kategorie.</w:t>
      </w:r>
    </w:p>
    <w:p w14:paraId="26D7BF36" w14:textId="77777777" w:rsidR="00D10DCC" w:rsidRPr="00A00187" w:rsidRDefault="00D10DCC" w:rsidP="005A4C85">
      <w:pPr>
        <w:pStyle w:val="OdstavecASR"/>
      </w:pPr>
    </w:p>
    <w:p w14:paraId="61C1CBC9" w14:textId="582A7CCF" w:rsidR="001316F4" w:rsidRPr="00A00187" w:rsidRDefault="001316F4" w:rsidP="001316F4">
      <w:pPr>
        <w:pStyle w:val="Podnadpis"/>
        <w:rPr>
          <w:color w:val="auto"/>
        </w:rPr>
      </w:pPr>
      <w:bookmarkStart w:id="91" w:name="_Toc515871439"/>
      <w:bookmarkStart w:id="92" w:name="_Toc11133207"/>
      <w:bookmarkStart w:id="93" w:name="_Toc43931179"/>
      <w:bookmarkStart w:id="94" w:name="_Toc75952309"/>
      <w:bookmarkStart w:id="95" w:name="_Toc106106768"/>
      <w:bookmarkStart w:id="96" w:name="_Toc109802091"/>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w:t>
      </w:r>
      <w:r w:rsidRPr="00A00187">
        <w:rPr>
          <w:noProof/>
          <w:color w:val="auto"/>
        </w:rPr>
        <w:fldChar w:fldCharType="end"/>
      </w:r>
      <w:r w:rsidRPr="00A00187">
        <w:rPr>
          <w:color w:val="auto"/>
        </w:rPr>
        <w:t>: OS – evidenční počet zaměstnanců ve výkonu dle krajů</w:t>
      </w:r>
      <w:bookmarkEnd w:id="91"/>
      <w:bookmarkEnd w:id="92"/>
      <w:bookmarkEnd w:id="93"/>
      <w:bookmarkEnd w:id="94"/>
      <w:bookmarkEnd w:id="95"/>
      <w:bookmarkEnd w:id="96"/>
    </w:p>
    <w:tbl>
      <w:tblPr>
        <w:tblW w:w="8754" w:type="dxa"/>
        <w:tblCellMar>
          <w:left w:w="70" w:type="dxa"/>
          <w:right w:w="70" w:type="dxa"/>
        </w:tblCellMar>
        <w:tblLook w:val="04A0" w:firstRow="1" w:lastRow="0" w:firstColumn="1" w:lastColumn="0" w:noHBand="0" w:noVBand="1"/>
      </w:tblPr>
      <w:tblGrid>
        <w:gridCol w:w="2096"/>
        <w:gridCol w:w="875"/>
        <w:gridCol w:w="604"/>
        <w:gridCol w:w="636"/>
        <w:gridCol w:w="636"/>
        <w:gridCol w:w="636"/>
        <w:gridCol w:w="636"/>
        <w:gridCol w:w="636"/>
        <w:gridCol w:w="532"/>
        <w:gridCol w:w="1467"/>
      </w:tblGrid>
      <w:tr w:rsidR="00AC1E67" w:rsidRPr="00A00187" w14:paraId="3FABB57E" w14:textId="77777777" w:rsidTr="001316F4">
        <w:trPr>
          <w:trHeight w:val="330"/>
        </w:trPr>
        <w:tc>
          <w:tcPr>
            <w:tcW w:w="2096" w:type="dxa"/>
            <w:vMerge w:val="restart"/>
            <w:tcBorders>
              <w:top w:val="double" w:sz="6" w:space="0" w:color="auto"/>
              <w:left w:val="nil"/>
              <w:bottom w:val="double" w:sz="6" w:space="0" w:color="000000"/>
              <w:right w:val="nil"/>
            </w:tcBorders>
            <w:shd w:val="clear" w:color="auto" w:fill="auto"/>
            <w:noWrap/>
            <w:vAlign w:val="center"/>
            <w:hideMark/>
          </w:tcPr>
          <w:p w14:paraId="51059FC9"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6658" w:type="dxa"/>
            <w:gridSpan w:val="9"/>
            <w:tcBorders>
              <w:top w:val="double" w:sz="6" w:space="0" w:color="auto"/>
              <w:left w:val="nil"/>
              <w:bottom w:val="nil"/>
              <w:right w:val="nil"/>
            </w:tcBorders>
            <w:shd w:val="clear" w:color="auto" w:fill="auto"/>
            <w:noWrap/>
            <w:vAlign w:val="bottom"/>
            <w:hideMark/>
          </w:tcPr>
          <w:p w14:paraId="5FCFBDA8"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Počet osob</w:t>
            </w:r>
          </w:p>
        </w:tc>
      </w:tr>
      <w:tr w:rsidR="00AC1E67" w:rsidRPr="00A00187" w14:paraId="70C74D04" w14:textId="77777777" w:rsidTr="001316F4">
        <w:trPr>
          <w:trHeight w:val="330"/>
        </w:trPr>
        <w:tc>
          <w:tcPr>
            <w:tcW w:w="2096" w:type="dxa"/>
            <w:vMerge/>
            <w:tcBorders>
              <w:top w:val="double" w:sz="6" w:space="0" w:color="auto"/>
              <w:left w:val="nil"/>
              <w:bottom w:val="double" w:sz="6" w:space="0" w:color="000000"/>
              <w:right w:val="nil"/>
            </w:tcBorders>
            <w:vAlign w:val="center"/>
            <w:hideMark/>
          </w:tcPr>
          <w:p w14:paraId="395E65FC" w14:textId="77777777" w:rsidR="001316F4" w:rsidRPr="00A00187" w:rsidRDefault="001316F4" w:rsidP="001316F4">
            <w:pPr>
              <w:spacing w:line="240" w:lineRule="auto"/>
              <w:jc w:val="left"/>
              <w:rPr>
                <w:rFonts w:eastAsia="Times New Roman"/>
                <w:b/>
                <w:bCs/>
                <w:szCs w:val="24"/>
                <w:lang w:eastAsia="cs-CZ"/>
              </w:rPr>
            </w:pPr>
          </w:p>
        </w:tc>
        <w:tc>
          <w:tcPr>
            <w:tcW w:w="875" w:type="dxa"/>
            <w:tcBorders>
              <w:top w:val="nil"/>
              <w:left w:val="nil"/>
              <w:bottom w:val="double" w:sz="6" w:space="0" w:color="auto"/>
              <w:right w:val="nil"/>
            </w:tcBorders>
            <w:shd w:val="clear" w:color="auto" w:fill="auto"/>
            <w:noWrap/>
            <w:vAlign w:val="bottom"/>
            <w:hideMark/>
          </w:tcPr>
          <w:p w14:paraId="757B4BC3"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VSÚ</w:t>
            </w:r>
          </w:p>
        </w:tc>
        <w:tc>
          <w:tcPr>
            <w:tcW w:w="604" w:type="dxa"/>
            <w:tcBorders>
              <w:top w:val="nil"/>
              <w:left w:val="nil"/>
              <w:bottom w:val="double" w:sz="6" w:space="0" w:color="auto"/>
              <w:right w:val="nil"/>
            </w:tcBorders>
            <w:shd w:val="clear" w:color="auto" w:fill="auto"/>
            <w:noWrap/>
            <w:vAlign w:val="bottom"/>
            <w:hideMark/>
          </w:tcPr>
          <w:p w14:paraId="1616622A"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ST</w:t>
            </w:r>
          </w:p>
        </w:tc>
        <w:tc>
          <w:tcPr>
            <w:tcW w:w="636" w:type="dxa"/>
            <w:tcBorders>
              <w:top w:val="nil"/>
              <w:left w:val="nil"/>
              <w:bottom w:val="double" w:sz="6" w:space="0" w:color="auto"/>
              <w:right w:val="nil"/>
            </w:tcBorders>
            <w:shd w:val="clear" w:color="auto" w:fill="auto"/>
            <w:noWrap/>
            <w:vAlign w:val="bottom"/>
            <w:hideMark/>
          </w:tcPr>
          <w:p w14:paraId="73C0B581"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A</w:t>
            </w:r>
          </w:p>
        </w:tc>
        <w:tc>
          <w:tcPr>
            <w:tcW w:w="636" w:type="dxa"/>
            <w:tcBorders>
              <w:top w:val="nil"/>
              <w:left w:val="nil"/>
              <w:bottom w:val="double" w:sz="6" w:space="0" w:color="auto"/>
              <w:right w:val="nil"/>
            </w:tcBorders>
            <w:shd w:val="clear" w:color="auto" w:fill="auto"/>
            <w:noWrap/>
            <w:vAlign w:val="bottom"/>
            <w:hideMark/>
          </w:tcPr>
          <w:p w14:paraId="4300044F"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VK</w:t>
            </w:r>
          </w:p>
        </w:tc>
        <w:tc>
          <w:tcPr>
            <w:tcW w:w="636" w:type="dxa"/>
            <w:tcBorders>
              <w:top w:val="nil"/>
              <w:left w:val="nil"/>
              <w:bottom w:val="double" w:sz="6" w:space="0" w:color="auto"/>
              <w:right w:val="nil"/>
            </w:tcBorders>
            <w:shd w:val="clear" w:color="auto" w:fill="auto"/>
            <w:noWrap/>
            <w:vAlign w:val="bottom"/>
            <w:hideMark/>
          </w:tcPr>
          <w:p w14:paraId="72B21AA5"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PÚ</w:t>
            </w:r>
          </w:p>
        </w:tc>
        <w:tc>
          <w:tcPr>
            <w:tcW w:w="636" w:type="dxa"/>
            <w:tcBorders>
              <w:top w:val="nil"/>
              <w:left w:val="nil"/>
              <w:bottom w:val="double" w:sz="6" w:space="0" w:color="auto"/>
              <w:right w:val="nil"/>
            </w:tcBorders>
            <w:shd w:val="clear" w:color="auto" w:fill="auto"/>
            <w:noWrap/>
            <w:vAlign w:val="bottom"/>
            <w:hideMark/>
          </w:tcPr>
          <w:p w14:paraId="35B524E0"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Z</w:t>
            </w:r>
          </w:p>
        </w:tc>
        <w:tc>
          <w:tcPr>
            <w:tcW w:w="636" w:type="dxa"/>
            <w:tcBorders>
              <w:top w:val="nil"/>
              <w:left w:val="nil"/>
              <w:bottom w:val="double" w:sz="6" w:space="0" w:color="auto"/>
              <w:right w:val="nil"/>
            </w:tcBorders>
            <w:shd w:val="clear" w:color="auto" w:fill="auto"/>
            <w:noWrap/>
            <w:vAlign w:val="bottom"/>
            <w:hideMark/>
          </w:tcPr>
          <w:p w14:paraId="015485D0"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RV</w:t>
            </w:r>
          </w:p>
        </w:tc>
        <w:tc>
          <w:tcPr>
            <w:tcW w:w="532" w:type="dxa"/>
            <w:tcBorders>
              <w:top w:val="nil"/>
              <w:left w:val="nil"/>
              <w:bottom w:val="double" w:sz="6" w:space="0" w:color="auto"/>
              <w:right w:val="nil"/>
            </w:tcBorders>
            <w:shd w:val="clear" w:color="auto" w:fill="auto"/>
            <w:noWrap/>
            <w:vAlign w:val="bottom"/>
            <w:hideMark/>
          </w:tcPr>
          <w:p w14:paraId="229E2746"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SV</w:t>
            </w:r>
          </w:p>
        </w:tc>
        <w:tc>
          <w:tcPr>
            <w:tcW w:w="1467" w:type="dxa"/>
            <w:tcBorders>
              <w:top w:val="nil"/>
              <w:left w:val="nil"/>
              <w:bottom w:val="double" w:sz="6" w:space="0" w:color="auto"/>
              <w:right w:val="nil"/>
            </w:tcBorders>
            <w:shd w:val="clear" w:color="auto" w:fill="auto"/>
            <w:noWrap/>
            <w:vAlign w:val="bottom"/>
            <w:hideMark/>
          </w:tcPr>
          <w:p w14:paraId="28557070"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Celkem</w:t>
            </w:r>
          </w:p>
        </w:tc>
      </w:tr>
      <w:tr w:rsidR="00AC1E67" w:rsidRPr="00A00187" w14:paraId="52E7BEC7" w14:textId="77777777" w:rsidTr="001316F4">
        <w:trPr>
          <w:trHeight w:val="330"/>
        </w:trPr>
        <w:tc>
          <w:tcPr>
            <w:tcW w:w="2096" w:type="dxa"/>
            <w:tcBorders>
              <w:top w:val="single" w:sz="4" w:space="0" w:color="auto"/>
              <w:left w:val="nil"/>
              <w:bottom w:val="single" w:sz="4" w:space="0" w:color="auto"/>
              <w:right w:val="nil"/>
            </w:tcBorders>
            <w:shd w:val="clear" w:color="auto" w:fill="auto"/>
            <w:noWrap/>
            <w:vAlign w:val="bottom"/>
            <w:hideMark/>
          </w:tcPr>
          <w:p w14:paraId="28E29039"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MS Praha</w:t>
            </w:r>
          </w:p>
        </w:tc>
        <w:tc>
          <w:tcPr>
            <w:tcW w:w="875" w:type="dxa"/>
            <w:tcBorders>
              <w:top w:val="single" w:sz="4" w:space="0" w:color="auto"/>
              <w:left w:val="nil"/>
              <w:bottom w:val="single" w:sz="4" w:space="0" w:color="auto"/>
              <w:right w:val="nil"/>
            </w:tcBorders>
            <w:shd w:val="clear" w:color="auto" w:fill="auto"/>
            <w:noWrap/>
            <w:vAlign w:val="bottom"/>
            <w:hideMark/>
          </w:tcPr>
          <w:p w14:paraId="16C39D05"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114</w:t>
            </w:r>
          </w:p>
        </w:tc>
        <w:tc>
          <w:tcPr>
            <w:tcW w:w="604" w:type="dxa"/>
            <w:tcBorders>
              <w:top w:val="single" w:sz="4" w:space="0" w:color="auto"/>
              <w:left w:val="nil"/>
              <w:bottom w:val="single" w:sz="4" w:space="0" w:color="auto"/>
              <w:right w:val="nil"/>
            </w:tcBorders>
            <w:shd w:val="clear" w:color="auto" w:fill="auto"/>
            <w:noWrap/>
            <w:vAlign w:val="bottom"/>
            <w:hideMark/>
          </w:tcPr>
          <w:p w14:paraId="696B9923"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31</w:t>
            </w:r>
          </w:p>
        </w:tc>
        <w:tc>
          <w:tcPr>
            <w:tcW w:w="636" w:type="dxa"/>
            <w:tcBorders>
              <w:top w:val="single" w:sz="4" w:space="0" w:color="auto"/>
              <w:left w:val="nil"/>
              <w:bottom w:val="single" w:sz="4" w:space="0" w:color="auto"/>
              <w:right w:val="nil"/>
            </w:tcBorders>
            <w:shd w:val="clear" w:color="auto" w:fill="auto"/>
            <w:noWrap/>
            <w:vAlign w:val="bottom"/>
            <w:hideMark/>
          </w:tcPr>
          <w:p w14:paraId="5FDEC920"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147</w:t>
            </w:r>
          </w:p>
        </w:tc>
        <w:tc>
          <w:tcPr>
            <w:tcW w:w="636" w:type="dxa"/>
            <w:tcBorders>
              <w:top w:val="single" w:sz="4" w:space="0" w:color="auto"/>
              <w:left w:val="nil"/>
              <w:bottom w:val="single" w:sz="4" w:space="0" w:color="auto"/>
              <w:right w:val="nil"/>
            </w:tcBorders>
            <w:shd w:val="clear" w:color="auto" w:fill="auto"/>
            <w:noWrap/>
            <w:vAlign w:val="bottom"/>
            <w:hideMark/>
          </w:tcPr>
          <w:p w14:paraId="00D6C2AC"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134</w:t>
            </w:r>
          </w:p>
        </w:tc>
        <w:tc>
          <w:tcPr>
            <w:tcW w:w="636" w:type="dxa"/>
            <w:tcBorders>
              <w:top w:val="single" w:sz="4" w:space="0" w:color="auto"/>
              <w:left w:val="nil"/>
              <w:bottom w:val="single" w:sz="4" w:space="0" w:color="auto"/>
              <w:right w:val="nil"/>
            </w:tcBorders>
            <w:shd w:val="clear" w:color="auto" w:fill="auto"/>
            <w:noWrap/>
            <w:vAlign w:val="bottom"/>
            <w:hideMark/>
          </w:tcPr>
          <w:p w14:paraId="49F6DF21"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45</w:t>
            </w:r>
          </w:p>
        </w:tc>
        <w:tc>
          <w:tcPr>
            <w:tcW w:w="636" w:type="dxa"/>
            <w:tcBorders>
              <w:top w:val="single" w:sz="4" w:space="0" w:color="auto"/>
              <w:left w:val="nil"/>
              <w:bottom w:val="single" w:sz="4" w:space="0" w:color="auto"/>
              <w:right w:val="nil"/>
            </w:tcBorders>
            <w:shd w:val="clear" w:color="auto" w:fill="auto"/>
            <w:noWrap/>
            <w:vAlign w:val="bottom"/>
            <w:hideMark/>
          </w:tcPr>
          <w:p w14:paraId="1EDAD9FF"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113</w:t>
            </w:r>
          </w:p>
        </w:tc>
        <w:tc>
          <w:tcPr>
            <w:tcW w:w="636" w:type="dxa"/>
            <w:tcBorders>
              <w:top w:val="single" w:sz="4" w:space="0" w:color="auto"/>
              <w:left w:val="nil"/>
              <w:bottom w:val="single" w:sz="4" w:space="0" w:color="auto"/>
              <w:right w:val="nil"/>
            </w:tcBorders>
            <w:shd w:val="clear" w:color="auto" w:fill="auto"/>
            <w:noWrap/>
            <w:vAlign w:val="bottom"/>
            <w:hideMark/>
          </w:tcPr>
          <w:p w14:paraId="4CE9C4E2"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117</w:t>
            </w:r>
          </w:p>
        </w:tc>
        <w:tc>
          <w:tcPr>
            <w:tcW w:w="532" w:type="dxa"/>
            <w:tcBorders>
              <w:top w:val="single" w:sz="4" w:space="0" w:color="auto"/>
              <w:left w:val="nil"/>
              <w:bottom w:val="single" w:sz="4" w:space="0" w:color="auto"/>
              <w:right w:val="nil"/>
            </w:tcBorders>
            <w:shd w:val="clear" w:color="auto" w:fill="auto"/>
            <w:noWrap/>
            <w:vAlign w:val="bottom"/>
            <w:hideMark/>
          </w:tcPr>
          <w:p w14:paraId="3F32E340"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12</w:t>
            </w:r>
          </w:p>
        </w:tc>
        <w:tc>
          <w:tcPr>
            <w:tcW w:w="1467" w:type="dxa"/>
            <w:tcBorders>
              <w:top w:val="single" w:sz="4" w:space="0" w:color="auto"/>
              <w:left w:val="nil"/>
              <w:bottom w:val="single" w:sz="4" w:space="0" w:color="auto"/>
              <w:right w:val="nil"/>
            </w:tcBorders>
            <w:shd w:val="clear" w:color="auto" w:fill="auto"/>
            <w:noWrap/>
            <w:vAlign w:val="bottom"/>
            <w:hideMark/>
          </w:tcPr>
          <w:p w14:paraId="1E44DD3A"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713</w:t>
            </w:r>
          </w:p>
        </w:tc>
      </w:tr>
      <w:tr w:rsidR="00AC1E67" w:rsidRPr="00A00187" w14:paraId="14681B8F" w14:textId="77777777" w:rsidTr="001316F4">
        <w:trPr>
          <w:trHeight w:val="315"/>
        </w:trPr>
        <w:tc>
          <w:tcPr>
            <w:tcW w:w="2096" w:type="dxa"/>
            <w:tcBorders>
              <w:top w:val="nil"/>
              <w:left w:val="nil"/>
              <w:bottom w:val="single" w:sz="4" w:space="0" w:color="auto"/>
              <w:right w:val="nil"/>
            </w:tcBorders>
            <w:shd w:val="clear" w:color="auto" w:fill="auto"/>
            <w:noWrap/>
            <w:vAlign w:val="bottom"/>
            <w:hideMark/>
          </w:tcPr>
          <w:p w14:paraId="1F8EC7CA"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KS Praha</w:t>
            </w:r>
          </w:p>
        </w:tc>
        <w:tc>
          <w:tcPr>
            <w:tcW w:w="875" w:type="dxa"/>
            <w:tcBorders>
              <w:top w:val="nil"/>
              <w:left w:val="nil"/>
              <w:bottom w:val="single" w:sz="4" w:space="0" w:color="auto"/>
              <w:right w:val="nil"/>
            </w:tcBorders>
            <w:shd w:val="clear" w:color="auto" w:fill="auto"/>
            <w:noWrap/>
            <w:vAlign w:val="bottom"/>
            <w:hideMark/>
          </w:tcPr>
          <w:p w14:paraId="43934EA6"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111</w:t>
            </w:r>
          </w:p>
        </w:tc>
        <w:tc>
          <w:tcPr>
            <w:tcW w:w="604" w:type="dxa"/>
            <w:tcBorders>
              <w:top w:val="nil"/>
              <w:left w:val="nil"/>
              <w:bottom w:val="single" w:sz="4" w:space="0" w:color="auto"/>
              <w:right w:val="nil"/>
            </w:tcBorders>
            <w:shd w:val="clear" w:color="auto" w:fill="auto"/>
            <w:noWrap/>
            <w:vAlign w:val="bottom"/>
            <w:hideMark/>
          </w:tcPr>
          <w:p w14:paraId="053D0DFA"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13</w:t>
            </w:r>
          </w:p>
        </w:tc>
        <w:tc>
          <w:tcPr>
            <w:tcW w:w="636" w:type="dxa"/>
            <w:tcBorders>
              <w:top w:val="nil"/>
              <w:left w:val="nil"/>
              <w:bottom w:val="single" w:sz="4" w:space="0" w:color="auto"/>
              <w:right w:val="nil"/>
            </w:tcBorders>
            <w:shd w:val="clear" w:color="auto" w:fill="auto"/>
            <w:noWrap/>
            <w:vAlign w:val="bottom"/>
            <w:hideMark/>
          </w:tcPr>
          <w:p w14:paraId="124DD0DE"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61</w:t>
            </w:r>
          </w:p>
        </w:tc>
        <w:tc>
          <w:tcPr>
            <w:tcW w:w="636" w:type="dxa"/>
            <w:tcBorders>
              <w:top w:val="nil"/>
              <w:left w:val="nil"/>
              <w:bottom w:val="single" w:sz="4" w:space="0" w:color="auto"/>
              <w:right w:val="nil"/>
            </w:tcBorders>
            <w:shd w:val="clear" w:color="auto" w:fill="auto"/>
            <w:noWrap/>
            <w:vAlign w:val="bottom"/>
            <w:hideMark/>
          </w:tcPr>
          <w:p w14:paraId="4E528C18"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70</w:t>
            </w:r>
          </w:p>
        </w:tc>
        <w:tc>
          <w:tcPr>
            <w:tcW w:w="636" w:type="dxa"/>
            <w:tcBorders>
              <w:top w:val="nil"/>
              <w:left w:val="nil"/>
              <w:bottom w:val="single" w:sz="4" w:space="0" w:color="auto"/>
              <w:right w:val="nil"/>
            </w:tcBorders>
            <w:shd w:val="clear" w:color="auto" w:fill="auto"/>
            <w:noWrap/>
            <w:vAlign w:val="bottom"/>
            <w:hideMark/>
          </w:tcPr>
          <w:p w14:paraId="4FD55E71"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48</w:t>
            </w:r>
          </w:p>
        </w:tc>
        <w:tc>
          <w:tcPr>
            <w:tcW w:w="636" w:type="dxa"/>
            <w:tcBorders>
              <w:top w:val="nil"/>
              <w:left w:val="nil"/>
              <w:bottom w:val="single" w:sz="4" w:space="0" w:color="auto"/>
              <w:right w:val="nil"/>
            </w:tcBorders>
            <w:shd w:val="clear" w:color="auto" w:fill="auto"/>
            <w:noWrap/>
            <w:vAlign w:val="bottom"/>
            <w:hideMark/>
          </w:tcPr>
          <w:p w14:paraId="4794FA34"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119</w:t>
            </w:r>
          </w:p>
        </w:tc>
        <w:tc>
          <w:tcPr>
            <w:tcW w:w="636" w:type="dxa"/>
            <w:tcBorders>
              <w:top w:val="nil"/>
              <w:left w:val="nil"/>
              <w:bottom w:val="single" w:sz="4" w:space="0" w:color="auto"/>
              <w:right w:val="nil"/>
            </w:tcBorders>
            <w:shd w:val="clear" w:color="auto" w:fill="auto"/>
            <w:noWrap/>
            <w:vAlign w:val="bottom"/>
            <w:hideMark/>
          </w:tcPr>
          <w:p w14:paraId="394F7EF9"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34</w:t>
            </w:r>
          </w:p>
        </w:tc>
        <w:tc>
          <w:tcPr>
            <w:tcW w:w="532" w:type="dxa"/>
            <w:tcBorders>
              <w:top w:val="nil"/>
              <w:left w:val="nil"/>
              <w:bottom w:val="single" w:sz="4" w:space="0" w:color="auto"/>
              <w:right w:val="nil"/>
            </w:tcBorders>
            <w:shd w:val="clear" w:color="auto" w:fill="auto"/>
            <w:noWrap/>
            <w:vAlign w:val="bottom"/>
            <w:hideMark/>
          </w:tcPr>
          <w:p w14:paraId="39C6E761"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10</w:t>
            </w:r>
          </w:p>
        </w:tc>
        <w:tc>
          <w:tcPr>
            <w:tcW w:w="1467" w:type="dxa"/>
            <w:tcBorders>
              <w:top w:val="nil"/>
              <w:left w:val="nil"/>
              <w:bottom w:val="single" w:sz="4" w:space="0" w:color="auto"/>
              <w:right w:val="nil"/>
            </w:tcBorders>
            <w:shd w:val="clear" w:color="auto" w:fill="auto"/>
            <w:noWrap/>
            <w:vAlign w:val="bottom"/>
            <w:hideMark/>
          </w:tcPr>
          <w:p w14:paraId="1EA754AC"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466</w:t>
            </w:r>
          </w:p>
        </w:tc>
      </w:tr>
      <w:tr w:rsidR="00AC1E67" w:rsidRPr="00A00187" w14:paraId="039122B0" w14:textId="77777777" w:rsidTr="001316F4">
        <w:trPr>
          <w:trHeight w:val="315"/>
        </w:trPr>
        <w:tc>
          <w:tcPr>
            <w:tcW w:w="2096" w:type="dxa"/>
            <w:tcBorders>
              <w:top w:val="nil"/>
              <w:left w:val="nil"/>
              <w:bottom w:val="single" w:sz="4" w:space="0" w:color="auto"/>
              <w:right w:val="nil"/>
            </w:tcBorders>
            <w:shd w:val="clear" w:color="auto" w:fill="auto"/>
            <w:noWrap/>
            <w:vAlign w:val="bottom"/>
            <w:hideMark/>
          </w:tcPr>
          <w:p w14:paraId="78F604F4"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KS Č. Budějovice</w:t>
            </w:r>
          </w:p>
        </w:tc>
        <w:tc>
          <w:tcPr>
            <w:tcW w:w="875" w:type="dxa"/>
            <w:tcBorders>
              <w:top w:val="nil"/>
              <w:left w:val="nil"/>
              <w:bottom w:val="single" w:sz="4" w:space="0" w:color="auto"/>
              <w:right w:val="nil"/>
            </w:tcBorders>
            <w:shd w:val="clear" w:color="auto" w:fill="auto"/>
            <w:noWrap/>
            <w:vAlign w:val="bottom"/>
            <w:hideMark/>
          </w:tcPr>
          <w:p w14:paraId="1128F3D6"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60</w:t>
            </w:r>
          </w:p>
        </w:tc>
        <w:tc>
          <w:tcPr>
            <w:tcW w:w="604" w:type="dxa"/>
            <w:tcBorders>
              <w:top w:val="nil"/>
              <w:left w:val="nil"/>
              <w:bottom w:val="single" w:sz="4" w:space="0" w:color="auto"/>
              <w:right w:val="nil"/>
            </w:tcBorders>
            <w:shd w:val="clear" w:color="auto" w:fill="auto"/>
            <w:noWrap/>
            <w:vAlign w:val="bottom"/>
            <w:hideMark/>
          </w:tcPr>
          <w:p w14:paraId="6B1F217F"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12</w:t>
            </w:r>
          </w:p>
        </w:tc>
        <w:tc>
          <w:tcPr>
            <w:tcW w:w="636" w:type="dxa"/>
            <w:tcBorders>
              <w:top w:val="nil"/>
              <w:left w:val="nil"/>
              <w:bottom w:val="single" w:sz="4" w:space="0" w:color="auto"/>
              <w:right w:val="nil"/>
            </w:tcBorders>
            <w:shd w:val="clear" w:color="auto" w:fill="auto"/>
            <w:noWrap/>
            <w:vAlign w:val="bottom"/>
            <w:hideMark/>
          </w:tcPr>
          <w:p w14:paraId="2454ED4A"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28</w:t>
            </w:r>
          </w:p>
        </w:tc>
        <w:tc>
          <w:tcPr>
            <w:tcW w:w="636" w:type="dxa"/>
            <w:tcBorders>
              <w:top w:val="nil"/>
              <w:left w:val="nil"/>
              <w:bottom w:val="single" w:sz="4" w:space="0" w:color="auto"/>
              <w:right w:val="nil"/>
            </w:tcBorders>
            <w:shd w:val="clear" w:color="auto" w:fill="auto"/>
            <w:noWrap/>
            <w:vAlign w:val="bottom"/>
            <w:hideMark/>
          </w:tcPr>
          <w:p w14:paraId="691FF5F0"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50</w:t>
            </w:r>
          </w:p>
        </w:tc>
        <w:tc>
          <w:tcPr>
            <w:tcW w:w="636" w:type="dxa"/>
            <w:tcBorders>
              <w:top w:val="nil"/>
              <w:left w:val="nil"/>
              <w:bottom w:val="single" w:sz="4" w:space="0" w:color="auto"/>
              <w:right w:val="nil"/>
            </w:tcBorders>
            <w:shd w:val="clear" w:color="auto" w:fill="auto"/>
            <w:noWrap/>
            <w:vAlign w:val="bottom"/>
            <w:hideMark/>
          </w:tcPr>
          <w:p w14:paraId="0A2AF206"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33</w:t>
            </w:r>
          </w:p>
        </w:tc>
        <w:tc>
          <w:tcPr>
            <w:tcW w:w="636" w:type="dxa"/>
            <w:tcBorders>
              <w:top w:val="nil"/>
              <w:left w:val="nil"/>
              <w:bottom w:val="single" w:sz="4" w:space="0" w:color="auto"/>
              <w:right w:val="nil"/>
            </w:tcBorders>
            <w:shd w:val="clear" w:color="auto" w:fill="auto"/>
            <w:noWrap/>
            <w:vAlign w:val="bottom"/>
            <w:hideMark/>
          </w:tcPr>
          <w:p w14:paraId="2C9390FF"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65</w:t>
            </w:r>
          </w:p>
        </w:tc>
        <w:tc>
          <w:tcPr>
            <w:tcW w:w="636" w:type="dxa"/>
            <w:tcBorders>
              <w:top w:val="nil"/>
              <w:left w:val="nil"/>
              <w:bottom w:val="single" w:sz="4" w:space="0" w:color="auto"/>
              <w:right w:val="nil"/>
            </w:tcBorders>
            <w:shd w:val="clear" w:color="auto" w:fill="auto"/>
            <w:noWrap/>
            <w:vAlign w:val="bottom"/>
            <w:hideMark/>
          </w:tcPr>
          <w:p w14:paraId="342E3EAF"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28</w:t>
            </w:r>
          </w:p>
        </w:tc>
        <w:tc>
          <w:tcPr>
            <w:tcW w:w="532" w:type="dxa"/>
            <w:tcBorders>
              <w:top w:val="nil"/>
              <w:left w:val="nil"/>
              <w:bottom w:val="single" w:sz="4" w:space="0" w:color="auto"/>
              <w:right w:val="nil"/>
            </w:tcBorders>
            <w:shd w:val="clear" w:color="auto" w:fill="auto"/>
            <w:noWrap/>
            <w:vAlign w:val="bottom"/>
            <w:hideMark/>
          </w:tcPr>
          <w:p w14:paraId="6D279451"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10</w:t>
            </w:r>
          </w:p>
        </w:tc>
        <w:tc>
          <w:tcPr>
            <w:tcW w:w="1467" w:type="dxa"/>
            <w:tcBorders>
              <w:top w:val="nil"/>
              <w:left w:val="nil"/>
              <w:bottom w:val="single" w:sz="4" w:space="0" w:color="auto"/>
              <w:right w:val="nil"/>
            </w:tcBorders>
            <w:shd w:val="clear" w:color="auto" w:fill="auto"/>
            <w:noWrap/>
            <w:vAlign w:val="bottom"/>
            <w:hideMark/>
          </w:tcPr>
          <w:p w14:paraId="2271D1FA"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286</w:t>
            </w:r>
          </w:p>
        </w:tc>
      </w:tr>
      <w:tr w:rsidR="00AC1E67" w:rsidRPr="00A00187" w14:paraId="6D7C435B" w14:textId="77777777" w:rsidTr="001316F4">
        <w:trPr>
          <w:trHeight w:val="315"/>
        </w:trPr>
        <w:tc>
          <w:tcPr>
            <w:tcW w:w="2096" w:type="dxa"/>
            <w:tcBorders>
              <w:top w:val="nil"/>
              <w:left w:val="nil"/>
              <w:bottom w:val="single" w:sz="4" w:space="0" w:color="auto"/>
              <w:right w:val="nil"/>
            </w:tcBorders>
            <w:shd w:val="clear" w:color="auto" w:fill="auto"/>
            <w:noWrap/>
            <w:vAlign w:val="bottom"/>
            <w:hideMark/>
          </w:tcPr>
          <w:p w14:paraId="71EC7C9F"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KS Plzeň</w:t>
            </w:r>
          </w:p>
        </w:tc>
        <w:tc>
          <w:tcPr>
            <w:tcW w:w="875" w:type="dxa"/>
            <w:tcBorders>
              <w:top w:val="nil"/>
              <w:left w:val="nil"/>
              <w:bottom w:val="single" w:sz="4" w:space="0" w:color="auto"/>
              <w:right w:val="nil"/>
            </w:tcBorders>
            <w:shd w:val="clear" w:color="auto" w:fill="auto"/>
            <w:noWrap/>
            <w:vAlign w:val="bottom"/>
            <w:hideMark/>
          </w:tcPr>
          <w:p w14:paraId="1875D2EE"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92</w:t>
            </w:r>
          </w:p>
        </w:tc>
        <w:tc>
          <w:tcPr>
            <w:tcW w:w="604" w:type="dxa"/>
            <w:tcBorders>
              <w:top w:val="nil"/>
              <w:left w:val="nil"/>
              <w:bottom w:val="single" w:sz="4" w:space="0" w:color="auto"/>
              <w:right w:val="nil"/>
            </w:tcBorders>
            <w:shd w:val="clear" w:color="auto" w:fill="auto"/>
            <w:noWrap/>
            <w:vAlign w:val="bottom"/>
            <w:hideMark/>
          </w:tcPr>
          <w:p w14:paraId="7B29AEFA"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12</w:t>
            </w:r>
          </w:p>
        </w:tc>
        <w:tc>
          <w:tcPr>
            <w:tcW w:w="636" w:type="dxa"/>
            <w:tcBorders>
              <w:top w:val="nil"/>
              <w:left w:val="nil"/>
              <w:bottom w:val="single" w:sz="4" w:space="0" w:color="auto"/>
              <w:right w:val="nil"/>
            </w:tcBorders>
            <w:shd w:val="clear" w:color="auto" w:fill="auto"/>
            <w:noWrap/>
            <w:vAlign w:val="bottom"/>
            <w:hideMark/>
          </w:tcPr>
          <w:p w14:paraId="092AA7B5"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31</w:t>
            </w:r>
          </w:p>
        </w:tc>
        <w:tc>
          <w:tcPr>
            <w:tcW w:w="636" w:type="dxa"/>
            <w:tcBorders>
              <w:top w:val="nil"/>
              <w:left w:val="nil"/>
              <w:bottom w:val="single" w:sz="4" w:space="0" w:color="auto"/>
              <w:right w:val="nil"/>
            </w:tcBorders>
            <w:shd w:val="clear" w:color="auto" w:fill="auto"/>
            <w:noWrap/>
            <w:vAlign w:val="bottom"/>
            <w:hideMark/>
          </w:tcPr>
          <w:p w14:paraId="44707A09"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81</w:t>
            </w:r>
          </w:p>
        </w:tc>
        <w:tc>
          <w:tcPr>
            <w:tcW w:w="636" w:type="dxa"/>
            <w:tcBorders>
              <w:top w:val="nil"/>
              <w:left w:val="nil"/>
              <w:bottom w:val="single" w:sz="4" w:space="0" w:color="auto"/>
              <w:right w:val="nil"/>
            </w:tcBorders>
            <w:shd w:val="clear" w:color="auto" w:fill="auto"/>
            <w:noWrap/>
            <w:vAlign w:val="bottom"/>
            <w:hideMark/>
          </w:tcPr>
          <w:p w14:paraId="2A067659"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37</w:t>
            </w:r>
          </w:p>
        </w:tc>
        <w:tc>
          <w:tcPr>
            <w:tcW w:w="636" w:type="dxa"/>
            <w:tcBorders>
              <w:top w:val="nil"/>
              <w:left w:val="nil"/>
              <w:bottom w:val="single" w:sz="4" w:space="0" w:color="auto"/>
              <w:right w:val="nil"/>
            </w:tcBorders>
            <w:shd w:val="clear" w:color="auto" w:fill="auto"/>
            <w:noWrap/>
            <w:vAlign w:val="bottom"/>
            <w:hideMark/>
          </w:tcPr>
          <w:p w14:paraId="54F70E52"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88</w:t>
            </w:r>
          </w:p>
        </w:tc>
        <w:tc>
          <w:tcPr>
            <w:tcW w:w="636" w:type="dxa"/>
            <w:tcBorders>
              <w:top w:val="nil"/>
              <w:left w:val="nil"/>
              <w:bottom w:val="single" w:sz="4" w:space="0" w:color="auto"/>
              <w:right w:val="nil"/>
            </w:tcBorders>
            <w:shd w:val="clear" w:color="auto" w:fill="auto"/>
            <w:noWrap/>
            <w:vAlign w:val="bottom"/>
            <w:hideMark/>
          </w:tcPr>
          <w:p w14:paraId="24ED3F66"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53</w:t>
            </w:r>
          </w:p>
        </w:tc>
        <w:tc>
          <w:tcPr>
            <w:tcW w:w="532" w:type="dxa"/>
            <w:tcBorders>
              <w:top w:val="nil"/>
              <w:left w:val="nil"/>
              <w:bottom w:val="single" w:sz="4" w:space="0" w:color="auto"/>
              <w:right w:val="nil"/>
            </w:tcBorders>
            <w:shd w:val="clear" w:color="auto" w:fill="auto"/>
            <w:noWrap/>
            <w:vAlign w:val="bottom"/>
            <w:hideMark/>
          </w:tcPr>
          <w:p w14:paraId="3CA5FD34"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6</w:t>
            </w:r>
          </w:p>
        </w:tc>
        <w:tc>
          <w:tcPr>
            <w:tcW w:w="1467" w:type="dxa"/>
            <w:tcBorders>
              <w:top w:val="nil"/>
              <w:left w:val="nil"/>
              <w:bottom w:val="single" w:sz="4" w:space="0" w:color="auto"/>
              <w:right w:val="nil"/>
            </w:tcBorders>
            <w:shd w:val="clear" w:color="auto" w:fill="auto"/>
            <w:noWrap/>
            <w:vAlign w:val="bottom"/>
            <w:hideMark/>
          </w:tcPr>
          <w:p w14:paraId="46EF82DD"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400</w:t>
            </w:r>
          </w:p>
        </w:tc>
      </w:tr>
      <w:tr w:rsidR="00AC1E67" w:rsidRPr="00A00187" w14:paraId="50550106" w14:textId="77777777" w:rsidTr="001316F4">
        <w:trPr>
          <w:trHeight w:val="315"/>
        </w:trPr>
        <w:tc>
          <w:tcPr>
            <w:tcW w:w="2096" w:type="dxa"/>
            <w:tcBorders>
              <w:top w:val="nil"/>
              <w:left w:val="nil"/>
              <w:bottom w:val="single" w:sz="4" w:space="0" w:color="auto"/>
              <w:right w:val="nil"/>
            </w:tcBorders>
            <w:shd w:val="clear" w:color="auto" w:fill="auto"/>
            <w:noWrap/>
            <w:vAlign w:val="bottom"/>
            <w:hideMark/>
          </w:tcPr>
          <w:p w14:paraId="5330E98D"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KS Ústí n. Labem</w:t>
            </w:r>
          </w:p>
        </w:tc>
        <w:tc>
          <w:tcPr>
            <w:tcW w:w="875" w:type="dxa"/>
            <w:tcBorders>
              <w:top w:val="nil"/>
              <w:left w:val="nil"/>
              <w:bottom w:val="single" w:sz="4" w:space="0" w:color="auto"/>
              <w:right w:val="nil"/>
            </w:tcBorders>
            <w:shd w:val="clear" w:color="auto" w:fill="auto"/>
            <w:noWrap/>
            <w:vAlign w:val="bottom"/>
            <w:hideMark/>
          </w:tcPr>
          <w:p w14:paraId="167CAADB"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155</w:t>
            </w:r>
          </w:p>
        </w:tc>
        <w:tc>
          <w:tcPr>
            <w:tcW w:w="604" w:type="dxa"/>
            <w:tcBorders>
              <w:top w:val="nil"/>
              <w:left w:val="nil"/>
              <w:bottom w:val="single" w:sz="4" w:space="0" w:color="auto"/>
              <w:right w:val="nil"/>
            </w:tcBorders>
            <w:shd w:val="clear" w:color="auto" w:fill="auto"/>
            <w:noWrap/>
            <w:vAlign w:val="bottom"/>
            <w:hideMark/>
          </w:tcPr>
          <w:p w14:paraId="47B344DC"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19</w:t>
            </w:r>
          </w:p>
        </w:tc>
        <w:tc>
          <w:tcPr>
            <w:tcW w:w="636" w:type="dxa"/>
            <w:tcBorders>
              <w:top w:val="nil"/>
              <w:left w:val="nil"/>
              <w:bottom w:val="single" w:sz="4" w:space="0" w:color="auto"/>
              <w:right w:val="nil"/>
            </w:tcBorders>
            <w:shd w:val="clear" w:color="auto" w:fill="auto"/>
            <w:noWrap/>
            <w:vAlign w:val="bottom"/>
            <w:hideMark/>
          </w:tcPr>
          <w:p w14:paraId="436599B1"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58</w:t>
            </w:r>
          </w:p>
        </w:tc>
        <w:tc>
          <w:tcPr>
            <w:tcW w:w="636" w:type="dxa"/>
            <w:tcBorders>
              <w:top w:val="nil"/>
              <w:left w:val="nil"/>
              <w:bottom w:val="single" w:sz="4" w:space="0" w:color="auto"/>
              <w:right w:val="nil"/>
            </w:tcBorders>
            <w:shd w:val="clear" w:color="auto" w:fill="auto"/>
            <w:noWrap/>
            <w:vAlign w:val="bottom"/>
            <w:hideMark/>
          </w:tcPr>
          <w:p w14:paraId="2BC5F91D"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70</w:t>
            </w:r>
          </w:p>
        </w:tc>
        <w:tc>
          <w:tcPr>
            <w:tcW w:w="636" w:type="dxa"/>
            <w:tcBorders>
              <w:top w:val="nil"/>
              <w:left w:val="nil"/>
              <w:bottom w:val="single" w:sz="4" w:space="0" w:color="auto"/>
              <w:right w:val="nil"/>
            </w:tcBorders>
            <w:shd w:val="clear" w:color="auto" w:fill="auto"/>
            <w:noWrap/>
            <w:vAlign w:val="bottom"/>
            <w:hideMark/>
          </w:tcPr>
          <w:p w14:paraId="64F290E5"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66</w:t>
            </w:r>
          </w:p>
        </w:tc>
        <w:tc>
          <w:tcPr>
            <w:tcW w:w="636" w:type="dxa"/>
            <w:tcBorders>
              <w:top w:val="nil"/>
              <w:left w:val="nil"/>
              <w:bottom w:val="single" w:sz="4" w:space="0" w:color="auto"/>
              <w:right w:val="nil"/>
            </w:tcBorders>
            <w:shd w:val="clear" w:color="auto" w:fill="auto"/>
            <w:noWrap/>
            <w:vAlign w:val="bottom"/>
            <w:hideMark/>
          </w:tcPr>
          <w:p w14:paraId="48AD8658"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83</w:t>
            </w:r>
          </w:p>
        </w:tc>
        <w:tc>
          <w:tcPr>
            <w:tcW w:w="636" w:type="dxa"/>
            <w:tcBorders>
              <w:top w:val="nil"/>
              <w:left w:val="nil"/>
              <w:bottom w:val="single" w:sz="4" w:space="0" w:color="auto"/>
              <w:right w:val="nil"/>
            </w:tcBorders>
            <w:shd w:val="clear" w:color="auto" w:fill="auto"/>
            <w:noWrap/>
            <w:vAlign w:val="bottom"/>
            <w:hideMark/>
          </w:tcPr>
          <w:p w14:paraId="4407C00D"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161</w:t>
            </w:r>
          </w:p>
        </w:tc>
        <w:tc>
          <w:tcPr>
            <w:tcW w:w="532" w:type="dxa"/>
            <w:tcBorders>
              <w:top w:val="nil"/>
              <w:left w:val="nil"/>
              <w:bottom w:val="single" w:sz="4" w:space="0" w:color="auto"/>
              <w:right w:val="nil"/>
            </w:tcBorders>
            <w:shd w:val="clear" w:color="auto" w:fill="auto"/>
            <w:noWrap/>
            <w:vAlign w:val="bottom"/>
            <w:hideMark/>
          </w:tcPr>
          <w:p w14:paraId="785F83A4"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12</w:t>
            </w:r>
          </w:p>
        </w:tc>
        <w:tc>
          <w:tcPr>
            <w:tcW w:w="1467" w:type="dxa"/>
            <w:tcBorders>
              <w:top w:val="nil"/>
              <w:left w:val="nil"/>
              <w:bottom w:val="single" w:sz="4" w:space="0" w:color="auto"/>
              <w:right w:val="nil"/>
            </w:tcBorders>
            <w:shd w:val="clear" w:color="auto" w:fill="auto"/>
            <w:noWrap/>
            <w:vAlign w:val="bottom"/>
            <w:hideMark/>
          </w:tcPr>
          <w:p w14:paraId="034A3161"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624</w:t>
            </w:r>
          </w:p>
        </w:tc>
      </w:tr>
      <w:tr w:rsidR="00AC1E67" w:rsidRPr="00A00187" w14:paraId="287A3D42" w14:textId="77777777" w:rsidTr="001316F4">
        <w:trPr>
          <w:trHeight w:val="315"/>
        </w:trPr>
        <w:tc>
          <w:tcPr>
            <w:tcW w:w="2096" w:type="dxa"/>
            <w:tcBorders>
              <w:top w:val="nil"/>
              <w:left w:val="nil"/>
              <w:bottom w:val="single" w:sz="4" w:space="0" w:color="auto"/>
              <w:right w:val="nil"/>
            </w:tcBorders>
            <w:shd w:val="clear" w:color="auto" w:fill="auto"/>
            <w:noWrap/>
            <w:vAlign w:val="bottom"/>
            <w:hideMark/>
          </w:tcPr>
          <w:p w14:paraId="68151228"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KS Hr. Králové</w:t>
            </w:r>
          </w:p>
        </w:tc>
        <w:tc>
          <w:tcPr>
            <w:tcW w:w="875" w:type="dxa"/>
            <w:tcBorders>
              <w:top w:val="nil"/>
              <w:left w:val="nil"/>
              <w:bottom w:val="single" w:sz="4" w:space="0" w:color="auto"/>
              <w:right w:val="nil"/>
            </w:tcBorders>
            <w:shd w:val="clear" w:color="auto" w:fill="auto"/>
            <w:noWrap/>
            <w:vAlign w:val="bottom"/>
            <w:hideMark/>
          </w:tcPr>
          <w:p w14:paraId="0B66643F"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104</w:t>
            </w:r>
          </w:p>
        </w:tc>
        <w:tc>
          <w:tcPr>
            <w:tcW w:w="604" w:type="dxa"/>
            <w:tcBorders>
              <w:top w:val="nil"/>
              <w:left w:val="nil"/>
              <w:bottom w:val="single" w:sz="4" w:space="0" w:color="auto"/>
              <w:right w:val="nil"/>
            </w:tcBorders>
            <w:shd w:val="clear" w:color="auto" w:fill="auto"/>
            <w:noWrap/>
            <w:vAlign w:val="bottom"/>
            <w:hideMark/>
          </w:tcPr>
          <w:p w14:paraId="722084F3"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15</w:t>
            </w:r>
          </w:p>
        </w:tc>
        <w:tc>
          <w:tcPr>
            <w:tcW w:w="636" w:type="dxa"/>
            <w:tcBorders>
              <w:top w:val="nil"/>
              <w:left w:val="nil"/>
              <w:bottom w:val="single" w:sz="4" w:space="0" w:color="auto"/>
              <w:right w:val="nil"/>
            </w:tcBorders>
            <w:shd w:val="clear" w:color="auto" w:fill="auto"/>
            <w:noWrap/>
            <w:vAlign w:val="bottom"/>
            <w:hideMark/>
          </w:tcPr>
          <w:p w14:paraId="649943BA"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w:t>
            </w:r>
          </w:p>
        </w:tc>
        <w:tc>
          <w:tcPr>
            <w:tcW w:w="636" w:type="dxa"/>
            <w:tcBorders>
              <w:top w:val="nil"/>
              <w:left w:val="nil"/>
              <w:bottom w:val="single" w:sz="4" w:space="0" w:color="auto"/>
              <w:right w:val="nil"/>
            </w:tcBorders>
            <w:shd w:val="clear" w:color="auto" w:fill="auto"/>
            <w:noWrap/>
            <w:vAlign w:val="bottom"/>
            <w:hideMark/>
          </w:tcPr>
          <w:p w14:paraId="66C834AC"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78</w:t>
            </w:r>
          </w:p>
        </w:tc>
        <w:tc>
          <w:tcPr>
            <w:tcW w:w="636" w:type="dxa"/>
            <w:tcBorders>
              <w:top w:val="nil"/>
              <w:left w:val="nil"/>
              <w:bottom w:val="single" w:sz="4" w:space="0" w:color="auto"/>
              <w:right w:val="nil"/>
            </w:tcBorders>
            <w:shd w:val="clear" w:color="auto" w:fill="auto"/>
            <w:noWrap/>
            <w:vAlign w:val="bottom"/>
            <w:hideMark/>
          </w:tcPr>
          <w:p w14:paraId="29999F39"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41</w:t>
            </w:r>
          </w:p>
        </w:tc>
        <w:tc>
          <w:tcPr>
            <w:tcW w:w="636" w:type="dxa"/>
            <w:tcBorders>
              <w:top w:val="nil"/>
              <w:left w:val="nil"/>
              <w:bottom w:val="single" w:sz="4" w:space="0" w:color="auto"/>
              <w:right w:val="nil"/>
            </w:tcBorders>
            <w:shd w:val="clear" w:color="auto" w:fill="auto"/>
            <w:noWrap/>
            <w:vAlign w:val="bottom"/>
            <w:hideMark/>
          </w:tcPr>
          <w:p w14:paraId="057E2766"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122</w:t>
            </w:r>
          </w:p>
        </w:tc>
        <w:tc>
          <w:tcPr>
            <w:tcW w:w="636" w:type="dxa"/>
            <w:tcBorders>
              <w:top w:val="nil"/>
              <w:left w:val="nil"/>
              <w:bottom w:val="single" w:sz="4" w:space="0" w:color="auto"/>
              <w:right w:val="nil"/>
            </w:tcBorders>
            <w:shd w:val="clear" w:color="auto" w:fill="auto"/>
            <w:noWrap/>
            <w:vAlign w:val="bottom"/>
            <w:hideMark/>
          </w:tcPr>
          <w:p w14:paraId="53BA37CA"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25</w:t>
            </w:r>
          </w:p>
        </w:tc>
        <w:tc>
          <w:tcPr>
            <w:tcW w:w="532" w:type="dxa"/>
            <w:tcBorders>
              <w:top w:val="nil"/>
              <w:left w:val="nil"/>
              <w:bottom w:val="single" w:sz="4" w:space="0" w:color="auto"/>
              <w:right w:val="nil"/>
            </w:tcBorders>
            <w:shd w:val="clear" w:color="auto" w:fill="auto"/>
            <w:noWrap/>
            <w:vAlign w:val="bottom"/>
            <w:hideMark/>
          </w:tcPr>
          <w:p w14:paraId="29FB2204"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w:t>
            </w:r>
          </w:p>
        </w:tc>
        <w:tc>
          <w:tcPr>
            <w:tcW w:w="1467" w:type="dxa"/>
            <w:tcBorders>
              <w:top w:val="nil"/>
              <w:left w:val="nil"/>
              <w:bottom w:val="single" w:sz="4" w:space="0" w:color="auto"/>
              <w:right w:val="nil"/>
            </w:tcBorders>
            <w:shd w:val="clear" w:color="auto" w:fill="auto"/>
            <w:noWrap/>
            <w:vAlign w:val="bottom"/>
            <w:hideMark/>
          </w:tcPr>
          <w:p w14:paraId="2254C0EE"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407</w:t>
            </w:r>
          </w:p>
        </w:tc>
      </w:tr>
      <w:tr w:rsidR="00AC1E67" w:rsidRPr="00A00187" w14:paraId="72820352" w14:textId="77777777" w:rsidTr="001316F4">
        <w:trPr>
          <w:trHeight w:val="315"/>
        </w:trPr>
        <w:tc>
          <w:tcPr>
            <w:tcW w:w="2096" w:type="dxa"/>
            <w:tcBorders>
              <w:top w:val="nil"/>
              <w:left w:val="nil"/>
              <w:bottom w:val="single" w:sz="4" w:space="0" w:color="auto"/>
              <w:right w:val="nil"/>
            </w:tcBorders>
            <w:shd w:val="clear" w:color="auto" w:fill="auto"/>
            <w:noWrap/>
            <w:vAlign w:val="bottom"/>
            <w:hideMark/>
          </w:tcPr>
          <w:p w14:paraId="748CDBCC"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KS Brno</w:t>
            </w:r>
          </w:p>
        </w:tc>
        <w:tc>
          <w:tcPr>
            <w:tcW w:w="875" w:type="dxa"/>
            <w:tcBorders>
              <w:top w:val="nil"/>
              <w:left w:val="nil"/>
              <w:bottom w:val="single" w:sz="4" w:space="0" w:color="auto"/>
              <w:right w:val="nil"/>
            </w:tcBorders>
            <w:shd w:val="clear" w:color="auto" w:fill="auto"/>
            <w:noWrap/>
            <w:vAlign w:val="bottom"/>
            <w:hideMark/>
          </w:tcPr>
          <w:p w14:paraId="5AD9249B"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169</w:t>
            </w:r>
          </w:p>
        </w:tc>
        <w:tc>
          <w:tcPr>
            <w:tcW w:w="604" w:type="dxa"/>
            <w:tcBorders>
              <w:top w:val="nil"/>
              <w:left w:val="nil"/>
              <w:bottom w:val="single" w:sz="4" w:space="0" w:color="auto"/>
              <w:right w:val="nil"/>
            </w:tcBorders>
            <w:shd w:val="clear" w:color="auto" w:fill="auto"/>
            <w:noWrap/>
            <w:vAlign w:val="bottom"/>
            <w:hideMark/>
          </w:tcPr>
          <w:p w14:paraId="575E461E"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11</w:t>
            </w:r>
          </w:p>
        </w:tc>
        <w:tc>
          <w:tcPr>
            <w:tcW w:w="636" w:type="dxa"/>
            <w:tcBorders>
              <w:top w:val="nil"/>
              <w:left w:val="nil"/>
              <w:bottom w:val="single" w:sz="4" w:space="0" w:color="auto"/>
              <w:right w:val="nil"/>
            </w:tcBorders>
            <w:shd w:val="clear" w:color="auto" w:fill="auto"/>
            <w:noWrap/>
            <w:vAlign w:val="bottom"/>
            <w:hideMark/>
          </w:tcPr>
          <w:p w14:paraId="56B4D7BF"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71</w:t>
            </w:r>
          </w:p>
        </w:tc>
        <w:tc>
          <w:tcPr>
            <w:tcW w:w="636" w:type="dxa"/>
            <w:tcBorders>
              <w:top w:val="nil"/>
              <w:left w:val="nil"/>
              <w:bottom w:val="single" w:sz="4" w:space="0" w:color="auto"/>
              <w:right w:val="nil"/>
            </w:tcBorders>
            <w:shd w:val="clear" w:color="auto" w:fill="auto"/>
            <w:noWrap/>
            <w:vAlign w:val="bottom"/>
            <w:hideMark/>
          </w:tcPr>
          <w:p w14:paraId="72C594F9"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78</w:t>
            </w:r>
          </w:p>
        </w:tc>
        <w:tc>
          <w:tcPr>
            <w:tcW w:w="636" w:type="dxa"/>
            <w:tcBorders>
              <w:top w:val="nil"/>
              <w:left w:val="nil"/>
              <w:bottom w:val="single" w:sz="4" w:space="0" w:color="auto"/>
              <w:right w:val="nil"/>
            </w:tcBorders>
            <w:shd w:val="clear" w:color="auto" w:fill="auto"/>
            <w:noWrap/>
            <w:vAlign w:val="bottom"/>
            <w:hideMark/>
          </w:tcPr>
          <w:p w14:paraId="20F10573"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66</w:t>
            </w:r>
          </w:p>
        </w:tc>
        <w:tc>
          <w:tcPr>
            <w:tcW w:w="636" w:type="dxa"/>
            <w:tcBorders>
              <w:top w:val="nil"/>
              <w:left w:val="nil"/>
              <w:bottom w:val="single" w:sz="4" w:space="0" w:color="auto"/>
              <w:right w:val="nil"/>
            </w:tcBorders>
            <w:shd w:val="clear" w:color="auto" w:fill="auto"/>
            <w:noWrap/>
            <w:vAlign w:val="bottom"/>
            <w:hideMark/>
          </w:tcPr>
          <w:p w14:paraId="596AE351"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170</w:t>
            </w:r>
          </w:p>
        </w:tc>
        <w:tc>
          <w:tcPr>
            <w:tcW w:w="636" w:type="dxa"/>
            <w:tcBorders>
              <w:top w:val="nil"/>
              <w:left w:val="nil"/>
              <w:bottom w:val="single" w:sz="4" w:space="0" w:color="auto"/>
              <w:right w:val="nil"/>
            </w:tcBorders>
            <w:shd w:val="clear" w:color="auto" w:fill="auto"/>
            <w:noWrap/>
            <w:vAlign w:val="bottom"/>
            <w:hideMark/>
          </w:tcPr>
          <w:p w14:paraId="749F92C2"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128</w:t>
            </w:r>
          </w:p>
        </w:tc>
        <w:tc>
          <w:tcPr>
            <w:tcW w:w="532" w:type="dxa"/>
            <w:tcBorders>
              <w:top w:val="nil"/>
              <w:left w:val="nil"/>
              <w:bottom w:val="single" w:sz="4" w:space="0" w:color="auto"/>
              <w:right w:val="nil"/>
            </w:tcBorders>
            <w:shd w:val="clear" w:color="auto" w:fill="auto"/>
            <w:noWrap/>
            <w:vAlign w:val="bottom"/>
            <w:hideMark/>
          </w:tcPr>
          <w:p w14:paraId="28CE11BE"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13</w:t>
            </w:r>
          </w:p>
        </w:tc>
        <w:tc>
          <w:tcPr>
            <w:tcW w:w="1467" w:type="dxa"/>
            <w:tcBorders>
              <w:top w:val="nil"/>
              <w:left w:val="nil"/>
              <w:bottom w:val="single" w:sz="4" w:space="0" w:color="auto"/>
              <w:right w:val="nil"/>
            </w:tcBorders>
            <w:shd w:val="clear" w:color="auto" w:fill="auto"/>
            <w:noWrap/>
            <w:vAlign w:val="bottom"/>
            <w:hideMark/>
          </w:tcPr>
          <w:p w14:paraId="048B63D8"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706</w:t>
            </w:r>
          </w:p>
        </w:tc>
      </w:tr>
      <w:tr w:rsidR="00AC1E67" w:rsidRPr="00A00187" w14:paraId="01F5873F" w14:textId="77777777" w:rsidTr="001316F4">
        <w:trPr>
          <w:trHeight w:val="330"/>
        </w:trPr>
        <w:tc>
          <w:tcPr>
            <w:tcW w:w="2096" w:type="dxa"/>
            <w:tcBorders>
              <w:top w:val="nil"/>
              <w:left w:val="nil"/>
              <w:bottom w:val="double" w:sz="6" w:space="0" w:color="auto"/>
              <w:right w:val="nil"/>
            </w:tcBorders>
            <w:shd w:val="clear" w:color="auto" w:fill="auto"/>
            <w:noWrap/>
            <w:vAlign w:val="bottom"/>
            <w:hideMark/>
          </w:tcPr>
          <w:p w14:paraId="00C6674A" w14:textId="77777777" w:rsidR="001316F4" w:rsidRPr="00A00187" w:rsidRDefault="001316F4" w:rsidP="001316F4">
            <w:pPr>
              <w:spacing w:line="240" w:lineRule="auto"/>
              <w:jc w:val="left"/>
              <w:rPr>
                <w:rFonts w:eastAsia="Times New Roman"/>
                <w:szCs w:val="24"/>
                <w:lang w:eastAsia="cs-CZ"/>
              </w:rPr>
            </w:pPr>
            <w:r w:rsidRPr="00A00187">
              <w:rPr>
                <w:rFonts w:eastAsia="Times New Roman"/>
                <w:szCs w:val="24"/>
                <w:lang w:eastAsia="cs-CZ"/>
              </w:rPr>
              <w:t>KS Ostrava</w:t>
            </w:r>
          </w:p>
        </w:tc>
        <w:tc>
          <w:tcPr>
            <w:tcW w:w="875" w:type="dxa"/>
            <w:tcBorders>
              <w:top w:val="nil"/>
              <w:left w:val="nil"/>
              <w:bottom w:val="double" w:sz="6" w:space="0" w:color="auto"/>
              <w:right w:val="nil"/>
            </w:tcBorders>
            <w:shd w:val="clear" w:color="auto" w:fill="auto"/>
            <w:noWrap/>
            <w:vAlign w:val="bottom"/>
            <w:hideMark/>
          </w:tcPr>
          <w:p w14:paraId="56753728"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193</w:t>
            </w:r>
          </w:p>
        </w:tc>
        <w:tc>
          <w:tcPr>
            <w:tcW w:w="604" w:type="dxa"/>
            <w:tcBorders>
              <w:top w:val="nil"/>
              <w:left w:val="nil"/>
              <w:bottom w:val="double" w:sz="6" w:space="0" w:color="auto"/>
              <w:right w:val="nil"/>
            </w:tcBorders>
            <w:shd w:val="clear" w:color="auto" w:fill="auto"/>
            <w:noWrap/>
            <w:vAlign w:val="bottom"/>
            <w:hideMark/>
          </w:tcPr>
          <w:p w14:paraId="69D1D8FD"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19</w:t>
            </w:r>
          </w:p>
        </w:tc>
        <w:tc>
          <w:tcPr>
            <w:tcW w:w="636" w:type="dxa"/>
            <w:tcBorders>
              <w:top w:val="nil"/>
              <w:left w:val="nil"/>
              <w:bottom w:val="double" w:sz="6" w:space="0" w:color="auto"/>
              <w:right w:val="nil"/>
            </w:tcBorders>
            <w:shd w:val="clear" w:color="auto" w:fill="auto"/>
            <w:noWrap/>
            <w:vAlign w:val="bottom"/>
            <w:hideMark/>
          </w:tcPr>
          <w:p w14:paraId="327E56F3"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36</w:t>
            </w:r>
          </w:p>
        </w:tc>
        <w:tc>
          <w:tcPr>
            <w:tcW w:w="636" w:type="dxa"/>
            <w:tcBorders>
              <w:top w:val="nil"/>
              <w:left w:val="nil"/>
              <w:bottom w:val="double" w:sz="6" w:space="0" w:color="auto"/>
              <w:right w:val="nil"/>
            </w:tcBorders>
            <w:shd w:val="clear" w:color="auto" w:fill="auto"/>
            <w:noWrap/>
            <w:vAlign w:val="bottom"/>
            <w:hideMark/>
          </w:tcPr>
          <w:p w14:paraId="33DA777A"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97</w:t>
            </w:r>
          </w:p>
        </w:tc>
        <w:tc>
          <w:tcPr>
            <w:tcW w:w="636" w:type="dxa"/>
            <w:tcBorders>
              <w:top w:val="nil"/>
              <w:left w:val="nil"/>
              <w:bottom w:val="double" w:sz="6" w:space="0" w:color="auto"/>
              <w:right w:val="nil"/>
            </w:tcBorders>
            <w:shd w:val="clear" w:color="auto" w:fill="auto"/>
            <w:noWrap/>
            <w:vAlign w:val="bottom"/>
            <w:hideMark/>
          </w:tcPr>
          <w:p w14:paraId="5F265CEF"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69</w:t>
            </w:r>
          </w:p>
        </w:tc>
        <w:tc>
          <w:tcPr>
            <w:tcW w:w="636" w:type="dxa"/>
            <w:tcBorders>
              <w:top w:val="nil"/>
              <w:left w:val="nil"/>
              <w:bottom w:val="double" w:sz="6" w:space="0" w:color="auto"/>
              <w:right w:val="nil"/>
            </w:tcBorders>
            <w:shd w:val="clear" w:color="auto" w:fill="auto"/>
            <w:noWrap/>
            <w:vAlign w:val="bottom"/>
            <w:hideMark/>
          </w:tcPr>
          <w:p w14:paraId="5DC81FF4"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195</w:t>
            </w:r>
          </w:p>
        </w:tc>
        <w:tc>
          <w:tcPr>
            <w:tcW w:w="636" w:type="dxa"/>
            <w:tcBorders>
              <w:top w:val="nil"/>
              <w:left w:val="nil"/>
              <w:bottom w:val="double" w:sz="6" w:space="0" w:color="auto"/>
              <w:right w:val="nil"/>
            </w:tcBorders>
            <w:shd w:val="clear" w:color="auto" w:fill="auto"/>
            <w:noWrap/>
            <w:vAlign w:val="bottom"/>
            <w:hideMark/>
          </w:tcPr>
          <w:p w14:paraId="617EB964"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97</w:t>
            </w:r>
          </w:p>
        </w:tc>
        <w:tc>
          <w:tcPr>
            <w:tcW w:w="532" w:type="dxa"/>
            <w:tcBorders>
              <w:top w:val="nil"/>
              <w:left w:val="nil"/>
              <w:bottom w:val="nil"/>
              <w:right w:val="nil"/>
            </w:tcBorders>
            <w:shd w:val="clear" w:color="auto" w:fill="auto"/>
            <w:noWrap/>
            <w:vAlign w:val="bottom"/>
            <w:hideMark/>
          </w:tcPr>
          <w:p w14:paraId="559B24CB" w14:textId="77777777" w:rsidR="001316F4" w:rsidRPr="00A00187" w:rsidRDefault="001316F4" w:rsidP="001316F4">
            <w:pPr>
              <w:spacing w:line="240" w:lineRule="auto"/>
              <w:jc w:val="center"/>
              <w:rPr>
                <w:rFonts w:eastAsia="Times New Roman"/>
                <w:szCs w:val="24"/>
                <w:lang w:eastAsia="cs-CZ"/>
              </w:rPr>
            </w:pPr>
            <w:r w:rsidRPr="00A00187">
              <w:rPr>
                <w:rFonts w:eastAsia="Times New Roman"/>
                <w:szCs w:val="24"/>
                <w:lang w:eastAsia="cs-CZ"/>
              </w:rPr>
              <w:t>14</w:t>
            </w:r>
          </w:p>
        </w:tc>
        <w:tc>
          <w:tcPr>
            <w:tcW w:w="1467" w:type="dxa"/>
            <w:tcBorders>
              <w:top w:val="nil"/>
              <w:left w:val="nil"/>
              <w:bottom w:val="single" w:sz="4" w:space="0" w:color="auto"/>
              <w:right w:val="nil"/>
            </w:tcBorders>
            <w:shd w:val="clear" w:color="auto" w:fill="auto"/>
            <w:noWrap/>
            <w:vAlign w:val="bottom"/>
            <w:hideMark/>
          </w:tcPr>
          <w:p w14:paraId="3BDF5610"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720</w:t>
            </w:r>
          </w:p>
        </w:tc>
      </w:tr>
      <w:tr w:rsidR="001316F4" w:rsidRPr="00A00187" w14:paraId="36BD2E08" w14:textId="77777777" w:rsidTr="001316F4">
        <w:trPr>
          <w:trHeight w:val="345"/>
        </w:trPr>
        <w:tc>
          <w:tcPr>
            <w:tcW w:w="2096" w:type="dxa"/>
            <w:tcBorders>
              <w:top w:val="nil"/>
              <w:left w:val="nil"/>
              <w:bottom w:val="double" w:sz="6" w:space="0" w:color="auto"/>
              <w:right w:val="nil"/>
            </w:tcBorders>
            <w:shd w:val="clear" w:color="auto" w:fill="auto"/>
            <w:noWrap/>
            <w:vAlign w:val="bottom"/>
            <w:hideMark/>
          </w:tcPr>
          <w:p w14:paraId="435230C9" w14:textId="77777777" w:rsidR="001316F4" w:rsidRPr="00A00187" w:rsidRDefault="001316F4" w:rsidP="001316F4">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875" w:type="dxa"/>
            <w:tcBorders>
              <w:top w:val="nil"/>
              <w:left w:val="nil"/>
              <w:bottom w:val="double" w:sz="6" w:space="0" w:color="auto"/>
              <w:right w:val="nil"/>
            </w:tcBorders>
            <w:shd w:val="clear" w:color="auto" w:fill="auto"/>
            <w:noWrap/>
            <w:vAlign w:val="bottom"/>
            <w:hideMark/>
          </w:tcPr>
          <w:p w14:paraId="43267201"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998</w:t>
            </w:r>
          </w:p>
        </w:tc>
        <w:tc>
          <w:tcPr>
            <w:tcW w:w="604" w:type="dxa"/>
            <w:tcBorders>
              <w:top w:val="nil"/>
              <w:left w:val="nil"/>
              <w:bottom w:val="double" w:sz="6" w:space="0" w:color="auto"/>
              <w:right w:val="nil"/>
            </w:tcBorders>
            <w:shd w:val="clear" w:color="auto" w:fill="auto"/>
            <w:noWrap/>
            <w:vAlign w:val="bottom"/>
            <w:hideMark/>
          </w:tcPr>
          <w:p w14:paraId="34F058D2"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132</w:t>
            </w:r>
          </w:p>
        </w:tc>
        <w:tc>
          <w:tcPr>
            <w:tcW w:w="636" w:type="dxa"/>
            <w:tcBorders>
              <w:top w:val="nil"/>
              <w:left w:val="nil"/>
              <w:bottom w:val="double" w:sz="6" w:space="0" w:color="auto"/>
              <w:right w:val="nil"/>
            </w:tcBorders>
            <w:shd w:val="clear" w:color="auto" w:fill="auto"/>
            <w:noWrap/>
            <w:vAlign w:val="bottom"/>
            <w:hideMark/>
          </w:tcPr>
          <w:p w14:paraId="038C3C92"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443</w:t>
            </w:r>
          </w:p>
        </w:tc>
        <w:tc>
          <w:tcPr>
            <w:tcW w:w="636" w:type="dxa"/>
            <w:tcBorders>
              <w:top w:val="nil"/>
              <w:left w:val="nil"/>
              <w:bottom w:val="double" w:sz="6" w:space="0" w:color="auto"/>
              <w:right w:val="nil"/>
            </w:tcBorders>
            <w:shd w:val="clear" w:color="auto" w:fill="auto"/>
            <w:noWrap/>
            <w:vAlign w:val="bottom"/>
            <w:hideMark/>
          </w:tcPr>
          <w:p w14:paraId="35FC5D12"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658</w:t>
            </w:r>
          </w:p>
        </w:tc>
        <w:tc>
          <w:tcPr>
            <w:tcW w:w="636" w:type="dxa"/>
            <w:tcBorders>
              <w:top w:val="nil"/>
              <w:left w:val="nil"/>
              <w:bottom w:val="double" w:sz="6" w:space="0" w:color="auto"/>
              <w:right w:val="nil"/>
            </w:tcBorders>
            <w:shd w:val="clear" w:color="auto" w:fill="auto"/>
            <w:noWrap/>
            <w:vAlign w:val="bottom"/>
            <w:hideMark/>
          </w:tcPr>
          <w:p w14:paraId="2D8B3F93"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405</w:t>
            </w:r>
          </w:p>
        </w:tc>
        <w:tc>
          <w:tcPr>
            <w:tcW w:w="636" w:type="dxa"/>
            <w:tcBorders>
              <w:top w:val="nil"/>
              <w:left w:val="nil"/>
              <w:bottom w:val="double" w:sz="6" w:space="0" w:color="auto"/>
              <w:right w:val="nil"/>
            </w:tcBorders>
            <w:shd w:val="clear" w:color="auto" w:fill="auto"/>
            <w:noWrap/>
            <w:vAlign w:val="bottom"/>
            <w:hideMark/>
          </w:tcPr>
          <w:p w14:paraId="5212C18B"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955</w:t>
            </w:r>
          </w:p>
        </w:tc>
        <w:tc>
          <w:tcPr>
            <w:tcW w:w="636" w:type="dxa"/>
            <w:tcBorders>
              <w:top w:val="nil"/>
              <w:left w:val="nil"/>
              <w:bottom w:val="double" w:sz="6" w:space="0" w:color="auto"/>
              <w:right w:val="nil"/>
            </w:tcBorders>
            <w:shd w:val="clear" w:color="auto" w:fill="auto"/>
            <w:noWrap/>
            <w:vAlign w:val="bottom"/>
            <w:hideMark/>
          </w:tcPr>
          <w:p w14:paraId="3497D4DA"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643</w:t>
            </w:r>
          </w:p>
        </w:tc>
        <w:tc>
          <w:tcPr>
            <w:tcW w:w="532" w:type="dxa"/>
            <w:tcBorders>
              <w:top w:val="double" w:sz="6" w:space="0" w:color="auto"/>
              <w:left w:val="nil"/>
              <w:bottom w:val="double" w:sz="6" w:space="0" w:color="auto"/>
              <w:right w:val="nil"/>
            </w:tcBorders>
            <w:shd w:val="clear" w:color="auto" w:fill="auto"/>
            <w:noWrap/>
            <w:vAlign w:val="bottom"/>
            <w:hideMark/>
          </w:tcPr>
          <w:p w14:paraId="3FCD837D" w14:textId="7777777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88</w:t>
            </w:r>
          </w:p>
        </w:tc>
        <w:tc>
          <w:tcPr>
            <w:tcW w:w="1467" w:type="dxa"/>
            <w:tcBorders>
              <w:top w:val="double" w:sz="6" w:space="0" w:color="auto"/>
              <w:left w:val="nil"/>
              <w:bottom w:val="double" w:sz="6" w:space="0" w:color="auto"/>
              <w:right w:val="nil"/>
            </w:tcBorders>
            <w:shd w:val="clear" w:color="auto" w:fill="auto"/>
            <w:noWrap/>
            <w:vAlign w:val="bottom"/>
            <w:hideMark/>
          </w:tcPr>
          <w:p w14:paraId="4A3A3983" w14:textId="77D6E637" w:rsidR="001316F4" w:rsidRPr="00A00187" w:rsidRDefault="001316F4" w:rsidP="001316F4">
            <w:pPr>
              <w:spacing w:line="240" w:lineRule="auto"/>
              <w:jc w:val="center"/>
              <w:rPr>
                <w:rFonts w:eastAsia="Times New Roman"/>
                <w:b/>
                <w:bCs/>
                <w:szCs w:val="24"/>
                <w:lang w:eastAsia="cs-CZ"/>
              </w:rPr>
            </w:pPr>
            <w:r w:rsidRPr="00A00187">
              <w:rPr>
                <w:rFonts w:eastAsia="Times New Roman"/>
                <w:b/>
                <w:bCs/>
                <w:szCs w:val="24"/>
                <w:lang w:eastAsia="cs-CZ"/>
              </w:rPr>
              <w:t>4</w:t>
            </w:r>
            <w:r w:rsidR="00AD7D48" w:rsidRPr="00A00187">
              <w:rPr>
                <w:rFonts w:eastAsia="Times New Roman"/>
                <w:b/>
                <w:bCs/>
                <w:szCs w:val="24"/>
                <w:lang w:eastAsia="cs-CZ"/>
              </w:rPr>
              <w:t xml:space="preserve"> </w:t>
            </w:r>
            <w:r w:rsidRPr="00A00187">
              <w:rPr>
                <w:rFonts w:eastAsia="Times New Roman"/>
                <w:b/>
                <w:bCs/>
                <w:szCs w:val="24"/>
                <w:lang w:eastAsia="cs-CZ"/>
              </w:rPr>
              <w:t>322</w:t>
            </w:r>
          </w:p>
        </w:tc>
      </w:tr>
    </w:tbl>
    <w:p w14:paraId="50253E49" w14:textId="5ED51742" w:rsidR="005A4C85" w:rsidRPr="00A00187" w:rsidRDefault="005A4C85" w:rsidP="005A4C85"/>
    <w:p w14:paraId="052DF31A" w14:textId="77777777" w:rsidR="00711884" w:rsidRPr="00A00187" w:rsidRDefault="00711884" w:rsidP="00711884">
      <w:pPr>
        <w:pStyle w:val="OdstavecASR"/>
      </w:pPr>
      <w:r w:rsidRPr="00A00187">
        <w:t>Plánovaný počet zaměstnanců ve výkonu se stejně jako plánovaný počet soudců odvíjí od systemizace. Evidenční počet zaměstnanců se odvíjí od plánovaného počtu zaměstnanců ve výkonu, ale závisí také na situaci na trhu práce a personální politice jednotlivých soudů. Z toho ve výsledku plyne skutečnost, že poměr počtu soudců k počtu zaměstnanců ve výkonu je sice u všech soudů podobný, ale zdaleka ne totožný.</w:t>
      </w:r>
    </w:p>
    <w:p w14:paraId="7524F09E" w14:textId="50639B6F" w:rsidR="00CB570A" w:rsidRDefault="00711884" w:rsidP="00711884">
      <w:pPr>
        <w:pStyle w:val="OdstavecASR"/>
      </w:pPr>
      <w:r w:rsidRPr="00A00187">
        <w:t>K 1.</w:t>
      </w:r>
      <w:r w:rsidR="008D1CEB">
        <w:t> </w:t>
      </w:r>
      <w:r w:rsidRPr="00A00187">
        <w:t>1.</w:t>
      </w:r>
      <w:r w:rsidR="008D1CEB">
        <w:t> </w:t>
      </w:r>
      <w:r w:rsidRPr="00A00187">
        <w:t>2020 pracovalo u okresních soudů celkem 4 353 zaměstnanců ve výkonu. V roce 2020 se tento počet takřka nezměnil, došlo k meziročnímu poklesu o 31 zaměstnanců (0,7 %). Za pozornost nicméně stojí změny v </w:t>
      </w:r>
      <w:r w:rsidR="009D057B" w:rsidRPr="00A00187">
        <w:t>jednotlivých</w:t>
      </w:r>
      <w:r w:rsidRPr="00A00187">
        <w:t xml:space="preserve"> kategorií</w:t>
      </w:r>
      <w:r w:rsidR="0007585E" w:rsidRPr="00A00187">
        <w:t>ch</w:t>
      </w:r>
      <w:r w:rsidRPr="00A00187">
        <w:t xml:space="preserve"> zaměstnanců. Počet VK (vedoucí kanceláře) meziročně klesl </w:t>
      </w:r>
      <w:r w:rsidR="00726EC3" w:rsidRPr="00A00187">
        <w:t>o</w:t>
      </w:r>
      <w:r w:rsidR="00726EC3">
        <w:t> </w:t>
      </w:r>
      <w:r w:rsidRPr="00A00187">
        <w:t xml:space="preserve">123 osob, počet zapisovatelek klesl </w:t>
      </w:r>
      <w:r w:rsidR="00726EC3" w:rsidRPr="00A00187">
        <w:t>o</w:t>
      </w:r>
      <w:r w:rsidR="00726EC3">
        <w:t> </w:t>
      </w:r>
      <w:r w:rsidRPr="00A00187">
        <w:t xml:space="preserve">69 osob. Naopak ale narostl počet rejstříkových vedoucích </w:t>
      </w:r>
      <w:r w:rsidR="00726EC3" w:rsidRPr="00A00187">
        <w:t>o</w:t>
      </w:r>
      <w:r w:rsidR="00726EC3">
        <w:t> </w:t>
      </w:r>
      <w:r w:rsidRPr="00A00187">
        <w:t xml:space="preserve">169 osob. </w:t>
      </w:r>
      <w:r w:rsidR="00452DBB" w:rsidRPr="00A00187">
        <w:t>Nelze nicméně vyloučit</w:t>
      </w:r>
      <w:r w:rsidRPr="00A00187">
        <w:t xml:space="preserve">, </w:t>
      </w:r>
      <w:r w:rsidR="00452DBB" w:rsidRPr="00A00187">
        <w:t xml:space="preserve">že tento posun je spíše výsledkem změny pracovního zařazení konkrétních </w:t>
      </w:r>
      <w:r w:rsidR="00826A20" w:rsidRPr="00A00187">
        <w:t>zaměstnanců</w:t>
      </w:r>
      <w:r w:rsidRPr="00A00187">
        <w:t xml:space="preserve"> než </w:t>
      </w:r>
      <w:r w:rsidR="00452DBB" w:rsidRPr="00A00187">
        <w:t>proměnou</w:t>
      </w:r>
      <w:r w:rsidR="008D1CEB">
        <w:t xml:space="preserve"> </w:t>
      </w:r>
      <w:r w:rsidRPr="00A00187">
        <w:t>personální</w:t>
      </w:r>
      <w:r w:rsidR="00452DBB" w:rsidRPr="00A00187">
        <w:t>ho</w:t>
      </w:r>
      <w:r w:rsidRPr="00A00187">
        <w:t xml:space="preserve"> obsazení. </w:t>
      </w:r>
      <w:r w:rsidR="00826A20" w:rsidRPr="00A00187">
        <w:t xml:space="preserve">Obě pracovní zařazení mohou být </w:t>
      </w:r>
      <w:r w:rsidR="00726EC3" w:rsidRPr="00A00187">
        <w:t>v</w:t>
      </w:r>
      <w:r w:rsidR="00726EC3">
        <w:t> </w:t>
      </w:r>
      <w:r w:rsidR="00826A20" w:rsidRPr="00A00187">
        <w:t xml:space="preserve">zásadě zaměněna (viz níže). Změna pracovního zařazení ze zapisovatelky </w:t>
      </w:r>
      <w:r w:rsidR="00B96FD9" w:rsidRPr="00A00187">
        <w:t xml:space="preserve">na </w:t>
      </w:r>
      <w:r w:rsidR="00B361CD" w:rsidRPr="00A00187">
        <w:t>rejstříkovou vedoucí umožňuje zaměstnanci zvýšit ohodnocení.</w:t>
      </w:r>
    </w:p>
    <w:p w14:paraId="7085DB35" w14:textId="6AE88436" w:rsidR="009D057B" w:rsidRPr="00A00187" w:rsidRDefault="009D057B" w:rsidP="009D057B">
      <w:pPr>
        <w:pStyle w:val="OdstavecASR"/>
      </w:pPr>
      <w:r w:rsidRPr="00A00187">
        <w:t>Pro úplnost následuje krátké shrnutí pravomocí a pracovní náplně jednotlivých pracovníků soudu:</w:t>
      </w:r>
    </w:p>
    <w:p w14:paraId="5A3768ED" w14:textId="062E93CC" w:rsidR="009D057B" w:rsidRPr="00A00187" w:rsidRDefault="009D057B" w:rsidP="009D057B">
      <w:pPr>
        <w:pStyle w:val="Odstavecseseznamem"/>
        <w:numPr>
          <w:ilvl w:val="0"/>
          <w:numId w:val="20"/>
        </w:numPr>
      </w:pPr>
      <w:r w:rsidRPr="00A00187">
        <w:rPr>
          <w:b/>
        </w:rPr>
        <w:lastRenderedPageBreak/>
        <w:t xml:space="preserve">Vyšší soudní úředník (VSÚ) </w:t>
      </w:r>
      <w:r w:rsidRPr="00A00187">
        <w:t xml:space="preserve">– </w:t>
      </w:r>
      <w:r w:rsidR="002F00AD" w:rsidRPr="00A00187">
        <w:t>rozsah činnosti vyššího soudního úředníka je vymezen v Hlavě II. z. č.</w:t>
      </w:r>
      <w:r w:rsidR="009967BD">
        <w:t> </w:t>
      </w:r>
      <w:r w:rsidR="002F00AD" w:rsidRPr="00A00187">
        <w:t>121/2008</w:t>
      </w:r>
      <w:r w:rsidR="009967BD">
        <w:t> </w:t>
      </w:r>
      <w:r w:rsidR="002F00AD" w:rsidRPr="00A00187">
        <w:t xml:space="preserve">Sb., </w:t>
      </w:r>
      <w:r w:rsidR="00726EC3" w:rsidRPr="00A00187">
        <w:t>o</w:t>
      </w:r>
      <w:r w:rsidR="00726EC3">
        <w:t> </w:t>
      </w:r>
      <w:r w:rsidR="002F00AD" w:rsidRPr="00A00187">
        <w:t xml:space="preserve">vyšších soudních úřednících </w:t>
      </w:r>
      <w:r w:rsidR="00726EC3" w:rsidRPr="00A00187">
        <w:t>a</w:t>
      </w:r>
      <w:r w:rsidR="00726EC3">
        <w:t> </w:t>
      </w:r>
      <w:r w:rsidR="002F00AD" w:rsidRPr="00A00187">
        <w:t xml:space="preserve">vyšších úřednících státního zastupitelství </w:t>
      </w:r>
      <w:r w:rsidR="00726EC3" w:rsidRPr="00A00187">
        <w:t>a</w:t>
      </w:r>
      <w:r w:rsidR="00726EC3">
        <w:t> </w:t>
      </w:r>
      <w:r w:rsidR="00726EC3" w:rsidRPr="00A00187">
        <w:t>o</w:t>
      </w:r>
      <w:r w:rsidR="00726EC3">
        <w:t> </w:t>
      </w:r>
      <w:r w:rsidR="002F00AD" w:rsidRPr="00A00187">
        <w:t xml:space="preserve">změně souvisejících zákonů, ve znění pozdějších předpisů. Může </w:t>
      </w:r>
      <w:r w:rsidR="008C587F" w:rsidRPr="00A00187">
        <w:t>provádět</w:t>
      </w:r>
      <w:r w:rsidR="002F00AD" w:rsidRPr="00A00187">
        <w:t xml:space="preserve">, nestanoví-li zvláštní zákon jinak, </w:t>
      </w:r>
      <w:r w:rsidR="00726EC3" w:rsidRPr="00A00187">
        <w:t>v</w:t>
      </w:r>
      <w:r w:rsidR="00726EC3">
        <w:t> </w:t>
      </w:r>
      <w:r w:rsidR="00923693" w:rsidRPr="00A00187">
        <w:t xml:space="preserve">občanském soudním řízení, </w:t>
      </w:r>
      <w:r w:rsidR="00726EC3" w:rsidRPr="00A00187">
        <w:t>v</w:t>
      </w:r>
      <w:r w:rsidR="00726EC3">
        <w:t> </w:t>
      </w:r>
      <w:r w:rsidR="00923693" w:rsidRPr="00A00187">
        <w:t xml:space="preserve">soudním řízení správním </w:t>
      </w:r>
      <w:r w:rsidR="00726EC3" w:rsidRPr="00A00187">
        <w:t>a</w:t>
      </w:r>
      <w:r w:rsidR="00726EC3">
        <w:t> </w:t>
      </w:r>
      <w:r w:rsidR="00923693" w:rsidRPr="00A00187">
        <w:t xml:space="preserve">v trestním řízení </w:t>
      </w:r>
      <w:r w:rsidR="002F00AD" w:rsidRPr="00A00187">
        <w:t>veškeré úkony soudu prvního stupně,</w:t>
      </w:r>
      <w:r w:rsidR="008C587F" w:rsidRPr="00A00187">
        <w:t xml:space="preserve"> </w:t>
      </w:r>
      <w:r w:rsidR="00726EC3" w:rsidRPr="00A00187">
        <w:t>s</w:t>
      </w:r>
      <w:r w:rsidR="00726EC3">
        <w:t> </w:t>
      </w:r>
      <w:r w:rsidR="008C587F" w:rsidRPr="00A00187">
        <w:t>výjimkou úkonů uvedených v </w:t>
      </w:r>
      <w:proofErr w:type="spellStart"/>
      <w:r w:rsidR="008C587F" w:rsidRPr="00A00187">
        <w:t>ust</w:t>
      </w:r>
      <w:proofErr w:type="spellEnd"/>
      <w:r w:rsidR="008C587F" w:rsidRPr="00A00187">
        <w:t>. §</w:t>
      </w:r>
      <w:r w:rsidR="009967BD">
        <w:t> </w:t>
      </w:r>
      <w:r w:rsidR="008C587F" w:rsidRPr="00A00187">
        <w:t xml:space="preserve">11 </w:t>
      </w:r>
      <w:r w:rsidR="00726EC3" w:rsidRPr="00A00187">
        <w:t>a</w:t>
      </w:r>
      <w:r w:rsidR="00726EC3">
        <w:t> </w:t>
      </w:r>
      <w:r w:rsidR="008C587F" w:rsidRPr="00A00187">
        <w:t>12 citovaného zákona jako je např</w:t>
      </w:r>
      <w:r w:rsidR="004D5039" w:rsidRPr="00A00187">
        <w:t>íklad</w:t>
      </w:r>
      <w:r w:rsidR="008C587F" w:rsidRPr="00A00187">
        <w:t xml:space="preserve"> vedení jednání</w:t>
      </w:r>
      <w:r w:rsidR="00923693" w:rsidRPr="00A00187">
        <w:t xml:space="preserve"> ve</w:t>
      </w:r>
      <w:r w:rsidR="008C587F" w:rsidRPr="00A00187">
        <w:t xml:space="preserve"> věci samé, rozhodování ve věci samé formou rozsudku, rozhodování </w:t>
      </w:r>
      <w:r w:rsidR="00726EC3" w:rsidRPr="00A00187">
        <w:t>o</w:t>
      </w:r>
      <w:r w:rsidR="00726EC3">
        <w:t> </w:t>
      </w:r>
      <w:r w:rsidR="008C587F" w:rsidRPr="00A00187">
        <w:t xml:space="preserve">předběžném opatření, rozhodování </w:t>
      </w:r>
      <w:r w:rsidR="00726EC3" w:rsidRPr="00A00187">
        <w:t>a</w:t>
      </w:r>
      <w:r w:rsidR="00726EC3">
        <w:t> </w:t>
      </w:r>
      <w:r w:rsidR="008C587F" w:rsidRPr="00A00187">
        <w:t xml:space="preserve">provádění úkonů při jednání soudu </w:t>
      </w:r>
      <w:r w:rsidR="00726EC3" w:rsidRPr="00A00187">
        <w:t>v</w:t>
      </w:r>
      <w:r w:rsidR="00726EC3">
        <w:t> </w:t>
      </w:r>
      <w:r w:rsidR="008C587F" w:rsidRPr="00A00187">
        <w:t xml:space="preserve">hlavním líčení, veřejném zasedání </w:t>
      </w:r>
      <w:r w:rsidR="00726EC3" w:rsidRPr="00A00187">
        <w:t>a</w:t>
      </w:r>
      <w:r w:rsidR="00726EC3">
        <w:t> </w:t>
      </w:r>
      <w:r w:rsidR="008C587F" w:rsidRPr="00A00187">
        <w:t>neveřejném zasedání</w:t>
      </w:r>
      <w:r w:rsidR="00923693" w:rsidRPr="00A00187">
        <w:t>,</w:t>
      </w:r>
      <w:r w:rsidR="008C587F" w:rsidRPr="00A00187">
        <w:rPr>
          <w:rFonts w:ascii="Arial" w:eastAsiaTheme="minorEastAsia" w:hAnsi="Arial" w:cs="Arial"/>
          <w:sz w:val="16"/>
          <w:szCs w:val="16"/>
          <w:lang w:eastAsia="cs-CZ"/>
        </w:rPr>
        <w:t xml:space="preserve"> </w:t>
      </w:r>
      <w:r w:rsidR="008C587F" w:rsidRPr="00A00187">
        <w:t>vydání trestního příkazu, příkazu k zatčení atd.</w:t>
      </w:r>
      <w:r w:rsidRPr="00A00187">
        <w:t xml:space="preserve"> Může jím být pouze absolvent studia na Justiční akademii v Kroměříži nebo absolvent vysokoškolského bakalářského nebo magisterského studijního programu v oblasti práva.</w:t>
      </w:r>
    </w:p>
    <w:p w14:paraId="1AC142DD" w14:textId="21F19AA3" w:rsidR="009D057B" w:rsidRPr="00A00187" w:rsidRDefault="009D057B" w:rsidP="009D057B">
      <w:pPr>
        <w:pStyle w:val="Odstavecseseznamem"/>
        <w:numPr>
          <w:ilvl w:val="0"/>
          <w:numId w:val="20"/>
        </w:numPr>
        <w:rPr>
          <w:b/>
        </w:rPr>
      </w:pPr>
      <w:r w:rsidRPr="00A00187">
        <w:rPr>
          <w:b/>
        </w:rPr>
        <w:t xml:space="preserve">Soudní tajemník (ST) </w:t>
      </w:r>
      <w:r w:rsidRPr="00A00187">
        <w:t>– může jím být pouze osoba s úspěšně složenou maturitní zkouškou. Může provádět jednoduché úkony, ke kterým je pověřen předsedou soudu.</w:t>
      </w:r>
      <w:r w:rsidR="004D5039" w:rsidRPr="00A00187">
        <w:t xml:space="preserve"> Jedná se například </w:t>
      </w:r>
      <w:r w:rsidR="00726EC3" w:rsidRPr="00A00187">
        <w:t>o</w:t>
      </w:r>
      <w:r w:rsidR="00726EC3">
        <w:t> </w:t>
      </w:r>
      <w:r w:rsidR="004D5039" w:rsidRPr="00A00187">
        <w:t xml:space="preserve">dožádání </w:t>
      </w:r>
      <w:r w:rsidR="00726EC3" w:rsidRPr="00A00187">
        <w:t>v</w:t>
      </w:r>
      <w:r w:rsidR="00726EC3">
        <w:t> </w:t>
      </w:r>
      <w:r w:rsidR="004D5039" w:rsidRPr="00A00187">
        <w:t xml:space="preserve">jednoduchých věcech, sepisování podání, včetně návrhů apod. </w:t>
      </w:r>
      <w:r w:rsidR="00542A48" w:rsidRPr="00A00187">
        <w:t>- úkony</w:t>
      </w:r>
      <w:r w:rsidR="004D5039" w:rsidRPr="00A00187">
        <w:t xml:space="preserve"> </w:t>
      </w:r>
      <w:r w:rsidR="00542A48" w:rsidRPr="00A00187">
        <w:t xml:space="preserve">soudních tajemníků </w:t>
      </w:r>
      <w:r w:rsidR="004D5039" w:rsidRPr="00A00187">
        <w:t>j</w:t>
      </w:r>
      <w:r w:rsidR="00542A48" w:rsidRPr="00A00187">
        <w:t>sou</w:t>
      </w:r>
      <w:r w:rsidR="004D5039" w:rsidRPr="00A00187">
        <w:t xml:space="preserve"> </w:t>
      </w:r>
      <w:r w:rsidR="00EF5CFB" w:rsidRPr="00A00187">
        <w:t>vymezeny</w:t>
      </w:r>
      <w:r w:rsidR="004D5039" w:rsidRPr="00A00187">
        <w:t xml:space="preserve"> v </w:t>
      </w:r>
      <w:proofErr w:type="spellStart"/>
      <w:r w:rsidR="004D5039" w:rsidRPr="00A00187">
        <w:t>ust</w:t>
      </w:r>
      <w:proofErr w:type="spellEnd"/>
      <w:r w:rsidR="004D5039" w:rsidRPr="00A00187">
        <w:t>. §</w:t>
      </w:r>
      <w:r w:rsidR="00F30920" w:rsidRPr="00A00187">
        <w:t> </w:t>
      </w:r>
      <w:r w:rsidR="00726EC3" w:rsidRPr="00A00187">
        <w:t>6</w:t>
      </w:r>
      <w:r w:rsidR="00726EC3">
        <w:t xml:space="preserve"> </w:t>
      </w:r>
      <w:r w:rsidR="004D5039" w:rsidRPr="00A00187">
        <w:t>vyhlášky Ministerstva spravedlnosti č.</w:t>
      </w:r>
      <w:r w:rsidR="009967BD">
        <w:t> </w:t>
      </w:r>
      <w:r w:rsidR="004D5039" w:rsidRPr="00A00187">
        <w:t>37/1992</w:t>
      </w:r>
      <w:r w:rsidR="009967BD">
        <w:t xml:space="preserve"> Sb. </w:t>
      </w:r>
      <w:r w:rsidR="004D5039" w:rsidRPr="00A00187">
        <w:t>ze dne 23.</w:t>
      </w:r>
      <w:r w:rsidR="009967BD">
        <w:t> </w:t>
      </w:r>
      <w:r w:rsidR="004D5039" w:rsidRPr="00A00187">
        <w:t>12.</w:t>
      </w:r>
      <w:r w:rsidR="009967BD">
        <w:t> </w:t>
      </w:r>
      <w:r w:rsidR="004D5039" w:rsidRPr="00A00187">
        <w:t>1991</w:t>
      </w:r>
      <w:r w:rsidR="00542A48" w:rsidRPr="00A00187">
        <w:t xml:space="preserve"> </w:t>
      </w:r>
      <w:r w:rsidR="00726EC3" w:rsidRPr="00A00187">
        <w:t>o</w:t>
      </w:r>
      <w:r w:rsidR="00726EC3">
        <w:t> </w:t>
      </w:r>
      <w:r w:rsidR="00542A48" w:rsidRPr="00A00187">
        <w:t xml:space="preserve">jednacím řádu pro okresní </w:t>
      </w:r>
      <w:r w:rsidR="00726EC3" w:rsidRPr="00A00187">
        <w:t>a</w:t>
      </w:r>
      <w:r w:rsidR="00726EC3">
        <w:t> </w:t>
      </w:r>
      <w:r w:rsidR="00542A48" w:rsidRPr="00A00187">
        <w:t>krajské soud</w:t>
      </w:r>
      <w:r w:rsidR="008D1CEB">
        <w:t>y</w:t>
      </w:r>
      <w:r w:rsidR="00542A48" w:rsidRPr="00A00187">
        <w:t>, ve znění pozdějších předpisů.</w:t>
      </w:r>
    </w:p>
    <w:p w14:paraId="377AB886" w14:textId="50F5573F" w:rsidR="00CB570A" w:rsidRDefault="009D057B" w:rsidP="009D057B">
      <w:pPr>
        <w:pStyle w:val="Odstavecseseznamem"/>
        <w:numPr>
          <w:ilvl w:val="0"/>
          <w:numId w:val="20"/>
        </w:numPr>
      </w:pPr>
      <w:r w:rsidRPr="00A00187">
        <w:rPr>
          <w:b/>
        </w:rPr>
        <w:t xml:space="preserve">Asistent soudce (A) </w:t>
      </w:r>
      <w:r w:rsidRPr="00A00187">
        <w:t xml:space="preserve">– samostatně vykonává jednotlivé úkony v soudním řízení z pověření soudce, jehož je asistentem, například zpracovává koncepty rozhodnutí. </w:t>
      </w:r>
      <w:r w:rsidR="00CF30C0" w:rsidRPr="00A00187">
        <w:t xml:space="preserve">Podílí se na rozhodovací činnosti soudu </w:t>
      </w:r>
      <w:r w:rsidR="00726EC3" w:rsidRPr="00A00187">
        <w:t>v</w:t>
      </w:r>
      <w:r w:rsidR="00726EC3">
        <w:t> </w:t>
      </w:r>
      <w:r w:rsidR="00CF30C0" w:rsidRPr="00A00187">
        <w:t xml:space="preserve">rozsahu stanoveném zvláštním právním předpisem pro vyšší soudní úředníky. </w:t>
      </w:r>
      <w:r w:rsidRPr="00A00187">
        <w:t>Je jmenován předsedou soudu k návrhu příslušného soudce. Může jím být pouze absolvent vysokoškolského magisterského studijního programu v oblasti práva.</w:t>
      </w:r>
    </w:p>
    <w:p w14:paraId="34B9301C" w14:textId="38900B5C" w:rsidR="009D057B" w:rsidRPr="00A00187" w:rsidRDefault="009D057B" w:rsidP="009D057B">
      <w:pPr>
        <w:pStyle w:val="Odstavecseseznamem"/>
        <w:numPr>
          <w:ilvl w:val="0"/>
          <w:numId w:val="20"/>
        </w:numPr>
        <w:rPr>
          <w:b/>
        </w:rPr>
      </w:pPr>
      <w:r w:rsidRPr="00A00187">
        <w:rPr>
          <w:b/>
        </w:rPr>
        <w:t xml:space="preserve">Vedoucí kanceláře (VK) </w:t>
      </w:r>
      <w:r w:rsidRPr="00A00187">
        <w:t>– vede rejstříky</w:t>
      </w:r>
      <w:r w:rsidR="00954F64" w:rsidRPr="00A00187">
        <w:t xml:space="preserve">, </w:t>
      </w:r>
      <w:r w:rsidRPr="00A00187">
        <w:t>řídí práci zapisovatelek většinou ve více soudních odděleních</w:t>
      </w:r>
      <w:r w:rsidR="00954F64" w:rsidRPr="00A00187">
        <w:t xml:space="preserve">, vykonávají </w:t>
      </w:r>
      <w:r w:rsidR="00726EC3" w:rsidRPr="00A00187">
        <w:t>i</w:t>
      </w:r>
      <w:r w:rsidR="00726EC3">
        <w:t> </w:t>
      </w:r>
      <w:r w:rsidR="00954F64" w:rsidRPr="00A00187">
        <w:t>určité administrativní práce dle pokynů soudce, vyššího soudního úředníka apod</w:t>
      </w:r>
      <w:r w:rsidRPr="00A00187">
        <w:t xml:space="preserve">. </w:t>
      </w:r>
      <w:r w:rsidR="00826A20" w:rsidRPr="00A00187">
        <w:t>Někdy b</w:t>
      </w:r>
      <w:r w:rsidR="00954F64" w:rsidRPr="00A00187">
        <w:t xml:space="preserve">ývá označována </w:t>
      </w:r>
      <w:r w:rsidR="00726EC3" w:rsidRPr="00A00187">
        <w:t>i</w:t>
      </w:r>
      <w:r w:rsidR="00726EC3">
        <w:t> </w:t>
      </w:r>
      <w:r w:rsidR="00954F64" w:rsidRPr="00A00187">
        <w:t>jako</w:t>
      </w:r>
      <w:r w:rsidRPr="00A00187">
        <w:t xml:space="preserve"> rejstříkov</w:t>
      </w:r>
      <w:r w:rsidR="00954F64" w:rsidRPr="00A00187">
        <w:t>á</w:t>
      </w:r>
      <w:r w:rsidRPr="00A00187">
        <w:t xml:space="preserve"> vedoucí </w:t>
      </w:r>
      <w:r w:rsidR="00954F64" w:rsidRPr="00A00187">
        <w:t>či</w:t>
      </w:r>
      <w:r w:rsidRPr="00A00187">
        <w:t> referentk</w:t>
      </w:r>
      <w:r w:rsidR="00954F64" w:rsidRPr="00A00187">
        <w:t>a</w:t>
      </w:r>
      <w:r w:rsidRPr="00A00187">
        <w:t xml:space="preserve"> soudní kanceláře.</w:t>
      </w:r>
    </w:p>
    <w:p w14:paraId="3F77678F" w14:textId="4342C87C" w:rsidR="009D057B" w:rsidRPr="00A00187" w:rsidRDefault="009D057B" w:rsidP="009D057B">
      <w:pPr>
        <w:pStyle w:val="Odstavecseseznamem"/>
        <w:numPr>
          <w:ilvl w:val="0"/>
          <w:numId w:val="20"/>
        </w:numPr>
        <w:rPr>
          <w:b/>
        </w:rPr>
      </w:pPr>
      <w:r w:rsidRPr="00A00187">
        <w:rPr>
          <w:b/>
        </w:rPr>
        <w:t xml:space="preserve">Protokolující úředník (PÚ) </w:t>
      </w:r>
      <w:r w:rsidRPr="00A00187">
        <w:t>– pořizuje zvukový záznam o průběhu hlavního líčení a na jeho podkladě vypracuje protokol.</w:t>
      </w:r>
    </w:p>
    <w:p w14:paraId="7412081F" w14:textId="6B3EA0AB" w:rsidR="00826A20" w:rsidRPr="00A00187" w:rsidRDefault="00826A20" w:rsidP="00826A20">
      <w:pPr>
        <w:pStyle w:val="Odstavecseseznamem"/>
        <w:numPr>
          <w:ilvl w:val="0"/>
          <w:numId w:val="20"/>
        </w:numPr>
      </w:pPr>
      <w:r w:rsidRPr="00A00187">
        <w:rPr>
          <w:b/>
        </w:rPr>
        <w:t xml:space="preserve">Rejstříková vedoucí (RV) </w:t>
      </w:r>
      <w:r w:rsidRPr="00A00187">
        <w:t>– většinou pro jedno soudní oddělení vede rejstřík, munduje spisy a sepisuje protokol o jednání v jednací síni dle diktátu soudce, popř. přepisu zvukového nebo zvukově-obrazového záznamu o průběhu jednání. Tato pozice je zaměnitelná s pozicí vedoucí kanceláře.</w:t>
      </w:r>
    </w:p>
    <w:p w14:paraId="62CCAB12" w14:textId="77777777" w:rsidR="009D057B" w:rsidRPr="00A00187" w:rsidRDefault="009D057B" w:rsidP="009D057B">
      <w:pPr>
        <w:pStyle w:val="Odstavecseseznamem"/>
        <w:numPr>
          <w:ilvl w:val="0"/>
          <w:numId w:val="20"/>
        </w:numPr>
        <w:rPr>
          <w:b/>
        </w:rPr>
      </w:pPr>
      <w:r w:rsidRPr="00A00187">
        <w:rPr>
          <w:b/>
        </w:rPr>
        <w:t xml:space="preserve">Zapisovatelka (Z) </w:t>
      </w:r>
      <w:r w:rsidRPr="00A00187">
        <w:t>– munduje (zpracovává) spisy a sepisuje protokol o jednání v jednací síni dle diktátu soudce, popř. přepisu zvukového nebo zvukově-obrazového záznamu o průběhu jednání.</w:t>
      </w:r>
    </w:p>
    <w:p w14:paraId="60CBAE60" w14:textId="52DBEB12" w:rsidR="009D057B" w:rsidRPr="00A00187" w:rsidRDefault="009D057B" w:rsidP="009D057B">
      <w:pPr>
        <w:pStyle w:val="Odstavecseseznamem"/>
        <w:numPr>
          <w:ilvl w:val="0"/>
          <w:numId w:val="20"/>
        </w:numPr>
      </w:pPr>
      <w:r w:rsidRPr="00A00187">
        <w:rPr>
          <w:b/>
        </w:rPr>
        <w:t xml:space="preserve">Soudní vykonavatel (SV) </w:t>
      </w:r>
      <w:r w:rsidRPr="00A00187">
        <w:t>– vy</w:t>
      </w:r>
      <w:r w:rsidR="00710272" w:rsidRPr="00A00187">
        <w:t>máhá</w:t>
      </w:r>
      <w:r w:rsidRPr="00A00187">
        <w:t xml:space="preserve"> splnění povinnosti na povinné osobě, které byla tato povinnost uložena vykonatelným exekučním titulem. Také je oprávněn provádět úkony spojené s odebráním dítěte v řízení péče o nezletilé.</w:t>
      </w:r>
    </w:p>
    <w:p w14:paraId="00ED74BE" w14:textId="4B456633" w:rsidR="009D057B" w:rsidRPr="00A00187" w:rsidRDefault="009D057B" w:rsidP="009D057B">
      <w:pPr>
        <w:pStyle w:val="OdstavecASR"/>
      </w:pPr>
      <w:r w:rsidRPr="00A00187">
        <w:t xml:space="preserve">Dalšími zaměstnanci soudů jsou tzv. zaměstnanci ve správě. Zatímco zaměstnanci ve výkonu se bezprostředně podílejí na vyřizování soudní agendy a výkonu soudnictví, zaměstnanci ve správě zajišťují provoz soudu, který zahrnuje širokou škálu funkcí. Celou správu soudu řídí ředitel správy. Dalšími zaměstnanci ve správě jsou například pracovníci sekretariátu, dozorčí úředníci, účetní, ekonomové, informatici nebo řidiči. Celkem je rozlišováno 40 kategorií zaměstnanců ve správě. </w:t>
      </w:r>
      <w:r w:rsidRPr="00A00187">
        <w:lastRenderedPageBreak/>
        <w:t>K 1. 1. 2021 pracovalo ve správě u okresních soudů celkem 1 665 osob, tedy o 16 osob méně než k 1. 1. 2020.</w:t>
      </w:r>
    </w:p>
    <w:p w14:paraId="2F8C568D" w14:textId="27011AF9" w:rsidR="00001787" w:rsidRPr="00A00187" w:rsidRDefault="008430BD" w:rsidP="008430BD">
      <w:pPr>
        <w:pStyle w:val="Nadpis3"/>
        <w:numPr>
          <w:ilvl w:val="2"/>
          <w:numId w:val="1"/>
        </w:numPr>
        <w:rPr>
          <w:color w:val="auto"/>
        </w:rPr>
      </w:pPr>
      <w:bookmarkStart w:id="97" w:name="_Toc106092716"/>
      <w:bookmarkStart w:id="98" w:name="_Toc109801332"/>
      <w:r w:rsidRPr="00A00187">
        <w:rPr>
          <w:color w:val="auto"/>
        </w:rPr>
        <w:t>Přísedící soudu</w:t>
      </w:r>
      <w:bookmarkEnd w:id="97"/>
      <w:bookmarkEnd w:id="98"/>
    </w:p>
    <w:p w14:paraId="39F190C1" w14:textId="77777777" w:rsidR="00B1265A" w:rsidRPr="00A00187" w:rsidRDefault="00B1265A" w:rsidP="00B1265A">
      <w:r w:rsidRPr="00A00187">
        <w:t>Kromě soudců a zaměstnanců ve výkonu se na rozhodovací činnosti soudu podílejí také tzv. přísedící. Přísedícím se může stát každý svéprávný a bezúhonný občan České republiky, kterému je nejméně 30 let. V trestním řízení rozhodují přísedící v prvním stupni ve věcech, kde zákon stanoví trest odnětí svobody, jehož dolní hranice je minimálně pět let. Jde tedy o řízení u okresních soudů nebo prvostupňové řízení u soudu krajských. V civilním řízení rozhodují přísedící v pracovněprávních sporech u okresních soudů.</w:t>
      </w:r>
    </w:p>
    <w:p w14:paraId="034B0852" w14:textId="63385A35" w:rsidR="00B1265A" w:rsidRPr="00A00187" w:rsidRDefault="00B1265A" w:rsidP="00B1265A">
      <w:r w:rsidRPr="00A00187">
        <w:t>Od roku 2019 jsou k dispozici počty přísedících dle krajů, pohlaví a věku, což umožňuje jejich bližší prozkoumání. Na rozdíl od ostatních dat v této kapitole se jedná o data k 1. 1. 2022.</w:t>
      </w:r>
    </w:p>
    <w:p w14:paraId="46C97A17" w14:textId="77777777" w:rsidR="00CB570A" w:rsidRDefault="00B1265A" w:rsidP="00B1265A">
      <w:r w:rsidRPr="00A00187">
        <w:t>V tabulce je uveden počet přísedících podle krajů a pohlaví. Počet přísedících do určité míry odpovídá velikosti jednotlivých soudních krajů. Hrají zde roli ale i jiné faktory, v první řadě samozřejmě složení agendy. Z tabulky je rovněž patrné, že funkce přísedícího je populárnější mezi ženami než mezi muži.</w:t>
      </w:r>
    </w:p>
    <w:p w14:paraId="0B6AAAE1" w14:textId="63BE3029" w:rsidR="00B1265A" w:rsidRPr="00A00187" w:rsidRDefault="00B1265A" w:rsidP="00B1265A">
      <w:pPr>
        <w:pStyle w:val="Podnadpis"/>
        <w:rPr>
          <w:color w:val="auto"/>
        </w:rPr>
      </w:pPr>
      <w:bookmarkStart w:id="99" w:name="_Toc43931180"/>
      <w:bookmarkStart w:id="100" w:name="_Toc75952310"/>
      <w:bookmarkStart w:id="101" w:name="_Toc106106769"/>
      <w:bookmarkStart w:id="102" w:name="_Toc109802092"/>
      <w:r w:rsidRPr="00A00187">
        <w:rPr>
          <w:color w:val="auto"/>
        </w:rPr>
        <w:t xml:space="preserve">Tabulka </w:t>
      </w:r>
      <w:r w:rsidRPr="00A00187">
        <w:rPr>
          <w:color w:val="auto"/>
        </w:rPr>
        <w:fldChar w:fldCharType="begin"/>
      </w:r>
      <w:r w:rsidRPr="00A00187">
        <w:rPr>
          <w:noProof/>
          <w:color w:val="auto"/>
        </w:rPr>
        <w:instrText xml:space="preserve"> SEQ Tabulka \* ARABIC </w:instrText>
      </w:r>
      <w:r w:rsidRPr="00A00187">
        <w:rPr>
          <w:color w:val="auto"/>
        </w:rPr>
        <w:fldChar w:fldCharType="separate"/>
      </w:r>
      <w:r w:rsidR="00DE6B5E">
        <w:rPr>
          <w:noProof/>
          <w:color w:val="auto"/>
        </w:rPr>
        <w:t>7</w:t>
      </w:r>
      <w:r w:rsidRPr="00A00187">
        <w:rPr>
          <w:color w:val="auto"/>
        </w:rPr>
        <w:fldChar w:fldCharType="end"/>
      </w:r>
      <w:r w:rsidRPr="00A00187">
        <w:rPr>
          <w:color w:val="auto"/>
        </w:rPr>
        <w:t>: OS – počet přísedících dle krajů a pohlaví</w:t>
      </w:r>
      <w:bookmarkEnd w:id="99"/>
      <w:bookmarkEnd w:id="100"/>
      <w:bookmarkEnd w:id="101"/>
      <w:bookmarkEnd w:id="102"/>
    </w:p>
    <w:tbl>
      <w:tblPr>
        <w:tblW w:w="6540" w:type="dxa"/>
        <w:tblCellMar>
          <w:left w:w="70" w:type="dxa"/>
          <w:right w:w="70" w:type="dxa"/>
        </w:tblCellMar>
        <w:tblLook w:val="04A0" w:firstRow="1" w:lastRow="0" w:firstColumn="1" w:lastColumn="0" w:noHBand="0" w:noVBand="1"/>
      </w:tblPr>
      <w:tblGrid>
        <w:gridCol w:w="2236"/>
        <w:gridCol w:w="1858"/>
        <w:gridCol w:w="1398"/>
        <w:gridCol w:w="1048"/>
      </w:tblGrid>
      <w:tr w:rsidR="00AC1E67" w:rsidRPr="00A00187" w14:paraId="285AE666" w14:textId="77777777" w:rsidTr="00B1265A">
        <w:trPr>
          <w:trHeight w:val="330"/>
        </w:trPr>
        <w:tc>
          <w:tcPr>
            <w:tcW w:w="2236" w:type="dxa"/>
            <w:vMerge w:val="restart"/>
            <w:tcBorders>
              <w:top w:val="double" w:sz="6" w:space="0" w:color="auto"/>
              <w:left w:val="nil"/>
              <w:bottom w:val="double" w:sz="6" w:space="0" w:color="000000"/>
              <w:right w:val="nil"/>
            </w:tcBorders>
            <w:shd w:val="clear" w:color="auto" w:fill="auto"/>
            <w:noWrap/>
            <w:vAlign w:val="center"/>
            <w:hideMark/>
          </w:tcPr>
          <w:p w14:paraId="34481573" w14:textId="77777777"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256" w:type="dxa"/>
            <w:gridSpan w:val="2"/>
            <w:tcBorders>
              <w:top w:val="double" w:sz="6" w:space="0" w:color="auto"/>
              <w:left w:val="nil"/>
              <w:bottom w:val="nil"/>
              <w:right w:val="nil"/>
            </w:tcBorders>
            <w:shd w:val="clear" w:color="auto" w:fill="auto"/>
            <w:noWrap/>
            <w:vAlign w:val="bottom"/>
            <w:hideMark/>
          </w:tcPr>
          <w:p w14:paraId="4C6BB2DF" w14:textId="47C1D532"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Počet přísedících</w:t>
            </w:r>
          </w:p>
        </w:tc>
        <w:tc>
          <w:tcPr>
            <w:tcW w:w="1048" w:type="dxa"/>
            <w:vMerge w:val="restart"/>
            <w:tcBorders>
              <w:top w:val="double" w:sz="6" w:space="0" w:color="auto"/>
              <w:left w:val="nil"/>
              <w:bottom w:val="double" w:sz="6" w:space="0" w:color="000000"/>
              <w:right w:val="nil"/>
            </w:tcBorders>
            <w:shd w:val="clear" w:color="auto" w:fill="auto"/>
            <w:vAlign w:val="center"/>
            <w:hideMark/>
          </w:tcPr>
          <w:p w14:paraId="5AB9E389" w14:textId="79636F1F"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 xml:space="preserve">Podíl žen </w:t>
            </w:r>
            <w:r w:rsidR="00726EC3" w:rsidRPr="00A00187">
              <w:rPr>
                <w:rFonts w:eastAsia="Times New Roman"/>
                <w:b/>
                <w:bCs/>
                <w:szCs w:val="24"/>
                <w:lang w:eastAsia="cs-CZ"/>
              </w:rPr>
              <w:t>v</w:t>
            </w:r>
            <w:r w:rsidR="00726EC3">
              <w:rPr>
                <w:rFonts w:eastAsia="Times New Roman"/>
                <w:b/>
                <w:bCs/>
                <w:szCs w:val="24"/>
                <w:lang w:eastAsia="cs-CZ"/>
              </w:rPr>
              <w:t> </w:t>
            </w:r>
            <w:r w:rsidRPr="00A00187">
              <w:rPr>
                <w:rFonts w:eastAsia="Times New Roman"/>
                <w:b/>
                <w:bCs/>
                <w:szCs w:val="24"/>
                <w:lang w:eastAsia="cs-CZ"/>
              </w:rPr>
              <w:t>%</w:t>
            </w:r>
          </w:p>
        </w:tc>
      </w:tr>
      <w:tr w:rsidR="00AC1E67" w:rsidRPr="00A00187" w14:paraId="50113B37" w14:textId="77777777" w:rsidTr="00B1265A">
        <w:trPr>
          <w:trHeight w:val="330"/>
        </w:trPr>
        <w:tc>
          <w:tcPr>
            <w:tcW w:w="2236" w:type="dxa"/>
            <w:vMerge/>
            <w:tcBorders>
              <w:top w:val="double" w:sz="6" w:space="0" w:color="auto"/>
              <w:left w:val="nil"/>
              <w:bottom w:val="double" w:sz="6" w:space="0" w:color="000000"/>
              <w:right w:val="nil"/>
            </w:tcBorders>
            <w:vAlign w:val="center"/>
            <w:hideMark/>
          </w:tcPr>
          <w:p w14:paraId="4245928C" w14:textId="77777777" w:rsidR="00B1265A" w:rsidRPr="00A00187" w:rsidRDefault="00B1265A" w:rsidP="00B1265A">
            <w:pPr>
              <w:spacing w:line="240" w:lineRule="auto"/>
              <w:jc w:val="left"/>
              <w:rPr>
                <w:rFonts w:eastAsia="Times New Roman"/>
                <w:b/>
                <w:bCs/>
                <w:szCs w:val="24"/>
                <w:lang w:eastAsia="cs-CZ"/>
              </w:rPr>
            </w:pPr>
          </w:p>
        </w:tc>
        <w:tc>
          <w:tcPr>
            <w:tcW w:w="1858" w:type="dxa"/>
            <w:tcBorders>
              <w:top w:val="nil"/>
              <w:left w:val="nil"/>
              <w:bottom w:val="double" w:sz="6" w:space="0" w:color="auto"/>
              <w:right w:val="nil"/>
            </w:tcBorders>
            <w:shd w:val="clear" w:color="auto" w:fill="auto"/>
            <w:noWrap/>
            <w:vAlign w:val="bottom"/>
            <w:hideMark/>
          </w:tcPr>
          <w:p w14:paraId="0213E73F" w14:textId="77777777"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Mužů</w:t>
            </w:r>
          </w:p>
        </w:tc>
        <w:tc>
          <w:tcPr>
            <w:tcW w:w="1398" w:type="dxa"/>
            <w:tcBorders>
              <w:top w:val="nil"/>
              <w:left w:val="nil"/>
              <w:bottom w:val="double" w:sz="6" w:space="0" w:color="auto"/>
              <w:right w:val="nil"/>
            </w:tcBorders>
            <w:shd w:val="clear" w:color="auto" w:fill="auto"/>
            <w:noWrap/>
            <w:vAlign w:val="bottom"/>
            <w:hideMark/>
          </w:tcPr>
          <w:p w14:paraId="509AFBF5" w14:textId="77777777"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Žen</w:t>
            </w:r>
          </w:p>
        </w:tc>
        <w:tc>
          <w:tcPr>
            <w:tcW w:w="1048" w:type="dxa"/>
            <w:vMerge/>
            <w:tcBorders>
              <w:top w:val="double" w:sz="6" w:space="0" w:color="auto"/>
              <w:left w:val="nil"/>
              <w:bottom w:val="double" w:sz="6" w:space="0" w:color="000000"/>
              <w:right w:val="nil"/>
            </w:tcBorders>
            <w:vAlign w:val="center"/>
            <w:hideMark/>
          </w:tcPr>
          <w:p w14:paraId="64C0B5F4" w14:textId="77777777" w:rsidR="00B1265A" w:rsidRPr="00A00187" w:rsidRDefault="00B1265A" w:rsidP="00B1265A">
            <w:pPr>
              <w:spacing w:line="240" w:lineRule="auto"/>
              <w:jc w:val="left"/>
              <w:rPr>
                <w:rFonts w:eastAsia="Times New Roman"/>
                <w:b/>
                <w:bCs/>
                <w:szCs w:val="24"/>
                <w:lang w:eastAsia="cs-CZ"/>
              </w:rPr>
            </w:pPr>
          </w:p>
        </w:tc>
      </w:tr>
      <w:tr w:rsidR="00AC1E67" w:rsidRPr="00A00187" w14:paraId="45AC6C3A" w14:textId="77777777" w:rsidTr="00B1265A">
        <w:trPr>
          <w:trHeight w:val="330"/>
        </w:trPr>
        <w:tc>
          <w:tcPr>
            <w:tcW w:w="2236" w:type="dxa"/>
            <w:tcBorders>
              <w:top w:val="nil"/>
              <w:left w:val="nil"/>
              <w:bottom w:val="single" w:sz="4" w:space="0" w:color="auto"/>
              <w:right w:val="nil"/>
            </w:tcBorders>
            <w:shd w:val="clear" w:color="auto" w:fill="auto"/>
            <w:noWrap/>
            <w:vAlign w:val="bottom"/>
            <w:hideMark/>
          </w:tcPr>
          <w:p w14:paraId="40198433"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MS Praha</w:t>
            </w:r>
          </w:p>
        </w:tc>
        <w:tc>
          <w:tcPr>
            <w:tcW w:w="1858" w:type="dxa"/>
            <w:tcBorders>
              <w:top w:val="nil"/>
              <w:left w:val="nil"/>
              <w:bottom w:val="single" w:sz="4" w:space="0" w:color="auto"/>
              <w:right w:val="nil"/>
            </w:tcBorders>
            <w:shd w:val="clear" w:color="auto" w:fill="auto"/>
            <w:noWrap/>
            <w:vAlign w:val="bottom"/>
            <w:hideMark/>
          </w:tcPr>
          <w:p w14:paraId="2DF15C7D"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161</w:t>
            </w:r>
          </w:p>
        </w:tc>
        <w:tc>
          <w:tcPr>
            <w:tcW w:w="1398" w:type="dxa"/>
            <w:tcBorders>
              <w:top w:val="nil"/>
              <w:left w:val="nil"/>
              <w:bottom w:val="single" w:sz="4" w:space="0" w:color="auto"/>
              <w:right w:val="nil"/>
            </w:tcBorders>
            <w:shd w:val="clear" w:color="auto" w:fill="auto"/>
            <w:noWrap/>
            <w:vAlign w:val="bottom"/>
            <w:hideMark/>
          </w:tcPr>
          <w:p w14:paraId="1F75F796"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291</w:t>
            </w:r>
          </w:p>
        </w:tc>
        <w:tc>
          <w:tcPr>
            <w:tcW w:w="1048" w:type="dxa"/>
            <w:tcBorders>
              <w:top w:val="nil"/>
              <w:left w:val="nil"/>
              <w:bottom w:val="single" w:sz="4" w:space="0" w:color="auto"/>
              <w:right w:val="nil"/>
            </w:tcBorders>
            <w:shd w:val="clear" w:color="auto" w:fill="auto"/>
            <w:noWrap/>
            <w:vAlign w:val="bottom"/>
            <w:hideMark/>
          </w:tcPr>
          <w:p w14:paraId="0BA7F69C" w14:textId="511AC23E"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64,38</w:t>
            </w:r>
          </w:p>
        </w:tc>
      </w:tr>
      <w:tr w:rsidR="00AC1E67" w:rsidRPr="00A00187" w14:paraId="698D5CDF" w14:textId="77777777" w:rsidTr="00B1265A">
        <w:trPr>
          <w:trHeight w:val="315"/>
        </w:trPr>
        <w:tc>
          <w:tcPr>
            <w:tcW w:w="2236" w:type="dxa"/>
            <w:tcBorders>
              <w:top w:val="nil"/>
              <w:left w:val="nil"/>
              <w:bottom w:val="single" w:sz="4" w:space="0" w:color="auto"/>
              <w:right w:val="nil"/>
            </w:tcBorders>
            <w:shd w:val="clear" w:color="auto" w:fill="auto"/>
            <w:noWrap/>
            <w:vAlign w:val="bottom"/>
            <w:hideMark/>
          </w:tcPr>
          <w:p w14:paraId="02C0D7B3"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KS Praha</w:t>
            </w:r>
          </w:p>
        </w:tc>
        <w:tc>
          <w:tcPr>
            <w:tcW w:w="1858" w:type="dxa"/>
            <w:tcBorders>
              <w:top w:val="nil"/>
              <w:left w:val="nil"/>
              <w:bottom w:val="single" w:sz="4" w:space="0" w:color="auto"/>
              <w:right w:val="nil"/>
            </w:tcBorders>
            <w:shd w:val="clear" w:color="auto" w:fill="auto"/>
            <w:noWrap/>
            <w:vAlign w:val="bottom"/>
            <w:hideMark/>
          </w:tcPr>
          <w:p w14:paraId="3B1F8D59"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121</w:t>
            </w:r>
          </w:p>
        </w:tc>
        <w:tc>
          <w:tcPr>
            <w:tcW w:w="1398" w:type="dxa"/>
            <w:tcBorders>
              <w:top w:val="nil"/>
              <w:left w:val="nil"/>
              <w:bottom w:val="single" w:sz="4" w:space="0" w:color="auto"/>
              <w:right w:val="nil"/>
            </w:tcBorders>
            <w:shd w:val="clear" w:color="auto" w:fill="auto"/>
            <w:noWrap/>
            <w:vAlign w:val="bottom"/>
            <w:hideMark/>
          </w:tcPr>
          <w:p w14:paraId="447E6654"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245</w:t>
            </w:r>
          </w:p>
        </w:tc>
        <w:tc>
          <w:tcPr>
            <w:tcW w:w="1048" w:type="dxa"/>
            <w:tcBorders>
              <w:top w:val="nil"/>
              <w:left w:val="nil"/>
              <w:bottom w:val="single" w:sz="4" w:space="0" w:color="auto"/>
              <w:right w:val="nil"/>
            </w:tcBorders>
            <w:shd w:val="clear" w:color="auto" w:fill="auto"/>
            <w:noWrap/>
            <w:vAlign w:val="bottom"/>
            <w:hideMark/>
          </w:tcPr>
          <w:p w14:paraId="40286A93" w14:textId="6C3AFF1B"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66,94</w:t>
            </w:r>
          </w:p>
        </w:tc>
      </w:tr>
      <w:tr w:rsidR="00AC1E67" w:rsidRPr="00A00187" w14:paraId="12522682" w14:textId="77777777" w:rsidTr="00B1265A">
        <w:trPr>
          <w:trHeight w:val="315"/>
        </w:trPr>
        <w:tc>
          <w:tcPr>
            <w:tcW w:w="2236" w:type="dxa"/>
            <w:tcBorders>
              <w:top w:val="nil"/>
              <w:left w:val="nil"/>
              <w:bottom w:val="single" w:sz="4" w:space="0" w:color="auto"/>
              <w:right w:val="nil"/>
            </w:tcBorders>
            <w:shd w:val="clear" w:color="auto" w:fill="auto"/>
            <w:noWrap/>
            <w:vAlign w:val="bottom"/>
            <w:hideMark/>
          </w:tcPr>
          <w:p w14:paraId="6F30BE2F"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KS Č. Budějovice</w:t>
            </w:r>
          </w:p>
        </w:tc>
        <w:tc>
          <w:tcPr>
            <w:tcW w:w="1858" w:type="dxa"/>
            <w:tcBorders>
              <w:top w:val="nil"/>
              <w:left w:val="nil"/>
              <w:bottom w:val="single" w:sz="4" w:space="0" w:color="auto"/>
              <w:right w:val="nil"/>
            </w:tcBorders>
            <w:shd w:val="clear" w:color="auto" w:fill="auto"/>
            <w:noWrap/>
            <w:vAlign w:val="bottom"/>
            <w:hideMark/>
          </w:tcPr>
          <w:p w14:paraId="3BFD15D9"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80</w:t>
            </w:r>
          </w:p>
        </w:tc>
        <w:tc>
          <w:tcPr>
            <w:tcW w:w="1398" w:type="dxa"/>
            <w:tcBorders>
              <w:top w:val="nil"/>
              <w:left w:val="nil"/>
              <w:bottom w:val="single" w:sz="4" w:space="0" w:color="auto"/>
              <w:right w:val="nil"/>
            </w:tcBorders>
            <w:shd w:val="clear" w:color="auto" w:fill="auto"/>
            <w:noWrap/>
            <w:vAlign w:val="bottom"/>
            <w:hideMark/>
          </w:tcPr>
          <w:p w14:paraId="773BFA93"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147</w:t>
            </w:r>
          </w:p>
        </w:tc>
        <w:tc>
          <w:tcPr>
            <w:tcW w:w="1048" w:type="dxa"/>
            <w:tcBorders>
              <w:top w:val="nil"/>
              <w:left w:val="nil"/>
              <w:bottom w:val="single" w:sz="4" w:space="0" w:color="auto"/>
              <w:right w:val="nil"/>
            </w:tcBorders>
            <w:shd w:val="clear" w:color="auto" w:fill="auto"/>
            <w:noWrap/>
            <w:vAlign w:val="bottom"/>
            <w:hideMark/>
          </w:tcPr>
          <w:p w14:paraId="5308C3F3" w14:textId="3E93BAC1"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64,76</w:t>
            </w:r>
          </w:p>
        </w:tc>
      </w:tr>
      <w:tr w:rsidR="00AC1E67" w:rsidRPr="00A00187" w14:paraId="16AB3B73" w14:textId="77777777" w:rsidTr="00B1265A">
        <w:trPr>
          <w:trHeight w:val="315"/>
        </w:trPr>
        <w:tc>
          <w:tcPr>
            <w:tcW w:w="2236" w:type="dxa"/>
            <w:tcBorders>
              <w:top w:val="nil"/>
              <w:left w:val="nil"/>
              <w:bottom w:val="single" w:sz="4" w:space="0" w:color="auto"/>
              <w:right w:val="nil"/>
            </w:tcBorders>
            <w:shd w:val="clear" w:color="auto" w:fill="auto"/>
            <w:noWrap/>
            <w:vAlign w:val="bottom"/>
            <w:hideMark/>
          </w:tcPr>
          <w:p w14:paraId="749C0BE9"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KS Plzeň</w:t>
            </w:r>
          </w:p>
        </w:tc>
        <w:tc>
          <w:tcPr>
            <w:tcW w:w="1858" w:type="dxa"/>
            <w:tcBorders>
              <w:top w:val="nil"/>
              <w:left w:val="nil"/>
              <w:bottom w:val="single" w:sz="4" w:space="0" w:color="auto"/>
              <w:right w:val="nil"/>
            </w:tcBorders>
            <w:shd w:val="clear" w:color="auto" w:fill="auto"/>
            <w:noWrap/>
            <w:vAlign w:val="bottom"/>
            <w:hideMark/>
          </w:tcPr>
          <w:p w14:paraId="2181DCD0"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126</w:t>
            </w:r>
          </w:p>
        </w:tc>
        <w:tc>
          <w:tcPr>
            <w:tcW w:w="1398" w:type="dxa"/>
            <w:tcBorders>
              <w:top w:val="nil"/>
              <w:left w:val="nil"/>
              <w:bottom w:val="single" w:sz="4" w:space="0" w:color="auto"/>
              <w:right w:val="nil"/>
            </w:tcBorders>
            <w:shd w:val="clear" w:color="auto" w:fill="auto"/>
            <w:noWrap/>
            <w:vAlign w:val="bottom"/>
            <w:hideMark/>
          </w:tcPr>
          <w:p w14:paraId="0E00D216"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247</w:t>
            </w:r>
          </w:p>
        </w:tc>
        <w:tc>
          <w:tcPr>
            <w:tcW w:w="1048" w:type="dxa"/>
            <w:tcBorders>
              <w:top w:val="nil"/>
              <w:left w:val="nil"/>
              <w:bottom w:val="single" w:sz="4" w:space="0" w:color="auto"/>
              <w:right w:val="nil"/>
            </w:tcBorders>
            <w:shd w:val="clear" w:color="auto" w:fill="auto"/>
            <w:noWrap/>
            <w:vAlign w:val="bottom"/>
            <w:hideMark/>
          </w:tcPr>
          <w:p w14:paraId="50884426" w14:textId="25EAD1CE"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66,22</w:t>
            </w:r>
          </w:p>
        </w:tc>
      </w:tr>
      <w:tr w:rsidR="00AC1E67" w:rsidRPr="00A00187" w14:paraId="6D6A69FF" w14:textId="77777777" w:rsidTr="00B1265A">
        <w:trPr>
          <w:trHeight w:val="315"/>
        </w:trPr>
        <w:tc>
          <w:tcPr>
            <w:tcW w:w="2236" w:type="dxa"/>
            <w:tcBorders>
              <w:top w:val="nil"/>
              <w:left w:val="nil"/>
              <w:bottom w:val="single" w:sz="4" w:space="0" w:color="auto"/>
              <w:right w:val="nil"/>
            </w:tcBorders>
            <w:shd w:val="clear" w:color="auto" w:fill="auto"/>
            <w:noWrap/>
            <w:vAlign w:val="bottom"/>
            <w:hideMark/>
          </w:tcPr>
          <w:p w14:paraId="421475DB"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KS Ústí n. Labem</w:t>
            </w:r>
          </w:p>
        </w:tc>
        <w:tc>
          <w:tcPr>
            <w:tcW w:w="1858" w:type="dxa"/>
            <w:tcBorders>
              <w:top w:val="nil"/>
              <w:left w:val="nil"/>
              <w:bottom w:val="single" w:sz="4" w:space="0" w:color="auto"/>
              <w:right w:val="nil"/>
            </w:tcBorders>
            <w:shd w:val="clear" w:color="auto" w:fill="auto"/>
            <w:noWrap/>
            <w:vAlign w:val="bottom"/>
            <w:hideMark/>
          </w:tcPr>
          <w:p w14:paraId="25FA2C8D"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165</w:t>
            </w:r>
          </w:p>
        </w:tc>
        <w:tc>
          <w:tcPr>
            <w:tcW w:w="1398" w:type="dxa"/>
            <w:tcBorders>
              <w:top w:val="nil"/>
              <w:left w:val="nil"/>
              <w:bottom w:val="single" w:sz="4" w:space="0" w:color="auto"/>
              <w:right w:val="nil"/>
            </w:tcBorders>
            <w:shd w:val="clear" w:color="auto" w:fill="auto"/>
            <w:noWrap/>
            <w:vAlign w:val="bottom"/>
            <w:hideMark/>
          </w:tcPr>
          <w:p w14:paraId="098BD679"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370</w:t>
            </w:r>
          </w:p>
        </w:tc>
        <w:tc>
          <w:tcPr>
            <w:tcW w:w="1048" w:type="dxa"/>
            <w:tcBorders>
              <w:top w:val="nil"/>
              <w:left w:val="nil"/>
              <w:bottom w:val="single" w:sz="4" w:space="0" w:color="auto"/>
              <w:right w:val="nil"/>
            </w:tcBorders>
            <w:shd w:val="clear" w:color="auto" w:fill="auto"/>
            <w:noWrap/>
            <w:vAlign w:val="bottom"/>
            <w:hideMark/>
          </w:tcPr>
          <w:p w14:paraId="54AF8ABD" w14:textId="04B9756A"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69,16</w:t>
            </w:r>
          </w:p>
        </w:tc>
      </w:tr>
      <w:tr w:rsidR="00AC1E67" w:rsidRPr="00A00187" w14:paraId="6352DC72" w14:textId="77777777" w:rsidTr="00B1265A">
        <w:trPr>
          <w:trHeight w:val="315"/>
        </w:trPr>
        <w:tc>
          <w:tcPr>
            <w:tcW w:w="2236" w:type="dxa"/>
            <w:tcBorders>
              <w:top w:val="nil"/>
              <w:left w:val="nil"/>
              <w:bottom w:val="single" w:sz="4" w:space="0" w:color="auto"/>
              <w:right w:val="nil"/>
            </w:tcBorders>
            <w:shd w:val="clear" w:color="auto" w:fill="auto"/>
            <w:noWrap/>
            <w:vAlign w:val="bottom"/>
            <w:hideMark/>
          </w:tcPr>
          <w:p w14:paraId="267146B6"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KS Hr. Králové</w:t>
            </w:r>
          </w:p>
        </w:tc>
        <w:tc>
          <w:tcPr>
            <w:tcW w:w="1858" w:type="dxa"/>
            <w:tcBorders>
              <w:top w:val="nil"/>
              <w:left w:val="nil"/>
              <w:bottom w:val="single" w:sz="4" w:space="0" w:color="auto"/>
              <w:right w:val="nil"/>
            </w:tcBorders>
            <w:shd w:val="clear" w:color="auto" w:fill="auto"/>
            <w:noWrap/>
            <w:vAlign w:val="bottom"/>
            <w:hideMark/>
          </w:tcPr>
          <w:p w14:paraId="62B27D52"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155</w:t>
            </w:r>
          </w:p>
        </w:tc>
        <w:tc>
          <w:tcPr>
            <w:tcW w:w="1398" w:type="dxa"/>
            <w:tcBorders>
              <w:top w:val="nil"/>
              <w:left w:val="nil"/>
              <w:bottom w:val="single" w:sz="4" w:space="0" w:color="auto"/>
              <w:right w:val="nil"/>
            </w:tcBorders>
            <w:shd w:val="clear" w:color="auto" w:fill="auto"/>
            <w:noWrap/>
            <w:vAlign w:val="bottom"/>
            <w:hideMark/>
          </w:tcPr>
          <w:p w14:paraId="747E9E62"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266</w:t>
            </w:r>
          </w:p>
        </w:tc>
        <w:tc>
          <w:tcPr>
            <w:tcW w:w="1048" w:type="dxa"/>
            <w:tcBorders>
              <w:top w:val="nil"/>
              <w:left w:val="nil"/>
              <w:bottom w:val="single" w:sz="4" w:space="0" w:color="auto"/>
              <w:right w:val="nil"/>
            </w:tcBorders>
            <w:shd w:val="clear" w:color="auto" w:fill="auto"/>
            <w:noWrap/>
            <w:vAlign w:val="bottom"/>
            <w:hideMark/>
          </w:tcPr>
          <w:p w14:paraId="388F0F83" w14:textId="2159D492"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63,18</w:t>
            </w:r>
          </w:p>
        </w:tc>
      </w:tr>
      <w:tr w:rsidR="00AC1E67" w:rsidRPr="00A00187" w14:paraId="43672930" w14:textId="77777777" w:rsidTr="00B1265A">
        <w:trPr>
          <w:trHeight w:val="315"/>
        </w:trPr>
        <w:tc>
          <w:tcPr>
            <w:tcW w:w="2236" w:type="dxa"/>
            <w:tcBorders>
              <w:top w:val="nil"/>
              <w:left w:val="nil"/>
              <w:bottom w:val="single" w:sz="4" w:space="0" w:color="auto"/>
              <w:right w:val="nil"/>
            </w:tcBorders>
            <w:shd w:val="clear" w:color="auto" w:fill="auto"/>
            <w:noWrap/>
            <w:vAlign w:val="bottom"/>
            <w:hideMark/>
          </w:tcPr>
          <w:p w14:paraId="7CDFE2AB"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KS Brno</w:t>
            </w:r>
          </w:p>
        </w:tc>
        <w:tc>
          <w:tcPr>
            <w:tcW w:w="1858" w:type="dxa"/>
            <w:tcBorders>
              <w:top w:val="nil"/>
              <w:left w:val="nil"/>
              <w:bottom w:val="single" w:sz="4" w:space="0" w:color="auto"/>
              <w:right w:val="nil"/>
            </w:tcBorders>
            <w:shd w:val="clear" w:color="auto" w:fill="auto"/>
            <w:noWrap/>
            <w:vAlign w:val="bottom"/>
            <w:hideMark/>
          </w:tcPr>
          <w:p w14:paraId="3407B17C"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258</w:t>
            </w:r>
          </w:p>
        </w:tc>
        <w:tc>
          <w:tcPr>
            <w:tcW w:w="1398" w:type="dxa"/>
            <w:tcBorders>
              <w:top w:val="nil"/>
              <w:left w:val="nil"/>
              <w:bottom w:val="single" w:sz="4" w:space="0" w:color="auto"/>
              <w:right w:val="nil"/>
            </w:tcBorders>
            <w:shd w:val="clear" w:color="auto" w:fill="auto"/>
            <w:noWrap/>
            <w:vAlign w:val="bottom"/>
            <w:hideMark/>
          </w:tcPr>
          <w:p w14:paraId="2630A329"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437</w:t>
            </w:r>
          </w:p>
        </w:tc>
        <w:tc>
          <w:tcPr>
            <w:tcW w:w="1048" w:type="dxa"/>
            <w:tcBorders>
              <w:top w:val="nil"/>
              <w:left w:val="nil"/>
              <w:bottom w:val="single" w:sz="4" w:space="0" w:color="auto"/>
              <w:right w:val="nil"/>
            </w:tcBorders>
            <w:shd w:val="clear" w:color="auto" w:fill="auto"/>
            <w:noWrap/>
            <w:vAlign w:val="bottom"/>
            <w:hideMark/>
          </w:tcPr>
          <w:p w14:paraId="32F02FD1" w14:textId="48BECE94"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62,88</w:t>
            </w:r>
          </w:p>
        </w:tc>
      </w:tr>
      <w:tr w:rsidR="00AC1E67" w:rsidRPr="00A00187" w14:paraId="1035BB68" w14:textId="77777777" w:rsidTr="00B1265A">
        <w:trPr>
          <w:trHeight w:val="330"/>
        </w:trPr>
        <w:tc>
          <w:tcPr>
            <w:tcW w:w="2236" w:type="dxa"/>
            <w:tcBorders>
              <w:top w:val="nil"/>
              <w:left w:val="nil"/>
              <w:bottom w:val="double" w:sz="6" w:space="0" w:color="auto"/>
              <w:right w:val="nil"/>
            </w:tcBorders>
            <w:shd w:val="clear" w:color="auto" w:fill="auto"/>
            <w:noWrap/>
            <w:vAlign w:val="bottom"/>
            <w:hideMark/>
          </w:tcPr>
          <w:p w14:paraId="67A3DC1E" w14:textId="77777777" w:rsidR="00B1265A" w:rsidRPr="00A00187" w:rsidRDefault="00B1265A" w:rsidP="00B1265A">
            <w:pPr>
              <w:spacing w:line="240" w:lineRule="auto"/>
              <w:jc w:val="left"/>
              <w:rPr>
                <w:rFonts w:eastAsia="Times New Roman"/>
                <w:szCs w:val="24"/>
                <w:lang w:eastAsia="cs-CZ"/>
              </w:rPr>
            </w:pPr>
            <w:r w:rsidRPr="00A00187">
              <w:rPr>
                <w:rFonts w:eastAsia="Times New Roman"/>
                <w:szCs w:val="24"/>
                <w:lang w:eastAsia="cs-CZ"/>
              </w:rPr>
              <w:t>KS Ostrava</w:t>
            </w:r>
          </w:p>
        </w:tc>
        <w:tc>
          <w:tcPr>
            <w:tcW w:w="1858" w:type="dxa"/>
            <w:tcBorders>
              <w:top w:val="nil"/>
              <w:left w:val="nil"/>
              <w:bottom w:val="double" w:sz="6" w:space="0" w:color="auto"/>
              <w:right w:val="nil"/>
            </w:tcBorders>
            <w:shd w:val="clear" w:color="auto" w:fill="auto"/>
            <w:noWrap/>
            <w:vAlign w:val="bottom"/>
            <w:hideMark/>
          </w:tcPr>
          <w:p w14:paraId="14406842"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364</w:t>
            </w:r>
          </w:p>
        </w:tc>
        <w:tc>
          <w:tcPr>
            <w:tcW w:w="1398" w:type="dxa"/>
            <w:tcBorders>
              <w:top w:val="nil"/>
              <w:left w:val="nil"/>
              <w:bottom w:val="double" w:sz="6" w:space="0" w:color="auto"/>
              <w:right w:val="nil"/>
            </w:tcBorders>
            <w:shd w:val="clear" w:color="auto" w:fill="auto"/>
            <w:noWrap/>
            <w:vAlign w:val="bottom"/>
            <w:hideMark/>
          </w:tcPr>
          <w:p w14:paraId="05EC5B09" w14:textId="77777777"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592</w:t>
            </w:r>
          </w:p>
        </w:tc>
        <w:tc>
          <w:tcPr>
            <w:tcW w:w="1048" w:type="dxa"/>
            <w:tcBorders>
              <w:top w:val="nil"/>
              <w:left w:val="nil"/>
              <w:bottom w:val="double" w:sz="6" w:space="0" w:color="auto"/>
              <w:right w:val="nil"/>
            </w:tcBorders>
            <w:shd w:val="clear" w:color="auto" w:fill="auto"/>
            <w:noWrap/>
            <w:vAlign w:val="bottom"/>
            <w:hideMark/>
          </w:tcPr>
          <w:p w14:paraId="576D1E71" w14:textId="57183D20" w:rsidR="00B1265A" w:rsidRPr="00A00187" w:rsidRDefault="00B1265A" w:rsidP="00B1265A">
            <w:pPr>
              <w:spacing w:line="240" w:lineRule="auto"/>
              <w:jc w:val="center"/>
              <w:rPr>
                <w:rFonts w:eastAsia="Times New Roman"/>
                <w:szCs w:val="24"/>
                <w:lang w:eastAsia="cs-CZ"/>
              </w:rPr>
            </w:pPr>
            <w:r w:rsidRPr="00A00187">
              <w:rPr>
                <w:rFonts w:eastAsia="Times New Roman"/>
                <w:szCs w:val="24"/>
                <w:lang w:eastAsia="cs-CZ"/>
              </w:rPr>
              <w:t>61,92</w:t>
            </w:r>
          </w:p>
        </w:tc>
      </w:tr>
      <w:tr w:rsidR="00B1265A" w:rsidRPr="00A00187" w14:paraId="492BF375" w14:textId="77777777" w:rsidTr="00B1265A">
        <w:trPr>
          <w:trHeight w:val="345"/>
        </w:trPr>
        <w:tc>
          <w:tcPr>
            <w:tcW w:w="2236" w:type="dxa"/>
            <w:tcBorders>
              <w:top w:val="nil"/>
              <w:left w:val="nil"/>
              <w:bottom w:val="double" w:sz="6" w:space="0" w:color="auto"/>
              <w:right w:val="nil"/>
            </w:tcBorders>
            <w:shd w:val="clear" w:color="auto" w:fill="auto"/>
            <w:noWrap/>
            <w:vAlign w:val="bottom"/>
            <w:hideMark/>
          </w:tcPr>
          <w:p w14:paraId="78633CE6" w14:textId="77777777" w:rsidR="00B1265A" w:rsidRPr="00A00187" w:rsidRDefault="00B1265A" w:rsidP="00B1265A">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858" w:type="dxa"/>
            <w:tcBorders>
              <w:top w:val="nil"/>
              <w:left w:val="nil"/>
              <w:bottom w:val="double" w:sz="6" w:space="0" w:color="auto"/>
              <w:right w:val="nil"/>
            </w:tcBorders>
            <w:shd w:val="clear" w:color="auto" w:fill="auto"/>
            <w:noWrap/>
            <w:vAlign w:val="bottom"/>
            <w:hideMark/>
          </w:tcPr>
          <w:p w14:paraId="122445A2" w14:textId="068BBE5E"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1</w:t>
            </w:r>
            <w:r w:rsidR="00C50856" w:rsidRPr="00A00187">
              <w:rPr>
                <w:rFonts w:eastAsia="Times New Roman"/>
                <w:b/>
                <w:bCs/>
                <w:szCs w:val="24"/>
                <w:lang w:eastAsia="cs-CZ"/>
              </w:rPr>
              <w:t xml:space="preserve"> </w:t>
            </w:r>
            <w:r w:rsidRPr="00A00187">
              <w:rPr>
                <w:rFonts w:eastAsia="Times New Roman"/>
                <w:b/>
                <w:bCs/>
                <w:szCs w:val="24"/>
                <w:lang w:eastAsia="cs-CZ"/>
              </w:rPr>
              <w:t>430</w:t>
            </w:r>
          </w:p>
        </w:tc>
        <w:tc>
          <w:tcPr>
            <w:tcW w:w="1398" w:type="dxa"/>
            <w:tcBorders>
              <w:top w:val="nil"/>
              <w:left w:val="nil"/>
              <w:bottom w:val="double" w:sz="6" w:space="0" w:color="auto"/>
              <w:right w:val="nil"/>
            </w:tcBorders>
            <w:shd w:val="clear" w:color="auto" w:fill="auto"/>
            <w:noWrap/>
            <w:vAlign w:val="bottom"/>
            <w:hideMark/>
          </w:tcPr>
          <w:p w14:paraId="149017EB" w14:textId="3C8167E2"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2</w:t>
            </w:r>
            <w:r w:rsidR="00C50856" w:rsidRPr="00A00187">
              <w:rPr>
                <w:rFonts w:eastAsia="Times New Roman"/>
                <w:b/>
                <w:bCs/>
                <w:szCs w:val="24"/>
                <w:lang w:eastAsia="cs-CZ"/>
              </w:rPr>
              <w:t xml:space="preserve"> </w:t>
            </w:r>
            <w:r w:rsidRPr="00A00187">
              <w:rPr>
                <w:rFonts w:eastAsia="Times New Roman"/>
                <w:b/>
                <w:bCs/>
                <w:szCs w:val="24"/>
                <w:lang w:eastAsia="cs-CZ"/>
              </w:rPr>
              <w:t>595</w:t>
            </w:r>
          </w:p>
        </w:tc>
        <w:tc>
          <w:tcPr>
            <w:tcW w:w="1048" w:type="dxa"/>
            <w:tcBorders>
              <w:top w:val="nil"/>
              <w:left w:val="nil"/>
              <w:bottom w:val="double" w:sz="6" w:space="0" w:color="auto"/>
              <w:right w:val="nil"/>
            </w:tcBorders>
            <w:shd w:val="clear" w:color="auto" w:fill="auto"/>
            <w:noWrap/>
            <w:vAlign w:val="bottom"/>
            <w:hideMark/>
          </w:tcPr>
          <w:p w14:paraId="76F25175" w14:textId="5D6EEADA" w:rsidR="00B1265A" w:rsidRPr="00A00187" w:rsidRDefault="00B1265A" w:rsidP="00B1265A">
            <w:pPr>
              <w:spacing w:line="240" w:lineRule="auto"/>
              <w:jc w:val="center"/>
              <w:rPr>
                <w:rFonts w:eastAsia="Times New Roman"/>
                <w:b/>
                <w:bCs/>
                <w:szCs w:val="24"/>
                <w:lang w:eastAsia="cs-CZ"/>
              </w:rPr>
            </w:pPr>
            <w:r w:rsidRPr="00A00187">
              <w:rPr>
                <w:rFonts w:eastAsia="Times New Roman"/>
                <w:b/>
                <w:bCs/>
                <w:szCs w:val="24"/>
                <w:lang w:eastAsia="cs-CZ"/>
              </w:rPr>
              <w:t>64,47</w:t>
            </w:r>
          </w:p>
        </w:tc>
      </w:tr>
    </w:tbl>
    <w:p w14:paraId="4F1152A7" w14:textId="77777777" w:rsidR="00B1265A" w:rsidRPr="00A00187" w:rsidRDefault="00B1265A">
      <w:pPr>
        <w:spacing w:after="160" w:line="259" w:lineRule="auto"/>
        <w:jc w:val="left"/>
      </w:pPr>
    </w:p>
    <w:p w14:paraId="325D0EED" w14:textId="0E0953F6" w:rsidR="00CB570A" w:rsidRDefault="00B1265A" w:rsidP="00B1265A">
      <w:r w:rsidRPr="00A00187">
        <w:t>V předchozím roce působilo jako přísedící 1 548 mužů a</w:t>
      </w:r>
      <w:r w:rsidR="009E4F53">
        <w:t> </w:t>
      </w:r>
      <w:r w:rsidRPr="00A00187">
        <w:t>2 673 žen. Došlo tedy k</w:t>
      </w:r>
      <w:r w:rsidR="009E4F53">
        <w:t> </w:t>
      </w:r>
      <w:r w:rsidRPr="00A00187">
        <w:t>poklesu o 232 osob, což je asi 5 %. Rovněž se zvýšil podíl žen, a</w:t>
      </w:r>
      <w:r w:rsidR="009E4F53">
        <w:t> </w:t>
      </w:r>
      <w:r w:rsidRPr="00A00187">
        <w:t>to o</w:t>
      </w:r>
      <w:r w:rsidR="009E4F53">
        <w:t> </w:t>
      </w:r>
      <w:r w:rsidRPr="00A00187">
        <w:t>více než jeden procentní bod.</w:t>
      </w:r>
    </w:p>
    <w:p w14:paraId="5EFA6B23" w14:textId="6B092572" w:rsidR="006E2835" w:rsidRPr="00A00187" w:rsidRDefault="006E2835" w:rsidP="006E2835">
      <w:r w:rsidRPr="00A00187">
        <w:t>Další tabulka se zabývá věkovou strukturou. Vyplývá z ní, že post přísedící/ho je mnohem populárnější u vyšších věkových skupin. Asi 63 % přísedících tvoří lidé ve věku 60 let a více, tedy ve většině případů v důchodovém věku. Naopak přísedící ve věku do 39 let tvoří pouze 4 % (3,7 % v roce 2021). Obvykle je tento jev přisuzován tomu, že finanční odměna za výkon funkce přísedícího je považována za nízkou.</w:t>
      </w:r>
      <w:r w:rsidR="0012339A" w:rsidRPr="00A00187">
        <w:t xml:space="preserve"> Jde totiž vlastně spíše </w:t>
      </w:r>
      <w:r w:rsidR="00726EC3" w:rsidRPr="00A00187">
        <w:t>o</w:t>
      </w:r>
      <w:r w:rsidR="00726EC3">
        <w:t> </w:t>
      </w:r>
      <w:r w:rsidR="0012339A" w:rsidRPr="00A00187">
        <w:t>paušalizovanou náhradu nákladů.</w:t>
      </w:r>
      <w:r w:rsidRPr="00A00187">
        <w:t xml:space="preserve"> </w:t>
      </w:r>
      <w:r w:rsidR="0012339A" w:rsidRPr="00A00187">
        <w:t>Funkce je totiž koncipována jako funkce čestná, tj. bez nároku na odměnu</w:t>
      </w:r>
      <w:r w:rsidR="009E4F53">
        <w:t>.</w:t>
      </w:r>
      <w:r w:rsidR="0012339A" w:rsidRPr="00A00187">
        <w:t xml:space="preserve"> </w:t>
      </w:r>
      <w:r w:rsidRPr="00A00187">
        <w:t xml:space="preserve">Lidé v produktivním věku pravděpodobně preferují </w:t>
      </w:r>
      <w:r w:rsidR="00452DBB" w:rsidRPr="00A00187">
        <w:t>výdělečnou činnost</w:t>
      </w:r>
      <w:r w:rsidRPr="00A00187">
        <w:t xml:space="preserve"> nebo jinak </w:t>
      </w:r>
      <w:r w:rsidR="00166F0B" w:rsidRPr="00A00187">
        <w:t>s</w:t>
      </w:r>
      <w:r w:rsidRPr="00A00187">
        <w:t>trávený čas. Seniorům se nicméně čas stráveným tímto způsobem může zdát zajímavější. Mezi jednotlivými kraji jsou určité, ale nijak závratné rozdíly. V průměru nejstarší jsou přísedící v Jihočeském kraji – pouze necel</w:t>
      </w:r>
      <w:r w:rsidR="00166F0B" w:rsidRPr="00A00187">
        <w:t>é</w:t>
      </w:r>
      <w:r w:rsidRPr="00A00187">
        <w:t xml:space="preserve"> </w:t>
      </w:r>
      <w:r w:rsidR="00C50856" w:rsidRPr="00A00187">
        <w:t>0,5</w:t>
      </w:r>
      <w:r w:rsidRPr="00A00187">
        <w:t xml:space="preserve"> % z nich </w:t>
      </w:r>
      <w:r w:rsidR="00452DBB" w:rsidRPr="00A00187">
        <w:t xml:space="preserve">je </w:t>
      </w:r>
      <w:r w:rsidRPr="00A00187">
        <w:t>ve věku do 39</w:t>
      </w:r>
      <w:r w:rsidR="009E4F53">
        <w:t> </w:t>
      </w:r>
      <w:r w:rsidRPr="00A00187">
        <w:t>let a 72 % je ve věku 60</w:t>
      </w:r>
      <w:r w:rsidR="009E4F53">
        <w:t> </w:t>
      </w:r>
      <w:r w:rsidRPr="00A00187">
        <w:t>let a více. Je nicméně třeba zmínit, že Jihočeský kraj je nejmenší, a tudíž ze statistického pohledu nejvíce podléhá</w:t>
      </w:r>
      <w:r w:rsidR="008D1CEB">
        <w:t xml:space="preserve"> </w:t>
      </w:r>
      <w:r w:rsidRPr="00A00187">
        <w:t>výchylkám. Oproti předchozímu roku se věková struktura téměř nezměnila.</w:t>
      </w:r>
    </w:p>
    <w:p w14:paraId="4ED177AD" w14:textId="0BF8F41D" w:rsidR="008C5D8B" w:rsidRPr="00A00187" w:rsidRDefault="008C5D8B" w:rsidP="008C5D8B">
      <w:pPr>
        <w:pStyle w:val="Podnadpis"/>
        <w:rPr>
          <w:color w:val="auto"/>
        </w:rPr>
      </w:pPr>
      <w:bookmarkStart w:id="103" w:name="_Toc75952311"/>
      <w:bookmarkStart w:id="104" w:name="_Toc106106770"/>
      <w:bookmarkStart w:id="105" w:name="_Toc109802093"/>
      <w:r w:rsidRPr="00A00187">
        <w:rPr>
          <w:color w:val="auto"/>
        </w:rPr>
        <w:lastRenderedPageBreak/>
        <w:t xml:space="preserve">Tabulka </w:t>
      </w:r>
      <w:r w:rsidRPr="00A00187">
        <w:rPr>
          <w:color w:val="auto"/>
        </w:rPr>
        <w:fldChar w:fldCharType="begin"/>
      </w:r>
      <w:r w:rsidRPr="00A00187">
        <w:rPr>
          <w:noProof/>
          <w:color w:val="auto"/>
        </w:rPr>
        <w:instrText xml:space="preserve"> SEQ Tabulka \* ARABIC </w:instrText>
      </w:r>
      <w:r w:rsidRPr="00A00187">
        <w:rPr>
          <w:color w:val="auto"/>
        </w:rPr>
        <w:fldChar w:fldCharType="separate"/>
      </w:r>
      <w:r w:rsidR="00DE6B5E">
        <w:rPr>
          <w:noProof/>
          <w:color w:val="auto"/>
        </w:rPr>
        <w:t>8</w:t>
      </w:r>
      <w:r w:rsidRPr="00A00187">
        <w:rPr>
          <w:color w:val="auto"/>
        </w:rPr>
        <w:fldChar w:fldCharType="end"/>
      </w:r>
      <w:r w:rsidRPr="00A00187">
        <w:rPr>
          <w:color w:val="auto"/>
        </w:rPr>
        <w:t>: OS – po</w:t>
      </w:r>
      <w:r w:rsidR="00B450F6" w:rsidRPr="00A00187">
        <w:rPr>
          <w:color w:val="auto"/>
        </w:rPr>
        <w:t>díl</w:t>
      </w:r>
      <w:r w:rsidRPr="00A00187">
        <w:rPr>
          <w:color w:val="auto"/>
        </w:rPr>
        <w:t xml:space="preserve"> přísedících dle krajů a věku</w:t>
      </w:r>
      <w:bookmarkEnd w:id="103"/>
      <w:bookmarkEnd w:id="104"/>
      <w:bookmarkEnd w:id="105"/>
    </w:p>
    <w:tbl>
      <w:tblPr>
        <w:tblW w:w="7652" w:type="dxa"/>
        <w:tblCellMar>
          <w:left w:w="70" w:type="dxa"/>
          <w:right w:w="70" w:type="dxa"/>
        </w:tblCellMar>
        <w:tblLook w:val="04A0" w:firstRow="1" w:lastRow="0" w:firstColumn="1" w:lastColumn="0" w:noHBand="0" w:noVBand="1"/>
      </w:tblPr>
      <w:tblGrid>
        <w:gridCol w:w="2236"/>
        <w:gridCol w:w="1141"/>
        <w:gridCol w:w="940"/>
        <w:gridCol w:w="940"/>
        <w:gridCol w:w="940"/>
        <w:gridCol w:w="1455"/>
      </w:tblGrid>
      <w:tr w:rsidR="00AC1E67" w:rsidRPr="00A00187" w14:paraId="4ADC987C" w14:textId="77777777" w:rsidTr="008C5D8B">
        <w:trPr>
          <w:trHeight w:val="330"/>
        </w:trPr>
        <w:tc>
          <w:tcPr>
            <w:tcW w:w="2236" w:type="dxa"/>
            <w:vMerge w:val="restart"/>
            <w:tcBorders>
              <w:top w:val="double" w:sz="6" w:space="0" w:color="auto"/>
              <w:left w:val="nil"/>
              <w:bottom w:val="double" w:sz="6" w:space="0" w:color="000000"/>
              <w:right w:val="nil"/>
            </w:tcBorders>
            <w:shd w:val="clear" w:color="auto" w:fill="auto"/>
            <w:noWrap/>
            <w:vAlign w:val="center"/>
            <w:hideMark/>
          </w:tcPr>
          <w:p w14:paraId="4083A300" w14:textId="77777777" w:rsidR="008C5D8B" w:rsidRPr="00B72E56" w:rsidRDefault="008C5D8B" w:rsidP="008C5D8B">
            <w:pPr>
              <w:spacing w:line="240" w:lineRule="auto"/>
              <w:jc w:val="center"/>
              <w:rPr>
                <w:rFonts w:eastAsia="Times New Roman"/>
                <w:b/>
                <w:bCs/>
                <w:szCs w:val="24"/>
                <w:lang w:eastAsia="cs-CZ"/>
              </w:rPr>
            </w:pPr>
            <w:r w:rsidRPr="00B72E56">
              <w:rPr>
                <w:rFonts w:eastAsia="Times New Roman"/>
                <w:b/>
                <w:bCs/>
                <w:szCs w:val="24"/>
                <w:lang w:eastAsia="cs-CZ"/>
              </w:rPr>
              <w:t>Nadřízený soud</w:t>
            </w:r>
          </w:p>
        </w:tc>
        <w:tc>
          <w:tcPr>
            <w:tcW w:w="5416" w:type="dxa"/>
            <w:gridSpan w:val="5"/>
            <w:tcBorders>
              <w:top w:val="double" w:sz="6" w:space="0" w:color="auto"/>
              <w:left w:val="nil"/>
              <w:bottom w:val="nil"/>
              <w:right w:val="nil"/>
            </w:tcBorders>
            <w:shd w:val="clear" w:color="auto" w:fill="auto"/>
            <w:noWrap/>
            <w:vAlign w:val="bottom"/>
            <w:hideMark/>
          </w:tcPr>
          <w:p w14:paraId="15111197" w14:textId="3EDBB891" w:rsidR="008C5D8B" w:rsidRPr="00B72E56" w:rsidRDefault="008C5D8B" w:rsidP="008C5D8B">
            <w:pPr>
              <w:spacing w:line="240" w:lineRule="auto"/>
              <w:jc w:val="center"/>
              <w:rPr>
                <w:b/>
              </w:rPr>
            </w:pPr>
            <w:r w:rsidRPr="00B72E56">
              <w:rPr>
                <w:b/>
              </w:rPr>
              <w:t xml:space="preserve">Věková skupina (podíl </w:t>
            </w:r>
            <w:r w:rsidR="00726EC3" w:rsidRPr="00B72E56">
              <w:rPr>
                <w:b/>
              </w:rPr>
              <w:t>v</w:t>
            </w:r>
            <w:r w:rsidR="00726EC3">
              <w:rPr>
                <w:b/>
              </w:rPr>
              <w:t> </w:t>
            </w:r>
            <w:r w:rsidRPr="00B72E56">
              <w:rPr>
                <w:b/>
              </w:rPr>
              <w:t>%)</w:t>
            </w:r>
          </w:p>
        </w:tc>
      </w:tr>
      <w:tr w:rsidR="00AC1E67" w:rsidRPr="00A00187" w14:paraId="6B5BBDC4" w14:textId="77777777" w:rsidTr="008C5D8B">
        <w:trPr>
          <w:trHeight w:val="330"/>
        </w:trPr>
        <w:tc>
          <w:tcPr>
            <w:tcW w:w="2236" w:type="dxa"/>
            <w:vMerge/>
            <w:tcBorders>
              <w:top w:val="double" w:sz="6" w:space="0" w:color="auto"/>
              <w:left w:val="nil"/>
              <w:bottom w:val="double" w:sz="6" w:space="0" w:color="000000"/>
              <w:right w:val="nil"/>
            </w:tcBorders>
            <w:vAlign w:val="center"/>
            <w:hideMark/>
          </w:tcPr>
          <w:p w14:paraId="0BD2A398" w14:textId="77777777" w:rsidR="008C5D8B" w:rsidRPr="00B72E56" w:rsidRDefault="008C5D8B" w:rsidP="008C5D8B">
            <w:pPr>
              <w:spacing w:line="240" w:lineRule="auto"/>
              <w:jc w:val="left"/>
              <w:rPr>
                <w:rFonts w:eastAsia="Times New Roman"/>
                <w:b/>
                <w:bCs/>
                <w:szCs w:val="24"/>
                <w:lang w:eastAsia="cs-CZ"/>
              </w:rPr>
            </w:pPr>
          </w:p>
        </w:tc>
        <w:tc>
          <w:tcPr>
            <w:tcW w:w="1141" w:type="dxa"/>
            <w:tcBorders>
              <w:top w:val="nil"/>
              <w:left w:val="nil"/>
              <w:bottom w:val="double" w:sz="6" w:space="0" w:color="auto"/>
              <w:right w:val="nil"/>
            </w:tcBorders>
            <w:shd w:val="clear" w:color="auto" w:fill="auto"/>
            <w:noWrap/>
            <w:vAlign w:val="bottom"/>
            <w:hideMark/>
          </w:tcPr>
          <w:p w14:paraId="2ADAA9D4" w14:textId="2C2E072E" w:rsidR="008C5D8B" w:rsidRPr="00B72E56" w:rsidRDefault="008C5D8B" w:rsidP="008C5D8B">
            <w:pPr>
              <w:spacing w:line="240" w:lineRule="auto"/>
              <w:jc w:val="center"/>
              <w:rPr>
                <w:b/>
              </w:rPr>
            </w:pPr>
            <w:r w:rsidRPr="00B72E56">
              <w:rPr>
                <w:b/>
              </w:rPr>
              <w:t>30–39</w:t>
            </w:r>
          </w:p>
        </w:tc>
        <w:tc>
          <w:tcPr>
            <w:tcW w:w="940" w:type="dxa"/>
            <w:tcBorders>
              <w:top w:val="nil"/>
              <w:left w:val="nil"/>
              <w:bottom w:val="double" w:sz="6" w:space="0" w:color="auto"/>
              <w:right w:val="nil"/>
            </w:tcBorders>
            <w:shd w:val="clear" w:color="auto" w:fill="auto"/>
            <w:noWrap/>
            <w:vAlign w:val="bottom"/>
            <w:hideMark/>
          </w:tcPr>
          <w:p w14:paraId="21B1F8EB" w14:textId="77777777" w:rsidR="008C5D8B" w:rsidRPr="00B72E56" w:rsidRDefault="008C5D8B" w:rsidP="008C5D8B">
            <w:pPr>
              <w:spacing w:line="240" w:lineRule="auto"/>
              <w:jc w:val="center"/>
              <w:rPr>
                <w:b/>
              </w:rPr>
            </w:pPr>
            <w:r w:rsidRPr="00B72E56">
              <w:rPr>
                <w:b/>
              </w:rPr>
              <w:t>40-49</w:t>
            </w:r>
          </w:p>
        </w:tc>
        <w:tc>
          <w:tcPr>
            <w:tcW w:w="940" w:type="dxa"/>
            <w:tcBorders>
              <w:top w:val="nil"/>
              <w:left w:val="nil"/>
              <w:bottom w:val="double" w:sz="6" w:space="0" w:color="auto"/>
              <w:right w:val="nil"/>
            </w:tcBorders>
            <w:shd w:val="clear" w:color="auto" w:fill="auto"/>
            <w:noWrap/>
            <w:vAlign w:val="bottom"/>
            <w:hideMark/>
          </w:tcPr>
          <w:p w14:paraId="43A70D1D" w14:textId="77777777" w:rsidR="008C5D8B" w:rsidRPr="00B72E56" w:rsidRDefault="008C5D8B" w:rsidP="008C5D8B">
            <w:pPr>
              <w:spacing w:line="240" w:lineRule="auto"/>
              <w:jc w:val="center"/>
              <w:rPr>
                <w:b/>
              </w:rPr>
            </w:pPr>
            <w:r w:rsidRPr="00B72E56">
              <w:rPr>
                <w:b/>
              </w:rPr>
              <w:t>50-59</w:t>
            </w:r>
          </w:p>
        </w:tc>
        <w:tc>
          <w:tcPr>
            <w:tcW w:w="940" w:type="dxa"/>
            <w:tcBorders>
              <w:top w:val="nil"/>
              <w:left w:val="nil"/>
              <w:bottom w:val="double" w:sz="6" w:space="0" w:color="auto"/>
              <w:right w:val="nil"/>
            </w:tcBorders>
            <w:shd w:val="clear" w:color="auto" w:fill="auto"/>
            <w:noWrap/>
            <w:vAlign w:val="bottom"/>
            <w:hideMark/>
          </w:tcPr>
          <w:p w14:paraId="7AAEDEC8" w14:textId="77777777" w:rsidR="008C5D8B" w:rsidRPr="00B72E56" w:rsidRDefault="008C5D8B" w:rsidP="008C5D8B">
            <w:pPr>
              <w:spacing w:line="240" w:lineRule="auto"/>
              <w:jc w:val="center"/>
              <w:rPr>
                <w:b/>
              </w:rPr>
            </w:pPr>
            <w:r w:rsidRPr="00B72E56">
              <w:rPr>
                <w:b/>
              </w:rPr>
              <w:t>60-69</w:t>
            </w:r>
          </w:p>
        </w:tc>
        <w:tc>
          <w:tcPr>
            <w:tcW w:w="1455" w:type="dxa"/>
            <w:tcBorders>
              <w:top w:val="nil"/>
              <w:left w:val="nil"/>
              <w:bottom w:val="double" w:sz="6" w:space="0" w:color="auto"/>
              <w:right w:val="nil"/>
            </w:tcBorders>
            <w:shd w:val="clear" w:color="auto" w:fill="auto"/>
            <w:noWrap/>
            <w:vAlign w:val="bottom"/>
            <w:hideMark/>
          </w:tcPr>
          <w:p w14:paraId="21A5A947" w14:textId="3061FE95" w:rsidR="008C5D8B" w:rsidRPr="00B72E56" w:rsidRDefault="008C5D8B" w:rsidP="008C5D8B">
            <w:pPr>
              <w:spacing w:line="240" w:lineRule="auto"/>
              <w:jc w:val="center"/>
              <w:rPr>
                <w:b/>
              </w:rPr>
            </w:pPr>
            <w:r w:rsidRPr="00B72E56">
              <w:rPr>
                <w:b/>
              </w:rPr>
              <w:t xml:space="preserve">70 </w:t>
            </w:r>
            <w:r w:rsidR="00726EC3" w:rsidRPr="00B72E56">
              <w:rPr>
                <w:b/>
              </w:rPr>
              <w:t>a</w:t>
            </w:r>
            <w:r w:rsidR="00726EC3">
              <w:rPr>
                <w:b/>
              </w:rPr>
              <w:t> </w:t>
            </w:r>
            <w:r w:rsidRPr="00B72E56">
              <w:rPr>
                <w:b/>
              </w:rPr>
              <w:t>více</w:t>
            </w:r>
          </w:p>
        </w:tc>
      </w:tr>
      <w:tr w:rsidR="00AC1E67" w:rsidRPr="00A00187" w14:paraId="1515F258" w14:textId="77777777" w:rsidTr="008C5D8B">
        <w:trPr>
          <w:trHeight w:val="330"/>
        </w:trPr>
        <w:tc>
          <w:tcPr>
            <w:tcW w:w="2236" w:type="dxa"/>
            <w:tcBorders>
              <w:top w:val="nil"/>
              <w:left w:val="nil"/>
              <w:bottom w:val="single" w:sz="4" w:space="0" w:color="auto"/>
              <w:right w:val="nil"/>
            </w:tcBorders>
            <w:shd w:val="clear" w:color="auto" w:fill="auto"/>
            <w:noWrap/>
            <w:vAlign w:val="bottom"/>
            <w:hideMark/>
          </w:tcPr>
          <w:p w14:paraId="398BF227"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MS Praha</w:t>
            </w:r>
          </w:p>
        </w:tc>
        <w:tc>
          <w:tcPr>
            <w:tcW w:w="1141" w:type="dxa"/>
            <w:tcBorders>
              <w:top w:val="nil"/>
              <w:left w:val="nil"/>
              <w:bottom w:val="single" w:sz="4" w:space="0" w:color="auto"/>
              <w:right w:val="nil"/>
            </w:tcBorders>
            <w:shd w:val="clear" w:color="auto" w:fill="auto"/>
            <w:noWrap/>
            <w:vAlign w:val="bottom"/>
            <w:hideMark/>
          </w:tcPr>
          <w:p w14:paraId="48D59603" w14:textId="445791D1"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7,74</w:t>
            </w:r>
          </w:p>
        </w:tc>
        <w:tc>
          <w:tcPr>
            <w:tcW w:w="940" w:type="dxa"/>
            <w:tcBorders>
              <w:top w:val="nil"/>
              <w:left w:val="nil"/>
              <w:bottom w:val="single" w:sz="4" w:space="0" w:color="auto"/>
              <w:right w:val="nil"/>
            </w:tcBorders>
            <w:shd w:val="clear" w:color="auto" w:fill="auto"/>
            <w:noWrap/>
            <w:vAlign w:val="bottom"/>
            <w:hideMark/>
          </w:tcPr>
          <w:p w14:paraId="44E8D4BF" w14:textId="060F6CC2"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14,82</w:t>
            </w:r>
          </w:p>
        </w:tc>
        <w:tc>
          <w:tcPr>
            <w:tcW w:w="940" w:type="dxa"/>
            <w:tcBorders>
              <w:top w:val="nil"/>
              <w:left w:val="nil"/>
              <w:bottom w:val="single" w:sz="4" w:space="0" w:color="auto"/>
              <w:right w:val="nil"/>
            </w:tcBorders>
            <w:shd w:val="clear" w:color="auto" w:fill="auto"/>
            <w:noWrap/>
            <w:vAlign w:val="bottom"/>
            <w:hideMark/>
          </w:tcPr>
          <w:p w14:paraId="33366D31" w14:textId="66AA3158"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17,26</w:t>
            </w:r>
          </w:p>
        </w:tc>
        <w:tc>
          <w:tcPr>
            <w:tcW w:w="940" w:type="dxa"/>
            <w:tcBorders>
              <w:top w:val="nil"/>
              <w:left w:val="nil"/>
              <w:bottom w:val="single" w:sz="4" w:space="0" w:color="auto"/>
              <w:right w:val="nil"/>
            </w:tcBorders>
            <w:shd w:val="clear" w:color="auto" w:fill="auto"/>
            <w:noWrap/>
            <w:vAlign w:val="bottom"/>
            <w:hideMark/>
          </w:tcPr>
          <w:p w14:paraId="4A07C76B" w14:textId="23FDBB44"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21,24</w:t>
            </w:r>
          </w:p>
        </w:tc>
        <w:tc>
          <w:tcPr>
            <w:tcW w:w="1455" w:type="dxa"/>
            <w:tcBorders>
              <w:top w:val="nil"/>
              <w:left w:val="nil"/>
              <w:bottom w:val="single" w:sz="4" w:space="0" w:color="auto"/>
              <w:right w:val="nil"/>
            </w:tcBorders>
            <w:shd w:val="clear" w:color="auto" w:fill="auto"/>
            <w:noWrap/>
            <w:vAlign w:val="bottom"/>
            <w:hideMark/>
          </w:tcPr>
          <w:p w14:paraId="277A2CD0" w14:textId="76A52DCA"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38,94</w:t>
            </w:r>
          </w:p>
        </w:tc>
      </w:tr>
      <w:tr w:rsidR="00AC1E67" w:rsidRPr="00A00187" w14:paraId="225E4E50" w14:textId="77777777" w:rsidTr="008C5D8B">
        <w:trPr>
          <w:trHeight w:val="315"/>
        </w:trPr>
        <w:tc>
          <w:tcPr>
            <w:tcW w:w="2236" w:type="dxa"/>
            <w:tcBorders>
              <w:top w:val="nil"/>
              <w:left w:val="nil"/>
              <w:bottom w:val="single" w:sz="4" w:space="0" w:color="auto"/>
              <w:right w:val="nil"/>
            </w:tcBorders>
            <w:shd w:val="clear" w:color="auto" w:fill="auto"/>
            <w:noWrap/>
            <w:vAlign w:val="bottom"/>
            <w:hideMark/>
          </w:tcPr>
          <w:p w14:paraId="05FED817"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KS Praha</w:t>
            </w:r>
          </w:p>
        </w:tc>
        <w:tc>
          <w:tcPr>
            <w:tcW w:w="1141" w:type="dxa"/>
            <w:tcBorders>
              <w:top w:val="nil"/>
              <w:left w:val="nil"/>
              <w:bottom w:val="single" w:sz="4" w:space="0" w:color="auto"/>
              <w:right w:val="nil"/>
            </w:tcBorders>
            <w:shd w:val="clear" w:color="auto" w:fill="auto"/>
            <w:noWrap/>
            <w:vAlign w:val="bottom"/>
            <w:hideMark/>
          </w:tcPr>
          <w:p w14:paraId="1CB48DB9" w14:textId="0FE39632"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5,46</w:t>
            </w:r>
          </w:p>
        </w:tc>
        <w:tc>
          <w:tcPr>
            <w:tcW w:w="940" w:type="dxa"/>
            <w:tcBorders>
              <w:top w:val="nil"/>
              <w:left w:val="nil"/>
              <w:bottom w:val="single" w:sz="4" w:space="0" w:color="auto"/>
              <w:right w:val="nil"/>
            </w:tcBorders>
            <w:shd w:val="clear" w:color="auto" w:fill="auto"/>
            <w:noWrap/>
            <w:vAlign w:val="bottom"/>
            <w:hideMark/>
          </w:tcPr>
          <w:p w14:paraId="55ADC1DB" w14:textId="5A60D60D"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14,75</w:t>
            </w:r>
          </w:p>
        </w:tc>
        <w:tc>
          <w:tcPr>
            <w:tcW w:w="940" w:type="dxa"/>
            <w:tcBorders>
              <w:top w:val="nil"/>
              <w:left w:val="nil"/>
              <w:bottom w:val="single" w:sz="4" w:space="0" w:color="auto"/>
              <w:right w:val="nil"/>
            </w:tcBorders>
            <w:shd w:val="clear" w:color="auto" w:fill="auto"/>
            <w:noWrap/>
            <w:vAlign w:val="bottom"/>
            <w:hideMark/>
          </w:tcPr>
          <w:p w14:paraId="05F2CBA0" w14:textId="40BF1D40"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20,22</w:t>
            </w:r>
          </w:p>
        </w:tc>
        <w:tc>
          <w:tcPr>
            <w:tcW w:w="940" w:type="dxa"/>
            <w:tcBorders>
              <w:top w:val="nil"/>
              <w:left w:val="nil"/>
              <w:bottom w:val="single" w:sz="4" w:space="0" w:color="auto"/>
              <w:right w:val="nil"/>
            </w:tcBorders>
            <w:shd w:val="clear" w:color="auto" w:fill="auto"/>
            <w:noWrap/>
            <w:vAlign w:val="bottom"/>
            <w:hideMark/>
          </w:tcPr>
          <w:p w14:paraId="4E7A5D2A" w14:textId="58DE713E"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23,77</w:t>
            </w:r>
          </w:p>
        </w:tc>
        <w:tc>
          <w:tcPr>
            <w:tcW w:w="1455" w:type="dxa"/>
            <w:tcBorders>
              <w:top w:val="nil"/>
              <w:left w:val="nil"/>
              <w:bottom w:val="single" w:sz="4" w:space="0" w:color="auto"/>
              <w:right w:val="nil"/>
            </w:tcBorders>
            <w:shd w:val="clear" w:color="auto" w:fill="auto"/>
            <w:noWrap/>
            <w:vAlign w:val="bottom"/>
            <w:hideMark/>
          </w:tcPr>
          <w:p w14:paraId="4754FC42" w14:textId="0AA88D6D"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35,79</w:t>
            </w:r>
          </w:p>
        </w:tc>
      </w:tr>
      <w:tr w:rsidR="00AC1E67" w:rsidRPr="00A00187" w14:paraId="3DA041F0" w14:textId="77777777" w:rsidTr="008C5D8B">
        <w:trPr>
          <w:trHeight w:val="315"/>
        </w:trPr>
        <w:tc>
          <w:tcPr>
            <w:tcW w:w="2236" w:type="dxa"/>
            <w:tcBorders>
              <w:top w:val="nil"/>
              <w:left w:val="nil"/>
              <w:bottom w:val="single" w:sz="4" w:space="0" w:color="auto"/>
              <w:right w:val="nil"/>
            </w:tcBorders>
            <w:shd w:val="clear" w:color="auto" w:fill="auto"/>
            <w:noWrap/>
            <w:vAlign w:val="bottom"/>
            <w:hideMark/>
          </w:tcPr>
          <w:p w14:paraId="16EF20D7"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KS Č. Budějovice</w:t>
            </w:r>
          </w:p>
        </w:tc>
        <w:tc>
          <w:tcPr>
            <w:tcW w:w="1141" w:type="dxa"/>
            <w:tcBorders>
              <w:top w:val="nil"/>
              <w:left w:val="nil"/>
              <w:bottom w:val="single" w:sz="4" w:space="0" w:color="auto"/>
              <w:right w:val="nil"/>
            </w:tcBorders>
            <w:shd w:val="clear" w:color="auto" w:fill="auto"/>
            <w:noWrap/>
            <w:vAlign w:val="bottom"/>
            <w:hideMark/>
          </w:tcPr>
          <w:p w14:paraId="6ECBA069" w14:textId="461F5C0A"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0,44</w:t>
            </w:r>
          </w:p>
        </w:tc>
        <w:tc>
          <w:tcPr>
            <w:tcW w:w="940" w:type="dxa"/>
            <w:tcBorders>
              <w:top w:val="nil"/>
              <w:left w:val="nil"/>
              <w:bottom w:val="single" w:sz="4" w:space="0" w:color="auto"/>
              <w:right w:val="nil"/>
            </w:tcBorders>
            <w:shd w:val="clear" w:color="auto" w:fill="auto"/>
            <w:noWrap/>
            <w:vAlign w:val="bottom"/>
            <w:hideMark/>
          </w:tcPr>
          <w:p w14:paraId="14D5C0DA" w14:textId="69810B5A"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8,81</w:t>
            </w:r>
          </w:p>
        </w:tc>
        <w:tc>
          <w:tcPr>
            <w:tcW w:w="940" w:type="dxa"/>
            <w:tcBorders>
              <w:top w:val="nil"/>
              <w:left w:val="nil"/>
              <w:bottom w:val="single" w:sz="4" w:space="0" w:color="auto"/>
              <w:right w:val="nil"/>
            </w:tcBorders>
            <w:shd w:val="clear" w:color="auto" w:fill="auto"/>
            <w:noWrap/>
            <w:vAlign w:val="bottom"/>
            <w:hideMark/>
          </w:tcPr>
          <w:p w14:paraId="67542377" w14:textId="3034546C"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18,94</w:t>
            </w:r>
          </w:p>
        </w:tc>
        <w:tc>
          <w:tcPr>
            <w:tcW w:w="940" w:type="dxa"/>
            <w:tcBorders>
              <w:top w:val="nil"/>
              <w:left w:val="nil"/>
              <w:bottom w:val="single" w:sz="4" w:space="0" w:color="auto"/>
              <w:right w:val="nil"/>
            </w:tcBorders>
            <w:shd w:val="clear" w:color="auto" w:fill="auto"/>
            <w:noWrap/>
            <w:vAlign w:val="bottom"/>
            <w:hideMark/>
          </w:tcPr>
          <w:p w14:paraId="21E175E2" w14:textId="67A20AE3"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33,04</w:t>
            </w:r>
          </w:p>
        </w:tc>
        <w:tc>
          <w:tcPr>
            <w:tcW w:w="1455" w:type="dxa"/>
            <w:tcBorders>
              <w:top w:val="nil"/>
              <w:left w:val="nil"/>
              <w:bottom w:val="single" w:sz="4" w:space="0" w:color="auto"/>
              <w:right w:val="nil"/>
            </w:tcBorders>
            <w:shd w:val="clear" w:color="auto" w:fill="auto"/>
            <w:noWrap/>
            <w:vAlign w:val="bottom"/>
            <w:hideMark/>
          </w:tcPr>
          <w:p w14:paraId="617416EC" w14:textId="69639754"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38,77</w:t>
            </w:r>
          </w:p>
        </w:tc>
      </w:tr>
      <w:tr w:rsidR="00AC1E67" w:rsidRPr="00A00187" w14:paraId="1183B40F" w14:textId="77777777" w:rsidTr="008C5D8B">
        <w:trPr>
          <w:trHeight w:val="315"/>
        </w:trPr>
        <w:tc>
          <w:tcPr>
            <w:tcW w:w="2236" w:type="dxa"/>
            <w:tcBorders>
              <w:top w:val="nil"/>
              <w:left w:val="nil"/>
              <w:bottom w:val="single" w:sz="4" w:space="0" w:color="auto"/>
              <w:right w:val="nil"/>
            </w:tcBorders>
            <w:shd w:val="clear" w:color="auto" w:fill="auto"/>
            <w:noWrap/>
            <w:vAlign w:val="bottom"/>
            <w:hideMark/>
          </w:tcPr>
          <w:p w14:paraId="480E64BC"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KS Plzeň</w:t>
            </w:r>
          </w:p>
        </w:tc>
        <w:tc>
          <w:tcPr>
            <w:tcW w:w="1141" w:type="dxa"/>
            <w:tcBorders>
              <w:top w:val="nil"/>
              <w:left w:val="nil"/>
              <w:bottom w:val="single" w:sz="4" w:space="0" w:color="auto"/>
              <w:right w:val="nil"/>
            </w:tcBorders>
            <w:shd w:val="clear" w:color="auto" w:fill="auto"/>
            <w:noWrap/>
            <w:vAlign w:val="bottom"/>
            <w:hideMark/>
          </w:tcPr>
          <w:p w14:paraId="6B3B6440" w14:textId="2BBE100A"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2,41</w:t>
            </w:r>
          </w:p>
        </w:tc>
        <w:tc>
          <w:tcPr>
            <w:tcW w:w="940" w:type="dxa"/>
            <w:tcBorders>
              <w:top w:val="nil"/>
              <w:left w:val="nil"/>
              <w:bottom w:val="single" w:sz="4" w:space="0" w:color="auto"/>
              <w:right w:val="nil"/>
            </w:tcBorders>
            <w:shd w:val="clear" w:color="auto" w:fill="auto"/>
            <w:noWrap/>
            <w:vAlign w:val="bottom"/>
            <w:hideMark/>
          </w:tcPr>
          <w:p w14:paraId="6081D0ED" w14:textId="26CA4458"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9,12</w:t>
            </w:r>
          </w:p>
        </w:tc>
        <w:tc>
          <w:tcPr>
            <w:tcW w:w="940" w:type="dxa"/>
            <w:tcBorders>
              <w:top w:val="nil"/>
              <w:left w:val="nil"/>
              <w:bottom w:val="single" w:sz="4" w:space="0" w:color="auto"/>
              <w:right w:val="nil"/>
            </w:tcBorders>
            <w:shd w:val="clear" w:color="auto" w:fill="auto"/>
            <w:noWrap/>
            <w:vAlign w:val="bottom"/>
            <w:hideMark/>
          </w:tcPr>
          <w:p w14:paraId="6F3900AB" w14:textId="51EFAE6D"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21,98</w:t>
            </w:r>
          </w:p>
        </w:tc>
        <w:tc>
          <w:tcPr>
            <w:tcW w:w="940" w:type="dxa"/>
            <w:tcBorders>
              <w:top w:val="nil"/>
              <w:left w:val="nil"/>
              <w:bottom w:val="single" w:sz="4" w:space="0" w:color="auto"/>
              <w:right w:val="nil"/>
            </w:tcBorders>
            <w:shd w:val="clear" w:color="auto" w:fill="auto"/>
            <w:noWrap/>
            <w:vAlign w:val="bottom"/>
            <w:hideMark/>
          </w:tcPr>
          <w:p w14:paraId="78DB8186" w14:textId="6822DFA5"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31,37</w:t>
            </w:r>
          </w:p>
        </w:tc>
        <w:tc>
          <w:tcPr>
            <w:tcW w:w="1455" w:type="dxa"/>
            <w:tcBorders>
              <w:top w:val="nil"/>
              <w:left w:val="nil"/>
              <w:bottom w:val="single" w:sz="4" w:space="0" w:color="auto"/>
              <w:right w:val="nil"/>
            </w:tcBorders>
            <w:shd w:val="clear" w:color="auto" w:fill="auto"/>
            <w:noWrap/>
            <w:vAlign w:val="bottom"/>
            <w:hideMark/>
          </w:tcPr>
          <w:p w14:paraId="1804F6FB" w14:textId="728F9B52"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35,12</w:t>
            </w:r>
          </w:p>
        </w:tc>
      </w:tr>
      <w:tr w:rsidR="00AC1E67" w:rsidRPr="00A00187" w14:paraId="6E8C4ABB" w14:textId="77777777" w:rsidTr="008C5D8B">
        <w:trPr>
          <w:trHeight w:val="315"/>
        </w:trPr>
        <w:tc>
          <w:tcPr>
            <w:tcW w:w="2236" w:type="dxa"/>
            <w:tcBorders>
              <w:top w:val="nil"/>
              <w:left w:val="nil"/>
              <w:bottom w:val="single" w:sz="4" w:space="0" w:color="auto"/>
              <w:right w:val="nil"/>
            </w:tcBorders>
            <w:shd w:val="clear" w:color="auto" w:fill="auto"/>
            <w:noWrap/>
            <w:vAlign w:val="bottom"/>
            <w:hideMark/>
          </w:tcPr>
          <w:p w14:paraId="049F51C2"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KS Ústí n. Labem</w:t>
            </w:r>
          </w:p>
        </w:tc>
        <w:tc>
          <w:tcPr>
            <w:tcW w:w="1141" w:type="dxa"/>
            <w:tcBorders>
              <w:top w:val="nil"/>
              <w:left w:val="nil"/>
              <w:bottom w:val="single" w:sz="4" w:space="0" w:color="auto"/>
              <w:right w:val="nil"/>
            </w:tcBorders>
            <w:shd w:val="clear" w:color="auto" w:fill="auto"/>
            <w:noWrap/>
            <w:vAlign w:val="bottom"/>
            <w:hideMark/>
          </w:tcPr>
          <w:p w14:paraId="6F103CB1" w14:textId="4F237425"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3,74</w:t>
            </w:r>
          </w:p>
        </w:tc>
        <w:tc>
          <w:tcPr>
            <w:tcW w:w="940" w:type="dxa"/>
            <w:tcBorders>
              <w:top w:val="nil"/>
              <w:left w:val="nil"/>
              <w:bottom w:val="single" w:sz="4" w:space="0" w:color="auto"/>
              <w:right w:val="nil"/>
            </w:tcBorders>
            <w:shd w:val="clear" w:color="auto" w:fill="auto"/>
            <w:noWrap/>
            <w:vAlign w:val="bottom"/>
            <w:hideMark/>
          </w:tcPr>
          <w:p w14:paraId="5CF53B80" w14:textId="067DC97F"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15,14</w:t>
            </w:r>
          </w:p>
        </w:tc>
        <w:tc>
          <w:tcPr>
            <w:tcW w:w="940" w:type="dxa"/>
            <w:tcBorders>
              <w:top w:val="nil"/>
              <w:left w:val="nil"/>
              <w:bottom w:val="single" w:sz="4" w:space="0" w:color="auto"/>
              <w:right w:val="nil"/>
            </w:tcBorders>
            <w:shd w:val="clear" w:color="auto" w:fill="auto"/>
            <w:noWrap/>
            <w:vAlign w:val="bottom"/>
            <w:hideMark/>
          </w:tcPr>
          <w:p w14:paraId="46F8783D" w14:textId="19A62C6C"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20,75</w:t>
            </w:r>
          </w:p>
        </w:tc>
        <w:tc>
          <w:tcPr>
            <w:tcW w:w="940" w:type="dxa"/>
            <w:tcBorders>
              <w:top w:val="nil"/>
              <w:left w:val="nil"/>
              <w:bottom w:val="single" w:sz="4" w:space="0" w:color="auto"/>
              <w:right w:val="nil"/>
            </w:tcBorders>
            <w:shd w:val="clear" w:color="auto" w:fill="auto"/>
            <w:noWrap/>
            <w:vAlign w:val="bottom"/>
            <w:hideMark/>
          </w:tcPr>
          <w:p w14:paraId="452994BA" w14:textId="68A769ED"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23,55</w:t>
            </w:r>
          </w:p>
        </w:tc>
        <w:tc>
          <w:tcPr>
            <w:tcW w:w="1455" w:type="dxa"/>
            <w:tcBorders>
              <w:top w:val="nil"/>
              <w:left w:val="nil"/>
              <w:bottom w:val="single" w:sz="4" w:space="0" w:color="auto"/>
              <w:right w:val="nil"/>
            </w:tcBorders>
            <w:shd w:val="clear" w:color="auto" w:fill="auto"/>
            <w:noWrap/>
            <w:vAlign w:val="bottom"/>
            <w:hideMark/>
          </w:tcPr>
          <w:p w14:paraId="673B71DE" w14:textId="49C56677"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36,82</w:t>
            </w:r>
          </w:p>
        </w:tc>
      </w:tr>
      <w:tr w:rsidR="00AC1E67" w:rsidRPr="00A00187" w14:paraId="7D4A417F" w14:textId="77777777" w:rsidTr="008C5D8B">
        <w:trPr>
          <w:trHeight w:val="315"/>
        </w:trPr>
        <w:tc>
          <w:tcPr>
            <w:tcW w:w="2236" w:type="dxa"/>
            <w:tcBorders>
              <w:top w:val="nil"/>
              <w:left w:val="nil"/>
              <w:bottom w:val="single" w:sz="4" w:space="0" w:color="auto"/>
              <w:right w:val="nil"/>
            </w:tcBorders>
            <w:shd w:val="clear" w:color="auto" w:fill="auto"/>
            <w:noWrap/>
            <w:vAlign w:val="bottom"/>
            <w:hideMark/>
          </w:tcPr>
          <w:p w14:paraId="171BD628"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KS Hr. Králové</w:t>
            </w:r>
          </w:p>
        </w:tc>
        <w:tc>
          <w:tcPr>
            <w:tcW w:w="1141" w:type="dxa"/>
            <w:tcBorders>
              <w:top w:val="nil"/>
              <w:left w:val="nil"/>
              <w:bottom w:val="single" w:sz="4" w:space="0" w:color="auto"/>
              <w:right w:val="nil"/>
            </w:tcBorders>
            <w:shd w:val="clear" w:color="auto" w:fill="auto"/>
            <w:noWrap/>
            <w:vAlign w:val="bottom"/>
            <w:hideMark/>
          </w:tcPr>
          <w:p w14:paraId="21F37781" w14:textId="447778DA"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2,14</w:t>
            </w:r>
          </w:p>
        </w:tc>
        <w:tc>
          <w:tcPr>
            <w:tcW w:w="940" w:type="dxa"/>
            <w:tcBorders>
              <w:top w:val="nil"/>
              <w:left w:val="nil"/>
              <w:bottom w:val="single" w:sz="4" w:space="0" w:color="auto"/>
              <w:right w:val="nil"/>
            </w:tcBorders>
            <w:shd w:val="clear" w:color="auto" w:fill="auto"/>
            <w:noWrap/>
            <w:vAlign w:val="bottom"/>
            <w:hideMark/>
          </w:tcPr>
          <w:p w14:paraId="143C4178" w14:textId="37C0CAB4"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11,64</w:t>
            </w:r>
          </w:p>
        </w:tc>
        <w:tc>
          <w:tcPr>
            <w:tcW w:w="940" w:type="dxa"/>
            <w:tcBorders>
              <w:top w:val="nil"/>
              <w:left w:val="nil"/>
              <w:bottom w:val="single" w:sz="4" w:space="0" w:color="auto"/>
              <w:right w:val="nil"/>
            </w:tcBorders>
            <w:shd w:val="clear" w:color="auto" w:fill="auto"/>
            <w:noWrap/>
            <w:vAlign w:val="bottom"/>
            <w:hideMark/>
          </w:tcPr>
          <w:p w14:paraId="66A85582" w14:textId="32C4B117"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17,34</w:t>
            </w:r>
          </w:p>
        </w:tc>
        <w:tc>
          <w:tcPr>
            <w:tcW w:w="940" w:type="dxa"/>
            <w:tcBorders>
              <w:top w:val="nil"/>
              <w:left w:val="nil"/>
              <w:bottom w:val="single" w:sz="4" w:space="0" w:color="auto"/>
              <w:right w:val="nil"/>
            </w:tcBorders>
            <w:shd w:val="clear" w:color="auto" w:fill="auto"/>
            <w:noWrap/>
            <w:vAlign w:val="bottom"/>
            <w:hideMark/>
          </w:tcPr>
          <w:p w14:paraId="62E54FEA" w14:textId="7C2D72CD"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32,07</w:t>
            </w:r>
          </w:p>
        </w:tc>
        <w:tc>
          <w:tcPr>
            <w:tcW w:w="1455" w:type="dxa"/>
            <w:tcBorders>
              <w:top w:val="nil"/>
              <w:left w:val="nil"/>
              <w:bottom w:val="single" w:sz="4" w:space="0" w:color="auto"/>
              <w:right w:val="nil"/>
            </w:tcBorders>
            <w:shd w:val="clear" w:color="auto" w:fill="auto"/>
            <w:noWrap/>
            <w:vAlign w:val="bottom"/>
            <w:hideMark/>
          </w:tcPr>
          <w:p w14:paraId="1237AF3C" w14:textId="0FD573C2"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36,82</w:t>
            </w:r>
          </w:p>
        </w:tc>
      </w:tr>
      <w:tr w:rsidR="00AC1E67" w:rsidRPr="00A00187" w14:paraId="543BB449" w14:textId="77777777" w:rsidTr="008C5D8B">
        <w:trPr>
          <w:trHeight w:val="315"/>
        </w:trPr>
        <w:tc>
          <w:tcPr>
            <w:tcW w:w="2236" w:type="dxa"/>
            <w:tcBorders>
              <w:top w:val="nil"/>
              <w:left w:val="nil"/>
              <w:bottom w:val="single" w:sz="4" w:space="0" w:color="auto"/>
              <w:right w:val="nil"/>
            </w:tcBorders>
            <w:shd w:val="clear" w:color="auto" w:fill="auto"/>
            <w:noWrap/>
            <w:vAlign w:val="bottom"/>
            <w:hideMark/>
          </w:tcPr>
          <w:p w14:paraId="24BFA7E3"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KS Brno</w:t>
            </w:r>
          </w:p>
        </w:tc>
        <w:tc>
          <w:tcPr>
            <w:tcW w:w="1141" w:type="dxa"/>
            <w:tcBorders>
              <w:top w:val="nil"/>
              <w:left w:val="nil"/>
              <w:bottom w:val="single" w:sz="4" w:space="0" w:color="auto"/>
              <w:right w:val="nil"/>
            </w:tcBorders>
            <w:shd w:val="clear" w:color="auto" w:fill="auto"/>
            <w:noWrap/>
            <w:vAlign w:val="bottom"/>
            <w:hideMark/>
          </w:tcPr>
          <w:p w14:paraId="679887F4" w14:textId="7C8D9028"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3,60</w:t>
            </w:r>
          </w:p>
        </w:tc>
        <w:tc>
          <w:tcPr>
            <w:tcW w:w="940" w:type="dxa"/>
            <w:tcBorders>
              <w:top w:val="nil"/>
              <w:left w:val="nil"/>
              <w:bottom w:val="single" w:sz="4" w:space="0" w:color="auto"/>
              <w:right w:val="nil"/>
            </w:tcBorders>
            <w:shd w:val="clear" w:color="auto" w:fill="auto"/>
            <w:noWrap/>
            <w:vAlign w:val="bottom"/>
            <w:hideMark/>
          </w:tcPr>
          <w:p w14:paraId="61A48955" w14:textId="00256077"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16,83</w:t>
            </w:r>
          </w:p>
        </w:tc>
        <w:tc>
          <w:tcPr>
            <w:tcW w:w="940" w:type="dxa"/>
            <w:tcBorders>
              <w:top w:val="nil"/>
              <w:left w:val="nil"/>
              <w:bottom w:val="single" w:sz="4" w:space="0" w:color="auto"/>
              <w:right w:val="nil"/>
            </w:tcBorders>
            <w:shd w:val="clear" w:color="auto" w:fill="auto"/>
            <w:noWrap/>
            <w:vAlign w:val="bottom"/>
            <w:hideMark/>
          </w:tcPr>
          <w:p w14:paraId="00357F17" w14:textId="4FADFBB3"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18,42</w:t>
            </w:r>
          </w:p>
        </w:tc>
        <w:tc>
          <w:tcPr>
            <w:tcW w:w="940" w:type="dxa"/>
            <w:tcBorders>
              <w:top w:val="nil"/>
              <w:left w:val="nil"/>
              <w:bottom w:val="single" w:sz="4" w:space="0" w:color="auto"/>
              <w:right w:val="nil"/>
            </w:tcBorders>
            <w:shd w:val="clear" w:color="auto" w:fill="auto"/>
            <w:noWrap/>
            <w:vAlign w:val="bottom"/>
            <w:hideMark/>
          </w:tcPr>
          <w:p w14:paraId="1F59367A" w14:textId="220E9093"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29,50</w:t>
            </w:r>
          </w:p>
        </w:tc>
        <w:tc>
          <w:tcPr>
            <w:tcW w:w="1455" w:type="dxa"/>
            <w:tcBorders>
              <w:top w:val="nil"/>
              <w:left w:val="nil"/>
              <w:bottom w:val="single" w:sz="4" w:space="0" w:color="auto"/>
              <w:right w:val="nil"/>
            </w:tcBorders>
            <w:shd w:val="clear" w:color="auto" w:fill="auto"/>
            <w:noWrap/>
            <w:vAlign w:val="bottom"/>
            <w:hideMark/>
          </w:tcPr>
          <w:p w14:paraId="3C8BA4BD" w14:textId="0E12B54C"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31,65</w:t>
            </w:r>
          </w:p>
        </w:tc>
      </w:tr>
      <w:tr w:rsidR="00AC1E67" w:rsidRPr="00A00187" w14:paraId="2B8FADB8" w14:textId="77777777" w:rsidTr="008C5D8B">
        <w:trPr>
          <w:trHeight w:val="330"/>
        </w:trPr>
        <w:tc>
          <w:tcPr>
            <w:tcW w:w="2236" w:type="dxa"/>
            <w:tcBorders>
              <w:top w:val="nil"/>
              <w:left w:val="nil"/>
              <w:bottom w:val="double" w:sz="6" w:space="0" w:color="auto"/>
              <w:right w:val="nil"/>
            </w:tcBorders>
            <w:shd w:val="clear" w:color="auto" w:fill="auto"/>
            <w:noWrap/>
            <w:vAlign w:val="bottom"/>
            <w:hideMark/>
          </w:tcPr>
          <w:p w14:paraId="11803541" w14:textId="77777777" w:rsidR="008C5D8B" w:rsidRPr="00B72E56" w:rsidRDefault="008C5D8B" w:rsidP="008C5D8B">
            <w:pPr>
              <w:spacing w:line="240" w:lineRule="auto"/>
              <w:jc w:val="left"/>
              <w:rPr>
                <w:rFonts w:eastAsia="Times New Roman"/>
                <w:szCs w:val="24"/>
                <w:lang w:eastAsia="cs-CZ"/>
              </w:rPr>
            </w:pPr>
            <w:r w:rsidRPr="00B72E56">
              <w:rPr>
                <w:rFonts w:eastAsia="Times New Roman"/>
                <w:szCs w:val="24"/>
                <w:lang w:eastAsia="cs-CZ"/>
              </w:rPr>
              <w:t>KS Ostrava</w:t>
            </w:r>
          </w:p>
        </w:tc>
        <w:tc>
          <w:tcPr>
            <w:tcW w:w="1141" w:type="dxa"/>
            <w:tcBorders>
              <w:top w:val="nil"/>
              <w:left w:val="nil"/>
              <w:bottom w:val="double" w:sz="6" w:space="0" w:color="auto"/>
              <w:right w:val="nil"/>
            </w:tcBorders>
            <w:shd w:val="clear" w:color="auto" w:fill="auto"/>
            <w:noWrap/>
            <w:vAlign w:val="bottom"/>
            <w:hideMark/>
          </w:tcPr>
          <w:p w14:paraId="7E87C531" w14:textId="711ACCAA"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4,39</w:t>
            </w:r>
          </w:p>
        </w:tc>
        <w:tc>
          <w:tcPr>
            <w:tcW w:w="940" w:type="dxa"/>
            <w:tcBorders>
              <w:top w:val="nil"/>
              <w:left w:val="nil"/>
              <w:bottom w:val="double" w:sz="6" w:space="0" w:color="auto"/>
              <w:right w:val="nil"/>
            </w:tcBorders>
            <w:shd w:val="clear" w:color="auto" w:fill="auto"/>
            <w:noWrap/>
            <w:vAlign w:val="bottom"/>
            <w:hideMark/>
          </w:tcPr>
          <w:p w14:paraId="39A4ED0D" w14:textId="786BD440"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13,70</w:t>
            </w:r>
          </w:p>
        </w:tc>
        <w:tc>
          <w:tcPr>
            <w:tcW w:w="940" w:type="dxa"/>
            <w:tcBorders>
              <w:top w:val="nil"/>
              <w:left w:val="nil"/>
              <w:bottom w:val="double" w:sz="6" w:space="0" w:color="auto"/>
              <w:right w:val="nil"/>
            </w:tcBorders>
            <w:shd w:val="clear" w:color="auto" w:fill="auto"/>
            <w:noWrap/>
            <w:vAlign w:val="bottom"/>
            <w:hideMark/>
          </w:tcPr>
          <w:p w14:paraId="0726D621" w14:textId="1EA8BCF6"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20,08</w:t>
            </w:r>
          </w:p>
        </w:tc>
        <w:tc>
          <w:tcPr>
            <w:tcW w:w="940" w:type="dxa"/>
            <w:tcBorders>
              <w:top w:val="nil"/>
              <w:left w:val="nil"/>
              <w:bottom w:val="double" w:sz="6" w:space="0" w:color="auto"/>
              <w:right w:val="nil"/>
            </w:tcBorders>
            <w:shd w:val="clear" w:color="auto" w:fill="auto"/>
            <w:noWrap/>
            <w:vAlign w:val="bottom"/>
            <w:hideMark/>
          </w:tcPr>
          <w:p w14:paraId="77F1719F" w14:textId="4082BFE4"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30,54</w:t>
            </w:r>
          </w:p>
        </w:tc>
        <w:tc>
          <w:tcPr>
            <w:tcW w:w="1455" w:type="dxa"/>
            <w:tcBorders>
              <w:top w:val="nil"/>
              <w:left w:val="nil"/>
              <w:bottom w:val="double" w:sz="6" w:space="0" w:color="auto"/>
              <w:right w:val="nil"/>
            </w:tcBorders>
            <w:shd w:val="clear" w:color="auto" w:fill="auto"/>
            <w:noWrap/>
            <w:vAlign w:val="bottom"/>
            <w:hideMark/>
          </w:tcPr>
          <w:p w14:paraId="04A0E577" w14:textId="251635F1" w:rsidR="008C5D8B" w:rsidRPr="00B72E56" w:rsidRDefault="008C5D8B" w:rsidP="008C5D8B">
            <w:pPr>
              <w:spacing w:line="240" w:lineRule="auto"/>
              <w:jc w:val="center"/>
              <w:rPr>
                <w:rFonts w:eastAsia="Times New Roman"/>
                <w:szCs w:val="24"/>
                <w:lang w:eastAsia="cs-CZ"/>
              </w:rPr>
            </w:pPr>
            <w:r w:rsidRPr="00B72E56">
              <w:rPr>
                <w:rFonts w:eastAsia="Times New Roman"/>
                <w:szCs w:val="24"/>
                <w:lang w:eastAsia="cs-CZ"/>
              </w:rPr>
              <w:t>31,28</w:t>
            </w:r>
          </w:p>
        </w:tc>
      </w:tr>
      <w:tr w:rsidR="00AC1E67" w:rsidRPr="00A00187" w14:paraId="23039A73" w14:textId="77777777" w:rsidTr="0064349A">
        <w:trPr>
          <w:trHeight w:val="345"/>
        </w:trPr>
        <w:tc>
          <w:tcPr>
            <w:tcW w:w="2236" w:type="dxa"/>
            <w:tcBorders>
              <w:top w:val="nil"/>
              <w:left w:val="nil"/>
              <w:bottom w:val="nil"/>
              <w:right w:val="nil"/>
            </w:tcBorders>
            <w:shd w:val="clear" w:color="auto" w:fill="auto"/>
            <w:noWrap/>
            <w:vAlign w:val="bottom"/>
            <w:hideMark/>
          </w:tcPr>
          <w:p w14:paraId="42083B1E" w14:textId="77777777" w:rsidR="008C5D8B" w:rsidRPr="00B72E56" w:rsidRDefault="008C5D8B" w:rsidP="008C5D8B">
            <w:pPr>
              <w:spacing w:line="240" w:lineRule="auto"/>
              <w:jc w:val="left"/>
              <w:rPr>
                <w:rFonts w:eastAsia="Times New Roman"/>
                <w:b/>
                <w:bCs/>
                <w:szCs w:val="24"/>
                <w:lang w:eastAsia="cs-CZ"/>
              </w:rPr>
            </w:pPr>
            <w:r w:rsidRPr="00B72E56">
              <w:rPr>
                <w:rFonts w:eastAsia="Times New Roman"/>
                <w:b/>
                <w:bCs/>
                <w:szCs w:val="24"/>
                <w:lang w:eastAsia="cs-CZ"/>
              </w:rPr>
              <w:t>Celkem ČR</w:t>
            </w:r>
          </w:p>
        </w:tc>
        <w:tc>
          <w:tcPr>
            <w:tcW w:w="1141" w:type="dxa"/>
            <w:tcBorders>
              <w:top w:val="nil"/>
              <w:left w:val="nil"/>
              <w:bottom w:val="nil"/>
              <w:right w:val="nil"/>
            </w:tcBorders>
            <w:shd w:val="clear" w:color="auto" w:fill="auto"/>
            <w:noWrap/>
            <w:vAlign w:val="bottom"/>
            <w:hideMark/>
          </w:tcPr>
          <w:p w14:paraId="50D0CE7B" w14:textId="4B15548F" w:rsidR="008C5D8B" w:rsidRPr="00B72E56" w:rsidRDefault="008C5D8B" w:rsidP="008C5D8B">
            <w:pPr>
              <w:spacing w:line="240" w:lineRule="auto"/>
              <w:jc w:val="center"/>
              <w:rPr>
                <w:rFonts w:eastAsia="Times New Roman"/>
                <w:b/>
                <w:bCs/>
                <w:szCs w:val="24"/>
                <w:lang w:eastAsia="cs-CZ"/>
              </w:rPr>
            </w:pPr>
            <w:r w:rsidRPr="00B72E56">
              <w:rPr>
                <w:rFonts w:eastAsia="Times New Roman"/>
                <w:b/>
                <w:bCs/>
                <w:szCs w:val="24"/>
                <w:lang w:eastAsia="cs-CZ"/>
              </w:rPr>
              <w:t>4,00</w:t>
            </w:r>
          </w:p>
        </w:tc>
        <w:tc>
          <w:tcPr>
            <w:tcW w:w="940" w:type="dxa"/>
            <w:tcBorders>
              <w:top w:val="nil"/>
              <w:left w:val="nil"/>
              <w:bottom w:val="nil"/>
              <w:right w:val="nil"/>
            </w:tcBorders>
            <w:shd w:val="clear" w:color="auto" w:fill="auto"/>
            <w:noWrap/>
            <w:vAlign w:val="bottom"/>
            <w:hideMark/>
          </w:tcPr>
          <w:p w14:paraId="758E23B1" w14:textId="69F7AC8E" w:rsidR="008C5D8B" w:rsidRPr="00B72E56" w:rsidRDefault="008C5D8B" w:rsidP="008C5D8B">
            <w:pPr>
              <w:spacing w:line="240" w:lineRule="auto"/>
              <w:jc w:val="center"/>
              <w:rPr>
                <w:rFonts w:eastAsia="Times New Roman"/>
                <w:b/>
                <w:bCs/>
                <w:szCs w:val="24"/>
                <w:lang w:eastAsia="cs-CZ"/>
              </w:rPr>
            </w:pPr>
            <w:r w:rsidRPr="00B72E56">
              <w:rPr>
                <w:rFonts w:eastAsia="Times New Roman"/>
                <w:b/>
                <w:bCs/>
                <w:szCs w:val="24"/>
                <w:lang w:eastAsia="cs-CZ"/>
              </w:rPr>
              <w:t>13,74</w:t>
            </w:r>
          </w:p>
        </w:tc>
        <w:tc>
          <w:tcPr>
            <w:tcW w:w="940" w:type="dxa"/>
            <w:tcBorders>
              <w:top w:val="nil"/>
              <w:left w:val="nil"/>
              <w:bottom w:val="nil"/>
              <w:right w:val="nil"/>
            </w:tcBorders>
            <w:shd w:val="clear" w:color="auto" w:fill="auto"/>
            <w:noWrap/>
            <w:vAlign w:val="bottom"/>
            <w:hideMark/>
          </w:tcPr>
          <w:p w14:paraId="68FC236D" w14:textId="6CC38343" w:rsidR="008C5D8B" w:rsidRPr="00B72E56" w:rsidRDefault="008C5D8B" w:rsidP="008C5D8B">
            <w:pPr>
              <w:spacing w:line="240" w:lineRule="auto"/>
              <w:jc w:val="center"/>
              <w:rPr>
                <w:rFonts w:eastAsia="Times New Roman"/>
                <w:b/>
                <w:bCs/>
                <w:szCs w:val="24"/>
                <w:lang w:eastAsia="cs-CZ"/>
              </w:rPr>
            </w:pPr>
            <w:r w:rsidRPr="00B72E56">
              <w:rPr>
                <w:rFonts w:eastAsia="Times New Roman"/>
                <w:b/>
                <w:bCs/>
                <w:szCs w:val="24"/>
                <w:lang w:eastAsia="cs-CZ"/>
              </w:rPr>
              <w:t>19,40</w:t>
            </w:r>
          </w:p>
        </w:tc>
        <w:tc>
          <w:tcPr>
            <w:tcW w:w="940" w:type="dxa"/>
            <w:tcBorders>
              <w:top w:val="nil"/>
              <w:left w:val="nil"/>
              <w:bottom w:val="nil"/>
              <w:right w:val="nil"/>
            </w:tcBorders>
            <w:shd w:val="clear" w:color="auto" w:fill="auto"/>
            <w:noWrap/>
            <w:vAlign w:val="bottom"/>
            <w:hideMark/>
          </w:tcPr>
          <w:p w14:paraId="2BE7FC9E" w14:textId="55F07D5E" w:rsidR="008C5D8B" w:rsidRPr="00B72E56" w:rsidRDefault="008C5D8B" w:rsidP="008C5D8B">
            <w:pPr>
              <w:spacing w:line="240" w:lineRule="auto"/>
              <w:jc w:val="center"/>
              <w:rPr>
                <w:rFonts w:eastAsia="Times New Roman"/>
                <w:b/>
                <w:bCs/>
                <w:szCs w:val="24"/>
                <w:lang w:eastAsia="cs-CZ"/>
              </w:rPr>
            </w:pPr>
            <w:r w:rsidRPr="00B72E56">
              <w:rPr>
                <w:rFonts w:eastAsia="Times New Roman"/>
                <w:b/>
                <w:bCs/>
                <w:szCs w:val="24"/>
                <w:lang w:eastAsia="cs-CZ"/>
              </w:rPr>
              <w:t>28,15</w:t>
            </w:r>
          </w:p>
        </w:tc>
        <w:tc>
          <w:tcPr>
            <w:tcW w:w="1455" w:type="dxa"/>
            <w:tcBorders>
              <w:top w:val="nil"/>
              <w:left w:val="nil"/>
              <w:bottom w:val="nil"/>
              <w:right w:val="nil"/>
            </w:tcBorders>
            <w:shd w:val="clear" w:color="auto" w:fill="auto"/>
            <w:noWrap/>
            <w:vAlign w:val="bottom"/>
            <w:hideMark/>
          </w:tcPr>
          <w:p w14:paraId="7DD30213" w14:textId="3BD01C3F" w:rsidR="008C5D8B" w:rsidRPr="00B72E56" w:rsidRDefault="008C5D8B" w:rsidP="008C5D8B">
            <w:pPr>
              <w:spacing w:line="240" w:lineRule="auto"/>
              <w:jc w:val="center"/>
              <w:rPr>
                <w:rFonts w:eastAsia="Times New Roman"/>
                <w:b/>
                <w:bCs/>
                <w:szCs w:val="24"/>
                <w:lang w:eastAsia="cs-CZ"/>
              </w:rPr>
            </w:pPr>
            <w:r w:rsidRPr="00B72E56">
              <w:rPr>
                <w:rFonts w:eastAsia="Times New Roman"/>
                <w:b/>
                <w:bCs/>
                <w:szCs w:val="24"/>
                <w:lang w:eastAsia="cs-CZ"/>
              </w:rPr>
              <w:t>34,71</w:t>
            </w:r>
          </w:p>
        </w:tc>
      </w:tr>
    </w:tbl>
    <w:p w14:paraId="19005C8C" w14:textId="067068E3" w:rsidR="00D10DCC" w:rsidRDefault="00D10DCC" w:rsidP="008C5D8B">
      <w:pPr>
        <w:spacing w:line="240" w:lineRule="auto"/>
        <w:jc w:val="left"/>
        <w:rPr>
          <w:rFonts w:eastAsia="Times New Roman"/>
          <w:b/>
          <w:bCs/>
          <w:szCs w:val="24"/>
          <w:lang w:eastAsia="cs-CZ"/>
        </w:rPr>
      </w:pPr>
      <w:bookmarkStart w:id="106" w:name="_Ref9425277"/>
      <w:bookmarkStart w:id="107" w:name="_Ref10553155"/>
      <w:bookmarkStart w:id="108" w:name="_Ref10553167"/>
      <w:bookmarkStart w:id="109" w:name="_Toc106092717"/>
    </w:p>
    <w:p w14:paraId="21747D05" w14:textId="77777777" w:rsidR="00D10DCC" w:rsidRDefault="00D10DCC">
      <w:pPr>
        <w:spacing w:after="160" w:line="259" w:lineRule="auto"/>
        <w:jc w:val="left"/>
        <w:rPr>
          <w:rFonts w:eastAsia="Times New Roman"/>
          <w:b/>
          <w:bCs/>
          <w:szCs w:val="24"/>
          <w:lang w:eastAsia="cs-CZ"/>
        </w:rPr>
      </w:pPr>
      <w:r>
        <w:rPr>
          <w:rFonts w:eastAsia="Times New Roman"/>
          <w:b/>
          <w:bCs/>
          <w:szCs w:val="24"/>
          <w:lang w:eastAsia="cs-CZ"/>
        </w:rPr>
        <w:br w:type="page"/>
      </w:r>
    </w:p>
    <w:p w14:paraId="48BF8F17" w14:textId="0AA0CA5B" w:rsidR="008430BD" w:rsidRPr="00A00187" w:rsidRDefault="008430BD" w:rsidP="008430BD">
      <w:pPr>
        <w:pStyle w:val="Nadpis2"/>
        <w:numPr>
          <w:ilvl w:val="1"/>
          <w:numId w:val="1"/>
        </w:numPr>
        <w:spacing w:before="120"/>
        <w:rPr>
          <w:color w:val="auto"/>
        </w:rPr>
      </w:pPr>
      <w:bookmarkStart w:id="110" w:name="_Toc109801333"/>
      <w:r w:rsidRPr="00A00187">
        <w:rPr>
          <w:color w:val="auto"/>
        </w:rPr>
        <w:lastRenderedPageBreak/>
        <w:t>Civilní agenda</w:t>
      </w:r>
      <w:bookmarkEnd w:id="106"/>
      <w:bookmarkEnd w:id="107"/>
      <w:bookmarkEnd w:id="108"/>
      <w:bookmarkEnd w:id="109"/>
      <w:bookmarkEnd w:id="110"/>
    </w:p>
    <w:p w14:paraId="75975170" w14:textId="4B6C5701" w:rsidR="008C5D8B" w:rsidRPr="00A00187" w:rsidRDefault="008C5D8B" w:rsidP="008C5D8B">
      <w:pPr>
        <w:pStyle w:val="OdstavecASR"/>
      </w:pPr>
      <w:r w:rsidRPr="00A00187">
        <w:t>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w:t>
      </w:r>
      <w:r w:rsidR="003036DE" w:rsidRPr="00A00187">
        <w:t>, proto se</w:t>
      </w:r>
      <w:r w:rsidRPr="00A00187">
        <w:t xml:space="preserve"> </w:t>
      </w:r>
      <w:r w:rsidR="003036DE" w:rsidRPr="00A00187">
        <w:t>t</w:t>
      </w:r>
      <w:r w:rsidRPr="00A00187">
        <w:t xml:space="preserve">ato část Výroční statistické zprávy zaměřuje právě na tuto agendu. Statistiky týkající se vedlejších agend jsou </w:t>
      </w:r>
      <w:r w:rsidR="003036DE" w:rsidRPr="00A00187">
        <w:t xml:space="preserve">pak </w:t>
      </w:r>
      <w:r w:rsidRPr="00A00187">
        <w:t xml:space="preserve">dostupné z jiných zdrojů (např. na internetových stránkách </w:t>
      </w:r>
      <w:proofErr w:type="spellStart"/>
      <w:r w:rsidRPr="00A00187">
        <w:t>InfoData</w:t>
      </w:r>
      <w:proofErr w:type="spellEnd"/>
      <w:r w:rsidRPr="00A00187">
        <w:t xml:space="preserve"> nebo ve statistických ročenkách).</w:t>
      </w:r>
    </w:p>
    <w:p w14:paraId="491C22DC" w14:textId="2C02E1E8" w:rsidR="008C5D8B" w:rsidRPr="00A00187" w:rsidRDefault="008C5D8B" w:rsidP="008C5D8B">
      <w:pPr>
        <w:pStyle w:val="OdstavecASR"/>
      </w:pPr>
      <w:r w:rsidRPr="00A00187">
        <w:t xml:space="preserve">Po úvaze byla data </w:t>
      </w:r>
      <w:r w:rsidR="003036DE" w:rsidRPr="00A00187">
        <w:t xml:space="preserve">dále </w:t>
      </w:r>
      <w:r w:rsidRPr="00A00187">
        <w:t>očištěna i o rozkazní řízení (</w:t>
      </w:r>
      <w:r w:rsidR="00511671" w:rsidRPr="00A00187">
        <w:t xml:space="preserve">zejména </w:t>
      </w:r>
      <w:r w:rsidR="00726EC3" w:rsidRPr="00A00187">
        <w:t>o</w:t>
      </w:r>
      <w:r w:rsidR="00726EC3">
        <w:t> </w:t>
      </w:r>
      <w:r w:rsidRPr="00A00187">
        <w:t>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rychlejší na vyřízení. Z toho plynou i kratší délky řízení. V letech, kdy jich bylo do statistických listů zaneseno relativně více, pak došlo k poklesu vykazované délky řízení. Rozkaznímu řízení se věnuje další kapitola.</w:t>
      </w:r>
    </w:p>
    <w:p w14:paraId="57721E6C" w14:textId="77777777" w:rsidR="008C5D8B" w:rsidRPr="00A00187" w:rsidRDefault="008C5D8B" w:rsidP="008C5D8B">
      <w:pPr>
        <w:pStyle w:val="OdstavecASR"/>
      </w:pPr>
      <w:r w:rsidRPr="00A00187">
        <w:t xml:space="preserve">Z výše zmíněného důvodu se zde uvedené údaje týkající se průměrné délky řízení liší od údajů z jiných zdrojů (internetové stránky </w:t>
      </w:r>
      <w:proofErr w:type="spellStart"/>
      <w:r w:rsidRPr="00A00187">
        <w:t>InfoData</w:t>
      </w:r>
      <w:proofErr w:type="spellEnd"/>
      <w:r w:rsidRPr="00A00187">
        <w:t xml:space="preserve">, statistické ročenky). Údaje prezentované jak v této zprávě, tak na serveru </w:t>
      </w:r>
      <w:proofErr w:type="spellStart"/>
      <w:r w:rsidRPr="00A00187">
        <w:t>InfoData</w:t>
      </w:r>
      <w:proofErr w:type="spellEnd"/>
      <w:r w:rsidRPr="00A00187">
        <w:t>, jsou správné, ale vycházejí z jiných dat. Zde uvedené délky řízení jsou přirozeně vyšší, protože v nich není zahrnuto rozkazní řízení.</w:t>
      </w:r>
    </w:p>
    <w:p w14:paraId="25A8F877" w14:textId="7A2FBE36" w:rsidR="008430BD" w:rsidRPr="00A00187" w:rsidRDefault="008430BD" w:rsidP="008430BD">
      <w:pPr>
        <w:pStyle w:val="Nadpis3"/>
        <w:numPr>
          <w:ilvl w:val="2"/>
          <w:numId w:val="1"/>
        </w:numPr>
        <w:rPr>
          <w:color w:val="auto"/>
        </w:rPr>
      </w:pPr>
      <w:bookmarkStart w:id="111" w:name="_Ref513277229"/>
      <w:bookmarkStart w:id="112" w:name="_Toc517118511"/>
      <w:bookmarkStart w:id="113" w:name="_Toc106092718"/>
      <w:bookmarkStart w:id="114" w:name="_Toc109801334"/>
      <w:r w:rsidRPr="00A00187">
        <w:rPr>
          <w:color w:val="auto"/>
        </w:rPr>
        <w:t>Délka řízení</w:t>
      </w:r>
      <w:bookmarkEnd w:id="111"/>
      <w:bookmarkEnd w:id="112"/>
      <w:bookmarkEnd w:id="113"/>
      <w:bookmarkEnd w:id="114"/>
    </w:p>
    <w:p w14:paraId="391573B9" w14:textId="452F3B9F" w:rsidR="008C5D8B" w:rsidRPr="00A00187" w:rsidRDefault="008C5D8B" w:rsidP="008C5D8B">
      <w:pPr>
        <w:pStyle w:val="OdstavecASR"/>
      </w:pPr>
      <w:r w:rsidRPr="00A00187">
        <w:t xml:space="preserve">Délku řízení zjišťujeme ze statistických listů (SL). Uvádíme ji v kalendářních dnech ode dne nápadu do dne konečného vyřízení věci soudem I. stupně. Je třeba nezapomenout, že do vzorku se započítávají jen ta řízení, která v daném roce skončila, tj. byla vyřízena, nikoliv ta, která stále probíhala. Je proto typickým jevem, že pokud dojde k přetížení soudu, neprojeví se to v průměrné délce řízení okamžitě, protože soud bude mít tendenci přednostně vyřizovat jednodušší věci a složitější věci budou stárnout, </w:t>
      </w:r>
      <w:r w:rsidR="00726EC3" w:rsidRPr="00A00187">
        <w:t>a</w:t>
      </w:r>
      <w:r w:rsidR="00726EC3">
        <w:t> </w:t>
      </w:r>
      <w:r w:rsidRPr="00A00187">
        <w:t xml:space="preserve">protože nebudou vyřízeny, nevstoupí do výpočtu; to se paradoxně stane naopak až ve chvíli, kdy se soudu začne dařit situaci řešit a vyřizovat nahromaděné nedodělky. Prudký nárůst délky řízení u některého soudu může tak často naopak být důkazem odblokování situace (po něm pak následuje v dalších letech neméně prudký pokles). Pro rozlišení takových situací je třeba doplnit pohled o další statistické údaje, zejména trend počtu nevyřízených věcí a tzv. </w:t>
      </w:r>
      <w:proofErr w:type="spellStart"/>
      <w:r w:rsidRPr="00A00187">
        <w:t>disposition</w:t>
      </w:r>
      <w:proofErr w:type="spellEnd"/>
      <w:r w:rsidRPr="00A00187">
        <w:t xml:space="preserve"> </w:t>
      </w:r>
      <w:proofErr w:type="spellStart"/>
      <w:r w:rsidRPr="00A00187">
        <w:t>time</w:t>
      </w:r>
      <w:proofErr w:type="spellEnd"/>
      <w:r w:rsidRPr="00A00187">
        <w:t xml:space="preserve"> (viz dále).</w:t>
      </w:r>
    </w:p>
    <w:p w14:paraId="58F99B3D" w14:textId="002CCE50" w:rsidR="00CB570A" w:rsidRDefault="005616EA" w:rsidP="005616EA">
      <w:pPr>
        <w:pStyle w:val="OdstavecASR"/>
      </w:pPr>
      <w:r w:rsidRPr="00A00187">
        <w:t>Graf 6 sleduje změny v průměru (jedná se o nejběžněji uváděný údaj), mediánu (není ovlivněn extrémy a v tomto případě tak má lepší vypovídající hodnotu) a percentilu 90 (ukazuje, jak dlouho soudům trvá vyřízení 10 % nejdelších věcí). Na rozdíl od neočištěných dat nevykazují očištěná data v letech 2009–2011 výrazný, ale pouze velmi mírný</w:t>
      </w:r>
      <w:r w:rsidR="00E211EC" w:rsidRPr="00A00187">
        <w:t>,</w:t>
      </w:r>
      <w:r w:rsidRPr="00A00187">
        <w:t xml:space="preserve"> pokles délky řízení. </w:t>
      </w:r>
      <w:r w:rsidR="009C1790" w:rsidRPr="00A00187">
        <w:t>N</w:t>
      </w:r>
      <w:r w:rsidRPr="00A00187">
        <w:t xml:space="preserve">árůst délek řízení </w:t>
      </w:r>
      <w:r w:rsidR="009C1790" w:rsidRPr="00A00187">
        <w:t xml:space="preserve">je však patrný </w:t>
      </w:r>
      <w:r w:rsidRPr="00A00187">
        <w:t>v letech 2012 a</w:t>
      </w:r>
      <w:r w:rsidR="00BC6D1B" w:rsidRPr="00A00187">
        <w:t>ž</w:t>
      </w:r>
      <w:r w:rsidRPr="00A00187">
        <w:t> 201</w:t>
      </w:r>
      <w:r w:rsidR="00BC6D1B" w:rsidRPr="00A00187">
        <w:t>4</w:t>
      </w:r>
      <w:r w:rsidRPr="00A00187">
        <w:t xml:space="preserve">. </w:t>
      </w:r>
      <w:r w:rsidR="00E211EC" w:rsidRPr="00A00187">
        <w:t xml:space="preserve">Ze shromážděných dat pak vyplývá, že naopak v letech </w:t>
      </w:r>
      <w:r w:rsidR="00BC6D1B" w:rsidRPr="00A00187">
        <w:t>2015–2019</w:t>
      </w:r>
      <w:r w:rsidR="00E211EC" w:rsidRPr="00A00187">
        <w:t xml:space="preserve"> došlo ke zřejmému klesajícímu trendu v délce řízení, když tento zpomaloval zejména v posledních dvou letech daného období.</w:t>
      </w:r>
      <w:r w:rsidRPr="00A00187">
        <w:t xml:space="preserve"> V roce 2018 klesl medián již jen o 5 dnů a průměr o 22 dnů a v roce 2019 poklesl medián o 6 dnů a průměr o 13 dnů. Pokles 90. percentilu se také značně zpomalil, je ale stále velmi výrazný. Je tedy zřejmé, že řízení se zrychlilo především u nejdéle trvajících sporů. Pokud porovnáme rok 2014 a rok 2019, pokles v délkách řízení je opravdu signifikantní – medián klesl o 37 %, průměr o 39 % a percentil 90 o 56 %. Tvrzení, že se situace v této agendě zlepšovala, </w:t>
      </w:r>
      <w:r w:rsidRPr="00A00187">
        <w:lastRenderedPageBreak/>
        <w:t xml:space="preserve">potvrzují také snižující se počty nevyřízených věcí (graf 10). V roce 2020 </w:t>
      </w:r>
      <w:r w:rsidR="00E302C6" w:rsidRPr="00A00187">
        <w:t>však</w:t>
      </w:r>
      <w:r w:rsidRPr="00A00187">
        <w:t xml:space="preserve"> došlo po 6 letech </w:t>
      </w:r>
      <w:r w:rsidR="00E211EC" w:rsidRPr="00A00187">
        <w:t xml:space="preserve">opět </w:t>
      </w:r>
      <w:r w:rsidRPr="00A00187">
        <w:t>k nárůstu v délkách řízení</w:t>
      </w:r>
      <w:r w:rsidR="00E302C6" w:rsidRPr="00A00187">
        <w:t>, nicméně se</w:t>
      </w:r>
      <w:r w:rsidRPr="00A00187">
        <w:t xml:space="preserve"> </w:t>
      </w:r>
      <w:r w:rsidR="00E302C6" w:rsidRPr="00A00187">
        <w:t>j</w:t>
      </w:r>
      <w:r w:rsidRPr="00A00187">
        <w:t>ednalo o </w:t>
      </w:r>
      <w:r w:rsidR="005C0724" w:rsidRPr="00A00187">
        <w:t xml:space="preserve">nárůst </w:t>
      </w:r>
      <w:r w:rsidRPr="00A00187">
        <w:t xml:space="preserve">poměrně malý (průměr </w:t>
      </w:r>
      <w:r w:rsidR="0058665E" w:rsidRPr="00A00187">
        <w:t>+18</w:t>
      </w:r>
      <w:r w:rsidRPr="00A00187">
        <w:t xml:space="preserve"> dnů, medián </w:t>
      </w:r>
      <w:r w:rsidR="0058665E" w:rsidRPr="00A00187">
        <w:t>+2</w:t>
      </w:r>
      <w:r w:rsidRPr="00A00187">
        <w:t> dny, percentil 90</w:t>
      </w:r>
      <w:r w:rsidR="00103628" w:rsidRPr="00A00187">
        <w:t xml:space="preserve"> </w:t>
      </w:r>
      <w:r w:rsidR="0058665E" w:rsidRPr="00A00187">
        <w:t xml:space="preserve">+31 </w:t>
      </w:r>
      <w:r w:rsidRPr="00A00187">
        <w:t>dnů)</w:t>
      </w:r>
      <w:r w:rsidR="005C0724" w:rsidRPr="00A00187">
        <w:t xml:space="preserve"> </w:t>
      </w:r>
      <w:r w:rsidR="00726EC3" w:rsidRPr="00A00187">
        <w:t>a</w:t>
      </w:r>
      <w:r w:rsidR="00726EC3">
        <w:t> </w:t>
      </w:r>
      <w:r w:rsidR="00E211EC" w:rsidRPr="00A00187">
        <w:t>v</w:t>
      </w:r>
      <w:r w:rsidRPr="00A00187">
        <w:t xml:space="preserve"> roce 2021 </w:t>
      </w:r>
      <w:r w:rsidR="005C0724" w:rsidRPr="00A00187">
        <w:t xml:space="preserve">můžeme již znovu sledovat trend v délce řízení mírně klesající </w:t>
      </w:r>
      <w:r w:rsidR="00103628" w:rsidRPr="00A00187">
        <w:t xml:space="preserve">(průměr </w:t>
      </w:r>
      <w:r w:rsidR="0058665E" w:rsidRPr="00A00187">
        <w:t>-10</w:t>
      </w:r>
      <w:r w:rsidR="00103628" w:rsidRPr="00A00187">
        <w:t xml:space="preserve"> dnů, medián </w:t>
      </w:r>
      <w:r w:rsidR="0058665E" w:rsidRPr="00A00187">
        <w:t>-3 </w:t>
      </w:r>
      <w:r w:rsidR="00103628" w:rsidRPr="00A00187">
        <w:t xml:space="preserve">dny, percentil </w:t>
      </w:r>
      <w:proofErr w:type="gramStart"/>
      <w:r w:rsidR="00103628" w:rsidRPr="00A00187">
        <w:t xml:space="preserve">90 </w:t>
      </w:r>
      <w:r w:rsidR="0058665E" w:rsidRPr="00A00187">
        <w:t>-24</w:t>
      </w:r>
      <w:proofErr w:type="gramEnd"/>
      <w:r w:rsidR="0058665E" w:rsidRPr="00A00187">
        <w:t> </w:t>
      </w:r>
      <w:r w:rsidR="00103628" w:rsidRPr="00A00187">
        <w:t>dnů)</w:t>
      </w:r>
      <w:r w:rsidR="007F17AB" w:rsidRPr="00A00187">
        <w:t>.</w:t>
      </w:r>
      <w:r w:rsidRPr="00A00187">
        <w:t xml:space="preserve"> Mohlo by se tedy zdát, že soudy vyčerpaly své možnosti zlepšování a délky řízení a situace u soudů se nyní nachází v jakémsi dlouhodobém rovnovážném stavu. To ale bude třeba ověřit na dalších datech. Také je třeba poznamenat, že délky </w:t>
      </w:r>
      <w:r w:rsidR="008223E0" w:rsidRPr="00A00187">
        <w:t xml:space="preserve">byly zejména v roce 2020, ale možná </w:t>
      </w:r>
      <w:r w:rsidR="00726EC3" w:rsidRPr="00A00187">
        <w:t>i</w:t>
      </w:r>
      <w:r w:rsidR="00726EC3">
        <w:t> </w:t>
      </w:r>
      <w:r w:rsidR="00726EC3" w:rsidRPr="00A00187">
        <w:t>v</w:t>
      </w:r>
      <w:r w:rsidR="00726EC3">
        <w:t> </w:t>
      </w:r>
      <w:r w:rsidR="008223E0" w:rsidRPr="00A00187">
        <w:t xml:space="preserve">roce 2021 velmi pravděpodobně poznamenány </w:t>
      </w:r>
      <w:r w:rsidRPr="00A00187">
        <w:t>pandemií nemoci COVID</w:t>
      </w:r>
      <w:r w:rsidRPr="00A00187">
        <w:noBreakHyphen/>
        <w:t>19.</w:t>
      </w:r>
    </w:p>
    <w:p w14:paraId="2EF03D36" w14:textId="192405D6" w:rsidR="005616EA" w:rsidRPr="00A00187" w:rsidRDefault="005616EA" w:rsidP="005616EA">
      <w:pPr>
        <w:pStyle w:val="Podnadpis"/>
        <w:rPr>
          <w:color w:val="auto"/>
        </w:rPr>
      </w:pPr>
      <w:bookmarkStart w:id="115" w:name="_Toc106106640"/>
      <w:bookmarkStart w:id="116" w:name="_Toc109801964"/>
      <w:r w:rsidRPr="00A00187">
        <w:rPr>
          <w:color w:val="auto"/>
        </w:rPr>
        <w:t xml:space="preserve">Graf </w:t>
      </w:r>
      <w:r w:rsidRPr="00A00187">
        <w:rPr>
          <w:color w:val="auto"/>
        </w:rPr>
        <w:fldChar w:fldCharType="begin"/>
      </w:r>
      <w:r w:rsidRPr="00A00187">
        <w:rPr>
          <w:noProof/>
          <w:color w:val="auto"/>
        </w:rPr>
        <w:instrText xml:space="preserve"> SEQ Graf \* ARABIC </w:instrText>
      </w:r>
      <w:r w:rsidRPr="00A00187">
        <w:rPr>
          <w:color w:val="auto"/>
        </w:rPr>
        <w:fldChar w:fldCharType="separate"/>
      </w:r>
      <w:r w:rsidR="00DE6B5E">
        <w:rPr>
          <w:noProof/>
          <w:color w:val="auto"/>
        </w:rPr>
        <w:t>6</w:t>
      </w:r>
      <w:r w:rsidRPr="00A00187">
        <w:rPr>
          <w:color w:val="auto"/>
        </w:rPr>
        <w:fldChar w:fldCharType="end"/>
      </w:r>
      <w:r w:rsidRPr="00A00187">
        <w:rPr>
          <w:color w:val="auto"/>
        </w:rPr>
        <w:t>: OS – délka civilního řízení v letech 2008–2021</w:t>
      </w:r>
      <w:bookmarkEnd w:id="115"/>
      <w:bookmarkEnd w:id="116"/>
    </w:p>
    <w:p w14:paraId="13D8B4B3" w14:textId="1698A21C" w:rsidR="0045091D" w:rsidRPr="00A00187" w:rsidRDefault="0045091D" w:rsidP="008C5D8B">
      <w:r w:rsidRPr="00A00187">
        <w:rPr>
          <w:noProof/>
        </w:rPr>
        <w:drawing>
          <wp:inline distT="0" distB="0" distL="0" distR="0" wp14:anchorId="6D684E20" wp14:editId="3CF6D1C5">
            <wp:extent cx="5029200" cy="36576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88FB6F5" w14:textId="3C6ABAFB" w:rsidR="007F17AB" w:rsidRPr="00A00187" w:rsidRDefault="007F17AB" w:rsidP="008C5D8B"/>
    <w:p w14:paraId="1E3AE9D0" w14:textId="5EAD7FF8" w:rsidR="007F17AB" w:rsidRPr="00A00187" w:rsidRDefault="007F17AB" w:rsidP="007F17AB">
      <w:pPr>
        <w:pStyle w:val="Podnadpis"/>
        <w:rPr>
          <w:color w:val="auto"/>
        </w:rPr>
      </w:pPr>
      <w:bookmarkStart w:id="117" w:name="_Toc11133209"/>
      <w:bookmarkStart w:id="118" w:name="_Toc43931182"/>
      <w:bookmarkStart w:id="119" w:name="_Toc75952312"/>
      <w:bookmarkStart w:id="120" w:name="_Toc106106771"/>
      <w:bookmarkStart w:id="121" w:name="_Toc109802094"/>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9</w:t>
      </w:r>
      <w:r w:rsidRPr="00A00187">
        <w:rPr>
          <w:noProof/>
          <w:color w:val="auto"/>
        </w:rPr>
        <w:fldChar w:fldCharType="end"/>
      </w:r>
      <w:r w:rsidRPr="00A00187">
        <w:rPr>
          <w:color w:val="auto"/>
        </w:rPr>
        <w:t xml:space="preserve">: </w:t>
      </w:r>
      <w:bookmarkStart w:id="122" w:name="_Ref509210728"/>
      <w:r w:rsidRPr="00A00187">
        <w:rPr>
          <w:color w:val="auto"/>
        </w:rPr>
        <w:t>OS – délky civilního řízení dle krajů</w:t>
      </w:r>
      <w:bookmarkEnd w:id="117"/>
      <w:bookmarkEnd w:id="118"/>
      <w:bookmarkEnd w:id="119"/>
      <w:bookmarkEnd w:id="120"/>
      <w:bookmarkEnd w:id="122"/>
      <w:bookmarkEnd w:id="121"/>
    </w:p>
    <w:tbl>
      <w:tblPr>
        <w:tblW w:w="7552" w:type="dxa"/>
        <w:tblCellMar>
          <w:left w:w="70" w:type="dxa"/>
          <w:right w:w="70" w:type="dxa"/>
        </w:tblCellMar>
        <w:tblLook w:val="04A0" w:firstRow="1" w:lastRow="0" w:firstColumn="1" w:lastColumn="0" w:noHBand="0" w:noVBand="1"/>
      </w:tblPr>
      <w:tblGrid>
        <w:gridCol w:w="2496"/>
        <w:gridCol w:w="691"/>
        <w:gridCol w:w="959"/>
        <w:gridCol w:w="700"/>
        <w:gridCol w:w="912"/>
        <w:gridCol w:w="700"/>
        <w:gridCol w:w="1094"/>
      </w:tblGrid>
      <w:tr w:rsidR="00AC1E67" w:rsidRPr="00A00187" w14:paraId="64897217" w14:textId="77777777" w:rsidTr="0011486F">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34F29C9B"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5056" w:type="dxa"/>
            <w:gridSpan w:val="6"/>
            <w:tcBorders>
              <w:top w:val="double" w:sz="6" w:space="0" w:color="auto"/>
              <w:left w:val="nil"/>
              <w:bottom w:val="nil"/>
              <w:right w:val="nil"/>
            </w:tcBorders>
            <w:shd w:val="clear" w:color="auto" w:fill="auto"/>
            <w:noWrap/>
            <w:vAlign w:val="center"/>
            <w:hideMark/>
          </w:tcPr>
          <w:p w14:paraId="5A6EB7AE"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4457DA81" w14:textId="77777777" w:rsidTr="0011486F">
        <w:trPr>
          <w:trHeight w:val="330"/>
        </w:trPr>
        <w:tc>
          <w:tcPr>
            <w:tcW w:w="2496" w:type="dxa"/>
            <w:vMerge/>
            <w:tcBorders>
              <w:top w:val="double" w:sz="6" w:space="0" w:color="auto"/>
              <w:left w:val="nil"/>
              <w:bottom w:val="double" w:sz="6" w:space="0" w:color="000000"/>
              <w:right w:val="nil"/>
            </w:tcBorders>
            <w:vAlign w:val="center"/>
            <w:hideMark/>
          </w:tcPr>
          <w:p w14:paraId="07EABB12" w14:textId="77777777" w:rsidR="0011486F" w:rsidRPr="00A00187" w:rsidRDefault="0011486F" w:rsidP="0011486F">
            <w:pPr>
              <w:spacing w:line="240" w:lineRule="auto"/>
              <w:jc w:val="left"/>
              <w:rPr>
                <w:rFonts w:eastAsia="Times New Roman"/>
                <w:b/>
                <w:bCs/>
                <w:szCs w:val="24"/>
                <w:lang w:eastAsia="cs-CZ"/>
              </w:rPr>
            </w:pPr>
          </w:p>
        </w:tc>
        <w:tc>
          <w:tcPr>
            <w:tcW w:w="1650" w:type="dxa"/>
            <w:gridSpan w:val="2"/>
            <w:tcBorders>
              <w:top w:val="nil"/>
              <w:left w:val="nil"/>
              <w:bottom w:val="double" w:sz="6" w:space="0" w:color="auto"/>
              <w:right w:val="nil"/>
            </w:tcBorders>
            <w:shd w:val="clear" w:color="auto" w:fill="auto"/>
            <w:noWrap/>
            <w:vAlign w:val="center"/>
            <w:hideMark/>
          </w:tcPr>
          <w:p w14:paraId="5317456E"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161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ECF6706"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1794" w:type="dxa"/>
            <w:gridSpan w:val="2"/>
            <w:tcBorders>
              <w:top w:val="nil"/>
              <w:left w:val="nil"/>
              <w:bottom w:val="double" w:sz="6" w:space="0" w:color="auto"/>
              <w:right w:val="nil"/>
            </w:tcBorders>
            <w:shd w:val="clear" w:color="auto" w:fill="auto"/>
            <w:noWrap/>
            <w:vAlign w:val="center"/>
            <w:hideMark/>
          </w:tcPr>
          <w:p w14:paraId="35B037C2"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19679CC1" w14:textId="77777777" w:rsidTr="0011486F">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79665636"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MS Praha</w:t>
            </w:r>
          </w:p>
        </w:tc>
        <w:tc>
          <w:tcPr>
            <w:tcW w:w="691" w:type="dxa"/>
            <w:tcBorders>
              <w:top w:val="single" w:sz="4" w:space="0" w:color="auto"/>
              <w:left w:val="nil"/>
              <w:bottom w:val="single" w:sz="4" w:space="0" w:color="auto"/>
              <w:right w:val="nil"/>
            </w:tcBorders>
            <w:shd w:val="clear" w:color="auto" w:fill="auto"/>
            <w:noWrap/>
            <w:vAlign w:val="bottom"/>
            <w:hideMark/>
          </w:tcPr>
          <w:p w14:paraId="66063D2B"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321</w:t>
            </w:r>
          </w:p>
        </w:tc>
        <w:tc>
          <w:tcPr>
            <w:tcW w:w="959" w:type="dxa"/>
            <w:tcBorders>
              <w:top w:val="single" w:sz="4" w:space="0" w:color="auto"/>
              <w:left w:val="nil"/>
              <w:bottom w:val="single" w:sz="4" w:space="0" w:color="auto"/>
              <w:right w:val="nil"/>
            </w:tcBorders>
            <w:shd w:val="clear" w:color="auto" w:fill="auto"/>
            <w:noWrap/>
            <w:vAlign w:val="center"/>
            <w:hideMark/>
          </w:tcPr>
          <w:p w14:paraId="186575A9" w14:textId="7F361441"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+8 %</w:t>
            </w:r>
          </w:p>
        </w:tc>
        <w:tc>
          <w:tcPr>
            <w:tcW w:w="700" w:type="dxa"/>
            <w:tcBorders>
              <w:top w:val="nil"/>
              <w:left w:val="single" w:sz="4" w:space="0" w:color="auto"/>
              <w:bottom w:val="single" w:sz="4" w:space="0" w:color="auto"/>
              <w:right w:val="nil"/>
            </w:tcBorders>
            <w:shd w:val="clear" w:color="auto" w:fill="auto"/>
            <w:noWrap/>
            <w:vAlign w:val="bottom"/>
            <w:hideMark/>
          </w:tcPr>
          <w:p w14:paraId="075FA279"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174</w:t>
            </w:r>
          </w:p>
        </w:tc>
        <w:tc>
          <w:tcPr>
            <w:tcW w:w="912" w:type="dxa"/>
            <w:tcBorders>
              <w:top w:val="nil"/>
              <w:left w:val="nil"/>
              <w:bottom w:val="single" w:sz="4" w:space="0" w:color="auto"/>
              <w:right w:val="single" w:sz="4" w:space="0" w:color="auto"/>
            </w:tcBorders>
            <w:shd w:val="clear" w:color="auto" w:fill="auto"/>
            <w:noWrap/>
            <w:vAlign w:val="center"/>
            <w:hideMark/>
          </w:tcPr>
          <w:p w14:paraId="7AE8B9C5" w14:textId="58B40C01"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-4 %</w:t>
            </w:r>
          </w:p>
        </w:tc>
        <w:tc>
          <w:tcPr>
            <w:tcW w:w="700" w:type="dxa"/>
            <w:tcBorders>
              <w:top w:val="single" w:sz="4" w:space="0" w:color="auto"/>
              <w:left w:val="nil"/>
              <w:bottom w:val="single" w:sz="4" w:space="0" w:color="auto"/>
              <w:right w:val="nil"/>
            </w:tcBorders>
            <w:shd w:val="clear" w:color="auto" w:fill="auto"/>
            <w:noWrap/>
            <w:vAlign w:val="bottom"/>
            <w:hideMark/>
          </w:tcPr>
          <w:p w14:paraId="4D2BB526"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649</w:t>
            </w:r>
          </w:p>
        </w:tc>
        <w:tc>
          <w:tcPr>
            <w:tcW w:w="1094" w:type="dxa"/>
            <w:tcBorders>
              <w:top w:val="single" w:sz="4" w:space="0" w:color="auto"/>
              <w:left w:val="nil"/>
              <w:bottom w:val="single" w:sz="4" w:space="0" w:color="auto"/>
              <w:right w:val="nil"/>
            </w:tcBorders>
            <w:shd w:val="clear" w:color="auto" w:fill="auto"/>
            <w:noWrap/>
            <w:vAlign w:val="center"/>
            <w:hideMark/>
          </w:tcPr>
          <w:p w14:paraId="20D152F1" w14:textId="0E3D6F16"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+23 %</w:t>
            </w:r>
          </w:p>
        </w:tc>
      </w:tr>
      <w:tr w:rsidR="00AC1E67" w:rsidRPr="00A00187" w14:paraId="4869A88C" w14:textId="77777777" w:rsidTr="0011486F">
        <w:trPr>
          <w:trHeight w:val="315"/>
        </w:trPr>
        <w:tc>
          <w:tcPr>
            <w:tcW w:w="2496" w:type="dxa"/>
            <w:tcBorders>
              <w:top w:val="nil"/>
              <w:left w:val="nil"/>
              <w:bottom w:val="single" w:sz="4" w:space="0" w:color="auto"/>
              <w:right w:val="nil"/>
            </w:tcBorders>
            <w:shd w:val="clear" w:color="auto" w:fill="auto"/>
            <w:noWrap/>
            <w:vAlign w:val="bottom"/>
            <w:hideMark/>
          </w:tcPr>
          <w:p w14:paraId="36F54A3E"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KS Praha</w:t>
            </w:r>
          </w:p>
        </w:tc>
        <w:tc>
          <w:tcPr>
            <w:tcW w:w="691" w:type="dxa"/>
            <w:tcBorders>
              <w:top w:val="nil"/>
              <w:left w:val="nil"/>
              <w:bottom w:val="single" w:sz="4" w:space="0" w:color="auto"/>
              <w:right w:val="nil"/>
            </w:tcBorders>
            <w:shd w:val="clear" w:color="auto" w:fill="auto"/>
            <w:noWrap/>
            <w:vAlign w:val="bottom"/>
            <w:hideMark/>
          </w:tcPr>
          <w:p w14:paraId="7B2DF3DA"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198</w:t>
            </w:r>
          </w:p>
        </w:tc>
        <w:tc>
          <w:tcPr>
            <w:tcW w:w="959" w:type="dxa"/>
            <w:tcBorders>
              <w:top w:val="nil"/>
              <w:left w:val="nil"/>
              <w:bottom w:val="single" w:sz="4" w:space="0" w:color="auto"/>
              <w:right w:val="nil"/>
            </w:tcBorders>
            <w:shd w:val="clear" w:color="auto" w:fill="auto"/>
            <w:noWrap/>
            <w:vAlign w:val="center"/>
            <w:hideMark/>
          </w:tcPr>
          <w:p w14:paraId="2CF0EF67" w14:textId="65DB67F8"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-2 %</w:t>
            </w:r>
          </w:p>
        </w:tc>
        <w:tc>
          <w:tcPr>
            <w:tcW w:w="700" w:type="dxa"/>
            <w:tcBorders>
              <w:top w:val="nil"/>
              <w:left w:val="single" w:sz="4" w:space="0" w:color="auto"/>
              <w:bottom w:val="single" w:sz="4" w:space="0" w:color="auto"/>
              <w:right w:val="nil"/>
            </w:tcBorders>
            <w:shd w:val="clear" w:color="auto" w:fill="auto"/>
            <w:noWrap/>
            <w:vAlign w:val="bottom"/>
            <w:hideMark/>
          </w:tcPr>
          <w:p w14:paraId="321D09FA"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133</w:t>
            </w:r>
          </w:p>
        </w:tc>
        <w:tc>
          <w:tcPr>
            <w:tcW w:w="912" w:type="dxa"/>
            <w:tcBorders>
              <w:top w:val="nil"/>
              <w:left w:val="nil"/>
              <w:bottom w:val="single" w:sz="4" w:space="0" w:color="auto"/>
              <w:right w:val="single" w:sz="4" w:space="0" w:color="auto"/>
            </w:tcBorders>
            <w:shd w:val="clear" w:color="auto" w:fill="auto"/>
            <w:noWrap/>
            <w:vAlign w:val="center"/>
            <w:hideMark/>
          </w:tcPr>
          <w:p w14:paraId="1F148135" w14:textId="2D309227"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-1 %</w:t>
            </w:r>
          </w:p>
        </w:tc>
        <w:tc>
          <w:tcPr>
            <w:tcW w:w="700" w:type="dxa"/>
            <w:tcBorders>
              <w:top w:val="nil"/>
              <w:left w:val="nil"/>
              <w:bottom w:val="single" w:sz="4" w:space="0" w:color="auto"/>
              <w:right w:val="nil"/>
            </w:tcBorders>
            <w:shd w:val="clear" w:color="auto" w:fill="auto"/>
            <w:noWrap/>
            <w:vAlign w:val="bottom"/>
            <w:hideMark/>
          </w:tcPr>
          <w:p w14:paraId="70AD895F"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319</w:t>
            </w:r>
          </w:p>
        </w:tc>
        <w:tc>
          <w:tcPr>
            <w:tcW w:w="1094" w:type="dxa"/>
            <w:tcBorders>
              <w:top w:val="nil"/>
              <w:left w:val="nil"/>
              <w:bottom w:val="single" w:sz="4" w:space="0" w:color="auto"/>
              <w:right w:val="nil"/>
            </w:tcBorders>
            <w:shd w:val="clear" w:color="auto" w:fill="auto"/>
            <w:noWrap/>
            <w:vAlign w:val="center"/>
            <w:hideMark/>
          </w:tcPr>
          <w:p w14:paraId="4C7BE76A" w14:textId="3B639BB7"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-3 %</w:t>
            </w:r>
          </w:p>
        </w:tc>
      </w:tr>
      <w:tr w:rsidR="00AC1E67" w:rsidRPr="00A00187" w14:paraId="186F782A" w14:textId="77777777" w:rsidTr="0011486F">
        <w:trPr>
          <w:trHeight w:val="315"/>
        </w:trPr>
        <w:tc>
          <w:tcPr>
            <w:tcW w:w="2496" w:type="dxa"/>
            <w:tcBorders>
              <w:top w:val="nil"/>
              <w:left w:val="nil"/>
              <w:bottom w:val="single" w:sz="4" w:space="0" w:color="auto"/>
              <w:right w:val="nil"/>
            </w:tcBorders>
            <w:shd w:val="clear" w:color="auto" w:fill="auto"/>
            <w:noWrap/>
            <w:vAlign w:val="bottom"/>
            <w:hideMark/>
          </w:tcPr>
          <w:p w14:paraId="1873D0F0"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KS Č. Budějovice</w:t>
            </w:r>
          </w:p>
        </w:tc>
        <w:tc>
          <w:tcPr>
            <w:tcW w:w="691" w:type="dxa"/>
            <w:tcBorders>
              <w:top w:val="nil"/>
              <w:left w:val="nil"/>
              <w:bottom w:val="single" w:sz="4" w:space="0" w:color="auto"/>
              <w:right w:val="nil"/>
            </w:tcBorders>
            <w:shd w:val="clear" w:color="auto" w:fill="auto"/>
            <w:noWrap/>
            <w:vAlign w:val="bottom"/>
            <w:hideMark/>
          </w:tcPr>
          <w:p w14:paraId="2E234501"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182</w:t>
            </w:r>
          </w:p>
        </w:tc>
        <w:tc>
          <w:tcPr>
            <w:tcW w:w="959" w:type="dxa"/>
            <w:tcBorders>
              <w:top w:val="nil"/>
              <w:left w:val="nil"/>
              <w:bottom w:val="single" w:sz="4" w:space="0" w:color="auto"/>
              <w:right w:val="nil"/>
            </w:tcBorders>
            <w:shd w:val="clear" w:color="auto" w:fill="auto"/>
            <w:noWrap/>
            <w:vAlign w:val="center"/>
            <w:hideMark/>
          </w:tcPr>
          <w:p w14:paraId="1A1B0B96" w14:textId="77598223"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-3 %</w:t>
            </w:r>
          </w:p>
        </w:tc>
        <w:tc>
          <w:tcPr>
            <w:tcW w:w="700" w:type="dxa"/>
            <w:tcBorders>
              <w:top w:val="nil"/>
              <w:left w:val="single" w:sz="4" w:space="0" w:color="auto"/>
              <w:bottom w:val="single" w:sz="4" w:space="0" w:color="auto"/>
              <w:right w:val="nil"/>
            </w:tcBorders>
            <w:shd w:val="clear" w:color="auto" w:fill="auto"/>
            <w:noWrap/>
            <w:vAlign w:val="bottom"/>
            <w:hideMark/>
          </w:tcPr>
          <w:p w14:paraId="1A983344"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132</w:t>
            </w:r>
          </w:p>
        </w:tc>
        <w:tc>
          <w:tcPr>
            <w:tcW w:w="912" w:type="dxa"/>
            <w:tcBorders>
              <w:top w:val="nil"/>
              <w:left w:val="nil"/>
              <w:bottom w:val="single" w:sz="4" w:space="0" w:color="auto"/>
              <w:right w:val="single" w:sz="4" w:space="0" w:color="auto"/>
            </w:tcBorders>
            <w:shd w:val="clear" w:color="auto" w:fill="auto"/>
            <w:noWrap/>
            <w:vAlign w:val="center"/>
            <w:hideMark/>
          </w:tcPr>
          <w:p w14:paraId="5BF36CE7" w14:textId="3FE25D92"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+6 %</w:t>
            </w:r>
          </w:p>
        </w:tc>
        <w:tc>
          <w:tcPr>
            <w:tcW w:w="700" w:type="dxa"/>
            <w:tcBorders>
              <w:top w:val="nil"/>
              <w:left w:val="nil"/>
              <w:bottom w:val="single" w:sz="4" w:space="0" w:color="auto"/>
              <w:right w:val="nil"/>
            </w:tcBorders>
            <w:shd w:val="clear" w:color="auto" w:fill="auto"/>
            <w:noWrap/>
            <w:vAlign w:val="bottom"/>
            <w:hideMark/>
          </w:tcPr>
          <w:p w14:paraId="24A5B269"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268</w:t>
            </w:r>
          </w:p>
        </w:tc>
        <w:tc>
          <w:tcPr>
            <w:tcW w:w="1094" w:type="dxa"/>
            <w:tcBorders>
              <w:top w:val="nil"/>
              <w:left w:val="nil"/>
              <w:bottom w:val="single" w:sz="4" w:space="0" w:color="auto"/>
              <w:right w:val="nil"/>
            </w:tcBorders>
            <w:shd w:val="clear" w:color="auto" w:fill="auto"/>
            <w:noWrap/>
            <w:vAlign w:val="center"/>
            <w:hideMark/>
          </w:tcPr>
          <w:p w14:paraId="03BA2D7B" w14:textId="6A2C7065"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-3 %</w:t>
            </w:r>
          </w:p>
        </w:tc>
      </w:tr>
      <w:tr w:rsidR="00AC1E67" w:rsidRPr="00A00187" w14:paraId="55CEE94C" w14:textId="77777777" w:rsidTr="0011486F">
        <w:trPr>
          <w:trHeight w:val="315"/>
        </w:trPr>
        <w:tc>
          <w:tcPr>
            <w:tcW w:w="2496" w:type="dxa"/>
            <w:tcBorders>
              <w:top w:val="nil"/>
              <w:left w:val="nil"/>
              <w:bottom w:val="single" w:sz="4" w:space="0" w:color="auto"/>
              <w:right w:val="nil"/>
            </w:tcBorders>
            <w:shd w:val="clear" w:color="auto" w:fill="auto"/>
            <w:noWrap/>
            <w:vAlign w:val="bottom"/>
            <w:hideMark/>
          </w:tcPr>
          <w:p w14:paraId="0761AABE"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KS Plzeň</w:t>
            </w:r>
          </w:p>
        </w:tc>
        <w:tc>
          <w:tcPr>
            <w:tcW w:w="691" w:type="dxa"/>
            <w:tcBorders>
              <w:top w:val="nil"/>
              <w:left w:val="nil"/>
              <w:bottom w:val="single" w:sz="4" w:space="0" w:color="auto"/>
              <w:right w:val="nil"/>
            </w:tcBorders>
            <w:shd w:val="clear" w:color="auto" w:fill="auto"/>
            <w:noWrap/>
            <w:vAlign w:val="bottom"/>
            <w:hideMark/>
          </w:tcPr>
          <w:p w14:paraId="48DFF970"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195</w:t>
            </w:r>
          </w:p>
        </w:tc>
        <w:tc>
          <w:tcPr>
            <w:tcW w:w="959" w:type="dxa"/>
            <w:tcBorders>
              <w:top w:val="nil"/>
              <w:left w:val="nil"/>
              <w:bottom w:val="single" w:sz="4" w:space="0" w:color="auto"/>
              <w:right w:val="nil"/>
            </w:tcBorders>
            <w:shd w:val="clear" w:color="auto" w:fill="auto"/>
            <w:noWrap/>
            <w:vAlign w:val="center"/>
            <w:hideMark/>
          </w:tcPr>
          <w:p w14:paraId="5371234A" w14:textId="45E0C209"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-2 %</w:t>
            </w:r>
          </w:p>
        </w:tc>
        <w:tc>
          <w:tcPr>
            <w:tcW w:w="700" w:type="dxa"/>
            <w:tcBorders>
              <w:top w:val="nil"/>
              <w:left w:val="single" w:sz="4" w:space="0" w:color="auto"/>
              <w:bottom w:val="single" w:sz="4" w:space="0" w:color="auto"/>
              <w:right w:val="nil"/>
            </w:tcBorders>
            <w:shd w:val="clear" w:color="auto" w:fill="auto"/>
            <w:noWrap/>
            <w:vAlign w:val="bottom"/>
            <w:hideMark/>
          </w:tcPr>
          <w:p w14:paraId="3663B369"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134</w:t>
            </w:r>
          </w:p>
        </w:tc>
        <w:tc>
          <w:tcPr>
            <w:tcW w:w="912" w:type="dxa"/>
            <w:tcBorders>
              <w:top w:val="nil"/>
              <w:left w:val="nil"/>
              <w:bottom w:val="single" w:sz="4" w:space="0" w:color="auto"/>
              <w:right w:val="single" w:sz="4" w:space="0" w:color="auto"/>
            </w:tcBorders>
            <w:shd w:val="clear" w:color="auto" w:fill="auto"/>
            <w:noWrap/>
            <w:vAlign w:val="center"/>
            <w:hideMark/>
          </w:tcPr>
          <w:p w14:paraId="29E6A1B5" w14:textId="5A80A9F6"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+5 %</w:t>
            </w:r>
          </w:p>
        </w:tc>
        <w:tc>
          <w:tcPr>
            <w:tcW w:w="700" w:type="dxa"/>
            <w:tcBorders>
              <w:top w:val="nil"/>
              <w:left w:val="nil"/>
              <w:bottom w:val="single" w:sz="4" w:space="0" w:color="auto"/>
              <w:right w:val="nil"/>
            </w:tcBorders>
            <w:shd w:val="clear" w:color="auto" w:fill="auto"/>
            <w:noWrap/>
            <w:vAlign w:val="bottom"/>
            <w:hideMark/>
          </w:tcPr>
          <w:p w14:paraId="0FD65913"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292</w:t>
            </w:r>
          </w:p>
        </w:tc>
        <w:tc>
          <w:tcPr>
            <w:tcW w:w="1094" w:type="dxa"/>
            <w:tcBorders>
              <w:top w:val="nil"/>
              <w:left w:val="nil"/>
              <w:bottom w:val="single" w:sz="4" w:space="0" w:color="auto"/>
              <w:right w:val="nil"/>
            </w:tcBorders>
            <w:shd w:val="clear" w:color="auto" w:fill="auto"/>
            <w:noWrap/>
            <w:vAlign w:val="center"/>
            <w:hideMark/>
          </w:tcPr>
          <w:p w14:paraId="2D23E9D9" w14:textId="15052247"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-1 %</w:t>
            </w:r>
          </w:p>
        </w:tc>
      </w:tr>
      <w:tr w:rsidR="00AC1E67" w:rsidRPr="00A00187" w14:paraId="73CB7DBD" w14:textId="77777777" w:rsidTr="0011486F">
        <w:trPr>
          <w:trHeight w:val="315"/>
        </w:trPr>
        <w:tc>
          <w:tcPr>
            <w:tcW w:w="2496" w:type="dxa"/>
            <w:tcBorders>
              <w:top w:val="nil"/>
              <w:left w:val="nil"/>
              <w:bottom w:val="single" w:sz="4" w:space="0" w:color="auto"/>
              <w:right w:val="nil"/>
            </w:tcBorders>
            <w:shd w:val="clear" w:color="auto" w:fill="auto"/>
            <w:noWrap/>
            <w:vAlign w:val="bottom"/>
            <w:hideMark/>
          </w:tcPr>
          <w:p w14:paraId="7DD8DCAD"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KS Ústí n. Labem</w:t>
            </w:r>
          </w:p>
        </w:tc>
        <w:tc>
          <w:tcPr>
            <w:tcW w:w="691" w:type="dxa"/>
            <w:tcBorders>
              <w:top w:val="nil"/>
              <w:left w:val="nil"/>
              <w:bottom w:val="single" w:sz="4" w:space="0" w:color="auto"/>
              <w:right w:val="nil"/>
            </w:tcBorders>
            <w:shd w:val="clear" w:color="auto" w:fill="auto"/>
            <w:noWrap/>
            <w:vAlign w:val="bottom"/>
            <w:hideMark/>
          </w:tcPr>
          <w:p w14:paraId="0396D169"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321</w:t>
            </w:r>
          </w:p>
        </w:tc>
        <w:tc>
          <w:tcPr>
            <w:tcW w:w="959" w:type="dxa"/>
            <w:tcBorders>
              <w:top w:val="nil"/>
              <w:left w:val="nil"/>
              <w:bottom w:val="single" w:sz="4" w:space="0" w:color="auto"/>
              <w:right w:val="nil"/>
            </w:tcBorders>
            <w:shd w:val="clear" w:color="auto" w:fill="auto"/>
            <w:noWrap/>
            <w:vAlign w:val="center"/>
            <w:hideMark/>
          </w:tcPr>
          <w:p w14:paraId="4BEC66A9" w14:textId="0100C474"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-13 %</w:t>
            </w:r>
          </w:p>
        </w:tc>
        <w:tc>
          <w:tcPr>
            <w:tcW w:w="700" w:type="dxa"/>
            <w:tcBorders>
              <w:top w:val="nil"/>
              <w:left w:val="single" w:sz="4" w:space="0" w:color="auto"/>
              <w:bottom w:val="single" w:sz="4" w:space="0" w:color="auto"/>
              <w:right w:val="nil"/>
            </w:tcBorders>
            <w:shd w:val="clear" w:color="auto" w:fill="auto"/>
            <w:noWrap/>
            <w:vAlign w:val="bottom"/>
            <w:hideMark/>
          </w:tcPr>
          <w:p w14:paraId="472B401B"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209</w:t>
            </w:r>
          </w:p>
        </w:tc>
        <w:tc>
          <w:tcPr>
            <w:tcW w:w="912" w:type="dxa"/>
            <w:tcBorders>
              <w:top w:val="nil"/>
              <w:left w:val="nil"/>
              <w:bottom w:val="single" w:sz="4" w:space="0" w:color="auto"/>
              <w:right w:val="single" w:sz="4" w:space="0" w:color="auto"/>
            </w:tcBorders>
            <w:shd w:val="clear" w:color="auto" w:fill="auto"/>
            <w:noWrap/>
            <w:vAlign w:val="center"/>
            <w:hideMark/>
          </w:tcPr>
          <w:p w14:paraId="61471610" w14:textId="157D54A2"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-6 %</w:t>
            </w:r>
          </w:p>
        </w:tc>
        <w:tc>
          <w:tcPr>
            <w:tcW w:w="700" w:type="dxa"/>
            <w:tcBorders>
              <w:top w:val="nil"/>
              <w:left w:val="nil"/>
              <w:bottom w:val="single" w:sz="4" w:space="0" w:color="auto"/>
              <w:right w:val="nil"/>
            </w:tcBorders>
            <w:shd w:val="clear" w:color="auto" w:fill="auto"/>
            <w:noWrap/>
            <w:vAlign w:val="bottom"/>
            <w:hideMark/>
          </w:tcPr>
          <w:p w14:paraId="7F263DDF"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461</w:t>
            </w:r>
          </w:p>
        </w:tc>
        <w:tc>
          <w:tcPr>
            <w:tcW w:w="1094" w:type="dxa"/>
            <w:tcBorders>
              <w:top w:val="nil"/>
              <w:left w:val="nil"/>
              <w:bottom w:val="single" w:sz="4" w:space="0" w:color="auto"/>
              <w:right w:val="nil"/>
            </w:tcBorders>
            <w:shd w:val="clear" w:color="auto" w:fill="auto"/>
            <w:noWrap/>
            <w:vAlign w:val="center"/>
            <w:hideMark/>
          </w:tcPr>
          <w:p w14:paraId="7920A0F3" w14:textId="04249111"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-23 %</w:t>
            </w:r>
          </w:p>
        </w:tc>
      </w:tr>
      <w:tr w:rsidR="00AC1E67" w:rsidRPr="00A00187" w14:paraId="201B773B" w14:textId="77777777" w:rsidTr="0011486F">
        <w:trPr>
          <w:trHeight w:val="315"/>
        </w:trPr>
        <w:tc>
          <w:tcPr>
            <w:tcW w:w="2496" w:type="dxa"/>
            <w:tcBorders>
              <w:top w:val="nil"/>
              <w:left w:val="nil"/>
              <w:bottom w:val="single" w:sz="4" w:space="0" w:color="auto"/>
              <w:right w:val="nil"/>
            </w:tcBorders>
            <w:shd w:val="clear" w:color="auto" w:fill="auto"/>
            <w:noWrap/>
            <w:vAlign w:val="bottom"/>
            <w:hideMark/>
          </w:tcPr>
          <w:p w14:paraId="60A3B86A"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KS Hr. Králové</w:t>
            </w:r>
          </w:p>
        </w:tc>
        <w:tc>
          <w:tcPr>
            <w:tcW w:w="691" w:type="dxa"/>
            <w:tcBorders>
              <w:top w:val="nil"/>
              <w:left w:val="nil"/>
              <w:bottom w:val="single" w:sz="4" w:space="0" w:color="auto"/>
              <w:right w:val="nil"/>
            </w:tcBorders>
            <w:shd w:val="clear" w:color="auto" w:fill="auto"/>
            <w:noWrap/>
            <w:vAlign w:val="bottom"/>
            <w:hideMark/>
          </w:tcPr>
          <w:p w14:paraId="03E6A4FC"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228</w:t>
            </w:r>
          </w:p>
        </w:tc>
        <w:tc>
          <w:tcPr>
            <w:tcW w:w="959" w:type="dxa"/>
            <w:tcBorders>
              <w:top w:val="nil"/>
              <w:left w:val="nil"/>
              <w:bottom w:val="single" w:sz="4" w:space="0" w:color="auto"/>
              <w:right w:val="nil"/>
            </w:tcBorders>
            <w:shd w:val="clear" w:color="auto" w:fill="auto"/>
            <w:noWrap/>
            <w:vAlign w:val="center"/>
            <w:hideMark/>
          </w:tcPr>
          <w:p w14:paraId="42540F4B" w14:textId="09DDD95C"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-5 %</w:t>
            </w:r>
          </w:p>
        </w:tc>
        <w:tc>
          <w:tcPr>
            <w:tcW w:w="700" w:type="dxa"/>
            <w:tcBorders>
              <w:top w:val="nil"/>
              <w:left w:val="single" w:sz="4" w:space="0" w:color="auto"/>
              <w:bottom w:val="single" w:sz="4" w:space="0" w:color="auto"/>
              <w:right w:val="nil"/>
            </w:tcBorders>
            <w:shd w:val="clear" w:color="auto" w:fill="auto"/>
            <w:noWrap/>
            <w:vAlign w:val="bottom"/>
            <w:hideMark/>
          </w:tcPr>
          <w:p w14:paraId="2DDB8F7B"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150</w:t>
            </w:r>
          </w:p>
        </w:tc>
        <w:tc>
          <w:tcPr>
            <w:tcW w:w="912" w:type="dxa"/>
            <w:tcBorders>
              <w:top w:val="nil"/>
              <w:left w:val="nil"/>
              <w:bottom w:val="single" w:sz="4" w:space="0" w:color="auto"/>
              <w:right w:val="single" w:sz="4" w:space="0" w:color="auto"/>
            </w:tcBorders>
            <w:shd w:val="clear" w:color="auto" w:fill="auto"/>
            <w:noWrap/>
            <w:vAlign w:val="center"/>
            <w:hideMark/>
          </w:tcPr>
          <w:p w14:paraId="5B1C365A" w14:textId="1EE865A5"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-2 %</w:t>
            </w:r>
          </w:p>
        </w:tc>
        <w:tc>
          <w:tcPr>
            <w:tcW w:w="700" w:type="dxa"/>
            <w:tcBorders>
              <w:top w:val="nil"/>
              <w:left w:val="nil"/>
              <w:bottom w:val="single" w:sz="4" w:space="0" w:color="auto"/>
              <w:right w:val="nil"/>
            </w:tcBorders>
            <w:shd w:val="clear" w:color="auto" w:fill="auto"/>
            <w:noWrap/>
            <w:vAlign w:val="bottom"/>
            <w:hideMark/>
          </w:tcPr>
          <w:p w14:paraId="645DFE46"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366</w:t>
            </w:r>
          </w:p>
        </w:tc>
        <w:tc>
          <w:tcPr>
            <w:tcW w:w="1094" w:type="dxa"/>
            <w:tcBorders>
              <w:top w:val="nil"/>
              <w:left w:val="nil"/>
              <w:bottom w:val="single" w:sz="4" w:space="0" w:color="auto"/>
              <w:right w:val="nil"/>
            </w:tcBorders>
            <w:shd w:val="clear" w:color="auto" w:fill="auto"/>
            <w:noWrap/>
            <w:vAlign w:val="center"/>
            <w:hideMark/>
          </w:tcPr>
          <w:p w14:paraId="04F0ACA2" w14:textId="54902426"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+3 %</w:t>
            </w:r>
          </w:p>
        </w:tc>
      </w:tr>
      <w:tr w:rsidR="00AC1E67" w:rsidRPr="00A00187" w14:paraId="3EB5D4D4" w14:textId="77777777" w:rsidTr="0011486F">
        <w:trPr>
          <w:trHeight w:val="315"/>
        </w:trPr>
        <w:tc>
          <w:tcPr>
            <w:tcW w:w="2496" w:type="dxa"/>
            <w:tcBorders>
              <w:top w:val="nil"/>
              <w:left w:val="nil"/>
              <w:bottom w:val="single" w:sz="4" w:space="0" w:color="auto"/>
              <w:right w:val="nil"/>
            </w:tcBorders>
            <w:shd w:val="clear" w:color="auto" w:fill="auto"/>
            <w:noWrap/>
            <w:vAlign w:val="bottom"/>
            <w:hideMark/>
          </w:tcPr>
          <w:p w14:paraId="58B9C4A2"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KS Brno</w:t>
            </w:r>
          </w:p>
        </w:tc>
        <w:tc>
          <w:tcPr>
            <w:tcW w:w="691" w:type="dxa"/>
            <w:tcBorders>
              <w:top w:val="nil"/>
              <w:left w:val="nil"/>
              <w:bottom w:val="single" w:sz="4" w:space="0" w:color="auto"/>
              <w:right w:val="nil"/>
            </w:tcBorders>
            <w:shd w:val="clear" w:color="auto" w:fill="auto"/>
            <w:noWrap/>
            <w:vAlign w:val="bottom"/>
            <w:hideMark/>
          </w:tcPr>
          <w:p w14:paraId="69B96F83"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328</w:t>
            </w:r>
          </w:p>
        </w:tc>
        <w:tc>
          <w:tcPr>
            <w:tcW w:w="959" w:type="dxa"/>
            <w:tcBorders>
              <w:top w:val="nil"/>
              <w:left w:val="nil"/>
              <w:bottom w:val="single" w:sz="4" w:space="0" w:color="auto"/>
              <w:right w:val="nil"/>
            </w:tcBorders>
            <w:shd w:val="clear" w:color="auto" w:fill="auto"/>
            <w:noWrap/>
            <w:vAlign w:val="center"/>
            <w:hideMark/>
          </w:tcPr>
          <w:p w14:paraId="09F7EDAD" w14:textId="38C7A6A6"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-9 %</w:t>
            </w:r>
          </w:p>
        </w:tc>
        <w:tc>
          <w:tcPr>
            <w:tcW w:w="700" w:type="dxa"/>
            <w:tcBorders>
              <w:top w:val="nil"/>
              <w:left w:val="single" w:sz="4" w:space="0" w:color="auto"/>
              <w:bottom w:val="single" w:sz="4" w:space="0" w:color="auto"/>
              <w:right w:val="nil"/>
            </w:tcBorders>
            <w:shd w:val="clear" w:color="auto" w:fill="auto"/>
            <w:noWrap/>
            <w:vAlign w:val="bottom"/>
            <w:hideMark/>
          </w:tcPr>
          <w:p w14:paraId="0765CDB5"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206</w:t>
            </w:r>
          </w:p>
        </w:tc>
        <w:tc>
          <w:tcPr>
            <w:tcW w:w="912" w:type="dxa"/>
            <w:tcBorders>
              <w:top w:val="nil"/>
              <w:left w:val="nil"/>
              <w:bottom w:val="single" w:sz="4" w:space="0" w:color="auto"/>
              <w:right w:val="single" w:sz="4" w:space="0" w:color="auto"/>
            </w:tcBorders>
            <w:shd w:val="clear" w:color="auto" w:fill="auto"/>
            <w:noWrap/>
            <w:vAlign w:val="center"/>
            <w:hideMark/>
          </w:tcPr>
          <w:p w14:paraId="679153A5" w14:textId="5E51128F"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-3 %</w:t>
            </w:r>
          </w:p>
        </w:tc>
        <w:tc>
          <w:tcPr>
            <w:tcW w:w="700" w:type="dxa"/>
            <w:tcBorders>
              <w:top w:val="nil"/>
              <w:left w:val="nil"/>
              <w:bottom w:val="single" w:sz="4" w:space="0" w:color="auto"/>
              <w:right w:val="nil"/>
            </w:tcBorders>
            <w:shd w:val="clear" w:color="auto" w:fill="auto"/>
            <w:noWrap/>
            <w:vAlign w:val="bottom"/>
            <w:hideMark/>
          </w:tcPr>
          <w:p w14:paraId="4D42D84D"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518</w:t>
            </w:r>
          </w:p>
        </w:tc>
        <w:tc>
          <w:tcPr>
            <w:tcW w:w="1094" w:type="dxa"/>
            <w:tcBorders>
              <w:top w:val="nil"/>
              <w:left w:val="nil"/>
              <w:bottom w:val="single" w:sz="4" w:space="0" w:color="auto"/>
              <w:right w:val="nil"/>
            </w:tcBorders>
            <w:shd w:val="clear" w:color="auto" w:fill="auto"/>
            <w:noWrap/>
            <w:vAlign w:val="center"/>
            <w:hideMark/>
          </w:tcPr>
          <w:p w14:paraId="1870E960" w14:textId="6741D323"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-17 %</w:t>
            </w:r>
          </w:p>
        </w:tc>
      </w:tr>
      <w:tr w:rsidR="00AC1E67" w:rsidRPr="00A00187" w14:paraId="1814BB4A" w14:textId="77777777" w:rsidTr="0011486F">
        <w:trPr>
          <w:trHeight w:val="330"/>
        </w:trPr>
        <w:tc>
          <w:tcPr>
            <w:tcW w:w="2496" w:type="dxa"/>
            <w:tcBorders>
              <w:top w:val="nil"/>
              <w:left w:val="nil"/>
              <w:bottom w:val="double" w:sz="6" w:space="0" w:color="auto"/>
              <w:right w:val="nil"/>
            </w:tcBorders>
            <w:shd w:val="clear" w:color="auto" w:fill="auto"/>
            <w:noWrap/>
            <w:vAlign w:val="bottom"/>
            <w:hideMark/>
          </w:tcPr>
          <w:p w14:paraId="60B29165" w14:textId="77777777" w:rsidR="0011486F" w:rsidRPr="00A00187" w:rsidRDefault="0011486F" w:rsidP="0011486F">
            <w:pPr>
              <w:spacing w:line="240" w:lineRule="auto"/>
              <w:jc w:val="left"/>
              <w:rPr>
                <w:rFonts w:eastAsia="Times New Roman"/>
                <w:szCs w:val="24"/>
                <w:lang w:eastAsia="cs-CZ"/>
              </w:rPr>
            </w:pPr>
            <w:r w:rsidRPr="00A00187">
              <w:rPr>
                <w:rFonts w:eastAsia="Times New Roman"/>
                <w:szCs w:val="24"/>
                <w:lang w:eastAsia="cs-CZ"/>
              </w:rPr>
              <w:t>KS Ostrava</w:t>
            </w:r>
          </w:p>
        </w:tc>
        <w:tc>
          <w:tcPr>
            <w:tcW w:w="691" w:type="dxa"/>
            <w:tcBorders>
              <w:top w:val="nil"/>
              <w:left w:val="nil"/>
              <w:bottom w:val="double" w:sz="6" w:space="0" w:color="auto"/>
              <w:right w:val="nil"/>
            </w:tcBorders>
            <w:shd w:val="clear" w:color="auto" w:fill="auto"/>
            <w:noWrap/>
            <w:vAlign w:val="bottom"/>
            <w:hideMark/>
          </w:tcPr>
          <w:p w14:paraId="3D80BB5D"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244</w:t>
            </w:r>
          </w:p>
        </w:tc>
        <w:tc>
          <w:tcPr>
            <w:tcW w:w="959" w:type="dxa"/>
            <w:tcBorders>
              <w:top w:val="nil"/>
              <w:left w:val="nil"/>
              <w:bottom w:val="double" w:sz="6" w:space="0" w:color="auto"/>
              <w:right w:val="nil"/>
            </w:tcBorders>
            <w:shd w:val="clear" w:color="auto" w:fill="auto"/>
            <w:noWrap/>
            <w:vAlign w:val="center"/>
            <w:hideMark/>
          </w:tcPr>
          <w:p w14:paraId="0EA0B94D" w14:textId="634DC1BA"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+2 %</w:t>
            </w:r>
          </w:p>
        </w:tc>
        <w:tc>
          <w:tcPr>
            <w:tcW w:w="700" w:type="dxa"/>
            <w:tcBorders>
              <w:top w:val="nil"/>
              <w:left w:val="single" w:sz="4" w:space="0" w:color="auto"/>
              <w:bottom w:val="double" w:sz="6" w:space="0" w:color="auto"/>
              <w:right w:val="nil"/>
            </w:tcBorders>
            <w:shd w:val="clear" w:color="auto" w:fill="auto"/>
            <w:noWrap/>
            <w:vAlign w:val="bottom"/>
            <w:hideMark/>
          </w:tcPr>
          <w:p w14:paraId="46F182A2"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175</w:t>
            </w:r>
          </w:p>
        </w:tc>
        <w:tc>
          <w:tcPr>
            <w:tcW w:w="912" w:type="dxa"/>
            <w:tcBorders>
              <w:top w:val="nil"/>
              <w:left w:val="nil"/>
              <w:bottom w:val="double" w:sz="6" w:space="0" w:color="auto"/>
              <w:right w:val="single" w:sz="4" w:space="0" w:color="auto"/>
            </w:tcBorders>
            <w:shd w:val="clear" w:color="auto" w:fill="auto"/>
            <w:noWrap/>
            <w:vAlign w:val="center"/>
            <w:hideMark/>
          </w:tcPr>
          <w:p w14:paraId="3A2D5B84" w14:textId="390DD882"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+5 %</w:t>
            </w:r>
          </w:p>
        </w:tc>
        <w:tc>
          <w:tcPr>
            <w:tcW w:w="700" w:type="dxa"/>
            <w:tcBorders>
              <w:top w:val="nil"/>
              <w:left w:val="nil"/>
              <w:bottom w:val="double" w:sz="6" w:space="0" w:color="auto"/>
              <w:right w:val="nil"/>
            </w:tcBorders>
            <w:shd w:val="clear" w:color="auto" w:fill="auto"/>
            <w:noWrap/>
            <w:vAlign w:val="bottom"/>
            <w:hideMark/>
          </w:tcPr>
          <w:p w14:paraId="791CA88C" w14:textId="77777777" w:rsidR="0011486F" w:rsidRPr="00A00187" w:rsidRDefault="0011486F" w:rsidP="0011486F">
            <w:pPr>
              <w:spacing w:line="240" w:lineRule="auto"/>
              <w:jc w:val="center"/>
              <w:rPr>
                <w:rFonts w:eastAsia="Times New Roman"/>
                <w:szCs w:val="24"/>
                <w:lang w:eastAsia="cs-CZ"/>
              </w:rPr>
            </w:pPr>
            <w:r w:rsidRPr="00A00187">
              <w:rPr>
                <w:rFonts w:eastAsia="Times New Roman"/>
                <w:szCs w:val="24"/>
                <w:lang w:eastAsia="cs-CZ"/>
              </w:rPr>
              <w:t>345</w:t>
            </w:r>
          </w:p>
        </w:tc>
        <w:tc>
          <w:tcPr>
            <w:tcW w:w="1094" w:type="dxa"/>
            <w:tcBorders>
              <w:top w:val="nil"/>
              <w:left w:val="nil"/>
              <w:bottom w:val="double" w:sz="6" w:space="0" w:color="auto"/>
              <w:right w:val="nil"/>
            </w:tcBorders>
            <w:shd w:val="clear" w:color="auto" w:fill="auto"/>
            <w:noWrap/>
            <w:vAlign w:val="center"/>
            <w:hideMark/>
          </w:tcPr>
          <w:p w14:paraId="5B7AFBA4" w14:textId="6337C832" w:rsidR="0011486F" w:rsidRPr="00A00187" w:rsidRDefault="0011486F" w:rsidP="0011486F">
            <w:pPr>
              <w:spacing w:line="240" w:lineRule="auto"/>
              <w:jc w:val="center"/>
              <w:rPr>
                <w:rFonts w:eastAsia="Times New Roman"/>
                <w:sz w:val="20"/>
                <w:szCs w:val="20"/>
                <w:lang w:eastAsia="cs-CZ"/>
              </w:rPr>
            </w:pPr>
            <w:r w:rsidRPr="00A00187">
              <w:rPr>
                <w:rFonts w:eastAsia="Times New Roman"/>
                <w:sz w:val="20"/>
                <w:szCs w:val="20"/>
                <w:lang w:eastAsia="cs-CZ"/>
              </w:rPr>
              <w:t>+3 %</w:t>
            </w:r>
          </w:p>
        </w:tc>
      </w:tr>
      <w:tr w:rsidR="00AC1E67" w:rsidRPr="00A00187" w14:paraId="4B168354" w14:textId="77777777" w:rsidTr="0011486F">
        <w:trPr>
          <w:trHeight w:val="345"/>
        </w:trPr>
        <w:tc>
          <w:tcPr>
            <w:tcW w:w="2496" w:type="dxa"/>
            <w:tcBorders>
              <w:top w:val="nil"/>
              <w:left w:val="nil"/>
              <w:bottom w:val="double" w:sz="6" w:space="0" w:color="auto"/>
              <w:right w:val="nil"/>
            </w:tcBorders>
            <w:shd w:val="clear" w:color="auto" w:fill="auto"/>
            <w:noWrap/>
            <w:vAlign w:val="bottom"/>
            <w:hideMark/>
          </w:tcPr>
          <w:p w14:paraId="6E61D142" w14:textId="77777777" w:rsidR="0011486F" w:rsidRPr="00A00187" w:rsidRDefault="0011486F" w:rsidP="0011486F">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691" w:type="dxa"/>
            <w:tcBorders>
              <w:top w:val="nil"/>
              <w:left w:val="nil"/>
              <w:bottom w:val="double" w:sz="6" w:space="0" w:color="auto"/>
              <w:right w:val="nil"/>
            </w:tcBorders>
            <w:shd w:val="clear" w:color="auto" w:fill="auto"/>
            <w:noWrap/>
            <w:vAlign w:val="bottom"/>
            <w:hideMark/>
          </w:tcPr>
          <w:p w14:paraId="39A5C6D7"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271</w:t>
            </w:r>
          </w:p>
        </w:tc>
        <w:tc>
          <w:tcPr>
            <w:tcW w:w="959" w:type="dxa"/>
            <w:tcBorders>
              <w:top w:val="nil"/>
              <w:left w:val="nil"/>
              <w:bottom w:val="double" w:sz="6" w:space="0" w:color="auto"/>
              <w:right w:val="nil"/>
            </w:tcBorders>
            <w:shd w:val="clear" w:color="auto" w:fill="auto"/>
            <w:noWrap/>
            <w:vAlign w:val="center"/>
            <w:hideMark/>
          </w:tcPr>
          <w:p w14:paraId="27C9F54E" w14:textId="6E07FF40" w:rsidR="0011486F" w:rsidRPr="00A00187" w:rsidRDefault="0011486F" w:rsidP="0011486F">
            <w:pPr>
              <w:spacing w:line="240" w:lineRule="auto"/>
              <w:jc w:val="center"/>
              <w:rPr>
                <w:rFonts w:eastAsia="Times New Roman"/>
                <w:b/>
                <w:bCs/>
                <w:sz w:val="20"/>
                <w:szCs w:val="20"/>
                <w:lang w:eastAsia="cs-CZ"/>
              </w:rPr>
            </w:pPr>
            <w:r w:rsidRPr="00A00187">
              <w:rPr>
                <w:rFonts w:eastAsia="Times New Roman"/>
                <w:b/>
                <w:bCs/>
                <w:sz w:val="20"/>
                <w:szCs w:val="20"/>
                <w:lang w:eastAsia="cs-CZ"/>
              </w:rPr>
              <w:t>-4 %</w:t>
            </w:r>
          </w:p>
        </w:tc>
        <w:tc>
          <w:tcPr>
            <w:tcW w:w="700" w:type="dxa"/>
            <w:tcBorders>
              <w:top w:val="nil"/>
              <w:left w:val="single" w:sz="4" w:space="0" w:color="auto"/>
              <w:bottom w:val="double" w:sz="6" w:space="0" w:color="auto"/>
              <w:right w:val="nil"/>
            </w:tcBorders>
            <w:shd w:val="clear" w:color="auto" w:fill="auto"/>
            <w:noWrap/>
            <w:vAlign w:val="bottom"/>
            <w:hideMark/>
          </w:tcPr>
          <w:p w14:paraId="09D48AF4"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169</w:t>
            </w:r>
          </w:p>
        </w:tc>
        <w:tc>
          <w:tcPr>
            <w:tcW w:w="912" w:type="dxa"/>
            <w:tcBorders>
              <w:top w:val="nil"/>
              <w:left w:val="nil"/>
              <w:bottom w:val="double" w:sz="6" w:space="0" w:color="auto"/>
              <w:right w:val="single" w:sz="4" w:space="0" w:color="auto"/>
            </w:tcBorders>
            <w:shd w:val="clear" w:color="auto" w:fill="auto"/>
            <w:noWrap/>
            <w:vAlign w:val="center"/>
            <w:hideMark/>
          </w:tcPr>
          <w:p w14:paraId="39E36F68" w14:textId="43D83954" w:rsidR="0011486F" w:rsidRPr="00A00187" w:rsidRDefault="0011486F" w:rsidP="0011486F">
            <w:pPr>
              <w:spacing w:line="240" w:lineRule="auto"/>
              <w:jc w:val="center"/>
              <w:rPr>
                <w:rFonts w:eastAsia="Times New Roman"/>
                <w:b/>
                <w:bCs/>
                <w:sz w:val="20"/>
                <w:szCs w:val="20"/>
                <w:lang w:eastAsia="cs-CZ"/>
              </w:rPr>
            </w:pPr>
            <w:r w:rsidRPr="00A00187">
              <w:rPr>
                <w:rFonts w:eastAsia="Times New Roman"/>
                <w:b/>
                <w:bCs/>
                <w:sz w:val="20"/>
                <w:szCs w:val="20"/>
                <w:lang w:eastAsia="cs-CZ"/>
              </w:rPr>
              <w:t>-2 %</w:t>
            </w:r>
          </w:p>
        </w:tc>
        <w:tc>
          <w:tcPr>
            <w:tcW w:w="700" w:type="dxa"/>
            <w:tcBorders>
              <w:top w:val="nil"/>
              <w:left w:val="nil"/>
              <w:bottom w:val="double" w:sz="6" w:space="0" w:color="auto"/>
              <w:right w:val="nil"/>
            </w:tcBorders>
            <w:shd w:val="clear" w:color="auto" w:fill="auto"/>
            <w:noWrap/>
            <w:vAlign w:val="bottom"/>
            <w:hideMark/>
          </w:tcPr>
          <w:p w14:paraId="6535CE88" w14:textId="77777777" w:rsidR="0011486F" w:rsidRPr="00A00187" w:rsidRDefault="0011486F" w:rsidP="0011486F">
            <w:pPr>
              <w:spacing w:line="240" w:lineRule="auto"/>
              <w:jc w:val="center"/>
              <w:rPr>
                <w:rFonts w:eastAsia="Times New Roman"/>
                <w:b/>
                <w:bCs/>
                <w:szCs w:val="24"/>
                <w:lang w:eastAsia="cs-CZ"/>
              </w:rPr>
            </w:pPr>
            <w:r w:rsidRPr="00A00187">
              <w:rPr>
                <w:rFonts w:eastAsia="Times New Roman"/>
                <w:b/>
                <w:bCs/>
                <w:szCs w:val="24"/>
                <w:lang w:eastAsia="cs-CZ"/>
              </w:rPr>
              <w:t>440</w:t>
            </w:r>
          </w:p>
        </w:tc>
        <w:tc>
          <w:tcPr>
            <w:tcW w:w="1094" w:type="dxa"/>
            <w:tcBorders>
              <w:top w:val="nil"/>
              <w:left w:val="nil"/>
              <w:bottom w:val="double" w:sz="6" w:space="0" w:color="auto"/>
              <w:right w:val="nil"/>
            </w:tcBorders>
            <w:shd w:val="clear" w:color="auto" w:fill="auto"/>
            <w:noWrap/>
            <w:vAlign w:val="center"/>
            <w:hideMark/>
          </w:tcPr>
          <w:p w14:paraId="5C412ADF" w14:textId="591C27C0" w:rsidR="0011486F" w:rsidRPr="00A00187" w:rsidRDefault="0011486F" w:rsidP="0011486F">
            <w:pPr>
              <w:spacing w:line="240" w:lineRule="auto"/>
              <w:jc w:val="center"/>
              <w:rPr>
                <w:rFonts w:eastAsia="Times New Roman"/>
                <w:b/>
                <w:bCs/>
                <w:sz w:val="20"/>
                <w:szCs w:val="20"/>
                <w:lang w:eastAsia="cs-CZ"/>
              </w:rPr>
            </w:pPr>
            <w:r w:rsidRPr="00A00187">
              <w:rPr>
                <w:rFonts w:eastAsia="Times New Roman"/>
                <w:b/>
                <w:bCs/>
                <w:sz w:val="20"/>
                <w:szCs w:val="20"/>
                <w:lang w:eastAsia="cs-CZ"/>
              </w:rPr>
              <w:t>-7 %</w:t>
            </w:r>
          </w:p>
        </w:tc>
      </w:tr>
      <w:tr w:rsidR="0011486F" w:rsidRPr="00A00187" w14:paraId="65FFBD11" w14:textId="77777777" w:rsidTr="0011486F">
        <w:trPr>
          <w:trHeight w:val="330"/>
        </w:trPr>
        <w:tc>
          <w:tcPr>
            <w:tcW w:w="2496" w:type="dxa"/>
            <w:tcBorders>
              <w:top w:val="nil"/>
              <w:left w:val="nil"/>
              <w:bottom w:val="nil"/>
              <w:right w:val="nil"/>
            </w:tcBorders>
            <w:shd w:val="clear" w:color="auto" w:fill="auto"/>
            <w:noWrap/>
            <w:vAlign w:val="bottom"/>
            <w:hideMark/>
          </w:tcPr>
          <w:p w14:paraId="39B910F2" w14:textId="77777777" w:rsidR="0011486F" w:rsidRPr="00A00187" w:rsidRDefault="0011486F" w:rsidP="0011486F">
            <w:pPr>
              <w:spacing w:line="240" w:lineRule="auto"/>
              <w:jc w:val="right"/>
              <w:rPr>
                <w:rFonts w:eastAsia="Times New Roman"/>
                <w:b/>
                <w:bCs/>
                <w:sz w:val="20"/>
                <w:szCs w:val="20"/>
                <w:lang w:eastAsia="cs-CZ"/>
              </w:rPr>
            </w:pPr>
          </w:p>
        </w:tc>
        <w:tc>
          <w:tcPr>
            <w:tcW w:w="691" w:type="dxa"/>
            <w:tcBorders>
              <w:top w:val="nil"/>
              <w:left w:val="nil"/>
              <w:bottom w:val="nil"/>
              <w:right w:val="nil"/>
            </w:tcBorders>
            <w:shd w:val="clear" w:color="auto" w:fill="auto"/>
            <w:noWrap/>
            <w:vAlign w:val="bottom"/>
            <w:hideMark/>
          </w:tcPr>
          <w:p w14:paraId="0BCBEF2E" w14:textId="77777777" w:rsidR="0011486F" w:rsidRPr="00A00187" w:rsidRDefault="0011486F" w:rsidP="0011486F">
            <w:pPr>
              <w:spacing w:line="240" w:lineRule="auto"/>
              <w:jc w:val="left"/>
              <w:rPr>
                <w:rFonts w:ascii="Times New Roman" w:eastAsia="Times New Roman" w:hAnsi="Times New Roman"/>
                <w:sz w:val="20"/>
                <w:szCs w:val="20"/>
                <w:lang w:eastAsia="cs-CZ"/>
              </w:rPr>
            </w:pPr>
          </w:p>
        </w:tc>
        <w:tc>
          <w:tcPr>
            <w:tcW w:w="959" w:type="dxa"/>
            <w:tcBorders>
              <w:top w:val="nil"/>
              <w:left w:val="nil"/>
              <w:bottom w:val="nil"/>
              <w:right w:val="nil"/>
            </w:tcBorders>
            <w:shd w:val="clear" w:color="auto" w:fill="auto"/>
            <w:noWrap/>
            <w:vAlign w:val="bottom"/>
            <w:hideMark/>
          </w:tcPr>
          <w:p w14:paraId="29A37454" w14:textId="77777777" w:rsidR="0011486F" w:rsidRPr="00A00187" w:rsidRDefault="0011486F" w:rsidP="0011486F">
            <w:pPr>
              <w:spacing w:line="240" w:lineRule="auto"/>
              <w:jc w:val="left"/>
              <w:rPr>
                <w:rFonts w:ascii="Times New Roman" w:eastAsia="Times New Roman" w:hAnsi="Times New Roman"/>
                <w:sz w:val="20"/>
                <w:szCs w:val="20"/>
                <w:lang w:eastAsia="cs-CZ"/>
              </w:rPr>
            </w:pPr>
          </w:p>
        </w:tc>
        <w:tc>
          <w:tcPr>
            <w:tcW w:w="700" w:type="dxa"/>
            <w:tcBorders>
              <w:top w:val="nil"/>
              <w:left w:val="nil"/>
              <w:bottom w:val="nil"/>
              <w:right w:val="nil"/>
            </w:tcBorders>
            <w:shd w:val="clear" w:color="auto" w:fill="auto"/>
            <w:noWrap/>
            <w:vAlign w:val="bottom"/>
            <w:hideMark/>
          </w:tcPr>
          <w:p w14:paraId="7EB29254" w14:textId="77777777" w:rsidR="0011486F" w:rsidRPr="00A00187" w:rsidRDefault="0011486F" w:rsidP="0011486F">
            <w:pPr>
              <w:spacing w:line="240" w:lineRule="auto"/>
              <w:jc w:val="left"/>
              <w:rPr>
                <w:rFonts w:ascii="Times New Roman" w:eastAsia="Times New Roman" w:hAnsi="Times New Roman"/>
                <w:sz w:val="20"/>
                <w:szCs w:val="20"/>
                <w:lang w:eastAsia="cs-CZ"/>
              </w:rPr>
            </w:pPr>
          </w:p>
        </w:tc>
        <w:tc>
          <w:tcPr>
            <w:tcW w:w="912" w:type="dxa"/>
            <w:tcBorders>
              <w:top w:val="nil"/>
              <w:left w:val="nil"/>
              <w:bottom w:val="nil"/>
              <w:right w:val="nil"/>
            </w:tcBorders>
            <w:shd w:val="clear" w:color="auto" w:fill="auto"/>
            <w:noWrap/>
            <w:vAlign w:val="bottom"/>
            <w:hideMark/>
          </w:tcPr>
          <w:p w14:paraId="23A49C39" w14:textId="77777777" w:rsidR="0011486F" w:rsidRPr="00A00187" w:rsidRDefault="0011486F" w:rsidP="0011486F">
            <w:pPr>
              <w:spacing w:line="240" w:lineRule="auto"/>
              <w:jc w:val="left"/>
              <w:rPr>
                <w:rFonts w:ascii="Times New Roman" w:eastAsia="Times New Roman" w:hAnsi="Times New Roman"/>
                <w:sz w:val="20"/>
                <w:szCs w:val="20"/>
                <w:lang w:eastAsia="cs-CZ"/>
              </w:rPr>
            </w:pPr>
          </w:p>
        </w:tc>
        <w:tc>
          <w:tcPr>
            <w:tcW w:w="700" w:type="dxa"/>
            <w:tcBorders>
              <w:top w:val="nil"/>
              <w:left w:val="nil"/>
              <w:bottom w:val="nil"/>
              <w:right w:val="nil"/>
            </w:tcBorders>
            <w:shd w:val="clear" w:color="auto" w:fill="auto"/>
            <w:noWrap/>
            <w:vAlign w:val="bottom"/>
            <w:hideMark/>
          </w:tcPr>
          <w:p w14:paraId="7D0A0C59" w14:textId="77777777" w:rsidR="0011486F" w:rsidRPr="00A00187" w:rsidRDefault="0011486F" w:rsidP="0011486F">
            <w:pPr>
              <w:spacing w:line="240" w:lineRule="auto"/>
              <w:jc w:val="left"/>
              <w:rPr>
                <w:rFonts w:ascii="Times New Roman" w:eastAsia="Times New Roman" w:hAnsi="Times New Roman"/>
                <w:sz w:val="20"/>
                <w:szCs w:val="20"/>
                <w:lang w:eastAsia="cs-CZ"/>
              </w:rPr>
            </w:pPr>
          </w:p>
        </w:tc>
        <w:tc>
          <w:tcPr>
            <w:tcW w:w="1094" w:type="dxa"/>
            <w:tcBorders>
              <w:top w:val="nil"/>
              <w:left w:val="nil"/>
              <w:bottom w:val="nil"/>
              <w:right w:val="nil"/>
            </w:tcBorders>
            <w:shd w:val="clear" w:color="auto" w:fill="auto"/>
            <w:noWrap/>
            <w:vAlign w:val="bottom"/>
            <w:hideMark/>
          </w:tcPr>
          <w:p w14:paraId="0588A3C7" w14:textId="77777777" w:rsidR="0011486F" w:rsidRPr="00A00187" w:rsidRDefault="0011486F" w:rsidP="0011486F">
            <w:pPr>
              <w:spacing w:line="240" w:lineRule="auto"/>
              <w:jc w:val="left"/>
              <w:rPr>
                <w:rFonts w:ascii="Times New Roman" w:eastAsia="Times New Roman" w:hAnsi="Times New Roman"/>
                <w:sz w:val="20"/>
                <w:szCs w:val="20"/>
                <w:lang w:eastAsia="cs-CZ"/>
              </w:rPr>
            </w:pPr>
          </w:p>
        </w:tc>
      </w:tr>
    </w:tbl>
    <w:p w14:paraId="65941143" w14:textId="459C8DCE" w:rsidR="007F17AB" w:rsidRPr="00A00187" w:rsidRDefault="007F17AB" w:rsidP="008C5D8B"/>
    <w:p w14:paraId="00B16D73" w14:textId="36BD4C4F" w:rsidR="00CB570A" w:rsidRDefault="0011486F" w:rsidP="0011486F">
      <w:pPr>
        <w:pStyle w:val="OdstavecASR"/>
      </w:pPr>
      <w:r w:rsidRPr="00A00187">
        <w:lastRenderedPageBreak/>
        <w:t>Z tabulky 9 a grafu </w:t>
      </w:r>
      <w:r w:rsidR="000511EF" w:rsidRPr="00A00187">
        <w:t>6</w:t>
      </w:r>
      <w:r w:rsidRPr="00A00187">
        <w:t xml:space="preserve"> jasně vyplývá, že v roce 2021 stále existují výrazné rozdíly (variabilita) mezi soudními kraji a jednotlivými </w:t>
      </w:r>
      <w:r w:rsidR="0019021B" w:rsidRPr="00A00187">
        <w:t xml:space="preserve">okresními </w:t>
      </w:r>
      <w:r w:rsidRPr="00A00187">
        <w:t xml:space="preserve">soudy. Nejrychlejší OS většinou spadají pod KS České Budějovice a KS Praha. Nejpomalejší </w:t>
      </w:r>
      <w:r w:rsidR="0019021B" w:rsidRPr="00A00187">
        <w:t xml:space="preserve">okresní </w:t>
      </w:r>
      <w:r w:rsidRPr="00A00187">
        <w:t>soudy spadají pod KS Ústí nad Labem,</w:t>
      </w:r>
      <w:r w:rsidR="003A54FB">
        <w:t xml:space="preserve"> </w:t>
      </w:r>
      <w:r w:rsidRPr="00A00187">
        <w:t>KS Brno a</w:t>
      </w:r>
      <w:r w:rsidR="0019021B" w:rsidRPr="00A00187">
        <w:t> </w:t>
      </w:r>
      <w:r w:rsidR="009022A2" w:rsidRPr="00A00187">
        <w:t>M</w:t>
      </w:r>
      <w:r w:rsidRPr="00A00187">
        <w:t>S Pr</w:t>
      </w:r>
      <w:r w:rsidR="009022A2" w:rsidRPr="00A00187">
        <w:t>a</w:t>
      </w:r>
      <w:r w:rsidRPr="00A00187">
        <w:t xml:space="preserve">ha. Je však třeba zdůraznit, že významné délky řízení často nejsou způsobeny neefektivností daných soudů, ale velkou případovou zátěží z minulých let. Starší data totiž ukazují, že problémy začaly již v 90. letech. </w:t>
      </w:r>
      <w:r w:rsidR="00A9064E" w:rsidRPr="00A00187">
        <w:t xml:space="preserve">Ze shromážděných </w:t>
      </w:r>
      <w:r w:rsidRPr="00A00187">
        <w:t xml:space="preserve">dat z posledních let </w:t>
      </w:r>
      <w:r w:rsidR="00A9064E" w:rsidRPr="00A00187">
        <w:t>však vyplývá</w:t>
      </w:r>
      <w:r w:rsidRPr="00A00187">
        <w:t xml:space="preserve">, že rozdíly mezi kraji a soudy se postupně zmenšovaly, a to díky snižování délek řízení u soudů, kde je tento ukazatel nejvyšší. To je vidět v grafu </w:t>
      </w:r>
      <w:r w:rsidR="000511EF" w:rsidRPr="00A00187">
        <w:t>7</w:t>
      </w:r>
      <w:r w:rsidRPr="00A00187">
        <w:t>.</w:t>
      </w:r>
    </w:p>
    <w:p w14:paraId="6522F99D" w14:textId="470F870A" w:rsidR="0011486F" w:rsidRPr="00A00187" w:rsidRDefault="00726EC3" w:rsidP="0011486F">
      <w:pPr>
        <w:pStyle w:val="OdstavecASR"/>
      </w:pPr>
      <w:r w:rsidRPr="00A00187">
        <w:t>V</w:t>
      </w:r>
      <w:r>
        <w:t> </w:t>
      </w:r>
      <w:r w:rsidR="00032FD9" w:rsidRPr="00A00187">
        <w:t>roce 2021</w:t>
      </w:r>
      <w:r w:rsidR="0011486F" w:rsidRPr="00A00187">
        <w:t xml:space="preserve"> </w:t>
      </w:r>
      <w:r w:rsidR="003349FF" w:rsidRPr="00A00187">
        <w:t>došlo</w:t>
      </w:r>
      <w:r w:rsidR="008223E0" w:rsidRPr="00A00187">
        <w:t xml:space="preserve"> opět</w:t>
      </w:r>
      <w:r w:rsidR="003349FF" w:rsidRPr="00A00187">
        <w:t xml:space="preserve"> </w:t>
      </w:r>
      <w:r w:rsidR="0011486F" w:rsidRPr="00A00187">
        <w:t>k</w:t>
      </w:r>
      <w:r w:rsidR="00032FD9" w:rsidRPr="00A00187">
        <w:t> </w:t>
      </w:r>
      <w:r w:rsidR="0011486F" w:rsidRPr="00A00187">
        <w:t xml:space="preserve">poklesu </w:t>
      </w:r>
      <w:r w:rsidR="00032FD9" w:rsidRPr="00A00187">
        <w:t>délky řízení</w:t>
      </w:r>
      <w:r w:rsidR="0019021B" w:rsidRPr="00A00187">
        <w:t xml:space="preserve"> </w:t>
      </w:r>
      <w:r w:rsidR="0011486F" w:rsidRPr="00A00187">
        <w:t>u </w:t>
      </w:r>
      <w:r w:rsidR="0019021B" w:rsidRPr="00A00187">
        <w:t xml:space="preserve">okresních </w:t>
      </w:r>
      <w:r w:rsidR="0011486F" w:rsidRPr="00A00187">
        <w:t>soudů spadajících pod KS Ústí nad Labem a pod KS Brno</w:t>
      </w:r>
      <w:r w:rsidR="003349FF" w:rsidRPr="00A00187">
        <w:t xml:space="preserve">. Tyto </w:t>
      </w:r>
      <w:r w:rsidR="0019021B" w:rsidRPr="00A00187">
        <w:t xml:space="preserve">soudy </w:t>
      </w:r>
      <w:r w:rsidR="003349FF" w:rsidRPr="00A00187">
        <w:t xml:space="preserve">se během posledních </w:t>
      </w:r>
      <w:r w:rsidRPr="00A00187">
        <w:t>7</w:t>
      </w:r>
      <w:r>
        <w:t> </w:t>
      </w:r>
      <w:r w:rsidR="003349FF" w:rsidRPr="00A00187">
        <w:t xml:space="preserve">let zlepšily tak, že </w:t>
      </w:r>
      <w:r w:rsidRPr="00A00187">
        <w:t>v</w:t>
      </w:r>
      <w:r>
        <w:t> </w:t>
      </w:r>
      <w:r w:rsidR="00EE781C" w:rsidRPr="00A00187">
        <w:t xml:space="preserve">podstatě </w:t>
      </w:r>
      <w:r w:rsidR="003349FF" w:rsidRPr="00A00187">
        <w:t xml:space="preserve">již </w:t>
      </w:r>
      <w:r w:rsidR="0007585E" w:rsidRPr="00A00187">
        <w:t>dostihly</w:t>
      </w:r>
      <w:r w:rsidR="003349FF" w:rsidRPr="00A00187">
        <w:t xml:space="preserve"> soudy spadající pod MS Praha.</w:t>
      </w:r>
    </w:p>
    <w:p w14:paraId="095B3724" w14:textId="354AB0D3" w:rsidR="009022A2" w:rsidRPr="00A00187" w:rsidRDefault="008A1BCC" w:rsidP="009022A2">
      <w:pPr>
        <w:pStyle w:val="Podnadpis"/>
        <w:rPr>
          <w:color w:val="auto"/>
        </w:rPr>
      </w:pPr>
      <w:bookmarkStart w:id="123" w:name="_Toc43841387"/>
      <w:bookmarkStart w:id="124" w:name="_Toc75952187"/>
      <w:bookmarkStart w:id="125" w:name="_Toc106106641"/>
      <w:bookmarkStart w:id="126" w:name="_Toc109801965"/>
      <w:r w:rsidRPr="00A00187">
        <w:rPr>
          <w:noProof/>
          <w:color w:val="auto"/>
        </w:rPr>
        <w:drawing>
          <wp:anchor distT="0" distB="0" distL="114300" distR="114300" simplePos="0" relativeHeight="251698176" behindDoc="0" locked="0" layoutInCell="1" allowOverlap="1" wp14:anchorId="1EAE9519" wp14:editId="337499D1">
            <wp:simplePos x="0" y="0"/>
            <wp:positionH relativeFrom="column">
              <wp:posOffset>4452620</wp:posOffset>
            </wp:positionH>
            <wp:positionV relativeFrom="paragraph">
              <wp:posOffset>169545</wp:posOffset>
            </wp:positionV>
            <wp:extent cx="1280795" cy="931756"/>
            <wp:effectExtent l="0" t="0" r="0" b="1905"/>
            <wp:wrapNone/>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795" cy="9317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22A2" w:rsidRPr="00A00187">
        <w:rPr>
          <w:color w:val="auto"/>
        </w:rPr>
        <w:t xml:space="preserve">Graf </w:t>
      </w:r>
      <w:r w:rsidR="009022A2" w:rsidRPr="00A00187">
        <w:rPr>
          <w:color w:val="auto"/>
        </w:rPr>
        <w:fldChar w:fldCharType="begin"/>
      </w:r>
      <w:r w:rsidR="009022A2" w:rsidRPr="00A00187">
        <w:rPr>
          <w:color w:val="auto"/>
        </w:rPr>
        <w:instrText xml:space="preserve"> SEQ Graf \* ARABIC </w:instrText>
      </w:r>
      <w:r w:rsidR="009022A2" w:rsidRPr="00A00187">
        <w:rPr>
          <w:color w:val="auto"/>
        </w:rPr>
        <w:fldChar w:fldCharType="separate"/>
      </w:r>
      <w:r w:rsidR="00DE6B5E">
        <w:rPr>
          <w:noProof/>
          <w:color w:val="auto"/>
        </w:rPr>
        <w:t>7</w:t>
      </w:r>
      <w:r w:rsidR="009022A2" w:rsidRPr="00A00187">
        <w:rPr>
          <w:color w:val="auto"/>
        </w:rPr>
        <w:fldChar w:fldCharType="end"/>
      </w:r>
      <w:r w:rsidR="009022A2" w:rsidRPr="00A00187">
        <w:rPr>
          <w:color w:val="auto"/>
        </w:rPr>
        <w:t>: OS – mediánové délky civilního řízení u jednotlivých soudů</w:t>
      </w:r>
      <w:bookmarkEnd w:id="123"/>
      <w:bookmarkEnd w:id="124"/>
      <w:bookmarkEnd w:id="125"/>
      <w:bookmarkEnd w:id="126"/>
    </w:p>
    <w:p w14:paraId="21F8E983" w14:textId="05F8964F" w:rsidR="0011486F" w:rsidRPr="00A00187" w:rsidRDefault="00E97D9D" w:rsidP="008C5D8B">
      <w:r w:rsidRPr="00A00187">
        <w:rPr>
          <w:noProof/>
        </w:rPr>
        <w:drawing>
          <wp:inline distT="0" distB="0" distL="0" distR="0" wp14:anchorId="4E7D34DF" wp14:editId="51C2BCB8">
            <wp:extent cx="5759450" cy="3296285"/>
            <wp:effectExtent l="0" t="0" r="0" b="0"/>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408E8A6D" w14:textId="77777777" w:rsidR="00CB570A" w:rsidRDefault="008A1BCC" w:rsidP="008C5D8B">
      <w:r w:rsidRPr="00A00187">
        <w:t>Je třeba upozornit, že byly změněny (zkráceny) intervaly v kartogramu. Proto celý kartogram „ztmavl“ oproti kartogramu ve zprávě za rok 2020.</w:t>
      </w:r>
    </w:p>
    <w:p w14:paraId="2C908B0C" w14:textId="628ACE1E" w:rsidR="00CB570A" w:rsidRDefault="007B750F" w:rsidP="008C5D8B">
      <w:r w:rsidRPr="00A00187">
        <w:t>Nejrychlejší soudy v roce 202</w:t>
      </w:r>
      <w:r w:rsidR="004B46C6" w:rsidRPr="00A00187">
        <w:t>1</w:t>
      </w:r>
      <w:r w:rsidRPr="00A00187">
        <w:t xml:space="preserve"> byly OS pro Prahu </w:t>
      </w:r>
      <w:r w:rsidR="00726EC3" w:rsidRPr="00A00187">
        <w:t>5</w:t>
      </w:r>
      <w:r w:rsidR="00726EC3">
        <w:t xml:space="preserve"> </w:t>
      </w:r>
      <w:r w:rsidRPr="00A00187">
        <w:t>(medián 9</w:t>
      </w:r>
      <w:r w:rsidR="00EC7F3D" w:rsidRPr="00A00187">
        <w:t>4</w:t>
      </w:r>
      <w:r w:rsidRPr="00A00187">
        <w:t xml:space="preserve"> dnů), OS </w:t>
      </w:r>
      <w:r w:rsidR="00EC7F3D" w:rsidRPr="00A00187">
        <w:t>Karlovy Vary</w:t>
      </w:r>
      <w:r w:rsidRPr="00A00187">
        <w:t xml:space="preserve"> (medián </w:t>
      </w:r>
      <w:r w:rsidR="00EC7F3D" w:rsidRPr="00A00187">
        <w:t>103</w:t>
      </w:r>
      <w:r w:rsidRPr="00A00187">
        <w:t xml:space="preserve"> dnů), OS </w:t>
      </w:r>
      <w:r w:rsidR="00EC7F3D" w:rsidRPr="00A00187">
        <w:t>Kutná Hora</w:t>
      </w:r>
      <w:r w:rsidRPr="00A00187">
        <w:t xml:space="preserve"> (10</w:t>
      </w:r>
      <w:r w:rsidR="00EC7F3D" w:rsidRPr="00A00187">
        <w:t>6</w:t>
      </w:r>
      <w:r w:rsidRPr="00A00187">
        <w:t> dnů). Naopak nejpomalejší jsou OS pro Prahu</w:t>
      </w:r>
      <w:r w:rsidR="00726EC3">
        <w:t> </w:t>
      </w:r>
      <w:r w:rsidRPr="00A00187">
        <w:t>7 (</w:t>
      </w:r>
      <w:r w:rsidR="00DB37B3" w:rsidRPr="00A00187">
        <w:t>354</w:t>
      </w:r>
      <w:r w:rsidRPr="00A00187">
        <w:t> dnů), OS Liberec (</w:t>
      </w:r>
      <w:r w:rsidR="00DB37B3" w:rsidRPr="00A00187">
        <w:t>291</w:t>
      </w:r>
      <w:r w:rsidRPr="00A00187">
        <w:t xml:space="preserve"> dnů) a OS </w:t>
      </w:r>
      <w:r w:rsidR="00DB37B3" w:rsidRPr="00A00187">
        <w:t xml:space="preserve">Chomutov </w:t>
      </w:r>
      <w:r w:rsidRPr="00A00187">
        <w:t>(</w:t>
      </w:r>
      <w:r w:rsidR="00DB37B3" w:rsidRPr="00A00187">
        <w:t>279</w:t>
      </w:r>
      <w:r w:rsidRPr="00A00187">
        <w:t xml:space="preserve"> dnů). Za zmínku rozhodně stojí OS Chomutov, který </w:t>
      </w:r>
      <w:r w:rsidR="00D8701B" w:rsidRPr="00A00187">
        <w:t>vykazuje následující délky řízení:</w:t>
      </w:r>
    </w:p>
    <w:p w14:paraId="130D72B7" w14:textId="37615898" w:rsidR="00D8701B" w:rsidRPr="00A00187" w:rsidRDefault="00D8701B" w:rsidP="008C5D8B">
      <w:r w:rsidRPr="00A00187">
        <w:t>2017 = 682</w:t>
      </w:r>
    </w:p>
    <w:p w14:paraId="31246CAD" w14:textId="2B6FC8E1" w:rsidR="00D8701B" w:rsidRPr="00A00187" w:rsidRDefault="00D8701B" w:rsidP="008C5D8B">
      <w:r w:rsidRPr="00A00187">
        <w:t>2018 = 401</w:t>
      </w:r>
    </w:p>
    <w:p w14:paraId="11B6B8E3" w14:textId="68F1D15A" w:rsidR="00D8701B" w:rsidRPr="00A00187" w:rsidRDefault="00D8701B" w:rsidP="008C5D8B">
      <w:r w:rsidRPr="00A00187">
        <w:t>2019 = 334</w:t>
      </w:r>
    </w:p>
    <w:p w14:paraId="55BA3A1F" w14:textId="6E1C7F35" w:rsidR="00D8701B" w:rsidRPr="00A00187" w:rsidRDefault="00D8701B" w:rsidP="008C5D8B">
      <w:r w:rsidRPr="00A00187">
        <w:t>2020 = 300</w:t>
      </w:r>
    </w:p>
    <w:p w14:paraId="5D667CBF" w14:textId="0D5D30DB" w:rsidR="00D8701B" w:rsidRPr="00A00187" w:rsidRDefault="00D8701B" w:rsidP="008C5D8B">
      <w:r w:rsidRPr="00A00187">
        <w:t>2021 = 279</w:t>
      </w:r>
    </w:p>
    <w:p w14:paraId="041E731A" w14:textId="3A99854A" w:rsidR="00CB570A" w:rsidRDefault="00EC7F3D" w:rsidP="008C5D8B">
      <w:r w:rsidRPr="00A00187">
        <w:t xml:space="preserve">Soud rovněž výrazně snížil počet nedodělků. </w:t>
      </w:r>
      <w:r w:rsidR="00DB37B3" w:rsidRPr="00A00187">
        <w:t>Dále</w:t>
      </w:r>
      <w:r w:rsidR="007B750F" w:rsidRPr="00A00187">
        <w:t xml:space="preserve"> </w:t>
      </w:r>
      <w:r w:rsidR="00DB37B3" w:rsidRPr="00A00187">
        <w:t>j</w:t>
      </w:r>
      <w:r w:rsidR="007B750F" w:rsidRPr="00A00187">
        <w:t xml:space="preserve">e třeba zmínit, že </w:t>
      </w:r>
      <w:r w:rsidR="003349FF" w:rsidRPr="00A00187">
        <w:t>poslední</w:t>
      </w:r>
      <w:r w:rsidR="00DB37B3" w:rsidRPr="00A00187">
        <w:t xml:space="preserve"> místo</w:t>
      </w:r>
      <w:r w:rsidR="007B750F" w:rsidRPr="00A00187">
        <w:t xml:space="preserve"> OS pro Prahu</w:t>
      </w:r>
      <w:r w:rsidR="00726EC3">
        <w:t> </w:t>
      </w:r>
      <w:r w:rsidR="007B750F" w:rsidRPr="00A00187">
        <w:t>7 má svůj důvod – jedná se o malý soud a </w:t>
      </w:r>
      <w:r w:rsidR="00DB37B3" w:rsidRPr="00A00187">
        <w:t xml:space="preserve">v roce 2020 </w:t>
      </w:r>
      <w:r w:rsidR="00726EC3" w:rsidRPr="00A00187">
        <w:t>u</w:t>
      </w:r>
      <w:r w:rsidR="00726EC3">
        <w:t> </w:t>
      </w:r>
      <w:r w:rsidR="007B750F" w:rsidRPr="00A00187">
        <w:t>něj</w:t>
      </w:r>
      <w:r w:rsidR="00DB37B3" w:rsidRPr="00A00187">
        <w:t xml:space="preserve"> „vypadl“</w:t>
      </w:r>
      <w:r w:rsidR="007B750F" w:rsidRPr="00A00187">
        <w:t xml:space="preserve"> jeden soudce.</w:t>
      </w:r>
      <w:r w:rsidR="003349FF" w:rsidRPr="00A00187">
        <w:t xml:space="preserve"> Soudce již byl doplněn.</w:t>
      </w:r>
    </w:p>
    <w:p w14:paraId="2B25698B" w14:textId="40331E4E" w:rsidR="00CE0768" w:rsidRPr="00A00187" w:rsidRDefault="00CE0768">
      <w:pPr>
        <w:spacing w:after="160" w:line="259" w:lineRule="auto"/>
        <w:jc w:val="left"/>
      </w:pPr>
      <w:r w:rsidRPr="00A00187">
        <w:br w:type="page"/>
      </w:r>
    </w:p>
    <w:p w14:paraId="554EB36A" w14:textId="77777777" w:rsidR="00CE0768" w:rsidRPr="00A00187" w:rsidRDefault="00CE0768" w:rsidP="00CE0768">
      <w:pPr>
        <w:pStyle w:val="OdstavecASR"/>
      </w:pPr>
      <w:r w:rsidRPr="00A00187">
        <w:lastRenderedPageBreak/>
        <w:t>Hypotézu snižování rozdílů mezi soudy můžeme jednoduše potvrdit pomocí krabicových grafů (graf </w:t>
      </w:r>
      <w:r w:rsidRPr="00A00187">
        <w:rPr>
          <w:noProof/>
        </w:rPr>
        <w:t>8</w:t>
      </w:r>
      <w:r w:rsidRPr="00A00187">
        <w:t>). Krabicový graf je blíže popsán v seznamu použitých pojmů v příloze. V grafu jsou vedle sebe znázorněny krabicové grafy pro roky 2008–2021 s mediánovými délkami řízení jednotlivých soudů.</w:t>
      </w:r>
    </w:p>
    <w:p w14:paraId="4745D302" w14:textId="45A405C3" w:rsidR="00CE0768" w:rsidRPr="00A00187" w:rsidRDefault="00CE0768" w:rsidP="00CE0768">
      <w:pPr>
        <w:pStyle w:val="OdstavecASR"/>
      </w:pPr>
      <w:r w:rsidRPr="00A00187">
        <w:t>Graf potvrzuje to, co již naznačují výše uvedená data. Jasně z něj vyplývá, že v letech s nejvyšší mediánovou délkou řízení (úsečka uvnitř šedého boxu, kdy box znázorňuje 25 % počtu OS pod mediánem a 25 % OS nad mediánem, celkem tedy 43 soudů) byla variabilita mezi soudy výrazně vyšší (vyjádřená délkou tzv. vousů). Vysoké délky řízení byly tedy způsobeny malou skupinou soudů (znázorněny jako tečky, z nichž každá představuje jeden OS s extrémní délkou řízení) především v Severočeském a Jihomoravském kraji. Proto tyto soudy Ministerstvo spravedlnosti v několika etapách jmenování soudců personálně posílilo, aby mohly lépe vyřídit své nedodělky.</w:t>
      </w:r>
    </w:p>
    <w:p w14:paraId="69D8FAF1" w14:textId="77777777" w:rsidR="00CB570A" w:rsidRDefault="00CE0768" w:rsidP="00CE0768">
      <w:pPr>
        <w:pStyle w:val="OdstavecASR"/>
      </w:pPr>
      <w:r w:rsidRPr="00A00187">
        <w:t>Graf také potvrzuje hypotézu snižování rozdílů mezi soudy. Délky řízení i jejich variabilita se v posledních letech postupně snižovaly, a to až do roku 2019. V krabicových grafech to je zcela jasně vidět – zmenšuje se box, zkracují se vousy a odlehlé hodnoty se přibližují. V roce 2018 byly v datech pouze 4 odlehlé hodnoty a všechny 4 leží poměrně blízko horní přilehlé hodnotě. V roce 2019 se dvě nejodlehlejší hodnoty (Chomutov a Břeclav) opět přiblížily k boxu. V roce 2020 se opět jedna hodnota oddálila od boxu. Jedná se o již zmiňovaný OS pro Prahu 7, kde mediánová délka řízení vzrostla z 316 dnů na 419 dnů.</w:t>
      </w:r>
      <w:r w:rsidR="00AB3D22" w:rsidRPr="00A00187">
        <w:t xml:space="preserve"> V roce 2021</w:t>
      </w:r>
      <w:r w:rsidR="00EC7F3D" w:rsidRPr="00A00187">
        <w:t xml:space="preserve"> pak již zbyla jediná odlehlá hodnota – OS pro Prahu 7. Hodnota se ale přiblížila k boxu.</w:t>
      </w:r>
    </w:p>
    <w:p w14:paraId="462B90E2" w14:textId="4B134326" w:rsidR="009022A2" w:rsidRPr="00A00187" w:rsidRDefault="009022A2" w:rsidP="009022A2">
      <w:pPr>
        <w:pStyle w:val="Podnadpis"/>
        <w:rPr>
          <w:color w:val="auto"/>
        </w:rPr>
      </w:pPr>
      <w:bookmarkStart w:id="127" w:name="_Ref509212914"/>
      <w:bookmarkStart w:id="128" w:name="_Toc515871333"/>
      <w:bookmarkStart w:id="129" w:name="_Toc11135069"/>
      <w:bookmarkStart w:id="130" w:name="_Toc43841388"/>
      <w:bookmarkStart w:id="131" w:name="_Toc75952188"/>
      <w:bookmarkStart w:id="132" w:name="_Toc106106642"/>
      <w:bookmarkStart w:id="133" w:name="_Toc109801966"/>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w:t>
      </w:r>
      <w:r w:rsidRPr="00A00187">
        <w:rPr>
          <w:color w:val="auto"/>
        </w:rPr>
        <w:fldChar w:fldCharType="end"/>
      </w:r>
      <w:bookmarkEnd w:id="127"/>
      <w:r w:rsidRPr="00A00187">
        <w:rPr>
          <w:color w:val="auto"/>
        </w:rPr>
        <w:t>: OS – krabicové grafy, mediánové délky civilního řízení</w:t>
      </w:r>
      <w:bookmarkEnd w:id="128"/>
      <w:bookmarkEnd w:id="129"/>
      <w:bookmarkEnd w:id="130"/>
      <w:bookmarkEnd w:id="131"/>
      <w:bookmarkEnd w:id="132"/>
      <w:bookmarkEnd w:id="133"/>
    </w:p>
    <w:p w14:paraId="19F79EBA" w14:textId="4E50DE7F" w:rsidR="0045091D" w:rsidRPr="00A00187" w:rsidRDefault="009022A2" w:rsidP="008C5D8B">
      <w:r w:rsidRPr="00A00187">
        <w:rPr>
          <w:noProof/>
        </w:rPr>
        <w:drawing>
          <wp:inline distT="0" distB="0" distL="0" distR="0" wp14:anchorId="39C64FC9" wp14:editId="4A798208">
            <wp:extent cx="5029200" cy="36576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9B20E1" w14:textId="77777777" w:rsidR="00565991" w:rsidRPr="00A00187" w:rsidRDefault="00565991">
      <w:pPr>
        <w:spacing w:after="160" w:line="259" w:lineRule="auto"/>
        <w:jc w:val="left"/>
      </w:pPr>
      <w:r w:rsidRPr="00A00187">
        <w:br w:type="page"/>
      </w:r>
    </w:p>
    <w:p w14:paraId="1D3F4160" w14:textId="3F4F685A" w:rsidR="00565991" w:rsidRPr="00A00187" w:rsidRDefault="00565991" w:rsidP="00565991">
      <w:pPr>
        <w:pStyle w:val="OdstavecASR"/>
      </w:pPr>
      <w:r w:rsidRPr="00A00187">
        <w:lastRenderedPageBreak/>
        <w:t>Zkracující se délka řízení v letech 2014 a</w:t>
      </w:r>
      <w:r w:rsidR="00754059" w:rsidRPr="00A00187">
        <w:t>ž</w:t>
      </w:r>
      <w:r w:rsidR="00806CD7" w:rsidRPr="00A00187">
        <w:t xml:space="preserve"> </w:t>
      </w:r>
      <w:r w:rsidRPr="00A00187">
        <w:t>2019 (a také snižující se počet nevyřízených věcí, který je zachycen v následujících podkapitolách) má tři hlavní důvody:</w:t>
      </w:r>
    </w:p>
    <w:p w14:paraId="1EBBC3B0" w14:textId="77777777" w:rsidR="00565991" w:rsidRPr="00A00187" w:rsidRDefault="00565991" w:rsidP="00565991">
      <w:pPr>
        <w:pStyle w:val="Odstavecseseznamem"/>
        <w:numPr>
          <w:ilvl w:val="0"/>
          <w:numId w:val="5"/>
        </w:numPr>
      </w:pPr>
      <w:r w:rsidRPr="00A00187">
        <w:t>Zefektivnění práce soudů s velkým množstvím nevyřízených věcí a značnými délkami řízení.</w:t>
      </w:r>
    </w:p>
    <w:p w14:paraId="244EF92D" w14:textId="77777777" w:rsidR="00565991" w:rsidRPr="00A00187" w:rsidRDefault="00565991" w:rsidP="00565991">
      <w:pPr>
        <w:pStyle w:val="Odstavecseseznamem"/>
        <w:numPr>
          <w:ilvl w:val="0"/>
          <w:numId w:val="5"/>
        </w:numPr>
      </w:pPr>
      <w:r w:rsidRPr="00A00187">
        <w:t>Personální posilování těchto soudů.</w:t>
      </w:r>
    </w:p>
    <w:p w14:paraId="04B9FCB5" w14:textId="77777777" w:rsidR="00565991" w:rsidRPr="00A00187" w:rsidRDefault="00565991" w:rsidP="00565991">
      <w:pPr>
        <w:pStyle w:val="Odstavecseseznamem"/>
        <w:numPr>
          <w:ilvl w:val="0"/>
          <w:numId w:val="5"/>
        </w:numPr>
      </w:pPr>
      <w:r w:rsidRPr="00A00187">
        <w:t>Celorepublikový pokles v počtu napadlých věcí.</w:t>
      </w:r>
    </w:p>
    <w:p w14:paraId="6E20588F" w14:textId="0D7DA583" w:rsidR="00565991" w:rsidRPr="00A00187" w:rsidRDefault="00565991" w:rsidP="00565991">
      <w:pPr>
        <w:pStyle w:val="OdstavecASR"/>
      </w:pPr>
      <w:r w:rsidRPr="00A00187">
        <w:t>Zastavení trendu v roce 202</w:t>
      </w:r>
      <w:r w:rsidR="00A803B0" w:rsidRPr="00A00187">
        <w:t>1</w:t>
      </w:r>
      <w:r w:rsidRPr="00A00187">
        <w:t xml:space="preserve"> může být způsoben</w:t>
      </w:r>
      <w:r w:rsidR="00754059" w:rsidRPr="00A00187">
        <w:t>o</w:t>
      </w:r>
      <w:r w:rsidR="00FB58E9" w:rsidRPr="00A00187">
        <w:t xml:space="preserve"> </w:t>
      </w:r>
      <w:r w:rsidRPr="00A00187">
        <w:t>tím, že soudy již vyčerpaly své možnosti zlepšování a délky řízení a situace u soudů se nyní nachází v jakémsi rovnovážném stavu. Některé soudy se zlepšují, jiné naopak zhoršují. Vliv na délku řízení ale může mít i pandemie COVID</w:t>
      </w:r>
      <w:r w:rsidRPr="00A00187">
        <w:noBreakHyphen/>
        <w:t xml:space="preserve">19 a restrikce ke zbrzdění jejího šíření. To platí </w:t>
      </w:r>
      <w:r w:rsidR="00754059" w:rsidRPr="00A00187">
        <w:t xml:space="preserve">zejména </w:t>
      </w:r>
      <w:r w:rsidRPr="00A00187">
        <w:t xml:space="preserve">pro rok 2020, </w:t>
      </w:r>
      <w:r w:rsidR="00754059" w:rsidRPr="00A00187">
        <w:t>dost možná ale i </w:t>
      </w:r>
      <w:r w:rsidRPr="00A00187">
        <w:t>pro rok 2021.</w:t>
      </w:r>
    </w:p>
    <w:p w14:paraId="69F2579D" w14:textId="456A0F08" w:rsidR="00565991" w:rsidRPr="00A00187" w:rsidRDefault="00565991" w:rsidP="00565991">
      <w:pPr>
        <w:pStyle w:val="OdstavecASR"/>
      </w:pPr>
      <w:r w:rsidRPr="00A00187">
        <w:t>Na délky řízení v roce 2021 se nakonec podíváme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 Například:</w:t>
      </w:r>
    </w:p>
    <w:p w14:paraId="11181102" w14:textId="77777777" w:rsidR="00565991" w:rsidRPr="00A00187" w:rsidRDefault="00565991" w:rsidP="00565991">
      <w:pPr>
        <w:pStyle w:val="Odstavecseseznamem"/>
        <w:numPr>
          <w:ilvl w:val="0"/>
          <w:numId w:val="9"/>
        </w:numPr>
      </w:pPr>
      <w:r w:rsidRPr="00A00187">
        <w:t>Jen asi 4 % věcí byla vyřízena za více než 1 000 dnů.</w:t>
      </w:r>
    </w:p>
    <w:p w14:paraId="63512D93" w14:textId="77777777" w:rsidR="00565991" w:rsidRPr="00A00187" w:rsidRDefault="00565991" w:rsidP="00565991">
      <w:pPr>
        <w:pStyle w:val="Odstavecseseznamem"/>
        <w:numPr>
          <w:ilvl w:val="0"/>
          <w:numId w:val="8"/>
        </w:numPr>
        <w:ind w:left="714" w:hanging="357"/>
        <w:jc w:val="left"/>
      </w:pPr>
      <w:r w:rsidRPr="00A00187">
        <w:t>Přibližně 7 % věcí bylo vyřízeno velice rychle – do 80 dnů.</w:t>
      </w:r>
    </w:p>
    <w:p w14:paraId="3C4E54EB" w14:textId="0154E646" w:rsidR="00565991" w:rsidRPr="00A00187" w:rsidRDefault="00565991" w:rsidP="00565991">
      <w:pPr>
        <w:pStyle w:val="Odstavecseseznamem"/>
        <w:numPr>
          <w:ilvl w:val="0"/>
          <w:numId w:val="8"/>
        </w:numPr>
        <w:ind w:left="714" w:hanging="357"/>
      </w:pPr>
      <w:r w:rsidRPr="00A00187">
        <w:t>Největší skupina věcí (přes 20 %) byla vyřízena za 121 až 160 dnů.</w:t>
      </w:r>
    </w:p>
    <w:p w14:paraId="7ECF0C74" w14:textId="56CDD436" w:rsidR="00CC0D66" w:rsidRPr="00A00187" w:rsidRDefault="00CC0D66" w:rsidP="00CC0D66">
      <w:pPr>
        <w:pStyle w:val="OdstavecASR"/>
      </w:pPr>
      <w:r w:rsidRPr="00A00187">
        <w:t xml:space="preserve">Oproti roku 2020 se rozdělení délek řízení v roce 2021 </w:t>
      </w:r>
      <w:r w:rsidR="00565991" w:rsidRPr="00A00187">
        <w:t>změnilo jen velmi mírně.</w:t>
      </w:r>
    </w:p>
    <w:p w14:paraId="66307E7E" w14:textId="7477206E" w:rsidR="008C5D8B" w:rsidRPr="00A00187" w:rsidRDefault="00CC0D66" w:rsidP="00CC0D66">
      <w:pPr>
        <w:pStyle w:val="Podnadpis"/>
        <w:rPr>
          <w:color w:val="auto"/>
        </w:rPr>
      </w:pPr>
      <w:bookmarkStart w:id="134" w:name="_Toc11135070"/>
      <w:bookmarkStart w:id="135" w:name="_Toc43841389"/>
      <w:bookmarkStart w:id="136" w:name="_Toc75952189"/>
      <w:bookmarkStart w:id="137" w:name="_Toc106106643"/>
      <w:bookmarkStart w:id="138" w:name="_Toc109801967"/>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9</w:t>
      </w:r>
      <w:r w:rsidRPr="00A00187">
        <w:rPr>
          <w:color w:val="auto"/>
        </w:rPr>
        <w:fldChar w:fldCharType="end"/>
      </w:r>
      <w:r w:rsidRPr="00A00187">
        <w:rPr>
          <w:color w:val="auto"/>
        </w:rPr>
        <w:t>: OS – distribuce délek civilního řízení</w:t>
      </w:r>
      <w:bookmarkEnd w:id="134"/>
      <w:bookmarkEnd w:id="135"/>
      <w:bookmarkEnd w:id="136"/>
      <w:bookmarkEnd w:id="137"/>
      <w:bookmarkEnd w:id="138"/>
    </w:p>
    <w:p w14:paraId="3FCFE174" w14:textId="0FE40846" w:rsidR="00886F3C" w:rsidRPr="00A00187" w:rsidRDefault="00886F3C" w:rsidP="008C5D8B">
      <w:r w:rsidRPr="00A00187">
        <w:rPr>
          <w:noProof/>
        </w:rPr>
        <w:drawing>
          <wp:inline distT="0" distB="0" distL="0" distR="0" wp14:anchorId="6D5942CF" wp14:editId="45BD72A5">
            <wp:extent cx="5029200" cy="36576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B98D5CF" w14:textId="6953450C" w:rsidR="00886F3C" w:rsidRPr="00A00187" w:rsidRDefault="00886F3C" w:rsidP="008C5D8B"/>
    <w:p w14:paraId="3A8CC2BD" w14:textId="77777777" w:rsidR="00886F3C" w:rsidRPr="00A00187" w:rsidRDefault="00886F3C" w:rsidP="008C5D8B"/>
    <w:p w14:paraId="29F7D44B" w14:textId="326DFB12" w:rsidR="008430BD" w:rsidRPr="00A00187" w:rsidRDefault="008430BD" w:rsidP="008430BD">
      <w:pPr>
        <w:pStyle w:val="Nadpis3"/>
        <w:numPr>
          <w:ilvl w:val="2"/>
          <w:numId w:val="1"/>
        </w:numPr>
        <w:rPr>
          <w:color w:val="auto"/>
        </w:rPr>
      </w:pPr>
      <w:bookmarkStart w:id="139" w:name="_Ref509669257"/>
      <w:bookmarkStart w:id="140" w:name="_Toc515871222"/>
      <w:bookmarkStart w:id="141" w:name="_Toc106092719"/>
      <w:bookmarkStart w:id="142" w:name="_Toc109801335"/>
      <w:r w:rsidRPr="00A00187">
        <w:rPr>
          <w:color w:val="auto"/>
        </w:rPr>
        <w:lastRenderedPageBreak/>
        <w:t>Vyřizování věcí</w:t>
      </w:r>
      <w:bookmarkEnd w:id="139"/>
      <w:bookmarkEnd w:id="140"/>
      <w:bookmarkEnd w:id="141"/>
      <w:bookmarkEnd w:id="142"/>
    </w:p>
    <w:p w14:paraId="778C0247" w14:textId="790332D1" w:rsidR="00565991" w:rsidRPr="00A00187" w:rsidRDefault="00565991" w:rsidP="00565991">
      <w:pPr>
        <w:pStyle w:val="OdstavecASR"/>
      </w:pPr>
      <w:r w:rsidRPr="00A00187">
        <w:t>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Graf </w:t>
      </w:r>
      <w:r w:rsidRPr="00A00187">
        <w:rPr>
          <w:noProof/>
        </w:rPr>
        <w:t>10</w:t>
      </w:r>
      <w:r w:rsidRPr="00A00187">
        <w:t xml:space="preserve"> ukazuje vývoj těchto proměnných v letech 2008–2021. Z grafu je patrné, že počet příchozích (nápad + obživa) a vyřízených věcí jsou silně korelovány. Vztah je v tomto případě kauzální (příčinný). Velký nárůst v počtu napadlých (a tedy i vyřízených) věcí v roce 2009 je způsoben zavedením elektronického platebního rozkazu a změnami ve vedení statistik. Na rozdíl od dat ze SL nelze v tomto případě data o tyto věci očistit (tj. odstranit z dat příslušná pozorování). Nárůst v roce 2013 pravděpodobně způsobilo snížení soudních poplatků za podání EPR. Část věcí z EPR, které neskončí pravomocným elektronickým platebním rozkazem, je následně převedena do rejstříku C. Rejstříku EPR se více věnuje následující kapitola. Od roku 2014 převyšuje počet vyřízených věcí počet věcí příchozích, třebaže v letech 2017 a 2018 jen velmi mírně. V roce 2019 opět došlo k navýšení rozdílu mezi příchozími a vyřízenými věcmi. Díky tomu se v posledních letech dařilo snižovat počet nevyřízených věcí. Tento výsledek plně koresponduje se snižováním délek řízení. Důvody pro snižování počtu nevyřízených věcí jsou logicky stejné jako u délky řízení.</w:t>
      </w:r>
    </w:p>
    <w:p w14:paraId="51404FAF" w14:textId="2A8D3228" w:rsidR="00565991" w:rsidRPr="00A00187" w:rsidRDefault="00565991" w:rsidP="00565991">
      <w:pPr>
        <w:pStyle w:val="OdstavecASR"/>
      </w:pPr>
      <w:r w:rsidRPr="00A00187">
        <w:t>V roce 20</w:t>
      </w:r>
      <w:r w:rsidR="00E706B0" w:rsidRPr="00A00187">
        <w:t>20</w:t>
      </w:r>
      <w:r w:rsidRPr="00A00187">
        <w:t xml:space="preserve"> došlo stejně jako u délek řízení po 6 letech k mírnému nárůstu počtu nevyřízených věcí. Všechny kraje měly míru vyřizování pod 100 %. Ve všech krajích klesl počet vyřízených věcí a ve všech krajích s výjimkou kraje Západočeského klesl počet příchozích věcí. Většina těchto okolností (pokles příchozích věcí, pokles vyřízených věcí, nárůst nevyřízených věcí) ukazuje na to, že soudy byly ovlivněny nemocí COVID</w:t>
      </w:r>
      <w:r w:rsidRPr="00A00187">
        <w:noBreakHyphen/>
        <w:t>19 a </w:t>
      </w:r>
      <w:r w:rsidR="00ED1DBA" w:rsidRPr="00A00187">
        <w:t xml:space="preserve">vládními </w:t>
      </w:r>
      <w:r w:rsidRPr="00A00187">
        <w:t>restrikc</w:t>
      </w:r>
      <w:r w:rsidR="00ED1DBA" w:rsidRPr="00A00187">
        <w:t>emi</w:t>
      </w:r>
      <w:r w:rsidRPr="00A00187">
        <w:t xml:space="preserve"> ke zbrzdění jeho šíření. Onemocnění COVID</w:t>
      </w:r>
      <w:r w:rsidRPr="00A00187">
        <w:noBreakHyphen/>
        <w:t>19 zřejmě způsobilo pokles v nápadu a rovněž byla omezena funkčnost soudů, z čehož plyne pokles v počtu vyřízených věcí.</w:t>
      </w:r>
    </w:p>
    <w:p w14:paraId="2B3DCA03" w14:textId="7858C9AB" w:rsidR="00565991" w:rsidRPr="00A00187" w:rsidRDefault="00565991" w:rsidP="00565991">
      <w:pPr>
        <w:pStyle w:val="Podnadpis"/>
        <w:rPr>
          <w:color w:val="auto"/>
        </w:rPr>
      </w:pPr>
      <w:bookmarkStart w:id="143" w:name="_Ref509225924"/>
      <w:bookmarkStart w:id="144" w:name="_Toc515871335"/>
      <w:bookmarkStart w:id="145" w:name="_Toc11135071"/>
      <w:bookmarkStart w:id="146" w:name="_Toc43841390"/>
      <w:bookmarkStart w:id="147" w:name="_Toc75952190"/>
      <w:bookmarkStart w:id="148" w:name="_Toc106106644"/>
      <w:bookmarkStart w:id="149" w:name="_Toc10980196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w:t>
      </w:r>
      <w:r w:rsidRPr="00A00187">
        <w:rPr>
          <w:color w:val="auto"/>
        </w:rPr>
        <w:fldChar w:fldCharType="end"/>
      </w:r>
      <w:bookmarkEnd w:id="143"/>
      <w:r w:rsidRPr="00A00187">
        <w:rPr>
          <w:color w:val="auto"/>
        </w:rPr>
        <w:t>: OS – vyřizování civilních věcí v letech 2008–20</w:t>
      </w:r>
      <w:bookmarkEnd w:id="144"/>
      <w:bookmarkEnd w:id="145"/>
      <w:bookmarkEnd w:id="146"/>
      <w:r w:rsidRPr="00A00187">
        <w:rPr>
          <w:color w:val="auto"/>
        </w:rPr>
        <w:t>2</w:t>
      </w:r>
      <w:bookmarkEnd w:id="147"/>
      <w:r w:rsidRPr="00A00187">
        <w:rPr>
          <w:color w:val="auto"/>
        </w:rPr>
        <w:t>1</w:t>
      </w:r>
      <w:bookmarkEnd w:id="148"/>
      <w:bookmarkEnd w:id="149"/>
    </w:p>
    <w:p w14:paraId="4965EEAF" w14:textId="5F9F186C" w:rsidR="00565991" w:rsidRPr="00A00187" w:rsidRDefault="003D7D4F" w:rsidP="00565991">
      <w:r w:rsidRPr="00A00187">
        <w:rPr>
          <w:noProof/>
        </w:rPr>
        <w:drawing>
          <wp:inline distT="0" distB="0" distL="0" distR="0" wp14:anchorId="6AD7B1D2" wp14:editId="28F433BB">
            <wp:extent cx="5029200" cy="36576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2F0CDD4" w14:textId="4EC7E034" w:rsidR="00CB570A" w:rsidRDefault="003D7D4F" w:rsidP="00E706B0">
      <w:pPr>
        <w:pStyle w:val="OdstavecASR"/>
      </w:pPr>
      <w:r w:rsidRPr="00A00187">
        <w:lastRenderedPageBreak/>
        <w:t xml:space="preserve">V roce 2021 zůstal počet příchozích věcí v zásadě na úrovni roku 2020. Nápad byl zřejmě </w:t>
      </w:r>
      <w:r w:rsidR="00B00DE0" w:rsidRPr="00A00187">
        <w:t>rovněž</w:t>
      </w:r>
      <w:r w:rsidRPr="00A00187">
        <w:t xml:space="preserve"> ovlivněn pandemií COVID-19. Je samozřejmě otázkou, zda již na této úrovni zůstane </w:t>
      </w:r>
      <w:r w:rsidR="00726EC3" w:rsidRPr="00A00187">
        <w:t>i</w:t>
      </w:r>
      <w:r w:rsidR="00726EC3">
        <w:t> </w:t>
      </w:r>
      <w:r w:rsidRPr="00A00187">
        <w:t>v dalších letech nebo opět začne stoupat. Počet vyřízených věcí ale výrazně narostl, což by mohlo naznačovat, že počet vyřízených věcí v tomto roce pandemií příliš ovlivněn nebyl. Díky tomuto nárůstu došlo k poklesu v počtu nevyřízených věcí na nejnižší hodnotu za sledované období.</w:t>
      </w:r>
      <w:r w:rsidR="000E0C47" w:rsidRPr="00A00187">
        <w:t xml:space="preserve"> </w:t>
      </w:r>
      <w:r w:rsidR="00E706B0" w:rsidRPr="00A00187">
        <w:t>Všechny kraje</w:t>
      </w:r>
      <w:r w:rsidR="0007585E" w:rsidRPr="00A00187">
        <w:t>,</w:t>
      </w:r>
      <w:r w:rsidR="00E706B0" w:rsidRPr="00A00187">
        <w:t xml:space="preserve"> s výjimkou Severomoravského kraje</w:t>
      </w:r>
      <w:r w:rsidR="0007585E" w:rsidRPr="00A00187">
        <w:t>,</w:t>
      </w:r>
      <w:r w:rsidR="00E706B0" w:rsidRPr="00A00187">
        <w:t xml:space="preserve"> měly míru vyřizování nad 100 %. Obzvláště vysokou </w:t>
      </w:r>
      <w:r w:rsidR="00ED1DBA" w:rsidRPr="00A00187">
        <w:t xml:space="preserve">míru vyřizování </w:t>
      </w:r>
      <w:r w:rsidR="00E706B0" w:rsidRPr="00A00187">
        <w:t xml:space="preserve">měly soudy spadající pod MS Praha </w:t>
      </w:r>
      <w:r w:rsidR="00726EC3" w:rsidRPr="00A00187">
        <w:t>a</w:t>
      </w:r>
      <w:r w:rsidR="00726EC3">
        <w:t> </w:t>
      </w:r>
      <w:r w:rsidR="00E706B0" w:rsidRPr="00A00187">
        <w:t>jako téměř každoročně soudy spadající pod KS Ústí nad Labem.</w:t>
      </w:r>
    </w:p>
    <w:p w14:paraId="750653EC" w14:textId="533C95CC" w:rsidR="00B66B52" w:rsidRPr="00A00187" w:rsidRDefault="00B66B52" w:rsidP="00B66B52">
      <w:pPr>
        <w:pStyle w:val="Podnadpis"/>
        <w:rPr>
          <w:color w:val="auto"/>
        </w:rPr>
      </w:pPr>
      <w:bookmarkStart w:id="150" w:name="_Ref509226700"/>
      <w:bookmarkStart w:id="151" w:name="_Toc515871441"/>
      <w:bookmarkStart w:id="152" w:name="_Toc11133210"/>
      <w:bookmarkStart w:id="153" w:name="_Toc43931183"/>
      <w:bookmarkStart w:id="154" w:name="_Toc75952313"/>
      <w:bookmarkStart w:id="155" w:name="_Toc106106772"/>
      <w:bookmarkStart w:id="156" w:name="_Toc109802095"/>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10</w:t>
      </w:r>
      <w:r w:rsidRPr="00A00187">
        <w:rPr>
          <w:noProof/>
          <w:color w:val="auto"/>
        </w:rPr>
        <w:fldChar w:fldCharType="end"/>
      </w:r>
      <w:bookmarkEnd w:id="150"/>
      <w:r w:rsidRPr="00A00187">
        <w:rPr>
          <w:color w:val="auto"/>
        </w:rPr>
        <w:t>: OS – vyřizování civilních věcí dle krajů</w:t>
      </w:r>
      <w:bookmarkEnd w:id="151"/>
      <w:bookmarkEnd w:id="152"/>
      <w:bookmarkEnd w:id="153"/>
      <w:bookmarkEnd w:id="154"/>
      <w:bookmarkEnd w:id="155"/>
      <w:bookmarkEnd w:id="156"/>
    </w:p>
    <w:tbl>
      <w:tblPr>
        <w:tblW w:w="9140" w:type="dxa"/>
        <w:tblCellMar>
          <w:left w:w="70" w:type="dxa"/>
          <w:right w:w="70" w:type="dxa"/>
        </w:tblCellMar>
        <w:tblLook w:val="04A0" w:firstRow="1" w:lastRow="0" w:firstColumn="1" w:lastColumn="0" w:noHBand="0" w:noVBand="1"/>
      </w:tblPr>
      <w:tblGrid>
        <w:gridCol w:w="2036"/>
        <w:gridCol w:w="1068"/>
        <w:gridCol w:w="726"/>
        <w:gridCol w:w="1104"/>
        <w:gridCol w:w="878"/>
        <w:gridCol w:w="1049"/>
        <w:gridCol w:w="763"/>
        <w:gridCol w:w="1516"/>
      </w:tblGrid>
      <w:tr w:rsidR="00AC1E67" w:rsidRPr="00A00187" w14:paraId="2286A881" w14:textId="77777777" w:rsidTr="00B66B52">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19A2329E" w14:textId="77777777"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5588" w:type="dxa"/>
            <w:gridSpan w:val="6"/>
            <w:tcBorders>
              <w:top w:val="double" w:sz="6" w:space="0" w:color="auto"/>
              <w:left w:val="nil"/>
              <w:bottom w:val="nil"/>
              <w:right w:val="single" w:sz="4" w:space="0" w:color="000000"/>
            </w:tcBorders>
            <w:shd w:val="clear" w:color="auto" w:fill="auto"/>
            <w:noWrap/>
            <w:vAlign w:val="center"/>
            <w:hideMark/>
          </w:tcPr>
          <w:p w14:paraId="7E7C9630" w14:textId="77777777"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vMerge w:val="restart"/>
            <w:tcBorders>
              <w:top w:val="double" w:sz="6" w:space="0" w:color="auto"/>
              <w:left w:val="nil"/>
              <w:bottom w:val="double" w:sz="6" w:space="0" w:color="000000"/>
              <w:right w:val="nil"/>
            </w:tcBorders>
            <w:shd w:val="clear" w:color="auto" w:fill="auto"/>
            <w:vAlign w:val="center"/>
            <w:hideMark/>
          </w:tcPr>
          <w:p w14:paraId="0C9A9D06" w14:textId="77777777"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50BBF6B3" w14:textId="77777777" w:rsidTr="00B66B52">
        <w:trPr>
          <w:trHeight w:val="330"/>
        </w:trPr>
        <w:tc>
          <w:tcPr>
            <w:tcW w:w="2036" w:type="dxa"/>
            <w:vMerge/>
            <w:tcBorders>
              <w:top w:val="double" w:sz="6" w:space="0" w:color="auto"/>
              <w:left w:val="nil"/>
              <w:bottom w:val="double" w:sz="6" w:space="0" w:color="000000"/>
              <w:right w:val="nil"/>
            </w:tcBorders>
            <w:vAlign w:val="center"/>
            <w:hideMark/>
          </w:tcPr>
          <w:p w14:paraId="22FB0E9E" w14:textId="77777777" w:rsidR="00B66B52" w:rsidRPr="00A00187" w:rsidRDefault="00B66B52" w:rsidP="00B66B52">
            <w:pPr>
              <w:spacing w:line="240" w:lineRule="auto"/>
              <w:jc w:val="left"/>
              <w:rPr>
                <w:rFonts w:eastAsia="Times New Roman"/>
                <w:b/>
                <w:bCs/>
                <w:szCs w:val="24"/>
                <w:lang w:eastAsia="cs-CZ"/>
              </w:rPr>
            </w:pPr>
          </w:p>
        </w:tc>
        <w:tc>
          <w:tcPr>
            <w:tcW w:w="1794" w:type="dxa"/>
            <w:gridSpan w:val="2"/>
            <w:tcBorders>
              <w:top w:val="nil"/>
              <w:left w:val="nil"/>
              <w:bottom w:val="double" w:sz="6" w:space="0" w:color="auto"/>
              <w:right w:val="nil"/>
            </w:tcBorders>
            <w:shd w:val="clear" w:color="auto" w:fill="auto"/>
            <w:noWrap/>
            <w:vAlign w:val="center"/>
            <w:hideMark/>
          </w:tcPr>
          <w:p w14:paraId="146C8E41" w14:textId="77777777"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8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39A18B3" w14:textId="77777777"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812" w:type="dxa"/>
            <w:gridSpan w:val="2"/>
            <w:tcBorders>
              <w:top w:val="nil"/>
              <w:left w:val="nil"/>
              <w:bottom w:val="double" w:sz="6" w:space="0" w:color="auto"/>
              <w:right w:val="single" w:sz="4" w:space="0" w:color="000000"/>
            </w:tcBorders>
            <w:shd w:val="clear" w:color="auto" w:fill="auto"/>
            <w:noWrap/>
            <w:vAlign w:val="center"/>
            <w:hideMark/>
          </w:tcPr>
          <w:p w14:paraId="69B250A2" w14:textId="77777777"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vMerge/>
            <w:tcBorders>
              <w:top w:val="double" w:sz="6" w:space="0" w:color="auto"/>
              <w:left w:val="nil"/>
              <w:bottom w:val="double" w:sz="6" w:space="0" w:color="000000"/>
              <w:right w:val="nil"/>
            </w:tcBorders>
            <w:vAlign w:val="center"/>
            <w:hideMark/>
          </w:tcPr>
          <w:p w14:paraId="78CC4D3C" w14:textId="77777777" w:rsidR="00B66B52" w:rsidRPr="00A00187" w:rsidRDefault="00B66B52" w:rsidP="00B66B52">
            <w:pPr>
              <w:spacing w:line="240" w:lineRule="auto"/>
              <w:jc w:val="left"/>
              <w:rPr>
                <w:rFonts w:eastAsia="Times New Roman"/>
                <w:b/>
                <w:bCs/>
                <w:szCs w:val="24"/>
                <w:lang w:eastAsia="cs-CZ"/>
              </w:rPr>
            </w:pPr>
          </w:p>
        </w:tc>
      </w:tr>
      <w:tr w:rsidR="00AC1E67" w:rsidRPr="00A00187" w14:paraId="0C113D8A" w14:textId="77777777" w:rsidTr="00B66B52">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55F40D43"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MS Praha</w:t>
            </w:r>
          </w:p>
        </w:tc>
        <w:tc>
          <w:tcPr>
            <w:tcW w:w="1068" w:type="dxa"/>
            <w:tcBorders>
              <w:top w:val="single" w:sz="4" w:space="0" w:color="auto"/>
              <w:left w:val="nil"/>
              <w:bottom w:val="single" w:sz="4" w:space="0" w:color="auto"/>
              <w:right w:val="nil"/>
            </w:tcBorders>
            <w:shd w:val="clear" w:color="auto" w:fill="auto"/>
            <w:noWrap/>
            <w:vAlign w:val="bottom"/>
            <w:hideMark/>
          </w:tcPr>
          <w:p w14:paraId="0EADB42F" w14:textId="5DF96258"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64</w:t>
            </w:r>
            <w:r w:rsidR="00E212D0" w:rsidRPr="00A00187">
              <w:rPr>
                <w:rFonts w:eastAsia="Times New Roman"/>
                <w:szCs w:val="24"/>
                <w:lang w:eastAsia="cs-CZ"/>
              </w:rPr>
              <w:t xml:space="preserve"> </w:t>
            </w:r>
            <w:r w:rsidRPr="00A00187">
              <w:rPr>
                <w:rFonts w:eastAsia="Times New Roman"/>
                <w:szCs w:val="24"/>
                <w:lang w:eastAsia="cs-CZ"/>
              </w:rPr>
              <w:t>848</w:t>
            </w:r>
          </w:p>
        </w:tc>
        <w:tc>
          <w:tcPr>
            <w:tcW w:w="726" w:type="dxa"/>
            <w:tcBorders>
              <w:top w:val="single" w:sz="4" w:space="0" w:color="auto"/>
              <w:left w:val="nil"/>
              <w:bottom w:val="single" w:sz="4" w:space="0" w:color="auto"/>
              <w:right w:val="nil"/>
            </w:tcBorders>
            <w:shd w:val="clear" w:color="auto" w:fill="auto"/>
            <w:noWrap/>
            <w:vAlign w:val="center"/>
            <w:hideMark/>
          </w:tcPr>
          <w:p w14:paraId="38E637AE" w14:textId="30660649"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-8 %</w:t>
            </w:r>
          </w:p>
        </w:tc>
        <w:tc>
          <w:tcPr>
            <w:tcW w:w="1104" w:type="dxa"/>
            <w:tcBorders>
              <w:top w:val="single" w:sz="4" w:space="0" w:color="auto"/>
              <w:left w:val="single" w:sz="4" w:space="0" w:color="auto"/>
              <w:bottom w:val="single" w:sz="4" w:space="0" w:color="auto"/>
              <w:right w:val="nil"/>
            </w:tcBorders>
            <w:shd w:val="clear" w:color="auto" w:fill="auto"/>
            <w:noWrap/>
            <w:vAlign w:val="bottom"/>
            <w:hideMark/>
          </w:tcPr>
          <w:p w14:paraId="72F2E86C" w14:textId="39590D20"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71</w:t>
            </w:r>
            <w:r w:rsidR="00E212D0" w:rsidRPr="00A00187">
              <w:rPr>
                <w:rFonts w:eastAsia="Times New Roman"/>
                <w:szCs w:val="24"/>
                <w:lang w:eastAsia="cs-CZ"/>
              </w:rPr>
              <w:t xml:space="preserve"> </w:t>
            </w:r>
            <w:r w:rsidRPr="00A00187">
              <w:rPr>
                <w:rFonts w:eastAsia="Times New Roman"/>
                <w:szCs w:val="24"/>
                <w:lang w:eastAsia="cs-CZ"/>
              </w:rPr>
              <w:t>837</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BCB6BBF" w14:textId="5C65FE31"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+4 %</w:t>
            </w:r>
          </w:p>
        </w:tc>
        <w:tc>
          <w:tcPr>
            <w:tcW w:w="1049" w:type="dxa"/>
            <w:tcBorders>
              <w:top w:val="single" w:sz="4" w:space="0" w:color="auto"/>
              <w:left w:val="nil"/>
              <w:bottom w:val="single" w:sz="4" w:space="0" w:color="auto"/>
              <w:right w:val="nil"/>
            </w:tcBorders>
            <w:shd w:val="clear" w:color="auto" w:fill="auto"/>
            <w:noWrap/>
            <w:vAlign w:val="bottom"/>
            <w:hideMark/>
          </w:tcPr>
          <w:p w14:paraId="75F1699B" w14:textId="28596090"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32</w:t>
            </w:r>
            <w:r w:rsidR="00E212D0" w:rsidRPr="00A00187">
              <w:rPr>
                <w:rFonts w:eastAsia="Times New Roman"/>
                <w:szCs w:val="24"/>
                <w:lang w:eastAsia="cs-CZ"/>
              </w:rPr>
              <w:t xml:space="preserve"> </w:t>
            </w:r>
            <w:r w:rsidRPr="00A00187">
              <w:rPr>
                <w:rFonts w:eastAsia="Times New Roman"/>
                <w:szCs w:val="24"/>
                <w:lang w:eastAsia="cs-CZ"/>
              </w:rPr>
              <w:t>063</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496D5CD0" w14:textId="3FACBB5D"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-18 %</w:t>
            </w:r>
          </w:p>
        </w:tc>
        <w:tc>
          <w:tcPr>
            <w:tcW w:w="1516" w:type="dxa"/>
            <w:tcBorders>
              <w:top w:val="nil"/>
              <w:left w:val="nil"/>
              <w:bottom w:val="single" w:sz="4" w:space="0" w:color="auto"/>
              <w:right w:val="nil"/>
            </w:tcBorders>
            <w:shd w:val="clear" w:color="auto" w:fill="auto"/>
            <w:noWrap/>
            <w:vAlign w:val="center"/>
            <w:hideMark/>
          </w:tcPr>
          <w:p w14:paraId="038E7AFF" w14:textId="3688DDE3"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110,8 %</w:t>
            </w:r>
          </w:p>
        </w:tc>
      </w:tr>
      <w:tr w:rsidR="00AC1E67" w:rsidRPr="00A00187" w14:paraId="17891405" w14:textId="77777777" w:rsidTr="00B66B52">
        <w:trPr>
          <w:trHeight w:val="315"/>
        </w:trPr>
        <w:tc>
          <w:tcPr>
            <w:tcW w:w="2036" w:type="dxa"/>
            <w:tcBorders>
              <w:top w:val="nil"/>
              <w:left w:val="nil"/>
              <w:bottom w:val="single" w:sz="4" w:space="0" w:color="auto"/>
              <w:right w:val="nil"/>
            </w:tcBorders>
            <w:shd w:val="clear" w:color="auto" w:fill="auto"/>
            <w:noWrap/>
            <w:vAlign w:val="bottom"/>
            <w:hideMark/>
          </w:tcPr>
          <w:p w14:paraId="0C7293C1"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KS Praha</w:t>
            </w:r>
          </w:p>
        </w:tc>
        <w:tc>
          <w:tcPr>
            <w:tcW w:w="1068" w:type="dxa"/>
            <w:tcBorders>
              <w:top w:val="nil"/>
              <w:left w:val="nil"/>
              <w:bottom w:val="single" w:sz="4" w:space="0" w:color="auto"/>
              <w:right w:val="nil"/>
            </w:tcBorders>
            <w:shd w:val="clear" w:color="auto" w:fill="auto"/>
            <w:noWrap/>
            <w:vAlign w:val="bottom"/>
            <w:hideMark/>
          </w:tcPr>
          <w:p w14:paraId="229B0491" w14:textId="433EABC0"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36</w:t>
            </w:r>
            <w:r w:rsidR="00E212D0" w:rsidRPr="00A00187">
              <w:rPr>
                <w:rFonts w:eastAsia="Times New Roman"/>
                <w:szCs w:val="24"/>
                <w:lang w:eastAsia="cs-CZ"/>
              </w:rPr>
              <w:t xml:space="preserve"> </w:t>
            </w:r>
            <w:r w:rsidRPr="00A00187">
              <w:rPr>
                <w:rFonts w:eastAsia="Times New Roman"/>
                <w:szCs w:val="24"/>
                <w:lang w:eastAsia="cs-CZ"/>
              </w:rPr>
              <w:t>654</w:t>
            </w:r>
          </w:p>
        </w:tc>
        <w:tc>
          <w:tcPr>
            <w:tcW w:w="726" w:type="dxa"/>
            <w:tcBorders>
              <w:top w:val="nil"/>
              <w:left w:val="nil"/>
              <w:bottom w:val="single" w:sz="4" w:space="0" w:color="auto"/>
              <w:right w:val="nil"/>
            </w:tcBorders>
            <w:shd w:val="clear" w:color="auto" w:fill="auto"/>
            <w:noWrap/>
            <w:vAlign w:val="center"/>
            <w:hideMark/>
          </w:tcPr>
          <w:p w14:paraId="300B0405" w14:textId="550BDB83"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+2 %</w:t>
            </w:r>
          </w:p>
        </w:tc>
        <w:tc>
          <w:tcPr>
            <w:tcW w:w="1104" w:type="dxa"/>
            <w:tcBorders>
              <w:top w:val="nil"/>
              <w:left w:val="single" w:sz="4" w:space="0" w:color="auto"/>
              <w:bottom w:val="single" w:sz="4" w:space="0" w:color="auto"/>
              <w:right w:val="nil"/>
            </w:tcBorders>
            <w:shd w:val="clear" w:color="auto" w:fill="auto"/>
            <w:noWrap/>
            <w:vAlign w:val="bottom"/>
            <w:hideMark/>
          </w:tcPr>
          <w:p w14:paraId="31A60963" w14:textId="56CE09C1"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37</w:t>
            </w:r>
            <w:r w:rsidR="00E212D0" w:rsidRPr="00A00187">
              <w:rPr>
                <w:rFonts w:eastAsia="Times New Roman"/>
                <w:szCs w:val="24"/>
                <w:lang w:eastAsia="cs-CZ"/>
              </w:rPr>
              <w:t xml:space="preserve"> </w:t>
            </w:r>
            <w:r w:rsidRPr="00A00187">
              <w:rPr>
                <w:rFonts w:eastAsia="Times New Roman"/>
                <w:szCs w:val="24"/>
                <w:lang w:eastAsia="cs-CZ"/>
              </w:rPr>
              <w:t>643</w:t>
            </w:r>
          </w:p>
        </w:tc>
        <w:tc>
          <w:tcPr>
            <w:tcW w:w="878" w:type="dxa"/>
            <w:tcBorders>
              <w:top w:val="nil"/>
              <w:left w:val="nil"/>
              <w:bottom w:val="single" w:sz="4" w:space="0" w:color="auto"/>
              <w:right w:val="single" w:sz="4" w:space="0" w:color="auto"/>
            </w:tcBorders>
            <w:shd w:val="clear" w:color="auto" w:fill="auto"/>
            <w:noWrap/>
            <w:vAlign w:val="center"/>
            <w:hideMark/>
          </w:tcPr>
          <w:p w14:paraId="49C2DF13" w14:textId="4FD5966F"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+9 %</w:t>
            </w:r>
          </w:p>
        </w:tc>
        <w:tc>
          <w:tcPr>
            <w:tcW w:w="1049" w:type="dxa"/>
            <w:tcBorders>
              <w:top w:val="nil"/>
              <w:left w:val="nil"/>
              <w:bottom w:val="single" w:sz="4" w:space="0" w:color="auto"/>
              <w:right w:val="nil"/>
            </w:tcBorders>
            <w:shd w:val="clear" w:color="auto" w:fill="auto"/>
            <w:noWrap/>
            <w:vAlign w:val="bottom"/>
            <w:hideMark/>
          </w:tcPr>
          <w:p w14:paraId="53F4BA03" w14:textId="07DA4949"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9</w:t>
            </w:r>
            <w:r w:rsidR="00E212D0" w:rsidRPr="00A00187">
              <w:rPr>
                <w:rFonts w:eastAsia="Times New Roman"/>
                <w:szCs w:val="24"/>
                <w:lang w:eastAsia="cs-CZ"/>
              </w:rPr>
              <w:t xml:space="preserve"> </w:t>
            </w:r>
            <w:r w:rsidRPr="00A00187">
              <w:rPr>
                <w:rFonts w:eastAsia="Times New Roman"/>
                <w:szCs w:val="24"/>
                <w:lang w:eastAsia="cs-CZ"/>
              </w:rPr>
              <w:t>214</w:t>
            </w:r>
          </w:p>
        </w:tc>
        <w:tc>
          <w:tcPr>
            <w:tcW w:w="763" w:type="dxa"/>
            <w:tcBorders>
              <w:top w:val="nil"/>
              <w:left w:val="nil"/>
              <w:bottom w:val="single" w:sz="4" w:space="0" w:color="auto"/>
              <w:right w:val="single" w:sz="4" w:space="0" w:color="auto"/>
            </w:tcBorders>
            <w:shd w:val="clear" w:color="auto" w:fill="auto"/>
            <w:noWrap/>
            <w:vAlign w:val="center"/>
            <w:hideMark/>
          </w:tcPr>
          <w:p w14:paraId="6E90E452" w14:textId="609CB759"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-10 %</w:t>
            </w:r>
          </w:p>
        </w:tc>
        <w:tc>
          <w:tcPr>
            <w:tcW w:w="1516" w:type="dxa"/>
            <w:tcBorders>
              <w:top w:val="nil"/>
              <w:left w:val="nil"/>
              <w:bottom w:val="single" w:sz="4" w:space="0" w:color="auto"/>
              <w:right w:val="nil"/>
            </w:tcBorders>
            <w:shd w:val="clear" w:color="auto" w:fill="auto"/>
            <w:noWrap/>
            <w:vAlign w:val="center"/>
            <w:hideMark/>
          </w:tcPr>
          <w:p w14:paraId="479418D2" w14:textId="308F030D"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102,7 %</w:t>
            </w:r>
          </w:p>
        </w:tc>
      </w:tr>
      <w:tr w:rsidR="00AC1E67" w:rsidRPr="00A00187" w14:paraId="5BD18EAE" w14:textId="77777777" w:rsidTr="00B66B52">
        <w:trPr>
          <w:trHeight w:val="315"/>
        </w:trPr>
        <w:tc>
          <w:tcPr>
            <w:tcW w:w="2036" w:type="dxa"/>
            <w:tcBorders>
              <w:top w:val="nil"/>
              <w:left w:val="nil"/>
              <w:bottom w:val="single" w:sz="4" w:space="0" w:color="auto"/>
              <w:right w:val="nil"/>
            </w:tcBorders>
            <w:shd w:val="clear" w:color="auto" w:fill="auto"/>
            <w:noWrap/>
            <w:vAlign w:val="bottom"/>
            <w:hideMark/>
          </w:tcPr>
          <w:p w14:paraId="00D1D498"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KS Č. Budějovice</w:t>
            </w:r>
          </w:p>
        </w:tc>
        <w:tc>
          <w:tcPr>
            <w:tcW w:w="1068" w:type="dxa"/>
            <w:tcBorders>
              <w:top w:val="nil"/>
              <w:left w:val="nil"/>
              <w:bottom w:val="single" w:sz="4" w:space="0" w:color="auto"/>
              <w:right w:val="nil"/>
            </w:tcBorders>
            <w:shd w:val="clear" w:color="auto" w:fill="auto"/>
            <w:noWrap/>
            <w:vAlign w:val="bottom"/>
            <w:hideMark/>
          </w:tcPr>
          <w:p w14:paraId="0CD5775B" w14:textId="564FC029"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15</w:t>
            </w:r>
            <w:r w:rsidR="00E212D0" w:rsidRPr="00A00187">
              <w:rPr>
                <w:rFonts w:eastAsia="Times New Roman"/>
                <w:szCs w:val="24"/>
                <w:lang w:eastAsia="cs-CZ"/>
              </w:rPr>
              <w:t xml:space="preserve"> </w:t>
            </w:r>
            <w:r w:rsidRPr="00A00187">
              <w:rPr>
                <w:rFonts w:eastAsia="Times New Roman"/>
                <w:szCs w:val="24"/>
                <w:lang w:eastAsia="cs-CZ"/>
              </w:rPr>
              <w:t>632</w:t>
            </w:r>
          </w:p>
        </w:tc>
        <w:tc>
          <w:tcPr>
            <w:tcW w:w="726" w:type="dxa"/>
            <w:tcBorders>
              <w:top w:val="nil"/>
              <w:left w:val="nil"/>
              <w:bottom w:val="single" w:sz="4" w:space="0" w:color="auto"/>
              <w:right w:val="nil"/>
            </w:tcBorders>
            <w:shd w:val="clear" w:color="auto" w:fill="auto"/>
            <w:noWrap/>
            <w:vAlign w:val="center"/>
            <w:hideMark/>
          </w:tcPr>
          <w:p w14:paraId="74509102" w14:textId="42F104E2"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+5 %</w:t>
            </w:r>
          </w:p>
        </w:tc>
        <w:tc>
          <w:tcPr>
            <w:tcW w:w="1104" w:type="dxa"/>
            <w:tcBorders>
              <w:top w:val="nil"/>
              <w:left w:val="single" w:sz="4" w:space="0" w:color="auto"/>
              <w:bottom w:val="single" w:sz="4" w:space="0" w:color="auto"/>
              <w:right w:val="nil"/>
            </w:tcBorders>
            <w:shd w:val="clear" w:color="auto" w:fill="auto"/>
            <w:noWrap/>
            <w:vAlign w:val="bottom"/>
            <w:hideMark/>
          </w:tcPr>
          <w:p w14:paraId="51D7F2D9" w14:textId="6585BDC5"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16</w:t>
            </w:r>
            <w:r w:rsidR="00E212D0" w:rsidRPr="00A00187">
              <w:rPr>
                <w:rFonts w:eastAsia="Times New Roman"/>
                <w:szCs w:val="24"/>
                <w:lang w:eastAsia="cs-CZ"/>
              </w:rPr>
              <w:t xml:space="preserve"> </w:t>
            </w:r>
            <w:r w:rsidRPr="00A00187">
              <w:rPr>
                <w:rFonts w:eastAsia="Times New Roman"/>
                <w:szCs w:val="24"/>
                <w:lang w:eastAsia="cs-CZ"/>
              </w:rPr>
              <w:t>058</w:t>
            </w:r>
          </w:p>
        </w:tc>
        <w:tc>
          <w:tcPr>
            <w:tcW w:w="878" w:type="dxa"/>
            <w:tcBorders>
              <w:top w:val="nil"/>
              <w:left w:val="nil"/>
              <w:bottom w:val="single" w:sz="4" w:space="0" w:color="auto"/>
              <w:right w:val="single" w:sz="4" w:space="0" w:color="auto"/>
            </w:tcBorders>
            <w:shd w:val="clear" w:color="auto" w:fill="auto"/>
            <w:noWrap/>
            <w:vAlign w:val="center"/>
            <w:hideMark/>
          </w:tcPr>
          <w:p w14:paraId="648C4D77" w14:textId="4FF90B19"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+12 %</w:t>
            </w:r>
          </w:p>
        </w:tc>
        <w:tc>
          <w:tcPr>
            <w:tcW w:w="1049" w:type="dxa"/>
            <w:tcBorders>
              <w:top w:val="nil"/>
              <w:left w:val="nil"/>
              <w:bottom w:val="single" w:sz="4" w:space="0" w:color="auto"/>
              <w:right w:val="nil"/>
            </w:tcBorders>
            <w:shd w:val="clear" w:color="auto" w:fill="auto"/>
            <w:noWrap/>
            <w:vAlign w:val="bottom"/>
            <w:hideMark/>
          </w:tcPr>
          <w:p w14:paraId="7584B7E0" w14:textId="5C3A283F"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3</w:t>
            </w:r>
            <w:r w:rsidR="00E212D0" w:rsidRPr="00A00187">
              <w:rPr>
                <w:rFonts w:eastAsia="Times New Roman"/>
                <w:szCs w:val="24"/>
                <w:lang w:eastAsia="cs-CZ"/>
              </w:rPr>
              <w:t xml:space="preserve"> </w:t>
            </w:r>
            <w:r w:rsidRPr="00A00187">
              <w:rPr>
                <w:rFonts w:eastAsia="Times New Roman"/>
                <w:szCs w:val="24"/>
                <w:lang w:eastAsia="cs-CZ"/>
              </w:rPr>
              <w:t>255</w:t>
            </w:r>
          </w:p>
        </w:tc>
        <w:tc>
          <w:tcPr>
            <w:tcW w:w="763" w:type="dxa"/>
            <w:tcBorders>
              <w:top w:val="nil"/>
              <w:left w:val="nil"/>
              <w:bottom w:val="single" w:sz="4" w:space="0" w:color="auto"/>
              <w:right w:val="single" w:sz="4" w:space="0" w:color="auto"/>
            </w:tcBorders>
            <w:shd w:val="clear" w:color="auto" w:fill="auto"/>
            <w:noWrap/>
            <w:vAlign w:val="center"/>
            <w:hideMark/>
          </w:tcPr>
          <w:p w14:paraId="7F8F10EB" w14:textId="7732C5FE"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-11 %</w:t>
            </w:r>
          </w:p>
        </w:tc>
        <w:tc>
          <w:tcPr>
            <w:tcW w:w="1516" w:type="dxa"/>
            <w:tcBorders>
              <w:top w:val="nil"/>
              <w:left w:val="nil"/>
              <w:bottom w:val="single" w:sz="4" w:space="0" w:color="auto"/>
              <w:right w:val="nil"/>
            </w:tcBorders>
            <w:shd w:val="clear" w:color="auto" w:fill="auto"/>
            <w:noWrap/>
            <w:vAlign w:val="center"/>
            <w:hideMark/>
          </w:tcPr>
          <w:p w14:paraId="2E891403" w14:textId="12AA0FBD"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102,7 %</w:t>
            </w:r>
          </w:p>
        </w:tc>
      </w:tr>
      <w:tr w:rsidR="00AC1E67" w:rsidRPr="00A00187" w14:paraId="590BCAC9" w14:textId="77777777" w:rsidTr="00B66B52">
        <w:trPr>
          <w:trHeight w:val="315"/>
        </w:trPr>
        <w:tc>
          <w:tcPr>
            <w:tcW w:w="2036" w:type="dxa"/>
            <w:tcBorders>
              <w:top w:val="nil"/>
              <w:left w:val="nil"/>
              <w:bottom w:val="single" w:sz="4" w:space="0" w:color="auto"/>
              <w:right w:val="nil"/>
            </w:tcBorders>
            <w:shd w:val="clear" w:color="auto" w:fill="auto"/>
            <w:noWrap/>
            <w:vAlign w:val="bottom"/>
            <w:hideMark/>
          </w:tcPr>
          <w:p w14:paraId="115B9004"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KS Plzeň</w:t>
            </w:r>
          </w:p>
        </w:tc>
        <w:tc>
          <w:tcPr>
            <w:tcW w:w="1068" w:type="dxa"/>
            <w:tcBorders>
              <w:top w:val="nil"/>
              <w:left w:val="nil"/>
              <w:bottom w:val="single" w:sz="4" w:space="0" w:color="auto"/>
              <w:right w:val="nil"/>
            </w:tcBorders>
            <w:shd w:val="clear" w:color="auto" w:fill="auto"/>
            <w:noWrap/>
            <w:vAlign w:val="bottom"/>
            <w:hideMark/>
          </w:tcPr>
          <w:p w14:paraId="00B0A506" w14:textId="4C8BD5D0"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27</w:t>
            </w:r>
            <w:r w:rsidR="00E212D0" w:rsidRPr="00A00187">
              <w:rPr>
                <w:rFonts w:eastAsia="Times New Roman"/>
                <w:szCs w:val="24"/>
                <w:lang w:eastAsia="cs-CZ"/>
              </w:rPr>
              <w:t xml:space="preserve"> </w:t>
            </w:r>
            <w:r w:rsidRPr="00A00187">
              <w:rPr>
                <w:rFonts w:eastAsia="Times New Roman"/>
                <w:szCs w:val="24"/>
                <w:lang w:eastAsia="cs-CZ"/>
              </w:rPr>
              <w:t>925</w:t>
            </w:r>
          </w:p>
        </w:tc>
        <w:tc>
          <w:tcPr>
            <w:tcW w:w="726" w:type="dxa"/>
            <w:tcBorders>
              <w:top w:val="nil"/>
              <w:left w:val="nil"/>
              <w:bottom w:val="single" w:sz="4" w:space="0" w:color="auto"/>
              <w:right w:val="nil"/>
            </w:tcBorders>
            <w:shd w:val="clear" w:color="auto" w:fill="auto"/>
            <w:noWrap/>
            <w:vAlign w:val="center"/>
            <w:hideMark/>
          </w:tcPr>
          <w:p w14:paraId="13B79A2B" w14:textId="33553934"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-2 %</w:t>
            </w:r>
          </w:p>
        </w:tc>
        <w:tc>
          <w:tcPr>
            <w:tcW w:w="1104" w:type="dxa"/>
            <w:tcBorders>
              <w:top w:val="nil"/>
              <w:left w:val="single" w:sz="4" w:space="0" w:color="auto"/>
              <w:bottom w:val="single" w:sz="4" w:space="0" w:color="auto"/>
              <w:right w:val="nil"/>
            </w:tcBorders>
            <w:shd w:val="clear" w:color="auto" w:fill="auto"/>
            <w:noWrap/>
            <w:vAlign w:val="bottom"/>
            <w:hideMark/>
          </w:tcPr>
          <w:p w14:paraId="05A225F0" w14:textId="6F492E65"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28</w:t>
            </w:r>
            <w:r w:rsidR="00E212D0" w:rsidRPr="00A00187">
              <w:rPr>
                <w:rFonts w:eastAsia="Times New Roman"/>
                <w:szCs w:val="24"/>
                <w:lang w:eastAsia="cs-CZ"/>
              </w:rPr>
              <w:t xml:space="preserve"> </w:t>
            </w:r>
            <w:r w:rsidRPr="00A00187">
              <w:rPr>
                <w:rFonts w:eastAsia="Times New Roman"/>
                <w:szCs w:val="24"/>
                <w:lang w:eastAsia="cs-CZ"/>
              </w:rPr>
              <w:t>442</w:t>
            </w:r>
          </w:p>
        </w:tc>
        <w:tc>
          <w:tcPr>
            <w:tcW w:w="878" w:type="dxa"/>
            <w:tcBorders>
              <w:top w:val="nil"/>
              <w:left w:val="nil"/>
              <w:bottom w:val="single" w:sz="4" w:space="0" w:color="auto"/>
              <w:right w:val="single" w:sz="4" w:space="0" w:color="auto"/>
            </w:tcBorders>
            <w:shd w:val="clear" w:color="auto" w:fill="auto"/>
            <w:noWrap/>
            <w:vAlign w:val="center"/>
            <w:hideMark/>
          </w:tcPr>
          <w:p w14:paraId="38961DA6" w14:textId="202B91B4"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+6 %</w:t>
            </w:r>
          </w:p>
        </w:tc>
        <w:tc>
          <w:tcPr>
            <w:tcW w:w="1049" w:type="dxa"/>
            <w:tcBorders>
              <w:top w:val="nil"/>
              <w:left w:val="nil"/>
              <w:bottom w:val="single" w:sz="4" w:space="0" w:color="auto"/>
              <w:right w:val="nil"/>
            </w:tcBorders>
            <w:shd w:val="clear" w:color="auto" w:fill="auto"/>
            <w:noWrap/>
            <w:vAlign w:val="bottom"/>
            <w:hideMark/>
          </w:tcPr>
          <w:p w14:paraId="71FC4700" w14:textId="3E26D19A"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8</w:t>
            </w:r>
            <w:r w:rsidR="00E212D0" w:rsidRPr="00A00187">
              <w:rPr>
                <w:rFonts w:eastAsia="Times New Roman"/>
                <w:szCs w:val="24"/>
                <w:lang w:eastAsia="cs-CZ"/>
              </w:rPr>
              <w:t xml:space="preserve"> </w:t>
            </w:r>
            <w:r w:rsidRPr="00A00187">
              <w:rPr>
                <w:rFonts w:eastAsia="Times New Roman"/>
                <w:szCs w:val="24"/>
                <w:lang w:eastAsia="cs-CZ"/>
              </w:rPr>
              <w:t>679</w:t>
            </w:r>
          </w:p>
        </w:tc>
        <w:tc>
          <w:tcPr>
            <w:tcW w:w="763" w:type="dxa"/>
            <w:tcBorders>
              <w:top w:val="nil"/>
              <w:left w:val="nil"/>
              <w:bottom w:val="single" w:sz="4" w:space="0" w:color="auto"/>
              <w:right w:val="single" w:sz="4" w:space="0" w:color="auto"/>
            </w:tcBorders>
            <w:shd w:val="clear" w:color="auto" w:fill="auto"/>
            <w:noWrap/>
            <w:vAlign w:val="center"/>
            <w:hideMark/>
          </w:tcPr>
          <w:p w14:paraId="763CBD7D" w14:textId="71E29A5B"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-6 %</w:t>
            </w:r>
          </w:p>
        </w:tc>
        <w:tc>
          <w:tcPr>
            <w:tcW w:w="1516" w:type="dxa"/>
            <w:tcBorders>
              <w:top w:val="nil"/>
              <w:left w:val="nil"/>
              <w:bottom w:val="single" w:sz="4" w:space="0" w:color="auto"/>
              <w:right w:val="nil"/>
            </w:tcBorders>
            <w:shd w:val="clear" w:color="auto" w:fill="auto"/>
            <w:noWrap/>
            <w:vAlign w:val="center"/>
            <w:hideMark/>
          </w:tcPr>
          <w:p w14:paraId="133E533B" w14:textId="78B79FE1"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101,9 %</w:t>
            </w:r>
          </w:p>
        </w:tc>
      </w:tr>
      <w:tr w:rsidR="00AC1E67" w:rsidRPr="00A00187" w14:paraId="1046B949" w14:textId="77777777" w:rsidTr="00B66B52">
        <w:trPr>
          <w:trHeight w:val="315"/>
        </w:trPr>
        <w:tc>
          <w:tcPr>
            <w:tcW w:w="2036" w:type="dxa"/>
            <w:tcBorders>
              <w:top w:val="nil"/>
              <w:left w:val="nil"/>
              <w:bottom w:val="single" w:sz="4" w:space="0" w:color="auto"/>
              <w:right w:val="nil"/>
            </w:tcBorders>
            <w:shd w:val="clear" w:color="auto" w:fill="auto"/>
            <w:noWrap/>
            <w:vAlign w:val="bottom"/>
            <w:hideMark/>
          </w:tcPr>
          <w:p w14:paraId="346F5E62"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KS Ústí n. Labem</w:t>
            </w:r>
          </w:p>
        </w:tc>
        <w:tc>
          <w:tcPr>
            <w:tcW w:w="1068" w:type="dxa"/>
            <w:tcBorders>
              <w:top w:val="nil"/>
              <w:left w:val="nil"/>
              <w:bottom w:val="single" w:sz="4" w:space="0" w:color="auto"/>
              <w:right w:val="nil"/>
            </w:tcBorders>
            <w:shd w:val="clear" w:color="auto" w:fill="auto"/>
            <w:noWrap/>
            <w:vAlign w:val="bottom"/>
            <w:hideMark/>
          </w:tcPr>
          <w:p w14:paraId="2F849584" w14:textId="2B965C23"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47</w:t>
            </w:r>
            <w:r w:rsidR="00E212D0" w:rsidRPr="00A00187">
              <w:rPr>
                <w:rFonts w:eastAsia="Times New Roman"/>
                <w:szCs w:val="24"/>
                <w:lang w:eastAsia="cs-CZ"/>
              </w:rPr>
              <w:t xml:space="preserve"> </w:t>
            </w:r>
            <w:r w:rsidRPr="00A00187">
              <w:rPr>
                <w:rFonts w:eastAsia="Times New Roman"/>
                <w:szCs w:val="24"/>
                <w:lang w:eastAsia="cs-CZ"/>
              </w:rPr>
              <w:t>957</w:t>
            </w:r>
          </w:p>
        </w:tc>
        <w:tc>
          <w:tcPr>
            <w:tcW w:w="726" w:type="dxa"/>
            <w:tcBorders>
              <w:top w:val="nil"/>
              <w:left w:val="nil"/>
              <w:bottom w:val="single" w:sz="4" w:space="0" w:color="auto"/>
              <w:right w:val="nil"/>
            </w:tcBorders>
            <w:shd w:val="clear" w:color="auto" w:fill="auto"/>
            <w:noWrap/>
            <w:vAlign w:val="center"/>
            <w:hideMark/>
          </w:tcPr>
          <w:p w14:paraId="0C68C079" w14:textId="67805754"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+7 %</w:t>
            </w:r>
          </w:p>
        </w:tc>
        <w:tc>
          <w:tcPr>
            <w:tcW w:w="1104" w:type="dxa"/>
            <w:tcBorders>
              <w:top w:val="nil"/>
              <w:left w:val="single" w:sz="4" w:space="0" w:color="auto"/>
              <w:bottom w:val="single" w:sz="4" w:space="0" w:color="auto"/>
              <w:right w:val="nil"/>
            </w:tcBorders>
            <w:shd w:val="clear" w:color="auto" w:fill="auto"/>
            <w:noWrap/>
            <w:vAlign w:val="bottom"/>
            <w:hideMark/>
          </w:tcPr>
          <w:p w14:paraId="29AC9B6E" w14:textId="7DCE52BE"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51</w:t>
            </w:r>
            <w:r w:rsidR="00E212D0" w:rsidRPr="00A00187">
              <w:rPr>
                <w:rFonts w:eastAsia="Times New Roman"/>
                <w:szCs w:val="24"/>
                <w:lang w:eastAsia="cs-CZ"/>
              </w:rPr>
              <w:t xml:space="preserve"> </w:t>
            </w:r>
            <w:r w:rsidRPr="00A00187">
              <w:rPr>
                <w:rFonts w:eastAsia="Times New Roman"/>
                <w:szCs w:val="24"/>
                <w:lang w:eastAsia="cs-CZ"/>
              </w:rPr>
              <w:t>006</w:t>
            </w:r>
          </w:p>
        </w:tc>
        <w:tc>
          <w:tcPr>
            <w:tcW w:w="878" w:type="dxa"/>
            <w:tcBorders>
              <w:top w:val="nil"/>
              <w:left w:val="nil"/>
              <w:bottom w:val="single" w:sz="4" w:space="0" w:color="auto"/>
              <w:right w:val="single" w:sz="4" w:space="0" w:color="auto"/>
            </w:tcBorders>
            <w:shd w:val="clear" w:color="auto" w:fill="auto"/>
            <w:noWrap/>
            <w:vAlign w:val="center"/>
            <w:hideMark/>
          </w:tcPr>
          <w:p w14:paraId="5DD38AA6" w14:textId="42817524"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+14 %</w:t>
            </w:r>
          </w:p>
        </w:tc>
        <w:tc>
          <w:tcPr>
            <w:tcW w:w="1049" w:type="dxa"/>
            <w:tcBorders>
              <w:top w:val="nil"/>
              <w:left w:val="nil"/>
              <w:bottom w:val="single" w:sz="4" w:space="0" w:color="auto"/>
              <w:right w:val="nil"/>
            </w:tcBorders>
            <w:shd w:val="clear" w:color="auto" w:fill="auto"/>
            <w:noWrap/>
            <w:vAlign w:val="bottom"/>
            <w:hideMark/>
          </w:tcPr>
          <w:p w14:paraId="177AEB48" w14:textId="7243DD2E"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18</w:t>
            </w:r>
            <w:r w:rsidR="00E212D0" w:rsidRPr="00A00187">
              <w:rPr>
                <w:rFonts w:eastAsia="Times New Roman"/>
                <w:szCs w:val="24"/>
                <w:lang w:eastAsia="cs-CZ"/>
              </w:rPr>
              <w:t xml:space="preserve"> </w:t>
            </w:r>
            <w:r w:rsidRPr="00A00187">
              <w:rPr>
                <w:rFonts w:eastAsia="Times New Roman"/>
                <w:szCs w:val="24"/>
                <w:lang w:eastAsia="cs-CZ"/>
              </w:rPr>
              <w:t>261</w:t>
            </w:r>
          </w:p>
        </w:tc>
        <w:tc>
          <w:tcPr>
            <w:tcW w:w="763" w:type="dxa"/>
            <w:tcBorders>
              <w:top w:val="nil"/>
              <w:left w:val="nil"/>
              <w:bottom w:val="single" w:sz="4" w:space="0" w:color="auto"/>
              <w:right w:val="single" w:sz="4" w:space="0" w:color="auto"/>
            </w:tcBorders>
            <w:shd w:val="clear" w:color="auto" w:fill="auto"/>
            <w:noWrap/>
            <w:vAlign w:val="center"/>
            <w:hideMark/>
          </w:tcPr>
          <w:p w14:paraId="61A0EEFD" w14:textId="1D488348"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-14 %</w:t>
            </w:r>
          </w:p>
        </w:tc>
        <w:tc>
          <w:tcPr>
            <w:tcW w:w="1516" w:type="dxa"/>
            <w:tcBorders>
              <w:top w:val="nil"/>
              <w:left w:val="nil"/>
              <w:bottom w:val="single" w:sz="4" w:space="0" w:color="auto"/>
              <w:right w:val="nil"/>
            </w:tcBorders>
            <w:shd w:val="clear" w:color="auto" w:fill="auto"/>
            <w:noWrap/>
            <w:vAlign w:val="center"/>
            <w:hideMark/>
          </w:tcPr>
          <w:p w14:paraId="75FD44D6" w14:textId="62F0CC29"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106,4 %</w:t>
            </w:r>
          </w:p>
        </w:tc>
      </w:tr>
      <w:tr w:rsidR="00AC1E67" w:rsidRPr="00A00187" w14:paraId="4C20BDFF" w14:textId="77777777" w:rsidTr="00B66B52">
        <w:trPr>
          <w:trHeight w:val="315"/>
        </w:trPr>
        <w:tc>
          <w:tcPr>
            <w:tcW w:w="2036" w:type="dxa"/>
            <w:tcBorders>
              <w:top w:val="nil"/>
              <w:left w:val="nil"/>
              <w:bottom w:val="single" w:sz="4" w:space="0" w:color="auto"/>
              <w:right w:val="nil"/>
            </w:tcBorders>
            <w:shd w:val="clear" w:color="auto" w:fill="auto"/>
            <w:noWrap/>
            <w:vAlign w:val="bottom"/>
            <w:hideMark/>
          </w:tcPr>
          <w:p w14:paraId="043EDC99"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KS Hr. Králové</w:t>
            </w:r>
          </w:p>
        </w:tc>
        <w:tc>
          <w:tcPr>
            <w:tcW w:w="1068" w:type="dxa"/>
            <w:tcBorders>
              <w:top w:val="nil"/>
              <w:left w:val="nil"/>
              <w:bottom w:val="single" w:sz="4" w:space="0" w:color="auto"/>
              <w:right w:val="nil"/>
            </w:tcBorders>
            <w:shd w:val="clear" w:color="auto" w:fill="auto"/>
            <w:noWrap/>
            <w:vAlign w:val="bottom"/>
            <w:hideMark/>
          </w:tcPr>
          <w:p w14:paraId="7AA17A19" w14:textId="425980CF"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25</w:t>
            </w:r>
            <w:r w:rsidR="00E212D0" w:rsidRPr="00A00187">
              <w:rPr>
                <w:rFonts w:eastAsia="Times New Roman"/>
                <w:szCs w:val="24"/>
                <w:lang w:eastAsia="cs-CZ"/>
              </w:rPr>
              <w:t xml:space="preserve"> </w:t>
            </w:r>
            <w:r w:rsidRPr="00A00187">
              <w:rPr>
                <w:rFonts w:eastAsia="Times New Roman"/>
                <w:szCs w:val="24"/>
                <w:lang w:eastAsia="cs-CZ"/>
              </w:rPr>
              <w:t>791</w:t>
            </w:r>
          </w:p>
        </w:tc>
        <w:tc>
          <w:tcPr>
            <w:tcW w:w="726" w:type="dxa"/>
            <w:tcBorders>
              <w:top w:val="nil"/>
              <w:left w:val="nil"/>
              <w:bottom w:val="single" w:sz="4" w:space="0" w:color="auto"/>
              <w:right w:val="nil"/>
            </w:tcBorders>
            <w:shd w:val="clear" w:color="auto" w:fill="auto"/>
            <w:noWrap/>
            <w:vAlign w:val="center"/>
            <w:hideMark/>
          </w:tcPr>
          <w:p w14:paraId="1FD60AD8" w14:textId="41A330BE"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+2 %</w:t>
            </w:r>
          </w:p>
        </w:tc>
        <w:tc>
          <w:tcPr>
            <w:tcW w:w="1104" w:type="dxa"/>
            <w:tcBorders>
              <w:top w:val="nil"/>
              <w:left w:val="single" w:sz="4" w:space="0" w:color="auto"/>
              <w:bottom w:val="single" w:sz="4" w:space="0" w:color="auto"/>
              <w:right w:val="nil"/>
            </w:tcBorders>
            <w:shd w:val="clear" w:color="auto" w:fill="auto"/>
            <w:noWrap/>
            <w:vAlign w:val="bottom"/>
            <w:hideMark/>
          </w:tcPr>
          <w:p w14:paraId="716ABA63" w14:textId="4DC0F045"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26</w:t>
            </w:r>
            <w:r w:rsidR="00E212D0" w:rsidRPr="00A00187">
              <w:rPr>
                <w:rFonts w:eastAsia="Times New Roman"/>
                <w:szCs w:val="24"/>
                <w:lang w:eastAsia="cs-CZ"/>
              </w:rPr>
              <w:t xml:space="preserve"> </w:t>
            </w:r>
            <w:r w:rsidRPr="00A00187">
              <w:rPr>
                <w:rFonts w:eastAsia="Times New Roman"/>
                <w:szCs w:val="24"/>
                <w:lang w:eastAsia="cs-CZ"/>
              </w:rPr>
              <w:t>348</w:t>
            </w:r>
          </w:p>
        </w:tc>
        <w:tc>
          <w:tcPr>
            <w:tcW w:w="878" w:type="dxa"/>
            <w:tcBorders>
              <w:top w:val="nil"/>
              <w:left w:val="nil"/>
              <w:bottom w:val="single" w:sz="4" w:space="0" w:color="auto"/>
              <w:right w:val="single" w:sz="4" w:space="0" w:color="auto"/>
            </w:tcBorders>
            <w:shd w:val="clear" w:color="auto" w:fill="auto"/>
            <w:noWrap/>
            <w:vAlign w:val="center"/>
            <w:hideMark/>
          </w:tcPr>
          <w:p w14:paraId="267D5177" w14:textId="7B77BC3E"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+5 %</w:t>
            </w:r>
          </w:p>
        </w:tc>
        <w:tc>
          <w:tcPr>
            <w:tcW w:w="1049" w:type="dxa"/>
            <w:tcBorders>
              <w:top w:val="nil"/>
              <w:left w:val="nil"/>
              <w:bottom w:val="single" w:sz="4" w:space="0" w:color="auto"/>
              <w:right w:val="nil"/>
            </w:tcBorders>
            <w:shd w:val="clear" w:color="auto" w:fill="auto"/>
            <w:noWrap/>
            <w:vAlign w:val="bottom"/>
            <w:hideMark/>
          </w:tcPr>
          <w:p w14:paraId="30AB127B" w14:textId="30891E8E"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8</w:t>
            </w:r>
            <w:r w:rsidR="00E212D0" w:rsidRPr="00A00187">
              <w:rPr>
                <w:rFonts w:eastAsia="Times New Roman"/>
                <w:szCs w:val="24"/>
                <w:lang w:eastAsia="cs-CZ"/>
              </w:rPr>
              <w:t xml:space="preserve"> </w:t>
            </w:r>
            <w:r w:rsidRPr="00A00187">
              <w:rPr>
                <w:rFonts w:eastAsia="Times New Roman"/>
                <w:szCs w:val="24"/>
                <w:lang w:eastAsia="cs-CZ"/>
              </w:rPr>
              <w:t>006</w:t>
            </w:r>
          </w:p>
        </w:tc>
        <w:tc>
          <w:tcPr>
            <w:tcW w:w="763" w:type="dxa"/>
            <w:tcBorders>
              <w:top w:val="nil"/>
              <w:left w:val="nil"/>
              <w:bottom w:val="single" w:sz="4" w:space="0" w:color="auto"/>
              <w:right w:val="single" w:sz="4" w:space="0" w:color="auto"/>
            </w:tcBorders>
            <w:shd w:val="clear" w:color="auto" w:fill="auto"/>
            <w:noWrap/>
            <w:vAlign w:val="center"/>
            <w:hideMark/>
          </w:tcPr>
          <w:p w14:paraId="2DF0C0C4" w14:textId="01E11C21"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-6 %</w:t>
            </w:r>
          </w:p>
        </w:tc>
        <w:tc>
          <w:tcPr>
            <w:tcW w:w="1516" w:type="dxa"/>
            <w:tcBorders>
              <w:top w:val="nil"/>
              <w:left w:val="nil"/>
              <w:bottom w:val="single" w:sz="4" w:space="0" w:color="auto"/>
              <w:right w:val="nil"/>
            </w:tcBorders>
            <w:shd w:val="clear" w:color="auto" w:fill="auto"/>
            <w:noWrap/>
            <w:vAlign w:val="center"/>
            <w:hideMark/>
          </w:tcPr>
          <w:p w14:paraId="081FEF01" w14:textId="6D8C032A"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102,2 %</w:t>
            </w:r>
          </w:p>
        </w:tc>
      </w:tr>
      <w:tr w:rsidR="00AC1E67" w:rsidRPr="00A00187" w14:paraId="41CD4A87" w14:textId="77777777" w:rsidTr="00B66B52">
        <w:trPr>
          <w:trHeight w:val="315"/>
        </w:trPr>
        <w:tc>
          <w:tcPr>
            <w:tcW w:w="2036" w:type="dxa"/>
            <w:tcBorders>
              <w:top w:val="nil"/>
              <w:left w:val="nil"/>
              <w:bottom w:val="single" w:sz="4" w:space="0" w:color="auto"/>
              <w:right w:val="nil"/>
            </w:tcBorders>
            <w:shd w:val="clear" w:color="auto" w:fill="auto"/>
            <w:noWrap/>
            <w:vAlign w:val="bottom"/>
            <w:hideMark/>
          </w:tcPr>
          <w:p w14:paraId="1F25C82A"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KS Brno</w:t>
            </w:r>
          </w:p>
        </w:tc>
        <w:tc>
          <w:tcPr>
            <w:tcW w:w="1068" w:type="dxa"/>
            <w:tcBorders>
              <w:top w:val="nil"/>
              <w:left w:val="nil"/>
              <w:bottom w:val="single" w:sz="4" w:space="0" w:color="auto"/>
              <w:right w:val="nil"/>
            </w:tcBorders>
            <w:shd w:val="clear" w:color="auto" w:fill="auto"/>
            <w:noWrap/>
            <w:vAlign w:val="bottom"/>
            <w:hideMark/>
          </w:tcPr>
          <w:p w14:paraId="077CB5A6" w14:textId="7EAF53B8"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43</w:t>
            </w:r>
            <w:r w:rsidR="00E212D0" w:rsidRPr="00A00187">
              <w:rPr>
                <w:rFonts w:eastAsia="Times New Roman"/>
                <w:szCs w:val="24"/>
                <w:lang w:eastAsia="cs-CZ"/>
              </w:rPr>
              <w:t xml:space="preserve"> </w:t>
            </w:r>
            <w:r w:rsidRPr="00A00187">
              <w:rPr>
                <w:rFonts w:eastAsia="Times New Roman"/>
                <w:szCs w:val="24"/>
                <w:lang w:eastAsia="cs-CZ"/>
              </w:rPr>
              <w:t>195</w:t>
            </w:r>
          </w:p>
        </w:tc>
        <w:tc>
          <w:tcPr>
            <w:tcW w:w="726" w:type="dxa"/>
            <w:tcBorders>
              <w:top w:val="nil"/>
              <w:left w:val="nil"/>
              <w:bottom w:val="single" w:sz="4" w:space="0" w:color="auto"/>
              <w:right w:val="nil"/>
            </w:tcBorders>
            <w:shd w:val="clear" w:color="auto" w:fill="auto"/>
            <w:noWrap/>
            <w:vAlign w:val="center"/>
            <w:hideMark/>
          </w:tcPr>
          <w:p w14:paraId="5651523B" w14:textId="2C91D333"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+7 %</w:t>
            </w:r>
          </w:p>
        </w:tc>
        <w:tc>
          <w:tcPr>
            <w:tcW w:w="1104" w:type="dxa"/>
            <w:tcBorders>
              <w:top w:val="nil"/>
              <w:left w:val="single" w:sz="4" w:space="0" w:color="auto"/>
              <w:bottom w:val="single" w:sz="4" w:space="0" w:color="auto"/>
              <w:right w:val="nil"/>
            </w:tcBorders>
            <w:shd w:val="clear" w:color="auto" w:fill="auto"/>
            <w:noWrap/>
            <w:vAlign w:val="bottom"/>
            <w:hideMark/>
          </w:tcPr>
          <w:p w14:paraId="08CC92BB" w14:textId="61492297"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43</w:t>
            </w:r>
            <w:r w:rsidR="00E212D0" w:rsidRPr="00A00187">
              <w:rPr>
                <w:rFonts w:eastAsia="Times New Roman"/>
                <w:szCs w:val="24"/>
                <w:lang w:eastAsia="cs-CZ"/>
              </w:rPr>
              <w:t xml:space="preserve"> </w:t>
            </w:r>
            <w:r w:rsidRPr="00A00187">
              <w:rPr>
                <w:rFonts w:eastAsia="Times New Roman"/>
                <w:szCs w:val="24"/>
                <w:lang w:eastAsia="cs-CZ"/>
              </w:rPr>
              <w:t>322</w:t>
            </w:r>
          </w:p>
        </w:tc>
        <w:tc>
          <w:tcPr>
            <w:tcW w:w="878" w:type="dxa"/>
            <w:tcBorders>
              <w:top w:val="nil"/>
              <w:left w:val="nil"/>
              <w:bottom w:val="single" w:sz="4" w:space="0" w:color="auto"/>
              <w:right w:val="single" w:sz="4" w:space="0" w:color="auto"/>
            </w:tcBorders>
            <w:shd w:val="clear" w:color="auto" w:fill="auto"/>
            <w:noWrap/>
            <w:vAlign w:val="center"/>
            <w:hideMark/>
          </w:tcPr>
          <w:p w14:paraId="2B25B5A0" w14:textId="3B7D9261"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+8 %</w:t>
            </w:r>
          </w:p>
        </w:tc>
        <w:tc>
          <w:tcPr>
            <w:tcW w:w="1049" w:type="dxa"/>
            <w:tcBorders>
              <w:top w:val="nil"/>
              <w:left w:val="nil"/>
              <w:bottom w:val="single" w:sz="4" w:space="0" w:color="auto"/>
              <w:right w:val="nil"/>
            </w:tcBorders>
            <w:shd w:val="clear" w:color="auto" w:fill="auto"/>
            <w:noWrap/>
            <w:vAlign w:val="bottom"/>
            <w:hideMark/>
          </w:tcPr>
          <w:p w14:paraId="60B57C9C" w14:textId="1765F658"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20</w:t>
            </w:r>
            <w:r w:rsidR="00E212D0" w:rsidRPr="00A00187">
              <w:rPr>
                <w:rFonts w:eastAsia="Times New Roman"/>
                <w:szCs w:val="24"/>
                <w:lang w:eastAsia="cs-CZ"/>
              </w:rPr>
              <w:t xml:space="preserve"> </w:t>
            </w:r>
            <w:r w:rsidRPr="00A00187">
              <w:rPr>
                <w:rFonts w:eastAsia="Times New Roman"/>
                <w:szCs w:val="24"/>
                <w:lang w:eastAsia="cs-CZ"/>
              </w:rPr>
              <w:t>473</w:t>
            </w:r>
          </w:p>
        </w:tc>
        <w:tc>
          <w:tcPr>
            <w:tcW w:w="763" w:type="dxa"/>
            <w:tcBorders>
              <w:top w:val="nil"/>
              <w:left w:val="nil"/>
              <w:bottom w:val="single" w:sz="4" w:space="0" w:color="auto"/>
              <w:right w:val="single" w:sz="4" w:space="0" w:color="auto"/>
            </w:tcBorders>
            <w:shd w:val="clear" w:color="auto" w:fill="auto"/>
            <w:noWrap/>
            <w:vAlign w:val="center"/>
            <w:hideMark/>
          </w:tcPr>
          <w:p w14:paraId="2D7A636F" w14:textId="3400CF98"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-1 %</w:t>
            </w:r>
          </w:p>
        </w:tc>
        <w:tc>
          <w:tcPr>
            <w:tcW w:w="1516" w:type="dxa"/>
            <w:tcBorders>
              <w:top w:val="nil"/>
              <w:left w:val="nil"/>
              <w:bottom w:val="single" w:sz="4" w:space="0" w:color="auto"/>
              <w:right w:val="nil"/>
            </w:tcBorders>
            <w:shd w:val="clear" w:color="auto" w:fill="auto"/>
            <w:noWrap/>
            <w:vAlign w:val="center"/>
            <w:hideMark/>
          </w:tcPr>
          <w:p w14:paraId="4B456F57" w14:textId="68B0A558"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100,3 %</w:t>
            </w:r>
          </w:p>
        </w:tc>
      </w:tr>
      <w:tr w:rsidR="00AC1E67" w:rsidRPr="00A00187" w14:paraId="3B3A69E8" w14:textId="77777777" w:rsidTr="00B66B52">
        <w:trPr>
          <w:trHeight w:val="330"/>
        </w:trPr>
        <w:tc>
          <w:tcPr>
            <w:tcW w:w="2036" w:type="dxa"/>
            <w:tcBorders>
              <w:top w:val="nil"/>
              <w:left w:val="nil"/>
              <w:bottom w:val="double" w:sz="6" w:space="0" w:color="auto"/>
              <w:right w:val="nil"/>
            </w:tcBorders>
            <w:shd w:val="clear" w:color="auto" w:fill="auto"/>
            <w:noWrap/>
            <w:vAlign w:val="bottom"/>
            <w:hideMark/>
          </w:tcPr>
          <w:p w14:paraId="7BB0E26C" w14:textId="77777777" w:rsidR="00B66B52" w:rsidRPr="00A00187" w:rsidRDefault="00B66B52" w:rsidP="00B66B52">
            <w:pPr>
              <w:spacing w:line="240" w:lineRule="auto"/>
              <w:jc w:val="left"/>
              <w:rPr>
                <w:rFonts w:eastAsia="Times New Roman"/>
                <w:szCs w:val="24"/>
                <w:lang w:eastAsia="cs-CZ"/>
              </w:rPr>
            </w:pPr>
            <w:r w:rsidRPr="00A00187">
              <w:rPr>
                <w:rFonts w:eastAsia="Times New Roman"/>
                <w:szCs w:val="24"/>
                <w:lang w:eastAsia="cs-CZ"/>
              </w:rPr>
              <w:t>KS Ostrava</w:t>
            </w:r>
          </w:p>
        </w:tc>
        <w:tc>
          <w:tcPr>
            <w:tcW w:w="1068" w:type="dxa"/>
            <w:tcBorders>
              <w:top w:val="nil"/>
              <w:left w:val="nil"/>
              <w:bottom w:val="double" w:sz="6" w:space="0" w:color="auto"/>
              <w:right w:val="nil"/>
            </w:tcBorders>
            <w:shd w:val="clear" w:color="auto" w:fill="auto"/>
            <w:noWrap/>
            <w:vAlign w:val="bottom"/>
            <w:hideMark/>
          </w:tcPr>
          <w:p w14:paraId="4BEB5114" w14:textId="272BC7D6"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48</w:t>
            </w:r>
            <w:r w:rsidR="00E212D0" w:rsidRPr="00A00187">
              <w:rPr>
                <w:rFonts w:eastAsia="Times New Roman"/>
                <w:szCs w:val="24"/>
                <w:lang w:eastAsia="cs-CZ"/>
              </w:rPr>
              <w:t xml:space="preserve"> </w:t>
            </w:r>
            <w:r w:rsidRPr="00A00187">
              <w:rPr>
                <w:rFonts w:eastAsia="Times New Roman"/>
                <w:szCs w:val="24"/>
                <w:lang w:eastAsia="cs-CZ"/>
              </w:rPr>
              <w:t>367</w:t>
            </w:r>
          </w:p>
        </w:tc>
        <w:tc>
          <w:tcPr>
            <w:tcW w:w="726" w:type="dxa"/>
            <w:tcBorders>
              <w:top w:val="nil"/>
              <w:left w:val="nil"/>
              <w:bottom w:val="double" w:sz="6" w:space="0" w:color="auto"/>
              <w:right w:val="nil"/>
            </w:tcBorders>
            <w:shd w:val="clear" w:color="auto" w:fill="auto"/>
            <w:noWrap/>
            <w:vAlign w:val="center"/>
            <w:hideMark/>
          </w:tcPr>
          <w:p w14:paraId="1D92523F" w14:textId="71600DC3"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+4 %</w:t>
            </w:r>
          </w:p>
        </w:tc>
        <w:tc>
          <w:tcPr>
            <w:tcW w:w="1104" w:type="dxa"/>
            <w:tcBorders>
              <w:top w:val="nil"/>
              <w:left w:val="single" w:sz="4" w:space="0" w:color="auto"/>
              <w:bottom w:val="double" w:sz="6" w:space="0" w:color="auto"/>
              <w:right w:val="nil"/>
            </w:tcBorders>
            <w:shd w:val="clear" w:color="auto" w:fill="auto"/>
            <w:noWrap/>
            <w:vAlign w:val="bottom"/>
            <w:hideMark/>
          </w:tcPr>
          <w:p w14:paraId="1169F688" w14:textId="78654D08"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47</w:t>
            </w:r>
            <w:r w:rsidR="00E212D0" w:rsidRPr="00A00187">
              <w:rPr>
                <w:rFonts w:eastAsia="Times New Roman"/>
                <w:szCs w:val="24"/>
                <w:lang w:eastAsia="cs-CZ"/>
              </w:rPr>
              <w:t xml:space="preserve"> </w:t>
            </w:r>
            <w:r w:rsidRPr="00A00187">
              <w:rPr>
                <w:rFonts w:eastAsia="Times New Roman"/>
                <w:szCs w:val="24"/>
                <w:lang w:eastAsia="cs-CZ"/>
              </w:rPr>
              <w:t>749</w:t>
            </w:r>
          </w:p>
        </w:tc>
        <w:tc>
          <w:tcPr>
            <w:tcW w:w="878" w:type="dxa"/>
            <w:tcBorders>
              <w:top w:val="nil"/>
              <w:left w:val="nil"/>
              <w:bottom w:val="double" w:sz="6" w:space="0" w:color="auto"/>
              <w:right w:val="single" w:sz="4" w:space="0" w:color="auto"/>
            </w:tcBorders>
            <w:shd w:val="clear" w:color="auto" w:fill="auto"/>
            <w:noWrap/>
            <w:vAlign w:val="center"/>
            <w:hideMark/>
          </w:tcPr>
          <w:p w14:paraId="2923895D" w14:textId="5B6576D1"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+7 %</w:t>
            </w:r>
          </w:p>
        </w:tc>
        <w:tc>
          <w:tcPr>
            <w:tcW w:w="1049" w:type="dxa"/>
            <w:tcBorders>
              <w:top w:val="nil"/>
              <w:left w:val="nil"/>
              <w:bottom w:val="double" w:sz="6" w:space="0" w:color="auto"/>
              <w:right w:val="nil"/>
            </w:tcBorders>
            <w:shd w:val="clear" w:color="auto" w:fill="auto"/>
            <w:noWrap/>
            <w:vAlign w:val="bottom"/>
            <w:hideMark/>
          </w:tcPr>
          <w:p w14:paraId="535972FA" w14:textId="3DA84FC2"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18</w:t>
            </w:r>
            <w:r w:rsidR="00E212D0" w:rsidRPr="00A00187">
              <w:rPr>
                <w:rFonts w:eastAsia="Times New Roman"/>
                <w:szCs w:val="24"/>
                <w:lang w:eastAsia="cs-CZ"/>
              </w:rPr>
              <w:t xml:space="preserve"> </w:t>
            </w:r>
            <w:r w:rsidRPr="00A00187">
              <w:rPr>
                <w:rFonts w:eastAsia="Times New Roman"/>
                <w:szCs w:val="24"/>
                <w:lang w:eastAsia="cs-CZ"/>
              </w:rPr>
              <w:t>444</w:t>
            </w:r>
          </w:p>
        </w:tc>
        <w:tc>
          <w:tcPr>
            <w:tcW w:w="763" w:type="dxa"/>
            <w:tcBorders>
              <w:top w:val="nil"/>
              <w:left w:val="nil"/>
              <w:bottom w:val="double" w:sz="6" w:space="0" w:color="auto"/>
              <w:right w:val="single" w:sz="4" w:space="0" w:color="auto"/>
            </w:tcBorders>
            <w:shd w:val="clear" w:color="auto" w:fill="auto"/>
            <w:noWrap/>
            <w:vAlign w:val="center"/>
            <w:hideMark/>
          </w:tcPr>
          <w:p w14:paraId="299CB185" w14:textId="1E28B724" w:rsidR="00B66B52" w:rsidRPr="00A00187" w:rsidRDefault="00B66B52" w:rsidP="00E706B0">
            <w:pPr>
              <w:spacing w:line="240" w:lineRule="auto"/>
              <w:jc w:val="center"/>
              <w:rPr>
                <w:rFonts w:eastAsia="Times New Roman"/>
                <w:sz w:val="20"/>
                <w:szCs w:val="20"/>
                <w:lang w:eastAsia="cs-CZ"/>
              </w:rPr>
            </w:pPr>
            <w:r w:rsidRPr="00A00187">
              <w:rPr>
                <w:rFonts w:eastAsia="Times New Roman"/>
                <w:sz w:val="20"/>
                <w:szCs w:val="20"/>
                <w:lang w:eastAsia="cs-CZ"/>
              </w:rPr>
              <w:t>+4 %</w:t>
            </w:r>
          </w:p>
        </w:tc>
        <w:tc>
          <w:tcPr>
            <w:tcW w:w="1516" w:type="dxa"/>
            <w:tcBorders>
              <w:top w:val="nil"/>
              <w:left w:val="nil"/>
              <w:bottom w:val="nil"/>
              <w:right w:val="nil"/>
            </w:tcBorders>
            <w:shd w:val="clear" w:color="auto" w:fill="auto"/>
            <w:noWrap/>
            <w:vAlign w:val="center"/>
            <w:hideMark/>
          </w:tcPr>
          <w:p w14:paraId="7B5306D7" w14:textId="0B9BA4CB" w:rsidR="00B66B52" w:rsidRPr="00A00187" w:rsidRDefault="00B66B52" w:rsidP="00B66B52">
            <w:pPr>
              <w:spacing w:line="240" w:lineRule="auto"/>
              <w:jc w:val="center"/>
              <w:rPr>
                <w:rFonts w:eastAsia="Times New Roman"/>
                <w:szCs w:val="24"/>
                <w:lang w:eastAsia="cs-CZ"/>
              </w:rPr>
            </w:pPr>
            <w:r w:rsidRPr="00A00187">
              <w:rPr>
                <w:rFonts w:eastAsia="Times New Roman"/>
                <w:szCs w:val="24"/>
                <w:lang w:eastAsia="cs-CZ"/>
              </w:rPr>
              <w:t>98,7 %</w:t>
            </w:r>
          </w:p>
        </w:tc>
      </w:tr>
      <w:tr w:rsidR="00AC1E67" w:rsidRPr="00A00187" w14:paraId="11E75C11" w14:textId="77777777" w:rsidTr="00B66B52">
        <w:trPr>
          <w:trHeight w:val="345"/>
        </w:trPr>
        <w:tc>
          <w:tcPr>
            <w:tcW w:w="2036" w:type="dxa"/>
            <w:tcBorders>
              <w:top w:val="nil"/>
              <w:left w:val="nil"/>
              <w:bottom w:val="double" w:sz="6" w:space="0" w:color="auto"/>
              <w:right w:val="nil"/>
            </w:tcBorders>
            <w:shd w:val="clear" w:color="auto" w:fill="auto"/>
            <w:noWrap/>
            <w:vAlign w:val="bottom"/>
            <w:hideMark/>
          </w:tcPr>
          <w:p w14:paraId="4AFDB03D" w14:textId="77777777" w:rsidR="00B66B52" w:rsidRPr="00A00187" w:rsidRDefault="00B66B52" w:rsidP="00B66B52">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68" w:type="dxa"/>
            <w:tcBorders>
              <w:top w:val="nil"/>
              <w:left w:val="nil"/>
              <w:bottom w:val="double" w:sz="6" w:space="0" w:color="auto"/>
              <w:right w:val="nil"/>
            </w:tcBorders>
            <w:shd w:val="clear" w:color="auto" w:fill="auto"/>
            <w:noWrap/>
            <w:vAlign w:val="bottom"/>
            <w:hideMark/>
          </w:tcPr>
          <w:p w14:paraId="015EEE87" w14:textId="559E184F"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310</w:t>
            </w:r>
            <w:r w:rsidR="00E212D0" w:rsidRPr="00A00187">
              <w:rPr>
                <w:rFonts w:eastAsia="Times New Roman"/>
                <w:b/>
                <w:bCs/>
                <w:szCs w:val="24"/>
                <w:lang w:eastAsia="cs-CZ"/>
              </w:rPr>
              <w:t xml:space="preserve"> </w:t>
            </w:r>
            <w:r w:rsidRPr="00A00187">
              <w:rPr>
                <w:rFonts w:eastAsia="Times New Roman"/>
                <w:b/>
                <w:bCs/>
                <w:szCs w:val="24"/>
                <w:lang w:eastAsia="cs-CZ"/>
              </w:rPr>
              <w:t>369</w:t>
            </w:r>
          </w:p>
        </w:tc>
        <w:tc>
          <w:tcPr>
            <w:tcW w:w="726" w:type="dxa"/>
            <w:tcBorders>
              <w:top w:val="nil"/>
              <w:left w:val="nil"/>
              <w:bottom w:val="double" w:sz="6" w:space="0" w:color="auto"/>
              <w:right w:val="nil"/>
            </w:tcBorders>
            <w:shd w:val="clear" w:color="auto" w:fill="auto"/>
            <w:noWrap/>
            <w:vAlign w:val="center"/>
            <w:hideMark/>
          </w:tcPr>
          <w:p w14:paraId="31F166C5" w14:textId="0CFCE190" w:rsidR="00B66B52" w:rsidRPr="00A00187" w:rsidRDefault="00B66B52" w:rsidP="00E706B0">
            <w:pPr>
              <w:spacing w:line="240" w:lineRule="auto"/>
              <w:jc w:val="center"/>
              <w:rPr>
                <w:rFonts w:eastAsia="Times New Roman"/>
                <w:b/>
                <w:bCs/>
                <w:sz w:val="20"/>
                <w:szCs w:val="20"/>
                <w:lang w:eastAsia="cs-CZ"/>
              </w:rPr>
            </w:pPr>
            <w:r w:rsidRPr="00A00187">
              <w:rPr>
                <w:rFonts w:eastAsia="Times New Roman"/>
                <w:b/>
                <w:bCs/>
                <w:sz w:val="20"/>
                <w:szCs w:val="20"/>
                <w:lang w:eastAsia="cs-CZ"/>
              </w:rPr>
              <w:t>+1 %</w:t>
            </w:r>
          </w:p>
        </w:tc>
        <w:tc>
          <w:tcPr>
            <w:tcW w:w="1104" w:type="dxa"/>
            <w:tcBorders>
              <w:top w:val="nil"/>
              <w:left w:val="single" w:sz="4" w:space="0" w:color="auto"/>
              <w:bottom w:val="double" w:sz="6" w:space="0" w:color="auto"/>
              <w:right w:val="nil"/>
            </w:tcBorders>
            <w:shd w:val="clear" w:color="auto" w:fill="auto"/>
            <w:noWrap/>
            <w:vAlign w:val="bottom"/>
            <w:hideMark/>
          </w:tcPr>
          <w:p w14:paraId="1500501D" w14:textId="2D17780D"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322</w:t>
            </w:r>
            <w:r w:rsidR="00E212D0" w:rsidRPr="00A00187">
              <w:rPr>
                <w:rFonts w:eastAsia="Times New Roman"/>
                <w:b/>
                <w:bCs/>
                <w:szCs w:val="24"/>
                <w:lang w:eastAsia="cs-CZ"/>
              </w:rPr>
              <w:t xml:space="preserve"> </w:t>
            </w:r>
            <w:r w:rsidRPr="00A00187">
              <w:rPr>
                <w:rFonts w:eastAsia="Times New Roman"/>
                <w:b/>
                <w:bCs/>
                <w:szCs w:val="24"/>
                <w:lang w:eastAsia="cs-CZ"/>
              </w:rPr>
              <w:t>405</w:t>
            </w:r>
          </w:p>
        </w:tc>
        <w:tc>
          <w:tcPr>
            <w:tcW w:w="878" w:type="dxa"/>
            <w:tcBorders>
              <w:top w:val="nil"/>
              <w:left w:val="nil"/>
              <w:bottom w:val="double" w:sz="6" w:space="0" w:color="auto"/>
              <w:right w:val="single" w:sz="4" w:space="0" w:color="auto"/>
            </w:tcBorders>
            <w:shd w:val="clear" w:color="auto" w:fill="auto"/>
            <w:noWrap/>
            <w:vAlign w:val="center"/>
            <w:hideMark/>
          </w:tcPr>
          <w:p w14:paraId="480E1E85" w14:textId="5E8C1920" w:rsidR="00B66B52" w:rsidRPr="00A00187" w:rsidRDefault="00B66B52" w:rsidP="00E706B0">
            <w:pPr>
              <w:spacing w:line="240" w:lineRule="auto"/>
              <w:jc w:val="center"/>
              <w:rPr>
                <w:rFonts w:eastAsia="Times New Roman"/>
                <w:b/>
                <w:bCs/>
                <w:sz w:val="20"/>
                <w:szCs w:val="20"/>
                <w:lang w:eastAsia="cs-CZ"/>
              </w:rPr>
            </w:pPr>
            <w:r w:rsidRPr="00A00187">
              <w:rPr>
                <w:rFonts w:eastAsia="Times New Roman"/>
                <w:b/>
                <w:bCs/>
                <w:sz w:val="20"/>
                <w:szCs w:val="20"/>
                <w:lang w:eastAsia="cs-CZ"/>
              </w:rPr>
              <w:t>+8 %</w:t>
            </w:r>
          </w:p>
        </w:tc>
        <w:tc>
          <w:tcPr>
            <w:tcW w:w="1049" w:type="dxa"/>
            <w:tcBorders>
              <w:top w:val="nil"/>
              <w:left w:val="nil"/>
              <w:bottom w:val="double" w:sz="6" w:space="0" w:color="auto"/>
              <w:right w:val="nil"/>
            </w:tcBorders>
            <w:shd w:val="clear" w:color="auto" w:fill="auto"/>
            <w:noWrap/>
            <w:vAlign w:val="bottom"/>
            <w:hideMark/>
          </w:tcPr>
          <w:p w14:paraId="60B5BC6D" w14:textId="7D088B62"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118</w:t>
            </w:r>
            <w:r w:rsidR="00E212D0" w:rsidRPr="00A00187">
              <w:rPr>
                <w:rFonts w:eastAsia="Times New Roman"/>
                <w:b/>
                <w:bCs/>
                <w:szCs w:val="24"/>
                <w:lang w:eastAsia="cs-CZ"/>
              </w:rPr>
              <w:t xml:space="preserve"> </w:t>
            </w:r>
            <w:r w:rsidRPr="00A00187">
              <w:rPr>
                <w:rFonts w:eastAsia="Times New Roman"/>
                <w:b/>
                <w:bCs/>
                <w:szCs w:val="24"/>
                <w:lang w:eastAsia="cs-CZ"/>
              </w:rPr>
              <w:t>395</w:t>
            </w:r>
          </w:p>
        </w:tc>
        <w:tc>
          <w:tcPr>
            <w:tcW w:w="763" w:type="dxa"/>
            <w:tcBorders>
              <w:top w:val="nil"/>
              <w:left w:val="nil"/>
              <w:bottom w:val="double" w:sz="6" w:space="0" w:color="auto"/>
              <w:right w:val="single" w:sz="4" w:space="0" w:color="auto"/>
            </w:tcBorders>
            <w:shd w:val="clear" w:color="auto" w:fill="auto"/>
            <w:noWrap/>
            <w:vAlign w:val="center"/>
            <w:hideMark/>
          </w:tcPr>
          <w:p w14:paraId="370A9D88" w14:textId="1B069E0C" w:rsidR="00B66B52" w:rsidRPr="00A00187" w:rsidRDefault="00B66B52" w:rsidP="00E706B0">
            <w:pPr>
              <w:spacing w:line="240" w:lineRule="auto"/>
              <w:jc w:val="center"/>
              <w:rPr>
                <w:rFonts w:eastAsia="Times New Roman"/>
                <w:b/>
                <w:bCs/>
                <w:sz w:val="20"/>
                <w:szCs w:val="20"/>
                <w:lang w:eastAsia="cs-CZ"/>
              </w:rPr>
            </w:pPr>
            <w:r w:rsidRPr="00A00187">
              <w:rPr>
                <w:rFonts w:eastAsia="Times New Roman"/>
                <w:b/>
                <w:bCs/>
                <w:sz w:val="20"/>
                <w:szCs w:val="20"/>
                <w:lang w:eastAsia="cs-CZ"/>
              </w:rPr>
              <w:t>-9 %</w:t>
            </w:r>
          </w:p>
        </w:tc>
        <w:tc>
          <w:tcPr>
            <w:tcW w:w="1516" w:type="dxa"/>
            <w:tcBorders>
              <w:top w:val="double" w:sz="6" w:space="0" w:color="auto"/>
              <w:left w:val="nil"/>
              <w:bottom w:val="double" w:sz="6" w:space="0" w:color="auto"/>
              <w:right w:val="nil"/>
            </w:tcBorders>
            <w:shd w:val="clear" w:color="auto" w:fill="auto"/>
            <w:noWrap/>
            <w:vAlign w:val="center"/>
            <w:hideMark/>
          </w:tcPr>
          <w:p w14:paraId="2D4A2E84" w14:textId="41BB4237" w:rsidR="00B66B52" w:rsidRPr="00A00187" w:rsidRDefault="00B66B52" w:rsidP="00B66B52">
            <w:pPr>
              <w:spacing w:line="240" w:lineRule="auto"/>
              <w:jc w:val="center"/>
              <w:rPr>
                <w:rFonts w:eastAsia="Times New Roman"/>
                <w:b/>
                <w:bCs/>
                <w:szCs w:val="24"/>
                <w:lang w:eastAsia="cs-CZ"/>
              </w:rPr>
            </w:pPr>
            <w:r w:rsidRPr="00A00187">
              <w:rPr>
                <w:rFonts w:eastAsia="Times New Roman"/>
                <w:b/>
                <w:bCs/>
                <w:szCs w:val="24"/>
                <w:lang w:eastAsia="cs-CZ"/>
              </w:rPr>
              <w:t>103,9 %</w:t>
            </w:r>
          </w:p>
        </w:tc>
      </w:tr>
      <w:tr w:rsidR="00AC1E67" w:rsidRPr="00A00187" w14:paraId="0B47C235" w14:textId="77777777" w:rsidTr="00B66B52">
        <w:trPr>
          <w:trHeight w:val="330"/>
        </w:trPr>
        <w:tc>
          <w:tcPr>
            <w:tcW w:w="2036" w:type="dxa"/>
            <w:tcBorders>
              <w:top w:val="nil"/>
              <w:left w:val="nil"/>
              <w:bottom w:val="nil"/>
              <w:right w:val="nil"/>
            </w:tcBorders>
            <w:shd w:val="clear" w:color="auto" w:fill="auto"/>
            <w:noWrap/>
            <w:vAlign w:val="bottom"/>
            <w:hideMark/>
          </w:tcPr>
          <w:p w14:paraId="73C3B10B" w14:textId="77777777" w:rsidR="00B66B52" w:rsidRPr="00A00187" w:rsidRDefault="00B66B52" w:rsidP="00B66B52">
            <w:pPr>
              <w:spacing w:line="240" w:lineRule="auto"/>
              <w:jc w:val="center"/>
              <w:rPr>
                <w:rFonts w:eastAsia="Times New Roman"/>
                <w:b/>
                <w:bCs/>
                <w:szCs w:val="24"/>
                <w:lang w:eastAsia="cs-CZ"/>
              </w:rPr>
            </w:pPr>
          </w:p>
        </w:tc>
        <w:tc>
          <w:tcPr>
            <w:tcW w:w="1068" w:type="dxa"/>
            <w:tcBorders>
              <w:top w:val="nil"/>
              <w:left w:val="nil"/>
              <w:bottom w:val="nil"/>
              <w:right w:val="nil"/>
            </w:tcBorders>
            <w:shd w:val="clear" w:color="auto" w:fill="auto"/>
            <w:noWrap/>
            <w:vAlign w:val="bottom"/>
            <w:hideMark/>
          </w:tcPr>
          <w:p w14:paraId="356BEE08" w14:textId="77777777" w:rsidR="00B66B52" w:rsidRPr="00A00187" w:rsidRDefault="00B66B52" w:rsidP="00B66B52">
            <w:pPr>
              <w:spacing w:line="240" w:lineRule="auto"/>
              <w:jc w:val="left"/>
              <w:rPr>
                <w:rFonts w:ascii="Times New Roman" w:eastAsia="Times New Roman" w:hAnsi="Times New Roman"/>
                <w:sz w:val="20"/>
                <w:szCs w:val="20"/>
                <w:lang w:eastAsia="cs-CZ"/>
              </w:rPr>
            </w:pPr>
          </w:p>
        </w:tc>
        <w:tc>
          <w:tcPr>
            <w:tcW w:w="726" w:type="dxa"/>
            <w:tcBorders>
              <w:top w:val="nil"/>
              <w:left w:val="nil"/>
              <w:bottom w:val="nil"/>
              <w:right w:val="nil"/>
            </w:tcBorders>
            <w:shd w:val="clear" w:color="auto" w:fill="auto"/>
            <w:noWrap/>
            <w:vAlign w:val="bottom"/>
            <w:hideMark/>
          </w:tcPr>
          <w:p w14:paraId="08976647" w14:textId="77777777" w:rsidR="00B66B52" w:rsidRPr="00A00187" w:rsidRDefault="00B66B52" w:rsidP="00B66B52">
            <w:pPr>
              <w:spacing w:line="240" w:lineRule="auto"/>
              <w:jc w:val="left"/>
              <w:rPr>
                <w:rFonts w:ascii="Times New Roman" w:eastAsia="Times New Roman" w:hAnsi="Times New Roman"/>
                <w:sz w:val="20"/>
                <w:szCs w:val="20"/>
                <w:lang w:eastAsia="cs-CZ"/>
              </w:rPr>
            </w:pPr>
          </w:p>
        </w:tc>
        <w:tc>
          <w:tcPr>
            <w:tcW w:w="1104" w:type="dxa"/>
            <w:tcBorders>
              <w:top w:val="nil"/>
              <w:left w:val="nil"/>
              <w:bottom w:val="nil"/>
              <w:right w:val="nil"/>
            </w:tcBorders>
            <w:shd w:val="clear" w:color="auto" w:fill="auto"/>
            <w:noWrap/>
            <w:vAlign w:val="bottom"/>
            <w:hideMark/>
          </w:tcPr>
          <w:p w14:paraId="333B5C34" w14:textId="77777777" w:rsidR="00B66B52" w:rsidRPr="00A00187" w:rsidRDefault="00B66B52" w:rsidP="00B66B52">
            <w:pPr>
              <w:spacing w:line="240" w:lineRule="auto"/>
              <w:jc w:val="left"/>
              <w:rPr>
                <w:rFonts w:ascii="Times New Roman" w:eastAsia="Times New Roman" w:hAnsi="Times New Roman"/>
                <w:sz w:val="20"/>
                <w:szCs w:val="20"/>
                <w:lang w:eastAsia="cs-CZ"/>
              </w:rPr>
            </w:pPr>
          </w:p>
        </w:tc>
        <w:tc>
          <w:tcPr>
            <w:tcW w:w="878" w:type="dxa"/>
            <w:tcBorders>
              <w:top w:val="nil"/>
              <w:left w:val="nil"/>
              <w:bottom w:val="nil"/>
              <w:right w:val="nil"/>
            </w:tcBorders>
            <w:shd w:val="clear" w:color="auto" w:fill="auto"/>
            <w:noWrap/>
            <w:vAlign w:val="bottom"/>
            <w:hideMark/>
          </w:tcPr>
          <w:p w14:paraId="074D0964" w14:textId="77777777" w:rsidR="00B66B52" w:rsidRPr="00A00187" w:rsidRDefault="00B66B52" w:rsidP="00B66B52">
            <w:pPr>
              <w:spacing w:line="240" w:lineRule="auto"/>
              <w:jc w:val="left"/>
              <w:rPr>
                <w:rFonts w:ascii="Times New Roman" w:eastAsia="Times New Roman" w:hAnsi="Times New Roman"/>
                <w:sz w:val="20"/>
                <w:szCs w:val="20"/>
                <w:lang w:eastAsia="cs-CZ"/>
              </w:rPr>
            </w:pPr>
          </w:p>
        </w:tc>
        <w:tc>
          <w:tcPr>
            <w:tcW w:w="1049" w:type="dxa"/>
            <w:tcBorders>
              <w:top w:val="nil"/>
              <w:left w:val="nil"/>
              <w:bottom w:val="nil"/>
              <w:right w:val="nil"/>
            </w:tcBorders>
            <w:shd w:val="clear" w:color="auto" w:fill="auto"/>
            <w:noWrap/>
            <w:vAlign w:val="bottom"/>
            <w:hideMark/>
          </w:tcPr>
          <w:p w14:paraId="316DF448" w14:textId="77777777" w:rsidR="00B66B52" w:rsidRPr="00A00187" w:rsidRDefault="00B66B52" w:rsidP="00B66B52">
            <w:pPr>
              <w:spacing w:line="240" w:lineRule="auto"/>
              <w:jc w:val="left"/>
              <w:rPr>
                <w:rFonts w:ascii="Times New Roman" w:eastAsia="Times New Roman" w:hAnsi="Times New Roman"/>
                <w:sz w:val="20"/>
                <w:szCs w:val="20"/>
                <w:lang w:eastAsia="cs-CZ"/>
              </w:rPr>
            </w:pPr>
          </w:p>
        </w:tc>
        <w:tc>
          <w:tcPr>
            <w:tcW w:w="763" w:type="dxa"/>
            <w:tcBorders>
              <w:top w:val="nil"/>
              <w:left w:val="nil"/>
              <w:bottom w:val="nil"/>
              <w:right w:val="nil"/>
            </w:tcBorders>
            <w:shd w:val="clear" w:color="auto" w:fill="auto"/>
            <w:noWrap/>
            <w:vAlign w:val="bottom"/>
            <w:hideMark/>
          </w:tcPr>
          <w:p w14:paraId="62413569" w14:textId="77777777" w:rsidR="00B66B52" w:rsidRPr="00A00187" w:rsidRDefault="00B66B52" w:rsidP="00B66B52">
            <w:pPr>
              <w:spacing w:line="240" w:lineRule="auto"/>
              <w:jc w:val="left"/>
              <w:rPr>
                <w:rFonts w:ascii="Times New Roman" w:eastAsia="Times New Roman" w:hAnsi="Times New Roman"/>
                <w:sz w:val="20"/>
                <w:szCs w:val="20"/>
                <w:lang w:eastAsia="cs-CZ"/>
              </w:rPr>
            </w:pPr>
          </w:p>
        </w:tc>
        <w:tc>
          <w:tcPr>
            <w:tcW w:w="1516" w:type="dxa"/>
            <w:tcBorders>
              <w:top w:val="nil"/>
              <w:left w:val="nil"/>
              <w:bottom w:val="nil"/>
              <w:right w:val="nil"/>
            </w:tcBorders>
            <w:shd w:val="clear" w:color="auto" w:fill="auto"/>
            <w:noWrap/>
            <w:vAlign w:val="bottom"/>
            <w:hideMark/>
          </w:tcPr>
          <w:p w14:paraId="7AAAF361" w14:textId="77777777" w:rsidR="00B66B52" w:rsidRPr="00A00187" w:rsidRDefault="00B66B52" w:rsidP="00B66B52">
            <w:pPr>
              <w:spacing w:line="240" w:lineRule="auto"/>
              <w:jc w:val="left"/>
              <w:rPr>
                <w:rFonts w:ascii="Times New Roman" w:eastAsia="Times New Roman" w:hAnsi="Times New Roman"/>
                <w:sz w:val="20"/>
                <w:szCs w:val="20"/>
                <w:lang w:eastAsia="cs-CZ"/>
              </w:rPr>
            </w:pPr>
          </w:p>
        </w:tc>
      </w:tr>
    </w:tbl>
    <w:p w14:paraId="145AE9C4" w14:textId="0A5723FA" w:rsidR="00E706B0" w:rsidRPr="00A00187" w:rsidRDefault="00E706B0" w:rsidP="00E706B0">
      <w:r w:rsidRPr="00A00187">
        <w:t xml:space="preserve">Tabulka </w:t>
      </w:r>
      <w:r w:rsidRPr="00A00187">
        <w:rPr>
          <w:noProof/>
        </w:rPr>
        <w:t>10</w:t>
      </w:r>
      <w:r w:rsidRPr="00A00187">
        <w:t xml:space="preserve"> tedy zachycuje vyřizování věcí dle krajů v roce 2021. Počet napadlých, vyřízených a částečně i nevyřízených věci se odvíjí od velikosti soudu. Nelze tedy nijak porovnávat zatížení a výkonnost soudů bez toho, že budou data normalizována, tedy dokud nebude zohledněna velikost soudů. K tomu slouží dvě následující části této kapitoly. Z tohoto důvodu dále nezkoumáme jednotlivé okresní soudy pomocí kartogramu a krabicového grafu.</w:t>
      </w:r>
    </w:p>
    <w:p w14:paraId="2BD25429" w14:textId="0D8EDB00" w:rsidR="00E129AF" w:rsidRPr="00A00187" w:rsidRDefault="00E129AF" w:rsidP="00E706B0"/>
    <w:p w14:paraId="67C9CADD" w14:textId="46044ACB" w:rsidR="008430BD" w:rsidRPr="00A00187" w:rsidRDefault="008430BD" w:rsidP="008430BD">
      <w:pPr>
        <w:pStyle w:val="Nadpis3"/>
        <w:numPr>
          <w:ilvl w:val="2"/>
          <w:numId w:val="1"/>
        </w:numPr>
        <w:rPr>
          <w:color w:val="auto"/>
        </w:rPr>
      </w:pPr>
      <w:bookmarkStart w:id="157" w:name="_Toc515871223"/>
      <w:bookmarkStart w:id="158" w:name="_Toc106092720"/>
      <w:bookmarkStart w:id="159" w:name="_Toc109801336"/>
      <w:r w:rsidRPr="00A00187">
        <w:rPr>
          <w:color w:val="auto"/>
        </w:rPr>
        <w:t>Vyřizování věcí v přepočtu na soudce</w:t>
      </w:r>
      <w:bookmarkEnd w:id="157"/>
      <w:bookmarkEnd w:id="158"/>
      <w:bookmarkEnd w:id="159"/>
    </w:p>
    <w:p w14:paraId="2F9A5FA9" w14:textId="01A3CC78" w:rsidR="0010762C" w:rsidRPr="00A00187" w:rsidRDefault="0010762C" w:rsidP="0010762C">
      <w:r w:rsidRPr="00A00187">
        <w:t xml:space="preserve">Ministerstvo spravedlnosti má k dispozici přesnější data o počtu soudců, konkrétně data o skutečném počtu úvazků, která budou využita pro přepočet. Skutečný počet úvazků je získáván dotazníkovým šetřením u soudů a zahrnuje pouze soudce, kteří danou agendu v příslušném roce reálně vyřizovali. Na rozdíl od evidenčního počtu soudců tedy nejsou zahrnuti dlouhodobě nepřítomní soudci </w:t>
      </w:r>
      <w:r w:rsidR="00B00DE0" w:rsidRPr="00A00187">
        <w:rPr>
          <w:sz w:val="26"/>
          <w:szCs w:val="24"/>
        </w:rPr>
        <w:t>[</w:t>
      </w:r>
      <w:r w:rsidRPr="00A00187">
        <w:t>na MD/RD, dlouhodobě nemocní, dočasně zproštěni výkonu funkce soudce (§ 99, 100 a 100a zák. č. 6/2002 Sb.) nebo dočasně přeloženi k jinému soudu (stáž)</w:t>
      </w:r>
      <w:r w:rsidR="00B00DE0" w:rsidRPr="00A00187">
        <w:t>]</w:t>
      </w:r>
      <w:r w:rsidRPr="00A00187">
        <w:t>. Údaje jsou s přesností na desetinu soudce a jsou podrobněji členěny dle úseků a agendy, které se věnují.</w:t>
      </w:r>
    </w:p>
    <w:p w14:paraId="5054A644" w14:textId="69C10871" w:rsidR="0010762C" w:rsidRPr="00A00187" w:rsidRDefault="0010762C" w:rsidP="0010762C">
      <w:r w:rsidRPr="00A00187">
        <w:t>Tato data byla poprvé sbírána k lednu 2020 a nejsou tedy k dispozici v dlouhých časových řadách. Jejich výrazným přínosem je jejich podstatně vyšší přesnost, protože:</w:t>
      </w:r>
    </w:p>
    <w:p w14:paraId="5A7B70AB" w14:textId="77777777" w:rsidR="0010762C" w:rsidRPr="00A00187" w:rsidRDefault="0010762C" w:rsidP="0010762C">
      <w:pPr>
        <w:pStyle w:val="Odstavecseseznamem"/>
        <w:numPr>
          <w:ilvl w:val="0"/>
          <w:numId w:val="16"/>
        </w:numPr>
      </w:pPr>
      <w:r w:rsidRPr="00A00187">
        <w:t xml:space="preserve">Umožňují srovnání nejen relativních údajů mezi jednotlivými soudy, ale výrazně přesnější jsou nyní i absolutní čísla, byť se stále jedná o aproximaci. Především rozlišení opatrovnických soudců výpočet výrazně zpřesnilo. Rovněž fakt, že v počtu nejsou započteni například dlouhodobě nemocní soudci, částečně předsedové a místopředsedové </w:t>
      </w:r>
      <w:r w:rsidRPr="00A00187">
        <w:lastRenderedPageBreak/>
        <w:t>soudů</w:t>
      </w:r>
      <w:r w:rsidR="00ED1DBA" w:rsidRPr="00A00187">
        <w:t>,</w:t>
      </w:r>
      <w:r w:rsidRPr="00A00187">
        <w:t xml:space="preserve"> a především soudkyně či soudci na rodičovské/mateřské dovolené, údaje dále zpřesňuje.</w:t>
      </w:r>
    </w:p>
    <w:p w14:paraId="4C9E3486" w14:textId="68739610" w:rsidR="0010762C" w:rsidRPr="00A00187" w:rsidRDefault="0010762C" w:rsidP="0010762C">
      <w:pPr>
        <w:pStyle w:val="Odstavecseseznamem"/>
        <w:numPr>
          <w:ilvl w:val="0"/>
          <w:numId w:val="16"/>
        </w:numPr>
      </w:pPr>
      <w:r w:rsidRPr="00A00187">
        <w:t>I samotné relativní srovnání mezi soudy a kraji je přesnější. Především na úrovni soudců se v datech lépe promítnou například dlouhodobé absence.</w:t>
      </w:r>
    </w:p>
    <w:p w14:paraId="03FF0BF9" w14:textId="2399675B" w:rsidR="00BC21A8" w:rsidRPr="00A00187" w:rsidRDefault="00BC21A8" w:rsidP="00BC21A8">
      <w:pPr>
        <w:pStyle w:val="Podnadpis"/>
        <w:rPr>
          <w:color w:val="auto"/>
        </w:rPr>
      </w:pPr>
      <w:bookmarkStart w:id="160" w:name="_Toc75952314"/>
      <w:bookmarkStart w:id="161" w:name="_Toc106106773"/>
      <w:bookmarkStart w:id="162" w:name="_Toc109802096"/>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11</w:t>
      </w:r>
      <w:r w:rsidRPr="00A00187">
        <w:rPr>
          <w:noProof/>
          <w:color w:val="auto"/>
        </w:rPr>
        <w:fldChar w:fldCharType="end"/>
      </w:r>
      <w:r w:rsidRPr="00A00187">
        <w:rPr>
          <w:color w:val="auto"/>
        </w:rPr>
        <w:t xml:space="preserve">: OS – vyřizování civilních věcí na </w:t>
      </w:r>
      <w:r w:rsidR="003C18B1">
        <w:rPr>
          <w:color w:val="auto"/>
        </w:rPr>
        <w:t xml:space="preserve">skutečný </w:t>
      </w:r>
      <w:r w:rsidRPr="00A00187">
        <w:rPr>
          <w:color w:val="auto"/>
        </w:rPr>
        <w:t>úvazek dle krajů</w:t>
      </w:r>
      <w:bookmarkEnd w:id="160"/>
      <w:bookmarkEnd w:id="161"/>
      <w:bookmarkEnd w:id="162"/>
      <w:r w:rsidR="004B4CEB" w:rsidRPr="00A00187">
        <w:rPr>
          <w:color w:val="auto"/>
        </w:rPr>
        <w:t xml:space="preserve"> </w:t>
      </w:r>
    </w:p>
    <w:tbl>
      <w:tblPr>
        <w:tblW w:w="9214" w:type="dxa"/>
        <w:tblCellMar>
          <w:left w:w="70" w:type="dxa"/>
          <w:right w:w="70" w:type="dxa"/>
        </w:tblCellMar>
        <w:tblLook w:val="04A0" w:firstRow="1" w:lastRow="0" w:firstColumn="1" w:lastColumn="0" w:noHBand="0" w:noVBand="1"/>
      </w:tblPr>
      <w:tblGrid>
        <w:gridCol w:w="1836"/>
        <w:gridCol w:w="1141"/>
        <w:gridCol w:w="1172"/>
        <w:gridCol w:w="954"/>
        <w:gridCol w:w="1199"/>
        <w:gridCol w:w="928"/>
        <w:gridCol w:w="1180"/>
        <w:gridCol w:w="804"/>
      </w:tblGrid>
      <w:tr w:rsidR="00AC1E67" w:rsidRPr="00A00187" w14:paraId="14CC2E96" w14:textId="77777777" w:rsidTr="00647F65">
        <w:trPr>
          <w:trHeight w:val="330"/>
        </w:trPr>
        <w:tc>
          <w:tcPr>
            <w:tcW w:w="1836" w:type="dxa"/>
            <w:vMerge w:val="restart"/>
            <w:tcBorders>
              <w:top w:val="double" w:sz="6" w:space="0" w:color="auto"/>
              <w:left w:val="nil"/>
              <w:bottom w:val="double" w:sz="6" w:space="0" w:color="000000"/>
              <w:right w:val="nil"/>
            </w:tcBorders>
            <w:shd w:val="clear" w:color="auto" w:fill="auto"/>
            <w:noWrap/>
            <w:vAlign w:val="center"/>
            <w:hideMark/>
          </w:tcPr>
          <w:p w14:paraId="285C644A" w14:textId="77777777" w:rsidR="00BC21A8" w:rsidRPr="00A00187" w:rsidRDefault="00BC21A8" w:rsidP="00BC21A8">
            <w:pPr>
              <w:spacing w:line="240" w:lineRule="auto"/>
              <w:jc w:val="left"/>
              <w:rPr>
                <w:rFonts w:eastAsia="Times New Roman"/>
                <w:b/>
                <w:bCs/>
                <w:szCs w:val="24"/>
                <w:lang w:eastAsia="cs-CZ"/>
              </w:rPr>
            </w:pPr>
            <w:r w:rsidRPr="00A00187">
              <w:rPr>
                <w:rFonts w:eastAsia="Times New Roman"/>
                <w:b/>
                <w:bCs/>
                <w:szCs w:val="24"/>
                <w:lang w:eastAsia="cs-CZ"/>
              </w:rPr>
              <w:t>Nadřízený soud</w:t>
            </w:r>
          </w:p>
        </w:tc>
        <w:tc>
          <w:tcPr>
            <w:tcW w:w="1141" w:type="dxa"/>
            <w:vMerge w:val="restart"/>
            <w:tcBorders>
              <w:top w:val="double" w:sz="6" w:space="0" w:color="auto"/>
              <w:left w:val="nil"/>
              <w:bottom w:val="double" w:sz="6" w:space="0" w:color="000000"/>
              <w:right w:val="nil"/>
            </w:tcBorders>
            <w:shd w:val="clear" w:color="auto" w:fill="auto"/>
            <w:noWrap/>
            <w:vAlign w:val="center"/>
            <w:hideMark/>
          </w:tcPr>
          <w:p w14:paraId="7B803A3B" w14:textId="77777777"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0146D0FD" w14:textId="77777777"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Počet věcí na úvazek</w:t>
            </w:r>
          </w:p>
        </w:tc>
      </w:tr>
      <w:tr w:rsidR="00AC1E67" w:rsidRPr="00A00187" w14:paraId="00C284E9" w14:textId="77777777" w:rsidTr="000E0C47">
        <w:trPr>
          <w:trHeight w:val="330"/>
        </w:trPr>
        <w:tc>
          <w:tcPr>
            <w:tcW w:w="1836" w:type="dxa"/>
            <w:vMerge/>
            <w:tcBorders>
              <w:top w:val="double" w:sz="6" w:space="0" w:color="auto"/>
              <w:left w:val="nil"/>
              <w:bottom w:val="double" w:sz="6" w:space="0" w:color="000000"/>
              <w:right w:val="nil"/>
            </w:tcBorders>
            <w:vAlign w:val="center"/>
            <w:hideMark/>
          </w:tcPr>
          <w:p w14:paraId="7823FE91" w14:textId="77777777" w:rsidR="00BC21A8" w:rsidRPr="00A00187" w:rsidRDefault="00BC21A8" w:rsidP="00BC21A8">
            <w:pPr>
              <w:spacing w:line="240" w:lineRule="auto"/>
              <w:jc w:val="left"/>
              <w:rPr>
                <w:rFonts w:eastAsia="Times New Roman"/>
                <w:b/>
                <w:bCs/>
                <w:szCs w:val="24"/>
                <w:lang w:eastAsia="cs-CZ"/>
              </w:rPr>
            </w:pPr>
          </w:p>
        </w:tc>
        <w:tc>
          <w:tcPr>
            <w:tcW w:w="1141" w:type="dxa"/>
            <w:vMerge/>
            <w:tcBorders>
              <w:top w:val="double" w:sz="6" w:space="0" w:color="auto"/>
              <w:left w:val="nil"/>
              <w:bottom w:val="double" w:sz="6" w:space="0" w:color="000000"/>
              <w:right w:val="nil"/>
            </w:tcBorders>
            <w:vAlign w:val="center"/>
            <w:hideMark/>
          </w:tcPr>
          <w:p w14:paraId="17E9F05C" w14:textId="77777777" w:rsidR="00BC21A8" w:rsidRPr="00A00187" w:rsidRDefault="00BC21A8" w:rsidP="00BC21A8">
            <w:pPr>
              <w:spacing w:line="240" w:lineRule="auto"/>
              <w:jc w:val="left"/>
              <w:rPr>
                <w:rFonts w:eastAsia="Times New Roman"/>
                <w:b/>
                <w:bCs/>
                <w:szCs w:val="24"/>
                <w:lang w:eastAsia="cs-CZ"/>
              </w:rPr>
            </w:pPr>
          </w:p>
        </w:tc>
        <w:tc>
          <w:tcPr>
            <w:tcW w:w="2126" w:type="dxa"/>
            <w:gridSpan w:val="2"/>
            <w:tcBorders>
              <w:top w:val="nil"/>
              <w:left w:val="nil"/>
              <w:bottom w:val="double" w:sz="6" w:space="0" w:color="auto"/>
              <w:right w:val="nil"/>
            </w:tcBorders>
            <w:shd w:val="clear" w:color="auto" w:fill="auto"/>
            <w:noWrap/>
            <w:vAlign w:val="center"/>
            <w:hideMark/>
          </w:tcPr>
          <w:p w14:paraId="04B6B60B" w14:textId="77777777"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12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0727572" w14:textId="77777777"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984" w:type="dxa"/>
            <w:gridSpan w:val="2"/>
            <w:tcBorders>
              <w:top w:val="nil"/>
              <w:left w:val="nil"/>
              <w:bottom w:val="double" w:sz="6" w:space="0" w:color="auto"/>
              <w:right w:val="nil"/>
            </w:tcBorders>
            <w:shd w:val="clear" w:color="auto" w:fill="auto"/>
            <w:noWrap/>
            <w:vAlign w:val="center"/>
            <w:hideMark/>
          </w:tcPr>
          <w:p w14:paraId="7210921E" w14:textId="77777777"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5FCFB92D" w14:textId="77777777" w:rsidTr="000E0C47">
        <w:trPr>
          <w:trHeight w:val="330"/>
        </w:trPr>
        <w:tc>
          <w:tcPr>
            <w:tcW w:w="1836" w:type="dxa"/>
            <w:tcBorders>
              <w:top w:val="single" w:sz="4" w:space="0" w:color="auto"/>
              <w:left w:val="nil"/>
              <w:bottom w:val="single" w:sz="4" w:space="0" w:color="auto"/>
              <w:right w:val="nil"/>
            </w:tcBorders>
            <w:shd w:val="clear" w:color="auto" w:fill="auto"/>
            <w:noWrap/>
            <w:vAlign w:val="bottom"/>
            <w:hideMark/>
          </w:tcPr>
          <w:p w14:paraId="4171836F"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MS Praha</w:t>
            </w:r>
          </w:p>
        </w:tc>
        <w:tc>
          <w:tcPr>
            <w:tcW w:w="1141" w:type="dxa"/>
            <w:tcBorders>
              <w:top w:val="single" w:sz="4" w:space="0" w:color="auto"/>
              <w:left w:val="nil"/>
              <w:bottom w:val="single" w:sz="4" w:space="0" w:color="auto"/>
              <w:right w:val="nil"/>
            </w:tcBorders>
            <w:shd w:val="clear" w:color="auto" w:fill="auto"/>
            <w:noWrap/>
            <w:vAlign w:val="bottom"/>
            <w:hideMark/>
          </w:tcPr>
          <w:p w14:paraId="3ACC1A49" w14:textId="435B2D09"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165,95</w:t>
            </w:r>
          </w:p>
        </w:tc>
        <w:tc>
          <w:tcPr>
            <w:tcW w:w="1172" w:type="dxa"/>
            <w:tcBorders>
              <w:top w:val="single" w:sz="4" w:space="0" w:color="auto"/>
              <w:left w:val="nil"/>
              <w:bottom w:val="single" w:sz="4" w:space="0" w:color="auto"/>
              <w:right w:val="nil"/>
            </w:tcBorders>
            <w:shd w:val="clear" w:color="auto" w:fill="auto"/>
            <w:noWrap/>
            <w:vAlign w:val="bottom"/>
            <w:hideMark/>
          </w:tcPr>
          <w:p w14:paraId="4319231C" w14:textId="4E6A5910"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390,77</w:t>
            </w:r>
          </w:p>
        </w:tc>
        <w:tc>
          <w:tcPr>
            <w:tcW w:w="954" w:type="dxa"/>
            <w:tcBorders>
              <w:top w:val="single" w:sz="4" w:space="0" w:color="auto"/>
              <w:left w:val="nil"/>
              <w:bottom w:val="single" w:sz="4" w:space="0" w:color="auto"/>
              <w:right w:val="nil"/>
            </w:tcBorders>
            <w:shd w:val="clear" w:color="auto" w:fill="auto"/>
            <w:noWrap/>
            <w:vAlign w:val="center"/>
            <w:hideMark/>
          </w:tcPr>
          <w:p w14:paraId="3664B2AD" w14:textId="0FCDBF52"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199" w:type="dxa"/>
            <w:tcBorders>
              <w:top w:val="nil"/>
              <w:left w:val="single" w:sz="4" w:space="0" w:color="auto"/>
              <w:bottom w:val="single" w:sz="4" w:space="0" w:color="auto"/>
              <w:right w:val="nil"/>
            </w:tcBorders>
            <w:shd w:val="clear" w:color="auto" w:fill="auto"/>
            <w:noWrap/>
            <w:vAlign w:val="bottom"/>
            <w:hideMark/>
          </w:tcPr>
          <w:p w14:paraId="502777F4" w14:textId="2EDFC09C"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432,88</w:t>
            </w:r>
          </w:p>
        </w:tc>
        <w:tc>
          <w:tcPr>
            <w:tcW w:w="928" w:type="dxa"/>
            <w:tcBorders>
              <w:top w:val="nil"/>
              <w:left w:val="nil"/>
              <w:bottom w:val="single" w:sz="4" w:space="0" w:color="auto"/>
              <w:right w:val="single" w:sz="4" w:space="0" w:color="auto"/>
            </w:tcBorders>
            <w:shd w:val="clear" w:color="auto" w:fill="auto"/>
            <w:noWrap/>
            <w:vAlign w:val="center"/>
            <w:hideMark/>
          </w:tcPr>
          <w:p w14:paraId="1531B511" w14:textId="775E0CD9"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180" w:type="dxa"/>
            <w:tcBorders>
              <w:top w:val="single" w:sz="4" w:space="0" w:color="auto"/>
              <w:left w:val="nil"/>
              <w:bottom w:val="single" w:sz="4" w:space="0" w:color="auto"/>
              <w:right w:val="nil"/>
            </w:tcBorders>
            <w:shd w:val="clear" w:color="auto" w:fill="auto"/>
            <w:noWrap/>
            <w:vAlign w:val="bottom"/>
            <w:hideMark/>
          </w:tcPr>
          <w:p w14:paraId="2EFC1675" w14:textId="13A4442C"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193,21</w:t>
            </w:r>
          </w:p>
        </w:tc>
        <w:tc>
          <w:tcPr>
            <w:tcW w:w="804" w:type="dxa"/>
            <w:tcBorders>
              <w:top w:val="single" w:sz="4" w:space="0" w:color="auto"/>
              <w:left w:val="nil"/>
              <w:bottom w:val="single" w:sz="4" w:space="0" w:color="auto"/>
              <w:right w:val="nil"/>
            </w:tcBorders>
            <w:shd w:val="clear" w:color="auto" w:fill="auto"/>
            <w:noWrap/>
            <w:vAlign w:val="center"/>
            <w:hideMark/>
          </w:tcPr>
          <w:p w14:paraId="17F652B5" w14:textId="05916DBA"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AC1E67" w:rsidRPr="00A00187" w14:paraId="144952B9" w14:textId="77777777" w:rsidTr="000E0C47">
        <w:trPr>
          <w:trHeight w:val="315"/>
        </w:trPr>
        <w:tc>
          <w:tcPr>
            <w:tcW w:w="1836" w:type="dxa"/>
            <w:tcBorders>
              <w:top w:val="nil"/>
              <w:left w:val="nil"/>
              <w:bottom w:val="single" w:sz="4" w:space="0" w:color="auto"/>
              <w:right w:val="nil"/>
            </w:tcBorders>
            <w:shd w:val="clear" w:color="auto" w:fill="auto"/>
            <w:noWrap/>
            <w:vAlign w:val="bottom"/>
            <w:hideMark/>
          </w:tcPr>
          <w:p w14:paraId="3EFFE1DE"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KS Praha</w:t>
            </w:r>
          </w:p>
        </w:tc>
        <w:tc>
          <w:tcPr>
            <w:tcW w:w="1141" w:type="dxa"/>
            <w:tcBorders>
              <w:top w:val="nil"/>
              <w:left w:val="nil"/>
              <w:bottom w:val="single" w:sz="4" w:space="0" w:color="auto"/>
              <w:right w:val="nil"/>
            </w:tcBorders>
            <w:shd w:val="clear" w:color="auto" w:fill="auto"/>
            <w:noWrap/>
            <w:vAlign w:val="bottom"/>
            <w:hideMark/>
          </w:tcPr>
          <w:p w14:paraId="7988D86A" w14:textId="403E97B3"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94,01</w:t>
            </w:r>
          </w:p>
        </w:tc>
        <w:tc>
          <w:tcPr>
            <w:tcW w:w="1172" w:type="dxa"/>
            <w:tcBorders>
              <w:top w:val="nil"/>
              <w:left w:val="nil"/>
              <w:bottom w:val="single" w:sz="4" w:space="0" w:color="auto"/>
              <w:right w:val="nil"/>
            </w:tcBorders>
            <w:shd w:val="clear" w:color="auto" w:fill="auto"/>
            <w:noWrap/>
            <w:vAlign w:val="bottom"/>
            <w:hideMark/>
          </w:tcPr>
          <w:p w14:paraId="11E34163" w14:textId="29499DA5"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389,89</w:t>
            </w:r>
          </w:p>
        </w:tc>
        <w:tc>
          <w:tcPr>
            <w:tcW w:w="954" w:type="dxa"/>
            <w:tcBorders>
              <w:top w:val="nil"/>
              <w:left w:val="nil"/>
              <w:bottom w:val="single" w:sz="4" w:space="0" w:color="auto"/>
              <w:right w:val="nil"/>
            </w:tcBorders>
            <w:shd w:val="clear" w:color="auto" w:fill="auto"/>
            <w:noWrap/>
            <w:vAlign w:val="center"/>
            <w:hideMark/>
          </w:tcPr>
          <w:p w14:paraId="56503593" w14:textId="3EA3B868"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199" w:type="dxa"/>
            <w:tcBorders>
              <w:top w:val="nil"/>
              <w:left w:val="single" w:sz="4" w:space="0" w:color="auto"/>
              <w:bottom w:val="single" w:sz="4" w:space="0" w:color="auto"/>
              <w:right w:val="nil"/>
            </w:tcBorders>
            <w:shd w:val="clear" w:color="auto" w:fill="auto"/>
            <w:noWrap/>
            <w:vAlign w:val="bottom"/>
            <w:hideMark/>
          </w:tcPr>
          <w:p w14:paraId="5E243499" w14:textId="6F8CB687"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400,41</w:t>
            </w:r>
          </w:p>
        </w:tc>
        <w:tc>
          <w:tcPr>
            <w:tcW w:w="928" w:type="dxa"/>
            <w:tcBorders>
              <w:top w:val="nil"/>
              <w:left w:val="nil"/>
              <w:bottom w:val="single" w:sz="4" w:space="0" w:color="auto"/>
              <w:right w:val="single" w:sz="4" w:space="0" w:color="auto"/>
            </w:tcBorders>
            <w:shd w:val="clear" w:color="auto" w:fill="auto"/>
            <w:noWrap/>
            <w:vAlign w:val="center"/>
            <w:hideMark/>
          </w:tcPr>
          <w:p w14:paraId="2E02B683" w14:textId="030E6829"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39208CC4" w14:textId="253F8905"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98,01</w:t>
            </w:r>
          </w:p>
        </w:tc>
        <w:tc>
          <w:tcPr>
            <w:tcW w:w="804" w:type="dxa"/>
            <w:tcBorders>
              <w:top w:val="nil"/>
              <w:left w:val="nil"/>
              <w:bottom w:val="single" w:sz="4" w:space="0" w:color="auto"/>
              <w:right w:val="nil"/>
            </w:tcBorders>
            <w:shd w:val="clear" w:color="auto" w:fill="auto"/>
            <w:noWrap/>
            <w:vAlign w:val="center"/>
            <w:hideMark/>
          </w:tcPr>
          <w:p w14:paraId="30C5187D" w14:textId="10A41EBF"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57373B80" w14:textId="77777777" w:rsidTr="000E0C47">
        <w:trPr>
          <w:trHeight w:val="315"/>
        </w:trPr>
        <w:tc>
          <w:tcPr>
            <w:tcW w:w="1836" w:type="dxa"/>
            <w:tcBorders>
              <w:top w:val="nil"/>
              <w:left w:val="nil"/>
              <w:bottom w:val="single" w:sz="4" w:space="0" w:color="auto"/>
              <w:right w:val="nil"/>
            </w:tcBorders>
            <w:shd w:val="clear" w:color="auto" w:fill="auto"/>
            <w:noWrap/>
            <w:vAlign w:val="bottom"/>
            <w:hideMark/>
          </w:tcPr>
          <w:p w14:paraId="5BF7387B"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KS Č. Budějovice</w:t>
            </w:r>
          </w:p>
        </w:tc>
        <w:tc>
          <w:tcPr>
            <w:tcW w:w="1141" w:type="dxa"/>
            <w:tcBorders>
              <w:top w:val="nil"/>
              <w:left w:val="nil"/>
              <w:bottom w:val="single" w:sz="4" w:space="0" w:color="auto"/>
              <w:right w:val="nil"/>
            </w:tcBorders>
            <w:shd w:val="clear" w:color="auto" w:fill="auto"/>
            <w:noWrap/>
            <w:vAlign w:val="bottom"/>
            <w:hideMark/>
          </w:tcPr>
          <w:p w14:paraId="363EA625" w14:textId="4EE5E675"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44,8</w:t>
            </w:r>
          </w:p>
        </w:tc>
        <w:tc>
          <w:tcPr>
            <w:tcW w:w="1172" w:type="dxa"/>
            <w:tcBorders>
              <w:top w:val="nil"/>
              <w:left w:val="nil"/>
              <w:bottom w:val="single" w:sz="4" w:space="0" w:color="auto"/>
              <w:right w:val="nil"/>
            </w:tcBorders>
            <w:shd w:val="clear" w:color="auto" w:fill="auto"/>
            <w:noWrap/>
            <w:vAlign w:val="bottom"/>
            <w:hideMark/>
          </w:tcPr>
          <w:p w14:paraId="1C789CA8" w14:textId="3F248FF6"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348,93</w:t>
            </w:r>
          </w:p>
        </w:tc>
        <w:tc>
          <w:tcPr>
            <w:tcW w:w="954" w:type="dxa"/>
            <w:tcBorders>
              <w:top w:val="nil"/>
              <w:left w:val="nil"/>
              <w:bottom w:val="single" w:sz="4" w:space="0" w:color="auto"/>
              <w:right w:val="nil"/>
            </w:tcBorders>
            <w:shd w:val="clear" w:color="auto" w:fill="auto"/>
            <w:noWrap/>
            <w:vAlign w:val="center"/>
            <w:hideMark/>
          </w:tcPr>
          <w:p w14:paraId="5A1E89E2" w14:textId="6E3A3983"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199" w:type="dxa"/>
            <w:tcBorders>
              <w:top w:val="nil"/>
              <w:left w:val="single" w:sz="4" w:space="0" w:color="auto"/>
              <w:bottom w:val="single" w:sz="4" w:space="0" w:color="auto"/>
              <w:right w:val="nil"/>
            </w:tcBorders>
            <w:shd w:val="clear" w:color="auto" w:fill="auto"/>
            <w:noWrap/>
            <w:vAlign w:val="bottom"/>
            <w:hideMark/>
          </w:tcPr>
          <w:p w14:paraId="609C8D6C" w14:textId="1D3CBFF5"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358,44</w:t>
            </w:r>
          </w:p>
        </w:tc>
        <w:tc>
          <w:tcPr>
            <w:tcW w:w="928" w:type="dxa"/>
            <w:tcBorders>
              <w:top w:val="nil"/>
              <w:left w:val="nil"/>
              <w:bottom w:val="single" w:sz="4" w:space="0" w:color="auto"/>
              <w:right w:val="single" w:sz="4" w:space="0" w:color="auto"/>
            </w:tcBorders>
            <w:shd w:val="clear" w:color="auto" w:fill="auto"/>
            <w:noWrap/>
            <w:vAlign w:val="center"/>
            <w:hideMark/>
          </w:tcPr>
          <w:p w14:paraId="70EA5EC5" w14:textId="58DD87C7"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6A42930A" w14:textId="230D5C21"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72,66</w:t>
            </w:r>
          </w:p>
        </w:tc>
        <w:tc>
          <w:tcPr>
            <w:tcW w:w="804" w:type="dxa"/>
            <w:tcBorders>
              <w:top w:val="nil"/>
              <w:left w:val="nil"/>
              <w:bottom w:val="single" w:sz="4" w:space="0" w:color="auto"/>
              <w:right w:val="nil"/>
            </w:tcBorders>
            <w:shd w:val="clear" w:color="auto" w:fill="auto"/>
            <w:noWrap/>
            <w:vAlign w:val="center"/>
            <w:hideMark/>
          </w:tcPr>
          <w:p w14:paraId="170FE0FE" w14:textId="3A38929E"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r>
      <w:tr w:rsidR="00AC1E67" w:rsidRPr="00A00187" w14:paraId="4040BF59" w14:textId="77777777" w:rsidTr="000E0C47">
        <w:trPr>
          <w:trHeight w:val="315"/>
        </w:trPr>
        <w:tc>
          <w:tcPr>
            <w:tcW w:w="1836" w:type="dxa"/>
            <w:tcBorders>
              <w:top w:val="nil"/>
              <w:left w:val="nil"/>
              <w:bottom w:val="single" w:sz="4" w:space="0" w:color="auto"/>
              <w:right w:val="nil"/>
            </w:tcBorders>
            <w:shd w:val="clear" w:color="auto" w:fill="auto"/>
            <w:noWrap/>
            <w:vAlign w:val="bottom"/>
            <w:hideMark/>
          </w:tcPr>
          <w:p w14:paraId="7CF2856C"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KS Plzeň</w:t>
            </w:r>
          </w:p>
        </w:tc>
        <w:tc>
          <w:tcPr>
            <w:tcW w:w="1141" w:type="dxa"/>
            <w:tcBorders>
              <w:top w:val="nil"/>
              <w:left w:val="nil"/>
              <w:bottom w:val="single" w:sz="4" w:space="0" w:color="auto"/>
              <w:right w:val="nil"/>
            </w:tcBorders>
            <w:shd w:val="clear" w:color="auto" w:fill="auto"/>
            <w:noWrap/>
            <w:vAlign w:val="bottom"/>
            <w:hideMark/>
          </w:tcPr>
          <w:p w14:paraId="7EF57DF6" w14:textId="198524D5"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73,35</w:t>
            </w:r>
          </w:p>
        </w:tc>
        <w:tc>
          <w:tcPr>
            <w:tcW w:w="1172" w:type="dxa"/>
            <w:tcBorders>
              <w:top w:val="nil"/>
              <w:left w:val="nil"/>
              <w:bottom w:val="single" w:sz="4" w:space="0" w:color="auto"/>
              <w:right w:val="nil"/>
            </w:tcBorders>
            <w:shd w:val="clear" w:color="auto" w:fill="auto"/>
            <w:noWrap/>
            <w:vAlign w:val="bottom"/>
            <w:hideMark/>
          </w:tcPr>
          <w:p w14:paraId="2AEE3EC7" w14:textId="4A4D94BB"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380,71</w:t>
            </w:r>
          </w:p>
        </w:tc>
        <w:tc>
          <w:tcPr>
            <w:tcW w:w="954" w:type="dxa"/>
            <w:tcBorders>
              <w:top w:val="nil"/>
              <w:left w:val="nil"/>
              <w:bottom w:val="single" w:sz="4" w:space="0" w:color="auto"/>
              <w:right w:val="nil"/>
            </w:tcBorders>
            <w:shd w:val="clear" w:color="auto" w:fill="auto"/>
            <w:noWrap/>
            <w:vAlign w:val="center"/>
            <w:hideMark/>
          </w:tcPr>
          <w:p w14:paraId="10EB2E3D" w14:textId="2258BE08"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199" w:type="dxa"/>
            <w:tcBorders>
              <w:top w:val="nil"/>
              <w:left w:val="single" w:sz="4" w:space="0" w:color="auto"/>
              <w:bottom w:val="single" w:sz="4" w:space="0" w:color="auto"/>
              <w:right w:val="nil"/>
            </w:tcBorders>
            <w:shd w:val="clear" w:color="auto" w:fill="auto"/>
            <w:noWrap/>
            <w:vAlign w:val="bottom"/>
            <w:hideMark/>
          </w:tcPr>
          <w:p w14:paraId="29599AC0" w14:textId="148CA61F"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387,76</w:t>
            </w:r>
          </w:p>
        </w:tc>
        <w:tc>
          <w:tcPr>
            <w:tcW w:w="928" w:type="dxa"/>
            <w:tcBorders>
              <w:top w:val="nil"/>
              <w:left w:val="nil"/>
              <w:bottom w:val="single" w:sz="4" w:space="0" w:color="auto"/>
              <w:right w:val="single" w:sz="4" w:space="0" w:color="auto"/>
            </w:tcBorders>
            <w:shd w:val="clear" w:color="auto" w:fill="auto"/>
            <w:noWrap/>
            <w:vAlign w:val="center"/>
            <w:hideMark/>
          </w:tcPr>
          <w:p w14:paraId="6D928141" w14:textId="3FC0406F"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28757BB9" w14:textId="5643352D"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118,32</w:t>
            </w:r>
          </w:p>
        </w:tc>
        <w:tc>
          <w:tcPr>
            <w:tcW w:w="804" w:type="dxa"/>
            <w:tcBorders>
              <w:top w:val="nil"/>
              <w:left w:val="nil"/>
              <w:bottom w:val="single" w:sz="4" w:space="0" w:color="auto"/>
              <w:right w:val="nil"/>
            </w:tcBorders>
            <w:shd w:val="clear" w:color="auto" w:fill="auto"/>
            <w:noWrap/>
            <w:vAlign w:val="center"/>
            <w:hideMark/>
          </w:tcPr>
          <w:p w14:paraId="3E182B45" w14:textId="4D1DC860"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196E140B" w14:textId="77777777" w:rsidTr="000E0C47">
        <w:trPr>
          <w:trHeight w:val="315"/>
        </w:trPr>
        <w:tc>
          <w:tcPr>
            <w:tcW w:w="1836" w:type="dxa"/>
            <w:tcBorders>
              <w:top w:val="nil"/>
              <w:left w:val="nil"/>
              <w:bottom w:val="single" w:sz="4" w:space="0" w:color="auto"/>
              <w:right w:val="nil"/>
            </w:tcBorders>
            <w:shd w:val="clear" w:color="auto" w:fill="auto"/>
            <w:noWrap/>
            <w:vAlign w:val="bottom"/>
            <w:hideMark/>
          </w:tcPr>
          <w:p w14:paraId="0EF9858A"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KS Ústí n. Labem</w:t>
            </w:r>
          </w:p>
        </w:tc>
        <w:tc>
          <w:tcPr>
            <w:tcW w:w="1141" w:type="dxa"/>
            <w:tcBorders>
              <w:top w:val="nil"/>
              <w:left w:val="nil"/>
              <w:bottom w:val="single" w:sz="4" w:space="0" w:color="auto"/>
              <w:right w:val="nil"/>
            </w:tcBorders>
            <w:shd w:val="clear" w:color="auto" w:fill="auto"/>
            <w:noWrap/>
            <w:vAlign w:val="bottom"/>
            <w:hideMark/>
          </w:tcPr>
          <w:p w14:paraId="1584A832" w14:textId="3FAD40D5"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115,27</w:t>
            </w:r>
          </w:p>
        </w:tc>
        <w:tc>
          <w:tcPr>
            <w:tcW w:w="1172" w:type="dxa"/>
            <w:tcBorders>
              <w:top w:val="nil"/>
              <w:left w:val="nil"/>
              <w:bottom w:val="single" w:sz="4" w:space="0" w:color="auto"/>
              <w:right w:val="nil"/>
            </w:tcBorders>
            <w:shd w:val="clear" w:color="auto" w:fill="auto"/>
            <w:noWrap/>
            <w:vAlign w:val="bottom"/>
            <w:hideMark/>
          </w:tcPr>
          <w:p w14:paraId="1D354E53" w14:textId="44E41DC7"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416,04</w:t>
            </w:r>
          </w:p>
        </w:tc>
        <w:tc>
          <w:tcPr>
            <w:tcW w:w="954" w:type="dxa"/>
            <w:tcBorders>
              <w:top w:val="nil"/>
              <w:left w:val="nil"/>
              <w:bottom w:val="single" w:sz="4" w:space="0" w:color="auto"/>
              <w:right w:val="nil"/>
            </w:tcBorders>
            <w:shd w:val="clear" w:color="auto" w:fill="auto"/>
            <w:noWrap/>
            <w:vAlign w:val="center"/>
            <w:hideMark/>
          </w:tcPr>
          <w:p w14:paraId="210A768F" w14:textId="53250BDE"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199" w:type="dxa"/>
            <w:tcBorders>
              <w:top w:val="nil"/>
              <w:left w:val="single" w:sz="4" w:space="0" w:color="auto"/>
              <w:bottom w:val="single" w:sz="4" w:space="0" w:color="auto"/>
              <w:right w:val="nil"/>
            </w:tcBorders>
            <w:shd w:val="clear" w:color="auto" w:fill="auto"/>
            <w:noWrap/>
            <w:vAlign w:val="bottom"/>
            <w:hideMark/>
          </w:tcPr>
          <w:p w14:paraId="29730C77" w14:textId="7208B1BF"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442,49</w:t>
            </w:r>
          </w:p>
        </w:tc>
        <w:tc>
          <w:tcPr>
            <w:tcW w:w="928" w:type="dxa"/>
            <w:tcBorders>
              <w:top w:val="nil"/>
              <w:left w:val="nil"/>
              <w:bottom w:val="single" w:sz="4" w:space="0" w:color="auto"/>
              <w:right w:val="single" w:sz="4" w:space="0" w:color="auto"/>
            </w:tcBorders>
            <w:shd w:val="clear" w:color="auto" w:fill="auto"/>
            <w:noWrap/>
            <w:vAlign w:val="center"/>
            <w:hideMark/>
          </w:tcPr>
          <w:p w14:paraId="3DB1F3C4" w14:textId="29F3714C"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6EE18B6E" w14:textId="26EF4A8A"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158,42</w:t>
            </w:r>
          </w:p>
        </w:tc>
        <w:tc>
          <w:tcPr>
            <w:tcW w:w="804" w:type="dxa"/>
            <w:tcBorders>
              <w:top w:val="nil"/>
              <w:left w:val="nil"/>
              <w:bottom w:val="single" w:sz="4" w:space="0" w:color="auto"/>
              <w:right w:val="nil"/>
            </w:tcBorders>
            <w:shd w:val="clear" w:color="auto" w:fill="auto"/>
            <w:noWrap/>
            <w:vAlign w:val="center"/>
            <w:hideMark/>
          </w:tcPr>
          <w:p w14:paraId="5DAEE402" w14:textId="24DF40DD"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62AC0244" w14:textId="77777777" w:rsidTr="000E0C47">
        <w:trPr>
          <w:trHeight w:val="315"/>
        </w:trPr>
        <w:tc>
          <w:tcPr>
            <w:tcW w:w="1836" w:type="dxa"/>
            <w:tcBorders>
              <w:top w:val="nil"/>
              <w:left w:val="nil"/>
              <w:bottom w:val="single" w:sz="4" w:space="0" w:color="auto"/>
              <w:right w:val="nil"/>
            </w:tcBorders>
            <w:shd w:val="clear" w:color="auto" w:fill="auto"/>
            <w:noWrap/>
            <w:vAlign w:val="bottom"/>
            <w:hideMark/>
          </w:tcPr>
          <w:p w14:paraId="2F03B261"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KS Hr. Králové</w:t>
            </w:r>
          </w:p>
        </w:tc>
        <w:tc>
          <w:tcPr>
            <w:tcW w:w="1141" w:type="dxa"/>
            <w:tcBorders>
              <w:top w:val="nil"/>
              <w:left w:val="nil"/>
              <w:bottom w:val="single" w:sz="4" w:space="0" w:color="auto"/>
              <w:right w:val="nil"/>
            </w:tcBorders>
            <w:shd w:val="clear" w:color="auto" w:fill="auto"/>
            <w:noWrap/>
            <w:vAlign w:val="bottom"/>
            <w:hideMark/>
          </w:tcPr>
          <w:p w14:paraId="3BDEF88C" w14:textId="5E5290A4"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73,8</w:t>
            </w:r>
          </w:p>
        </w:tc>
        <w:tc>
          <w:tcPr>
            <w:tcW w:w="1172" w:type="dxa"/>
            <w:tcBorders>
              <w:top w:val="nil"/>
              <w:left w:val="nil"/>
              <w:bottom w:val="single" w:sz="4" w:space="0" w:color="auto"/>
              <w:right w:val="nil"/>
            </w:tcBorders>
            <w:shd w:val="clear" w:color="auto" w:fill="auto"/>
            <w:noWrap/>
            <w:vAlign w:val="bottom"/>
            <w:hideMark/>
          </w:tcPr>
          <w:p w14:paraId="73F1ED5F" w14:textId="7BBB445F"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349,47</w:t>
            </w:r>
          </w:p>
        </w:tc>
        <w:tc>
          <w:tcPr>
            <w:tcW w:w="954" w:type="dxa"/>
            <w:tcBorders>
              <w:top w:val="nil"/>
              <w:left w:val="nil"/>
              <w:bottom w:val="single" w:sz="4" w:space="0" w:color="auto"/>
              <w:right w:val="nil"/>
            </w:tcBorders>
            <w:shd w:val="clear" w:color="auto" w:fill="auto"/>
            <w:noWrap/>
            <w:vAlign w:val="center"/>
            <w:hideMark/>
          </w:tcPr>
          <w:p w14:paraId="232C3F8A" w14:textId="56C2E9A3"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199" w:type="dxa"/>
            <w:tcBorders>
              <w:top w:val="nil"/>
              <w:left w:val="single" w:sz="4" w:space="0" w:color="auto"/>
              <w:bottom w:val="single" w:sz="4" w:space="0" w:color="auto"/>
              <w:right w:val="nil"/>
            </w:tcBorders>
            <w:shd w:val="clear" w:color="auto" w:fill="auto"/>
            <w:noWrap/>
            <w:vAlign w:val="bottom"/>
            <w:hideMark/>
          </w:tcPr>
          <w:p w14:paraId="738E4581" w14:textId="22C407B5"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357,02</w:t>
            </w:r>
          </w:p>
        </w:tc>
        <w:tc>
          <w:tcPr>
            <w:tcW w:w="928" w:type="dxa"/>
            <w:tcBorders>
              <w:top w:val="nil"/>
              <w:left w:val="nil"/>
              <w:bottom w:val="single" w:sz="4" w:space="0" w:color="auto"/>
              <w:right w:val="single" w:sz="4" w:space="0" w:color="auto"/>
            </w:tcBorders>
            <w:shd w:val="clear" w:color="auto" w:fill="auto"/>
            <w:noWrap/>
            <w:vAlign w:val="center"/>
            <w:hideMark/>
          </w:tcPr>
          <w:p w14:paraId="340D64CB" w14:textId="5B6B4FAE"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00E08E33" w14:textId="24F8B54C"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108,48</w:t>
            </w:r>
          </w:p>
        </w:tc>
        <w:tc>
          <w:tcPr>
            <w:tcW w:w="804" w:type="dxa"/>
            <w:tcBorders>
              <w:top w:val="nil"/>
              <w:left w:val="nil"/>
              <w:bottom w:val="single" w:sz="4" w:space="0" w:color="auto"/>
              <w:right w:val="nil"/>
            </w:tcBorders>
            <w:shd w:val="clear" w:color="auto" w:fill="auto"/>
            <w:noWrap/>
            <w:vAlign w:val="center"/>
            <w:hideMark/>
          </w:tcPr>
          <w:p w14:paraId="41BBF4D2" w14:textId="4E7ACAB5"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2D9390F8" w14:textId="77777777" w:rsidTr="000E0C47">
        <w:trPr>
          <w:trHeight w:val="315"/>
        </w:trPr>
        <w:tc>
          <w:tcPr>
            <w:tcW w:w="1836" w:type="dxa"/>
            <w:tcBorders>
              <w:top w:val="nil"/>
              <w:left w:val="nil"/>
              <w:bottom w:val="single" w:sz="4" w:space="0" w:color="auto"/>
              <w:right w:val="nil"/>
            </w:tcBorders>
            <w:shd w:val="clear" w:color="auto" w:fill="auto"/>
            <w:noWrap/>
            <w:vAlign w:val="bottom"/>
            <w:hideMark/>
          </w:tcPr>
          <w:p w14:paraId="7BDFD82C"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KS Brno</w:t>
            </w:r>
          </w:p>
        </w:tc>
        <w:tc>
          <w:tcPr>
            <w:tcW w:w="1141" w:type="dxa"/>
            <w:tcBorders>
              <w:top w:val="nil"/>
              <w:left w:val="nil"/>
              <w:bottom w:val="single" w:sz="4" w:space="0" w:color="auto"/>
              <w:right w:val="nil"/>
            </w:tcBorders>
            <w:shd w:val="clear" w:color="auto" w:fill="auto"/>
            <w:noWrap/>
            <w:vAlign w:val="bottom"/>
            <w:hideMark/>
          </w:tcPr>
          <w:p w14:paraId="5574F849" w14:textId="3BB63564"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138,1</w:t>
            </w:r>
          </w:p>
        </w:tc>
        <w:tc>
          <w:tcPr>
            <w:tcW w:w="1172" w:type="dxa"/>
            <w:tcBorders>
              <w:top w:val="nil"/>
              <w:left w:val="nil"/>
              <w:bottom w:val="single" w:sz="4" w:space="0" w:color="auto"/>
              <w:right w:val="nil"/>
            </w:tcBorders>
            <w:shd w:val="clear" w:color="auto" w:fill="auto"/>
            <w:noWrap/>
            <w:vAlign w:val="bottom"/>
            <w:hideMark/>
          </w:tcPr>
          <w:p w14:paraId="0365DC5E" w14:textId="05DA38AE"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312,78</w:t>
            </w:r>
          </w:p>
        </w:tc>
        <w:tc>
          <w:tcPr>
            <w:tcW w:w="954" w:type="dxa"/>
            <w:tcBorders>
              <w:top w:val="nil"/>
              <w:left w:val="nil"/>
              <w:bottom w:val="single" w:sz="4" w:space="0" w:color="auto"/>
              <w:right w:val="nil"/>
            </w:tcBorders>
            <w:shd w:val="clear" w:color="auto" w:fill="auto"/>
            <w:noWrap/>
            <w:vAlign w:val="center"/>
            <w:hideMark/>
          </w:tcPr>
          <w:p w14:paraId="75C3BF70" w14:textId="1859BD6D"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199" w:type="dxa"/>
            <w:tcBorders>
              <w:top w:val="nil"/>
              <w:left w:val="single" w:sz="4" w:space="0" w:color="auto"/>
              <w:bottom w:val="single" w:sz="4" w:space="0" w:color="auto"/>
              <w:right w:val="nil"/>
            </w:tcBorders>
            <w:shd w:val="clear" w:color="auto" w:fill="auto"/>
            <w:noWrap/>
            <w:vAlign w:val="bottom"/>
            <w:hideMark/>
          </w:tcPr>
          <w:p w14:paraId="71941BDA" w14:textId="34BF5E14"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313,70</w:t>
            </w:r>
          </w:p>
        </w:tc>
        <w:tc>
          <w:tcPr>
            <w:tcW w:w="928" w:type="dxa"/>
            <w:tcBorders>
              <w:top w:val="nil"/>
              <w:left w:val="nil"/>
              <w:bottom w:val="single" w:sz="4" w:space="0" w:color="auto"/>
              <w:right w:val="single" w:sz="4" w:space="0" w:color="auto"/>
            </w:tcBorders>
            <w:shd w:val="clear" w:color="auto" w:fill="auto"/>
            <w:noWrap/>
            <w:vAlign w:val="center"/>
            <w:hideMark/>
          </w:tcPr>
          <w:p w14:paraId="59FD7740" w14:textId="0091746A"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6BD4B23B" w14:textId="1B00AAE7"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148,25</w:t>
            </w:r>
          </w:p>
        </w:tc>
        <w:tc>
          <w:tcPr>
            <w:tcW w:w="804" w:type="dxa"/>
            <w:tcBorders>
              <w:top w:val="nil"/>
              <w:left w:val="nil"/>
              <w:bottom w:val="single" w:sz="4" w:space="0" w:color="auto"/>
              <w:right w:val="nil"/>
            </w:tcBorders>
            <w:shd w:val="clear" w:color="auto" w:fill="auto"/>
            <w:noWrap/>
            <w:vAlign w:val="center"/>
            <w:hideMark/>
          </w:tcPr>
          <w:p w14:paraId="59C6756C" w14:textId="6531F07B"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243283B1" w14:textId="77777777" w:rsidTr="000E0C47">
        <w:trPr>
          <w:trHeight w:val="330"/>
        </w:trPr>
        <w:tc>
          <w:tcPr>
            <w:tcW w:w="1836" w:type="dxa"/>
            <w:tcBorders>
              <w:top w:val="nil"/>
              <w:left w:val="nil"/>
              <w:bottom w:val="double" w:sz="6" w:space="0" w:color="auto"/>
              <w:right w:val="nil"/>
            </w:tcBorders>
            <w:shd w:val="clear" w:color="auto" w:fill="auto"/>
            <w:noWrap/>
            <w:vAlign w:val="bottom"/>
            <w:hideMark/>
          </w:tcPr>
          <w:p w14:paraId="112D40AE" w14:textId="77777777" w:rsidR="00BC21A8" w:rsidRPr="00A00187" w:rsidRDefault="00BC21A8" w:rsidP="00BC21A8">
            <w:pPr>
              <w:spacing w:line="240" w:lineRule="auto"/>
              <w:jc w:val="left"/>
              <w:rPr>
                <w:rFonts w:eastAsia="Times New Roman"/>
                <w:szCs w:val="24"/>
                <w:lang w:eastAsia="cs-CZ"/>
              </w:rPr>
            </w:pPr>
            <w:r w:rsidRPr="00A00187">
              <w:rPr>
                <w:rFonts w:eastAsia="Times New Roman"/>
                <w:szCs w:val="24"/>
                <w:lang w:eastAsia="cs-CZ"/>
              </w:rPr>
              <w:t>KS Ostrava</w:t>
            </w:r>
          </w:p>
        </w:tc>
        <w:tc>
          <w:tcPr>
            <w:tcW w:w="1141" w:type="dxa"/>
            <w:tcBorders>
              <w:top w:val="nil"/>
              <w:left w:val="nil"/>
              <w:bottom w:val="double" w:sz="6" w:space="0" w:color="auto"/>
              <w:right w:val="nil"/>
            </w:tcBorders>
            <w:shd w:val="clear" w:color="auto" w:fill="auto"/>
            <w:noWrap/>
            <w:vAlign w:val="bottom"/>
            <w:hideMark/>
          </w:tcPr>
          <w:p w14:paraId="10170ABC" w14:textId="09A18CA0"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142,7</w:t>
            </w:r>
          </w:p>
        </w:tc>
        <w:tc>
          <w:tcPr>
            <w:tcW w:w="1172" w:type="dxa"/>
            <w:tcBorders>
              <w:top w:val="nil"/>
              <w:left w:val="nil"/>
              <w:bottom w:val="double" w:sz="6" w:space="0" w:color="auto"/>
              <w:right w:val="nil"/>
            </w:tcBorders>
            <w:shd w:val="clear" w:color="auto" w:fill="auto"/>
            <w:noWrap/>
            <w:vAlign w:val="bottom"/>
            <w:hideMark/>
          </w:tcPr>
          <w:p w14:paraId="5F0398A0" w14:textId="2FDC3BB1"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338,94</w:t>
            </w:r>
          </w:p>
        </w:tc>
        <w:tc>
          <w:tcPr>
            <w:tcW w:w="954" w:type="dxa"/>
            <w:tcBorders>
              <w:top w:val="nil"/>
              <w:left w:val="nil"/>
              <w:bottom w:val="double" w:sz="6" w:space="0" w:color="auto"/>
              <w:right w:val="nil"/>
            </w:tcBorders>
            <w:shd w:val="clear" w:color="auto" w:fill="auto"/>
            <w:noWrap/>
            <w:vAlign w:val="center"/>
            <w:hideMark/>
          </w:tcPr>
          <w:p w14:paraId="28031329" w14:textId="5C89D5DD"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99" w:type="dxa"/>
            <w:tcBorders>
              <w:top w:val="nil"/>
              <w:left w:val="single" w:sz="4" w:space="0" w:color="auto"/>
              <w:bottom w:val="double" w:sz="6" w:space="0" w:color="auto"/>
              <w:right w:val="nil"/>
            </w:tcBorders>
            <w:shd w:val="clear" w:color="auto" w:fill="auto"/>
            <w:noWrap/>
            <w:vAlign w:val="bottom"/>
            <w:hideMark/>
          </w:tcPr>
          <w:p w14:paraId="1902C7FD" w14:textId="7C50E0D7"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334,61</w:t>
            </w:r>
          </w:p>
        </w:tc>
        <w:tc>
          <w:tcPr>
            <w:tcW w:w="928" w:type="dxa"/>
            <w:tcBorders>
              <w:top w:val="nil"/>
              <w:left w:val="nil"/>
              <w:bottom w:val="double" w:sz="6" w:space="0" w:color="auto"/>
              <w:right w:val="single" w:sz="4" w:space="0" w:color="auto"/>
            </w:tcBorders>
            <w:shd w:val="clear" w:color="auto" w:fill="auto"/>
            <w:noWrap/>
            <w:vAlign w:val="center"/>
            <w:hideMark/>
          </w:tcPr>
          <w:p w14:paraId="1ABF0250" w14:textId="242A857F"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180" w:type="dxa"/>
            <w:tcBorders>
              <w:top w:val="nil"/>
              <w:left w:val="nil"/>
              <w:bottom w:val="double" w:sz="6" w:space="0" w:color="auto"/>
              <w:right w:val="nil"/>
            </w:tcBorders>
            <w:shd w:val="clear" w:color="auto" w:fill="auto"/>
            <w:noWrap/>
            <w:vAlign w:val="bottom"/>
            <w:hideMark/>
          </w:tcPr>
          <w:p w14:paraId="2CC882E4" w14:textId="2045F101" w:rsidR="00BC21A8" w:rsidRPr="00A00187" w:rsidRDefault="00BC21A8" w:rsidP="00BC21A8">
            <w:pPr>
              <w:spacing w:line="240" w:lineRule="auto"/>
              <w:jc w:val="center"/>
              <w:rPr>
                <w:rFonts w:eastAsia="Times New Roman"/>
                <w:szCs w:val="24"/>
                <w:lang w:eastAsia="cs-CZ"/>
              </w:rPr>
            </w:pPr>
            <w:r w:rsidRPr="00A00187">
              <w:rPr>
                <w:rFonts w:eastAsia="Times New Roman"/>
                <w:szCs w:val="24"/>
                <w:lang w:eastAsia="cs-CZ"/>
              </w:rPr>
              <w:t>129,25</w:t>
            </w:r>
          </w:p>
        </w:tc>
        <w:tc>
          <w:tcPr>
            <w:tcW w:w="804" w:type="dxa"/>
            <w:tcBorders>
              <w:top w:val="nil"/>
              <w:left w:val="nil"/>
              <w:bottom w:val="double" w:sz="6" w:space="0" w:color="auto"/>
              <w:right w:val="nil"/>
            </w:tcBorders>
            <w:shd w:val="clear" w:color="auto" w:fill="auto"/>
            <w:noWrap/>
            <w:vAlign w:val="center"/>
            <w:hideMark/>
          </w:tcPr>
          <w:p w14:paraId="235237C7" w14:textId="7FB57A44" w:rsidR="00BC21A8" w:rsidRPr="00A00187" w:rsidRDefault="00BC21A8" w:rsidP="00BC21A8">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4A3BA39C" w14:textId="77777777" w:rsidTr="000E0C47">
        <w:trPr>
          <w:trHeight w:val="345"/>
        </w:trPr>
        <w:tc>
          <w:tcPr>
            <w:tcW w:w="1836" w:type="dxa"/>
            <w:tcBorders>
              <w:top w:val="nil"/>
              <w:left w:val="nil"/>
              <w:bottom w:val="double" w:sz="6" w:space="0" w:color="auto"/>
              <w:right w:val="nil"/>
            </w:tcBorders>
            <w:shd w:val="clear" w:color="auto" w:fill="auto"/>
            <w:noWrap/>
            <w:vAlign w:val="bottom"/>
            <w:hideMark/>
          </w:tcPr>
          <w:p w14:paraId="40F2F232" w14:textId="77777777" w:rsidR="00BC21A8" w:rsidRPr="00A00187" w:rsidRDefault="00BC21A8" w:rsidP="00BC21A8">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41" w:type="dxa"/>
            <w:tcBorders>
              <w:top w:val="nil"/>
              <w:left w:val="nil"/>
              <w:bottom w:val="double" w:sz="6" w:space="0" w:color="auto"/>
              <w:right w:val="nil"/>
            </w:tcBorders>
            <w:shd w:val="clear" w:color="auto" w:fill="auto"/>
            <w:noWrap/>
            <w:vAlign w:val="bottom"/>
            <w:hideMark/>
          </w:tcPr>
          <w:p w14:paraId="43423A49" w14:textId="1F6F3D15"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847,98</w:t>
            </w:r>
          </w:p>
        </w:tc>
        <w:tc>
          <w:tcPr>
            <w:tcW w:w="1172" w:type="dxa"/>
            <w:tcBorders>
              <w:top w:val="nil"/>
              <w:left w:val="nil"/>
              <w:bottom w:val="double" w:sz="6" w:space="0" w:color="auto"/>
              <w:right w:val="nil"/>
            </w:tcBorders>
            <w:shd w:val="clear" w:color="auto" w:fill="auto"/>
            <w:noWrap/>
            <w:vAlign w:val="bottom"/>
            <w:hideMark/>
          </w:tcPr>
          <w:p w14:paraId="5EC2DF5B" w14:textId="1DAA5D7D"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366,01</w:t>
            </w:r>
          </w:p>
        </w:tc>
        <w:tc>
          <w:tcPr>
            <w:tcW w:w="954" w:type="dxa"/>
            <w:tcBorders>
              <w:top w:val="nil"/>
              <w:left w:val="nil"/>
              <w:bottom w:val="double" w:sz="6" w:space="0" w:color="auto"/>
              <w:right w:val="nil"/>
            </w:tcBorders>
            <w:shd w:val="clear" w:color="auto" w:fill="auto"/>
            <w:noWrap/>
            <w:vAlign w:val="center"/>
            <w:hideMark/>
          </w:tcPr>
          <w:p w14:paraId="74FF81EB" w14:textId="3DF3D75E" w:rsidR="00BC21A8" w:rsidRPr="00A00187" w:rsidRDefault="00BC21A8" w:rsidP="00BC21A8">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1199" w:type="dxa"/>
            <w:tcBorders>
              <w:top w:val="nil"/>
              <w:left w:val="single" w:sz="4" w:space="0" w:color="auto"/>
              <w:bottom w:val="double" w:sz="6" w:space="0" w:color="auto"/>
              <w:right w:val="nil"/>
            </w:tcBorders>
            <w:shd w:val="clear" w:color="auto" w:fill="auto"/>
            <w:noWrap/>
            <w:vAlign w:val="bottom"/>
            <w:hideMark/>
          </w:tcPr>
          <w:p w14:paraId="092808BD" w14:textId="16A156E3"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380,20</w:t>
            </w:r>
          </w:p>
        </w:tc>
        <w:tc>
          <w:tcPr>
            <w:tcW w:w="928" w:type="dxa"/>
            <w:tcBorders>
              <w:top w:val="nil"/>
              <w:left w:val="nil"/>
              <w:bottom w:val="double" w:sz="6" w:space="0" w:color="auto"/>
              <w:right w:val="single" w:sz="4" w:space="0" w:color="auto"/>
            </w:tcBorders>
            <w:shd w:val="clear" w:color="auto" w:fill="auto"/>
            <w:noWrap/>
            <w:vAlign w:val="center"/>
            <w:hideMark/>
          </w:tcPr>
          <w:p w14:paraId="5FE3F195" w14:textId="06BE3C6C" w:rsidR="00BC21A8" w:rsidRPr="00A00187" w:rsidRDefault="00BC21A8" w:rsidP="00BC21A8">
            <w:pPr>
              <w:spacing w:line="240" w:lineRule="auto"/>
              <w:jc w:val="center"/>
              <w:rPr>
                <w:rFonts w:eastAsia="Times New Roman"/>
                <w:b/>
                <w:bCs/>
                <w:sz w:val="20"/>
                <w:szCs w:val="20"/>
                <w:lang w:eastAsia="cs-CZ"/>
              </w:rPr>
            </w:pPr>
            <w:r w:rsidRPr="00A00187">
              <w:rPr>
                <w:rFonts w:eastAsia="Times New Roman"/>
                <w:b/>
                <w:bCs/>
                <w:sz w:val="20"/>
                <w:szCs w:val="20"/>
                <w:lang w:eastAsia="cs-CZ"/>
              </w:rPr>
              <w:t>+9</w:t>
            </w:r>
            <w:r w:rsidR="00CB570A">
              <w:rPr>
                <w:rFonts w:eastAsia="Times New Roman"/>
                <w:b/>
                <w:bCs/>
                <w:sz w:val="20"/>
                <w:szCs w:val="20"/>
                <w:lang w:eastAsia="cs-CZ"/>
              </w:rPr>
              <w:t> %</w:t>
            </w:r>
          </w:p>
        </w:tc>
        <w:tc>
          <w:tcPr>
            <w:tcW w:w="1180" w:type="dxa"/>
            <w:tcBorders>
              <w:top w:val="nil"/>
              <w:left w:val="nil"/>
              <w:bottom w:val="double" w:sz="6" w:space="0" w:color="auto"/>
              <w:right w:val="nil"/>
            </w:tcBorders>
            <w:shd w:val="clear" w:color="auto" w:fill="auto"/>
            <w:noWrap/>
            <w:vAlign w:val="bottom"/>
            <w:hideMark/>
          </w:tcPr>
          <w:p w14:paraId="46B7C070" w14:textId="76894431" w:rsidR="00BC21A8" w:rsidRPr="00A00187" w:rsidRDefault="00BC21A8" w:rsidP="00BC21A8">
            <w:pPr>
              <w:spacing w:line="240" w:lineRule="auto"/>
              <w:jc w:val="center"/>
              <w:rPr>
                <w:rFonts w:eastAsia="Times New Roman"/>
                <w:b/>
                <w:bCs/>
                <w:szCs w:val="24"/>
                <w:lang w:eastAsia="cs-CZ"/>
              </w:rPr>
            </w:pPr>
            <w:r w:rsidRPr="00A00187">
              <w:rPr>
                <w:rFonts w:eastAsia="Times New Roman"/>
                <w:b/>
                <w:bCs/>
                <w:szCs w:val="24"/>
                <w:lang w:eastAsia="cs-CZ"/>
              </w:rPr>
              <w:t>139,62</w:t>
            </w:r>
          </w:p>
        </w:tc>
        <w:tc>
          <w:tcPr>
            <w:tcW w:w="804" w:type="dxa"/>
            <w:tcBorders>
              <w:top w:val="nil"/>
              <w:left w:val="nil"/>
              <w:bottom w:val="double" w:sz="6" w:space="0" w:color="auto"/>
              <w:right w:val="nil"/>
            </w:tcBorders>
            <w:shd w:val="clear" w:color="auto" w:fill="auto"/>
            <w:noWrap/>
            <w:vAlign w:val="center"/>
            <w:hideMark/>
          </w:tcPr>
          <w:p w14:paraId="125E6454" w14:textId="2A64AECA" w:rsidR="00BC21A8" w:rsidRPr="00A00187" w:rsidRDefault="00BC21A8" w:rsidP="00BC21A8">
            <w:pPr>
              <w:spacing w:line="240" w:lineRule="auto"/>
              <w:jc w:val="center"/>
              <w:rPr>
                <w:rFonts w:eastAsia="Times New Roman"/>
                <w:b/>
                <w:bCs/>
                <w:sz w:val="20"/>
                <w:szCs w:val="20"/>
                <w:lang w:eastAsia="cs-CZ"/>
              </w:rPr>
            </w:pPr>
            <w:r w:rsidRPr="00A00187">
              <w:rPr>
                <w:rFonts w:eastAsia="Times New Roman"/>
                <w:b/>
                <w:bCs/>
                <w:sz w:val="20"/>
                <w:szCs w:val="20"/>
                <w:lang w:eastAsia="cs-CZ"/>
              </w:rPr>
              <w:t>-9</w:t>
            </w:r>
            <w:r w:rsidR="00CB570A">
              <w:rPr>
                <w:rFonts w:eastAsia="Times New Roman"/>
                <w:b/>
                <w:bCs/>
                <w:sz w:val="20"/>
                <w:szCs w:val="20"/>
                <w:lang w:eastAsia="cs-CZ"/>
              </w:rPr>
              <w:t> %</w:t>
            </w:r>
          </w:p>
        </w:tc>
      </w:tr>
      <w:tr w:rsidR="00AC1E67" w:rsidRPr="00A00187" w14:paraId="14A6B3E1" w14:textId="77777777" w:rsidTr="00A803B0">
        <w:trPr>
          <w:trHeight w:val="330"/>
        </w:trPr>
        <w:tc>
          <w:tcPr>
            <w:tcW w:w="1836" w:type="dxa"/>
            <w:tcBorders>
              <w:top w:val="nil"/>
              <w:left w:val="nil"/>
              <w:bottom w:val="nil"/>
              <w:right w:val="nil"/>
            </w:tcBorders>
            <w:shd w:val="clear" w:color="auto" w:fill="auto"/>
            <w:noWrap/>
            <w:vAlign w:val="bottom"/>
            <w:hideMark/>
          </w:tcPr>
          <w:p w14:paraId="6D00813E" w14:textId="77777777" w:rsidR="00BC21A8" w:rsidRPr="00A00187" w:rsidRDefault="00BC21A8" w:rsidP="00BC21A8">
            <w:pPr>
              <w:spacing w:line="240" w:lineRule="auto"/>
              <w:jc w:val="center"/>
              <w:rPr>
                <w:rFonts w:eastAsia="Times New Roman"/>
                <w:b/>
                <w:bCs/>
                <w:sz w:val="20"/>
                <w:szCs w:val="20"/>
                <w:lang w:eastAsia="cs-CZ"/>
              </w:rPr>
            </w:pPr>
          </w:p>
        </w:tc>
        <w:tc>
          <w:tcPr>
            <w:tcW w:w="1141" w:type="dxa"/>
            <w:tcBorders>
              <w:top w:val="nil"/>
              <w:left w:val="nil"/>
              <w:bottom w:val="nil"/>
              <w:right w:val="nil"/>
            </w:tcBorders>
            <w:shd w:val="clear" w:color="auto" w:fill="auto"/>
            <w:noWrap/>
            <w:vAlign w:val="bottom"/>
            <w:hideMark/>
          </w:tcPr>
          <w:p w14:paraId="476B251A" w14:textId="77777777" w:rsidR="00BC21A8" w:rsidRPr="00A00187" w:rsidRDefault="00BC21A8" w:rsidP="00BC21A8">
            <w:pPr>
              <w:spacing w:line="240" w:lineRule="auto"/>
              <w:jc w:val="left"/>
              <w:rPr>
                <w:rFonts w:ascii="Times New Roman" w:eastAsia="Times New Roman" w:hAnsi="Times New Roman"/>
                <w:sz w:val="20"/>
                <w:szCs w:val="20"/>
                <w:lang w:eastAsia="cs-CZ"/>
              </w:rPr>
            </w:pPr>
          </w:p>
        </w:tc>
        <w:tc>
          <w:tcPr>
            <w:tcW w:w="1172" w:type="dxa"/>
            <w:tcBorders>
              <w:top w:val="nil"/>
              <w:left w:val="nil"/>
              <w:bottom w:val="nil"/>
              <w:right w:val="nil"/>
            </w:tcBorders>
            <w:shd w:val="clear" w:color="auto" w:fill="auto"/>
            <w:noWrap/>
            <w:vAlign w:val="bottom"/>
            <w:hideMark/>
          </w:tcPr>
          <w:p w14:paraId="747B40C4" w14:textId="77777777" w:rsidR="00BC21A8" w:rsidRPr="00A00187" w:rsidRDefault="00BC21A8" w:rsidP="00BC21A8">
            <w:pPr>
              <w:spacing w:line="240" w:lineRule="auto"/>
              <w:jc w:val="left"/>
              <w:rPr>
                <w:rFonts w:ascii="Times New Roman" w:eastAsia="Times New Roman" w:hAnsi="Times New Roman"/>
                <w:sz w:val="20"/>
                <w:szCs w:val="20"/>
                <w:lang w:eastAsia="cs-CZ"/>
              </w:rPr>
            </w:pPr>
          </w:p>
        </w:tc>
        <w:tc>
          <w:tcPr>
            <w:tcW w:w="954" w:type="dxa"/>
            <w:tcBorders>
              <w:top w:val="nil"/>
              <w:left w:val="nil"/>
              <w:bottom w:val="nil"/>
              <w:right w:val="nil"/>
            </w:tcBorders>
            <w:shd w:val="clear" w:color="auto" w:fill="auto"/>
            <w:noWrap/>
            <w:vAlign w:val="bottom"/>
            <w:hideMark/>
          </w:tcPr>
          <w:p w14:paraId="377095BE" w14:textId="77777777" w:rsidR="00BC21A8" w:rsidRPr="00A00187" w:rsidRDefault="00BC21A8" w:rsidP="00BC21A8">
            <w:pPr>
              <w:spacing w:line="240" w:lineRule="auto"/>
              <w:jc w:val="left"/>
              <w:rPr>
                <w:rFonts w:ascii="Times New Roman" w:eastAsia="Times New Roman" w:hAnsi="Times New Roman"/>
                <w:sz w:val="20"/>
                <w:szCs w:val="20"/>
                <w:lang w:eastAsia="cs-CZ"/>
              </w:rPr>
            </w:pPr>
          </w:p>
        </w:tc>
        <w:tc>
          <w:tcPr>
            <w:tcW w:w="1199" w:type="dxa"/>
            <w:tcBorders>
              <w:top w:val="nil"/>
              <w:left w:val="nil"/>
              <w:bottom w:val="nil"/>
              <w:right w:val="nil"/>
            </w:tcBorders>
            <w:shd w:val="clear" w:color="auto" w:fill="auto"/>
            <w:noWrap/>
            <w:vAlign w:val="bottom"/>
            <w:hideMark/>
          </w:tcPr>
          <w:p w14:paraId="752D5B48" w14:textId="77777777" w:rsidR="00BC21A8" w:rsidRPr="00A00187" w:rsidRDefault="00BC21A8" w:rsidP="00BC21A8">
            <w:pPr>
              <w:spacing w:line="240" w:lineRule="auto"/>
              <w:jc w:val="left"/>
              <w:rPr>
                <w:rFonts w:ascii="Times New Roman" w:eastAsia="Times New Roman" w:hAnsi="Times New Roman"/>
                <w:sz w:val="20"/>
                <w:szCs w:val="20"/>
                <w:lang w:eastAsia="cs-CZ"/>
              </w:rPr>
            </w:pPr>
          </w:p>
        </w:tc>
        <w:tc>
          <w:tcPr>
            <w:tcW w:w="928" w:type="dxa"/>
            <w:tcBorders>
              <w:top w:val="nil"/>
              <w:left w:val="nil"/>
              <w:bottom w:val="nil"/>
              <w:right w:val="nil"/>
            </w:tcBorders>
            <w:shd w:val="clear" w:color="auto" w:fill="auto"/>
            <w:noWrap/>
            <w:vAlign w:val="bottom"/>
            <w:hideMark/>
          </w:tcPr>
          <w:p w14:paraId="6813E160" w14:textId="77777777" w:rsidR="00BC21A8" w:rsidRPr="00A00187" w:rsidRDefault="00BC21A8" w:rsidP="00BC21A8">
            <w:pPr>
              <w:spacing w:line="240" w:lineRule="auto"/>
              <w:jc w:val="left"/>
              <w:rPr>
                <w:rFonts w:ascii="Times New Roman" w:eastAsia="Times New Roman" w:hAnsi="Times New Roman"/>
                <w:sz w:val="20"/>
                <w:szCs w:val="20"/>
                <w:lang w:eastAsia="cs-CZ"/>
              </w:rPr>
            </w:pPr>
          </w:p>
        </w:tc>
        <w:tc>
          <w:tcPr>
            <w:tcW w:w="1180" w:type="dxa"/>
            <w:tcBorders>
              <w:top w:val="nil"/>
              <w:left w:val="nil"/>
              <w:bottom w:val="nil"/>
              <w:right w:val="nil"/>
            </w:tcBorders>
            <w:shd w:val="clear" w:color="auto" w:fill="auto"/>
            <w:noWrap/>
            <w:vAlign w:val="bottom"/>
            <w:hideMark/>
          </w:tcPr>
          <w:p w14:paraId="5DBA0267" w14:textId="77777777" w:rsidR="00BC21A8" w:rsidRPr="00A00187" w:rsidRDefault="00BC21A8" w:rsidP="00BC21A8">
            <w:pPr>
              <w:spacing w:line="240" w:lineRule="auto"/>
              <w:jc w:val="left"/>
              <w:rPr>
                <w:rFonts w:ascii="Times New Roman" w:eastAsia="Times New Roman" w:hAnsi="Times New Roman"/>
                <w:sz w:val="20"/>
                <w:szCs w:val="20"/>
                <w:lang w:eastAsia="cs-CZ"/>
              </w:rPr>
            </w:pPr>
          </w:p>
        </w:tc>
        <w:tc>
          <w:tcPr>
            <w:tcW w:w="804" w:type="dxa"/>
            <w:tcBorders>
              <w:top w:val="nil"/>
              <w:left w:val="nil"/>
              <w:bottom w:val="nil"/>
              <w:right w:val="nil"/>
            </w:tcBorders>
            <w:shd w:val="clear" w:color="auto" w:fill="auto"/>
            <w:noWrap/>
            <w:vAlign w:val="bottom"/>
            <w:hideMark/>
          </w:tcPr>
          <w:p w14:paraId="43FB2427" w14:textId="77777777" w:rsidR="00BC21A8" w:rsidRPr="00A00187" w:rsidRDefault="00BC21A8" w:rsidP="00BC21A8">
            <w:pPr>
              <w:spacing w:line="240" w:lineRule="auto"/>
              <w:jc w:val="left"/>
              <w:rPr>
                <w:rFonts w:ascii="Times New Roman" w:eastAsia="Times New Roman" w:hAnsi="Times New Roman"/>
                <w:sz w:val="20"/>
                <w:szCs w:val="20"/>
                <w:lang w:eastAsia="cs-CZ"/>
              </w:rPr>
            </w:pPr>
          </w:p>
        </w:tc>
      </w:tr>
    </w:tbl>
    <w:p w14:paraId="250619A2" w14:textId="4FFEBBD4" w:rsidR="00BC21A8" w:rsidRPr="00A00187" w:rsidRDefault="00BC21A8" w:rsidP="00BC21A8">
      <w:pPr>
        <w:pStyle w:val="OdstavecASR"/>
      </w:pPr>
      <w:r w:rsidRPr="00A00187">
        <w:t xml:space="preserve">Pokud srovnáme data s předchozím rokem, vidíme, že počet příchozích věcí na soudce (na skutečný počet úvazků) zůstává v zásadě konstantní a počet vyřízených věcí na soudce vzrostl. </w:t>
      </w:r>
      <w:r w:rsidR="007C3687" w:rsidRPr="00A00187">
        <w:t>Počet nevyřízených věcí na soudce klesl, což</w:t>
      </w:r>
      <w:r w:rsidRPr="00A00187">
        <w:t xml:space="preserve"> vyplývá ze skutečnosti, že počet </w:t>
      </w:r>
      <w:r w:rsidR="000E0C47" w:rsidRPr="00A00187">
        <w:t>ne</w:t>
      </w:r>
      <w:r w:rsidRPr="00A00187">
        <w:t xml:space="preserve">vyřízených věcí </w:t>
      </w:r>
      <w:r w:rsidR="00DA200F" w:rsidRPr="00A00187">
        <w:t xml:space="preserve">v absolutní hodnotě </w:t>
      </w:r>
      <w:r w:rsidRPr="00A00187">
        <w:t>oproti předchozímu roku klesl (viz předchozí kapitola). Počet skutečných úvazků zůstal takřka stejný (v roce 2020 byl asi 854).</w:t>
      </w:r>
    </w:p>
    <w:p w14:paraId="343E734F" w14:textId="699A604E" w:rsidR="00BC21A8" w:rsidRPr="00A00187" w:rsidRDefault="00414003" w:rsidP="00BC21A8">
      <w:pPr>
        <w:pStyle w:val="Podnadpis"/>
        <w:rPr>
          <w:color w:val="auto"/>
        </w:rPr>
      </w:pPr>
      <w:bookmarkStart w:id="163" w:name="_Toc515871336"/>
      <w:bookmarkStart w:id="164" w:name="_Toc11135072"/>
      <w:bookmarkStart w:id="165" w:name="_Toc43841391"/>
      <w:bookmarkStart w:id="166" w:name="_Toc75952192"/>
      <w:bookmarkStart w:id="167" w:name="_Toc106106645"/>
      <w:bookmarkStart w:id="168" w:name="_Toc109801969"/>
      <w:r w:rsidRPr="00A00187">
        <w:rPr>
          <w:noProof/>
          <w:color w:val="auto"/>
        </w:rPr>
        <w:drawing>
          <wp:anchor distT="0" distB="0" distL="114300" distR="114300" simplePos="0" relativeHeight="251696128" behindDoc="0" locked="0" layoutInCell="1" allowOverlap="1" wp14:anchorId="09603F77" wp14:editId="5D7AAFC2">
            <wp:simplePos x="0" y="0"/>
            <wp:positionH relativeFrom="margin">
              <wp:posOffset>4477385</wp:posOffset>
            </wp:positionH>
            <wp:positionV relativeFrom="paragraph">
              <wp:posOffset>172720</wp:posOffset>
            </wp:positionV>
            <wp:extent cx="1238400" cy="900000"/>
            <wp:effectExtent l="0" t="0" r="0" b="0"/>
            <wp:wrapNone/>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21A8" w:rsidRPr="00A00187">
        <w:rPr>
          <w:color w:val="auto"/>
        </w:rPr>
        <w:t xml:space="preserve">Graf </w:t>
      </w:r>
      <w:r w:rsidR="00BC21A8" w:rsidRPr="00A00187">
        <w:rPr>
          <w:color w:val="auto"/>
        </w:rPr>
        <w:fldChar w:fldCharType="begin"/>
      </w:r>
      <w:r w:rsidR="00BC21A8" w:rsidRPr="00A00187">
        <w:rPr>
          <w:color w:val="auto"/>
        </w:rPr>
        <w:instrText xml:space="preserve"> SEQ Graf \* ARABIC </w:instrText>
      </w:r>
      <w:r w:rsidR="00BC21A8" w:rsidRPr="00A00187">
        <w:rPr>
          <w:color w:val="auto"/>
        </w:rPr>
        <w:fldChar w:fldCharType="separate"/>
      </w:r>
      <w:r w:rsidR="00DE6B5E">
        <w:rPr>
          <w:noProof/>
          <w:color w:val="auto"/>
        </w:rPr>
        <w:t>11</w:t>
      </w:r>
      <w:r w:rsidR="00BC21A8" w:rsidRPr="00A00187">
        <w:rPr>
          <w:color w:val="auto"/>
        </w:rPr>
        <w:fldChar w:fldCharType="end"/>
      </w:r>
      <w:r w:rsidR="00BC21A8" w:rsidRPr="00A00187">
        <w:rPr>
          <w:color w:val="auto"/>
        </w:rPr>
        <w:t xml:space="preserve">: OS – počet </w:t>
      </w:r>
      <w:proofErr w:type="spellStart"/>
      <w:r w:rsidR="00BC21A8" w:rsidRPr="00A00187">
        <w:rPr>
          <w:color w:val="auto"/>
        </w:rPr>
        <w:t>nevyříz</w:t>
      </w:r>
      <w:proofErr w:type="spellEnd"/>
      <w:r w:rsidR="00BC21A8" w:rsidRPr="00A00187">
        <w:rPr>
          <w:color w:val="auto"/>
        </w:rPr>
        <w:t>. civilních věcí na úvazek u jednotlivých soudů</w:t>
      </w:r>
      <w:bookmarkEnd w:id="163"/>
      <w:bookmarkEnd w:id="164"/>
      <w:bookmarkEnd w:id="165"/>
      <w:bookmarkEnd w:id="166"/>
      <w:bookmarkEnd w:id="167"/>
      <w:bookmarkEnd w:id="168"/>
    </w:p>
    <w:p w14:paraId="2DB62F3B" w14:textId="24AD751C" w:rsidR="0010762C" w:rsidRPr="00A00187" w:rsidRDefault="00A803B0" w:rsidP="0010762C">
      <w:r w:rsidRPr="00A00187">
        <w:rPr>
          <w:noProof/>
        </w:rPr>
        <w:drawing>
          <wp:inline distT="0" distB="0" distL="0" distR="0" wp14:anchorId="65C26865" wp14:editId="5EEC93EB">
            <wp:extent cx="5759450" cy="3296285"/>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1B787451" w14:textId="07E3217B" w:rsidR="00BC21A8" w:rsidRPr="00A00187" w:rsidRDefault="00BC21A8" w:rsidP="0010762C"/>
    <w:p w14:paraId="44CA581F" w14:textId="1957B311" w:rsidR="009064CE" w:rsidRPr="00A00187" w:rsidRDefault="00E761D4" w:rsidP="009064CE">
      <w:pPr>
        <w:pStyle w:val="OdstavecASR"/>
      </w:pPr>
      <w:r w:rsidRPr="00A00187">
        <w:lastRenderedPageBreak/>
        <w:t>Nejvyšší</w:t>
      </w:r>
      <w:r w:rsidR="009064CE" w:rsidRPr="00A00187">
        <w:t xml:space="preserve"> počet nevyřízených věcí na soudce mají OS pro Prahu 1</w:t>
      </w:r>
      <w:r w:rsidR="003A54FB">
        <w:t xml:space="preserve"> </w:t>
      </w:r>
      <w:r w:rsidR="009064CE" w:rsidRPr="00A00187">
        <w:t>(325 věcí), OS pro Prahu</w:t>
      </w:r>
      <w:r w:rsidR="003A54FB">
        <w:t> </w:t>
      </w:r>
      <w:r w:rsidR="009064CE" w:rsidRPr="00A00187">
        <w:t>8 (245</w:t>
      </w:r>
      <w:r w:rsidR="003A54FB">
        <w:t> </w:t>
      </w:r>
      <w:r w:rsidR="009064CE" w:rsidRPr="00A00187">
        <w:t>věcí) a OS Chomutov (239 věcí). Soudy s nejmenším počtem nevyřízených věcí na soudce jsou OS Mělník (58 věcí), OS Jindřichův Hradec (60 věcí) a OS Mladá Boleslav (63 věcí).</w:t>
      </w:r>
    </w:p>
    <w:p w14:paraId="21A36B0A" w14:textId="03108D14" w:rsidR="009064CE" w:rsidRPr="00A00187" w:rsidRDefault="009064CE" w:rsidP="009064CE">
      <w:pPr>
        <w:pStyle w:val="OdstavecASR"/>
      </w:pPr>
      <w:r w:rsidRPr="00A00187">
        <w:t>V</w:t>
      </w:r>
      <w:r w:rsidR="003A54FB">
        <w:t> </w:t>
      </w:r>
      <w:r w:rsidRPr="00A00187">
        <w:t>tabulce</w:t>
      </w:r>
      <w:r w:rsidR="003A54FB">
        <w:t xml:space="preserve"> </w:t>
      </w:r>
      <w:r w:rsidR="001629FF" w:rsidRPr="00A00187">
        <w:t>12</w:t>
      </w:r>
      <w:r w:rsidRPr="00A00187">
        <w:t xml:space="preserve"> je vidět srovnání evidenčního počtu soudců a skutečného počtů úvazků. S ohledem na srovnatelnost dat je připočten rovněž opatrovnický úsek (v evidenčním počtu soudců </w:t>
      </w:r>
      <w:r w:rsidR="00B00DE0" w:rsidRPr="00A00187">
        <w:t xml:space="preserve">je </w:t>
      </w:r>
      <w:r w:rsidRPr="00A00187">
        <w:t>totiž civilní a opatrovnický úsek uveden dohromady).</w:t>
      </w:r>
    </w:p>
    <w:p w14:paraId="38CF2365" w14:textId="77777777" w:rsidR="00414003" w:rsidRPr="00A00187" w:rsidRDefault="00414003" w:rsidP="009064CE">
      <w:pPr>
        <w:pStyle w:val="OdstavecASR"/>
      </w:pPr>
    </w:p>
    <w:p w14:paraId="6DA15DA6" w14:textId="298F14FE" w:rsidR="00712481" w:rsidRPr="00A00187" w:rsidRDefault="00712481" w:rsidP="00712481">
      <w:pPr>
        <w:pStyle w:val="Podnadpis"/>
        <w:rPr>
          <w:color w:val="auto"/>
        </w:rPr>
      </w:pPr>
      <w:bookmarkStart w:id="169" w:name="_Toc75952315"/>
      <w:bookmarkStart w:id="170" w:name="_Toc106106774"/>
      <w:bookmarkStart w:id="171" w:name="_Toc109802097"/>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12</w:t>
      </w:r>
      <w:r w:rsidRPr="00A00187">
        <w:rPr>
          <w:color w:val="auto"/>
        </w:rPr>
        <w:fldChar w:fldCharType="end"/>
      </w:r>
      <w:r w:rsidRPr="00A00187">
        <w:rPr>
          <w:color w:val="auto"/>
        </w:rPr>
        <w:t>: OS – srovnání evidenčního a skutečného počtu soudců</w:t>
      </w:r>
      <w:r w:rsidRPr="00A00187">
        <w:rPr>
          <w:rStyle w:val="Znakapoznpodarou"/>
          <w:color w:val="auto"/>
        </w:rPr>
        <w:footnoteReference w:id="5"/>
      </w:r>
      <w:bookmarkEnd w:id="169"/>
      <w:bookmarkEnd w:id="170"/>
      <w:bookmarkEnd w:id="171"/>
    </w:p>
    <w:tbl>
      <w:tblPr>
        <w:tblW w:w="8040" w:type="dxa"/>
        <w:tblCellMar>
          <w:left w:w="70" w:type="dxa"/>
          <w:right w:w="70" w:type="dxa"/>
        </w:tblCellMar>
        <w:tblLook w:val="04A0" w:firstRow="1" w:lastRow="0" w:firstColumn="1" w:lastColumn="0" w:noHBand="0" w:noVBand="1"/>
      </w:tblPr>
      <w:tblGrid>
        <w:gridCol w:w="2496"/>
        <w:gridCol w:w="1894"/>
        <w:gridCol w:w="1922"/>
        <w:gridCol w:w="1728"/>
      </w:tblGrid>
      <w:tr w:rsidR="00AC1E67" w:rsidRPr="00A00187" w14:paraId="04AAC075" w14:textId="77777777" w:rsidTr="00F71CF1">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2F09B01D" w14:textId="77777777" w:rsidR="00F71CF1" w:rsidRPr="00A00187" w:rsidRDefault="00F71CF1" w:rsidP="00F71CF1">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816" w:type="dxa"/>
            <w:gridSpan w:val="2"/>
            <w:tcBorders>
              <w:top w:val="double" w:sz="6" w:space="0" w:color="auto"/>
              <w:left w:val="nil"/>
              <w:bottom w:val="nil"/>
              <w:right w:val="nil"/>
            </w:tcBorders>
            <w:shd w:val="clear" w:color="auto" w:fill="auto"/>
            <w:noWrap/>
            <w:vAlign w:val="center"/>
            <w:hideMark/>
          </w:tcPr>
          <w:p w14:paraId="21B60574" w14:textId="77777777" w:rsidR="00F71CF1" w:rsidRPr="00A00187" w:rsidRDefault="00F71CF1" w:rsidP="00F71CF1">
            <w:pPr>
              <w:spacing w:line="240" w:lineRule="auto"/>
              <w:jc w:val="center"/>
              <w:rPr>
                <w:rFonts w:eastAsia="Times New Roman"/>
                <w:b/>
                <w:bCs/>
                <w:szCs w:val="24"/>
                <w:lang w:eastAsia="cs-CZ"/>
              </w:rPr>
            </w:pPr>
            <w:r w:rsidRPr="00A00187">
              <w:rPr>
                <w:rFonts w:eastAsia="Times New Roman"/>
                <w:b/>
                <w:bCs/>
                <w:szCs w:val="24"/>
                <w:lang w:eastAsia="cs-CZ"/>
              </w:rPr>
              <w:t>Soudci</w:t>
            </w:r>
          </w:p>
        </w:tc>
        <w:tc>
          <w:tcPr>
            <w:tcW w:w="1728" w:type="dxa"/>
            <w:vMerge w:val="restart"/>
            <w:tcBorders>
              <w:top w:val="double" w:sz="6" w:space="0" w:color="auto"/>
              <w:left w:val="nil"/>
              <w:bottom w:val="double" w:sz="6" w:space="0" w:color="000000"/>
              <w:right w:val="nil"/>
            </w:tcBorders>
            <w:shd w:val="clear" w:color="auto" w:fill="auto"/>
            <w:vAlign w:val="center"/>
            <w:hideMark/>
          </w:tcPr>
          <w:p w14:paraId="5EFC0077" w14:textId="416F0B3D" w:rsidR="00F71CF1" w:rsidRPr="00A00187" w:rsidRDefault="00F71CF1" w:rsidP="00F71CF1">
            <w:pPr>
              <w:spacing w:line="240" w:lineRule="auto"/>
              <w:jc w:val="center"/>
              <w:rPr>
                <w:rFonts w:eastAsia="Times New Roman"/>
                <w:b/>
                <w:bCs/>
                <w:szCs w:val="24"/>
                <w:lang w:eastAsia="cs-CZ"/>
              </w:rPr>
            </w:pPr>
            <w:r w:rsidRPr="00A00187">
              <w:rPr>
                <w:rFonts w:eastAsia="Times New Roman"/>
                <w:b/>
                <w:bCs/>
                <w:szCs w:val="24"/>
                <w:lang w:eastAsia="cs-CZ"/>
              </w:rPr>
              <w:t xml:space="preserve">Podíl </w:t>
            </w:r>
            <w:proofErr w:type="spellStart"/>
            <w:r w:rsidRPr="00A00187">
              <w:rPr>
                <w:rFonts w:eastAsia="Times New Roman"/>
                <w:b/>
                <w:bCs/>
                <w:szCs w:val="24"/>
                <w:lang w:eastAsia="cs-CZ"/>
              </w:rPr>
              <w:t>evid</w:t>
            </w:r>
            <w:proofErr w:type="spellEnd"/>
            <w:r w:rsidRPr="00A00187">
              <w:rPr>
                <w:rFonts w:eastAsia="Times New Roman"/>
                <w:b/>
                <w:bCs/>
                <w:szCs w:val="24"/>
                <w:lang w:eastAsia="cs-CZ"/>
              </w:rPr>
              <w:t xml:space="preserve">. </w:t>
            </w:r>
            <w:r w:rsidR="00726EC3" w:rsidRPr="00A00187">
              <w:rPr>
                <w:rFonts w:eastAsia="Times New Roman"/>
                <w:b/>
                <w:bCs/>
                <w:szCs w:val="24"/>
                <w:lang w:eastAsia="cs-CZ"/>
              </w:rPr>
              <w:t>a</w:t>
            </w:r>
            <w:r w:rsidR="00726EC3">
              <w:rPr>
                <w:rFonts w:eastAsia="Times New Roman"/>
                <w:b/>
                <w:bCs/>
                <w:szCs w:val="24"/>
                <w:lang w:eastAsia="cs-CZ"/>
              </w:rPr>
              <w:t> </w:t>
            </w:r>
            <w:r w:rsidRPr="00A00187">
              <w:rPr>
                <w:rFonts w:eastAsia="Times New Roman"/>
                <w:b/>
                <w:bCs/>
                <w:szCs w:val="24"/>
                <w:lang w:eastAsia="cs-CZ"/>
              </w:rPr>
              <w:t xml:space="preserve">skut. počtu soudců </w:t>
            </w:r>
            <w:r w:rsidR="00C30BBE" w:rsidRPr="00A00187">
              <w:rPr>
                <w:rFonts w:eastAsia="Times New Roman"/>
                <w:b/>
                <w:bCs/>
                <w:szCs w:val="24"/>
                <w:lang w:eastAsia="cs-CZ"/>
              </w:rPr>
              <w:t>×</w:t>
            </w:r>
            <w:r w:rsidR="00726EC3">
              <w:rPr>
                <w:rFonts w:eastAsia="Times New Roman"/>
                <w:b/>
                <w:bCs/>
                <w:szCs w:val="24"/>
                <w:lang w:eastAsia="cs-CZ"/>
              </w:rPr>
              <w:t> </w:t>
            </w:r>
            <w:r w:rsidRPr="00A00187">
              <w:rPr>
                <w:rFonts w:eastAsia="Times New Roman"/>
                <w:b/>
                <w:bCs/>
                <w:szCs w:val="24"/>
                <w:lang w:eastAsia="cs-CZ"/>
              </w:rPr>
              <w:t>100</w:t>
            </w:r>
            <w:r w:rsidR="00CB570A">
              <w:rPr>
                <w:rFonts w:eastAsia="Times New Roman"/>
                <w:b/>
                <w:bCs/>
                <w:szCs w:val="24"/>
                <w:lang w:eastAsia="cs-CZ"/>
              </w:rPr>
              <w:t> %</w:t>
            </w:r>
          </w:p>
        </w:tc>
      </w:tr>
      <w:tr w:rsidR="00AC1E67" w:rsidRPr="00A00187" w14:paraId="34D9E2F7" w14:textId="77777777" w:rsidTr="00F71CF1">
        <w:trPr>
          <w:trHeight w:val="570"/>
        </w:trPr>
        <w:tc>
          <w:tcPr>
            <w:tcW w:w="2496" w:type="dxa"/>
            <w:vMerge/>
            <w:tcBorders>
              <w:top w:val="double" w:sz="6" w:space="0" w:color="auto"/>
              <w:left w:val="nil"/>
              <w:bottom w:val="double" w:sz="6" w:space="0" w:color="000000"/>
              <w:right w:val="nil"/>
            </w:tcBorders>
            <w:vAlign w:val="center"/>
            <w:hideMark/>
          </w:tcPr>
          <w:p w14:paraId="25A5F936" w14:textId="77777777" w:rsidR="00F71CF1" w:rsidRPr="00A00187" w:rsidRDefault="00F71CF1" w:rsidP="00F71CF1">
            <w:pPr>
              <w:spacing w:line="240" w:lineRule="auto"/>
              <w:jc w:val="left"/>
              <w:rPr>
                <w:rFonts w:eastAsia="Times New Roman"/>
                <w:b/>
                <w:bCs/>
                <w:szCs w:val="24"/>
                <w:lang w:eastAsia="cs-CZ"/>
              </w:rPr>
            </w:pPr>
          </w:p>
        </w:tc>
        <w:tc>
          <w:tcPr>
            <w:tcW w:w="1894" w:type="dxa"/>
            <w:tcBorders>
              <w:top w:val="nil"/>
              <w:left w:val="nil"/>
              <w:bottom w:val="double" w:sz="6" w:space="0" w:color="auto"/>
              <w:right w:val="nil"/>
            </w:tcBorders>
            <w:shd w:val="clear" w:color="auto" w:fill="auto"/>
            <w:noWrap/>
            <w:vAlign w:val="center"/>
            <w:hideMark/>
          </w:tcPr>
          <w:p w14:paraId="6B5642A3" w14:textId="26237E94" w:rsidR="00F71CF1" w:rsidRPr="00A00187" w:rsidRDefault="00F71CF1" w:rsidP="00F71CF1">
            <w:pPr>
              <w:spacing w:line="240" w:lineRule="auto"/>
              <w:jc w:val="center"/>
              <w:rPr>
                <w:rFonts w:eastAsia="Times New Roman"/>
                <w:b/>
                <w:bCs/>
                <w:szCs w:val="24"/>
                <w:lang w:eastAsia="cs-CZ"/>
              </w:rPr>
            </w:pPr>
            <w:r w:rsidRPr="00A00187">
              <w:rPr>
                <w:rFonts w:eastAsia="Times New Roman"/>
                <w:b/>
                <w:bCs/>
                <w:szCs w:val="24"/>
                <w:lang w:eastAsia="cs-CZ"/>
              </w:rPr>
              <w:t>Evide</w:t>
            </w:r>
            <w:r w:rsidR="00B00DE0" w:rsidRPr="00A00187">
              <w:rPr>
                <w:rFonts w:eastAsia="Times New Roman"/>
                <w:b/>
                <w:bCs/>
                <w:szCs w:val="24"/>
                <w:lang w:eastAsia="cs-CZ"/>
              </w:rPr>
              <w:t>n</w:t>
            </w:r>
            <w:r w:rsidRPr="00A00187">
              <w:rPr>
                <w:rFonts w:eastAsia="Times New Roman"/>
                <w:b/>
                <w:bCs/>
                <w:szCs w:val="24"/>
                <w:lang w:eastAsia="cs-CZ"/>
              </w:rPr>
              <w:t>ční počet</w:t>
            </w:r>
          </w:p>
        </w:tc>
        <w:tc>
          <w:tcPr>
            <w:tcW w:w="1922" w:type="dxa"/>
            <w:tcBorders>
              <w:top w:val="nil"/>
              <w:left w:val="nil"/>
              <w:bottom w:val="double" w:sz="6" w:space="0" w:color="auto"/>
              <w:right w:val="nil"/>
            </w:tcBorders>
            <w:shd w:val="clear" w:color="auto" w:fill="auto"/>
            <w:noWrap/>
            <w:vAlign w:val="center"/>
            <w:hideMark/>
          </w:tcPr>
          <w:p w14:paraId="674765FE" w14:textId="77777777" w:rsidR="00F71CF1" w:rsidRPr="00A00187" w:rsidRDefault="00F71CF1" w:rsidP="00F71CF1">
            <w:pPr>
              <w:spacing w:line="240" w:lineRule="auto"/>
              <w:jc w:val="left"/>
              <w:rPr>
                <w:rFonts w:eastAsia="Times New Roman"/>
                <w:b/>
                <w:bCs/>
                <w:szCs w:val="24"/>
                <w:lang w:eastAsia="cs-CZ"/>
              </w:rPr>
            </w:pPr>
            <w:r w:rsidRPr="00A00187">
              <w:rPr>
                <w:rFonts w:eastAsia="Times New Roman"/>
                <w:b/>
                <w:bCs/>
                <w:szCs w:val="24"/>
                <w:lang w:eastAsia="cs-CZ"/>
              </w:rPr>
              <w:t>Skutečný počet</w:t>
            </w:r>
          </w:p>
        </w:tc>
        <w:tc>
          <w:tcPr>
            <w:tcW w:w="1728" w:type="dxa"/>
            <w:vMerge/>
            <w:tcBorders>
              <w:top w:val="double" w:sz="6" w:space="0" w:color="auto"/>
              <w:left w:val="nil"/>
              <w:bottom w:val="double" w:sz="6" w:space="0" w:color="000000"/>
              <w:right w:val="nil"/>
            </w:tcBorders>
            <w:vAlign w:val="center"/>
            <w:hideMark/>
          </w:tcPr>
          <w:p w14:paraId="3920A800" w14:textId="77777777" w:rsidR="00F71CF1" w:rsidRPr="00A00187" w:rsidRDefault="00F71CF1" w:rsidP="00F71CF1">
            <w:pPr>
              <w:spacing w:line="240" w:lineRule="auto"/>
              <w:jc w:val="left"/>
              <w:rPr>
                <w:rFonts w:eastAsia="Times New Roman"/>
                <w:b/>
                <w:bCs/>
                <w:szCs w:val="24"/>
                <w:lang w:eastAsia="cs-CZ"/>
              </w:rPr>
            </w:pPr>
          </w:p>
        </w:tc>
      </w:tr>
      <w:tr w:rsidR="00AC1E67" w:rsidRPr="00A00187" w14:paraId="220BD8A6" w14:textId="77777777" w:rsidTr="00F71CF1">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25E4E4D7"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MS Praha</w:t>
            </w:r>
          </w:p>
        </w:tc>
        <w:tc>
          <w:tcPr>
            <w:tcW w:w="1894" w:type="dxa"/>
            <w:tcBorders>
              <w:top w:val="single" w:sz="4" w:space="0" w:color="auto"/>
              <w:left w:val="nil"/>
              <w:bottom w:val="single" w:sz="4" w:space="0" w:color="auto"/>
              <w:right w:val="nil"/>
            </w:tcBorders>
            <w:shd w:val="clear" w:color="auto" w:fill="auto"/>
            <w:noWrap/>
            <w:vAlign w:val="bottom"/>
            <w:hideMark/>
          </w:tcPr>
          <w:p w14:paraId="592BCE0B"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231</w:t>
            </w:r>
          </w:p>
        </w:tc>
        <w:tc>
          <w:tcPr>
            <w:tcW w:w="1922" w:type="dxa"/>
            <w:tcBorders>
              <w:top w:val="nil"/>
              <w:left w:val="nil"/>
              <w:bottom w:val="single" w:sz="4" w:space="0" w:color="auto"/>
              <w:right w:val="nil"/>
            </w:tcBorders>
            <w:shd w:val="clear" w:color="auto" w:fill="auto"/>
            <w:noWrap/>
            <w:vAlign w:val="bottom"/>
            <w:hideMark/>
          </w:tcPr>
          <w:p w14:paraId="008C4FD8" w14:textId="78B72745"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204,95</w:t>
            </w:r>
          </w:p>
        </w:tc>
        <w:tc>
          <w:tcPr>
            <w:tcW w:w="1728" w:type="dxa"/>
            <w:tcBorders>
              <w:top w:val="single" w:sz="4" w:space="0" w:color="auto"/>
              <w:left w:val="nil"/>
              <w:bottom w:val="single" w:sz="4" w:space="0" w:color="auto"/>
              <w:right w:val="nil"/>
            </w:tcBorders>
            <w:shd w:val="clear" w:color="auto" w:fill="auto"/>
            <w:noWrap/>
            <w:vAlign w:val="bottom"/>
            <w:hideMark/>
          </w:tcPr>
          <w:p w14:paraId="21DFCEC3" w14:textId="2FFECD26"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88,72</w:t>
            </w:r>
          </w:p>
        </w:tc>
      </w:tr>
      <w:tr w:rsidR="00AC1E67" w:rsidRPr="00A00187" w14:paraId="209E9033" w14:textId="77777777" w:rsidTr="00F71CF1">
        <w:trPr>
          <w:trHeight w:val="315"/>
        </w:trPr>
        <w:tc>
          <w:tcPr>
            <w:tcW w:w="2496" w:type="dxa"/>
            <w:tcBorders>
              <w:top w:val="nil"/>
              <w:left w:val="nil"/>
              <w:bottom w:val="single" w:sz="4" w:space="0" w:color="auto"/>
              <w:right w:val="nil"/>
            </w:tcBorders>
            <w:shd w:val="clear" w:color="auto" w:fill="auto"/>
            <w:noWrap/>
            <w:vAlign w:val="bottom"/>
            <w:hideMark/>
          </w:tcPr>
          <w:p w14:paraId="3B831410"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KS Praha</w:t>
            </w:r>
          </w:p>
        </w:tc>
        <w:tc>
          <w:tcPr>
            <w:tcW w:w="1894" w:type="dxa"/>
            <w:tcBorders>
              <w:top w:val="nil"/>
              <w:left w:val="nil"/>
              <w:bottom w:val="single" w:sz="4" w:space="0" w:color="auto"/>
              <w:right w:val="nil"/>
            </w:tcBorders>
            <w:shd w:val="clear" w:color="auto" w:fill="auto"/>
            <w:noWrap/>
            <w:vAlign w:val="bottom"/>
            <w:hideMark/>
          </w:tcPr>
          <w:p w14:paraId="2EA56B0A"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168</w:t>
            </w:r>
          </w:p>
        </w:tc>
        <w:tc>
          <w:tcPr>
            <w:tcW w:w="1922" w:type="dxa"/>
            <w:tcBorders>
              <w:top w:val="nil"/>
              <w:left w:val="nil"/>
              <w:bottom w:val="single" w:sz="4" w:space="0" w:color="auto"/>
              <w:right w:val="nil"/>
            </w:tcBorders>
            <w:shd w:val="clear" w:color="auto" w:fill="auto"/>
            <w:noWrap/>
            <w:vAlign w:val="bottom"/>
            <w:hideMark/>
          </w:tcPr>
          <w:p w14:paraId="1B0829DD" w14:textId="02B846E9"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143,9</w:t>
            </w:r>
          </w:p>
        </w:tc>
        <w:tc>
          <w:tcPr>
            <w:tcW w:w="1728" w:type="dxa"/>
            <w:tcBorders>
              <w:top w:val="nil"/>
              <w:left w:val="nil"/>
              <w:bottom w:val="single" w:sz="4" w:space="0" w:color="auto"/>
              <w:right w:val="nil"/>
            </w:tcBorders>
            <w:shd w:val="clear" w:color="auto" w:fill="auto"/>
            <w:noWrap/>
            <w:vAlign w:val="bottom"/>
            <w:hideMark/>
          </w:tcPr>
          <w:p w14:paraId="233AC4D9" w14:textId="6FE66B61"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85,65</w:t>
            </w:r>
          </w:p>
        </w:tc>
      </w:tr>
      <w:tr w:rsidR="00AC1E67" w:rsidRPr="00A00187" w14:paraId="0B996E54" w14:textId="77777777" w:rsidTr="00F71CF1">
        <w:trPr>
          <w:trHeight w:val="315"/>
        </w:trPr>
        <w:tc>
          <w:tcPr>
            <w:tcW w:w="2496" w:type="dxa"/>
            <w:tcBorders>
              <w:top w:val="nil"/>
              <w:left w:val="nil"/>
              <w:bottom w:val="single" w:sz="4" w:space="0" w:color="auto"/>
              <w:right w:val="nil"/>
            </w:tcBorders>
            <w:shd w:val="clear" w:color="auto" w:fill="auto"/>
            <w:noWrap/>
            <w:vAlign w:val="bottom"/>
            <w:hideMark/>
          </w:tcPr>
          <w:p w14:paraId="7E0EC66C"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KS Č. Budějovice</w:t>
            </w:r>
          </w:p>
        </w:tc>
        <w:tc>
          <w:tcPr>
            <w:tcW w:w="1894" w:type="dxa"/>
            <w:tcBorders>
              <w:top w:val="nil"/>
              <w:left w:val="nil"/>
              <w:bottom w:val="single" w:sz="4" w:space="0" w:color="auto"/>
              <w:right w:val="nil"/>
            </w:tcBorders>
            <w:shd w:val="clear" w:color="auto" w:fill="auto"/>
            <w:noWrap/>
            <w:vAlign w:val="bottom"/>
            <w:hideMark/>
          </w:tcPr>
          <w:p w14:paraId="17DF0B88"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72</w:t>
            </w:r>
          </w:p>
        </w:tc>
        <w:tc>
          <w:tcPr>
            <w:tcW w:w="1922" w:type="dxa"/>
            <w:tcBorders>
              <w:top w:val="nil"/>
              <w:left w:val="nil"/>
              <w:bottom w:val="single" w:sz="4" w:space="0" w:color="auto"/>
              <w:right w:val="nil"/>
            </w:tcBorders>
            <w:shd w:val="clear" w:color="auto" w:fill="auto"/>
            <w:noWrap/>
            <w:vAlign w:val="bottom"/>
            <w:hideMark/>
          </w:tcPr>
          <w:p w14:paraId="62CA2244" w14:textId="74403DAB"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67,9</w:t>
            </w:r>
          </w:p>
        </w:tc>
        <w:tc>
          <w:tcPr>
            <w:tcW w:w="1728" w:type="dxa"/>
            <w:tcBorders>
              <w:top w:val="nil"/>
              <w:left w:val="nil"/>
              <w:bottom w:val="single" w:sz="4" w:space="0" w:color="auto"/>
              <w:right w:val="nil"/>
            </w:tcBorders>
            <w:shd w:val="clear" w:color="auto" w:fill="auto"/>
            <w:noWrap/>
            <w:vAlign w:val="bottom"/>
            <w:hideMark/>
          </w:tcPr>
          <w:p w14:paraId="7F917DF0" w14:textId="5701B885"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94,31</w:t>
            </w:r>
          </w:p>
        </w:tc>
      </w:tr>
      <w:tr w:rsidR="00AC1E67" w:rsidRPr="00A00187" w14:paraId="4609158D" w14:textId="77777777" w:rsidTr="00F71CF1">
        <w:trPr>
          <w:trHeight w:val="315"/>
        </w:trPr>
        <w:tc>
          <w:tcPr>
            <w:tcW w:w="2496" w:type="dxa"/>
            <w:tcBorders>
              <w:top w:val="nil"/>
              <w:left w:val="nil"/>
              <w:bottom w:val="single" w:sz="4" w:space="0" w:color="auto"/>
              <w:right w:val="nil"/>
            </w:tcBorders>
            <w:shd w:val="clear" w:color="auto" w:fill="auto"/>
            <w:noWrap/>
            <w:vAlign w:val="bottom"/>
            <w:hideMark/>
          </w:tcPr>
          <w:p w14:paraId="182A5606"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KS Plzeň</w:t>
            </w:r>
          </w:p>
        </w:tc>
        <w:tc>
          <w:tcPr>
            <w:tcW w:w="1894" w:type="dxa"/>
            <w:tcBorders>
              <w:top w:val="nil"/>
              <w:left w:val="nil"/>
              <w:bottom w:val="single" w:sz="4" w:space="0" w:color="auto"/>
              <w:right w:val="nil"/>
            </w:tcBorders>
            <w:shd w:val="clear" w:color="auto" w:fill="auto"/>
            <w:noWrap/>
            <w:vAlign w:val="bottom"/>
            <w:hideMark/>
          </w:tcPr>
          <w:p w14:paraId="2B32DEED"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115</w:t>
            </w:r>
          </w:p>
        </w:tc>
        <w:tc>
          <w:tcPr>
            <w:tcW w:w="1922" w:type="dxa"/>
            <w:tcBorders>
              <w:top w:val="nil"/>
              <w:left w:val="nil"/>
              <w:bottom w:val="single" w:sz="4" w:space="0" w:color="auto"/>
              <w:right w:val="nil"/>
            </w:tcBorders>
            <w:shd w:val="clear" w:color="auto" w:fill="auto"/>
            <w:noWrap/>
            <w:vAlign w:val="bottom"/>
            <w:hideMark/>
          </w:tcPr>
          <w:p w14:paraId="599EED28" w14:textId="678027BF"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106,1</w:t>
            </w:r>
          </w:p>
        </w:tc>
        <w:tc>
          <w:tcPr>
            <w:tcW w:w="1728" w:type="dxa"/>
            <w:tcBorders>
              <w:top w:val="nil"/>
              <w:left w:val="nil"/>
              <w:bottom w:val="single" w:sz="4" w:space="0" w:color="auto"/>
              <w:right w:val="nil"/>
            </w:tcBorders>
            <w:shd w:val="clear" w:color="auto" w:fill="auto"/>
            <w:noWrap/>
            <w:vAlign w:val="bottom"/>
            <w:hideMark/>
          </w:tcPr>
          <w:p w14:paraId="40FD072D" w14:textId="32E258ED"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92,26</w:t>
            </w:r>
          </w:p>
        </w:tc>
      </w:tr>
      <w:tr w:rsidR="00AC1E67" w:rsidRPr="00A00187" w14:paraId="0B953779" w14:textId="77777777" w:rsidTr="00F71CF1">
        <w:trPr>
          <w:trHeight w:val="315"/>
        </w:trPr>
        <w:tc>
          <w:tcPr>
            <w:tcW w:w="2496" w:type="dxa"/>
            <w:tcBorders>
              <w:top w:val="nil"/>
              <w:left w:val="nil"/>
              <w:bottom w:val="single" w:sz="4" w:space="0" w:color="auto"/>
              <w:right w:val="nil"/>
            </w:tcBorders>
            <w:shd w:val="clear" w:color="auto" w:fill="auto"/>
            <w:noWrap/>
            <w:vAlign w:val="bottom"/>
            <w:hideMark/>
          </w:tcPr>
          <w:p w14:paraId="658C91A5"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KS Ústí n. Labem</w:t>
            </w:r>
          </w:p>
        </w:tc>
        <w:tc>
          <w:tcPr>
            <w:tcW w:w="1894" w:type="dxa"/>
            <w:tcBorders>
              <w:top w:val="nil"/>
              <w:left w:val="nil"/>
              <w:bottom w:val="single" w:sz="4" w:space="0" w:color="auto"/>
              <w:right w:val="nil"/>
            </w:tcBorders>
            <w:shd w:val="clear" w:color="auto" w:fill="auto"/>
            <w:noWrap/>
            <w:vAlign w:val="bottom"/>
            <w:hideMark/>
          </w:tcPr>
          <w:p w14:paraId="5CBC5576"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195</w:t>
            </w:r>
          </w:p>
        </w:tc>
        <w:tc>
          <w:tcPr>
            <w:tcW w:w="1922" w:type="dxa"/>
            <w:tcBorders>
              <w:top w:val="nil"/>
              <w:left w:val="nil"/>
              <w:bottom w:val="single" w:sz="4" w:space="0" w:color="auto"/>
              <w:right w:val="nil"/>
            </w:tcBorders>
            <w:shd w:val="clear" w:color="auto" w:fill="auto"/>
            <w:noWrap/>
            <w:vAlign w:val="bottom"/>
            <w:hideMark/>
          </w:tcPr>
          <w:p w14:paraId="402766A2" w14:textId="1D23D89D"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164,14</w:t>
            </w:r>
          </w:p>
        </w:tc>
        <w:tc>
          <w:tcPr>
            <w:tcW w:w="1728" w:type="dxa"/>
            <w:tcBorders>
              <w:top w:val="nil"/>
              <w:left w:val="nil"/>
              <w:bottom w:val="single" w:sz="4" w:space="0" w:color="auto"/>
              <w:right w:val="nil"/>
            </w:tcBorders>
            <w:shd w:val="clear" w:color="auto" w:fill="auto"/>
            <w:noWrap/>
            <w:vAlign w:val="bottom"/>
            <w:hideMark/>
          </w:tcPr>
          <w:p w14:paraId="42993BBA" w14:textId="5E45C09F"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84,17</w:t>
            </w:r>
          </w:p>
        </w:tc>
      </w:tr>
      <w:tr w:rsidR="00AC1E67" w:rsidRPr="00A00187" w14:paraId="7554D62F" w14:textId="77777777" w:rsidTr="00F71CF1">
        <w:trPr>
          <w:trHeight w:val="315"/>
        </w:trPr>
        <w:tc>
          <w:tcPr>
            <w:tcW w:w="2496" w:type="dxa"/>
            <w:tcBorders>
              <w:top w:val="nil"/>
              <w:left w:val="nil"/>
              <w:bottom w:val="single" w:sz="4" w:space="0" w:color="auto"/>
              <w:right w:val="nil"/>
            </w:tcBorders>
            <w:shd w:val="clear" w:color="auto" w:fill="auto"/>
            <w:noWrap/>
            <w:vAlign w:val="bottom"/>
            <w:hideMark/>
          </w:tcPr>
          <w:p w14:paraId="767DDBD2"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KS Hr. Králové</w:t>
            </w:r>
          </w:p>
        </w:tc>
        <w:tc>
          <w:tcPr>
            <w:tcW w:w="1894" w:type="dxa"/>
            <w:tcBorders>
              <w:top w:val="nil"/>
              <w:left w:val="nil"/>
              <w:bottom w:val="single" w:sz="4" w:space="0" w:color="auto"/>
              <w:right w:val="nil"/>
            </w:tcBorders>
            <w:shd w:val="clear" w:color="auto" w:fill="auto"/>
            <w:noWrap/>
            <w:vAlign w:val="bottom"/>
            <w:hideMark/>
          </w:tcPr>
          <w:p w14:paraId="5566F056"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132</w:t>
            </w:r>
          </w:p>
        </w:tc>
        <w:tc>
          <w:tcPr>
            <w:tcW w:w="1922" w:type="dxa"/>
            <w:tcBorders>
              <w:top w:val="nil"/>
              <w:left w:val="nil"/>
              <w:bottom w:val="single" w:sz="4" w:space="0" w:color="auto"/>
              <w:right w:val="nil"/>
            </w:tcBorders>
            <w:shd w:val="clear" w:color="auto" w:fill="auto"/>
            <w:noWrap/>
            <w:vAlign w:val="bottom"/>
            <w:hideMark/>
          </w:tcPr>
          <w:p w14:paraId="691F068E" w14:textId="5745BFFA"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115,15</w:t>
            </w:r>
          </w:p>
        </w:tc>
        <w:tc>
          <w:tcPr>
            <w:tcW w:w="1728" w:type="dxa"/>
            <w:tcBorders>
              <w:top w:val="nil"/>
              <w:left w:val="nil"/>
              <w:bottom w:val="single" w:sz="4" w:space="0" w:color="auto"/>
              <w:right w:val="nil"/>
            </w:tcBorders>
            <w:shd w:val="clear" w:color="auto" w:fill="auto"/>
            <w:noWrap/>
            <w:vAlign w:val="bottom"/>
            <w:hideMark/>
          </w:tcPr>
          <w:p w14:paraId="664B6454" w14:textId="2C0D459A"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87,23</w:t>
            </w:r>
          </w:p>
        </w:tc>
      </w:tr>
      <w:tr w:rsidR="00AC1E67" w:rsidRPr="00A00187" w14:paraId="1CF4C4FC" w14:textId="77777777" w:rsidTr="00F71CF1">
        <w:trPr>
          <w:trHeight w:val="315"/>
        </w:trPr>
        <w:tc>
          <w:tcPr>
            <w:tcW w:w="2496" w:type="dxa"/>
            <w:tcBorders>
              <w:top w:val="nil"/>
              <w:left w:val="nil"/>
              <w:bottom w:val="single" w:sz="4" w:space="0" w:color="auto"/>
              <w:right w:val="nil"/>
            </w:tcBorders>
            <w:shd w:val="clear" w:color="auto" w:fill="auto"/>
            <w:noWrap/>
            <w:vAlign w:val="bottom"/>
            <w:hideMark/>
          </w:tcPr>
          <w:p w14:paraId="52A9C9F3"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KS Brno</w:t>
            </w:r>
          </w:p>
        </w:tc>
        <w:tc>
          <w:tcPr>
            <w:tcW w:w="1894" w:type="dxa"/>
            <w:tcBorders>
              <w:top w:val="nil"/>
              <w:left w:val="nil"/>
              <w:bottom w:val="single" w:sz="4" w:space="0" w:color="auto"/>
              <w:right w:val="nil"/>
            </w:tcBorders>
            <w:shd w:val="clear" w:color="auto" w:fill="auto"/>
            <w:noWrap/>
            <w:vAlign w:val="bottom"/>
            <w:hideMark/>
          </w:tcPr>
          <w:p w14:paraId="56B5594D"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225</w:t>
            </w:r>
          </w:p>
        </w:tc>
        <w:tc>
          <w:tcPr>
            <w:tcW w:w="1922" w:type="dxa"/>
            <w:tcBorders>
              <w:top w:val="nil"/>
              <w:left w:val="nil"/>
              <w:bottom w:val="single" w:sz="4" w:space="0" w:color="auto"/>
              <w:right w:val="nil"/>
            </w:tcBorders>
            <w:shd w:val="clear" w:color="auto" w:fill="auto"/>
            <w:noWrap/>
            <w:vAlign w:val="bottom"/>
            <w:hideMark/>
          </w:tcPr>
          <w:p w14:paraId="062FB9A4" w14:textId="7A7A92E6"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194,95</w:t>
            </w:r>
          </w:p>
        </w:tc>
        <w:tc>
          <w:tcPr>
            <w:tcW w:w="1728" w:type="dxa"/>
            <w:tcBorders>
              <w:top w:val="nil"/>
              <w:left w:val="nil"/>
              <w:bottom w:val="single" w:sz="4" w:space="0" w:color="auto"/>
              <w:right w:val="nil"/>
            </w:tcBorders>
            <w:shd w:val="clear" w:color="auto" w:fill="auto"/>
            <w:noWrap/>
            <w:vAlign w:val="bottom"/>
            <w:hideMark/>
          </w:tcPr>
          <w:p w14:paraId="6FF173CF" w14:textId="288BC4A9"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86,64</w:t>
            </w:r>
          </w:p>
        </w:tc>
      </w:tr>
      <w:tr w:rsidR="00AC1E67" w:rsidRPr="00A00187" w14:paraId="641BC867" w14:textId="77777777" w:rsidTr="00F71CF1">
        <w:trPr>
          <w:trHeight w:val="330"/>
        </w:trPr>
        <w:tc>
          <w:tcPr>
            <w:tcW w:w="2496" w:type="dxa"/>
            <w:tcBorders>
              <w:top w:val="nil"/>
              <w:left w:val="nil"/>
              <w:bottom w:val="double" w:sz="6" w:space="0" w:color="auto"/>
              <w:right w:val="nil"/>
            </w:tcBorders>
            <w:shd w:val="clear" w:color="auto" w:fill="auto"/>
            <w:noWrap/>
            <w:vAlign w:val="bottom"/>
            <w:hideMark/>
          </w:tcPr>
          <w:p w14:paraId="7535C9E4" w14:textId="77777777" w:rsidR="00F71CF1" w:rsidRPr="00A00187" w:rsidRDefault="00F71CF1" w:rsidP="00F71CF1">
            <w:pPr>
              <w:spacing w:line="240" w:lineRule="auto"/>
              <w:jc w:val="left"/>
              <w:rPr>
                <w:rFonts w:eastAsia="Times New Roman"/>
                <w:szCs w:val="24"/>
                <w:lang w:eastAsia="cs-CZ"/>
              </w:rPr>
            </w:pPr>
            <w:r w:rsidRPr="00A00187">
              <w:rPr>
                <w:rFonts w:eastAsia="Times New Roman"/>
                <w:szCs w:val="24"/>
                <w:lang w:eastAsia="cs-CZ"/>
              </w:rPr>
              <w:t>KS Ostrava</w:t>
            </w:r>
          </w:p>
        </w:tc>
        <w:tc>
          <w:tcPr>
            <w:tcW w:w="1894" w:type="dxa"/>
            <w:tcBorders>
              <w:top w:val="nil"/>
              <w:left w:val="nil"/>
              <w:bottom w:val="double" w:sz="6" w:space="0" w:color="auto"/>
              <w:right w:val="nil"/>
            </w:tcBorders>
            <w:shd w:val="clear" w:color="auto" w:fill="auto"/>
            <w:noWrap/>
            <w:vAlign w:val="bottom"/>
            <w:hideMark/>
          </w:tcPr>
          <w:p w14:paraId="2B8F2192" w14:textId="77777777"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231</w:t>
            </w:r>
          </w:p>
        </w:tc>
        <w:tc>
          <w:tcPr>
            <w:tcW w:w="1922" w:type="dxa"/>
            <w:tcBorders>
              <w:top w:val="nil"/>
              <w:left w:val="nil"/>
              <w:bottom w:val="double" w:sz="6" w:space="0" w:color="auto"/>
              <w:right w:val="nil"/>
            </w:tcBorders>
            <w:shd w:val="clear" w:color="auto" w:fill="auto"/>
            <w:noWrap/>
            <w:vAlign w:val="bottom"/>
            <w:hideMark/>
          </w:tcPr>
          <w:p w14:paraId="2D07ADB0" w14:textId="1EF5EBC2"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209,45</w:t>
            </w:r>
          </w:p>
        </w:tc>
        <w:tc>
          <w:tcPr>
            <w:tcW w:w="1728" w:type="dxa"/>
            <w:tcBorders>
              <w:top w:val="nil"/>
              <w:left w:val="nil"/>
              <w:bottom w:val="nil"/>
              <w:right w:val="nil"/>
            </w:tcBorders>
            <w:shd w:val="clear" w:color="auto" w:fill="auto"/>
            <w:noWrap/>
            <w:vAlign w:val="bottom"/>
            <w:hideMark/>
          </w:tcPr>
          <w:p w14:paraId="1A9F1600" w14:textId="61B767A0" w:rsidR="00F71CF1" w:rsidRPr="00A00187" w:rsidRDefault="00F71CF1" w:rsidP="00F71CF1">
            <w:pPr>
              <w:spacing w:line="240" w:lineRule="auto"/>
              <w:jc w:val="center"/>
              <w:rPr>
                <w:rFonts w:eastAsia="Times New Roman"/>
                <w:szCs w:val="24"/>
                <w:lang w:eastAsia="cs-CZ"/>
              </w:rPr>
            </w:pPr>
            <w:r w:rsidRPr="00A00187">
              <w:rPr>
                <w:rFonts w:eastAsia="Times New Roman"/>
                <w:szCs w:val="24"/>
                <w:lang w:eastAsia="cs-CZ"/>
              </w:rPr>
              <w:t>90,67</w:t>
            </w:r>
          </w:p>
        </w:tc>
      </w:tr>
      <w:tr w:rsidR="00F71CF1" w:rsidRPr="00A00187" w14:paraId="06829411" w14:textId="77777777" w:rsidTr="00F71CF1">
        <w:trPr>
          <w:trHeight w:val="345"/>
        </w:trPr>
        <w:tc>
          <w:tcPr>
            <w:tcW w:w="2496" w:type="dxa"/>
            <w:tcBorders>
              <w:top w:val="nil"/>
              <w:left w:val="nil"/>
              <w:bottom w:val="double" w:sz="6" w:space="0" w:color="auto"/>
              <w:right w:val="nil"/>
            </w:tcBorders>
            <w:shd w:val="clear" w:color="auto" w:fill="auto"/>
            <w:noWrap/>
            <w:vAlign w:val="bottom"/>
            <w:hideMark/>
          </w:tcPr>
          <w:p w14:paraId="18E3FF6C" w14:textId="77777777" w:rsidR="00F71CF1" w:rsidRPr="00A00187" w:rsidRDefault="00F71CF1" w:rsidP="00F71CF1">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894" w:type="dxa"/>
            <w:tcBorders>
              <w:top w:val="nil"/>
              <w:left w:val="nil"/>
              <w:bottom w:val="double" w:sz="6" w:space="0" w:color="auto"/>
              <w:right w:val="nil"/>
            </w:tcBorders>
            <w:shd w:val="clear" w:color="auto" w:fill="auto"/>
            <w:noWrap/>
            <w:vAlign w:val="bottom"/>
            <w:hideMark/>
          </w:tcPr>
          <w:p w14:paraId="7DCA8A34" w14:textId="1893A5BF" w:rsidR="00F71CF1" w:rsidRPr="00A00187" w:rsidRDefault="00F71CF1" w:rsidP="00F71CF1">
            <w:pPr>
              <w:spacing w:line="240" w:lineRule="auto"/>
              <w:jc w:val="center"/>
              <w:rPr>
                <w:rFonts w:eastAsia="Times New Roman"/>
                <w:b/>
                <w:bCs/>
                <w:szCs w:val="24"/>
                <w:lang w:eastAsia="cs-CZ"/>
              </w:rPr>
            </w:pPr>
            <w:r w:rsidRPr="00A00187">
              <w:rPr>
                <w:rFonts w:eastAsia="Times New Roman"/>
                <w:b/>
                <w:bCs/>
                <w:szCs w:val="24"/>
                <w:lang w:eastAsia="cs-CZ"/>
              </w:rPr>
              <w:t>1</w:t>
            </w:r>
            <w:r w:rsidR="00C30BBE" w:rsidRPr="00A00187">
              <w:rPr>
                <w:rFonts w:eastAsia="Times New Roman"/>
                <w:b/>
                <w:bCs/>
                <w:szCs w:val="24"/>
                <w:lang w:eastAsia="cs-CZ"/>
              </w:rPr>
              <w:t xml:space="preserve"> </w:t>
            </w:r>
            <w:r w:rsidRPr="00A00187">
              <w:rPr>
                <w:rFonts w:eastAsia="Times New Roman"/>
                <w:b/>
                <w:bCs/>
                <w:szCs w:val="24"/>
                <w:lang w:eastAsia="cs-CZ"/>
              </w:rPr>
              <w:t>369</w:t>
            </w:r>
          </w:p>
        </w:tc>
        <w:tc>
          <w:tcPr>
            <w:tcW w:w="1922" w:type="dxa"/>
            <w:tcBorders>
              <w:top w:val="nil"/>
              <w:left w:val="nil"/>
              <w:bottom w:val="double" w:sz="6" w:space="0" w:color="auto"/>
              <w:right w:val="nil"/>
            </w:tcBorders>
            <w:shd w:val="clear" w:color="auto" w:fill="auto"/>
            <w:noWrap/>
            <w:vAlign w:val="bottom"/>
            <w:hideMark/>
          </w:tcPr>
          <w:p w14:paraId="5E24E107" w14:textId="734A4AFA" w:rsidR="00F71CF1" w:rsidRPr="00A00187" w:rsidRDefault="00F71CF1" w:rsidP="00F71CF1">
            <w:pPr>
              <w:spacing w:line="240" w:lineRule="auto"/>
              <w:jc w:val="center"/>
              <w:rPr>
                <w:rFonts w:eastAsia="Times New Roman"/>
                <w:b/>
                <w:bCs/>
                <w:szCs w:val="24"/>
                <w:lang w:eastAsia="cs-CZ"/>
              </w:rPr>
            </w:pPr>
            <w:r w:rsidRPr="00A00187">
              <w:rPr>
                <w:rFonts w:eastAsia="Times New Roman"/>
                <w:b/>
                <w:bCs/>
                <w:szCs w:val="24"/>
                <w:lang w:eastAsia="cs-CZ"/>
              </w:rPr>
              <w:t>1</w:t>
            </w:r>
            <w:r w:rsidR="00C30BBE" w:rsidRPr="00A00187">
              <w:rPr>
                <w:rFonts w:eastAsia="Times New Roman"/>
                <w:b/>
                <w:bCs/>
                <w:szCs w:val="24"/>
                <w:lang w:eastAsia="cs-CZ"/>
              </w:rPr>
              <w:t xml:space="preserve"> </w:t>
            </w:r>
            <w:r w:rsidRPr="00A00187">
              <w:rPr>
                <w:rFonts w:eastAsia="Times New Roman"/>
                <w:b/>
                <w:bCs/>
                <w:szCs w:val="24"/>
                <w:lang w:eastAsia="cs-CZ"/>
              </w:rPr>
              <w:t>206,54</w:t>
            </w:r>
          </w:p>
        </w:tc>
        <w:tc>
          <w:tcPr>
            <w:tcW w:w="1728" w:type="dxa"/>
            <w:tcBorders>
              <w:top w:val="double" w:sz="6" w:space="0" w:color="auto"/>
              <w:left w:val="nil"/>
              <w:bottom w:val="double" w:sz="6" w:space="0" w:color="auto"/>
              <w:right w:val="nil"/>
            </w:tcBorders>
            <w:shd w:val="clear" w:color="auto" w:fill="auto"/>
            <w:noWrap/>
            <w:vAlign w:val="bottom"/>
            <w:hideMark/>
          </w:tcPr>
          <w:p w14:paraId="47D9B85D" w14:textId="6B143730" w:rsidR="00F71CF1" w:rsidRPr="00A00187" w:rsidRDefault="00F71CF1" w:rsidP="00F71CF1">
            <w:pPr>
              <w:spacing w:line="240" w:lineRule="auto"/>
              <w:jc w:val="center"/>
              <w:rPr>
                <w:rFonts w:eastAsia="Times New Roman"/>
                <w:b/>
                <w:bCs/>
                <w:szCs w:val="24"/>
                <w:lang w:eastAsia="cs-CZ"/>
              </w:rPr>
            </w:pPr>
            <w:r w:rsidRPr="00A00187">
              <w:rPr>
                <w:rFonts w:eastAsia="Times New Roman"/>
                <w:b/>
                <w:bCs/>
                <w:szCs w:val="24"/>
                <w:lang w:eastAsia="cs-CZ"/>
              </w:rPr>
              <w:t>88,13</w:t>
            </w:r>
          </w:p>
        </w:tc>
      </w:tr>
    </w:tbl>
    <w:p w14:paraId="64112C2A" w14:textId="77777777" w:rsidR="007C3687" w:rsidRPr="00A00187" w:rsidRDefault="007C3687" w:rsidP="0083094E">
      <w:pPr>
        <w:pStyle w:val="OdstavecASR"/>
      </w:pPr>
    </w:p>
    <w:p w14:paraId="118D2CE8" w14:textId="69357D96" w:rsidR="0083094E" w:rsidRPr="00A00187" w:rsidRDefault="0083094E" w:rsidP="0083094E">
      <w:pPr>
        <w:pStyle w:val="OdstavecASR"/>
      </w:pPr>
      <w:r w:rsidRPr="00A00187">
        <w:t>Vidíme, že skutečný počet soudců (úvazků) je asi o 12</w:t>
      </w:r>
      <w:r w:rsidR="00CB570A">
        <w:t> %</w:t>
      </w:r>
      <w:r w:rsidRPr="00A00187">
        <w:t xml:space="preserve"> </w:t>
      </w:r>
      <w:r w:rsidR="00414003" w:rsidRPr="00A00187">
        <w:t xml:space="preserve">nižší </w:t>
      </w:r>
      <w:r w:rsidRPr="00A00187">
        <w:t xml:space="preserve">než počet evidenční. To je zajímavý údaj a ukazuje, že počet soudců, kteří skutečně pracují, je výrazně </w:t>
      </w:r>
      <w:r w:rsidR="00414003" w:rsidRPr="00A00187">
        <w:t xml:space="preserve">nižší </w:t>
      </w:r>
      <w:r w:rsidRPr="00A00187">
        <w:t>než počet soudců v evidenci. V Ústí nad Labem je tento rozdíl 16</w:t>
      </w:r>
      <w:r w:rsidR="00CB570A">
        <w:t> %</w:t>
      </w:r>
      <w:r w:rsidRPr="00A00187">
        <w:t>, v Českých Budějovicích jen 5,5</w:t>
      </w:r>
      <w:r w:rsidR="00CB570A">
        <w:t> %</w:t>
      </w:r>
      <w:r w:rsidRPr="00A00187">
        <w:t xml:space="preserve">. Rozdíl je daný tím, že soudci a soudkyně jsou na mateřské/rodičovské dovolené, jsou dlouhodobě nemocní, či se nachází na stáži u soudů vyšších </w:t>
      </w:r>
      <w:r w:rsidR="00F039EB" w:rsidRPr="00A00187">
        <w:t>instancí</w:t>
      </w:r>
      <w:r w:rsidRPr="00A00187">
        <w:t>.</w:t>
      </w:r>
    </w:p>
    <w:p w14:paraId="70006E0F" w14:textId="78E8554B" w:rsidR="0083094E" w:rsidRPr="00A00187" w:rsidRDefault="0083094E" w:rsidP="0083094E">
      <w:pPr>
        <w:pStyle w:val="OdstavecASR"/>
      </w:pPr>
      <w:r w:rsidRPr="00A00187">
        <w:t>Kromě objektivních důvodů mohou být data ohledně skutečného počtu úvazků ovlivněna i tím, jak soud datové tabulky vyplnil.</w:t>
      </w:r>
    </w:p>
    <w:p w14:paraId="317AD2AA" w14:textId="2E604864" w:rsidR="00CB570A" w:rsidRDefault="00947E16" w:rsidP="0083094E">
      <w:pPr>
        <w:pStyle w:val="OdstavecASR"/>
      </w:pPr>
      <w:r w:rsidRPr="00A00187">
        <w:t xml:space="preserve">Meziročně se podíl evidenčního </w:t>
      </w:r>
      <w:r w:rsidR="00726EC3" w:rsidRPr="00A00187">
        <w:t>a</w:t>
      </w:r>
      <w:r w:rsidR="00726EC3">
        <w:t> </w:t>
      </w:r>
      <w:r w:rsidRPr="00A00187">
        <w:t xml:space="preserve">skutečného počtu </w:t>
      </w:r>
      <w:r w:rsidR="00414003" w:rsidRPr="00A00187">
        <w:t xml:space="preserve">soudců </w:t>
      </w:r>
      <w:r w:rsidR="008F6DD3" w:rsidRPr="00A00187">
        <w:t>okresních soudů</w:t>
      </w:r>
      <w:r w:rsidRPr="00A00187">
        <w:t xml:space="preserve"> téměř nemění. Na úrovni krajů již ale lze </w:t>
      </w:r>
      <w:r w:rsidR="00F039EB" w:rsidRPr="00A00187">
        <w:t xml:space="preserve">nalézt </w:t>
      </w:r>
      <w:r w:rsidRPr="00A00187">
        <w:t>rozdíly.</w:t>
      </w:r>
    </w:p>
    <w:p w14:paraId="4E7902DB" w14:textId="3B150C04" w:rsidR="005D2009" w:rsidRPr="00A00187" w:rsidRDefault="008430BD" w:rsidP="005D2009">
      <w:pPr>
        <w:pStyle w:val="Nadpis3"/>
        <w:numPr>
          <w:ilvl w:val="2"/>
          <w:numId w:val="1"/>
        </w:numPr>
        <w:rPr>
          <w:color w:val="auto"/>
        </w:rPr>
      </w:pPr>
      <w:bookmarkStart w:id="172" w:name="_Toc43903027"/>
      <w:bookmarkStart w:id="173" w:name="_Toc106092721"/>
      <w:bookmarkStart w:id="174" w:name="_Toc109801337"/>
      <w:proofErr w:type="spellStart"/>
      <w:r w:rsidRPr="00A00187">
        <w:rPr>
          <w:color w:val="auto"/>
        </w:rPr>
        <w:t>Disposition</w:t>
      </w:r>
      <w:proofErr w:type="spellEnd"/>
      <w:r w:rsidRPr="00A00187">
        <w:rPr>
          <w:color w:val="auto"/>
        </w:rPr>
        <w:t xml:space="preserve"> </w:t>
      </w:r>
      <w:proofErr w:type="spellStart"/>
      <w:r w:rsidRPr="00A00187">
        <w:rPr>
          <w:color w:val="auto"/>
        </w:rPr>
        <w:t>time</w:t>
      </w:r>
      <w:bookmarkEnd w:id="172"/>
      <w:proofErr w:type="spellEnd"/>
      <w:r w:rsidRPr="00A00187">
        <w:rPr>
          <w:color w:val="auto"/>
        </w:rPr>
        <w:t xml:space="preserve"> (dispoziční čas)</w:t>
      </w:r>
      <w:bookmarkEnd w:id="173"/>
      <w:bookmarkEnd w:id="174"/>
    </w:p>
    <w:p w14:paraId="0FDACBD4" w14:textId="547D64EC" w:rsidR="00947E16" w:rsidRPr="00A00187" w:rsidRDefault="00947E16" w:rsidP="00947E16">
      <w:pPr>
        <w:pStyle w:val="OdstavecASR"/>
      </w:pPr>
      <w:proofErr w:type="spellStart"/>
      <w:r w:rsidRPr="00A00187">
        <w:t>Disposition</w:t>
      </w:r>
      <w:proofErr w:type="spellEnd"/>
      <w:r w:rsidRPr="00A00187">
        <w:t xml:space="preserve"> </w:t>
      </w:r>
      <w:proofErr w:type="spellStart"/>
      <w:r w:rsidRPr="00A00187">
        <w:t>time</w:t>
      </w:r>
      <w:proofErr w:type="spellEnd"/>
      <w:r w:rsidRPr="00A00187">
        <w:t xml:space="preserve"> je vypočítán podle metodiky CEPEJ</w:t>
      </w:r>
      <w:r w:rsidRPr="00A00187">
        <w:rPr>
          <w:rStyle w:val="Znakapoznpodarou"/>
        </w:rPr>
        <w:footnoteReference w:id="6"/>
      </w:r>
      <w:r w:rsidRPr="00A00187">
        <w:t xml:space="preserve"> jako (počet nevyřízených věcí na konci daného období) / (počet vyřízených věcí v daném období) × 365. Tento údaj tedy v podstatě ukazuje, za kolik dní by při stejném tempu soud vyřídil všechny nevyřízené věci, které u něj dnes </w:t>
      </w:r>
      <w:r w:rsidR="00F039EB" w:rsidRPr="00A00187">
        <w:t>„</w:t>
      </w:r>
      <w:r w:rsidRPr="00A00187">
        <w:t>leží</w:t>
      </w:r>
      <w:r w:rsidR="00F039EB" w:rsidRPr="00A00187">
        <w:t>“</w:t>
      </w:r>
      <w:r w:rsidRPr="00A00187">
        <w:t xml:space="preserve">, kdyby k němu již žádné další </w:t>
      </w:r>
      <w:r w:rsidR="00F039EB" w:rsidRPr="00A00187">
        <w:t>nenapadaly</w:t>
      </w:r>
      <w:r w:rsidRPr="00A00187">
        <w:t xml:space="preserve">. Nejedná se o délku řízení, jak by se mohlo podle názvu zdát. Délka řízení je vypočtena z jiného zdroje dat a jedná se o jiný ukazatel. </w:t>
      </w:r>
      <w:proofErr w:type="spellStart"/>
      <w:r w:rsidRPr="00A00187">
        <w:t>Disposition</w:t>
      </w:r>
      <w:proofErr w:type="spellEnd"/>
      <w:r w:rsidRPr="00A00187">
        <w:t xml:space="preserve"> </w:t>
      </w:r>
      <w:proofErr w:type="spellStart"/>
      <w:r w:rsidRPr="00A00187">
        <w:lastRenderedPageBreak/>
        <w:t>time</w:t>
      </w:r>
      <w:proofErr w:type="spellEnd"/>
      <w:r w:rsidRPr="00A00187">
        <w:t xml:space="preserve"> (DT) se od </w:t>
      </w:r>
      <w:r w:rsidR="00F039EB" w:rsidRPr="00A00187">
        <w:t>délky řízení</w:t>
      </w:r>
      <w:r w:rsidRPr="00A00187">
        <w:t xml:space="preserve"> tedy může výrazně lišit. V případě DT je však spíše než absolutní hodnota důležité relativní srovnání mezi roky a soudy.</w:t>
      </w:r>
    </w:p>
    <w:p w14:paraId="57CA2B5A" w14:textId="6BA17E04" w:rsidR="00947E16" w:rsidRPr="00A00187" w:rsidRDefault="00947E16" w:rsidP="00947E16">
      <w:pPr>
        <w:pStyle w:val="OdstavecASR"/>
      </w:pPr>
      <w:r w:rsidRPr="00A00187">
        <w:t>Účel DT je podobný jako u přepočtu věcí na jednoho soudce – tedy zohlednit velikost soudů. Mezi ukazateli je ale jeden podstatný rozdíl. Počet nevyřízených věcí na soudce se zaměřuje čistě na to, jak je daný soud zatížený, a u </w:t>
      </w:r>
      <w:r w:rsidR="009428CC" w:rsidRPr="00A00187">
        <w:t>méně</w:t>
      </w:r>
      <w:r w:rsidRPr="00A00187">
        <w:t xml:space="preserve"> zatížených soudů tedy bude vždy vykazovat příznivé hodnoty. Na druhou stranu DT zohledňuje i počet vyřízených věcí, a může tedy teoreticky vyjít vysoký i u soudů s malým počtem nevyřízených věcí, byť tomu tak většinou není.</w:t>
      </w:r>
    </w:p>
    <w:p w14:paraId="44A1AE49" w14:textId="49E3E511" w:rsidR="000306D3" w:rsidRPr="00A00187" w:rsidRDefault="000306D3" w:rsidP="000306D3">
      <w:pPr>
        <w:pStyle w:val="OdstavecASR"/>
      </w:pPr>
      <w:r w:rsidRPr="00A00187">
        <w:t xml:space="preserve">Způsob interpretace dat v grafu níže je takový, že </w:t>
      </w:r>
      <w:r w:rsidR="008F6DD3" w:rsidRPr="00A00187">
        <w:t xml:space="preserve">jestliže </w:t>
      </w:r>
      <w:r w:rsidRPr="00A00187">
        <w:t>v roce 202</w:t>
      </w:r>
      <w:r w:rsidR="00F800FE" w:rsidRPr="00A00187">
        <w:t>1</w:t>
      </w:r>
      <w:r w:rsidRPr="00A00187">
        <w:t xml:space="preserve"> dosahuje DT hodnoty 1</w:t>
      </w:r>
      <w:r w:rsidR="00F800FE" w:rsidRPr="00A00187">
        <w:t>34</w:t>
      </w:r>
      <w:r w:rsidRPr="00A00187">
        <w:t>, znamená to</w:t>
      </w:r>
      <w:r w:rsidR="00BC1A79" w:rsidRPr="00A00187">
        <w:t xml:space="preserve">, že pokud by nebyl nový nápad </w:t>
      </w:r>
      <w:r w:rsidR="00726EC3" w:rsidRPr="00A00187">
        <w:t>a</w:t>
      </w:r>
      <w:r w:rsidR="00726EC3">
        <w:t> </w:t>
      </w:r>
      <w:r w:rsidR="00BC1A79" w:rsidRPr="00A00187">
        <w:t>obživa</w:t>
      </w:r>
      <w:r w:rsidR="008F6DD3" w:rsidRPr="00A00187">
        <w:t xml:space="preserve"> </w:t>
      </w:r>
      <w:r w:rsidR="00726EC3" w:rsidRPr="00A00187">
        <w:t>a</w:t>
      </w:r>
      <w:r w:rsidR="00726EC3">
        <w:t> </w:t>
      </w:r>
      <w:r w:rsidR="008F6DD3" w:rsidRPr="00A00187">
        <w:t>soudy by pracovaly stejným tempem</w:t>
      </w:r>
      <w:r w:rsidR="00BC1A79" w:rsidRPr="00A00187">
        <w:t xml:space="preserve">, trvalo by 134 kal. dní </w:t>
      </w:r>
      <w:proofErr w:type="spellStart"/>
      <w:r w:rsidR="001C7C42" w:rsidRPr="00A00187">
        <w:t>do</w:t>
      </w:r>
      <w:r w:rsidR="00BC1A79" w:rsidRPr="00A00187">
        <w:t>vyřídit</w:t>
      </w:r>
      <w:proofErr w:type="spellEnd"/>
      <w:r w:rsidR="00BC1A79" w:rsidRPr="00A00187">
        <w:t xml:space="preserve"> všechny nevyřízené věci z minulého období </w:t>
      </w:r>
      <w:r w:rsidR="000700B6" w:rsidRPr="00A00187">
        <w:t>– soudy by tedy pracovaly více než třetinu roku 2022 pouze na vyřizování nedodělků</w:t>
      </w:r>
      <w:r w:rsidR="00BC1A79" w:rsidRPr="00A00187">
        <w:t>. S</w:t>
      </w:r>
      <w:r w:rsidRPr="00A00187">
        <w:t xml:space="preserve"> ohledem na definici ukazatele a konstrukci výpočetního vzorce, </w:t>
      </w:r>
      <w:r w:rsidR="000700B6" w:rsidRPr="00A00187">
        <w:t>je také možn</w:t>
      </w:r>
      <w:r w:rsidR="001C7C42" w:rsidRPr="00A00187">
        <w:t>á interpretace</w:t>
      </w:r>
      <w:r w:rsidR="000700B6" w:rsidRPr="00A00187">
        <w:t xml:space="preserve">, </w:t>
      </w:r>
      <w:r w:rsidRPr="00A00187">
        <w:t xml:space="preserve">že v roce </w:t>
      </w:r>
      <w:r w:rsidR="008F6DD3" w:rsidRPr="00A00187">
        <w:t xml:space="preserve">2021 </w:t>
      </w:r>
      <w:r w:rsidRPr="00A00187">
        <w:t xml:space="preserve">Česká republika vykazuje </w:t>
      </w:r>
      <w:r w:rsidR="00F800FE" w:rsidRPr="00A00187">
        <w:t>36</w:t>
      </w:r>
      <w:r w:rsidRPr="00A00187">
        <w:t>,</w:t>
      </w:r>
      <w:r w:rsidR="00F800FE" w:rsidRPr="00A00187">
        <w:t>7</w:t>
      </w:r>
      <w:r w:rsidRPr="00A00187">
        <w:t xml:space="preserve"> nevyřízených věcí na 100 vyřízených ([1</w:t>
      </w:r>
      <w:r w:rsidR="00F800FE" w:rsidRPr="00A00187">
        <w:t>34</w:t>
      </w:r>
      <w:r w:rsidRPr="00A00187">
        <w:t xml:space="preserve"> × 100]/365). Pokud by hodnota byla vyšší než 365, soud by měl více nevyřízených než vyřízených věcí.</w:t>
      </w:r>
    </w:p>
    <w:p w14:paraId="09A7F31A" w14:textId="581B630C" w:rsidR="000306D3" w:rsidRPr="00A00187" w:rsidRDefault="000306D3" w:rsidP="000306D3">
      <w:pPr>
        <w:pStyle w:val="OdstavecASR"/>
      </w:pPr>
      <w:r w:rsidRPr="00A00187">
        <w:t xml:space="preserve">Oba ukazatele tak mají poměrně dobrou vypovídající hodnotu o vyřizování věcí u soudů, ale každý vypovídá o jiném aspektu </w:t>
      </w:r>
      <w:r w:rsidR="00BC1A79" w:rsidRPr="00A00187">
        <w:t>takového porovnání</w:t>
      </w:r>
      <w:r w:rsidRPr="00A00187">
        <w:t>. Srovnání grafů </w:t>
      </w:r>
      <w:r w:rsidR="001629FF" w:rsidRPr="00A00187">
        <w:t>10</w:t>
      </w:r>
      <w:r w:rsidRPr="00A00187">
        <w:t xml:space="preserve"> a </w:t>
      </w:r>
      <w:r w:rsidR="001629FF" w:rsidRPr="00A00187">
        <w:t>12</w:t>
      </w:r>
      <w:r w:rsidRPr="00A00187">
        <w:t xml:space="preserve"> ukazuje, že výsledky jednotlivých soudů v obou ukazatelích se mírně liší.</w:t>
      </w:r>
    </w:p>
    <w:p w14:paraId="0B25D1FD" w14:textId="5A785313" w:rsidR="000306D3" w:rsidRPr="00A00187" w:rsidRDefault="000306D3" w:rsidP="000306D3">
      <w:pPr>
        <w:pStyle w:val="Podnadpis"/>
        <w:rPr>
          <w:color w:val="auto"/>
        </w:rPr>
      </w:pPr>
      <w:bookmarkStart w:id="175" w:name="_Toc515871340"/>
      <w:bookmarkStart w:id="176" w:name="_Toc11135075"/>
      <w:bookmarkStart w:id="177" w:name="_Toc43841392"/>
      <w:bookmarkStart w:id="178" w:name="_Toc75952193"/>
      <w:bookmarkStart w:id="179" w:name="_Toc106106646"/>
      <w:bookmarkStart w:id="180" w:name="_Toc109801970"/>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12</w:t>
      </w:r>
      <w:r w:rsidRPr="00A00187">
        <w:rPr>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civilního řízení v letech 2008–20</w:t>
      </w:r>
      <w:bookmarkEnd w:id="175"/>
      <w:bookmarkEnd w:id="176"/>
      <w:bookmarkEnd w:id="177"/>
      <w:r w:rsidRPr="00A00187">
        <w:rPr>
          <w:color w:val="auto"/>
        </w:rPr>
        <w:t>2</w:t>
      </w:r>
      <w:bookmarkEnd w:id="178"/>
      <w:r w:rsidR="00F800FE" w:rsidRPr="00A00187">
        <w:rPr>
          <w:color w:val="auto"/>
        </w:rPr>
        <w:t>1</w:t>
      </w:r>
      <w:bookmarkEnd w:id="179"/>
      <w:bookmarkEnd w:id="180"/>
    </w:p>
    <w:p w14:paraId="771078A2" w14:textId="4A1E0070" w:rsidR="00947E16" w:rsidRPr="00A00187" w:rsidRDefault="00F800FE" w:rsidP="005D2009">
      <w:r w:rsidRPr="00A00187">
        <w:rPr>
          <w:noProof/>
        </w:rPr>
        <w:drawing>
          <wp:inline distT="0" distB="0" distL="0" distR="0" wp14:anchorId="2B0245FD" wp14:editId="6C3BB866">
            <wp:extent cx="5029200" cy="365760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DF78259" w14:textId="132A7AF9" w:rsidR="00DD2BC1" w:rsidRPr="00A00187" w:rsidRDefault="00DD2BC1" w:rsidP="00DD2BC1">
      <w:pPr>
        <w:pStyle w:val="OdstavecASR"/>
        <w:rPr>
          <w:szCs w:val="24"/>
        </w:rPr>
      </w:pPr>
      <w:proofErr w:type="spellStart"/>
      <w:r w:rsidRPr="00A00187">
        <w:rPr>
          <w:szCs w:val="24"/>
        </w:rPr>
        <w:t>Disposition</w:t>
      </w:r>
      <w:proofErr w:type="spellEnd"/>
      <w:r w:rsidRPr="00A00187">
        <w:rPr>
          <w:szCs w:val="24"/>
        </w:rPr>
        <w:t xml:space="preserve"> </w:t>
      </w:r>
      <w:proofErr w:type="spellStart"/>
      <w:r w:rsidRPr="00A00187">
        <w:rPr>
          <w:szCs w:val="24"/>
        </w:rPr>
        <w:t>time</w:t>
      </w:r>
      <w:proofErr w:type="spellEnd"/>
      <w:r w:rsidRPr="00A00187">
        <w:rPr>
          <w:szCs w:val="24"/>
        </w:rPr>
        <w:t xml:space="preserve"> je samozřejmě silně ovlivněn změnami v nápadu a v počtu vyřízených věcí. Tyto změny jsou okomentovány v podkapitole 2.2.2. Celkově </w:t>
      </w:r>
      <w:r w:rsidRPr="00A00187">
        <w:t>se dá</w:t>
      </w:r>
      <w:r w:rsidRPr="00A00187">
        <w:rPr>
          <w:szCs w:val="24"/>
        </w:rPr>
        <w:t xml:space="preserve"> konstatovat, že v letech 2009 až 2013 DT prudce rostl a v letech 2014 až 2019 pozvolna klesal. V roce 2020 ale došlo k prudkému nárůstu DT o </w:t>
      </w:r>
      <w:r w:rsidR="007C3687" w:rsidRPr="00A00187">
        <w:rPr>
          <w:szCs w:val="24"/>
        </w:rPr>
        <w:t xml:space="preserve">25 </w:t>
      </w:r>
      <w:r w:rsidRPr="00A00187">
        <w:rPr>
          <w:szCs w:val="24"/>
        </w:rPr>
        <w:t>(+19</w:t>
      </w:r>
      <w:r w:rsidR="00CB570A">
        <w:rPr>
          <w:szCs w:val="24"/>
        </w:rPr>
        <w:t> %</w:t>
      </w:r>
      <w:r w:rsidRPr="00A00187">
        <w:rPr>
          <w:szCs w:val="24"/>
        </w:rPr>
        <w:t xml:space="preserve">). To plyne z toho, že klesl počet vyřízených věcí a zároveň vzrostl počet věcí nevyřízených. Při detailnějším pohledu je důležitý pokles DT v letech 2014–2016, a to i přes klesající nápad a počet vyřízených věcí. </w:t>
      </w:r>
      <w:r w:rsidR="0052721A" w:rsidRPr="00A00187">
        <w:rPr>
          <w:szCs w:val="24"/>
        </w:rPr>
        <w:t xml:space="preserve">V roce 2021 DT opět klesl na </w:t>
      </w:r>
      <w:r w:rsidR="002A36BC" w:rsidRPr="00A00187">
        <w:rPr>
          <w:szCs w:val="24"/>
        </w:rPr>
        <w:t xml:space="preserve">134, tedy stejnou hodnotu, </w:t>
      </w:r>
      <w:r w:rsidR="002A36BC" w:rsidRPr="00A00187">
        <w:rPr>
          <w:szCs w:val="24"/>
        </w:rPr>
        <w:lastRenderedPageBreak/>
        <w:t xml:space="preserve">jaké dosáhl v roce 2019, což je zapříčiněno nárůstem v počtu vyřízených věcí za stejného nápadu – </w:t>
      </w:r>
      <w:r w:rsidR="000511EF" w:rsidRPr="00A00187">
        <w:t xml:space="preserve">tato kombinace faktorů vedla </w:t>
      </w:r>
      <w:r w:rsidR="002A36BC" w:rsidRPr="00A00187">
        <w:rPr>
          <w:szCs w:val="24"/>
        </w:rPr>
        <w:t>k poklesu v počtu nevyřízených věcí.</w:t>
      </w:r>
    </w:p>
    <w:p w14:paraId="1B509DE0" w14:textId="24037D82" w:rsidR="00DD2BC1" w:rsidRPr="00A00187" w:rsidRDefault="00DD2BC1" w:rsidP="00DD2BC1">
      <w:pPr>
        <w:pStyle w:val="OdstavecASR"/>
      </w:pPr>
      <w:r w:rsidRPr="00A00187">
        <w:t>Následující tabulka a graf opět ukazují srovnání mezi kraji a jednotlivými soudy v roce 2021.</w:t>
      </w:r>
    </w:p>
    <w:p w14:paraId="0B00345D" w14:textId="2B2D1A16" w:rsidR="00A712CC" w:rsidRPr="00A00187" w:rsidRDefault="00A712CC" w:rsidP="00A712CC">
      <w:pPr>
        <w:pStyle w:val="Podnadpis"/>
        <w:rPr>
          <w:color w:val="auto"/>
        </w:rPr>
      </w:pPr>
      <w:bookmarkStart w:id="181" w:name="_Toc75952316"/>
      <w:bookmarkStart w:id="182" w:name="_Toc106106775"/>
      <w:bookmarkStart w:id="183" w:name="_Toc109802098"/>
      <w:r w:rsidRPr="00A00187">
        <w:rPr>
          <w:color w:val="auto"/>
        </w:rPr>
        <w:t xml:space="preserve">Tabulka </w:t>
      </w:r>
      <w:r w:rsidRPr="00A00187">
        <w:rPr>
          <w:color w:val="auto"/>
        </w:rPr>
        <w:fldChar w:fldCharType="begin"/>
      </w:r>
      <w:r w:rsidRPr="00A00187">
        <w:rPr>
          <w:noProof/>
          <w:color w:val="auto"/>
        </w:rPr>
        <w:instrText xml:space="preserve"> SEQ Tabulka \* ARABIC </w:instrText>
      </w:r>
      <w:r w:rsidRPr="00A00187">
        <w:rPr>
          <w:color w:val="auto"/>
        </w:rPr>
        <w:fldChar w:fldCharType="separate"/>
      </w:r>
      <w:r w:rsidR="00DE6B5E">
        <w:rPr>
          <w:noProof/>
          <w:color w:val="auto"/>
        </w:rPr>
        <w:t>13</w:t>
      </w:r>
      <w:r w:rsidRPr="00A00187">
        <w:rPr>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v civilním řízení dle krajů</w:t>
      </w:r>
      <w:bookmarkEnd w:id="181"/>
      <w:bookmarkEnd w:id="182"/>
      <w:bookmarkEnd w:id="183"/>
    </w:p>
    <w:tbl>
      <w:tblPr>
        <w:tblW w:w="5052" w:type="dxa"/>
        <w:tblCellMar>
          <w:left w:w="70" w:type="dxa"/>
          <w:right w:w="70" w:type="dxa"/>
        </w:tblCellMar>
        <w:tblLook w:val="04A0" w:firstRow="1" w:lastRow="0" w:firstColumn="1" w:lastColumn="0" w:noHBand="0" w:noVBand="1"/>
      </w:tblPr>
      <w:tblGrid>
        <w:gridCol w:w="2796"/>
        <w:gridCol w:w="1173"/>
        <w:gridCol w:w="1083"/>
      </w:tblGrid>
      <w:tr w:rsidR="00AC1E67" w:rsidRPr="00A00187" w14:paraId="6F4E299C" w14:textId="77777777" w:rsidTr="00A712CC">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1D71C12D" w14:textId="77777777" w:rsidR="00A712CC" w:rsidRPr="00A00187" w:rsidRDefault="00A712CC" w:rsidP="00A712CC">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2256" w:type="dxa"/>
            <w:gridSpan w:val="2"/>
            <w:tcBorders>
              <w:top w:val="double" w:sz="6" w:space="0" w:color="auto"/>
              <w:left w:val="nil"/>
              <w:bottom w:val="double" w:sz="6" w:space="0" w:color="auto"/>
              <w:right w:val="nil"/>
            </w:tcBorders>
            <w:shd w:val="clear" w:color="auto" w:fill="auto"/>
            <w:noWrap/>
            <w:vAlign w:val="center"/>
            <w:hideMark/>
          </w:tcPr>
          <w:p w14:paraId="300C9F75" w14:textId="77777777" w:rsidR="00A712CC" w:rsidRPr="00A00187" w:rsidRDefault="00A712CC" w:rsidP="00A712CC">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6F3D9176" w14:textId="77777777" w:rsidTr="00647F65">
        <w:trPr>
          <w:trHeight w:val="330"/>
        </w:trPr>
        <w:tc>
          <w:tcPr>
            <w:tcW w:w="2796" w:type="dxa"/>
            <w:tcBorders>
              <w:top w:val="nil"/>
              <w:left w:val="nil"/>
              <w:bottom w:val="single" w:sz="4" w:space="0" w:color="auto"/>
              <w:right w:val="nil"/>
            </w:tcBorders>
            <w:shd w:val="clear" w:color="auto" w:fill="auto"/>
            <w:noWrap/>
            <w:vAlign w:val="bottom"/>
            <w:hideMark/>
          </w:tcPr>
          <w:p w14:paraId="249F4B45"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MS Praha</w:t>
            </w:r>
          </w:p>
        </w:tc>
        <w:tc>
          <w:tcPr>
            <w:tcW w:w="1173" w:type="dxa"/>
            <w:tcBorders>
              <w:top w:val="nil"/>
              <w:left w:val="nil"/>
              <w:bottom w:val="single" w:sz="4" w:space="0" w:color="auto"/>
              <w:right w:val="nil"/>
            </w:tcBorders>
            <w:shd w:val="clear" w:color="auto" w:fill="auto"/>
            <w:noWrap/>
            <w:vAlign w:val="bottom"/>
            <w:hideMark/>
          </w:tcPr>
          <w:p w14:paraId="0E176AD0"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163</w:t>
            </w:r>
          </w:p>
        </w:tc>
        <w:tc>
          <w:tcPr>
            <w:tcW w:w="1083" w:type="dxa"/>
            <w:tcBorders>
              <w:top w:val="single" w:sz="4" w:space="0" w:color="auto"/>
              <w:left w:val="nil"/>
              <w:bottom w:val="single" w:sz="4" w:space="0" w:color="auto"/>
              <w:right w:val="nil"/>
            </w:tcBorders>
            <w:shd w:val="clear" w:color="auto" w:fill="auto"/>
            <w:noWrap/>
            <w:vAlign w:val="center"/>
            <w:hideMark/>
          </w:tcPr>
          <w:p w14:paraId="336971C0" w14:textId="37311836"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r>
      <w:tr w:rsidR="00AC1E67" w:rsidRPr="00A00187" w14:paraId="690E6B8C" w14:textId="77777777" w:rsidTr="00647F65">
        <w:trPr>
          <w:trHeight w:val="315"/>
        </w:trPr>
        <w:tc>
          <w:tcPr>
            <w:tcW w:w="2796" w:type="dxa"/>
            <w:tcBorders>
              <w:top w:val="nil"/>
              <w:left w:val="nil"/>
              <w:bottom w:val="single" w:sz="4" w:space="0" w:color="auto"/>
              <w:right w:val="nil"/>
            </w:tcBorders>
            <w:shd w:val="clear" w:color="auto" w:fill="auto"/>
            <w:noWrap/>
            <w:vAlign w:val="bottom"/>
            <w:hideMark/>
          </w:tcPr>
          <w:p w14:paraId="28025D58"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KS Praha</w:t>
            </w:r>
          </w:p>
        </w:tc>
        <w:tc>
          <w:tcPr>
            <w:tcW w:w="1173" w:type="dxa"/>
            <w:tcBorders>
              <w:top w:val="nil"/>
              <w:left w:val="nil"/>
              <w:bottom w:val="single" w:sz="4" w:space="0" w:color="auto"/>
              <w:right w:val="nil"/>
            </w:tcBorders>
            <w:shd w:val="clear" w:color="auto" w:fill="auto"/>
            <w:noWrap/>
            <w:vAlign w:val="bottom"/>
            <w:hideMark/>
          </w:tcPr>
          <w:p w14:paraId="7DC3CE02"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89</w:t>
            </w:r>
          </w:p>
        </w:tc>
        <w:tc>
          <w:tcPr>
            <w:tcW w:w="1083" w:type="dxa"/>
            <w:tcBorders>
              <w:top w:val="nil"/>
              <w:left w:val="nil"/>
              <w:bottom w:val="single" w:sz="4" w:space="0" w:color="auto"/>
              <w:right w:val="nil"/>
            </w:tcBorders>
            <w:shd w:val="clear" w:color="auto" w:fill="auto"/>
            <w:noWrap/>
            <w:vAlign w:val="center"/>
            <w:hideMark/>
          </w:tcPr>
          <w:p w14:paraId="5BC32926" w14:textId="717A9200"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r>
      <w:tr w:rsidR="00AC1E67" w:rsidRPr="00A00187" w14:paraId="50D77350" w14:textId="77777777" w:rsidTr="00647F65">
        <w:trPr>
          <w:trHeight w:val="315"/>
        </w:trPr>
        <w:tc>
          <w:tcPr>
            <w:tcW w:w="2796" w:type="dxa"/>
            <w:tcBorders>
              <w:top w:val="nil"/>
              <w:left w:val="nil"/>
              <w:bottom w:val="single" w:sz="4" w:space="0" w:color="auto"/>
              <w:right w:val="nil"/>
            </w:tcBorders>
            <w:shd w:val="clear" w:color="auto" w:fill="auto"/>
            <w:noWrap/>
            <w:vAlign w:val="bottom"/>
            <w:hideMark/>
          </w:tcPr>
          <w:p w14:paraId="6940C468"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KS Č. Budějovice</w:t>
            </w:r>
          </w:p>
        </w:tc>
        <w:tc>
          <w:tcPr>
            <w:tcW w:w="1173" w:type="dxa"/>
            <w:tcBorders>
              <w:top w:val="nil"/>
              <w:left w:val="nil"/>
              <w:bottom w:val="single" w:sz="4" w:space="0" w:color="auto"/>
              <w:right w:val="nil"/>
            </w:tcBorders>
            <w:shd w:val="clear" w:color="auto" w:fill="auto"/>
            <w:noWrap/>
            <w:vAlign w:val="bottom"/>
            <w:hideMark/>
          </w:tcPr>
          <w:p w14:paraId="74BBAEDB"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74</w:t>
            </w:r>
          </w:p>
        </w:tc>
        <w:tc>
          <w:tcPr>
            <w:tcW w:w="1083" w:type="dxa"/>
            <w:tcBorders>
              <w:top w:val="nil"/>
              <w:left w:val="nil"/>
              <w:bottom w:val="single" w:sz="4" w:space="0" w:color="auto"/>
              <w:right w:val="nil"/>
            </w:tcBorders>
            <w:shd w:val="clear" w:color="auto" w:fill="auto"/>
            <w:noWrap/>
            <w:vAlign w:val="center"/>
            <w:hideMark/>
          </w:tcPr>
          <w:p w14:paraId="5F300908" w14:textId="064007A9"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r>
      <w:tr w:rsidR="00AC1E67" w:rsidRPr="00A00187" w14:paraId="5ADDA9E3" w14:textId="77777777" w:rsidTr="00647F65">
        <w:trPr>
          <w:trHeight w:val="315"/>
        </w:trPr>
        <w:tc>
          <w:tcPr>
            <w:tcW w:w="2796" w:type="dxa"/>
            <w:tcBorders>
              <w:top w:val="nil"/>
              <w:left w:val="nil"/>
              <w:bottom w:val="single" w:sz="4" w:space="0" w:color="auto"/>
              <w:right w:val="nil"/>
            </w:tcBorders>
            <w:shd w:val="clear" w:color="auto" w:fill="auto"/>
            <w:noWrap/>
            <w:vAlign w:val="bottom"/>
            <w:hideMark/>
          </w:tcPr>
          <w:p w14:paraId="746FA41E"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KS Plzeň</w:t>
            </w:r>
          </w:p>
        </w:tc>
        <w:tc>
          <w:tcPr>
            <w:tcW w:w="1173" w:type="dxa"/>
            <w:tcBorders>
              <w:top w:val="nil"/>
              <w:left w:val="nil"/>
              <w:bottom w:val="single" w:sz="4" w:space="0" w:color="auto"/>
              <w:right w:val="nil"/>
            </w:tcBorders>
            <w:shd w:val="clear" w:color="auto" w:fill="auto"/>
            <w:noWrap/>
            <w:vAlign w:val="bottom"/>
            <w:hideMark/>
          </w:tcPr>
          <w:p w14:paraId="79F80DDA"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111</w:t>
            </w:r>
          </w:p>
        </w:tc>
        <w:tc>
          <w:tcPr>
            <w:tcW w:w="1083" w:type="dxa"/>
            <w:tcBorders>
              <w:top w:val="nil"/>
              <w:left w:val="nil"/>
              <w:bottom w:val="single" w:sz="4" w:space="0" w:color="auto"/>
              <w:right w:val="nil"/>
            </w:tcBorders>
            <w:shd w:val="clear" w:color="auto" w:fill="auto"/>
            <w:noWrap/>
            <w:vAlign w:val="center"/>
            <w:hideMark/>
          </w:tcPr>
          <w:p w14:paraId="3C38673F" w14:textId="61728308"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706E953F" w14:textId="77777777" w:rsidTr="00647F65">
        <w:trPr>
          <w:trHeight w:val="315"/>
        </w:trPr>
        <w:tc>
          <w:tcPr>
            <w:tcW w:w="2796" w:type="dxa"/>
            <w:tcBorders>
              <w:top w:val="nil"/>
              <w:left w:val="nil"/>
              <w:bottom w:val="single" w:sz="4" w:space="0" w:color="auto"/>
              <w:right w:val="nil"/>
            </w:tcBorders>
            <w:shd w:val="clear" w:color="auto" w:fill="auto"/>
            <w:noWrap/>
            <w:vAlign w:val="bottom"/>
            <w:hideMark/>
          </w:tcPr>
          <w:p w14:paraId="04CB46AE"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KS Ústí n. Labem</w:t>
            </w:r>
          </w:p>
        </w:tc>
        <w:tc>
          <w:tcPr>
            <w:tcW w:w="1173" w:type="dxa"/>
            <w:tcBorders>
              <w:top w:val="nil"/>
              <w:left w:val="nil"/>
              <w:bottom w:val="single" w:sz="4" w:space="0" w:color="auto"/>
              <w:right w:val="nil"/>
            </w:tcBorders>
            <w:shd w:val="clear" w:color="auto" w:fill="auto"/>
            <w:noWrap/>
            <w:vAlign w:val="bottom"/>
            <w:hideMark/>
          </w:tcPr>
          <w:p w14:paraId="05633331"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131</w:t>
            </w:r>
          </w:p>
        </w:tc>
        <w:tc>
          <w:tcPr>
            <w:tcW w:w="1083" w:type="dxa"/>
            <w:tcBorders>
              <w:top w:val="nil"/>
              <w:left w:val="nil"/>
              <w:bottom w:val="single" w:sz="4" w:space="0" w:color="auto"/>
              <w:right w:val="nil"/>
            </w:tcBorders>
            <w:shd w:val="clear" w:color="auto" w:fill="auto"/>
            <w:noWrap/>
            <w:vAlign w:val="center"/>
            <w:hideMark/>
          </w:tcPr>
          <w:p w14:paraId="49AF9832" w14:textId="0119C34B"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r>
      <w:tr w:rsidR="00AC1E67" w:rsidRPr="00A00187" w14:paraId="4F232A58" w14:textId="77777777" w:rsidTr="00647F65">
        <w:trPr>
          <w:trHeight w:val="315"/>
        </w:trPr>
        <w:tc>
          <w:tcPr>
            <w:tcW w:w="2796" w:type="dxa"/>
            <w:tcBorders>
              <w:top w:val="nil"/>
              <w:left w:val="nil"/>
              <w:bottom w:val="single" w:sz="4" w:space="0" w:color="auto"/>
              <w:right w:val="nil"/>
            </w:tcBorders>
            <w:shd w:val="clear" w:color="auto" w:fill="auto"/>
            <w:noWrap/>
            <w:vAlign w:val="bottom"/>
            <w:hideMark/>
          </w:tcPr>
          <w:p w14:paraId="5D607EFB"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KS Hr. Králové</w:t>
            </w:r>
          </w:p>
        </w:tc>
        <w:tc>
          <w:tcPr>
            <w:tcW w:w="1173" w:type="dxa"/>
            <w:tcBorders>
              <w:top w:val="nil"/>
              <w:left w:val="nil"/>
              <w:bottom w:val="single" w:sz="4" w:space="0" w:color="auto"/>
              <w:right w:val="nil"/>
            </w:tcBorders>
            <w:shd w:val="clear" w:color="auto" w:fill="auto"/>
            <w:noWrap/>
            <w:vAlign w:val="bottom"/>
            <w:hideMark/>
          </w:tcPr>
          <w:p w14:paraId="59F44F01"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111</w:t>
            </w:r>
          </w:p>
        </w:tc>
        <w:tc>
          <w:tcPr>
            <w:tcW w:w="1083" w:type="dxa"/>
            <w:tcBorders>
              <w:top w:val="nil"/>
              <w:left w:val="nil"/>
              <w:bottom w:val="single" w:sz="4" w:space="0" w:color="auto"/>
              <w:right w:val="nil"/>
            </w:tcBorders>
            <w:shd w:val="clear" w:color="auto" w:fill="auto"/>
            <w:noWrap/>
            <w:vAlign w:val="center"/>
            <w:hideMark/>
          </w:tcPr>
          <w:p w14:paraId="0C87C1D1" w14:textId="5465D19D"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45D402E7" w14:textId="77777777" w:rsidTr="00647F65">
        <w:trPr>
          <w:trHeight w:val="315"/>
        </w:trPr>
        <w:tc>
          <w:tcPr>
            <w:tcW w:w="2796" w:type="dxa"/>
            <w:tcBorders>
              <w:top w:val="nil"/>
              <w:left w:val="nil"/>
              <w:bottom w:val="single" w:sz="4" w:space="0" w:color="auto"/>
              <w:right w:val="nil"/>
            </w:tcBorders>
            <w:shd w:val="clear" w:color="auto" w:fill="auto"/>
            <w:noWrap/>
            <w:vAlign w:val="bottom"/>
            <w:hideMark/>
          </w:tcPr>
          <w:p w14:paraId="131C4D62"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KS Brno</w:t>
            </w:r>
          </w:p>
        </w:tc>
        <w:tc>
          <w:tcPr>
            <w:tcW w:w="1173" w:type="dxa"/>
            <w:tcBorders>
              <w:top w:val="nil"/>
              <w:left w:val="nil"/>
              <w:bottom w:val="single" w:sz="4" w:space="0" w:color="auto"/>
              <w:right w:val="nil"/>
            </w:tcBorders>
            <w:shd w:val="clear" w:color="auto" w:fill="auto"/>
            <w:noWrap/>
            <w:vAlign w:val="bottom"/>
            <w:hideMark/>
          </w:tcPr>
          <w:p w14:paraId="3FD17328"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172</w:t>
            </w:r>
          </w:p>
        </w:tc>
        <w:tc>
          <w:tcPr>
            <w:tcW w:w="1083" w:type="dxa"/>
            <w:tcBorders>
              <w:top w:val="nil"/>
              <w:left w:val="nil"/>
              <w:bottom w:val="single" w:sz="4" w:space="0" w:color="auto"/>
              <w:right w:val="nil"/>
            </w:tcBorders>
            <w:shd w:val="clear" w:color="auto" w:fill="auto"/>
            <w:noWrap/>
            <w:vAlign w:val="center"/>
            <w:hideMark/>
          </w:tcPr>
          <w:p w14:paraId="613B951A" w14:textId="612744CF"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5D7355A4" w14:textId="77777777" w:rsidTr="00647F65">
        <w:trPr>
          <w:trHeight w:val="330"/>
        </w:trPr>
        <w:tc>
          <w:tcPr>
            <w:tcW w:w="2796" w:type="dxa"/>
            <w:tcBorders>
              <w:top w:val="nil"/>
              <w:left w:val="nil"/>
              <w:bottom w:val="double" w:sz="6" w:space="0" w:color="auto"/>
              <w:right w:val="nil"/>
            </w:tcBorders>
            <w:shd w:val="clear" w:color="auto" w:fill="auto"/>
            <w:noWrap/>
            <w:vAlign w:val="bottom"/>
            <w:hideMark/>
          </w:tcPr>
          <w:p w14:paraId="71802671" w14:textId="77777777" w:rsidR="00A712CC" w:rsidRPr="00A00187" w:rsidRDefault="00A712CC" w:rsidP="00A712CC">
            <w:pPr>
              <w:spacing w:line="240" w:lineRule="auto"/>
              <w:jc w:val="left"/>
              <w:rPr>
                <w:rFonts w:eastAsia="Times New Roman"/>
                <w:szCs w:val="24"/>
                <w:lang w:eastAsia="cs-CZ"/>
              </w:rPr>
            </w:pPr>
            <w:r w:rsidRPr="00A00187">
              <w:rPr>
                <w:rFonts w:eastAsia="Times New Roman"/>
                <w:szCs w:val="24"/>
                <w:lang w:eastAsia="cs-CZ"/>
              </w:rPr>
              <w:t>KS Ostrava</w:t>
            </w:r>
          </w:p>
        </w:tc>
        <w:tc>
          <w:tcPr>
            <w:tcW w:w="1173" w:type="dxa"/>
            <w:tcBorders>
              <w:top w:val="nil"/>
              <w:left w:val="nil"/>
              <w:bottom w:val="double" w:sz="6" w:space="0" w:color="auto"/>
              <w:right w:val="nil"/>
            </w:tcBorders>
            <w:shd w:val="clear" w:color="auto" w:fill="auto"/>
            <w:noWrap/>
            <w:vAlign w:val="bottom"/>
            <w:hideMark/>
          </w:tcPr>
          <w:p w14:paraId="5C4FA4AD" w14:textId="77777777" w:rsidR="00A712CC" w:rsidRPr="00A00187" w:rsidRDefault="00A712CC" w:rsidP="00A712CC">
            <w:pPr>
              <w:spacing w:line="240" w:lineRule="auto"/>
              <w:jc w:val="center"/>
              <w:rPr>
                <w:rFonts w:eastAsia="Times New Roman"/>
                <w:szCs w:val="24"/>
                <w:lang w:eastAsia="cs-CZ"/>
              </w:rPr>
            </w:pPr>
            <w:r w:rsidRPr="00A00187">
              <w:rPr>
                <w:rFonts w:eastAsia="Times New Roman"/>
                <w:szCs w:val="24"/>
                <w:lang w:eastAsia="cs-CZ"/>
              </w:rPr>
              <w:t>141</w:t>
            </w:r>
          </w:p>
        </w:tc>
        <w:tc>
          <w:tcPr>
            <w:tcW w:w="1083" w:type="dxa"/>
            <w:tcBorders>
              <w:top w:val="nil"/>
              <w:left w:val="nil"/>
              <w:bottom w:val="double" w:sz="6" w:space="0" w:color="auto"/>
              <w:right w:val="nil"/>
            </w:tcBorders>
            <w:shd w:val="clear" w:color="auto" w:fill="auto"/>
            <w:noWrap/>
            <w:vAlign w:val="center"/>
            <w:hideMark/>
          </w:tcPr>
          <w:p w14:paraId="766D62C7" w14:textId="3A879729" w:rsidR="00A712CC" w:rsidRPr="00A00187" w:rsidRDefault="00A712CC" w:rsidP="009E4F5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348F0452" w14:textId="77777777" w:rsidTr="00647F65">
        <w:trPr>
          <w:trHeight w:val="345"/>
        </w:trPr>
        <w:tc>
          <w:tcPr>
            <w:tcW w:w="2796" w:type="dxa"/>
            <w:tcBorders>
              <w:top w:val="nil"/>
              <w:left w:val="nil"/>
              <w:bottom w:val="double" w:sz="6" w:space="0" w:color="auto"/>
              <w:right w:val="nil"/>
            </w:tcBorders>
            <w:shd w:val="clear" w:color="auto" w:fill="auto"/>
            <w:noWrap/>
            <w:vAlign w:val="bottom"/>
            <w:hideMark/>
          </w:tcPr>
          <w:p w14:paraId="2CA95D68" w14:textId="77777777" w:rsidR="00A712CC" w:rsidRPr="00A00187" w:rsidRDefault="00A712CC" w:rsidP="00A712CC">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73" w:type="dxa"/>
            <w:tcBorders>
              <w:top w:val="nil"/>
              <w:left w:val="nil"/>
              <w:bottom w:val="double" w:sz="6" w:space="0" w:color="auto"/>
              <w:right w:val="nil"/>
            </w:tcBorders>
            <w:shd w:val="clear" w:color="auto" w:fill="auto"/>
            <w:noWrap/>
            <w:vAlign w:val="bottom"/>
            <w:hideMark/>
          </w:tcPr>
          <w:p w14:paraId="787116AD" w14:textId="77777777" w:rsidR="00A712CC" w:rsidRPr="00A00187" w:rsidRDefault="00A712CC" w:rsidP="00A712CC">
            <w:pPr>
              <w:spacing w:line="240" w:lineRule="auto"/>
              <w:jc w:val="center"/>
              <w:rPr>
                <w:rFonts w:eastAsia="Times New Roman"/>
                <w:b/>
                <w:bCs/>
                <w:szCs w:val="24"/>
                <w:lang w:eastAsia="cs-CZ"/>
              </w:rPr>
            </w:pPr>
            <w:r w:rsidRPr="00A00187">
              <w:rPr>
                <w:rFonts w:eastAsia="Times New Roman"/>
                <w:b/>
                <w:bCs/>
                <w:szCs w:val="24"/>
                <w:lang w:eastAsia="cs-CZ"/>
              </w:rPr>
              <w:t>134</w:t>
            </w:r>
          </w:p>
        </w:tc>
        <w:tc>
          <w:tcPr>
            <w:tcW w:w="1083" w:type="dxa"/>
            <w:tcBorders>
              <w:top w:val="nil"/>
              <w:left w:val="nil"/>
              <w:bottom w:val="double" w:sz="6" w:space="0" w:color="auto"/>
              <w:right w:val="nil"/>
            </w:tcBorders>
            <w:shd w:val="clear" w:color="auto" w:fill="auto"/>
            <w:noWrap/>
            <w:vAlign w:val="center"/>
            <w:hideMark/>
          </w:tcPr>
          <w:p w14:paraId="257FD805" w14:textId="7EBED130" w:rsidR="00A712CC" w:rsidRPr="00A00187" w:rsidRDefault="00A712CC"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r>
      <w:tr w:rsidR="00AC1E67" w:rsidRPr="00A00187" w14:paraId="4669710B" w14:textId="77777777" w:rsidTr="00647F65">
        <w:trPr>
          <w:trHeight w:val="330"/>
        </w:trPr>
        <w:tc>
          <w:tcPr>
            <w:tcW w:w="2796" w:type="dxa"/>
            <w:tcBorders>
              <w:top w:val="nil"/>
              <w:left w:val="nil"/>
              <w:bottom w:val="nil"/>
              <w:right w:val="nil"/>
            </w:tcBorders>
            <w:shd w:val="clear" w:color="auto" w:fill="auto"/>
            <w:noWrap/>
            <w:vAlign w:val="bottom"/>
            <w:hideMark/>
          </w:tcPr>
          <w:p w14:paraId="6DA582B8" w14:textId="77777777" w:rsidR="00A712CC" w:rsidRPr="00A00187" w:rsidRDefault="00A712CC" w:rsidP="00A712CC">
            <w:pPr>
              <w:spacing w:line="240" w:lineRule="auto"/>
              <w:jc w:val="right"/>
              <w:rPr>
                <w:rFonts w:eastAsia="Times New Roman"/>
                <w:b/>
                <w:bCs/>
                <w:sz w:val="20"/>
                <w:szCs w:val="20"/>
                <w:lang w:eastAsia="cs-CZ"/>
              </w:rPr>
            </w:pPr>
          </w:p>
        </w:tc>
        <w:tc>
          <w:tcPr>
            <w:tcW w:w="1173" w:type="dxa"/>
            <w:tcBorders>
              <w:top w:val="nil"/>
              <w:left w:val="nil"/>
              <w:bottom w:val="nil"/>
              <w:right w:val="nil"/>
            </w:tcBorders>
            <w:shd w:val="clear" w:color="auto" w:fill="auto"/>
            <w:noWrap/>
            <w:vAlign w:val="bottom"/>
            <w:hideMark/>
          </w:tcPr>
          <w:p w14:paraId="0194D13F" w14:textId="77777777" w:rsidR="00A712CC" w:rsidRPr="00A00187" w:rsidRDefault="00A712CC" w:rsidP="00A712CC">
            <w:pPr>
              <w:spacing w:line="240" w:lineRule="auto"/>
              <w:jc w:val="left"/>
              <w:rPr>
                <w:rFonts w:ascii="Times New Roman" w:eastAsia="Times New Roman" w:hAnsi="Times New Roman"/>
                <w:sz w:val="20"/>
                <w:szCs w:val="20"/>
                <w:lang w:eastAsia="cs-CZ"/>
              </w:rPr>
            </w:pPr>
          </w:p>
        </w:tc>
        <w:tc>
          <w:tcPr>
            <w:tcW w:w="1083" w:type="dxa"/>
            <w:tcBorders>
              <w:top w:val="nil"/>
              <w:left w:val="nil"/>
              <w:bottom w:val="nil"/>
              <w:right w:val="nil"/>
            </w:tcBorders>
            <w:shd w:val="clear" w:color="auto" w:fill="auto"/>
            <w:noWrap/>
            <w:vAlign w:val="bottom"/>
            <w:hideMark/>
          </w:tcPr>
          <w:p w14:paraId="452C0FDD" w14:textId="77777777" w:rsidR="00A712CC" w:rsidRPr="00A00187" w:rsidRDefault="00A712CC" w:rsidP="00A712CC">
            <w:pPr>
              <w:spacing w:line="240" w:lineRule="auto"/>
              <w:jc w:val="left"/>
              <w:rPr>
                <w:rFonts w:ascii="Times New Roman" w:eastAsia="Times New Roman" w:hAnsi="Times New Roman"/>
                <w:sz w:val="20"/>
                <w:szCs w:val="20"/>
                <w:lang w:eastAsia="cs-CZ"/>
              </w:rPr>
            </w:pPr>
          </w:p>
        </w:tc>
      </w:tr>
    </w:tbl>
    <w:p w14:paraId="7EBD08FE" w14:textId="20229FF6" w:rsidR="00A712CC" w:rsidRPr="00A00187" w:rsidRDefault="00A712CC" w:rsidP="00A712CC">
      <w:pPr>
        <w:pStyle w:val="OdstavecASR"/>
      </w:pPr>
      <w:r w:rsidRPr="00A00187">
        <w:t>Závěry jsou vcelku podobné jako u předchozích ukazatelů. DT klesl ve všech krajích (</w:t>
      </w:r>
      <w:r w:rsidR="009428CC" w:rsidRPr="00A00187">
        <w:t>v</w:t>
      </w:r>
      <w:r w:rsidR="00647F65" w:rsidRPr="00A00187">
        <w:t> </w:t>
      </w:r>
      <w:r w:rsidRPr="00A00187">
        <w:t>Severomoravském, který má míru vyřizování pod 100</w:t>
      </w:r>
      <w:r w:rsidR="00CB570A">
        <w:t> %</w:t>
      </w:r>
      <w:r w:rsidRPr="00A00187">
        <w:t>)</w:t>
      </w:r>
      <w:r w:rsidR="009428CC" w:rsidRPr="00A00187">
        <w:t>.</w:t>
      </w:r>
      <w:r w:rsidR="007C3687" w:rsidRPr="00A00187">
        <w:t xml:space="preserve"> </w:t>
      </w:r>
      <w:r w:rsidR="00726EC3" w:rsidRPr="00A00187">
        <w:t>K</w:t>
      </w:r>
      <w:r w:rsidR="00726EC3">
        <w:t> </w:t>
      </w:r>
      <w:r w:rsidR="000511EF" w:rsidRPr="00A00187">
        <w:t>n</w:t>
      </w:r>
      <w:r w:rsidRPr="00A00187">
        <w:t>ejv</w:t>
      </w:r>
      <w:r w:rsidR="00A40200" w:rsidRPr="00A00187">
        <w:t>ětší</w:t>
      </w:r>
      <w:r w:rsidR="000511EF" w:rsidRPr="00A00187">
        <w:t>mu</w:t>
      </w:r>
      <w:r w:rsidR="00A40200" w:rsidRPr="00A00187">
        <w:t xml:space="preserve"> pokles</w:t>
      </w:r>
      <w:r w:rsidR="000511EF" w:rsidRPr="00A00187">
        <w:t>u došlo</w:t>
      </w:r>
      <w:r w:rsidR="00A40200" w:rsidRPr="00A00187">
        <w:t xml:space="preserve"> </w:t>
      </w:r>
      <w:r w:rsidRPr="00A00187">
        <w:t>v Severočeském kraji.</w:t>
      </w:r>
    </w:p>
    <w:p w14:paraId="66E240D9" w14:textId="473E52E9" w:rsidR="00E647E4" w:rsidRPr="00A00187" w:rsidRDefault="00E647E4" w:rsidP="00E647E4">
      <w:pPr>
        <w:pStyle w:val="Podnadpis"/>
        <w:rPr>
          <w:color w:val="auto"/>
        </w:rPr>
      </w:pPr>
      <w:bookmarkStart w:id="184" w:name="_Toc515871341"/>
      <w:bookmarkStart w:id="185" w:name="_Toc11135076"/>
      <w:bookmarkStart w:id="186" w:name="_Toc43841393"/>
      <w:bookmarkStart w:id="187" w:name="_Toc75952194"/>
      <w:bookmarkStart w:id="188" w:name="_Toc106106647"/>
      <w:bookmarkStart w:id="189" w:name="_Toc109801971"/>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13</w:t>
      </w:r>
      <w:r w:rsidRPr="00A00187">
        <w:rPr>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civilního řízení u jednotlivých soudů</w:t>
      </w:r>
      <w:bookmarkEnd w:id="184"/>
      <w:bookmarkEnd w:id="185"/>
      <w:bookmarkEnd w:id="186"/>
      <w:bookmarkEnd w:id="187"/>
      <w:bookmarkEnd w:id="188"/>
      <w:bookmarkEnd w:id="189"/>
    </w:p>
    <w:p w14:paraId="16004DAB" w14:textId="233C1FE4" w:rsidR="005D2009" w:rsidRPr="00A00187" w:rsidRDefault="007C3687" w:rsidP="005D2009">
      <w:r w:rsidRPr="00A00187">
        <w:rPr>
          <w:noProof/>
        </w:rPr>
        <w:drawing>
          <wp:anchor distT="0" distB="0" distL="114300" distR="114300" simplePos="0" relativeHeight="251667456" behindDoc="0" locked="0" layoutInCell="1" allowOverlap="1" wp14:anchorId="7B71F5FC" wp14:editId="45971424">
            <wp:simplePos x="0" y="0"/>
            <wp:positionH relativeFrom="margin">
              <wp:align>right</wp:align>
            </wp:positionH>
            <wp:positionV relativeFrom="page">
              <wp:posOffset>5324475</wp:posOffset>
            </wp:positionV>
            <wp:extent cx="1238400" cy="900000"/>
            <wp:effectExtent l="0" t="0" r="0"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47E4" w:rsidRPr="00A00187">
        <w:rPr>
          <w:noProof/>
        </w:rPr>
        <w:drawing>
          <wp:inline distT="0" distB="0" distL="0" distR="0" wp14:anchorId="6AE342F3" wp14:editId="7AE94BF1">
            <wp:extent cx="5759450" cy="329628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9248A81" w14:textId="09E26AA2" w:rsidR="00A712CC" w:rsidRPr="00A00187" w:rsidRDefault="00A712CC" w:rsidP="005D2009"/>
    <w:p w14:paraId="4E216E64" w14:textId="7394CC3D" w:rsidR="00A712CC" w:rsidRPr="00A00187" w:rsidRDefault="00A712CC" w:rsidP="005D2009"/>
    <w:p w14:paraId="2E6C3F2A" w14:textId="09C0039B" w:rsidR="00A712CC" w:rsidRPr="00A00187" w:rsidRDefault="00A712CC" w:rsidP="005D2009"/>
    <w:p w14:paraId="26570084" w14:textId="72BB8C0F" w:rsidR="00A712CC" w:rsidRPr="00A00187" w:rsidRDefault="00A712CC" w:rsidP="005D2009"/>
    <w:p w14:paraId="1FF91FED" w14:textId="334A7FF8" w:rsidR="00A712CC" w:rsidRPr="00A00187" w:rsidRDefault="00A712CC" w:rsidP="005D2009"/>
    <w:p w14:paraId="618FFE5A" w14:textId="698E0B32" w:rsidR="00E647E4" w:rsidRPr="00A00187" w:rsidRDefault="002757C5" w:rsidP="002757C5">
      <w:pPr>
        <w:pStyle w:val="Podnadpis"/>
        <w:rPr>
          <w:color w:val="auto"/>
        </w:rPr>
      </w:pPr>
      <w:bookmarkStart w:id="190" w:name="_Toc43841394"/>
      <w:bookmarkStart w:id="191" w:name="_Toc75952195"/>
      <w:bookmarkStart w:id="192" w:name="_Toc106106648"/>
      <w:bookmarkStart w:id="193" w:name="_Toc109801972"/>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14</w:t>
      </w:r>
      <w:r w:rsidRPr="00A00187">
        <w:rPr>
          <w:color w:val="auto"/>
        </w:rPr>
        <w:fldChar w:fldCharType="end"/>
      </w:r>
      <w:r w:rsidRPr="00A00187">
        <w:rPr>
          <w:color w:val="auto"/>
        </w:rPr>
        <w:t>: OS – krabicové grafy, DT civilního řízení</w:t>
      </w:r>
      <w:bookmarkEnd w:id="190"/>
      <w:bookmarkEnd w:id="191"/>
      <w:bookmarkEnd w:id="192"/>
      <w:bookmarkEnd w:id="193"/>
    </w:p>
    <w:p w14:paraId="30B35465" w14:textId="470B56B5" w:rsidR="005D2009" w:rsidRPr="00A00187" w:rsidRDefault="00765EC1" w:rsidP="005D2009">
      <w:r w:rsidRPr="00A00187">
        <w:rPr>
          <w:noProof/>
        </w:rPr>
        <w:drawing>
          <wp:inline distT="0" distB="0" distL="0" distR="0" wp14:anchorId="7ACCAC8B" wp14:editId="1ACBC58C">
            <wp:extent cx="5029200" cy="3657600"/>
            <wp:effectExtent l="0" t="0" r="0" b="0"/>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CA14AD7" w14:textId="77777777" w:rsidR="00CB570A" w:rsidRDefault="002757C5" w:rsidP="002757C5">
      <w:r w:rsidRPr="00A00187">
        <w:t>Graf ukazuje to, co už víme z předchozích dat – situace se v roce 2020 celkově zhoršila, protože DT vzrostl. Nicméně variabilita mezi soudy se nezvýšila, neboť ke zhoršení došlo v rámci celé ČR.</w:t>
      </w:r>
    </w:p>
    <w:p w14:paraId="30249389" w14:textId="77777777" w:rsidR="00CB570A" w:rsidRDefault="00B40A84" w:rsidP="002757C5">
      <w:r w:rsidRPr="00A00187">
        <w:t xml:space="preserve">V roce 2021 vidíme opět zlepšení situace jako celku, protože celý box se přiblížil k ose </w:t>
      </w:r>
      <w:r w:rsidRPr="00A00187">
        <w:rPr>
          <w:i/>
        </w:rPr>
        <w:t>x</w:t>
      </w:r>
      <w:r w:rsidRPr="00A00187">
        <w:t>.</w:t>
      </w:r>
    </w:p>
    <w:p w14:paraId="49896689" w14:textId="6D55E493" w:rsidR="002757C5" w:rsidRPr="00A00187" w:rsidRDefault="002757C5" w:rsidP="002757C5">
      <w:pPr>
        <w:pStyle w:val="OdstavecASR"/>
      </w:pPr>
      <w:r w:rsidRPr="00A00187">
        <w:t xml:space="preserve">Na základě přechozích ukazatelů můžeme shrnout, že celkově se situace v civilním řízení u okresních soudů za několik let (2014 až 2019) výrazně zlepšila – výrazně klesl počet nevyřízených věcí i délky řízení. To bylo dáno především zmenšováním rozdílů mezi soudy, tj. zlepšováním situace u nejpomalejších a nejzatíženějších soudů. Zlepšování situace ale postupně sláblo. V roce 2020 došlo </w:t>
      </w:r>
      <w:r w:rsidR="000511EF" w:rsidRPr="00A00187">
        <w:t>ve všech krajích</w:t>
      </w:r>
      <w:r w:rsidRPr="00A00187">
        <w:t xml:space="preserve"> ke zhoršení, nijak závratnému, ale rozhodně statisticky zachytitelnému. </w:t>
      </w:r>
      <w:r w:rsidR="000511EF" w:rsidRPr="00A00187">
        <w:t xml:space="preserve">Důvodem </w:t>
      </w:r>
      <w:r w:rsidR="00B40A84" w:rsidRPr="00A00187">
        <w:t>byla</w:t>
      </w:r>
      <w:r w:rsidRPr="00A00187">
        <w:t xml:space="preserve"> zřejmě pandemie onemocnění COVID</w:t>
      </w:r>
      <w:r w:rsidRPr="00A00187">
        <w:noBreakHyphen/>
        <w:t>19 a s tím související vládní restrikce.</w:t>
      </w:r>
      <w:r w:rsidR="0041615B" w:rsidRPr="00A00187">
        <w:t xml:space="preserve"> </w:t>
      </w:r>
      <w:bookmarkStart w:id="194" w:name="_Hlk104290540"/>
      <w:r w:rsidR="0041615B" w:rsidRPr="00A00187">
        <w:t xml:space="preserve">V roce 2021 se </w:t>
      </w:r>
      <w:r w:rsidR="00726EC3" w:rsidRPr="00A00187">
        <w:t>i</w:t>
      </w:r>
      <w:r w:rsidR="00726EC3">
        <w:t> </w:t>
      </w:r>
      <w:r w:rsidR="0041615B" w:rsidRPr="00A00187">
        <w:t xml:space="preserve">přes pokračování pandemie situace zlepšila – v zásadě </w:t>
      </w:r>
      <w:r w:rsidR="00B43F18" w:rsidRPr="00A00187">
        <w:t>s</w:t>
      </w:r>
      <w:r w:rsidR="0041615B" w:rsidRPr="00A00187">
        <w:t xml:space="preserve">e vrátila na úroveň roku 2019. </w:t>
      </w:r>
      <w:r w:rsidR="00436CB2" w:rsidRPr="00A00187">
        <w:t xml:space="preserve">Zdá se tedy, že soudy již byly </w:t>
      </w:r>
      <w:r w:rsidR="005F2F77" w:rsidRPr="00A00187">
        <w:t xml:space="preserve">civilní agendy </w:t>
      </w:r>
      <w:r w:rsidR="00436CB2" w:rsidRPr="00A00187">
        <w:t xml:space="preserve">schopny </w:t>
      </w:r>
      <w:r w:rsidR="000511EF" w:rsidRPr="00A00187">
        <w:t xml:space="preserve">v plném rozsahu organizačně </w:t>
      </w:r>
      <w:r w:rsidR="00726EC3" w:rsidRPr="00A00187">
        <w:t>i</w:t>
      </w:r>
      <w:r w:rsidR="00726EC3">
        <w:t> </w:t>
      </w:r>
      <w:r w:rsidR="000511EF" w:rsidRPr="00A00187">
        <w:t xml:space="preserve">personálně </w:t>
      </w:r>
      <w:r w:rsidR="00436CB2" w:rsidRPr="00A00187">
        <w:t>zvládnout své fungování během pandemie.</w:t>
      </w:r>
    </w:p>
    <w:p w14:paraId="141E1FA1" w14:textId="77777777" w:rsidR="00AA6138" w:rsidRPr="00A00187" w:rsidRDefault="00AA6138" w:rsidP="00AA6138">
      <w:pPr>
        <w:pStyle w:val="Nadpis3"/>
        <w:numPr>
          <w:ilvl w:val="2"/>
          <w:numId w:val="1"/>
        </w:numPr>
        <w:rPr>
          <w:color w:val="auto"/>
        </w:rPr>
      </w:pPr>
      <w:bookmarkStart w:id="195" w:name="_Ref509563330"/>
      <w:bookmarkStart w:id="196" w:name="_Toc515871225"/>
      <w:bookmarkStart w:id="197" w:name="_Toc41546302"/>
      <w:bookmarkStart w:id="198" w:name="_Toc106092722"/>
      <w:bookmarkStart w:id="199" w:name="_Toc43903029"/>
      <w:bookmarkStart w:id="200" w:name="_Toc109801338"/>
      <w:bookmarkEnd w:id="194"/>
      <w:r w:rsidRPr="00A00187">
        <w:rPr>
          <w:color w:val="auto"/>
        </w:rPr>
        <w:t>Další statistiky</w:t>
      </w:r>
      <w:bookmarkEnd w:id="195"/>
      <w:bookmarkEnd w:id="196"/>
      <w:bookmarkEnd w:id="197"/>
      <w:bookmarkEnd w:id="198"/>
      <w:bookmarkEnd w:id="200"/>
    </w:p>
    <w:p w14:paraId="62B0317D" w14:textId="36F44257" w:rsidR="00AA6138" w:rsidRPr="00A00187" w:rsidRDefault="00AA6138" w:rsidP="00AA6138">
      <w:pPr>
        <w:pStyle w:val="OdstavecASR"/>
      </w:pPr>
      <w:r w:rsidRPr="00A00187">
        <w:t xml:space="preserve">Kromě výše uvedených ukazatelů výkonnosti soudů sleduje Ministerstvo spravedlnosti řadu dalších </w:t>
      </w:r>
      <w:r w:rsidR="000511EF" w:rsidRPr="00A00187">
        <w:t>údajů</w:t>
      </w:r>
      <w:r w:rsidRPr="00A00187">
        <w:t>. Tato podkapitola se věnuje čtyřem příkladům, a to míře odvolání, míře změny rozsudku</w:t>
      </w:r>
      <w:r w:rsidR="000511EF" w:rsidRPr="00A00187">
        <w:t>,</w:t>
      </w:r>
      <w:r w:rsidRPr="00A00187">
        <w:t xml:space="preserve"> přepočtu příchozích věcí na 1 000 obyvate</w:t>
      </w:r>
      <w:r w:rsidR="001C744A" w:rsidRPr="00A00187">
        <w:t>l</w:t>
      </w:r>
      <w:r w:rsidRPr="00A00187">
        <w:t>,</w:t>
      </w:r>
      <w:r w:rsidR="00765EC1" w:rsidRPr="00A00187">
        <w:t xml:space="preserve"> </w:t>
      </w:r>
      <w:r w:rsidR="00726EC3" w:rsidRPr="00A00187">
        <w:t>a</w:t>
      </w:r>
      <w:r w:rsidR="00726EC3">
        <w:t> </w:t>
      </w:r>
      <w:r w:rsidR="000511EF" w:rsidRPr="00A00187">
        <w:t xml:space="preserve">s ohledem na aktuální situaci na trhu nemovitostí </w:t>
      </w:r>
      <w:r w:rsidR="00726EC3" w:rsidRPr="00A00187">
        <w:t>a</w:t>
      </w:r>
      <w:r w:rsidR="00726EC3">
        <w:t> </w:t>
      </w:r>
      <w:r w:rsidR="000511EF" w:rsidRPr="00A00187">
        <w:t>nájemního bydlení</w:t>
      </w:r>
      <w:r w:rsidR="00B43F18" w:rsidRPr="00A00187">
        <w:t>,</w:t>
      </w:r>
      <w:r w:rsidR="001C744A" w:rsidRPr="00A00187">
        <w:t xml:space="preserve"> </w:t>
      </w:r>
      <w:r w:rsidR="005F6368" w:rsidRPr="00A00187">
        <w:t>vývoj</w:t>
      </w:r>
      <w:r w:rsidR="001C744A" w:rsidRPr="00A00187">
        <w:t>em</w:t>
      </w:r>
      <w:r w:rsidR="005F6368" w:rsidRPr="00A00187">
        <w:t xml:space="preserve"> </w:t>
      </w:r>
      <w:r w:rsidRPr="00A00187">
        <w:t>počtu sporů ve věcech nájmů.</w:t>
      </w:r>
    </w:p>
    <w:p w14:paraId="1C6765A0" w14:textId="77777777" w:rsidR="00AA6138" w:rsidRPr="00A00187" w:rsidRDefault="00AA6138" w:rsidP="007F73C9">
      <w:pPr>
        <w:pStyle w:val="OdstavecASR"/>
        <w:keepNext/>
        <w:outlineLvl w:val="3"/>
        <w:rPr>
          <w:b/>
          <w:bCs/>
        </w:rPr>
      </w:pPr>
      <w:r w:rsidRPr="00A00187">
        <w:rPr>
          <w:b/>
          <w:bCs/>
        </w:rPr>
        <w:t>Míra odvolání</w:t>
      </w:r>
    </w:p>
    <w:p w14:paraId="45B25D1A" w14:textId="2BC9AE42" w:rsidR="00AA6138" w:rsidRPr="00A00187" w:rsidRDefault="00AA6138" w:rsidP="00AA6138">
      <w:pPr>
        <w:pStyle w:val="OdstavecASR"/>
      </w:pPr>
      <w:r w:rsidRPr="00A00187">
        <w:t>Míra odvolání udává, jak často podávají účastníci sporu odvolání. Závisí na mnoha faktorech jako je například složení agendy soudu nebo charakteristik</w:t>
      </w:r>
      <w:r w:rsidR="00587423" w:rsidRPr="00A00187">
        <w:t>a</w:t>
      </w:r>
      <w:r w:rsidRPr="00A00187">
        <w:t xml:space="preserve"> účastníků sporu. Do určité míry může vypovídat o složitosti sporů, neboť u velmi jednoduchých sporů (typicky s procesně pasivní žalovanou stranou) je podání odvolání méně pravděpodobné. Výpočty zahrnují i věci, ve kterých </w:t>
      </w:r>
      <w:r w:rsidRPr="00A00187">
        <w:lastRenderedPageBreak/>
        <w:t>odvolací soud zrušil rozhodnutí soudu I. stupně, věc mu vrátil a následně již odvolání podáno nebylo.</w:t>
      </w:r>
    </w:p>
    <w:p w14:paraId="66AA8E34" w14:textId="6CB5BB0F" w:rsidR="00AA6138" w:rsidRPr="00A00187" w:rsidRDefault="00AA6138" w:rsidP="00AA6138">
      <w:pPr>
        <w:pStyle w:val="Podnadpis"/>
        <w:rPr>
          <w:color w:val="auto"/>
        </w:rPr>
      </w:pPr>
      <w:bookmarkStart w:id="201" w:name="_Toc515871444"/>
      <w:bookmarkStart w:id="202" w:name="_Toc11133213"/>
      <w:bookmarkStart w:id="203" w:name="_Toc43931186"/>
      <w:bookmarkStart w:id="204" w:name="_Toc75952317"/>
      <w:bookmarkStart w:id="205" w:name="_Toc106106776"/>
      <w:bookmarkStart w:id="206" w:name="_Toc109802099"/>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14</w:t>
      </w:r>
      <w:r w:rsidRPr="00A00187">
        <w:rPr>
          <w:noProof/>
          <w:color w:val="auto"/>
        </w:rPr>
        <w:fldChar w:fldCharType="end"/>
      </w:r>
      <w:r w:rsidRPr="00A00187">
        <w:rPr>
          <w:color w:val="auto"/>
        </w:rPr>
        <w:t>: OS – míra odvolání dle krajů v civilním řízení</w:t>
      </w:r>
      <w:bookmarkEnd w:id="201"/>
      <w:bookmarkEnd w:id="202"/>
      <w:bookmarkEnd w:id="203"/>
      <w:bookmarkEnd w:id="204"/>
      <w:bookmarkEnd w:id="205"/>
      <w:bookmarkEnd w:id="206"/>
    </w:p>
    <w:tbl>
      <w:tblPr>
        <w:tblW w:w="5652" w:type="dxa"/>
        <w:tblCellMar>
          <w:left w:w="70" w:type="dxa"/>
          <w:right w:w="70" w:type="dxa"/>
        </w:tblCellMar>
        <w:tblLook w:val="04A0" w:firstRow="1" w:lastRow="0" w:firstColumn="1" w:lastColumn="0" w:noHBand="0" w:noVBand="1"/>
      </w:tblPr>
      <w:tblGrid>
        <w:gridCol w:w="2796"/>
        <w:gridCol w:w="1379"/>
        <w:gridCol w:w="1477"/>
      </w:tblGrid>
      <w:tr w:rsidR="00AC1E67" w:rsidRPr="00A00187" w14:paraId="56B2AD0B" w14:textId="77777777" w:rsidTr="003811B0">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381E3FFA"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2856" w:type="dxa"/>
            <w:gridSpan w:val="2"/>
            <w:tcBorders>
              <w:top w:val="double" w:sz="6" w:space="0" w:color="auto"/>
              <w:left w:val="nil"/>
              <w:bottom w:val="double" w:sz="6" w:space="0" w:color="auto"/>
              <w:right w:val="nil"/>
            </w:tcBorders>
            <w:shd w:val="clear" w:color="auto" w:fill="auto"/>
            <w:noWrap/>
            <w:vAlign w:val="center"/>
            <w:hideMark/>
          </w:tcPr>
          <w:p w14:paraId="7B89208D"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Míra odvolání</w:t>
            </w:r>
          </w:p>
        </w:tc>
      </w:tr>
      <w:tr w:rsidR="00AC1E67" w:rsidRPr="00A00187" w14:paraId="689E8F85" w14:textId="77777777" w:rsidTr="003811B0">
        <w:trPr>
          <w:trHeight w:val="330"/>
        </w:trPr>
        <w:tc>
          <w:tcPr>
            <w:tcW w:w="2796" w:type="dxa"/>
            <w:tcBorders>
              <w:top w:val="nil"/>
              <w:left w:val="nil"/>
              <w:bottom w:val="single" w:sz="4" w:space="0" w:color="auto"/>
              <w:right w:val="nil"/>
            </w:tcBorders>
            <w:shd w:val="clear" w:color="auto" w:fill="auto"/>
            <w:noWrap/>
            <w:vAlign w:val="bottom"/>
            <w:hideMark/>
          </w:tcPr>
          <w:p w14:paraId="1FA56786"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MS Praha</w:t>
            </w:r>
          </w:p>
        </w:tc>
        <w:tc>
          <w:tcPr>
            <w:tcW w:w="1379" w:type="dxa"/>
            <w:tcBorders>
              <w:top w:val="nil"/>
              <w:left w:val="nil"/>
              <w:bottom w:val="single" w:sz="4" w:space="0" w:color="auto"/>
              <w:right w:val="nil"/>
            </w:tcBorders>
            <w:shd w:val="clear" w:color="auto" w:fill="auto"/>
            <w:noWrap/>
            <w:vAlign w:val="bottom"/>
            <w:hideMark/>
          </w:tcPr>
          <w:p w14:paraId="27814211" w14:textId="7193CD12"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8,77</w:t>
            </w:r>
            <w:r w:rsidR="00CB570A">
              <w:rPr>
                <w:rFonts w:eastAsia="Times New Roman"/>
                <w:szCs w:val="24"/>
                <w:lang w:eastAsia="cs-CZ"/>
              </w:rPr>
              <w:t> %</w:t>
            </w:r>
          </w:p>
        </w:tc>
        <w:tc>
          <w:tcPr>
            <w:tcW w:w="1477" w:type="dxa"/>
            <w:tcBorders>
              <w:top w:val="single" w:sz="4" w:space="0" w:color="auto"/>
              <w:left w:val="nil"/>
              <w:bottom w:val="single" w:sz="4" w:space="0" w:color="auto"/>
              <w:right w:val="nil"/>
            </w:tcBorders>
            <w:shd w:val="clear" w:color="auto" w:fill="auto"/>
            <w:noWrap/>
            <w:vAlign w:val="center"/>
            <w:hideMark/>
          </w:tcPr>
          <w:p w14:paraId="24D05D78" w14:textId="796C21B5"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-1,4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1EAE5E4" w14:textId="77777777" w:rsidTr="003811B0">
        <w:trPr>
          <w:trHeight w:val="315"/>
        </w:trPr>
        <w:tc>
          <w:tcPr>
            <w:tcW w:w="2796" w:type="dxa"/>
            <w:tcBorders>
              <w:top w:val="nil"/>
              <w:left w:val="nil"/>
              <w:bottom w:val="single" w:sz="4" w:space="0" w:color="auto"/>
              <w:right w:val="nil"/>
            </w:tcBorders>
            <w:shd w:val="clear" w:color="auto" w:fill="auto"/>
            <w:noWrap/>
            <w:vAlign w:val="bottom"/>
            <w:hideMark/>
          </w:tcPr>
          <w:p w14:paraId="25F4D3BC"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Praha</w:t>
            </w:r>
          </w:p>
        </w:tc>
        <w:tc>
          <w:tcPr>
            <w:tcW w:w="1379" w:type="dxa"/>
            <w:tcBorders>
              <w:top w:val="nil"/>
              <w:left w:val="nil"/>
              <w:bottom w:val="single" w:sz="4" w:space="0" w:color="auto"/>
              <w:right w:val="nil"/>
            </w:tcBorders>
            <w:shd w:val="clear" w:color="auto" w:fill="auto"/>
            <w:noWrap/>
            <w:vAlign w:val="bottom"/>
            <w:hideMark/>
          </w:tcPr>
          <w:p w14:paraId="3C6B94C9" w14:textId="7E751A65"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3,50</w:t>
            </w:r>
            <w:r w:rsidR="00CB570A">
              <w:rPr>
                <w:rFonts w:eastAsia="Times New Roman"/>
                <w:szCs w:val="24"/>
                <w:lang w:eastAsia="cs-CZ"/>
              </w:rPr>
              <w:t> %</w:t>
            </w:r>
          </w:p>
        </w:tc>
        <w:tc>
          <w:tcPr>
            <w:tcW w:w="1477" w:type="dxa"/>
            <w:tcBorders>
              <w:top w:val="nil"/>
              <w:left w:val="nil"/>
              <w:bottom w:val="single" w:sz="4" w:space="0" w:color="auto"/>
              <w:right w:val="nil"/>
            </w:tcBorders>
            <w:shd w:val="clear" w:color="auto" w:fill="auto"/>
            <w:noWrap/>
            <w:vAlign w:val="center"/>
            <w:hideMark/>
          </w:tcPr>
          <w:p w14:paraId="0637B36C" w14:textId="445625F3"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-3,5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4DA6E78" w14:textId="77777777" w:rsidTr="003811B0">
        <w:trPr>
          <w:trHeight w:val="315"/>
        </w:trPr>
        <w:tc>
          <w:tcPr>
            <w:tcW w:w="2796" w:type="dxa"/>
            <w:tcBorders>
              <w:top w:val="nil"/>
              <w:left w:val="nil"/>
              <w:bottom w:val="single" w:sz="4" w:space="0" w:color="auto"/>
              <w:right w:val="nil"/>
            </w:tcBorders>
            <w:shd w:val="clear" w:color="auto" w:fill="auto"/>
            <w:noWrap/>
            <w:vAlign w:val="bottom"/>
            <w:hideMark/>
          </w:tcPr>
          <w:p w14:paraId="4B822362"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Č. Budějovice</w:t>
            </w:r>
          </w:p>
        </w:tc>
        <w:tc>
          <w:tcPr>
            <w:tcW w:w="1379" w:type="dxa"/>
            <w:tcBorders>
              <w:top w:val="nil"/>
              <w:left w:val="nil"/>
              <w:bottom w:val="single" w:sz="4" w:space="0" w:color="auto"/>
              <w:right w:val="nil"/>
            </w:tcBorders>
            <w:shd w:val="clear" w:color="auto" w:fill="auto"/>
            <w:noWrap/>
            <w:vAlign w:val="bottom"/>
            <w:hideMark/>
          </w:tcPr>
          <w:p w14:paraId="5A945259" w14:textId="4310241D"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4,30</w:t>
            </w:r>
            <w:r w:rsidR="00CB570A">
              <w:rPr>
                <w:rFonts w:eastAsia="Times New Roman"/>
                <w:szCs w:val="24"/>
                <w:lang w:eastAsia="cs-CZ"/>
              </w:rPr>
              <w:t> %</w:t>
            </w:r>
          </w:p>
        </w:tc>
        <w:tc>
          <w:tcPr>
            <w:tcW w:w="1477" w:type="dxa"/>
            <w:tcBorders>
              <w:top w:val="nil"/>
              <w:left w:val="nil"/>
              <w:bottom w:val="single" w:sz="4" w:space="0" w:color="auto"/>
              <w:right w:val="nil"/>
            </w:tcBorders>
            <w:shd w:val="clear" w:color="auto" w:fill="auto"/>
            <w:noWrap/>
            <w:vAlign w:val="center"/>
            <w:hideMark/>
          </w:tcPr>
          <w:p w14:paraId="072801D1" w14:textId="37FAA53B"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-4,1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7C347EF" w14:textId="77777777" w:rsidTr="003811B0">
        <w:trPr>
          <w:trHeight w:val="315"/>
        </w:trPr>
        <w:tc>
          <w:tcPr>
            <w:tcW w:w="2796" w:type="dxa"/>
            <w:tcBorders>
              <w:top w:val="nil"/>
              <w:left w:val="nil"/>
              <w:bottom w:val="single" w:sz="4" w:space="0" w:color="auto"/>
              <w:right w:val="nil"/>
            </w:tcBorders>
            <w:shd w:val="clear" w:color="auto" w:fill="auto"/>
            <w:noWrap/>
            <w:vAlign w:val="bottom"/>
            <w:hideMark/>
          </w:tcPr>
          <w:p w14:paraId="6ACCA644"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Plzeň</w:t>
            </w:r>
          </w:p>
        </w:tc>
        <w:tc>
          <w:tcPr>
            <w:tcW w:w="1379" w:type="dxa"/>
            <w:tcBorders>
              <w:top w:val="nil"/>
              <w:left w:val="nil"/>
              <w:bottom w:val="single" w:sz="4" w:space="0" w:color="auto"/>
              <w:right w:val="nil"/>
            </w:tcBorders>
            <w:shd w:val="clear" w:color="auto" w:fill="auto"/>
            <w:noWrap/>
            <w:vAlign w:val="bottom"/>
            <w:hideMark/>
          </w:tcPr>
          <w:p w14:paraId="48137324" w14:textId="6949421A"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7,07</w:t>
            </w:r>
            <w:r w:rsidR="00CB570A">
              <w:rPr>
                <w:rFonts w:eastAsia="Times New Roman"/>
                <w:szCs w:val="24"/>
                <w:lang w:eastAsia="cs-CZ"/>
              </w:rPr>
              <w:t> %</w:t>
            </w:r>
          </w:p>
        </w:tc>
        <w:tc>
          <w:tcPr>
            <w:tcW w:w="1477" w:type="dxa"/>
            <w:tcBorders>
              <w:top w:val="nil"/>
              <w:left w:val="nil"/>
              <w:bottom w:val="single" w:sz="4" w:space="0" w:color="auto"/>
              <w:right w:val="nil"/>
            </w:tcBorders>
            <w:shd w:val="clear" w:color="auto" w:fill="auto"/>
            <w:noWrap/>
            <w:vAlign w:val="center"/>
            <w:hideMark/>
          </w:tcPr>
          <w:p w14:paraId="2D351069" w14:textId="25A1ACFD"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-0,5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0719A76" w14:textId="77777777" w:rsidTr="003811B0">
        <w:trPr>
          <w:trHeight w:val="315"/>
        </w:trPr>
        <w:tc>
          <w:tcPr>
            <w:tcW w:w="2796" w:type="dxa"/>
            <w:tcBorders>
              <w:top w:val="nil"/>
              <w:left w:val="nil"/>
              <w:bottom w:val="single" w:sz="4" w:space="0" w:color="auto"/>
              <w:right w:val="nil"/>
            </w:tcBorders>
            <w:shd w:val="clear" w:color="auto" w:fill="auto"/>
            <w:noWrap/>
            <w:vAlign w:val="bottom"/>
            <w:hideMark/>
          </w:tcPr>
          <w:p w14:paraId="49AB9A14"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Ústí n. Labem</w:t>
            </w:r>
          </w:p>
        </w:tc>
        <w:tc>
          <w:tcPr>
            <w:tcW w:w="1379" w:type="dxa"/>
            <w:tcBorders>
              <w:top w:val="nil"/>
              <w:left w:val="nil"/>
              <w:bottom w:val="single" w:sz="4" w:space="0" w:color="auto"/>
              <w:right w:val="nil"/>
            </w:tcBorders>
            <w:shd w:val="clear" w:color="auto" w:fill="auto"/>
            <w:noWrap/>
            <w:vAlign w:val="bottom"/>
            <w:hideMark/>
          </w:tcPr>
          <w:p w14:paraId="5742CD94" w14:textId="6BEB29FF"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4,11</w:t>
            </w:r>
            <w:r w:rsidR="00CB570A">
              <w:rPr>
                <w:rFonts w:eastAsia="Times New Roman"/>
                <w:szCs w:val="24"/>
                <w:lang w:eastAsia="cs-CZ"/>
              </w:rPr>
              <w:t> %</w:t>
            </w:r>
          </w:p>
        </w:tc>
        <w:tc>
          <w:tcPr>
            <w:tcW w:w="1477" w:type="dxa"/>
            <w:tcBorders>
              <w:top w:val="nil"/>
              <w:left w:val="nil"/>
              <w:bottom w:val="single" w:sz="4" w:space="0" w:color="auto"/>
              <w:right w:val="nil"/>
            </w:tcBorders>
            <w:shd w:val="clear" w:color="auto" w:fill="auto"/>
            <w:noWrap/>
            <w:vAlign w:val="center"/>
            <w:hideMark/>
          </w:tcPr>
          <w:p w14:paraId="38D57837" w14:textId="4676369C"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-1,5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4B58FCDF" w14:textId="77777777" w:rsidTr="003811B0">
        <w:trPr>
          <w:trHeight w:val="315"/>
        </w:trPr>
        <w:tc>
          <w:tcPr>
            <w:tcW w:w="2796" w:type="dxa"/>
            <w:tcBorders>
              <w:top w:val="nil"/>
              <w:left w:val="nil"/>
              <w:bottom w:val="single" w:sz="4" w:space="0" w:color="auto"/>
              <w:right w:val="nil"/>
            </w:tcBorders>
            <w:shd w:val="clear" w:color="auto" w:fill="auto"/>
            <w:noWrap/>
            <w:vAlign w:val="bottom"/>
            <w:hideMark/>
          </w:tcPr>
          <w:p w14:paraId="513FA1D1"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Hr. Králové</w:t>
            </w:r>
          </w:p>
        </w:tc>
        <w:tc>
          <w:tcPr>
            <w:tcW w:w="1379" w:type="dxa"/>
            <w:tcBorders>
              <w:top w:val="nil"/>
              <w:left w:val="nil"/>
              <w:bottom w:val="single" w:sz="4" w:space="0" w:color="auto"/>
              <w:right w:val="nil"/>
            </w:tcBorders>
            <w:shd w:val="clear" w:color="auto" w:fill="auto"/>
            <w:noWrap/>
            <w:vAlign w:val="bottom"/>
            <w:hideMark/>
          </w:tcPr>
          <w:p w14:paraId="112FBFFF" w14:textId="06E1D6C9"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5,87</w:t>
            </w:r>
            <w:r w:rsidR="00CB570A">
              <w:rPr>
                <w:rFonts w:eastAsia="Times New Roman"/>
                <w:szCs w:val="24"/>
                <w:lang w:eastAsia="cs-CZ"/>
              </w:rPr>
              <w:t> %</w:t>
            </w:r>
          </w:p>
        </w:tc>
        <w:tc>
          <w:tcPr>
            <w:tcW w:w="1477" w:type="dxa"/>
            <w:tcBorders>
              <w:top w:val="nil"/>
              <w:left w:val="nil"/>
              <w:bottom w:val="single" w:sz="4" w:space="0" w:color="auto"/>
              <w:right w:val="nil"/>
            </w:tcBorders>
            <w:shd w:val="clear" w:color="auto" w:fill="auto"/>
            <w:noWrap/>
            <w:vAlign w:val="center"/>
            <w:hideMark/>
          </w:tcPr>
          <w:p w14:paraId="6FE550C8" w14:textId="4019CA33"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-3,0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EDAC378" w14:textId="77777777" w:rsidTr="003811B0">
        <w:trPr>
          <w:trHeight w:val="315"/>
        </w:trPr>
        <w:tc>
          <w:tcPr>
            <w:tcW w:w="2796" w:type="dxa"/>
            <w:tcBorders>
              <w:top w:val="nil"/>
              <w:left w:val="nil"/>
              <w:bottom w:val="single" w:sz="4" w:space="0" w:color="auto"/>
              <w:right w:val="nil"/>
            </w:tcBorders>
            <w:shd w:val="clear" w:color="auto" w:fill="auto"/>
            <w:noWrap/>
            <w:vAlign w:val="bottom"/>
            <w:hideMark/>
          </w:tcPr>
          <w:p w14:paraId="2FE9C65D"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Brno</w:t>
            </w:r>
          </w:p>
        </w:tc>
        <w:tc>
          <w:tcPr>
            <w:tcW w:w="1379" w:type="dxa"/>
            <w:tcBorders>
              <w:top w:val="nil"/>
              <w:left w:val="nil"/>
              <w:bottom w:val="single" w:sz="4" w:space="0" w:color="auto"/>
              <w:right w:val="nil"/>
            </w:tcBorders>
            <w:shd w:val="clear" w:color="auto" w:fill="auto"/>
            <w:noWrap/>
            <w:vAlign w:val="bottom"/>
            <w:hideMark/>
          </w:tcPr>
          <w:p w14:paraId="366B9EF9" w14:textId="23C12BF0"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6,01</w:t>
            </w:r>
            <w:r w:rsidR="00CB570A">
              <w:rPr>
                <w:rFonts w:eastAsia="Times New Roman"/>
                <w:szCs w:val="24"/>
                <w:lang w:eastAsia="cs-CZ"/>
              </w:rPr>
              <w:t> %</w:t>
            </w:r>
          </w:p>
        </w:tc>
        <w:tc>
          <w:tcPr>
            <w:tcW w:w="1477" w:type="dxa"/>
            <w:tcBorders>
              <w:top w:val="nil"/>
              <w:left w:val="nil"/>
              <w:bottom w:val="single" w:sz="4" w:space="0" w:color="auto"/>
              <w:right w:val="nil"/>
            </w:tcBorders>
            <w:shd w:val="clear" w:color="auto" w:fill="auto"/>
            <w:noWrap/>
            <w:vAlign w:val="center"/>
            <w:hideMark/>
          </w:tcPr>
          <w:p w14:paraId="59BE9158" w14:textId="386EE3F7"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-3,6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8456DF2" w14:textId="77777777" w:rsidTr="003811B0">
        <w:trPr>
          <w:trHeight w:val="330"/>
        </w:trPr>
        <w:tc>
          <w:tcPr>
            <w:tcW w:w="2796" w:type="dxa"/>
            <w:tcBorders>
              <w:top w:val="nil"/>
              <w:left w:val="nil"/>
              <w:bottom w:val="double" w:sz="6" w:space="0" w:color="auto"/>
              <w:right w:val="nil"/>
            </w:tcBorders>
            <w:shd w:val="clear" w:color="auto" w:fill="auto"/>
            <w:noWrap/>
            <w:vAlign w:val="bottom"/>
            <w:hideMark/>
          </w:tcPr>
          <w:p w14:paraId="2989BF04"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Ostrava</w:t>
            </w:r>
          </w:p>
        </w:tc>
        <w:tc>
          <w:tcPr>
            <w:tcW w:w="1379" w:type="dxa"/>
            <w:tcBorders>
              <w:top w:val="nil"/>
              <w:left w:val="nil"/>
              <w:bottom w:val="double" w:sz="6" w:space="0" w:color="auto"/>
              <w:right w:val="nil"/>
            </w:tcBorders>
            <w:shd w:val="clear" w:color="auto" w:fill="auto"/>
            <w:noWrap/>
            <w:vAlign w:val="bottom"/>
            <w:hideMark/>
          </w:tcPr>
          <w:p w14:paraId="2471D000" w14:textId="7A79A4EB"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9,75</w:t>
            </w:r>
            <w:r w:rsidR="00CB570A">
              <w:rPr>
                <w:rFonts w:eastAsia="Times New Roman"/>
                <w:szCs w:val="24"/>
                <w:lang w:eastAsia="cs-CZ"/>
              </w:rPr>
              <w:t> %</w:t>
            </w:r>
          </w:p>
        </w:tc>
        <w:tc>
          <w:tcPr>
            <w:tcW w:w="1477" w:type="dxa"/>
            <w:tcBorders>
              <w:top w:val="nil"/>
              <w:left w:val="nil"/>
              <w:bottom w:val="double" w:sz="6" w:space="0" w:color="auto"/>
              <w:right w:val="nil"/>
            </w:tcBorders>
            <w:shd w:val="clear" w:color="auto" w:fill="auto"/>
            <w:noWrap/>
            <w:vAlign w:val="center"/>
            <w:hideMark/>
          </w:tcPr>
          <w:p w14:paraId="3D4557C8" w14:textId="112C419E" w:rsidR="00AA6138" w:rsidRPr="00A00187" w:rsidRDefault="00AA6138" w:rsidP="009E4F53">
            <w:pPr>
              <w:spacing w:line="240" w:lineRule="auto"/>
              <w:jc w:val="center"/>
              <w:rPr>
                <w:rFonts w:eastAsia="Times New Roman"/>
                <w:sz w:val="20"/>
                <w:szCs w:val="20"/>
                <w:lang w:eastAsia="cs-CZ"/>
              </w:rPr>
            </w:pPr>
            <w:r w:rsidRPr="00A00187">
              <w:rPr>
                <w:rFonts w:eastAsia="Times New Roman"/>
                <w:sz w:val="20"/>
                <w:szCs w:val="20"/>
                <w:lang w:eastAsia="cs-CZ"/>
              </w:rPr>
              <w:t xml:space="preserve">+3,4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F35D8BE" w14:textId="77777777" w:rsidTr="003811B0">
        <w:trPr>
          <w:trHeight w:val="345"/>
        </w:trPr>
        <w:tc>
          <w:tcPr>
            <w:tcW w:w="2796" w:type="dxa"/>
            <w:tcBorders>
              <w:top w:val="nil"/>
              <w:left w:val="nil"/>
              <w:bottom w:val="double" w:sz="6" w:space="0" w:color="auto"/>
              <w:right w:val="nil"/>
            </w:tcBorders>
            <w:shd w:val="clear" w:color="auto" w:fill="auto"/>
            <w:noWrap/>
            <w:vAlign w:val="bottom"/>
            <w:hideMark/>
          </w:tcPr>
          <w:p w14:paraId="0A97B209" w14:textId="77777777" w:rsidR="00AA6138" w:rsidRPr="00A00187" w:rsidRDefault="00AA6138" w:rsidP="003811B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379" w:type="dxa"/>
            <w:tcBorders>
              <w:top w:val="nil"/>
              <w:left w:val="nil"/>
              <w:bottom w:val="double" w:sz="6" w:space="0" w:color="auto"/>
              <w:right w:val="nil"/>
            </w:tcBorders>
            <w:shd w:val="clear" w:color="auto" w:fill="auto"/>
            <w:noWrap/>
            <w:vAlign w:val="bottom"/>
            <w:hideMark/>
          </w:tcPr>
          <w:p w14:paraId="7895C3EE" w14:textId="741C5E1D"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7,46</w:t>
            </w:r>
            <w:r w:rsidR="00CB570A">
              <w:rPr>
                <w:rFonts w:eastAsia="Times New Roman"/>
                <w:b/>
                <w:bCs/>
                <w:szCs w:val="24"/>
                <w:lang w:eastAsia="cs-CZ"/>
              </w:rPr>
              <w:t> %</w:t>
            </w:r>
          </w:p>
        </w:tc>
        <w:tc>
          <w:tcPr>
            <w:tcW w:w="1477" w:type="dxa"/>
            <w:tcBorders>
              <w:top w:val="nil"/>
              <w:left w:val="nil"/>
              <w:bottom w:val="double" w:sz="6" w:space="0" w:color="auto"/>
              <w:right w:val="nil"/>
            </w:tcBorders>
            <w:shd w:val="clear" w:color="auto" w:fill="auto"/>
            <w:noWrap/>
            <w:vAlign w:val="center"/>
            <w:hideMark/>
          </w:tcPr>
          <w:p w14:paraId="248A784D" w14:textId="69DDF76E" w:rsidR="00AA6138" w:rsidRPr="00A00187" w:rsidRDefault="00AA6138"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 xml:space="preserve">-0,7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C1E67" w:rsidRPr="00A00187" w14:paraId="443D8E79" w14:textId="77777777" w:rsidTr="003811B0">
        <w:trPr>
          <w:trHeight w:val="330"/>
        </w:trPr>
        <w:tc>
          <w:tcPr>
            <w:tcW w:w="2796" w:type="dxa"/>
            <w:tcBorders>
              <w:top w:val="nil"/>
              <w:left w:val="nil"/>
              <w:bottom w:val="nil"/>
              <w:right w:val="nil"/>
            </w:tcBorders>
            <w:shd w:val="clear" w:color="auto" w:fill="auto"/>
            <w:noWrap/>
            <w:vAlign w:val="bottom"/>
            <w:hideMark/>
          </w:tcPr>
          <w:p w14:paraId="7FC8E8C1" w14:textId="77777777" w:rsidR="00AA6138" w:rsidRPr="00A00187" w:rsidRDefault="00AA6138" w:rsidP="003811B0">
            <w:pPr>
              <w:spacing w:line="240" w:lineRule="auto"/>
              <w:jc w:val="center"/>
              <w:rPr>
                <w:rFonts w:eastAsia="Times New Roman"/>
                <w:b/>
                <w:bCs/>
                <w:sz w:val="20"/>
                <w:szCs w:val="20"/>
                <w:lang w:eastAsia="cs-CZ"/>
              </w:rPr>
            </w:pPr>
          </w:p>
        </w:tc>
        <w:tc>
          <w:tcPr>
            <w:tcW w:w="1379" w:type="dxa"/>
            <w:tcBorders>
              <w:top w:val="nil"/>
              <w:left w:val="nil"/>
              <w:bottom w:val="nil"/>
              <w:right w:val="nil"/>
            </w:tcBorders>
            <w:shd w:val="clear" w:color="auto" w:fill="auto"/>
            <w:noWrap/>
            <w:vAlign w:val="bottom"/>
            <w:hideMark/>
          </w:tcPr>
          <w:p w14:paraId="59963E81" w14:textId="77777777" w:rsidR="00AA6138" w:rsidRPr="00A00187" w:rsidRDefault="00AA6138" w:rsidP="003811B0">
            <w:pPr>
              <w:spacing w:line="240" w:lineRule="auto"/>
              <w:jc w:val="left"/>
              <w:rPr>
                <w:rFonts w:ascii="Times New Roman" w:eastAsia="Times New Roman" w:hAnsi="Times New Roman"/>
                <w:sz w:val="20"/>
                <w:szCs w:val="20"/>
                <w:lang w:eastAsia="cs-CZ"/>
              </w:rPr>
            </w:pPr>
          </w:p>
        </w:tc>
        <w:tc>
          <w:tcPr>
            <w:tcW w:w="1477" w:type="dxa"/>
            <w:tcBorders>
              <w:top w:val="nil"/>
              <w:left w:val="nil"/>
              <w:bottom w:val="nil"/>
              <w:right w:val="nil"/>
            </w:tcBorders>
            <w:shd w:val="clear" w:color="auto" w:fill="auto"/>
            <w:noWrap/>
            <w:vAlign w:val="bottom"/>
            <w:hideMark/>
          </w:tcPr>
          <w:p w14:paraId="73E8C795" w14:textId="77777777" w:rsidR="00AA6138" w:rsidRPr="00A00187" w:rsidRDefault="00AA6138" w:rsidP="003811B0">
            <w:pPr>
              <w:spacing w:line="240" w:lineRule="auto"/>
              <w:jc w:val="left"/>
              <w:rPr>
                <w:rFonts w:ascii="Times New Roman" w:eastAsia="Times New Roman" w:hAnsi="Times New Roman"/>
                <w:sz w:val="20"/>
                <w:szCs w:val="20"/>
                <w:lang w:eastAsia="cs-CZ"/>
              </w:rPr>
            </w:pPr>
          </w:p>
        </w:tc>
      </w:tr>
    </w:tbl>
    <w:p w14:paraId="088F8ECD" w14:textId="6244FAD3" w:rsidR="00AA6138" w:rsidRPr="00A00187" w:rsidRDefault="00AA6138" w:rsidP="00AA6138">
      <w:pPr>
        <w:pStyle w:val="OdstavecASR"/>
      </w:pPr>
      <w:r w:rsidRPr="00A00187">
        <w:t xml:space="preserve">Míra odvolání byla v roce 2021 nejvyšší v Severomoravském kraji </w:t>
      </w:r>
      <w:r w:rsidR="00726EC3" w:rsidRPr="00A00187">
        <w:t>a</w:t>
      </w:r>
      <w:r w:rsidR="00726EC3">
        <w:t> </w:t>
      </w:r>
      <w:r w:rsidRPr="00A00187">
        <w:t xml:space="preserve">v Praze a nejnižší v Severočeském kraji. </w:t>
      </w:r>
      <w:r w:rsidR="00726EC3" w:rsidRPr="00A00187">
        <w:t>Z</w:t>
      </w:r>
      <w:r w:rsidR="00726EC3">
        <w:t> </w:t>
      </w:r>
      <w:r w:rsidRPr="00A00187">
        <w:t>dat na úrovni okresů lze dále vyčíst, že míra odvolání není stabilní, nicméně celorepublikově osciluje kolem 8</w:t>
      </w:r>
      <w:r w:rsidR="00CB570A">
        <w:t> %</w:t>
      </w:r>
      <w:r w:rsidRPr="00A00187">
        <w:t>.</w:t>
      </w:r>
      <w:r w:rsidR="001C744A" w:rsidRPr="00A00187">
        <w:t xml:space="preserve"> </w:t>
      </w:r>
      <w:r w:rsidRPr="00A00187">
        <w:t>Zde je třeba upozornit, že změny jsou v tabulce uvedeny v procentních bodech. Tedy například celková míra odvolání meziročně v Praze klesla z 10,12</w:t>
      </w:r>
      <w:r w:rsidR="00CB570A">
        <w:t> %</w:t>
      </w:r>
      <w:r w:rsidRPr="00A00187">
        <w:t xml:space="preserve"> na 8,77</w:t>
      </w:r>
      <w:r w:rsidR="00CB570A">
        <w:t> %</w:t>
      </w:r>
      <w:r w:rsidRPr="00A00187">
        <w:t>, což je absolutní pokles o 1,4 procentního bodu (tento údaj je zachycen v tabulce) a relativní pokles o 13,35</w:t>
      </w:r>
      <w:r w:rsidR="00CB570A">
        <w:t> %</w:t>
      </w:r>
      <w:r w:rsidRPr="00A00187">
        <w:t xml:space="preserve"> (ten v tabulce uveden není). Z jednotlivých okresních soudů byla v roce 2021 nejvyšší míra odvolání u OS Praha 2 (37,80</w:t>
      </w:r>
      <w:r w:rsidR="00CB570A">
        <w:t> %</w:t>
      </w:r>
      <w:r w:rsidRPr="00A00187">
        <w:t>), OS Semily (13,80</w:t>
      </w:r>
      <w:r w:rsidR="00CB570A">
        <w:t> %</w:t>
      </w:r>
      <w:r w:rsidRPr="00A00187">
        <w:t>) a OS Praha 8 (11,97</w:t>
      </w:r>
      <w:r w:rsidR="00CB570A">
        <w:t> %</w:t>
      </w:r>
      <w:r w:rsidRPr="00A00187">
        <w:t xml:space="preserve">). Obzvlášť vysoká míra odvolání u OS Praha 2 má své odůvodnění. Tento soud je totiž specializovaný a velkou část jeho agendy tvoří spory týkající se odpovědnosti státu a územních samosprávných celků za škodu způsobenou při výkonu veřejné moci podle zákona č. 82/1998 Sb., </w:t>
      </w:r>
      <w:r w:rsidR="00726EC3" w:rsidRPr="00A00187">
        <w:t>o</w:t>
      </w:r>
      <w:r w:rsidR="00726EC3">
        <w:t> </w:t>
      </w:r>
      <w:r w:rsidR="00587423" w:rsidRPr="00A00187">
        <w:t>odpovědnosti za škodu způsobenou při výkonu veřejné moci,</w:t>
      </w:r>
      <w:r w:rsidRPr="00A00187">
        <w:t xml:space="preserve"> například spory o náhradu škody způsobené nesprávným úředním postupem nebo nepřiměřenou délk</w:t>
      </w:r>
      <w:r w:rsidR="00587423" w:rsidRPr="00A00187">
        <w:t>u</w:t>
      </w:r>
      <w:r w:rsidRPr="00A00187">
        <w:t xml:space="preserve"> soudního řízení. Míra odvolání je v těchto sporech velmi vysoká – přibližně 63</w:t>
      </w:r>
      <w:r w:rsidR="00CB570A">
        <w:t> %</w:t>
      </w:r>
      <w:r w:rsidRPr="00A00187">
        <w:t xml:space="preserve"> v roce 2021. </w:t>
      </w:r>
      <w:bookmarkStart w:id="207" w:name="_Hlk67043216"/>
      <w:r w:rsidRPr="00A00187">
        <w:t>Nejnižší je míra odvolání u OS Teplice (2,51</w:t>
      </w:r>
      <w:r w:rsidR="00CB570A">
        <w:t> %</w:t>
      </w:r>
      <w:r w:rsidRPr="00A00187">
        <w:t>), OS Most (3,13</w:t>
      </w:r>
      <w:r w:rsidR="00CB570A">
        <w:t> %</w:t>
      </w:r>
      <w:r w:rsidRPr="00A00187">
        <w:t xml:space="preserve">) </w:t>
      </w:r>
      <w:r w:rsidR="00726EC3" w:rsidRPr="00A00187">
        <w:t>a</w:t>
      </w:r>
      <w:r w:rsidR="00726EC3">
        <w:t> </w:t>
      </w:r>
      <w:r w:rsidRPr="00A00187">
        <w:t>OS Beroun (3,16</w:t>
      </w:r>
      <w:r w:rsidR="00CB570A">
        <w:t> %</w:t>
      </w:r>
      <w:r w:rsidRPr="00A00187">
        <w:t>).</w:t>
      </w:r>
      <w:bookmarkEnd w:id="207"/>
    </w:p>
    <w:p w14:paraId="066615F5" w14:textId="38216659" w:rsidR="00AA6138" w:rsidRPr="00A00187" w:rsidRDefault="00AA6138" w:rsidP="00AA6138">
      <w:pPr>
        <w:pStyle w:val="Podnadpis"/>
        <w:rPr>
          <w:color w:val="auto"/>
        </w:rPr>
      </w:pPr>
      <w:bookmarkStart w:id="208" w:name="_Toc43841395"/>
      <w:bookmarkStart w:id="209" w:name="_Toc75952196"/>
      <w:bookmarkStart w:id="210" w:name="_Toc106106649"/>
      <w:bookmarkStart w:id="211" w:name="_Toc109801973"/>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15</w:t>
      </w:r>
      <w:r w:rsidRPr="00A00187">
        <w:rPr>
          <w:color w:val="auto"/>
        </w:rPr>
        <w:fldChar w:fldCharType="end"/>
      </w:r>
      <w:r w:rsidRPr="00A00187">
        <w:rPr>
          <w:color w:val="auto"/>
        </w:rPr>
        <w:t>: OS – míra odvolání u jednotlivých soudů v civilním řízení</w:t>
      </w:r>
      <w:bookmarkEnd w:id="208"/>
      <w:bookmarkEnd w:id="209"/>
      <w:bookmarkEnd w:id="210"/>
      <w:bookmarkEnd w:id="211"/>
    </w:p>
    <w:p w14:paraId="1565166C" w14:textId="77777777" w:rsidR="00AA6138" w:rsidRPr="00A00187" w:rsidRDefault="00AA6138" w:rsidP="00AA6138">
      <w:pPr>
        <w:spacing w:line="240" w:lineRule="auto"/>
        <w:jc w:val="left"/>
      </w:pPr>
      <w:r w:rsidRPr="00A00187">
        <w:rPr>
          <w:noProof/>
        </w:rPr>
        <w:drawing>
          <wp:anchor distT="0" distB="0" distL="114300" distR="114300" simplePos="0" relativeHeight="251688960" behindDoc="0" locked="0" layoutInCell="1" allowOverlap="1" wp14:anchorId="4F9F84EF" wp14:editId="35BB97D9">
            <wp:simplePos x="0" y="0"/>
            <wp:positionH relativeFrom="margin">
              <wp:align>right</wp:align>
            </wp:positionH>
            <wp:positionV relativeFrom="page">
              <wp:posOffset>1085850</wp:posOffset>
            </wp:positionV>
            <wp:extent cx="1238400" cy="900000"/>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0187">
        <w:rPr>
          <w:noProof/>
        </w:rPr>
        <w:drawing>
          <wp:inline distT="0" distB="0" distL="0" distR="0" wp14:anchorId="78BD1D32" wp14:editId="0A15FE4E">
            <wp:extent cx="5759450" cy="3296285"/>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6219EC79" w14:textId="77777777" w:rsidR="00AA6138" w:rsidRPr="00A00187" w:rsidRDefault="00AA6138" w:rsidP="00AA6138">
      <w:pPr>
        <w:spacing w:line="240" w:lineRule="auto"/>
        <w:jc w:val="left"/>
      </w:pPr>
    </w:p>
    <w:p w14:paraId="1791C37D" w14:textId="77777777" w:rsidR="00AA6138" w:rsidRPr="00A00187" w:rsidRDefault="00AA6138" w:rsidP="007F73C9">
      <w:pPr>
        <w:pStyle w:val="OdstavecASR"/>
        <w:keepNext/>
        <w:outlineLvl w:val="3"/>
        <w:rPr>
          <w:b/>
          <w:bCs/>
        </w:rPr>
      </w:pPr>
      <w:bookmarkStart w:id="212" w:name="_Toc515871445"/>
      <w:bookmarkStart w:id="213" w:name="_Toc11133214"/>
      <w:r w:rsidRPr="00A00187">
        <w:rPr>
          <w:b/>
          <w:bCs/>
        </w:rPr>
        <w:t>Míra změny rozsudku</w:t>
      </w:r>
    </w:p>
    <w:p w14:paraId="4E054A9B" w14:textId="77777777" w:rsidR="00AA6138" w:rsidRPr="00A00187" w:rsidRDefault="00AA6138" w:rsidP="00AA6138">
      <w:pPr>
        <w:pStyle w:val="OdstavecASR"/>
      </w:pPr>
      <w:r w:rsidRPr="00A00187">
        <w:t>Dalším sledovaným ukazatelem je míra změny rozsudku. Jedná se o podíl věcí v procentech, ve kterých odvolací soud na podkladě odvolání změnil rozhodnutí soudu I. stupně. Jako změna rozsudku jsou započítány věci, v nichž bylo odvolání vyhověno, ale i případy, kdy bylo rozhodnutí soudu I. stupně odvolacím soudem zrušeno a vráceno soudu I. stupně.</w:t>
      </w:r>
    </w:p>
    <w:p w14:paraId="3C0BFEFD" w14:textId="78AF005B" w:rsidR="00AA6138" w:rsidRPr="00A00187" w:rsidRDefault="00AA6138" w:rsidP="00AA6138">
      <w:pPr>
        <w:pStyle w:val="Podnadpis"/>
        <w:rPr>
          <w:color w:val="auto"/>
        </w:rPr>
      </w:pPr>
      <w:bookmarkStart w:id="214" w:name="_Toc43931187"/>
      <w:bookmarkStart w:id="215" w:name="_Toc75952318"/>
      <w:bookmarkStart w:id="216" w:name="_Toc106106777"/>
      <w:bookmarkStart w:id="217" w:name="_Toc109802100"/>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15</w:t>
      </w:r>
      <w:r w:rsidRPr="00A00187">
        <w:rPr>
          <w:noProof/>
          <w:color w:val="auto"/>
        </w:rPr>
        <w:fldChar w:fldCharType="end"/>
      </w:r>
      <w:r w:rsidRPr="00A00187">
        <w:rPr>
          <w:color w:val="auto"/>
        </w:rPr>
        <w:t>: OS – míra změny rozsudku dle krajů v civilním řízení</w:t>
      </w:r>
      <w:bookmarkEnd w:id="212"/>
      <w:bookmarkEnd w:id="213"/>
      <w:bookmarkEnd w:id="214"/>
      <w:bookmarkEnd w:id="215"/>
      <w:bookmarkEnd w:id="216"/>
      <w:bookmarkEnd w:id="217"/>
    </w:p>
    <w:tbl>
      <w:tblPr>
        <w:tblW w:w="5952" w:type="dxa"/>
        <w:tblCellMar>
          <w:left w:w="70" w:type="dxa"/>
          <w:right w:w="70" w:type="dxa"/>
        </w:tblCellMar>
        <w:tblLook w:val="04A0" w:firstRow="1" w:lastRow="0" w:firstColumn="1" w:lastColumn="0" w:noHBand="0" w:noVBand="1"/>
      </w:tblPr>
      <w:tblGrid>
        <w:gridCol w:w="2496"/>
        <w:gridCol w:w="1756"/>
        <w:gridCol w:w="1700"/>
      </w:tblGrid>
      <w:tr w:rsidR="00AC1E67" w:rsidRPr="00A00187" w14:paraId="0935B246" w14:textId="77777777" w:rsidTr="003811B0">
        <w:trPr>
          <w:trHeight w:val="345"/>
        </w:trPr>
        <w:tc>
          <w:tcPr>
            <w:tcW w:w="2496" w:type="dxa"/>
            <w:tcBorders>
              <w:top w:val="double" w:sz="6" w:space="0" w:color="auto"/>
              <w:left w:val="nil"/>
              <w:bottom w:val="double" w:sz="6" w:space="0" w:color="auto"/>
              <w:right w:val="nil"/>
            </w:tcBorders>
            <w:shd w:val="clear" w:color="auto" w:fill="auto"/>
            <w:noWrap/>
            <w:vAlign w:val="center"/>
            <w:hideMark/>
          </w:tcPr>
          <w:p w14:paraId="33421238"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456" w:type="dxa"/>
            <w:gridSpan w:val="2"/>
            <w:tcBorders>
              <w:top w:val="double" w:sz="6" w:space="0" w:color="auto"/>
              <w:left w:val="nil"/>
              <w:bottom w:val="double" w:sz="6" w:space="0" w:color="auto"/>
              <w:right w:val="nil"/>
            </w:tcBorders>
            <w:shd w:val="clear" w:color="auto" w:fill="auto"/>
            <w:noWrap/>
            <w:vAlign w:val="center"/>
            <w:hideMark/>
          </w:tcPr>
          <w:p w14:paraId="08C1ADD0"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Míra změny rozsudku</w:t>
            </w:r>
          </w:p>
        </w:tc>
      </w:tr>
      <w:tr w:rsidR="00AC1E67" w:rsidRPr="00A00187" w14:paraId="3A1ACD73" w14:textId="77777777" w:rsidTr="003811B0">
        <w:trPr>
          <w:trHeight w:val="330"/>
        </w:trPr>
        <w:tc>
          <w:tcPr>
            <w:tcW w:w="2496" w:type="dxa"/>
            <w:tcBorders>
              <w:top w:val="nil"/>
              <w:left w:val="nil"/>
              <w:bottom w:val="single" w:sz="4" w:space="0" w:color="auto"/>
              <w:right w:val="nil"/>
            </w:tcBorders>
            <w:shd w:val="clear" w:color="auto" w:fill="auto"/>
            <w:noWrap/>
            <w:vAlign w:val="bottom"/>
            <w:hideMark/>
          </w:tcPr>
          <w:p w14:paraId="6C04D343"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MS Praha</w:t>
            </w:r>
          </w:p>
        </w:tc>
        <w:tc>
          <w:tcPr>
            <w:tcW w:w="1756" w:type="dxa"/>
            <w:tcBorders>
              <w:top w:val="nil"/>
              <w:left w:val="nil"/>
              <w:bottom w:val="single" w:sz="4" w:space="0" w:color="auto"/>
              <w:right w:val="nil"/>
            </w:tcBorders>
            <w:shd w:val="clear" w:color="auto" w:fill="auto"/>
            <w:noWrap/>
            <w:vAlign w:val="bottom"/>
            <w:hideMark/>
          </w:tcPr>
          <w:p w14:paraId="10299526" w14:textId="3DC0E59C"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30,11</w:t>
            </w:r>
            <w:r w:rsidR="00CB570A">
              <w:rPr>
                <w:rFonts w:eastAsia="Times New Roman"/>
                <w:szCs w:val="24"/>
                <w:lang w:eastAsia="cs-CZ"/>
              </w:rPr>
              <w:t> %</w:t>
            </w:r>
          </w:p>
        </w:tc>
        <w:tc>
          <w:tcPr>
            <w:tcW w:w="1700" w:type="dxa"/>
            <w:tcBorders>
              <w:top w:val="single" w:sz="4" w:space="0" w:color="auto"/>
              <w:left w:val="nil"/>
              <w:bottom w:val="single" w:sz="4" w:space="0" w:color="auto"/>
              <w:right w:val="nil"/>
            </w:tcBorders>
            <w:shd w:val="clear" w:color="auto" w:fill="auto"/>
            <w:noWrap/>
            <w:vAlign w:val="center"/>
            <w:hideMark/>
          </w:tcPr>
          <w:p w14:paraId="264B842F"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-6,7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9A4D447" w14:textId="77777777" w:rsidTr="003811B0">
        <w:trPr>
          <w:trHeight w:val="315"/>
        </w:trPr>
        <w:tc>
          <w:tcPr>
            <w:tcW w:w="2496" w:type="dxa"/>
            <w:tcBorders>
              <w:top w:val="nil"/>
              <w:left w:val="nil"/>
              <w:bottom w:val="single" w:sz="4" w:space="0" w:color="auto"/>
              <w:right w:val="nil"/>
            </w:tcBorders>
            <w:shd w:val="clear" w:color="auto" w:fill="auto"/>
            <w:noWrap/>
            <w:vAlign w:val="bottom"/>
            <w:hideMark/>
          </w:tcPr>
          <w:p w14:paraId="31488E78"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Praha</w:t>
            </w:r>
          </w:p>
        </w:tc>
        <w:tc>
          <w:tcPr>
            <w:tcW w:w="1756" w:type="dxa"/>
            <w:tcBorders>
              <w:top w:val="nil"/>
              <w:left w:val="nil"/>
              <w:bottom w:val="single" w:sz="4" w:space="0" w:color="auto"/>
              <w:right w:val="nil"/>
            </w:tcBorders>
            <w:shd w:val="clear" w:color="auto" w:fill="auto"/>
            <w:noWrap/>
            <w:vAlign w:val="bottom"/>
            <w:hideMark/>
          </w:tcPr>
          <w:p w14:paraId="478E5554" w14:textId="17F47791"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45,45</w:t>
            </w:r>
            <w:r w:rsidR="00CB570A">
              <w:rPr>
                <w:rFonts w:eastAsia="Times New Roman"/>
                <w:szCs w:val="24"/>
                <w:lang w:eastAsia="cs-CZ"/>
              </w:rPr>
              <w:t> %</w:t>
            </w:r>
          </w:p>
        </w:tc>
        <w:tc>
          <w:tcPr>
            <w:tcW w:w="1700" w:type="dxa"/>
            <w:tcBorders>
              <w:top w:val="nil"/>
              <w:left w:val="nil"/>
              <w:bottom w:val="single" w:sz="4" w:space="0" w:color="auto"/>
              <w:right w:val="nil"/>
            </w:tcBorders>
            <w:shd w:val="clear" w:color="auto" w:fill="auto"/>
            <w:noWrap/>
            <w:vAlign w:val="center"/>
            <w:hideMark/>
          </w:tcPr>
          <w:p w14:paraId="3A6C5926"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+2,9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4FC74885" w14:textId="77777777" w:rsidTr="003811B0">
        <w:trPr>
          <w:trHeight w:val="315"/>
        </w:trPr>
        <w:tc>
          <w:tcPr>
            <w:tcW w:w="2496" w:type="dxa"/>
            <w:tcBorders>
              <w:top w:val="nil"/>
              <w:left w:val="nil"/>
              <w:bottom w:val="single" w:sz="4" w:space="0" w:color="auto"/>
              <w:right w:val="nil"/>
            </w:tcBorders>
            <w:shd w:val="clear" w:color="auto" w:fill="auto"/>
            <w:noWrap/>
            <w:vAlign w:val="bottom"/>
            <w:hideMark/>
          </w:tcPr>
          <w:p w14:paraId="7370A0F3"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Č. Budějovice</w:t>
            </w:r>
          </w:p>
        </w:tc>
        <w:tc>
          <w:tcPr>
            <w:tcW w:w="1756" w:type="dxa"/>
            <w:tcBorders>
              <w:top w:val="nil"/>
              <w:left w:val="nil"/>
              <w:bottom w:val="single" w:sz="4" w:space="0" w:color="auto"/>
              <w:right w:val="nil"/>
            </w:tcBorders>
            <w:shd w:val="clear" w:color="auto" w:fill="auto"/>
            <w:noWrap/>
            <w:vAlign w:val="bottom"/>
            <w:hideMark/>
          </w:tcPr>
          <w:p w14:paraId="42DB7F77" w14:textId="28F6D4D9"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49,30</w:t>
            </w:r>
            <w:r w:rsidR="00CB570A">
              <w:rPr>
                <w:rFonts w:eastAsia="Times New Roman"/>
                <w:szCs w:val="24"/>
                <w:lang w:eastAsia="cs-CZ"/>
              </w:rPr>
              <w:t> %</w:t>
            </w:r>
          </w:p>
        </w:tc>
        <w:tc>
          <w:tcPr>
            <w:tcW w:w="1700" w:type="dxa"/>
            <w:tcBorders>
              <w:top w:val="nil"/>
              <w:left w:val="nil"/>
              <w:bottom w:val="single" w:sz="4" w:space="0" w:color="auto"/>
              <w:right w:val="nil"/>
            </w:tcBorders>
            <w:shd w:val="clear" w:color="auto" w:fill="auto"/>
            <w:noWrap/>
            <w:vAlign w:val="center"/>
            <w:hideMark/>
          </w:tcPr>
          <w:p w14:paraId="79B5D55D"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+5,9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35CC7F5" w14:textId="77777777" w:rsidTr="003811B0">
        <w:trPr>
          <w:trHeight w:val="315"/>
        </w:trPr>
        <w:tc>
          <w:tcPr>
            <w:tcW w:w="2496" w:type="dxa"/>
            <w:tcBorders>
              <w:top w:val="nil"/>
              <w:left w:val="nil"/>
              <w:bottom w:val="single" w:sz="4" w:space="0" w:color="auto"/>
              <w:right w:val="nil"/>
            </w:tcBorders>
            <w:shd w:val="clear" w:color="auto" w:fill="auto"/>
            <w:noWrap/>
            <w:vAlign w:val="bottom"/>
            <w:hideMark/>
          </w:tcPr>
          <w:p w14:paraId="2B35FA59"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Plzeň</w:t>
            </w:r>
          </w:p>
        </w:tc>
        <w:tc>
          <w:tcPr>
            <w:tcW w:w="1756" w:type="dxa"/>
            <w:tcBorders>
              <w:top w:val="nil"/>
              <w:left w:val="nil"/>
              <w:bottom w:val="single" w:sz="4" w:space="0" w:color="auto"/>
              <w:right w:val="nil"/>
            </w:tcBorders>
            <w:shd w:val="clear" w:color="auto" w:fill="auto"/>
            <w:noWrap/>
            <w:vAlign w:val="bottom"/>
            <w:hideMark/>
          </w:tcPr>
          <w:p w14:paraId="50D1EE9D" w14:textId="436DFA1E"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43,33</w:t>
            </w:r>
            <w:r w:rsidR="00CB570A">
              <w:rPr>
                <w:rFonts w:eastAsia="Times New Roman"/>
                <w:szCs w:val="24"/>
                <w:lang w:eastAsia="cs-CZ"/>
              </w:rPr>
              <w:t> %</w:t>
            </w:r>
          </w:p>
        </w:tc>
        <w:tc>
          <w:tcPr>
            <w:tcW w:w="1700" w:type="dxa"/>
            <w:tcBorders>
              <w:top w:val="nil"/>
              <w:left w:val="nil"/>
              <w:bottom w:val="single" w:sz="4" w:space="0" w:color="auto"/>
              <w:right w:val="nil"/>
            </w:tcBorders>
            <w:shd w:val="clear" w:color="auto" w:fill="auto"/>
            <w:noWrap/>
            <w:vAlign w:val="center"/>
            <w:hideMark/>
          </w:tcPr>
          <w:p w14:paraId="20BBE56A"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+3,6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6D2D5F8" w14:textId="77777777" w:rsidTr="003811B0">
        <w:trPr>
          <w:trHeight w:val="315"/>
        </w:trPr>
        <w:tc>
          <w:tcPr>
            <w:tcW w:w="2496" w:type="dxa"/>
            <w:tcBorders>
              <w:top w:val="nil"/>
              <w:left w:val="nil"/>
              <w:bottom w:val="single" w:sz="4" w:space="0" w:color="auto"/>
              <w:right w:val="nil"/>
            </w:tcBorders>
            <w:shd w:val="clear" w:color="auto" w:fill="auto"/>
            <w:noWrap/>
            <w:vAlign w:val="bottom"/>
            <w:hideMark/>
          </w:tcPr>
          <w:p w14:paraId="796FE189"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Ústí n. Labem</w:t>
            </w:r>
          </w:p>
        </w:tc>
        <w:tc>
          <w:tcPr>
            <w:tcW w:w="1756" w:type="dxa"/>
            <w:tcBorders>
              <w:top w:val="nil"/>
              <w:left w:val="nil"/>
              <w:bottom w:val="single" w:sz="4" w:space="0" w:color="auto"/>
              <w:right w:val="nil"/>
            </w:tcBorders>
            <w:shd w:val="clear" w:color="auto" w:fill="auto"/>
            <w:noWrap/>
            <w:vAlign w:val="bottom"/>
            <w:hideMark/>
          </w:tcPr>
          <w:p w14:paraId="542C3550" w14:textId="2D7CBA4E"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49,23</w:t>
            </w:r>
            <w:r w:rsidR="00CB570A">
              <w:rPr>
                <w:rFonts w:eastAsia="Times New Roman"/>
                <w:szCs w:val="24"/>
                <w:lang w:eastAsia="cs-CZ"/>
              </w:rPr>
              <w:t> %</w:t>
            </w:r>
          </w:p>
        </w:tc>
        <w:tc>
          <w:tcPr>
            <w:tcW w:w="1700" w:type="dxa"/>
            <w:tcBorders>
              <w:top w:val="nil"/>
              <w:left w:val="nil"/>
              <w:bottom w:val="single" w:sz="4" w:space="0" w:color="auto"/>
              <w:right w:val="nil"/>
            </w:tcBorders>
            <w:shd w:val="clear" w:color="auto" w:fill="auto"/>
            <w:noWrap/>
            <w:vAlign w:val="center"/>
            <w:hideMark/>
          </w:tcPr>
          <w:p w14:paraId="3F06114F"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-6,4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268BA18" w14:textId="77777777" w:rsidTr="003811B0">
        <w:trPr>
          <w:trHeight w:val="315"/>
        </w:trPr>
        <w:tc>
          <w:tcPr>
            <w:tcW w:w="2496" w:type="dxa"/>
            <w:tcBorders>
              <w:top w:val="nil"/>
              <w:left w:val="nil"/>
              <w:bottom w:val="single" w:sz="4" w:space="0" w:color="auto"/>
              <w:right w:val="nil"/>
            </w:tcBorders>
            <w:shd w:val="clear" w:color="auto" w:fill="auto"/>
            <w:noWrap/>
            <w:vAlign w:val="bottom"/>
            <w:hideMark/>
          </w:tcPr>
          <w:p w14:paraId="416775DE"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Hr. Králové</w:t>
            </w:r>
          </w:p>
        </w:tc>
        <w:tc>
          <w:tcPr>
            <w:tcW w:w="1756" w:type="dxa"/>
            <w:tcBorders>
              <w:top w:val="nil"/>
              <w:left w:val="nil"/>
              <w:bottom w:val="single" w:sz="4" w:space="0" w:color="auto"/>
              <w:right w:val="nil"/>
            </w:tcBorders>
            <w:shd w:val="clear" w:color="auto" w:fill="auto"/>
            <w:noWrap/>
            <w:vAlign w:val="bottom"/>
            <w:hideMark/>
          </w:tcPr>
          <w:p w14:paraId="39219945" w14:textId="29B9BC05"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38,71</w:t>
            </w:r>
            <w:r w:rsidR="00CB570A">
              <w:rPr>
                <w:rFonts w:eastAsia="Times New Roman"/>
                <w:szCs w:val="24"/>
                <w:lang w:eastAsia="cs-CZ"/>
              </w:rPr>
              <w:t> %</w:t>
            </w:r>
          </w:p>
        </w:tc>
        <w:tc>
          <w:tcPr>
            <w:tcW w:w="1700" w:type="dxa"/>
            <w:tcBorders>
              <w:top w:val="nil"/>
              <w:left w:val="nil"/>
              <w:bottom w:val="single" w:sz="4" w:space="0" w:color="auto"/>
              <w:right w:val="nil"/>
            </w:tcBorders>
            <w:shd w:val="clear" w:color="auto" w:fill="auto"/>
            <w:noWrap/>
            <w:vAlign w:val="center"/>
            <w:hideMark/>
          </w:tcPr>
          <w:p w14:paraId="5901BAD1"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-0,4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1E7DEA3" w14:textId="77777777" w:rsidTr="003811B0">
        <w:trPr>
          <w:trHeight w:val="315"/>
        </w:trPr>
        <w:tc>
          <w:tcPr>
            <w:tcW w:w="2496" w:type="dxa"/>
            <w:tcBorders>
              <w:top w:val="nil"/>
              <w:left w:val="nil"/>
              <w:bottom w:val="single" w:sz="4" w:space="0" w:color="auto"/>
              <w:right w:val="nil"/>
            </w:tcBorders>
            <w:shd w:val="clear" w:color="auto" w:fill="auto"/>
            <w:noWrap/>
            <w:vAlign w:val="bottom"/>
            <w:hideMark/>
          </w:tcPr>
          <w:p w14:paraId="76B80035"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Brno</w:t>
            </w:r>
          </w:p>
        </w:tc>
        <w:tc>
          <w:tcPr>
            <w:tcW w:w="1756" w:type="dxa"/>
            <w:tcBorders>
              <w:top w:val="nil"/>
              <w:left w:val="nil"/>
              <w:bottom w:val="single" w:sz="4" w:space="0" w:color="auto"/>
              <w:right w:val="nil"/>
            </w:tcBorders>
            <w:shd w:val="clear" w:color="auto" w:fill="auto"/>
            <w:noWrap/>
            <w:vAlign w:val="bottom"/>
            <w:hideMark/>
          </w:tcPr>
          <w:p w14:paraId="0BECFB20" w14:textId="1A5BF07B"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35,00</w:t>
            </w:r>
            <w:r w:rsidR="00CB570A">
              <w:rPr>
                <w:rFonts w:eastAsia="Times New Roman"/>
                <w:szCs w:val="24"/>
                <w:lang w:eastAsia="cs-CZ"/>
              </w:rPr>
              <w:t> %</w:t>
            </w:r>
          </w:p>
        </w:tc>
        <w:tc>
          <w:tcPr>
            <w:tcW w:w="1700" w:type="dxa"/>
            <w:tcBorders>
              <w:top w:val="nil"/>
              <w:left w:val="nil"/>
              <w:bottom w:val="single" w:sz="4" w:space="0" w:color="auto"/>
              <w:right w:val="nil"/>
            </w:tcBorders>
            <w:shd w:val="clear" w:color="auto" w:fill="auto"/>
            <w:noWrap/>
            <w:vAlign w:val="center"/>
            <w:hideMark/>
          </w:tcPr>
          <w:p w14:paraId="1D6AB67F"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-12,7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0D63809A" w14:textId="77777777" w:rsidTr="003811B0">
        <w:trPr>
          <w:trHeight w:val="330"/>
        </w:trPr>
        <w:tc>
          <w:tcPr>
            <w:tcW w:w="2496" w:type="dxa"/>
            <w:tcBorders>
              <w:top w:val="nil"/>
              <w:left w:val="nil"/>
              <w:bottom w:val="double" w:sz="6" w:space="0" w:color="auto"/>
              <w:right w:val="nil"/>
            </w:tcBorders>
            <w:shd w:val="clear" w:color="auto" w:fill="auto"/>
            <w:noWrap/>
            <w:vAlign w:val="bottom"/>
            <w:hideMark/>
          </w:tcPr>
          <w:p w14:paraId="5754C50B"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Ostrava</w:t>
            </w:r>
          </w:p>
        </w:tc>
        <w:tc>
          <w:tcPr>
            <w:tcW w:w="1756" w:type="dxa"/>
            <w:tcBorders>
              <w:top w:val="nil"/>
              <w:left w:val="nil"/>
              <w:bottom w:val="double" w:sz="6" w:space="0" w:color="auto"/>
              <w:right w:val="nil"/>
            </w:tcBorders>
            <w:shd w:val="clear" w:color="auto" w:fill="auto"/>
            <w:noWrap/>
            <w:vAlign w:val="bottom"/>
            <w:hideMark/>
          </w:tcPr>
          <w:p w14:paraId="6A1808D1" w14:textId="3A7116AA"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37,08</w:t>
            </w:r>
            <w:r w:rsidR="00CB570A">
              <w:rPr>
                <w:rFonts w:eastAsia="Times New Roman"/>
                <w:szCs w:val="24"/>
                <w:lang w:eastAsia="cs-CZ"/>
              </w:rPr>
              <w:t> %</w:t>
            </w:r>
          </w:p>
        </w:tc>
        <w:tc>
          <w:tcPr>
            <w:tcW w:w="1700" w:type="dxa"/>
            <w:tcBorders>
              <w:top w:val="nil"/>
              <w:left w:val="nil"/>
              <w:bottom w:val="double" w:sz="6" w:space="0" w:color="auto"/>
              <w:right w:val="nil"/>
            </w:tcBorders>
            <w:shd w:val="clear" w:color="auto" w:fill="auto"/>
            <w:noWrap/>
            <w:vAlign w:val="center"/>
            <w:hideMark/>
          </w:tcPr>
          <w:p w14:paraId="37172141" w14:textId="77777777" w:rsidR="00AA6138" w:rsidRPr="00A00187" w:rsidRDefault="00AA6138" w:rsidP="003811B0">
            <w:pPr>
              <w:spacing w:line="240" w:lineRule="auto"/>
              <w:jc w:val="center"/>
              <w:rPr>
                <w:rFonts w:eastAsia="Times New Roman"/>
                <w:sz w:val="20"/>
                <w:szCs w:val="20"/>
                <w:lang w:eastAsia="cs-CZ"/>
              </w:rPr>
            </w:pPr>
            <w:r w:rsidRPr="00A00187">
              <w:rPr>
                <w:rFonts w:eastAsia="Times New Roman"/>
                <w:sz w:val="20"/>
                <w:szCs w:val="20"/>
                <w:lang w:eastAsia="cs-CZ"/>
              </w:rPr>
              <w:t xml:space="preserve">-3,6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B5C3C9D" w14:textId="77777777" w:rsidTr="003811B0">
        <w:trPr>
          <w:trHeight w:val="345"/>
        </w:trPr>
        <w:tc>
          <w:tcPr>
            <w:tcW w:w="2496" w:type="dxa"/>
            <w:tcBorders>
              <w:top w:val="nil"/>
              <w:left w:val="nil"/>
              <w:bottom w:val="double" w:sz="6" w:space="0" w:color="auto"/>
              <w:right w:val="nil"/>
            </w:tcBorders>
            <w:shd w:val="clear" w:color="auto" w:fill="auto"/>
            <w:noWrap/>
            <w:vAlign w:val="bottom"/>
            <w:hideMark/>
          </w:tcPr>
          <w:p w14:paraId="3D493A16" w14:textId="77777777" w:rsidR="00AA6138" w:rsidRPr="00A00187" w:rsidRDefault="00AA6138" w:rsidP="003811B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756" w:type="dxa"/>
            <w:tcBorders>
              <w:top w:val="nil"/>
              <w:left w:val="nil"/>
              <w:bottom w:val="double" w:sz="6" w:space="0" w:color="auto"/>
              <w:right w:val="nil"/>
            </w:tcBorders>
            <w:shd w:val="clear" w:color="auto" w:fill="auto"/>
            <w:noWrap/>
            <w:vAlign w:val="bottom"/>
            <w:hideMark/>
          </w:tcPr>
          <w:p w14:paraId="3D4622ED" w14:textId="73786018"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42,60</w:t>
            </w:r>
            <w:r w:rsidR="00CB570A">
              <w:rPr>
                <w:rFonts w:eastAsia="Times New Roman"/>
                <w:b/>
                <w:bCs/>
                <w:szCs w:val="24"/>
                <w:lang w:eastAsia="cs-CZ"/>
              </w:rPr>
              <w:t> %</w:t>
            </w:r>
          </w:p>
        </w:tc>
        <w:tc>
          <w:tcPr>
            <w:tcW w:w="1700" w:type="dxa"/>
            <w:tcBorders>
              <w:top w:val="nil"/>
              <w:left w:val="nil"/>
              <w:bottom w:val="double" w:sz="6" w:space="0" w:color="auto"/>
              <w:right w:val="nil"/>
            </w:tcBorders>
            <w:shd w:val="clear" w:color="auto" w:fill="auto"/>
            <w:noWrap/>
            <w:vAlign w:val="center"/>
            <w:hideMark/>
          </w:tcPr>
          <w:p w14:paraId="46B6BC22" w14:textId="77777777" w:rsidR="00AA6138" w:rsidRPr="00A00187" w:rsidRDefault="00AA6138" w:rsidP="003811B0">
            <w:pPr>
              <w:spacing w:line="240" w:lineRule="auto"/>
              <w:jc w:val="center"/>
              <w:rPr>
                <w:rFonts w:eastAsia="Times New Roman"/>
                <w:b/>
                <w:bCs/>
                <w:sz w:val="20"/>
                <w:szCs w:val="20"/>
                <w:lang w:eastAsia="cs-CZ"/>
              </w:rPr>
            </w:pPr>
            <w:r w:rsidRPr="00A00187">
              <w:rPr>
                <w:rFonts w:eastAsia="Times New Roman"/>
                <w:b/>
                <w:bCs/>
                <w:sz w:val="20"/>
                <w:szCs w:val="20"/>
                <w:lang w:eastAsia="cs-CZ"/>
              </w:rPr>
              <w:t xml:space="preserve">+0,6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A6138" w:rsidRPr="00A00187" w14:paraId="3D5D8AD8" w14:textId="77777777" w:rsidTr="003811B0">
        <w:trPr>
          <w:trHeight w:val="330"/>
        </w:trPr>
        <w:tc>
          <w:tcPr>
            <w:tcW w:w="2496" w:type="dxa"/>
            <w:tcBorders>
              <w:top w:val="nil"/>
              <w:left w:val="nil"/>
              <w:bottom w:val="nil"/>
              <w:right w:val="nil"/>
            </w:tcBorders>
            <w:shd w:val="clear" w:color="auto" w:fill="auto"/>
            <w:noWrap/>
            <w:vAlign w:val="bottom"/>
            <w:hideMark/>
          </w:tcPr>
          <w:p w14:paraId="4C8E5230" w14:textId="77777777" w:rsidR="00AA6138" w:rsidRPr="00A00187" w:rsidRDefault="00AA6138" w:rsidP="003811B0">
            <w:pPr>
              <w:spacing w:line="240" w:lineRule="auto"/>
              <w:jc w:val="right"/>
              <w:rPr>
                <w:rFonts w:eastAsia="Times New Roman"/>
                <w:b/>
                <w:bCs/>
                <w:sz w:val="20"/>
                <w:szCs w:val="20"/>
                <w:lang w:eastAsia="cs-CZ"/>
              </w:rPr>
            </w:pPr>
          </w:p>
        </w:tc>
        <w:tc>
          <w:tcPr>
            <w:tcW w:w="1756" w:type="dxa"/>
            <w:tcBorders>
              <w:top w:val="nil"/>
              <w:left w:val="nil"/>
              <w:bottom w:val="nil"/>
              <w:right w:val="nil"/>
            </w:tcBorders>
            <w:shd w:val="clear" w:color="auto" w:fill="auto"/>
            <w:noWrap/>
            <w:vAlign w:val="bottom"/>
            <w:hideMark/>
          </w:tcPr>
          <w:p w14:paraId="0AF3DEB9" w14:textId="77777777" w:rsidR="00AA6138" w:rsidRPr="00A00187" w:rsidRDefault="00AA6138" w:rsidP="003811B0">
            <w:pPr>
              <w:spacing w:line="240" w:lineRule="auto"/>
              <w:jc w:val="left"/>
              <w:rPr>
                <w:rFonts w:ascii="Times New Roman" w:eastAsia="Times New Roman" w:hAnsi="Times New Roman"/>
                <w:sz w:val="20"/>
                <w:szCs w:val="20"/>
                <w:lang w:eastAsia="cs-CZ"/>
              </w:rPr>
            </w:pPr>
          </w:p>
        </w:tc>
        <w:tc>
          <w:tcPr>
            <w:tcW w:w="1700" w:type="dxa"/>
            <w:tcBorders>
              <w:top w:val="nil"/>
              <w:left w:val="nil"/>
              <w:bottom w:val="nil"/>
              <w:right w:val="nil"/>
            </w:tcBorders>
            <w:shd w:val="clear" w:color="auto" w:fill="auto"/>
            <w:noWrap/>
            <w:vAlign w:val="bottom"/>
            <w:hideMark/>
          </w:tcPr>
          <w:p w14:paraId="48B4062B" w14:textId="77777777" w:rsidR="00AA6138" w:rsidRPr="00A00187" w:rsidRDefault="00AA6138" w:rsidP="003811B0">
            <w:pPr>
              <w:spacing w:line="240" w:lineRule="auto"/>
              <w:jc w:val="left"/>
              <w:rPr>
                <w:rFonts w:ascii="Times New Roman" w:eastAsia="Times New Roman" w:hAnsi="Times New Roman"/>
                <w:sz w:val="20"/>
                <w:szCs w:val="20"/>
                <w:lang w:eastAsia="cs-CZ"/>
              </w:rPr>
            </w:pPr>
          </w:p>
        </w:tc>
      </w:tr>
    </w:tbl>
    <w:p w14:paraId="48A45789" w14:textId="77777777" w:rsidR="00AA6138" w:rsidRPr="00A00187" w:rsidRDefault="00AA6138" w:rsidP="00AA6138">
      <w:pPr>
        <w:spacing w:line="240" w:lineRule="auto"/>
        <w:jc w:val="left"/>
      </w:pPr>
    </w:p>
    <w:p w14:paraId="63BEFF27" w14:textId="77777777" w:rsidR="00AA6138" w:rsidRPr="00A00187" w:rsidRDefault="00AA6138" w:rsidP="00AA6138">
      <w:pPr>
        <w:spacing w:line="240" w:lineRule="auto"/>
        <w:jc w:val="left"/>
      </w:pPr>
    </w:p>
    <w:p w14:paraId="314F79F3" w14:textId="6CB7395B" w:rsidR="00AA6138" w:rsidRPr="00A00187" w:rsidRDefault="00AA6138" w:rsidP="00AA6138">
      <w:pPr>
        <w:pStyle w:val="Podnadpis"/>
        <w:rPr>
          <w:color w:val="auto"/>
        </w:rPr>
      </w:pPr>
      <w:bookmarkStart w:id="218" w:name="_Toc75952197"/>
      <w:bookmarkStart w:id="219" w:name="_Toc106106650"/>
      <w:bookmarkStart w:id="220" w:name="_Toc109801974"/>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16</w:t>
      </w:r>
      <w:r w:rsidRPr="00A00187">
        <w:rPr>
          <w:color w:val="auto"/>
        </w:rPr>
        <w:fldChar w:fldCharType="end"/>
      </w:r>
      <w:r w:rsidRPr="00A00187">
        <w:rPr>
          <w:color w:val="auto"/>
        </w:rPr>
        <w:t>: OS – míra změny rozsudku u jednotlivých soudů v civilním řízení</w:t>
      </w:r>
      <w:bookmarkEnd w:id="218"/>
      <w:bookmarkEnd w:id="219"/>
      <w:bookmarkEnd w:id="220"/>
    </w:p>
    <w:p w14:paraId="51061FA4" w14:textId="77777777" w:rsidR="00AA6138" w:rsidRPr="00A00187" w:rsidRDefault="00AA6138" w:rsidP="00AA6138">
      <w:pPr>
        <w:spacing w:line="240" w:lineRule="auto"/>
        <w:jc w:val="left"/>
      </w:pPr>
      <w:r w:rsidRPr="00A00187">
        <w:rPr>
          <w:noProof/>
        </w:rPr>
        <w:drawing>
          <wp:anchor distT="0" distB="0" distL="114300" distR="114300" simplePos="0" relativeHeight="251689984" behindDoc="0" locked="0" layoutInCell="1" allowOverlap="1" wp14:anchorId="08C9A29F" wp14:editId="3A706EA6">
            <wp:simplePos x="0" y="0"/>
            <wp:positionH relativeFrom="margin">
              <wp:align>right</wp:align>
            </wp:positionH>
            <wp:positionV relativeFrom="paragraph">
              <wp:posOffset>13335</wp:posOffset>
            </wp:positionV>
            <wp:extent cx="1238400" cy="900000"/>
            <wp:effectExtent l="0" t="0" r="0" b="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anchor>
        </w:drawing>
      </w:r>
      <w:r w:rsidRPr="00A00187">
        <w:rPr>
          <w:noProof/>
        </w:rPr>
        <w:drawing>
          <wp:inline distT="0" distB="0" distL="0" distR="0" wp14:anchorId="0651BBB0" wp14:editId="0899F933">
            <wp:extent cx="5759450" cy="329628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2F8B18A" w14:textId="77777777" w:rsidR="00AA6138" w:rsidRPr="00A00187" w:rsidRDefault="00AA6138" w:rsidP="00AA6138">
      <w:pPr>
        <w:spacing w:line="240" w:lineRule="auto"/>
        <w:jc w:val="left"/>
      </w:pPr>
    </w:p>
    <w:p w14:paraId="49BFE89A" w14:textId="7724F276" w:rsidR="00AA6138" w:rsidRPr="00A00187" w:rsidRDefault="00AA6138" w:rsidP="00AA6138">
      <w:pPr>
        <w:pStyle w:val="OdstavecASR"/>
      </w:pPr>
      <w:r w:rsidRPr="00A00187">
        <w:t xml:space="preserve">Míra změny rozsudku je stejně jako v předchozím roce nejnižší v Praze a nově </w:t>
      </w:r>
      <w:r w:rsidR="00726EC3" w:rsidRPr="00A00187">
        <w:t>v</w:t>
      </w:r>
      <w:r w:rsidR="00726EC3">
        <w:t> </w:t>
      </w:r>
      <w:r w:rsidRPr="00A00187">
        <w:t>Jihomoravském kraji. Celorepublikově došlo k mírnému nárůstu míry změny rozsudku. Z okresních soudů mají nejnižší míru změny rozsudku OS pro Prahu 7 (13,08</w:t>
      </w:r>
      <w:r w:rsidR="00CB570A">
        <w:t> %</w:t>
      </w:r>
      <w:r w:rsidRPr="00A00187">
        <w:t>), OS pro Prahu 3 (20,97</w:t>
      </w:r>
      <w:r w:rsidR="00CB570A">
        <w:t> %</w:t>
      </w:r>
      <w:r w:rsidRPr="00A00187">
        <w:t>) a OS Jičín (25,71</w:t>
      </w:r>
      <w:r w:rsidR="00CB570A">
        <w:t> %</w:t>
      </w:r>
      <w:r w:rsidRPr="00A00187">
        <w:t>). Na druhém konci se nacházejí OS Vyškov (67,65</w:t>
      </w:r>
      <w:r w:rsidR="00CB570A">
        <w:t> %</w:t>
      </w:r>
      <w:r w:rsidRPr="00A00187">
        <w:t>), OS Ústí nad Labem (61,86</w:t>
      </w:r>
      <w:r w:rsidR="00CB570A">
        <w:t> %</w:t>
      </w:r>
      <w:r w:rsidRPr="00A00187">
        <w:t>) a OS Kroměříž (61,70</w:t>
      </w:r>
      <w:r w:rsidR="00CB570A">
        <w:t> %</w:t>
      </w:r>
      <w:r w:rsidRPr="00A00187">
        <w:t>).</w:t>
      </w:r>
    </w:p>
    <w:p w14:paraId="624B4452" w14:textId="34570439" w:rsidR="00AA6138" w:rsidRPr="00A00187" w:rsidRDefault="00AA6138" w:rsidP="00AA6138">
      <w:pPr>
        <w:pStyle w:val="OdstavecASR"/>
      </w:pPr>
      <w:r w:rsidRPr="00A00187">
        <w:t xml:space="preserve">Vynásobením míry odvolání a míry změny rozsudku dostaneme podíl věcí, ve kterých odvolací soud nakonec změnil rozhodnutí soudu I. stupně ke všem prvostupňovým rozhodnutím. Tento ukazatel budeme nazývat </w:t>
      </w:r>
      <w:r w:rsidRPr="00A00187">
        <w:rPr>
          <w:i/>
        </w:rPr>
        <w:t>míra celkové změny rozsudku</w:t>
      </w:r>
      <w:r w:rsidRPr="00A00187">
        <w:t>. Tato míra se v roce 2019 rovnala 7,81</w:t>
      </w:r>
      <w:r w:rsidR="00CB570A">
        <w:t> %</w:t>
      </w:r>
      <w:r w:rsidRPr="00A00187">
        <w:t> ×</w:t>
      </w:r>
      <w:r w:rsidR="009E4F53">
        <w:t> </w:t>
      </w:r>
      <w:r w:rsidRPr="00A00187">
        <w:t>44,6</w:t>
      </w:r>
      <w:r w:rsidR="00CB570A">
        <w:t> %</w:t>
      </w:r>
      <w:r w:rsidRPr="00A00187">
        <w:t> </w:t>
      </w:r>
      <w:r w:rsidRPr="00A00187">
        <w:rPr>
          <w:rFonts w:ascii="Cambria Math" w:hAnsi="Cambria Math" w:cs="Cambria Math"/>
        </w:rPr>
        <w:t>≐</w:t>
      </w:r>
      <w:r w:rsidRPr="00A00187">
        <w:t xml:space="preserve"> 3,48</w:t>
      </w:r>
      <w:r w:rsidR="00CB570A">
        <w:t> %</w:t>
      </w:r>
      <w:r w:rsidR="005F6368" w:rsidRPr="00A00187">
        <w:t>,</w:t>
      </w:r>
      <w:r w:rsidRPr="00A00187">
        <w:t xml:space="preserve"> </w:t>
      </w:r>
      <w:r w:rsidR="005F6368" w:rsidRPr="00A00187">
        <w:t>v</w:t>
      </w:r>
      <w:r w:rsidRPr="00A00187">
        <w:t xml:space="preserve"> roce 2020 </w:t>
      </w:r>
      <w:r w:rsidR="005F6368" w:rsidRPr="00A00187">
        <w:t>činila</w:t>
      </w:r>
      <w:r w:rsidRPr="00A00187">
        <w:t xml:space="preserve"> 8,16</w:t>
      </w:r>
      <w:r w:rsidR="00CB570A">
        <w:t> %</w:t>
      </w:r>
      <w:r w:rsidRPr="00A00187">
        <w:t> × 44,0</w:t>
      </w:r>
      <w:r w:rsidR="00CB570A">
        <w:t> %</w:t>
      </w:r>
      <w:r w:rsidRPr="00A00187">
        <w:t> </w:t>
      </w:r>
      <w:r w:rsidRPr="00A00187">
        <w:rPr>
          <w:rFonts w:ascii="Cambria Math" w:hAnsi="Cambria Math" w:cs="Cambria Math"/>
        </w:rPr>
        <w:t>≐</w:t>
      </w:r>
      <w:r w:rsidRPr="00A00187">
        <w:t xml:space="preserve"> 3,59</w:t>
      </w:r>
      <w:r w:rsidR="00CB570A">
        <w:t> %</w:t>
      </w:r>
      <w:r w:rsidR="005F6368" w:rsidRPr="00A00187">
        <w:t xml:space="preserve">, </w:t>
      </w:r>
      <w:r w:rsidR="00726EC3" w:rsidRPr="00A00187">
        <w:t>a</w:t>
      </w:r>
      <w:r w:rsidR="00726EC3">
        <w:t> </w:t>
      </w:r>
      <w:r w:rsidR="005F6368" w:rsidRPr="00A00187">
        <w:t xml:space="preserve">konečně </w:t>
      </w:r>
      <w:r w:rsidRPr="00A00187">
        <w:t xml:space="preserve">v roce 2021 </w:t>
      </w:r>
      <w:r w:rsidR="005F6368" w:rsidRPr="00A00187">
        <w:t>představovala</w:t>
      </w:r>
      <w:r w:rsidRPr="00A00187">
        <w:t xml:space="preserve"> 7,46</w:t>
      </w:r>
      <w:r w:rsidR="00CB570A">
        <w:t> %</w:t>
      </w:r>
      <w:r w:rsidRPr="00A00187">
        <w:t xml:space="preserve"> × 42,60</w:t>
      </w:r>
      <w:r w:rsidR="00CB570A">
        <w:t> %</w:t>
      </w:r>
      <w:r w:rsidRPr="00A00187">
        <w:t xml:space="preserve"> </w:t>
      </w:r>
      <w:r w:rsidRPr="00A00187">
        <w:rPr>
          <w:rFonts w:ascii="Cambria Math" w:hAnsi="Cambria Math" w:cs="Cambria Math"/>
        </w:rPr>
        <w:t>≐</w:t>
      </w:r>
      <w:r w:rsidRPr="00A00187">
        <w:t xml:space="preserve"> 3,18</w:t>
      </w:r>
      <w:r w:rsidR="00CB570A">
        <w:t> %</w:t>
      </w:r>
      <w:r w:rsidRPr="00A00187">
        <w:t>.</w:t>
      </w:r>
    </w:p>
    <w:p w14:paraId="7C88D899" w14:textId="77777777" w:rsidR="00AA6138" w:rsidRPr="00A00187" w:rsidRDefault="00AA6138" w:rsidP="007F73C9">
      <w:pPr>
        <w:pStyle w:val="OdstavecASR"/>
        <w:keepNext/>
        <w:outlineLvl w:val="3"/>
        <w:rPr>
          <w:b/>
          <w:bCs/>
        </w:rPr>
      </w:pPr>
      <w:r w:rsidRPr="00A00187">
        <w:rPr>
          <w:b/>
          <w:bCs/>
        </w:rPr>
        <w:t>Přepočet nápadu na obyvatele</w:t>
      </w:r>
    </w:p>
    <w:p w14:paraId="28EA6B7B" w14:textId="036A172C" w:rsidR="00AA6138" w:rsidRPr="00A00187" w:rsidRDefault="00AA6138" w:rsidP="00AA6138">
      <w:pPr>
        <w:pStyle w:val="OdstavecASR"/>
      </w:pPr>
      <w:r w:rsidRPr="00A00187">
        <w:t>Jako další statistiku uvádíme přepočet nápadu na 1 000 obyvatel. Odkazuje</w:t>
      </w:r>
      <w:r w:rsidR="00F637BB" w:rsidRPr="00A00187">
        <w:t>me</w:t>
      </w:r>
      <w:r w:rsidRPr="00A00187">
        <w:t>-li se ve zprávě na počet obyvatel, jedná se o obyvatele bez ohledu na státní příslušnost</w:t>
      </w:r>
      <w:r w:rsidR="001C744A" w:rsidRPr="00A00187">
        <w:t>.</w:t>
      </w:r>
      <w:r w:rsidRPr="00A00187">
        <w:t xml:space="preserve"> Pokud se uvádí počty obyvatel dle soudních krajů, jedná se o:</w:t>
      </w:r>
    </w:p>
    <w:p w14:paraId="442A17F0" w14:textId="77777777" w:rsidR="00AA6138" w:rsidRPr="00A00187" w:rsidRDefault="00AA6138" w:rsidP="00AA6138">
      <w:pPr>
        <w:pStyle w:val="Odstavecseseznamem"/>
        <w:numPr>
          <w:ilvl w:val="1"/>
          <w:numId w:val="3"/>
        </w:numPr>
      </w:pPr>
      <w:r w:rsidRPr="00A00187">
        <w:t>počet obyvatel dopočítaný dle počtu obyvatel okresů spadajících do daného soudního kraje,</w:t>
      </w:r>
    </w:p>
    <w:p w14:paraId="1DE52C41" w14:textId="77777777" w:rsidR="00AA6138" w:rsidRPr="00A00187" w:rsidRDefault="00AA6138" w:rsidP="00AA6138">
      <w:pPr>
        <w:pStyle w:val="Odstavecseseznamem"/>
        <w:numPr>
          <w:ilvl w:val="1"/>
          <w:numId w:val="3"/>
        </w:numPr>
      </w:pPr>
      <w:r w:rsidRPr="00A00187">
        <w:t>počet obyvatel majících v daném okresu/soudním kraji trvalé bydliště.</w:t>
      </w:r>
    </w:p>
    <w:p w14:paraId="4751870B" w14:textId="2DB42E36" w:rsidR="001C744A" w:rsidRPr="00A00187" w:rsidRDefault="001C744A" w:rsidP="00647F65">
      <w:pPr>
        <w:spacing w:after="160" w:line="259" w:lineRule="auto"/>
        <w:jc w:val="left"/>
      </w:pPr>
      <w:r w:rsidRPr="00A00187">
        <w:br w:type="page"/>
      </w:r>
    </w:p>
    <w:p w14:paraId="7D669784" w14:textId="420565B1" w:rsidR="00AA6138" w:rsidRPr="00A00187" w:rsidRDefault="00AA6138" w:rsidP="00AA6138">
      <w:pPr>
        <w:pStyle w:val="Podnadpis"/>
        <w:rPr>
          <w:color w:val="auto"/>
        </w:rPr>
      </w:pPr>
      <w:bookmarkStart w:id="221" w:name="_Toc75952319"/>
      <w:bookmarkStart w:id="222" w:name="_Toc106106778"/>
      <w:bookmarkStart w:id="223" w:name="_Toc109802101"/>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16</w:t>
      </w:r>
      <w:r w:rsidRPr="00A00187">
        <w:rPr>
          <w:noProof/>
          <w:color w:val="auto"/>
        </w:rPr>
        <w:fldChar w:fldCharType="end"/>
      </w:r>
      <w:r w:rsidRPr="00A00187">
        <w:rPr>
          <w:color w:val="auto"/>
        </w:rPr>
        <w:t>: OS – nápad civilních věcí na 1 000 obyvatel</w:t>
      </w:r>
      <w:bookmarkEnd w:id="221"/>
      <w:bookmarkEnd w:id="222"/>
      <w:bookmarkEnd w:id="223"/>
    </w:p>
    <w:tbl>
      <w:tblPr>
        <w:tblW w:w="7880" w:type="dxa"/>
        <w:tblCellMar>
          <w:left w:w="70" w:type="dxa"/>
          <w:right w:w="70" w:type="dxa"/>
        </w:tblCellMar>
        <w:tblLook w:val="04A0" w:firstRow="1" w:lastRow="0" w:firstColumn="1" w:lastColumn="0" w:noHBand="0" w:noVBand="1"/>
      </w:tblPr>
      <w:tblGrid>
        <w:gridCol w:w="1836"/>
        <w:gridCol w:w="2036"/>
        <w:gridCol w:w="2036"/>
        <w:gridCol w:w="1972"/>
      </w:tblGrid>
      <w:tr w:rsidR="00AC1E67" w:rsidRPr="00A00187" w14:paraId="4095B1B9" w14:textId="77777777" w:rsidTr="003811B0">
        <w:trPr>
          <w:trHeight w:val="660"/>
        </w:trPr>
        <w:tc>
          <w:tcPr>
            <w:tcW w:w="1836" w:type="dxa"/>
            <w:tcBorders>
              <w:top w:val="double" w:sz="6" w:space="0" w:color="auto"/>
              <w:left w:val="nil"/>
              <w:bottom w:val="double" w:sz="6" w:space="0" w:color="auto"/>
              <w:right w:val="nil"/>
            </w:tcBorders>
            <w:shd w:val="clear" w:color="auto" w:fill="auto"/>
            <w:noWrap/>
            <w:vAlign w:val="center"/>
            <w:hideMark/>
          </w:tcPr>
          <w:p w14:paraId="63CFA434"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2036" w:type="dxa"/>
            <w:tcBorders>
              <w:top w:val="double" w:sz="6" w:space="0" w:color="auto"/>
              <w:left w:val="nil"/>
              <w:bottom w:val="double" w:sz="6" w:space="0" w:color="auto"/>
              <w:right w:val="nil"/>
            </w:tcBorders>
            <w:shd w:val="clear" w:color="auto" w:fill="auto"/>
            <w:noWrap/>
            <w:vAlign w:val="center"/>
            <w:hideMark/>
          </w:tcPr>
          <w:p w14:paraId="2FDB4578"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Počet obyvatel</w:t>
            </w:r>
          </w:p>
        </w:tc>
        <w:tc>
          <w:tcPr>
            <w:tcW w:w="2036" w:type="dxa"/>
            <w:tcBorders>
              <w:top w:val="double" w:sz="6" w:space="0" w:color="auto"/>
              <w:left w:val="nil"/>
              <w:bottom w:val="double" w:sz="6" w:space="0" w:color="auto"/>
              <w:right w:val="nil"/>
            </w:tcBorders>
            <w:shd w:val="clear" w:color="auto" w:fill="auto"/>
            <w:noWrap/>
            <w:vAlign w:val="center"/>
            <w:hideMark/>
          </w:tcPr>
          <w:p w14:paraId="0A04D9A0"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Nápad</w:t>
            </w:r>
          </w:p>
        </w:tc>
        <w:tc>
          <w:tcPr>
            <w:tcW w:w="1972" w:type="dxa"/>
            <w:tcBorders>
              <w:top w:val="double" w:sz="6" w:space="0" w:color="auto"/>
              <w:left w:val="nil"/>
              <w:bottom w:val="double" w:sz="6" w:space="0" w:color="auto"/>
              <w:right w:val="nil"/>
            </w:tcBorders>
            <w:shd w:val="clear" w:color="auto" w:fill="auto"/>
            <w:vAlign w:val="center"/>
            <w:hideMark/>
          </w:tcPr>
          <w:p w14:paraId="771D781C"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Nápad/1000 obyvatel</w:t>
            </w:r>
          </w:p>
        </w:tc>
      </w:tr>
      <w:tr w:rsidR="00AC1E67" w:rsidRPr="00A00187" w14:paraId="17BC8267" w14:textId="77777777" w:rsidTr="003811B0">
        <w:trPr>
          <w:trHeight w:val="330"/>
        </w:trPr>
        <w:tc>
          <w:tcPr>
            <w:tcW w:w="1836" w:type="dxa"/>
            <w:tcBorders>
              <w:top w:val="nil"/>
              <w:left w:val="nil"/>
              <w:bottom w:val="single" w:sz="4" w:space="0" w:color="auto"/>
              <w:right w:val="nil"/>
            </w:tcBorders>
            <w:shd w:val="clear" w:color="auto" w:fill="auto"/>
            <w:noWrap/>
            <w:vAlign w:val="bottom"/>
            <w:hideMark/>
          </w:tcPr>
          <w:p w14:paraId="49CFE13F"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MS Praha</w:t>
            </w:r>
          </w:p>
        </w:tc>
        <w:tc>
          <w:tcPr>
            <w:tcW w:w="2036" w:type="dxa"/>
            <w:tcBorders>
              <w:top w:val="nil"/>
              <w:left w:val="nil"/>
              <w:bottom w:val="single" w:sz="4" w:space="0" w:color="auto"/>
              <w:right w:val="nil"/>
            </w:tcBorders>
            <w:shd w:val="clear" w:color="auto" w:fill="auto"/>
            <w:noWrap/>
            <w:vAlign w:val="bottom"/>
            <w:hideMark/>
          </w:tcPr>
          <w:p w14:paraId="4700FBF6"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1 324 277</w:t>
            </w:r>
          </w:p>
        </w:tc>
        <w:tc>
          <w:tcPr>
            <w:tcW w:w="2036" w:type="dxa"/>
            <w:tcBorders>
              <w:top w:val="single" w:sz="4" w:space="0" w:color="auto"/>
              <w:left w:val="nil"/>
              <w:bottom w:val="single" w:sz="4" w:space="0" w:color="auto"/>
              <w:right w:val="nil"/>
            </w:tcBorders>
            <w:shd w:val="clear" w:color="auto" w:fill="auto"/>
            <w:noWrap/>
            <w:vAlign w:val="bottom"/>
            <w:hideMark/>
          </w:tcPr>
          <w:p w14:paraId="0BCEF08D" w14:textId="21DAEF1D"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60</w:t>
            </w:r>
            <w:r w:rsidR="00656D15" w:rsidRPr="00A00187">
              <w:rPr>
                <w:rFonts w:eastAsia="Times New Roman"/>
                <w:szCs w:val="24"/>
                <w:lang w:eastAsia="cs-CZ"/>
              </w:rPr>
              <w:t xml:space="preserve"> </w:t>
            </w:r>
            <w:r w:rsidRPr="00A00187">
              <w:rPr>
                <w:rFonts w:eastAsia="Times New Roman"/>
                <w:szCs w:val="24"/>
                <w:lang w:eastAsia="cs-CZ"/>
              </w:rPr>
              <w:t>931</w:t>
            </w:r>
          </w:p>
        </w:tc>
        <w:tc>
          <w:tcPr>
            <w:tcW w:w="1972" w:type="dxa"/>
            <w:tcBorders>
              <w:top w:val="nil"/>
              <w:left w:val="nil"/>
              <w:bottom w:val="single" w:sz="4" w:space="0" w:color="auto"/>
              <w:right w:val="nil"/>
            </w:tcBorders>
            <w:shd w:val="clear" w:color="auto" w:fill="auto"/>
            <w:noWrap/>
            <w:vAlign w:val="bottom"/>
            <w:hideMark/>
          </w:tcPr>
          <w:p w14:paraId="1CEEFF15"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46</w:t>
            </w:r>
          </w:p>
        </w:tc>
      </w:tr>
      <w:tr w:rsidR="00AC1E67" w:rsidRPr="00A00187" w14:paraId="38E6A224" w14:textId="77777777" w:rsidTr="003811B0">
        <w:trPr>
          <w:trHeight w:val="315"/>
        </w:trPr>
        <w:tc>
          <w:tcPr>
            <w:tcW w:w="1836" w:type="dxa"/>
            <w:tcBorders>
              <w:top w:val="nil"/>
              <w:left w:val="nil"/>
              <w:bottom w:val="single" w:sz="4" w:space="0" w:color="auto"/>
              <w:right w:val="nil"/>
            </w:tcBorders>
            <w:shd w:val="clear" w:color="auto" w:fill="auto"/>
            <w:noWrap/>
            <w:vAlign w:val="bottom"/>
            <w:hideMark/>
          </w:tcPr>
          <w:p w14:paraId="35E35E9E"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Praha</w:t>
            </w:r>
          </w:p>
        </w:tc>
        <w:tc>
          <w:tcPr>
            <w:tcW w:w="2036" w:type="dxa"/>
            <w:tcBorders>
              <w:top w:val="nil"/>
              <w:left w:val="nil"/>
              <w:bottom w:val="single" w:sz="4" w:space="0" w:color="auto"/>
              <w:right w:val="nil"/>
            </w:tcBorders>
            <w:shd w:val="clear" w:color="auto" w:fill="auto"/>
            <w:noWrap/>
            <w:vAlign w:val="bottom"/>
            <w:hideMark/>
          </w:tcPr>
          <w:p w14:paraId="6EB1ABE3"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1 385 141</w:t>
            </w:r>
          </w:p>
        </w:tc>
        <w:tc>
          <w:tcPr>
            <w:tcW w:w="2036" w:type="dxa"/>
            <w:tcBorders>
              <w:top w:val="nil"/>
              <w:left w:val="nil"/>
              <w:bottom w:val="single" w:sz="4" w:space="0" w:color="auto"/>
              <w:right w:val="nil"/>
            </w:tcBorders>
            <w:shd w:val="clear" w:color="auto" w:fill="auto"/>
            <w:noWrap/>
            <w:vAlign w:val="bottom"/>
            <w:hideMark/>
          </w:tcPr>
          <w:p w14:paraId="311C1129" w14:textId="6713E66D"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34</w:t>
            </w:r>
            <w:r w:rsidR="00656D15" w:rsidRPr="00A00187">
              <w:rPr>
                <w:rFonts w:eastAsia="Times New Roman"/>
                <w:szCs w:val="24"/>
                <w:lang w:eastAsia="cs-CZ"/>
              </w:rPr>
              <w:t xml:space="preserve"> </w:t>
            </w:r>
            <w:r w:rsidRPr="00A00187">
              <w:rPr>
                <w:rFonts w:eastAsia="Times New Roman"/>
                <w:szCs w:val="24"/>
                <w:lang w:eastAsia="cs-CZ"/>
              </w:rPr>
              <w:t>234</w:t>
            </w:r>
          </w:p>
        </w:tc>
        <w:tc>
          <w:tcPr>
            <w:tcW w:w="1972" w:type="dxa"/>
            <w:tcBorders>
              <w:top w:val="nil"/>
              <w:left w:val="nil"/>
              <w:bottom w:val="single" w:sz="4" w:space="0" w:color="auto"/>
              <w:right w:val="nil"/>
            </w:tcBorders>
            <w:shd w:val="clear" w:color="auto" w:fill="auto"/>
            <w:noWrap/>
            <w:vAlign w:val="bottom"/>
            <w:hideMark/>
          </w:tcPr>
          <w:p w14:paraId="1CCB28BD"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25</w:t>
            </w:r>
          </w:p>
        </w:tc>
      </w:tr>
      <w:tr w:rsidR="00AC1E67" w:rsidRPr="00A00187" w14:paraId="60137FB9" w14:textId="77777777" w:rsidTr="003811B0">
        <w:trPr>
          <w:trHeight w:val="315"/>
        </w:trPr>
        <w:tc>
          <w:tcPr>
            <w:tcW w:w="1836" w:type="dxa"/>
            <w:tcBorders>
              <w:top w:val="nil"/>
              <w:left w:val="nil"/>
              <w:bottom w:val="single" w:sz="4" w:space="0" w:color="auto"/>
              <w:right w:val="nil"/>
            </w:tcBorders>
            <w:shd w:val="clear" w:color="auto" w:fill="auto"/>
            <w:noWrap/>
            <w:vAlign w:val="bottom"/>
            <w:hideMark/>
          </w:tcPr>
          <w:p w14:paraId="02E723DC"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Č. Budějovice</w:t>
            </w:r>
          </w:p>
        </w:tc>
        <w:tc>
          <w:tcPr>
            <w:tcW w:w="2036" w:type="dxa"/>
            <w:tcBorders>
              <w:top w:val="nil"/>
              <w:left w:val="nil"/>
              <w:bottom w:val="single" w:sz="4" w:space="0" w:color="auto"/>
              <w:right w:val="nil"/>
            </w:tcBorders>
            <w:shd w:val="clear" w:color="auto" w:fill="auto"/>
            <w:noWrap/>
            <w:vAlign w:val="bottom"/>
            <w:hideMark/>
          </w:tcPr>
          <w:p w14:paraId="78576E29"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716 385</w:t>
            </w:r>
          </w:p>
        </w:tc>
        <w:tc>
          <w:tcPr>
            <w:tcW w:w="2036" w:type="dxa"/>
            <w:tcBorders>
              <w:top w:val="nil"/>
              <w:left w:val="nil"/>
              <w:bottom w:val="single" w:sz="4" w:space="0" w:color="auto"/>
              <w:right w:val="nil"/>
            </w:tcBorders>
            <w:shd w:val="clear" w:color="auto" w:fill="auto"/>
            <w:noWrap/>
            <w:vAlign w:val="bottom"/>
            <w:hideMark/>
          </w:tcPr>
          <w:p w14:paraId="4D2A006D" w14:textId="017BDAF6"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14</w:t>
            </w:r>
            <w:r w:rsidR="00656D15" w:rsidRPr="00A00187">
              <w:rPr>
                <w:rFonts w:eastAsia="Times New Roman"/>
                <w:szCs w:val="24"/>
                <w:lang w:eastAsia="cs-CZ"/>
              </w:rPr>
              <w:t xml:space="preserve"> </w:t>
            </w:r>
            <w:r w:rsidRPr="00A00187">
              <w:rPr>
                <w:rFonts w:eastAsia="Times New Roman"/>
                <w:szCs w:val="24"/>
                <w:lang w:eastAsia="cs-CZ"/>
              </w:rPr>
              <w:t>410</w:t>
            </w:r>
          </w:p>
        </w:tc>
        <w:tc>
          <w:tcPr>
            <w:tcW w:w="1972" w:type="dxa"/>
            <w:tcBorders>
              <w:top w:val="nil"/>
              <w:left w:val="nil"/>
              <w:bottom w:val="single" w:sz="4" w:space="0" w:color="auto"/>
              <w:right w:val="nil"/>
            </w:tcBorders>
            <w:shd w:val="clear" w:color="auto" w:fill="auto"/>
            <w:noWrap/>
            <w:vAlign w:val="bottom"/>
            <w:hideMark/>
          </w:tcPr>
          <w:p w14:paraId="5F5F24CC"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20</w:t>
            </w:r>
          </w:p>
        </w:tc>
      </w:tr>
      <w:tr w:rsidR="00AC1E67" w:rsidRPr="00A00187" w14:paraId="7257143F" w14:textId="77777777" w:rsidTr="003811B0">
        <w:trPr>
          <w:trHeight w:val="315"/>
        </w:trPr>
        <w:tc>
          <w:tcPr>
            <w:tcW w:w="1836" w:type="dxa"/>
            <w:tcBorders>
              <w:top w:val="nil"/>
              <w:left w:val="nil"/>
              <w:bottom w:val="single" w:sz="4" w:space="0" w:color="auto"/>
              <w:right w:val="nil"/>
            </w:tcBorders>
            <w:shd w:val="clear" w:color="auto" w:fill="auto"/>
            <w:noWrap/>
            <w:vAlign w:val="bottom"/>
            <w:hideMark/>
          </w:tcPr>
          <w:p w14:paraId="6717BF56"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Plzeň</w:t>
            </w:r>
          </w:p>
        </w:tc>
        <w:tc>
          <w:tcPr>
            <w:tcW w:w="2036" w:type="dxa"/>
            <w:tcBorders>
              <w:top w:val="nil"/>
              <w:left w:val="nil"/>
              <w:bottom w:val="single" w:sz="4" w:space="0" w:color="auto"/>
              <w:right w:val="nil"/>
            </w:tcBorders>
            <w:shd w:val="clear" w:color="auto" w:fill="auto"/>
            <w:noWrap/>
            <w:vAlign w:val="bottom"/>
            <w:hideMark/>
          </w:tcPr>
          <w:p w14:paraId="15142BFF"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884 563</w:t>
            </w:r>
          </w:p>
        </w:tc>
        <w:tc>
          <w:tcPr>
            <w:tcW w:w="2036" w:type="dxa"/>
            <w:tcBorders>
              <w:top w:val="nil"/>
              <w:left w:val="nil"/>
              <w:bottom w:val="single" w:sz="4" w:space="0" w:color="auto"/>
              <w:right w:val="nil"/>
            </w:tcBorders>
            <w:shd w:val="clear" w:color="auto" w:fill="auto"/>
            <w:noWrap/>
            <w:vAlign w:val="bottom"/>
            <w:hideMark/>
          </w:tcPr>
          <w:p w14:paraId="41E8A2BD" w14:textId="078BD069"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26</w:t>
            </w:r>
            <w:r w:rsidR="00656D15" w:rsidRPr="00A00187">
              <w:rPr>
                <w:rFonts w:eastAsia="Times New Roman"/>
                <w:szCs w:val="24"/>
                <w:lang w:eastAsia="cs-CZ"/>
              </w:rPr>
              <w:t xml:space="preserve"> </w:t>
            </w:r>
            <w:r w:rsidRPr="00A00187">
              <w:rPr>
                <w:rFonts w:eastAsia="Times New Roman"/>
                <w:szCs w:val="24"/>
                <w:lang w:eastAsia="cs-CZ"/>
              </w:rPr>
              <w:t>544</w:t>
            </w:r>
          </w:p>
        </w:tc>
        <w:tc>
          <w:tcPr>
            <w:tcW w:w="1972" w:type="dxa"/>
            <w:tcBorders>
              <w:top w:val="nil"/>
              <w:left w:val="nil"/>
              <w:bottom w:val="single" w:sz="4" w:space="0" w:color="auto"/>
              <w:right w:val="nil"/>
            </w:tcBorders>
            <w:shd w:val="clear" w:color="auto" w:fill="auto"/>
            <w:noWrap/>
            <w:vAlign w:val="bottom"/>
            <w:hideMark/>
          </w:tcPr>
          <w:p w14:paraId="14B802FB"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30</w:t>
            </w:r>
          </w:p>
        </w:tc>
      </w:tr>
      <w:tr w:rsidR="00AC1E67" w:rsidRPr="00A00187" w14:paraId="055D03F8" w14:textId="77777777" w:rsidTr="003811B0">
        <w:trPr>
          <w:trHeight w:val="315"/>
        </w:trPr>
        <w:tc>
          <w:tcPr>
            <w:tcW w:w="1836" w:type="dxa"/>
            <w:tcBorders>
              <w:top w:val="nil"/>
              <w:left w:val="nil"/>
              <w:bottom w:val="single" w:sz="4" w:space="0" w:color="auto"/>
              <w:right w:val="nil"/>
            </w:tcBorders>
            <w:shd w:val="clear" w:color="auto" w:fill="auto"/>
            <w:noWrap/>
            <w:vAlign w:val="bottom"/>
            <w:hideMark/>
          </w:tcPr>
          <w:p w14:paraId="11B0B684"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Ústí n. Labem</w:t>
            </w:r>
          </w:p>
        </w:tc>
        <w:tc>
          <w:tcPr>
            <w:tcW w:w="2036" w:type="dxa"/>
            <w:tcBorders>
              <w:top w:val="nil"/>
              <w:left w:val="nil"/>
              <w:bottom w:val="single" w:sz="4" w:space="0" w:color="auto"/>
              <w:right w:val="nil"/>
            </w:tcBorders>
            <w:shd w:val="clear" w:color="auto" w:fill="auto"/>
            <w:noWrap/>
            <w:vAlign w:val="bottom"/>
            <w:hideMark/>
          </w:tcPr>
          <w:p w14:paraId="4356A2B8"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1 190 558</w:t>
            </w:r>
          </w:p>
        </w:tc>
        <w:tc>
          <w:tcPr>
            <w:tcW w:w="2036" w:type="dxa"/>
            <w:tcBorders>
              <w:top w:val="nil"/>
              <w:left w:val="nil"/>
              <w:bottom w:val="single" w:sz="4" w:space="0" w:color="auto"/>
              <w:right w:val="nil"/>
            </w:tcBorders>
            <w:shd w:val="clear" w:color="auto" w:fill="auto"/>
            <w:noWrap/>
            <w:vAlign w:val="bottom"/>
            <w:hideMark/>
          </w:tcPr>
          <w:p w14:paraId="6DAD5298" w14:textId="19C6F2BD"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45</w:t>
            </w:r>
            <w:r w:rsidR="00656D15" w:rsidRPr="00A00187">
              <w:rPr>
                <w:rFonts w:eastAsia="Times New Roman"/>
                <w:szCs w:val="24"/>
                <w:lang w:eastAsia="cs-CZ"/>
              </w:rPr>
              <w:t xml:space="preserve"> </w:t>
            </w:r>
            <w:r w:rsidRPr="00A00187">
              <w:rPr>
                <w:rFonts w:eastAsia="Times New Roman"/>
                <w:szCs w:val="24"/>
                <w:lang w:eastAsia="cs-CZ"/>
              </w:rPr>
              <w:t>323</w:t>
            </w:r>
          </w:p>
        </w:tc>
        <w:tc>
          <w:tcPr>
            <w:tcW w:w="1972" w:type="dxa"/>
            <w:tcBorders>
              <w:top w:val="nil"/>
              <w:left w:val="nil"/>
              <w:bottom w:val="single" w:sz="4" w:space="0" w:color="auto"/>
              <w:right w:val="nil"/>
            </w:tcBorders>
            <w:shd w:val="clear" w:color="auto" w:fill="auto"/>
            <w:noWrap/>
            <w:vAlign w:val="bottom"/>
            <w:hideMark/>
          </w:tcPr>
          <w:p w14:paraId="2D4684AF"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38</w:t>
            </w:r>
          </w:p>
        </w:tc>
      </w:tr>
      <w:tr w:rsidR="00AC1E67" w:rsidRPr="00A00187" w14:paraId="1799A472" w14:textId="77777777" w:rsidTr="003811B0">
        <w:trPr>
          <w:trHeight w:val="315"/>
        </w:trPr>
        <w:tc>
          <w:tcPr>
            <w:tcW w:w="1836" w:type="dxa"/>
            <w:tcBorders>
              <w:top w:val="nil"/>
              <w:left w:val="nil"/>
              <w:bottom w:val="single" w:sz="4" w:space="0" w:color="auto"/>
              <w:right w:val="nil"/>
            </w:tcBorders>
            <w:shd w:val="clear" w:color="auto" w:fill="auto"/>
            <w:noWrap/>
            <w:vAlign w:val="bottom"/>
            <w:hideMark/>
          </w:tcPr>
          <w:p w14:paraId="5C6E0521"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Hr. Králové</w:t>
            </w:r>
          </w:p>
        </w:tc>
        <w:tc>
          <w:tcPr>
            <w:tcW w:w="2036" w:type="dxa"/>
            <w:tcBorders>
              <w:top w:val="nil"/>
              <w:left w:val="nil"/>
              <w:bottom w:val="single" w:sz="4" w:space="0" w:color="auto"/>
              <w:right w:val="nil"/>
            </w:tcBorders>
            <w:shd w:val="clear" w:color="auto" w:fill="auto"/>
            <w:noWrap/>
            <w:vAlign w:val="bottom"/>
            <w:hideMark/>
          </w:tcPr>
          <w:p w14:paraId="03C79A22"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1 243 321</w:t>
            </w:r>
          </w:p>
        </w:tc>
        <w:tc>
          <w:tcPr>
            <w:tcW w:w="2036" w:type="dxa"/>
            <w:tcBorders>
              <w:top w:val="nil"/>
              <w:left w:val="nil"/>
              <w:bottom w:val="single" w:sz="4" w:space="0" w:color="auto"/>
              <w:right w:val="nil"/>
            </w:tcBorders>
            <w:shd w:val="clear" w:color="auto" w:fill="auto"/>
            <w:noWrap/>
            <w:vAlign w:val="bottom"/>
            <w:hideMark/>
          </w:tcPr>
          <w:p w14:paraId="1B70C759" w14:textId="005AEA2F"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23</w:t>
            </w:r>
            <w:r w:rsidR="00656D15" w:rsidRPr="00A00187">
              <w:rPr>
                <w:rFonts w:eastAsia="Times New Roman"/>
                <w:szCs w:val="24"/>
                <w:lang w:eastAsia="cs-CZ"/>
              </w:rPr>
              <w:t xml:space="preserve"> </w:t>
            </w:r>
            <w:r w:rsidRPr="00A00187">
              <w:rPr>
                <w:rFonts w:eastAsia="Times New Roman"/>
                <w:szCs w:val="24"/>
                <w:lang w:eastAsia="cs-CZ"/>
              </w:rPr>
              <w:t>428</w:t>
            </w:r>
          </w:p>
        </w:tc>
        <w:tc>
          <w:tcPr>
            <w:tcW w:w="1972" w:type="dxa"/>
            <w:tcBorders>
              <w:top w:val="nil"/>
              <w:left w:val="nil"/>
              <w:bottom w:val="single" w:sz="4" w:space="0" w:color="auto"/>
              <w:right w:val="nil"/>
            </w:tcBorders>
            <w:shd w:val="clear" w:color="auto" w:fill="auto"/>
            <w:noWrap/>
            <w:vAlign w:val="bottom"/>
            <w:hideMark/>
          </w:tcPr>
          <w:p w14:paraId="509C4F43"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19</w:t>
            </w:r>
          </w:p>
        </w:tc>
      </w:tr>
      <w:tr w:rsidR="00AC1E67" w:rsidRPr="00A00187" w14:paraId="5C17C8CF" w14:textId="77777777" w:rsidTr="003811B0">
        <w:trPr>
          <w:trHeight w:val="315"/>
        </w:trPr>
        <w:tc>
          <w:tcPr>
            <w:tcW w:w="1836" w:type="dxa"/>
            <w:tcBorders>
              <w:top w:val="nil"/>
              <w:left w:val="nil"/>
              <w:bottom w:val="single" w:sz="4" w:space="0" w:color="auto"/>
              <w:right w:val="nil"/>
            </w:tcBorders>
            <w:shd w:val="clear" w:color="auto" w:fill="auto"/>
            <w:noWrap/>
            <w:vAlign w:val="bottom"/>
            <w:hideMark/>
          </w:tcPr>
          <w:p w14:paraId="7C465A7D"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Brno</w:t>
            </w:r>
          </w:p>
        </w:tc>
        <w:tc>
          <w:tcPr>
            <w:tcW w:w="2036" w:type="dxa"/>
            <w:tcBorders>
              <w:top w:val="nil"/>
              <w:left w:val="nil"/>
              <w:bottom w:val="single" w:sz="4" w:space="0" w:color="auto"/>
              <w:right w:val="nil"/>
            </w:tcBorders>
            <w:shd w:val="clear" w:color="auto" w:fill="auto"/>
            <w:noWrap/>
            <w:vAlign w:val="bottom"/>
            <w:hideMark/>
          </w:tcPr>
          <w:p w14:paraId="320A6CA4"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2 082 452</w:t>
            </w:r>
          </w:p>
        </w:tc>
        <w:tc>
          <w:tcPr>
            <w:tcW w:w="2036" w:type="dxa"/>
            <w:tcBorders>
              <w:top w:val="nil"/>
              <w:left w:val="nil"/>
              <w:bottom w:val="single" w:sz="4" w:space="0" w:color="auto"/>
              <w:right w:val="nil"/>
            </w:tcBorders>
            <w:shd w:val="clear" w:color="auto" w:fill="auto"/>
            <w:noWrap/>
            <w:vAlign w:val="bottom"/>
            <w:hideMark/>
          </w:tcPr>
          <w:p w14:paraId="54F6938A" w14:textId="3AD6BAAB"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40</w:t>
            </w:r>
            <w:r w:rsidR="00656D15" w:rsidRPr="00A00187">
              <w:rPr>
                <w:rFonts w:eastAsia="Times New Roman"/>
                <w:szCs w:val="24"/>
                <w:lang w:eastAsia="cs-CZ"/>
              </w:rPr>
              <w:t xml:space="preserve"> </w:t>
            </w:r>
            <w:r w:rsidRPr="00A00187">
              <w:rPr>
                <w:rFonts w:eastAsia="Times New Roman"/>
                <w:szCs w:val="24"/>
                <w:lang w:eastAsia="cs-CZ"/>
              </w:rPr>
              <w:t>517</w:t>
            </w:r>
          </w:p>
        </w:tc>
        <w:tc>
          <w:tcPr>
            <w:tcW w:w="1972" w:type="dxa"/>
            <w:tcBorders>
              <w:top w:val="nil"/>
              <w:left w:val="nil"/>
              <w:bottom w:val="single" w:sz="4" w:space="0" w:color="auto"/>
              <w:right w:val="nil"/>
            </w:tcBorders>
            <w:shd w:val="clear" w:color="auto" w:fill="auto"/>
            <w:noWrap/>
            <w:vAlign w:val="bottom"/>
            <w:hideMark/>
          </w:tcPr>
          <w:p w14:paraId="1286E54F"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19</w:t>
            </w:r>
          </w:p>
        </w:tc>
      </w:tr>
      <w:tr w:rsidR="00AC1E67" w:rsidRPr="00A00187" w14:paraId="2B12DAA3" w14:textId="77777777" w:rsidTr="003811B0">
        <w:trPr>
          <w:trHeight w:val="330"/>
        </w:trPr>
        <w:tc>
          <w:tcPr>
            <w:tcW w:w="1836" w:type="dxa"/>
            <w:tcBorders>
              <w:top w:val="nil"/>
              <w:left w:val="nil"/>
              <w:bottom w:val="double" w:sz="6" w:space="0" w:color="auto"/>
              <w:right w:val="nil"/>
            </w:tcBorders>
            <w:shd w:val="clear" w:color="auto" w:fill="auto"/>
            <w:noWrap/>
            <w:vAlign w:val="bottom"/>
            <w:hideMark/>
          </w:tcPr>
          <w:p w14:paraId="177FA77C" w14:textId="77777777" w:rsidR="00AA6138" w:rsidRPr="00A00187" w:rsidRDefault="00AA6138" w:rsidP="003811B0">
            <w:pPr>
              <w:spacing w:line="240" w:lineRule="auto"/>
              <w:jc w:val="left"/>
              <w:rPr>
                <w:rFonts w:eastAsia="Times New Roman"/>
                <w:szCs w:val="24"/>
                <w:lang w:eastAsia="cs-CZ"/>
              </w:rPr>
            </w:pPr>
            <w:r w:rsidRPr="00A00187">
              <w:rPr>
                <w:rFonts w:eastAsia="Times New Roman"/>
                <w:szCs w:val="24"/>
                <w:lang w:eastAsia="cs-CZ"/>
              </w:rPr>
              <w:t>KS Ostrava</w:t>
            </w:r>
          </w:p>
        </w:tc>
        <w:tc>
          <w:tcPr>
            <w:tcW w:w="2036" w:type="dxa"/>
            <w:tcBorders>
              <w:top w:val="nil"/>
              <w:left w:val="nil"/>
              <w:bottom w:val="double" w:sz="6" w:space="0" w:color="auto"/>
              <w:right w:val="nil"/>
            </w:tcBorders>
            <w:shd w:val="clear" w:color="auto" w:fill="auto"/>
            <w:noWrap/>
            <w:vAlign w:val="bottom"/>
            <w:hideMark/>
          </w:tcPr>
          <w:p w14:paraId="1749044F"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1 867 242</w:t>
            </w:r>
          </w:p>
        </w:tc>
        <w:tc>
          <w:tcPr>
            <w:tcW w:w="2036" w:type="dxa"/>
            <w:tcBorders>
              <w:top w:val="nil"/>
              <w:left w:val="nil"/>
              <w:bottom w:val="double" w:sz="6" w:space="0" w:color="auto"/>
              <w:right w:val="nil"/>
            </w:tcBorders>
            <w:shd w:val="clear" w:color="auto" w:fill="auto"/>
            <w:noWrap/>
            <w:vAlign w:val="bottom"/>
            <w:hideMark/>
          </w:tcPr>
          <w:p w14:paraId="67371061" w14:textId="5AC40D0C"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45</w:t>
            </w:r>
            <w:r w:rsidR="00656D15" w:rsidRPr="00A00187">
              <w:rPr>
                <w:rFonts w:eastAsia="Times New Roman"/>
                <w:szCs w:val="24"/>
                <w:lang w:eastAsia="cs-CZ"/>
              </w:rPr>
              <w:t xml:space="preserve"> </w:t>
            </w:r>
            <w:r w:rsidRPr="00A00187">
              <w:rPr>
                <w:rFonts w:eastAsia="Times New Roman"/>
                <w:szCs w:val="24"/>
                <w:lang w:eastAsia="cs-CZ"/>
              </w:rPr>
              <w:t>662</w:t>
            </w:r>
          </w:p>
        </w:tc>
        <w:tc>
          <w:tcPr>
            <w:tcW w:w="1972" w:type="dxa"/>
            <w:tcBorders>
              <w:top w:val="nil"/>
              <w:left w:val="nil"/>
              <w:bottom w:val="double" w:sz="6" w:space="0" w:color="auto"/>
              <w:right w:val="nil"/>
            </w:tcBorders>
            <w:shd w:val="clear" w:color="auto" w:fill="auto"/>
            <w:noWrap/>
            <w:vAlign w:val="bottom"/>
            <w:hideMark/>
          </w:tcPr>
          <w:p w14:paraId="467C5698" w14:textId="77777777" w:rsidR="00AA6138" w:rsidRPr="00A00187" w:rsidRDefault="00AA6138" w:rsidP="003811B0">
            <w:pPr>
              <w:spacing w:line="240" w:lineRule="auto"/>
              <w:jc w:val="center"/>
              <w:rPr>
                <w:rFonts w:eastAsia="Times New Roman"/>
                <w:szCs w:val="24"/>
                <w:lang w:eastAsia="cs-CZ"/>
              </w:rPr>
            </w:pPr>
            <w:r w:rsidRPr="00A00187">
              <w:rPr>
                <w:rFonts w:eastAsia="Times New Roman"/>
                <w:szCs w:val="24"/>
                <w:lang w:eastAsia="cs-CZ"/>
              </w:rPr>
              <w:t>24</w:t>
            </w:r>
          </w:p>
        </w:tc>
      </w:tr>
      <w:tr w:rsidR="00AA6138" w:rsidRPr="00A00187" w14:paraId="55440E69" w14:textId="77777777" w:rsidTr="003811B0">
        <w:trPr>
          <w:trHeight w:val="345"/>
        </w:trPr>
        <w:tc>
          <w:tcPr>
            <w:tcW w:w="1836" w:type="dxa"/>
            <w:tcBorders>
              <w:top w:val="nil"/>
              <w:left w:val="nil"/>
              <w:bottom w:val="double" w:sz="6" w:space="0" w:color="auto"/>
              <w:right w:val="nil"/>
            </w:tcBorders>
            <w:shd w:val="clear" w:color="auto" w:fill="auto"/>
            <w:noWrap/>
            <w:vAlign w:val="bottom"/>
            <w:hideMark/>
          </w:tcPr>
          <w:p w14:paraId="0D5A7BC1" w14:textId="77777777" w:rsidR="00AA6138" w:rsidRPr="00A00187" w:rsidRDefault="00AA6138" w:rsidP="003811B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2036" w:type="dxa"/>
            <w:tcBorders>
              <w:top w:val="nil"/>
              <w:left w:val="nil"/>
              <w:bottom w:val="double" w:sz="6" w:space="0" w:color="auto"/>
              <w:right w:val="nil"/>
            </w:tcBorders>
            <w:shd w:val="clear" w:color="auto" w:fill="auto"/>
            <w:noWrap/>
            <w:vAlign w:val="bottom"/>
            <w:hideMark/>
          </w:tcPr>
          <w:p w14:paraId="634A5B1A"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10 693 939</w:t>
            </w:r>
          </w:p>
        </w:tc>
        <w:tc>
          <w:tcPr>
            <w:tcW w:w="2036" w:type="dxa"/>
            <w:tcBorders>
              <w:top w:val="nil"/>
              <w:left w:val="nil"/>
              <w:bottom w:val="double" w:sz="6" w:space="0" w:color="auto"/>
              <w:right w:val="nil"/>
            </w:tcBorders>
            <w:shd w:val="clear" w:color="auto" w:fill="auto"/>
            <w:noWrap/>
            <w:vAlign w:val="bottom"/>
            <w:hideMark/>
          </w:tcPr>
          <w:p w14:paraId="3695D2EE"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291 049</w:t>
            </w:r>
          </w:p>
        </w:tc>
        <w:tc>
          <w:tcPr>
            <w:tcW w:w="1972" w:type="dxa"/>
            <w:tcBorders>
              <w:top w:val="nil"/>
              <w:left w:val="nil"/>
              <w:bottom w:val="double" w:sz="6" w:space="0" w:color="auto"/>
              <w:right w:val="nil"/>
            </w:tcBorders>
            <w:shd w:val="clear" w:color="auto" w:fill="auto"/>
            <w:noWrap/>
            <w:vAlign w:val="bottom"/>
            <w:hideMark/>
          </w:tcPr>
          <w:p w14:paraId="2CC9D02D" w14:textId="77777777" w:rsidR="00AA6138" w:rsidRPr="00A00187" w:rsidRDefault="00AA6138" w:rsidP="003811B0">
            <w:pPr>
              <w:spacing w:line="240" w:lineRule="auto"/>
              <w:jc w:val="center"/>
              <w:rPr>
                <w:rFonts w:eastAsia="Times New Roman"/>
                <w:b/>
                <w:bCs/>
                <w:szCs w:val="24"/>
                <w:lang w:eastAsia="cs-CZ"/>
              </w:rPr>
            </w:pPr>
            <w:r w:rsidRPr="00A00187">
              <w:rPr>
                <w:rFonts w:eastAsia="Times New Roman"/>
                <w:b/>
                <w:bCs/>
                <w:szCs w:val="24"/>
                <w:lang w:eastAsia="cs-CZ"/>
              </w:rPr>
              <w:t>27</w:t>
            </w:r>
          </w:p>
        </w:tc>
      </w:tr>
    </w:tbl>
    <w:p w14:paraId="219DFDF1" w14:textId="77777777" w:rsidR="001C744A" w:rsidRPr="00A00187" w:rsidRDefault="001C744A" w:rsidP="00AA6138">
      <w:pPr>
        <w:pStyle w:val="OdstavecASR"/>
      </w:pPr>
    </w:p>
    <w:p w14:paraId="1D2FBFCD" w14:textId="5045D234" w:rsidR="00AA6138" w:rsidRPr="00A00187" w:rsidRDefault="00AA6138" w:rsidP="00AA6138">
      <w:pPr>
        <w:pStyle w:val="OdstavecASR"/>
      </w:pPr>
      <w:r w:rsidRPr="00A00187">
        <w:t>Z tabulky vyplývá, že zcela jasně nejvyšší nápad civilních věcí v rejstříku C na 1 000 obyvatel má hlavní město Praha – téměř dvojnásobek oproti celorepublikovému průměru (46 : 27). To je poměrně očekávaný závěr – v Praze má sídlo velké množství společností, které mohou být žalovány nebo samy podávají žaloby. Je zde také mnoho nezaplacených pokut z hromadné dopravy. Zřejmě i fyzické osoby podávají žaloby častěji. Na druhém místě se pak umístil kraj Severočeský, což pravděpodobně souvisí se socioekonomickou situací. Velkou část žalob pak tvoří bagatelní spory, jako je nezaplacený účet za elektřinu, plyn apod.</w:t>
      </w:r>
    </w:p>
    <w:p w14:paraId="4BDDEBCC" w14:textId="6391031E" w:rsidR="00AA6138" w:rsidRPr="00A00187" w:rsidRDefault="00D734C7" w:rsidP="00AA6138">
      <w:pPr>
        <w:pStyle w:val="OdstavecASR"/>
      </w:pPr>
      <w:r w:rsidRPr="00A00187">
        <w:t xml:space="preserve">Postavení OS s nejvyšším </w:t>
      </w:r>
      <w:r w:rsidR="00726EC3" w:rsidRPr="00A00187">
        <w:t>a</w:t>
      </w:r>
      <w:r w:rsidR="00726EC3">
        <w:t> </w:t>
      </w:r>
      <w:r w:rsidRPr="00A00187">
        <w:t xml:space="preserve">nejnižším nápadem je totožné s rokem 2020. </w:t>
      </w:r>
      <w:r w:rsidR="00AA6138" w:rsidRPr="00A00187">
        <w:t xml:space="preserve">Z jednotlivých okresních soudů mají </w:t>
      </w:r>
      <w:r w:rsidRPr="00A00187">
        <w:t xml:space="preserve">nejvyšší </w:t>
      </w:r>
      <w:r w:rsidR="00AA6138" w:rsidRPr="00A00187">
        <w:t xml:space="preserve">nápad na 1 000 obyvatel samozřejmě obvodní soudy v Praze, dále také Ústí nad Labem (62), Most (53) a Sokolov (39). </w:t>
      </w:r>
      <w:r w:rsidRPr="00A00187">
        <w:t>Nejnižší nápad</w:t>
      </w:r>
      <w:r w:rsidR="00AA6138" w:rsidRPr="00A00187">
        <w:t xml:space="preserve"> naopak mají </w:t>
      </w:r>
      <w:r w:rsidRPr="00A00187">
        <w:t xml:space="preserve">OS </w:t>
      </w:r>
      <w:r w:rsidR="00AA6138" w:rsidRPr="00A00187">
        <w:t>Pelhřimov (11), Semily (12) a Brno</w:t>
      </w:r>
      <w:r w:rsidR="00AA6138" w:rsidRPr="00A00187">
        <w:noBreakHyphen/>
        <w:t xml:space="preserve">venkov (13). </w:t>
      </w:r>
      <w:r w:rsidRPr="00A00187">
        <w:t>Potvrzuje se</w:t>
      </w:r>
      <w:r w:rsidR="00AA6138" w:rsidRPr="00A00187">
        <w:t>, že mezi okresy jsou opravdu markantní rozdíly. Ústí nad Labem vykazuje téměř šestkrát více napadlých věcí na obyvatele než Pelhřimov.</w:t>
      </w:r>
    </w:p>
    <w:p w14:paraId="1BABC029" w14:textId="406F15E3" w:rsidR="00AA6138" w:rsidRPr="00A00187" w:rsidRDefault="00AA6138" w:rsidP="00AA6138">
      <w:pPr>
        <w:pStyle w:val="OdstavecASR"/>
      </w:pPr>
      <w:r w:rsidRPr="00A00187">
        <w:t xml:space="preserve">Na </w:t>
      </w:r>
      <w:r w:rsidR="004A13C7" w:rsidRPr="00A00187">
        <w:t xml:space="preserve">úrovni </w:t>
      </w:r>
      <w:r w:rsidRPr="00A00187">
        <w:t xml:space="preserve">krajů jsou meziroční rozdíly minimální. Na úrovni okresů jsou </w:t>
      </w:r>
      <w:r w:rsidR="00726EC3" w:rsidRPr="00A00187">
        <w:t>o</w:t>
      </w:r>
      <w:r w:rsidR="00726EC3">
        <w:t> </w:t>
      </w:r>
      <w:r w:rsidRPr="00A00187">
        <w:t>něco větší, nicméně stále poměrně malé.</w:t>
      </w:r>
    </w:p>
    <w:p w14:paraId="26F7B093" w14:textId="77777777" w:rsidR="00AA6138" w:rsidRPr="00A00187" w:rsidRDefault="00AA6138" w:rsidP="007F73C9">
      <w:pPr>
        <w:pStyle w:val="OdstavecASR"/>
        <w:keepNext/>
        <w:outlineLvl w:val="3"/>
        <w:rPr>
          <w:b/>
          <w:bCs/>
        </w:rPr>
      </w:pPr>
      <w:r w:rsidRPr="00A00187">
        <w:rPr>
          <w:b/>
          <w:bCs/>
        </w:rPr>
        <w:t>Rozhodnutí soudů ve věcech nájmů</w:t>
      </w:r>
    </w:p>
    <w:p w14:paraId="61DAFD85" w14:textId="0A4838F8" w:rsidR="00CB570A" w:rsidRDefault="00647F65" w:rsidP="00647F65">
      <w:pPr>
        <w:pStyle w:val="OdstavecASR"/>
      </w:pPr>
      <w:r w:rsidRPr="00A00187">
        <w:t xml:space="preserve">Vývoj počtu sporů ve věcech nájmů sledujeme prostřednictvím dat ze statistických listů. Jedná se tedy </w:t>
      </w:r>
      <w:r w:rsidR="00726EC3" w:rsidRPr="00A00187">
        <w:t>o</w:t>
      </w:r>
      <w:r w:rsidR="00726EC3">
        <w:t> </w:t>
      </w:r>
      <w:r w:rsidRPr="00A00187">
        <w:t>počet pravomocně skončených věcí.</w:t>
      </w:r>
    </w:p>
    <w:p w14:paraId="6671ED25" w14:textId="606D7091" w:rsidR="00AA6138" w:rsidRPr="00A00187" w:rsidRDefault="00AA6138" w:rsidP="00AA6138">
      <w:pPr>
        <w:pStyle w:val="OdstavecASR"/>
      </w:pPr>
      <w:r w:rsidRPr="00A00187">
        <w:t xml:space="preserve">Data jsou uvedena </w:t>
      </w:r>
      <w:r w:rsidR="009516B8">
        <w:t>od</w:t>
      </w:r>
      <w:r w:rsidR="009516B8" w:rsidRPr="00A00187">
        <w:t xml:space="preserve"> </w:t>
      </w:r>
      <w:r w:rsidRPr="00A00187">
        <w:t>roku 2001</w:t>
      </w:r>
      <w:r w:rsidR="00312CAC" w:rsidRPr="00A00187">
        <w:t xml:space="preserve"> </w:t>
      </w:r>
      <w:r w:rsidR="00726EC3" w:rsidRPr="00A00187">
        <w:t>a</w:t>
      </w:r>
      <w:r w:rsidR="00726EC3">
        <w:t> </w:t>
      </w:r>
      <w:r w:rsidR="00312CAC" w:rsidRPr="00A00187">
        <w:t>je z</w:t>
      </w:r>
      <w:r w:rsidRPr="00A00187">
        <w:t> nich možné pozorovat zajímavý vývoj.</w:t>
      </w:r>
    </w:p>
    <w:p w14:paraId="3BA39EF3" w14:textId="77777777" w:rsidR="00AA6138" w:rsidRPr="00A00187" w:rsidRDefault="00AA6138" w:rsidP="00AA6138">
      <w:pPr>
        <w:spacing w:after="160" w:line="259" w:lineRule="auto"/>
        <w:jc w:val="left"/>
      </w:pPr>
      <w:r w:rsidRPr="00A00187">
        <w:br w:type="page"/>
      </w:r>
    </w:p>
    <w:p w14:paraId="0F15A972" w14:textId="22EAA6F8" w:rsidR="00AA6138" w:rsidRPr="00A00187" w:rsidRDefault="00AA6138" w:rsidP="00AA6138">
      <w:pPr>
        <w:pStyle w:val="Podnadpis"/>
        <w:rPr>
          <w:color w:val="auto"/>
        </w:rPr>
      </w:pPr>
      <w:bookmarkStart w:id="224" w:name="_Toc106106651"/>
      <w:bookmarkStart w:id="225" w:name="_Toc109801975"/>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17</w:t>
      </w:r>
      <w:r w:rsidRPr="00A00187">
        <w:rPr>
          <w:color w:val="auto"/>
        </w:rPr>
        <w:fldChar w:fldCharType="end"/>
      </w:r>
      <w:r w:rsidRPr="00A00187">
        <w:rPr>
          <w:color w:val="auto"/>
        </w:rPr>
        <w:t>: OS – vývoj počtu sporů ve věcech nájmů</w:t>
      </w:r>
      <w:bookmarkEnd w:id="224"/>
      <w:bookmarkEnd w:id="225"/>
    </w:p>
    <w:p w14:paraId="4D1233BC" w14:textId="77777777" w:rsidR="00AA6138" w:rsidRPr="00A00187" w:rsidRDefault="00AA6138" w:rsidP="00AA6138">
      <w:pPr>
        <w:pStyle w:val="OdstavecASR"/>
      </w:pPr>
      <w:r w:rsidRPr="00A00187">
        <w:rPr>
          <w:noProof/>
        </w:rPr>
        <w:drawing>
          <wp:inline distT="0" distB="0" distL="0" distR="0" wp14:anchorId="15F9DE17" wp14:editId="2DC9D38D">
            <wp:extent cx="5029200" cy="36576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E578B69" w14:textId="13266A82" w:rsidR="00AA6138" w:rsidRPr="00A00187" w:rsidRDefault="00AA6138" w:rsidP="00AA6138">
      <w:pPr>
        <w:pStyle w:val="OdstavecASR"/>
      </w:pPr>
      <w:r w:rsidRPr="00A00187">
        <w:t xml:space="preserve">Na grafu vidíme prudký nárůst sporů </w:t>
      </w:r>
      <w:r w:rsidR="00726EC3" w:rsidRPr="00A00187">
        <w:t>o</w:t>
      </w:r>
      <w:r w:rsidR="00726EC3">
        <w:t> </w:t>
      </w:r>
      <w:r w:rsidRPr="00A00187">
        <w:t xml:space="preserve">výši nájemného </w:t>
      </w:r>
      <w:r w:rsidR="00726EC3" w:rsidRPr="00A00187">
        <w:t>a</w:t>
      </w:r>
      <w:r w:rsidR="00726EC3">
        <w:t> </w:t>
      </w:r>
      <w:r w:rsidRPr="00A00187">
        <w:t xml:space="preserve">placení nájemného v letech 2008 až 2012, v letech 2013 </w:t>
      </w:r>
      <w:r w:rsidR="00726EC3" w:rsidRPr="00A00187">
        <w:t>a</w:t>
      </w:r>
      <w:r w:rsidR="00726EC3">
        <w:t> </w:t>
      </w:r>
      <w:r w:rsidRPr="00A00187">
        <w:t xml:space="preserve">dále pak počet sporů postupně </w:t>
      </w:r>
      <w:r w:rsidR="00D225E3" w:rsidRPr="00A00187">
        <w:t>klesal</w:t>
      </w:r>
      <w:r w:rsidRPr="00A00187">
        <w:t xml:space="preserve">. Prudký pokles vidíme rovněž </w:t>
      </w:r>
      <w:r w:rsidR="00726EC3" w:rsidRPr="00A00187">
        <w:t>u</w:t>
      </w:r>
      <w:r w:rsidR="00726EC3">
        <w:t> </w:t>
      </w:r>
      <w:r w:rsidRPr="00A00187">
        <w:t xml:space="preserve">sporů </w:t>
      </w:r>
      <w:r w:rsidR="00726EC3" w:rsidRPr="00A00187">
        <w:t>o</w:t>
      </w:r>
      <w:r w:rsidR="00726EC3">
        <w:t> </w:t>
      </w:r>
      <w:r w:rsidRPr="00A00187">
        <w:t xml:space="preserve">výpověď z nájmu v letech 2006 </w:t>
      </w:r>
      <w:r w:rsidR="00726EC3" w:rsidRPr="00A00187">
        <w:t>a</w:t>
      </w:r>
      <w:r w:rsidR="00726EC3">
        <w:t> </w:t>
      </w:r>
      <w:r w:rsidRPr="00A00187">
        <w:t xml:space="preserve">2007. Od roku 2011 také postupně klesal počet ostatních sporů z bytu. Některé z těchto jevů lze dobře vysvětlit legislativní změnou. </w:t>
      </w:r>
      <w:r w:rsidR="005F6368" w:rsidRPr="00A00187">
        <w:t xml:space="preserve">V této souvislosti citujeme </w:t>
      </w:r>
      <w:r w:rsidRPr="00A00187">
        <w:t>vyjádření Ministerstva pro místní rozvoj</w:t>
      </w:r>
      <w:r w:rsidR="00D225E3" w:rsidRPr="00A00187">
        <w:t xml:space="preserve">, které jsme před časem požádali </w:t>
      </w:r>
      <w:r w:rsidR="00726EC3" w:rsidRPr="00A00187">
        <w:t>o</w:t>
      </w:r>
      <w:r w:rsidR="00726EC3">
        <w:t> </w:t>
      </w:r>
      <w:r w:rsidR="00D225E3" w:rsidRPr="00A00187">
        <w:t xml:space="preserve">názor </w:t>
      </w:r>
      <w:r w:rsidR="00D66947" w:rsidRPr="00A00187">
        <w:t xml:space="preserve">k vývoji zobrazenému </w:t>
      </w:r>
      <w:r w:rsidR="00726EC3" w:rsidRPr="00A00187">
        <w:t>v</w:t>
      </w:r>
      <w:r w:rsidR="00726EC3">
        <w:t> </w:t>
      </w:r>
      <w:r w:rsidR="00D225E3" w:rsidRPr="00A00187">
        <w:t>grafu 17</w:t>
      </w:r>
      <w:r w:rsidRPr="00A00187">
        <w:t>.</w:t>
      </w:r>
    </w:p>
    <w:p w14:paraId="0F8C2C5D" w14:textId="4AEC7638" w:rsidR="00AA6138" w:rsidRPr="00A00187" w:rsidRDefault="00D225E3" w:rsidP="00AA6138">
      <w:pPr>
        <w:pStyle w:val="OdstavecASR"/>
        <w:rPr>
          <w:i/>
        </w:rPr>
      </w:pPr>
      <w:r w:rsidRPr="00A00187">
        <w:t>„</w:t>
      </w:r>
      <w:r w:rsidR="00AA6138" w:rsidRPr="00A00187">
        <w:rPr>
          <w:i/>
        </w:rPr>
        <w:t xml:space="preserve">Vývoj v oblasti sporů </w:t>
      </w:r>
      <w:r w:rsidR="00726EC3" w:rsidRPr="00A00187">
        <w:rPr>
          <w:i/>
        </w:rPr>
        <w:t>o</w:t>
      </w:r>
      <w:r w:rsidR="00726EC3">
        <w:rPr>
          <w:i/>
        </w:rPr>
        <w:t> </w:t>
      </w:r>
      <w:r w:rsidR="00AA6138" w:rsidRPr="00A00187">
        <w:rPr>
          <w:i/>
        </w:rPr>
        <w:t xml:space="preserve">výši nájemného, resp. výpovědí z nájmů lze podle našeho názoru vysvětlit procesem deregulace nájemného, který </w:t>
      </w:r>
      <w:r w:rsidR="00726EC3" w:rsidRPr="00A00187">
        <w:rPr>
          <w:i/>
        </w:rPr>
        <w:t>v</w:t>
      </w:r>
      <w:r w:rsidR="00726EC3">
        <w:rPr>
          <w:i/>
        </w:rPr>
        <w:t> </w:t>
      </w:r>
      <w:r w:rsidR="00AA6138" w:rsidRPr="00A00187">
        <w:rPr>
          <w:i/>
        </w:rPr>
        <w:t>letech (2006–2012) probíhal</w:t>
      </w:r>
      <w:r w:rsidR="005F6368" w:rsidRPr="00A00187">
        <w:rPr>
          <w:i/>
          <w:iCs/>
        </w:rPr>
        <w:t>.</w:t>
      </w:r>
    </w:p>
    <w:p w14:paraId="0F8EB0DF" w14:textId="57F801AF" w:rsidR="00AA6138" w:rsidRPr="00A00187" w:rsidRDefault="00AA6138" w:rsidP="00AA6138">
      <w:pPr>
        <w:pStyle w:val="OdstavecASR"/>
        <w:rPr>
          <w:i/>
        </w:rPr>
      </w:pPr>
      <w:r w:rsidRPr="00A00187">
        <w:rPr>
          <w:i/>
        </w:rPr>
        <w:t>Dne 31.</w:t>
      </w:r>
      <w:r w:rsidR="00726EC3">
        <w:rPr>
          <w:i/>
        </w:rPr>
        <w:t> </w:t>
      </w:r>
      <w:r w:rsidRPr="00A00187">
        <w:rPr>
          <w:i/>
        </w:rPr>
        <w:t>března 2006 nabyl účinnosti zákon č.</w:t>
      </w:r>
      <w:r w:rsidR="00726EC3">
        <w:rPr>
          <w:i/>
        </w:rPr>
        <w:t> </w:t>
      </w:r>
      <w:r w:rsidRPr="00A00187">
        <w:rPr>
          <w:i/>
        </w:rPr>
        <w:t>107/2006</w:t>
      </w:r>
      <w:r w:rsidR="00726EC3">
        <w:rPr>
          <w:i/>
        </w:rPr>
        <w:t> </w:t>
      </w:r>
      <w:r w:rsidRPr="00A00187">
        <w:rPr>
          <w:i/>
        </w:rPr>
        <w:t xml:space="preserve">Sb., </w:t>
      </w:r>
      <w:r w:rsidR="00726EC3" w:rsidRPr="00A00187">
        <w:rPr>
          <w:i/>
        </w:rPr>
        <w:t>o</w:t>
      </w:r>
      <w:r w:rsidR="00726EC3">
        <w:rPr>
          <w:i/>
        </w:rPr>
        <w:t> </w:t>
      </w:r>
      <w:r w:rsidRPr="00A00187">
        <w:rPr>
          <w:i/>
        </w:rPr>
        <w:t xml:space="preserve">jednostranném zvyšování nájemného </w:t>
      </w:r>
      <w:r w:rsidR="00726EC3" w:rsidRPr="00A00187">
        <w:rPr>
          <w:i/>
        </w:rPr>
        <w:t>z</w:t>
      </w:r>
      <w:r w:rsidR="00726EC3">
        <w:rPr>
          <w:i/>
        </w:rPr>
        <w:t> </w:t>
      </w:r>
      <w:r w:rsidRPr="00A00187">
        <w:rPr>
          <w:i/>
        </w:rPr>
        <w:t xml:space="preserve">bytu </w:t>
      </w:r>
      <w:r w:rsidR="00726EC3" w:rsidRPr="00A00187">
        <w:rPr>
          <w:i/>
        </w:rPr>
        <w:t>a</w:t>
      </w:r>
      <w:r w:rsidR="00726EC3">
        <w:rPr>
          <w:i/>
        </w:rPr>
        <w:t> </w:t>
      </w:r>
      <w:r w:rsidR="00726EC3" w:rsidRPr="00A00187">
        <w:rPr>
          <w:i/>
        </w:rPr>
        <w:t>o</w:t>
      </w:r>
      <w:r w:rsidR="00726EC3">
        <w:rPr>
          <w:i/>
        </w:rPr>
        <w:t> </w:t>
      </w:r>
      <w:r w:rsidRPr="00A00187">
        <w:rPr>
          <w:i/>
        </w:rPr>
        <w:t>změně zákona č.</w:t>
      </w:r>
      <w:r w:rsidR="00726EC3">
        <w:rPr>
          <w:i/>
        </w:rPr>
        <w:t> </w:t>
      </w:r>
      <w:r w:rsidRPr="00A00187">
        <w:rPr>
          <w:i/>
        </w:rPr>
        <w:t>40/1964</w:t>
      </w:r>
      <w:r w:rsidR="00726EC3">
        <w:rPr>
          <w:i/>
        </w:rPr>
        <w:t> </w:t>
      </w:r>
      <w:r w:rsidRPr="00A00187">
        <w:rPr>
          <w:i/>
        </w:rPr>
        <w:t xml:space="preserve">Sb., občanský zákoník, ve znění pozdějších předpisů, stanovující pravidla zvyšování nájemného </w:t>
      </w:r>
      <w:r w:rsidR="00726EC3" w:rsidRPr="00A00187">
        <w:rPr>
          <w:i/>
        </w:rPr>
        <w:t>v</w:t>
      </w:r>
      <w:r w:rsidR="00726EC3">
        <w:rPr>
          <w:i/>
        </w:rPr>
        <w:t> </w:t>
      </w:r>
      <w:r w:rsidRPr="00A00187">
        <w:rPr>
          <w:i/>
        </w:rPr>
        <w:t>bytech, ve kterých se aplikovalo tzv. regulované nájemné.</w:t>
      </w:r>
    </w:p>
    <w:p w14:paraId="35CB21B8" w14:textId="024F61DC" w:rsidR="00CB570A" w:rsidRDefault="00AA6138" w:rsidP="00AA6138">
      <w:pPr>
        <w:pStyle w:val="OdstavecASR"/>
        <w:rPr>
          <w:i/>
        </w:rPr>
      </w:pPr>
      <w:r w:rsidRPr="00A00187">
        <w:rPr>
          <w:i/>
        </w:rPr>
        <w:t xml:space="preserve">Koncem roku 2012 byl </w:t>
      </w:r>
      <w:r w:rsidR="00726EC3" w:rsidRPr="00A00187">
        <w:rPr>
          <w:i/>
        </w:rPr>
        <w:t>v</w:t>
      </w:r>
      <w:r w:rsidR="00726EC3">
        <w:rPr>
          <w:i/>
        </w:rPr>
        <w:t> </w:t>
      </w:r>
      <w:r w:rsidRPr="00A00187">
        <w:rPr>
          <w:i/>
        </w:rPr>
        <w:t xml:space="preserve">celé ČR proces deregulace nájemného ukončen. Po více než 20 letech tak byla odstraněna regulace nájemného, jedna ze základních bariér fungujícího trhu </w:t>
      </w:r>
      <w:r w:rsidR="00726EC3" w:rsidRPr="00A00187">
        <w:rPr>
          <w:i/>
        </w:rPr>
        <w:t>s</w:t>
      </w:r>
      <w:r w:rsidR="00726EC3">
        <w:rPr>
          <w:i/>
        </w:rPr>
        <w:t> </w:t>
      </w:r>
      <w:r w:rsidRPr="00A00187">
        <w:rPr>
          <w:i/>
        </w:rPr>
        <w:t xml:space="preserve">byty. Nadále se mohly změny nájemného sjednávat pouze na základě dohody mezi pronajímatelem </w:t>
      </w:r>
      <w:r w:rsidR="00726EC3" w:rsidRPr="00A00187">
        <w:rPr>
          <w:i/>
        </w:rPr>
        <w:t>a</w:t>
      </w:r>
      <w:r w:rsidR="00726EC3">
        <w:rPr>
          <w:i/>
        </w:rPr>
        <w:t> </w:t>
      </w:r>
      <w:r w:rsidRPr="00A00187">
        <w:rPr>
          <w:i/>
        </w:rPr>
        <w:t>nájemcem.</w:t>
      </w:r>
    </w:p>
    <w:p w14:paraId="6EABEE2C" w14:textId="22983E2D" w:rsidR="00E15C18" w:rsidRPr="00A00187" w:rsidRDefault="00AA6138" w:rsidP="00AA6138">
      <w:pPr>
        <w:pStyle w:val="OdstavecASR"/>
        <w:rPr>
          <w:i/>
        </w:rPr>
      </w:pPr>
      <w:r w:rsidRPr="00A00187">
        <w:rPr>
          <w:i/>
        </w:rPr>
        <w:t xml:space="preserve">Přechodu </w:t>
      </w:r>
      <w:r w:rsidR="00726EC3" w:rsidRPr="00A00187">
        <w:rPr>
          <w:i/>
        </w:rPr>
        <w:t>k</w:t>
      </w:r>
      <w:r w:rsidR="00726EC3">
        <w:rPr>
          <w:i/>
        </w:rPr>
        <w:t> </w:t>
      </w:r>
      <w:r w:rsidRPr="00A00187">
        <w:rPr>
          <w:i/>
        </w:rPr>
        <w:t xml:space="preserve">fungujícímu trhu </w:t>
      </w:r>
      <w:r w:rsidR="00726EC3" w:rsidRPr="00A00187">
        <w:rPr>
          <w:i/>
        </w:rPr>
        <w:t>s</w:t>
      </w:r>
      <w:r w:rsidR="00726EC3">
        <w:rPr>
          <w:i/>
        </w:rPr>
        <w:t> </w:t>
      </w:r>
      <w:r w:rsidRPr="00A00187">
        <w:rPr>
          <w:i/>
        </w:rPr>
        <w:t xml:space="preserve">byty napomohla Mapa nájemného, která se jako pilotní projekt MMR objevila na stránkách ministerstva </w:t>
      </w:r>
      <w:r w:rsidR="00726EC3" w:rsidRPr="00A00187">
        <w:rPr>
          <w:i/>
        </w:rPr>
        <w:t>v</w:t>
      </w:r>
      <w:r w:rsidR="00726EC3">
        <w:rPr>
          <w:i/>
        </w:rPr>
        <w:t> </w:t>
      </w:r>
      <w:r w:rsidRPr="00A00187">
        <w:rPr>
          <w:i/>
        </w:rPr>
        <w:t>roce 2011. Od 1.</w:t>
      </w:r>
      <w:r w:rsidR="00726EC3">
        <w:rPr>
          <w:i/>
        </w:rPr>
        <w:t> </w:t>
      </w:r>
      <w:r w:rsidRPr="00A00187">
        <w:rPr>
          <w:i/>
        </w:rPr>
        <w:t>1.</w:t>
      </w:r>
      <w:r w:rsidR="00726EC3">
        <w:rPr>
          <w:i/>
        </w:rPr>
        <w:t> </w:t>
      </w:r>
      <w:r w:rsidRPr="00A00187">
        <w:rPr>
          <w:i/>
        </w:rPr>
        <w:t xml:space="preserve">2013 byla Mapa nájemného uveřejněna na stránkách Státního fondu rozvoje bydlení, </w:t>
      </w:r>
      <w:r w:rsidR="00726EC3" w:rsidRPr="00A00187">
        <w:rPr>
          <w:i/>
        </w:rPr>
        <w:t>a</w:t>
      </w:r>
      <w:r w:rsidR="00726EC3">
        <w:rPr>
          <w:i/>
        </w:rPr>
        <w:t> </w:t>
      </w:r>
      <w:r w:rsidRPr="00A00187">
        <w:rPr>
          <w:i/>
        </w:rPr>
        <w:t>to až do počátku působení nového občanského zákoníku. Existence mapy nájemného usnadňovala sjednávání nájemného a</w:t>
      </w:r>
      <w:r w:rsidR="00124276" w:rsidRPr="00A00187">
        <w:rPr>
          <w:i/>
          <w:iCs/>
        </w:rPr>
        <w:t> </w:t>
      </w:r>
      <w:r w:rsidRPr="00A00187">
        <w:rPr>
          <w:i/>
        </w:rPr>
        <w:t xml:space="preserve">předcházení soudním sporům. Pro všechny obce ČR, které měly více než 2000 obyvatel, dále pro některé městské části </w:t>
      </w:r>
      <w:r w:rsidR="00726EC3" w:rsidRPr="00A00187">
        <w:rPr>
          <w:i/>
        </w:rPr>
        <w:t>a</w:t>
      </w:r>
      <w:r w:rsidR="00726EC3">
        <w:rPr>
          <w:i/>
        </w:rPr>
        <w:t> </w:t>
      </w:r>
      <w:r w:rsidRPr="00A00187">
        <w:rPr>
          <w:i/>
        </w:rPr>
        <w:t>cenové oblasti, bylo zveřejněno obvyklé nájemné podle odhadu znalce.</w:t>
      </w:r>
    </w:p>
    <w:p w14:paraId="7FA94F8E" w14:textId="77777777" w:rsidR="00AA6138" w:rsidRPr="00A00187" w:rsidRDefault="00AA6138" w:rsidP="00AA6138">
      <w:pPr>
        <w:pStyle w:val="OdstavecASR"/>
        <w:rPr>
          <w:i/>
        </w:rPr>
      </w:pPr>
    </w:p>
    <w:p w14:paraId="1D5DFD1D" w14:textId="77777777" w:rsidR="00AA6138" w:rsidRPr="00A00187" w:rsidRDefault="00AA6138" w:rsidP="00AA6138">
      <w:pPr>
        <w:pStyle w:val="OdstavecASR"/>
        <w:rPr>
          <w:i/>
        </w:rPr>
      </w:pPr>
    </w:p>
    <w:p w14:paraId="227942DA" w14:textId="311F9420" w:rsidR="00AA6138" w:rsidRPr="00A00187" w:rsidRDefault="00AA6138" w:rsidP="00AA6138">
      <w:pPr>
        <w:pStyle w:val="OdstavecASR"/>
        <w:rPr>
          <w:i/>
        </w:rPr>
      </w:pPr>
      <w:r w:rsidRPr="00A00187">
        <w:rPr>
          <w:i/>
        </w:rPr>
        <w:lastRenderedPageBreak/>
        <w:t xml:space="preserve">Domníváme se, že nárůst </w:t>
      </w:r>
      <w:r w:rsidR="00E15C18" w:rsidRPr="00A00187">
        <w:rPr>
          <w:i/>
          <w:iCs/>
        </w:rPr>
        <w:t>s</w:t>
      </w:r>
      <w:r w:rsidRPr="00A00187">
        <w:rPr>
          <w:i/>
          <w:iCs/>
        </w:rPr>
        <w:t>porů</w:t>
      </w:r>
      <w:r w:rsidRPr="00A00187">
        <w:rPr>
          <w:i/>
        </w:rPr>
        <w:t xml:space="preserve"> </w:t>
      </w:r>
      <w:r w:rsidR="00726EC3" w:rsidRPr="00A00187">
        <w:rPr>
          <w:i/>
        </w:rPr>
        <w:t>o</w:t>
      </w:r>
      <w:r w:rsidR="00726EC3">
        <w:rPr>
          <w:i/>
        </w:rPr>
        <w:t> </w:t>
      </w:r>
      <w:r w:rsidRPr="00A00187">
        <w:rPr>
          <w:i/>
        </w:rPr>
        <w:t xml:space="preserve">výši nájemného </w:t>
      </w:r>
      <w:r w:rsidR="00726EC3" w:rsidRPr="00A00187">
        <w:rPr>
          <w:i/>
        </w:rPr>
        <w:t>a</w:t>
      </w:r>
      <w:r w:rsidR="00726EC3">
        <w:rPr>
          <w:i/>
        </w:rPr>
        <w:t> </w:t>
      </w:r>
      <w:r w:rsidRPr="00A00187">
        <w:rPr>
          <w:i/>
        </w:rPr>
        <w:t xml:space="preserve">placení nájemného </w:t>
      </w:r>
      <w:r w:rsidR="00726EC3" w:rsidRPr="00A00187">
        <w:rPr>
          <w:i/>
        </w:rPr>
        <w:t>v</w:t>
      </w:r>
      <w:r w:rsidR="00726EC3">
        <w:rPr>
          <w:i/>
        </w:rPr>
        <w:t> </w:t>
      </w:r>
      <w:r w:rsidRPr="00A00187">
        <w:rPr>
          <w:i/>
        </w:rPr>
        <w:t xml:space="preserve">letech 2009 </w:t>
      </w:r>
      <w:r w:rsidR="00726EC3" w:rsidRPr="00A00187">
        <w:rPr>
          <w:i/>
        </w:rPr>
        <w:t>a</w:t>
      </w:r>
      <w:r w:rsidR="00726EC3">
        <w:rPr>
          <w:i/>
        </w:rPr>
        <w:t> </w:t>
      </w:r>
      <w:r w:rsidRPr="00A00187">
        <w:rPr>
          <w:i/>
        </w:rPr>
        <w:t xml:space="preserve">2010 lze vysvětlit zejména obavami nájemců z deregulačních kroků, které byly posilovány některými médii. Pokles výpovědí </w:t>
      </w:r>
      <w:r w:rsidR="00726EC3" w:rsidRPr="00A00187">
        <w:rPr>
          <w:i/>
        </w:rPr>
        <w:t>z</w:t>
      </w:r>
      <w:r w:rsidR="00726EC3">
        <w:rPr>
          <w:i/>
        </w:rPr>
        <w:t> </w:t>
      </w:r>
      <w:r w:rsidRPr="00A00187">
        <w:rPr>
          <w:i/>
        </w:rPr>
        <w:t>nájmů od roku 2007 naopak poukazuje na pozitivní očekávaní pronajímatelů po dlouhých letech neústavní situace v oblasti nájemného z</w:t>
      </w:r>
      <w:r w:rsidR="00D225E3" w:rsidRPr="00A00187">
        <w:rPr>
          <w:i/>
        </w:rPr>
        <w:t> </w:t>
      </w:r>
      <w:r w:rsidRPr="00A00187">
        <w:rPr>
          <w:i/>
        </w:rPr>
        <w:t>bytu</w:t>
      </w:r>
      <w:r w:rsidR="00D225E3" w:rsidRPr="00A00187">
        <w:t>“</w:t>
      </w:r>
      <w:r w:rsidRPr="00A00187">
        <w:t>.</w:t>
      </w:r>
      <w:r w:rsidR="00E15C18" w:rsidRPr="00A00187">
        <w:rPr>
          <w:i/>
          <w:iCs/>
        </w:rPr>
        <w:t>“</w:t>
      </w:r>
    </w:p>
    <w:p w14:paraId="210670A6" w14:textId="78ABEDE1" w:rsidR="00AA6138" w:rsidRPr="00A00187" w:rsidRDefault="00AA6138" w:rsidP="00AA6138">
      <w:pPr>
        <w:pStyle w:val="OdstavecASR"/>
      </w:pPr>
      <w:r w:rsidRPr="00A00187">
        <w:t xml:space="preserve">Výše uvedené je </w:t>
      </w:r>
      <w:r w:rsidR="00DE1933" w:rsidRPr="00A00187">
        <w:t xml:space="preserve">poutavým </w:t>
      </w:r>
      <w:r w:rsidR="008F6DD3" w:rsidRPr="00A00187">
        <w:t xml:space="preserve">příkladem </w:t>
      </w:r>
      <w:r w:rsidRPr="00A00187">
        <w:t xml:space="preserve">toho, jak legislativní změny </w:t>
      </w:r>
      <w:r w:rsidR="00E15C18" w:rsidRPr="00A00187">
        <w:t xml:space="preserve">ovlivňují </w:t>
      </w:r>
      <w:r w:rsidRPr="00A00187">
        <w:t>zatížení soudní soustavy.</w:t>
      </w:r>
    </w:p>
    <w:p w14:paraId="0F1C66C6" w14:textId="77777777" w:rsidR="00AA6138" w:rsidRPr="00A00187" w:rsidRDefault="00AA6138" w:rsidP="00AA6138">
      <w:pPr>
        <w:pStyle w:val="OdstavecASR"/>
      </w:pPr>
      <w:r w:rsidRPr="00A00187">
        <w:br w:type="page"/>
      </w:r>
    </w:p>
    <w:p w14:paraId="0DD00635" w14:textId="2853B689" w:rsidR="008430BD" w:rsidRPr="00A00187" w:rsidRDefault="008430BD" w:rsidP="008430BD">
      <w:pPr>
        <w:pStyle w:val="Nadpis2"/>
        <w:numPr>
          <w:ilvl w:val="1"/>
          <w:numId w:val="1"/>
        </w:numPr>
        <w:spacing w:before="120"/>
        <w:rPr>
          <w:color w:val="auto"/>
        </w:rPr>
      </w:pPr>
      <w:bookmarkStart w:id="226" w:name="_Toc106092723"/>
      <w:bookmarkStart w:id="227" w:name="_Toc109801339"/>
      <w:r w:rsidRPr="00A00187">
        <w:rPr>
          <w:color w:val="auto"/>
        </w:rPr>
        <w:lastRenderedPageBreak/>
        <w:t>Civilní agenda – elektronické rozkazní řízení</w:t>
      </w:r>
      <w:bookmarkEnd w:id="199"/>
      <w:bookmarkEnd w:id="226"/>
      <w:bookmarkEnd w:id="227"/>
    </w:p>
    <w:p w14:paraId="2E6C8C58" w14:textId="6147ED42" w:rsidR="009E371B" w:rsidRPr="00A00187" w:rsidRDefault="009E371B" w:rsidP="009E371B">
      <w:pPr>
        <w:pStyle w:val="OdstavecASR"/>
      </w:pPr>
      <w:r w:rsidRPr="00A00187">
        <w:t xml:space="preserve">Jak jsme uvedli v úvodu kapitoly </w:t>
      </w:r>
      <w:r w:rsidRPr="00A00187">
        <w:rPr>
          <w:b/>
          <w:bCs/>
        </w:rPr>
        <w:fldChar w:fldCharType="begin"/>
      </w:r>
      <w:r w:rsidRPr="00A00187">
        <w:instrText xml:space="preserve"> REF _Ref9425277 \r \h </w:instrText>
      </w:r>
      <w:r w:rsidRPr="00A00187">
        <w:rPr>
          <w:b/>
          <w:bCs/>
        </w:rPr>
        <w:instrText xml:space="preserve"> \* MERGEFORMAT </w:instrText>
      </w:r>
      <w:r w:rsidRPr="00A00187">
        <w:rPr>
          <w:b/>
          <w:bCs/>
        </w:rPr>
      </w:r>
      <w:r w:rsidRPr="00A00187">
        <w:rPr>
          <w:b/>
          <w:bCs/>
        </w:rPr>
        <w:fldChar w:fldCharType="separate"/>
      </w:r>
      <w:r w:rsidR="00DE6B5E">
        <w:t>2.2</w:t>
      </w:r>
      <w:r w:rsidRPr="00A00187">
        <w:rPr>
          <w:b/>
          <w:bCs/>
        </w:rPr>
        <w:fldChar w:fldCharType="end"/>
      </w:r>
      <w:r w:rsidRPr="00A00187">
        <w:t>, zkoumaná data jsme očistili o rozkazní řízení. Tato data ale samozřejmě mají svou informační hodnotu, a proto je analyzujeme v této části.</w:t>
      </w:r>
    </w:p>
    <w:p w14:paraId="1550E669" w14:textId="460B1A2B" w:rsidR="009E371B" w:rsidRPr="00A00187" w:rsidRDefault="009E371B" w:rsidP="009E371B">
      <w:pPr>
        <w:pStyle w:val="OdstavecASR"/>
      </w:pPr>
      <w:r w:rsidRPr="00A00187">
        <w:t>Jedná se o civilní řízení ve zkrácené formě, jehož cílem je skončení věc</w:t>
      </w:r>
      <w:r w:rsidR="006F33AE" w:rsidRPr="00A00187">
        <w:t>i</w:t>
      </w:r>
      <w:r w:rsidRPr="00A00187">
        <w:t xml:space="preserve"> vydáním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14:paraId="5BA406D6" w14:textId="22F72A31" w:rsidR="009E371B" w:rsidRPr="00A00187" w:rsidRDefault="009E371B" w:rsidP="009E371B">
      <w:pPr>
        <w:pStyle w:val="OdstavecASR"/>
      </w:pPr>
      <w:r w:rsidRPr="00A00187">
        <w:t>Ne všechna data, o která byla očištěna kapitola </w:t>
      </w:r>
      <w:r w:rsidRPr="00A00187">
        <w:rPr>
          <w:bCs/>
        </w:rPr>
        <w:fldChar w:fldCharType="begin"/>
      </w:r>
      <w:r w:rsidRPr="00A00187">
        <w:rPr>
          <w:bCs/>
        </w:rPr>
        <w:instrText xml:space="preserve"> REF _Ref10553167 \r \h  \* MERGEFORMAT </w:instrText>
      </w:r>
      <w:r w:rsidRPr="00A00187">
        <w:rPr>
          <w:bCs/>
        </w:rPr>
      </w:r>
      <w:r w:rsidRPr="00A00187">
        <w:rPr>
          <w:bCs/>
        </w:rPr>
        <w:fldChar w:fldCharType="separate"/>
      </w:r>
      <w:r w:rsidR="00DE6B5E">
        <w:rPr>
          <w:bCs/>
        </w:rPr>
        <w:t>2.2</w:t>
      </w:r>
      <w:r w:rsidRPr="00A00187">
        <w:rPr>
          <w:bCs/>
        </w:rPr>
        <w:fldChar w:fldCharType="end"/>
      </w:r>
      <w:r w:rsidRPr="00A00187">
        <w:t>, však zahrnujeme do této kapitoly.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Zároveň ve statistickém sledování rozkazního řízení proběhlo v letech 2009 až 2013 nejvíce změn. V časových řadách by se tak objevovaly výkyvy způsobené právě změnami ve statistikách, což by vedlo ke zkreslení. Z tohoto důvodu se tato kapitola zabývá pouze elektronickým platebním rozkazem od roku 2013, protože od tohoto roku se již neudály žádné významné změny a všechny návrhy na vydání elektronického platebního rozkazu se evidují v rejstříku EPR.</w:t>
      </w:r>
    </w:p>
    <w:p w14:paraId="3EA71E87" w14:textId="385CD908" w:rsidR="009E371B" w:rsidRPr="00A00187" w:rsidRDefault="009E371B" w:rsidP="009E371B">
      <w:pPr>
        <w:pStyle w:val="OdstavecASR"/>
      </w:pPr>
      <w:r w:rsidRPr="00A00187">
        <w:t>Dalším důvodem, proč byl vybrán rejstřík EPR, je ten, že tvoří největší část agendy rozkazního řízení (každý rok více než 85</w:t>
      </w:r>
      <w:r w:rsidR="00CB570A">
        <w:t> %</w:t>
      </w:r>
      <w:r w:rsidRPr="00A00187">
        <w:t>).</w:t>
      </w:r>
    </w:p>
    <w:p w14:paraId="59146249" w14:textId="501772A5" w:rsidR="00461DBC" w:rsidRPr="00A00187" w:rsidRDefault="008430BD" w:rsidP="00461DBC">
      <w:pPr>
        <w:pStyle w:val="Nadpis3"/>
        <w:numPr>
          <w:ilvl w:val="2"/>
          <w:numId w:val="1"/>
        </w:numPr>
        <w:rPr>
          <w:color w:val="auto"/>
        </w:rPr>
      </w:pPr>
      <w:bookmarkStart w:id="228" w:name="_Toc515871227"/>
      <w:bookmarkStart w:id="229" w:name="_Toc106092724"/>
      <w:bookmarkStart w:id="230" w:name="_Toc109801340"/>
      <w:r w:rsidRPr="00A00187">
        <w:rPr>
          <w:color w:val="auto"/>
        </w:rPr>
        <w:t>Délka řízení</w:t>
      </w:r>
      <w:bookmarkEnd w:id="228"/>
      <w:bookmarkEnd w:id="229"/>
      <w:bookmarkEnd w:id="230"/>
    </w:p>
    <w:p w14:paraId="13DB76E1" w14:textId="77777777" w:rsidR="00461DBC" w:rsidRPr="00A00187" w:rsidRDefault="00461DBC" w:rsidP="00461DBC">
      <w:pPr>
        <w:pStyle w:val="OdstavecASR"/>
      </w:pPr>
      <w:r w:rsidRPr="00A00187">
        <w:t>Platí stejné poznámky jako v přechozí kapitole: délky řízení zjišťujeme ze statistických listů a uvádíme v kalendářních dnech ode dne nápadu do dne konečného rozhodnutí soudem I. stupně.</w:t>
      </w:r>
    </w:p>
    <w:p w14:paraId="656C58A6" w14:textId="7BC37E6D" w:rsidR="00461DBC" w:rsidRPr="00A00187" w:rsidRDefault="00461DBC" w:rsidP="00461DBC">
      <w:pPr>
        <w:pStyle w:val="Podnadpis"/>
        <w:rPr>
          <w:color w:val="auto"/>
        </w:rPr>
      </w:pPr>
      <w:bookmarkStart w:id="231" w:name="_Toc515871346"/>
      <w:bookmarkStart w:id="232" w:name="_Toc11135081"/>
      <w:bookmarkStart w:id="233" w:name="_Toc43841397"/>
      <w:bookmarkStart w:id="234" w:name="_Toc75952198"/>
      <w:bookmarkStart w:id="235" w:name="_Toc106106652"/>
      <w:bookmarkStart w:id="236" w:name="_Toc109801976"/>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18</w:t>
      </w:r>
      <w:r w:rsidRPr="00A00187">
        <w:rPr>
          <w:color w:val="auto"/>
        </w:rPr>
        <w:fldChar w:fldCharType="end"/>
      </w:r>
      <w:r w:rsidRPr="00A00187">
        <w:rPr>
          <w:color w:val="auto"/>
        </w:rPr>
        <w:t>: OS – délka civilního el. rozkazního řízení v letech 2013–20</w:t>
      </w:r>
      <w:bookmarkEnd w:id="231"/>
      <w:bookmarkEnd w:id="232"/>
      <w:bookmarkEnd w:id="233"/>
      <w:r w:rsidRPr="00A00187">
        <w:rPr>
          <w:color w:val="auto"/>
        </w:rPr>
        <w:t>2</w:t>
      </w:r>
      <w:bookmarkEnd w:id="234"/>
      <w:r w:rsidR="007830CA" w:rsidRPr="00A00187">
        <w:rPr>
          <w:color w:val="auto"/>
        </w:rPr>
        <w:t>1</w:t>
      </w:r>
      <w:bookmarkEnd w:id="235"/>
      <w:bookmarkEnd w:id="236"/>
    </w:p>
    <w:p w14:paraId="4F2BAB7F" w14:textId="4ED2BD8B" w:rsidR="00461DBC" w:rsidRPr="00A00187" w:rsidRDefault="00E9351C" w:rsidP="00461DBC">
      <w:r w:rsidRPr="00A00187">
        <w:rPr>
          <w:noProof/>
        </w:rPr>
        <w:drawing>
          <wp:inline distT="0" distB="0" distL="0" distR="0" wp14:anchorId="1287ACA4" wp14:editId="7EF02E33">
            <wp:extent cx="5029200" cy="365760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07A8F96" w14:textId="638B877C" w:rsidR="004D7239" w:rsidRPr="00A00187" w:rsidRDefault="004D7239" w:rsidP="004D7239">
      <w:pPr>
        <w:pStyle w:val="Podnadpis"/>
        <w:rPr>
          <w:color w:val="auto"/>
        </w:rPr>
      </w:pPr>
      <w:bookmarkStart w:id="237" w:name="_Toc515871448"/>
      <w:bookmarkStart w:id="238" w:name="_Toc11133216"/>
      <w:bookmarkStart w:id="239" w:name="_Toc43931190"/>
      <w:bookmarkStart w:id="240" w:name="_Toc75952320"/>
      <w:bookmarkStart w:id="241" w:name="_Toc106106779"/>
      <w:bookmarkStart w:id="242" w:name="_Toc109802102"/>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17</w:t>
      </w:r>
      <w:r w:rsidRPr="00A00187">
        <w:rPr>
          <w:noProof/>
          <w:color w:val="auto"/>
        </w:rPr>
        <w:fldChar w:fldCharType="end"/>
      </w:r>
      <w:r w:rsidRPr="00A00187">
        <w:rPr>
          <w:color w:val="auto"/>
        </w:rPr>
        <w:t>: OS – délky el. rozkazního civilního řízení dle krajů</w:t>
      </w:r>
      <w:bookmarkEnd w:id="237"/>
      <w:bookmarkEnd w:id="238"/>
      <w:bookmarkEnd w:id="239"/>
      <w:bookmarkEnd w:id="240"/>
      <w:bookmarkEnd w:id="241"/>
      <w:bookmarkEnd w:id="242"/>
    </w:p>
    <w:tbl>
      <w:tblPr>
        <w:tblW w:w="9073" w:type="dxa"/>
        <w:tblCellMar>
          <w:left w:w="70" w:type="dxa"/>
          <w:right w:w="70" w:type="dxa"/>
        </w:tblCellMar>
        <w:tblLook w:val="04A0" w:firstRow="1" w:lastRow="0" w:firstColumn="1" w:lastColumn="0" w:noHBand="0" w:noVBand="1"/>
      </w:tblPr>
      <w:tblGrid>
        <w:gridCol w:w="2336"/>
        <w:gridCol w:w="1066"/>
        <w:gridCol w:w="1135"/>
        <w:gridCol w:w="992"/>
        <w:gridCol w:w="1276"/>
        <w:gridCol w:w="992"/>
        <w:gridCol w:w="1276"/>
      </w:tblGrid>
      <w:tr w:rsidR="00AC1E67" w:rsidRPr="00A00187" w14:paraId="41F10B35" w14:textId="77777777" w:rsidTr="003D247C">
        <w:trPr>
          <w:trHeight w:val="330"/>
        </w:trPr>
        <w:tc>
          <w:tcPr>
            <w:tcW w:w="2336" w:type="dxa"/>
            <w:vMerge w:val="restart"/>
            <w:tcBorders>
              <w:top w:val="double" w:sz="6" w:space="0" w:color="auto"/>
              <w:left w:val="nil"/>
              <w:bottom w:val="double" w:sz="6" w:space="0" w:color="000000"/>
              <w:right w:val="nil"/>
            </w:tcBorders>
            <w:shd w:val="clear" w:color="auto" w:fill="auto"/>
            <w:noWrap/>
            <w:vAlign w:val="center"/>
            <w:hideMark/>
          </w:tcPr>
          <w:p w14:paraId="5FF2E006" w14:textId="77777777" w:rsidR="00CF1B50" w:rsidRPr="00A00187" w:rsidRDefault="00CF1B50" w:rsidP="003D247C">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6732" w:type="dxa"/>
            <w:gridSpan w:val="6"/>
            <w:tcBorders>
              <w:top w:val="double" w:sz="6" w:space="0" w:color="auto"/>
              <w:left w:val="nil"/>
              <w:bottom w:val="nil"/>
              <w:right w:val="nil"/>
            </w:tcBorders>
            <w:shd w:val="clear" w:color="auto" w:fill="auto"/>
            <w:noWrap/>
            <w:vAlign w:val="center"/>
            <w:hideMark/>
          </w:tcPr>
          <w:p w14:paraId="03893634" w14:textId="77777777" w:rsidR="00CF1B50" w:rsidRPr="00A00187" w:rsidRDefault="00CF1B50" w:rsidP="00CF1B50">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5CD54653" w14:textId="77777777" w:rsidTr="009E4F53">
        <w:trPr>
          <w:trHeight w:val="330"/>
        </w:trPr>
        <w:tc>
          <w:tcPr>
            <w:tcW w:w="2336" w:type="dxa"/>
            <w:vMerge/>
            <w:tcBorders>
              <w:top w:val="double" w:sz="6" w:space="0" w:color="auto"/>
              <w:left w:val="nil"/>
              <w:bottom w:val="double" w:sz="6" w:space="0" w:color="000000"/>
              <w:right w:val="nil"/>
            </w:tcBorders>
            <w:vAlign w:val="center"/>
            <w:hideMark/>
          </w:tcPr>
          <w:p w14:paraId="5747D16F" w14:textId="77777777" w:rsidR="00CF1B50" w:rsidRPr="00A00187" w:rsidRDefault="00CF1B50" w:rsidP="00CF1B50">
            <w:pPr>
              <w:spacing w:line="240" w:lineRule="auto"/>
              <w:jc w:val="left"/>
              <w:rPr>
                <w:rFonts w:eastAsia="Times New Roman"/>
                <w:b/>
                <w:bCs/>
                <w:szCs w:val="24"/>
                <w:lang w:eastAsia="cs-CZ"/>
              </w:rPr>
            </w:pPr>
          </w:p>
        </w:tc>
        <w:tc>
          <w:tcPr>
            <w:tcW w:w="2201" w:type="dxa"/>
            <w:gridSpan w:val="2"/>
            <w:tcBorders>
              <w:top w:val="nil"/>
              <w:left w:val="nil"/>
              <w:bottom w:val="double" w:sz="6" w:space="0" w:color="auto"/>
              <w:right w:val="nil"/>
            </w:tcBorders>
            <w:shd w:val="clear" w:color="auto" w:fill="auto"/>
            <w:noWrap/>
            <w:vAlign w:val="center"/>
            <w:hideMark/>
          </w:tcPr>
          <w:p w14:paraId="793A7FB7" w14:textId="77777777" w:rsidR="00CF1B50" w:rsidRPr="00A00187" w:rsidRDefault="00CF1B50" w:rsidP="00CF1B50">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226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4427B00" w14:textId="77777777" w:rsidR="00CF1B50" w:rsidRPr="00A00187" w:rsidRDefault="00CF1B50" w:rsidP="00CF1B50">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2263" w:type="dxa"/>
            <w:gridSpan w:val="2"/>
            <w:tcBorders>
              <w:top w:val="nil"/>
              <w:left w:val="nil"/>
              <w:bottom w:val="double" w:sz="6" w:space="0" w:color="auto"/>
              <w:right w:val="nil"/>
            </w:tcBorders>
            <w:shd w:val="clear" w:color="auto" w:fill="auto"/>
            <w:noWrap/>
            <w:vAlign w:val="center"/>
            <w:hideMark/>
          </w:tcPr>
          <w:p w14:paraId="1575A205" w14:textId="77777777" w:rsidR="00CF1B50" w:rsidRPr="00A00187" w:rsidRDefault="00CF1B50" w:rsidP="00CF1B50">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63BB2D64" w14:textId="77777777" w:rsidTr="009E4F53">
        <w:trPr>
          <w:trHeight w:val="330"/>
        </w:trPr>
        <w:tc>
          <w:tcPr>
            <w:tcW w:w="2336" w:type="dxa"/>
            <w:tcBorders>
              <w:top w:val="single" w:sz="4" w:space="0" w:color="auto"/>
              <w:left w:val="nil"/>
              <w:bottom w:val="single" w:sz="4" w:space="0" w:color="auto"/>
              <w:right w:val="nil"/>
            </w:tcBorders>
            <w:shd w:val="clear" w:color="auto" w:fill="auto"/>
            <w:noWrap/>
            <w:vAlign w:val="bottom"/>
            <w:hideMark/>
          </w:tcPr>
          <w:p w14:paraId="7CF7B3F1"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MS Praha</w:t>
            </w:r>
          </w:p>
        </w:tc>
        <w:tc>
          <w:tcPr>
            <w:tcW w:w="1066" w:type="dxa"/>
            <w:tcBorders>
              <w:top w:val="single" w:sz="4" w:space="0" w:color="auto"/>
              <w:left w:val="nil"/>
              <w:bottom w:val="single" w:sz="4" w:space="0" w:color="auto"/>
              <w:right w:val="nil"/>
            </w:tcBorders>
            <w:shd w:val="clear" w:color="auto" w:fill="auto"/>
            <w:noWrap/>
            <w:vAlign w:val="bottom"/>
            <w:hideMark/>
          </w:tcPr>
          <w:p w14:paraId="45BF23EE"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30</w:t>
            </w:r>
          </w:p>
        </w:tc>
        <w:tc>
          <w:tcPr>
            <w:tcW w:w="1135" w:type="dxa"/>
            <w:tcBorders>
              <w:top w:val="single" w:sz="4" w:space="0" w:color="auto"/>
              <w:left w:val="nil"/>
              <w:bottom w:val="single" w:sz="4" w:space="0" w:color="auto"/>
              <w:right w:val="nil"/>
            </w:tcBorders>
            <w:shd w:val="clear" w:color="auto" w:fill="auto"/>
            <w:noWrap/>
            <w:vAlign w:val="center"/>
            <w:hideMark/>
          </w:tcPr>
          <w:p w14:paraId="50D23335" w14:textId="39555DF8"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992" w:type="dxa"/>
            <w:tcBorders>
              <w:top w:val="nil"/>
              <w:left w:val="single" w:sz="4" w:space="0" w:color="auto"/>
              <w:bottom w:val="single" w:sz="4" w:space="0" w:color="auto"/>
              <w:right w:val="nil"/>
            </w:tcBorders>
            <w:shd w:val="clear" w:color="auto" w:fill="auto"/>
            <w:noWrap/>
            <w:vAlign w:val="bottom"/>
            <w:hideMark/>
          </w:tcPr>
          <w:p w14:paraId="2B03589D"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11</w:t>
            </w:r>
          </w:p>
        </w:tc>
        <w:tc>
          <w:tcPr>
            <w:tcW w:w="1276" w:type="dxa"/>
            <w:tcBorders>
              <w:top w:val="nil"/>
              <w:left w:val="nil"/>
              <w:bottom w:val="single" w:sz="4" w:space="0" w:color="auto"/>
              <w:right w:val="single" w:sz="4" w:space="0" w:color="auto"/>
            </w:tcBorders>
            <w:shd w:val="clear" w:color="auto" w:fill="auto"/>
            <w:noWrap/>
            <w:vAlign w:val="center"/>
            <w:hideMark/>
          </w:tcPr>
          <w:p w14:paraId="3A6B4924" w14:textId="5499DB6F"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c>
          <w:tcPr>
            <w:tcW w:w="992" w:type="dxa"/>
            <w:tcBorders>
              <w:top w:val="single" w:sz="4" w:space="0" w:color="auto"/>
              <w:left w:val="nil"/>
              <w:bottom w:val="single" w:sz="4" w:space="0" w:color="auto"/>
              <w:right w:val="nil"/>
            </w:tcBorders>
            <w:shd w:val="clear" w:color="auto" w:fill="auto"/>
            <w:noWrap/>
            <w:vAlign w:val="bottom"/>
            <w:hideMark/>
          </w:tcPr>
          <w:p w14:paraId="40E1B635"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64</w:t>
            </w:r>
          </w:p>
        </w:tc>
        <w:tc>
          <w:tcPr>
            <w:tcW w:w="1276" w:type="dxa"/>
            <w:tcBorders>
              <w:top w:val="single" w:sz="4" w:space="0" w:color="auto"/>
              <w:left w:val="nil"/>
              <w:bottom w:val="single" w:sz="4" w:space="0" w:color="auto"/>
              <w:right w:val="nil"/>
            </w:tcBorders>
            <w:shd w:val="clear" w:color="auto" w:fill="auto"/>
            <w:noWrap/>
            <w:vAlign w:val="center"/>
            <w:hideMark/>
          </w:tcPr>
          <w:p w14:paraId="2E17D7B6" w14:textId="5C62AA6C"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-30</w:t>
            </w:r>
            <w:r w:rsidR="00CB570A">
              <w:rPr>
                <w:rFonts w:eastAsia="Times New Roman"/>
                <w:sz w:val="20"/>
                <w:szCs w:val="20"/>
                <w:lang w:eastAsia="cs-CZ"/>
              </w:rPr>
              <w:t> %</w:t>
            </w:r>
          </w:p>
        </w:tc>
      </w:tr>
      <w:tr w:rsidR="00AC1E67" w:rsidRPr="00A00187" w14:paraId="147A8F66" w14:textId="77777777" w:rsidTr="009E4F53">
        <w:trPr>
          <w:trHeight w:val="315"/>
        </w:trPr>
        <w:tc>
          <w:tcPr>
            <w:tcW w:w="2336" w:type="dxa"/>
            <w:tcBorders>
              <w:top w:val="nil"/>
              <w:left w:val="nil"/>
              <w:bottom w:val="single" w:sz="4" w:space="0" w:color="auto"/>
              <w:right w:val="nil"/>
            </w:tcBorders>
            <w:shd w:val="clear" w:color="auto" w:fill="auto"/>
            <w:noWrap/>
            <w:vAlign w:val="bottom"/>
            <w:hideMark/>
          </w:tcPr>
          <w:p w14:paraId="1EC95216"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KS Praha</w:t>
            </w:r>
          </w:p>
        </w:tc>
        <w:tc>
          <w:tcPr>
            <w:tcW w:w="1066" w:type="dxa"/>
            <w:tcBorders>
              <w:top w:val="nil"/>
              <w:left w:val="nil"/>
              <w:bottom w:val="single" w:sz="4" w:space="0" w:color="auto"/>
              <w:right w:val="nil"/>
            </w:tcBorders>
            <w:shd w:val="clear" w:color="auto" w:fill="auto"/>
            <w:noWrap/>
            <w:vAlign w:val="bottom"/>
            <w:hideMark/>
          </w:tcPr>
          <w:p w14:paraId="2C5EDA07"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20</w:t>
            </w:r>
          </w:p>
        </w:tc>
        <w:tc>
          <w:tcPr>
            <w:tcW w:w="1135" w:type="dxa"/>
            <w:tcBorders>
              <w:top w:val="nil"/>
              <w:left w:val="nil"/>
              <w:bottom w:val="single" w:sz="4" w:space="0" w:color="auto"/>
              <w:right w:val="nil"/>
            </w:tcBorders>
            <w:shd w:val="clear" w:color="auto" w:fill="auto"/>
            <w:noWrap/>
            <w:vAlign w:val="center"/>
            <w:hideMark/>
          </w:tcPr>
          <w:p w14:paraId="4DDF15AF" w14:textId="1B02CBA9"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992" w:type="dxa"/>
            <w:tcBorders>
              <w:top w:val="nil"/>
              <w:left w:val="single" w:sz="4" w:space="0" w:color="auto"/>
              <w:bottom w:val="single" w:sz="4" w:space="0" w:color="auto"/>
              <w:right w:val="nil"/>
            </w:tcBorders>
            <w:shd w:val="clear" w:color="auto" w:fill="auto"/>
            <w:noWrap/>
            <w:vAlign w:val="bottom"/>
            <w:hideMark/>
          </w:tcPr>
          <w:p w14:paraId="024FBDEF"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9</w:t>
            </w:r>
          </w:p>
        </w:tc>
        <w:tc>
          <w:tcPr>
            <w:tcW w:w="1276" w:type="dxa"/>
            <w:tcBorders>
              <w:top w:val="nil"/>
              <w:left w:val="nil"/>
              <w:bottom w:val="single" w:sz="4" w:space="0" w:color="auto"/>
              <w:right w:val="single" w:sz="4" w:space="0" w:color="auto"/>
            </w:tcBorders>
            <w:shd w:val="clear" w:color="auto" w:fill="auto"/>
            <w:noWrap/>
            <w:vAlign w:val="center"/>
            <w:hideMark/>
          </w:tcPr>
          <w:p w14:paraId="483627C1" w14:textId="2D8406AB"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609FFE37"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35</w:t>
            </w:r>
          </w:p>
        </w:tc>
        <w:tc>
          <w:tcPr>
            <w:tcW w:w="1276" w:type="dxa"/>
            <w:tcBorders>
              <w:top w:val="nil"/>
              <w:left w:val="nil"/>
              <w:bottom w:val="single" w:sz="4" w:space="0" w:color="auto"/>
              <w:right w:val="nil"/>
            </w:tcBorders>
            <w:shd w:val="clear" w:color="auto" w:fill="auto"/>
            <w:noWrap/>
            <w:vAlign w:val="center"/>
            <w:hideMark/>
          </w:tcPr>
          <w:p w14:paraId="74E8726C" w14:textId="5030E84B"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3993C848" w14:textId="77777777" w:rsidTr="009E4F53">
        <w:trPr>
          <w:trHeight w:val="315"/>
        </w:trPr>
        <w:tc>
          <w:tcPr>
            <w:tcW w:w="2336" w:type="dxa"/>
            <w:tcBorders>
              <w:top w:val="nil"/>
              <w:left w:val="nil"/>
              <w:bottom w:val="single" w:sz="4" w:space="0" w:color="auto"/>
              <w:right w:val="nil"/>
            </w:tcBorders>
            <w:shd w:val="clear" w:color="auto" w:fill="auto"/>
            <w:noWrap/>
            <w:vAlign w:val="bottom"/>
            <w:hideMark/>
          </w:tcPr>
          <w:p w14:paraId="3CDC00C4"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KS Č. Budějovice</w:t>
            </w:r>
          </w:p>
        </w:tc>
        <w:tc>
          <w:tcPr>
            <w:tcW w:w="1066" w:type="dxa"/>
            <w:tcBorders>
              <w:top w:val="nil"/>
              <w:left w:val="nil"/>
              <w:bottom w:val="single" w:sz="4" w:space="0" w:color="auto"/>
              <w:right w:val="nil"/>
            </w:tcBorders>
            <w:shd w:val="clear" w:color="auto" w:fill="auto"/>
            <w:noWrap/>
            <w:vAlign w:val="bottom"/>
            <w:hideMark/>
          </w:tcPr>
          <w:p w14:paraId="5F162855"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23</w:t>
            </w:r>
          </w:p>
        </w:tc>
        <w:tc>
          <w:tcPr>
            <w:tcW w:w="1135" w:type="dxa"/>
            <w:tcBorders>
              <w:top w:val="nil"/>
              <w:left w:val="nil"/>
              <w:bottom w:val="single" w:sz="4" w:space="0" w:color="auto"/>
              <w:right w:val="nil"/>
            </w:tcBorders>
            <w:shd w:val="clear" w:color="auto" w:fill="auto"/>
            <w:noWrap/>
            <w:vAlign w:val="center"/>
            <w:hideMark/>
          </w:tcPr>
          <w:p w14:paraId="70162981" w14:textId="554BE0B2"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+35</w:t>
            </w:r>
            <w:r w:rsidR="00CB570A">
              <w:rPr>
                <w:rFonts w:eastAsia="Times New Roman"/>
                <w:sz w:val="20"/>
                <w:szCs w:val="20"/>
                <w:lang w:eastAsia="cs-CZ"/>
              </w:rPr>
              <w:t> %</w:t>
            </w:r>
          </w:p>
        </w:tc>
        <w:tc>
          <w:tcPr>
            <w:tcW w:w="992" w:type="dxa"/>
            <w:tcBorders>
              <w:top w:val="nil"/>
              <w:left w:val="single" w:sz="4" w:space="0" w:color="auto"/>
              <w:bottom w:val="single" w:sz="4" w:space="0" w:color="auto"/>
              <w:right w:val="nil"/>
            </w:tcBorders>
            <w:shd w:val="clear" w:color="auto" w:fill="auto"/>
            <w:noWrap/>
            <w:vAlign w:val="bottom"/>
            <w:hideMark/>
          </w:tcPr>
          <w:p w14:paraId="1D4337E5"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10</w:t>
            </w:r>
          </w:p>
        </w:tc>
        <w:tc>
          <w:tcPr>
            <w:tcW w:w="1276" w:type="dxa"/>
            <w:tcBorders>
              <w:top w:val="nil"/>
              <w:left w:val="nil"/>
              <w:bottom w:val="single" w:sz="4" w:space="0" w:color="auto"/>
              <w:right w:val="single" w:sz="4" w:space="0" w:color="auto"/>
            </w:tcBorders>
            <w:shd w:val="clear" w:color="auto" w:fill="auto"/>
            <w:noWrap/>
            <w:vAlign w:val="center"/>
            <w:hideMark/>
          </w:tcPr>
          <w:p w14:paraId="36C413C0" w14:textId="3D00A3B1"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1B367223"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44</w:t>
            </w:r>
          </w:p>
        </w:tc>
        <w:tc>
          <w:tcPr>
            <w:tcW w:w="1276" w:type="dxa"/>
            <w:tcBorders>
              <w:top w:val="nil"/>
              <w:left w:val="nil"/>
              <w:bottom w:val="single" w:sz="4" w:space="0" w:color="auto"/>
              <w:right w:val="nil"/>
            </w:tcBorders>
            <w:shd w:val="clear" w:color="auto" w:fill="auto"/>
            <w:noWrap/>
            <w:vAlign w:val="center"/>
            <w:hideMark/>
          </w:tcPr>
          <w:p w14:paraId="12C563D6" w14:textId="7F4C7722"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+38</w:t>
            </w:r>
            <w:r w:rsidR="00CB570A">
              <w:rPr>
                <w:rFonts w:eastAsia="Times New Roman"/>
                <w:sz w:val="20"/>
                <w:szCs w:val="20"/>
                <w:lang w:eastAsia="cs-CZ"/>
              </w:rPr>
              <w:t> %</w:t>
            </w:r>
          </w:p>
        </w:tc>
      </w:tr>
      <w:tr w:rsidR="00AC1E67" w:rsidRPr="00A00187" w14:paraId="6C154646" w14:textId="77777777" w:rsidTr="009E4F53">
        <w:trPr>
          <w:trHeight w:val="315"/>
        </w:trPr>
        <w:tc>
          <w:tcPr>
            <w:tcW w:w="2336" w:type="dxa"/>
            <w:tcBorders>
              <w:top w:val="nil"/>
              <w:left w:val="nil"/>
              <w:bottom w:val="single" w:sz="4" w:space="0" w:color="auto"/>
              <w:right w:val="nil"/>
            </w:tcBorders>
            <w:shd w:val="clear" w:color="auto" w:fill="auto"/>
            <w:noWrap/>
            <w:vAlign w:val="bottom"/>
            <w:hideMark/>
          </w:tcPr>
          <w:p w14:paraId="75774D31"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KS Plzeň</w:t>
            </w:r>
          </w:p>
        </w:tc>
        <w:tc>
          <w:tcPr>
            <w:tcW w:w="1066" w:type="dxa"/>
            <w:tcBorders>
              <w:top w:val="nil"/>
              <w:left w:val="nil"/>
              <w:bottom w:val="single" w:sz="4" w:space="0" w:color="auto"/>
              <w:right w:val="nil"/>
            </w:tcBorders>
            <w:shd w:val="clear" w:color="auto" w:fill="auto"/>
            <w:noWrap/>
            <w:vAlign w:val="bottom"/>
            <w:hideMark/>
          </w:tcPr>
          <w:p w14:paraId="7CD9453C"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19</w:t>
            </w:r>
          </w:p>
        </w:tc>
        <w:tc>
          <w:tcPr>
            <w:tcW w:w="1135" w:type="dxa"/>
            <w:tcBorders>
              <w:top w:val="nil"/>
              <w:left w:val="nil"/>
              <w:bottom w:val="single" w:sz="4" w:space="0" w:color="auto"/>
              <w:right w:val="nil"/>
            </w:tcBorders>
            <w:shd w:val="clear" w:color="auto" w:fill="auto"/>
            <w:noWrap/>
            <w:vAlign w:val="center"/>
            <w:hideMark/>
          </w:tcPr>
          <w:p w14:paraId="3642197D" w14:textId="5AF7DF62"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92" w:type="dxa"/>
            <w:tcBorders>
              <w:top w:val="nil"/>
              <w:left w:val="single" w:sz="4" w:space="0" w:color="auto"/>
              <w:bottom w:val="single" w:sz="4" w:space="0" w:color="auto"/>
              <w:right w:val="nil"/>
            </w:tcBorders>
            <w:shd w:val="clear" w:color="auto" w:fill="auto"/>
            <w:noWrap/>
            <w:vAlign w:val="bottom"/>
            <w:hideMark/>
          </w:tcPr>
          <w:p w14:paraId="20D8B2A5"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10</w:t>
            </w:r>
          </w:p>
        </w:tc>
        <w:tc>
          <w:tcPr>
            <w:tcW w:w="1276" w:type="dxa"/>
            <w:tcBorders>
              <w:top w:val="nil"/>
              <w:left w:val="nil"/>
              <w:bottom w:val="single" w:sz="4" w:space="0" w:color="auto"/>
              <w:right w:val="single" w:sz="4" w:space="0" w:color="auto"/>
            </w:tcBorders>
            <w:shd w:val="clear" w:color="auto" w:fill="auto"/>
            <w:noWrap/>
            <w:vAlign w:val="center"/>
            <w:hideMark/>
          </w:tcPr>
          <w:p w14:paraId="344A1C70" w14:textId="5C948169"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1A31CCE1"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36</w:t>
            </w:r>
          </w:p>
        </w:tc>
        <w:tc>
          <w:tcPr>
            <w:tcW w:w="1276" w:type="dxa"/>
            <w:tcBorders>
              <w:top w:val="nil"/>
              <w:left w:val="nil"/>
              <w:bottom w:val="single" w:sz="4" w:space="0" w:color="auto"/>
              <w:right w:val="nil"/>
            </w:tcBorders>
            <w:shd w:val="clear" w:color="auto" w:fill="auto"/>
            <w:noWrap/>
            <w:vAlign w:val="center"/>
            <w:hideMark/>
          </w:tcPr>
          <w:p w14:paraId="038DA590" w14:textId="33835727"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1B02FF62" w14:textId="77777777" w:rsidTr="009E4F53">
        <w:trPr>
          <w:trHeight w:val="315"/>
        </w:trPr>
        <w:tc>
          <w:tcPr>
            <w:tcW w:w="2336" w:type="dxa"/>
            <w:tcBorders>
              <w:top w:val="nil"/>
              <w:left w:val="nil"/>
              <w:bottom w:val="single" w:sz="4" w:space="0" w:color="auto"/>
              <w:right w:val="nil"/>
            </w:tcBorders>
            <w:shd w:val="clear" w:color="auto" w:fill="auto"/>
            <w:noWrap/>
            <w:vAlign w:val="bottom"/>
            <w:hideMark/>
          </w:tcPr>
          <w:p w14:paraId="0735D7C8"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KS Ústí n. Labem</w:t>
            </w:r>
          </w:p>
        </w:tc>
        <w:tc>
          <w:tcPr>
            <w:tcW w:w="1066" w:type="dxa"/>
            <w:tcBorders>
              <w:top w:val="nil"/>
              <w:left w:val="nil"/>
              <w:bottom w:val="single" w:sz="4" w:space="0" w:color="auto"/>
              <w:right w:val="nil"/>
            </w:tcBorders>
            <w:shd w:val="clear" w:color="auto" w:fill="auto"/>
            <w:noWrap/>
            <w:vAlign w:val="bottom"/>
            <w:hideMark/>
          </w:tcPr>
          <w:p w14:paraId="37A3B9F2"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34</w:t>
            </w:r>
          </w:p>
        </w:tc>
        <w:tc>
          <w:tcPr>
            <w:tcW w:w="1135" w:type="dxa"/>
            <w:tcBorders>
              <w:top w:val="nil"/>
              <w:left w:val="nil"/>
              <w:bottom w:val="single" w:sz="4" w:space="0" w:color="auto"/>
              <w:right w:val="nil"/>
            </w:tcBorders>
            <w:shd w:val="clear" w:color="auto" w:fill="auto"/>
            <w:noWrap/>
            <w:vAlign w:val="center"/>
            <w:hideMark/>
          </w:tcPr>
          <w:p w14:paraId="1F214BC9" w14:textId="7241A0D1"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92" w:type="dxa"/>
            <w:tcBorders>
              <w:top w:val="nil"/>
              <w:left w:val="single" w:sz="4" w:space="0" w:color="auto"/>
              <w:bottom w:val="single" w:sz="4" w:space="0" w:color="auto"/>
              <w:right w:val="nil"/>
            </w:tcBorders>
            <w:shd w:val="clear" w:color="auto" w:fill="auto"/>
            <w:noWrap/>
            <w:vAlign w:val="bottom"/>
            <w:hideMark/>
          </w:tcPr>
          <w:p w14:paraId="5B6533D0"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16</w:t>
            </w:r>
          </w:p>
        </w:tc>
        <w:tc>
          <w:tcPr>
            <w:tcW w:w="1276" w:type="dxa"/>
            <w:tcBorders>
              <w:top w:val="nil"/>
              <w:left w:val="nil"/>
              <w:bottom w:val="single" w:sz="4" w:space="0" w:color="auto"/>
              <w:right w:val="single" w:sz="4" w:space="0" w:color="auto"/>
            </w:tcBorders>
            <w:shd w:val="clear" w:color="auto" w:fill="auto"/>
            <w:noWrap/>
            <w:vAlign w:val="center"/>
            <w:hideMark/>
          </w:tcPr>
          <w:p w14:paraId="54818B94" w14:textId="48357741"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08D47E84"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62</w:t>
            </w:r>
          </w:p>
        </w:tc>
        <w:tc>
          <w:tcPr>
            <w:tcW w:w="1276" w:type="dxa"/>
            <w:tcBorders>
              <w:top w:val="nil"/>
              <w:left w:val="nil"/>
              <w:bottom w:val="single" w:sz="4" w:space="0" w:color="auto"/>
              <w:right w:val="nil"/>
            </w:tcBorders>
            <w:shd w:val="clear" w:color="auto" w:fill="auto"/>
            <w:noWrap/>
            <w:vAlign w:val="center"/>
            <w:hideMark/>
          </w:tcPr>
          <w:p w14:paraId="5B0647F2" w14:textId="50B33A20"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r>
      <w:tr w:rsidR="00AC1E67" w:rsidRPr="00A00187" w14:paraId="66F214BF" w14:textId="77777777" w:rsidTr="009E4F53">
        <w:trPr>
          <w:trHeight w:val="315"/>
        </w:trPr>
        <w:tc>
          <w:tcPr>
            <w:tcW w:w="2336" w:type="dxa"/>
            <w:tcBorders>
              <w:top w:val="nil"/>
              <w:left w:val="nil"/>
              <w:bottom w:val="single" w:sz="4" w:space="0" w:color="auto"/>
              <w:right w:val="nil"/>
            </w:tcBorders>
            <w:shd w:val="clear" w:color="auto" w:fill="auto"/>
            <w:noWrap/>
            <w:vAlign w:val="bottom"/>
            <w:hideMark/>
          </w:tcPr>
          <w:p w14:paraId="5D0C1EBA"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KS Hr. Králové</w:t>
            </w:r>
          </w:p>
        </w:tc>
        <w:tc>
          <w:tcPr>
            <w:tcW w:w="1066" w:type="dxa"/>
            <w:tcBorders>
              <w:top w:val="nil"/>
              <w:left w:val="nil"/>
              <w:bottom w:val="single" w:sz="4" w:space="0" w:color="auto"/>
              <w:right w:val="nil"/>
            </w:tcBorders>
            <w:shd w:val="clear" w:color="auto" w:fill="auto"/>
            <w:noWrap/>
            <w:vAlign w:val="bottom"/>
            <w:hideMark/>
          </w:tcPr>
          <w:p w14:paraId="3503B464"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21</w:t>
            </w:r>
          </w:p>
        </w:tc>
        <w:tc>
          <w:tcPr>
            <w:tcW w:w="1135" w:type="dxa"/>
            <w:tcBorders>
              <w:top w:val="nil"/>
              <w:left w:val="nil"/>
              <w:bottom w:val="single" w:sz="4" w:space="0" w:color="auto"/>
              <w:right w:val="nil"/>
            </w:tcBorders>
            <w:shd w:val="clear" w:color="auto" w:fill="auto"/>
            <w:noWrap/>
            <w:vAlign w:val="center"/>
            <w:hideMark/>
          </w:tcPr>
          <w:p w14:paraId="6A2C2C9A" w14:textId="5AC3798B"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992" w:type="dxa"/>
            <w:tcBorders>
              <w:top w:val="nil"/>
              <w:left w:val="single" w:sz="4" w:space="0" w:color="auto"/>
              <w:bottom w:val="single" w:sz="4" w:space="0" w:color="auto"/>
              <w:right w:val="nil"/>
            </w:tcBorders>
            <w:shd w:val="clear" w:color="auto" w:fill="auto"/>
            <w:noWrap/>
            <w:vAlign w:val="bottom"/>
            <w:hideMark/>
          </w:tcPr>
          <w:p w14:paraId="3BB80CB4"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9</w:t>
            </w:r>
          </w:p>
        </w:tc>
        <w:tc>
          <w:tcPr>
            <w:tcW w:w="1276" w:type="dxa"/>
            <w:tcBorders>
              <w:top w:val="nil"/>
              <w:left w:val="nil"/>
              <w:bottom w:val="single" w:sz="4" w:space="0" w:color="auto"/>
              <w:right w:val="single" w:sz="4" w:space="0" w:color="auto"/>
            </w:tcBorders>
            <w:shd w:val="clear" w:color="auto" w:fill="auto"/>
            <w:noWrap/>
            <w:vAlign w:val="center"/>
            <w:hideMark/>
          </w:tcPr>
          <w:p w14:paraId="1ECC196E" w14:textId="462CD7D9"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16F841BE"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39</w:t>
            </w:r>
          </w:p>
        </w:tc>
        <w:tc>
          <w:tcPr>
            <w:tcW w:w="1276" w:type="dxa"/>
            <w:tcBorders>
              <w:top w:val="nil"/>
              <w:left w:val="nil"/>
              <w:bottom w:val="single" w:sz="4" w:space="0" w:color="auto"/>
              <w:right w:val="nil"/>
            </w:tcBorders>
            <w:shd w:val="clear" w:color="auto" w:fill="auto"/>
            <w:noWrap/>
            <w:vAlign w:val="center"/>
            <w:hideMark/>
          </w:tcPr>
          <w:p w14:paraId="4CFED304" w14:textId="06C9B7FE"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691B6B75" w14:textId="77777777" w:rsidTr="009E4F53">
        <w:trPr>
          <w:trHeight w:val="315"/>
        </w:trPr>
        <w:tc>
          <w:tcPr>
            <w:tcW w:w="2336" w:type="dxa"/>
            <w:tcBorders>
              <w:top w:val="nil"/>
              <w:left w:val="nil"/>
              <w:bottom w:val="single" w:sz="4" w:space="0" w:color="auto"/>
              <w:right w:val="nil"/>
            </w:tcBorders>
            <w:shd w:val="clear" w:color="auto" w:fill="auto"/>
            <w:noWrap/>
            <w:vAlign w:val="bottom"/>
            <w:hideMark/>
          </w:tcPr>
          <w:p w14:paraId="7012CA7C"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KS Brno</w:t>
            </w:r>
          </w:p>
        </w:tc>
        <w:tc>
          <w:tcPr>
            <w:tcW w:w="1066" w:type="dxa"/>
            <w:tcBorders>
              <w:top w:val="nil"/>
              <w:left w:val="nil"/>
              <w:bottom w:val="single" w:sz="4" w:space="0" w:color="auto"/>
              <w:right w:val="nil"/>
            </w:tcBorders>
            <w:shd w:val="clear" w:color="auto" w:fill="auto"/>
            <w:noWrap/>
            <w:vAlign w:val="bottom"/>
            <w:hideMark/>
          </w:tcPr>
          <w:p w14:paraId="1BEEF4DB"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41</w:t>
            </w:r>
          </w:p>
        </w:tc>
        <w:tc>
          <w:tcPr>
            <w:tcW w:w="1135" w:type="dxa"/>
            <w:tcBorders>
              <w:top w:val="nil"/>
              <w:left w:val="nil"/>
              <w:bottom w:val="single" w:sz="4" w:space="0" w:color="auto"/>
              <w:right w:val="nil"/>
            </w:tcBorders>
            <w:shd w:val="clear" w:color="auto" w:fill="auto"/>
            <w:noWrap/>
            <w:vAlign w:val="center"/>
            <w:hideMark/>
          </w:tcPr>
          <w:p w14:paraId="39342823" w14:textId="181AC102"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992" w:type="dxa"/>
            <w:tcBorders>
              <w:top w:val="nil"/>
              <w:left w:val="single" w:sz="4" w:space="0" w:color="auto"/>
              <w:bottom w:val="single" w:sz="4" w:space="0" w:color="auto"/>
              <w:right w:val="nil"/>
            </w:tcBorders>
            <w:shd w:val="clear" w:color="auto" w:fill="auto"/>
            <w:noWrap/>
            <w:vAlign w:val="bottom"/>
            <w:hideMark/>
          </w:tcPr>
          <w:p w14:paraId="20F4917F"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23</w:t>
            </w:r>
          </w:p>
        </w:tc>
        <w:tc>
          <w:tcPr>
            <w:tcW w:w="1276" w:type="dxa"/>
            <w:tcBorders>
              <w:top w:val="nil"/>
              <w:left w:val="nil"/>
              <w:bottom w:val="single" w:sz="4" w:space="0" w:color="auto"/>
              <w:right w:val="single" w:sz="4" w:space="0" w:color="auto"/>
            </w:tcBorders>
            <w:shd w:val="clear" w:color="auto" w:fill="auto"/>
            <w:noWrap/>
            <w:vAlign w:val="center"/>
            <w:hideMark/>
          </w:tcPr>
          <w:p w14:paraId="617E7340" w14:textId="41617480"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4B184E58"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91</w:t>
            </w:r>
          </w:p>
        </w:tc>
        <w:tc>
          <w:tcPr>
            <w:tcW w:w="1276" w:type="dxa"/>
            <w:tcBorders>
              <w:top w:val="nil"/>
              <w:left w:val="nil"/>
              <w:bottom w:val="single" w:sz="4" w:space="0" w:color="auto"/>
              <w:right w:val="nil"/>
            </w:tcBorders>
            <w:shd w:val="clear" w:color="auto" w:fill="auto"/>
            <w:noWrap/>
            <w:vAlign w:val="center"/>
            <w:hideMark/>
          </w:tcPr>
          <w:p w14:paraId="7E82559D" w14:textId="03A44100"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r>
      <w:tr w:rsidR="00AC1E67" w:rsidRPr="00A00187" w14:paraId="647027D4" w14:textId="77777777" w:rsidTr="009E4F53">
        <w:trPr>
          <w:trHeight w:val="330"/>
        </w:trPr>
        <w:tc>
          <w:tcPr>
            <w:tcW w:w="2336" w:type="dxa"/>
            <w:tcBorders>
              <w:top w:val="nil"/>
              <w:left w:val="nil"/>
              <w:bottom w:val="double" w:sz="6" w:space="0" w:color="auto"/>
              <w:right w:val="nil"/>
            </w:tcBorders>
            <w:shd w:val="clear" w:color="auto" w:fill="auto"/>
            <w:noWrap/>
            <w:vAlign w:val="bottom"/>
            <w:hideMark/>
          </w:tcPr>
          <w:p w14:paraId="5BF6586B" w14:textId="77777777" w:rsidR="00CF1B50" w:rsidRPr="00A00187" w:rsidRDefault="00CF1B50" w:rsidP="00CF1B50">
            <w:pPr>
              <w:spacing w:line="240" w:lineRule="auto"/>
              <w:jc w:val="left"/>
              <w:rPr>
                <w:rFonts w:eastAsia="Times New Roman"/>
                <w:szCs w:val="24"/>
                <w:lang w:eastAsia="cs-CZ"/>
              </w:rPr>
            </w:pPr>
            <w:r w:rsidRPr="00A00187">
              <w:rPr>
                <w:rFonts w:eastAsia="Times New Roman"/>
                <w:szCs w:val="24"/>
                <w:lang w:eastAsia="cs-CZ"/>
              </w:rPr>
              <w:t>KS Ostrava</w:t>
            </w:r>
          </w:p>
        </w:tc>
        <w:tc>
          <w:tcPr>
            <w:tcW w:w="1066" w:type="dxa"/>
            <w:tcBorders>
              <w:top w:val="nil"/>
              <w:left w:val="nil"/>
              <w:bottom w:val="double" w:sz="6" w:space="0" w:color="auto"/>
              <w:right w:val="nil"/>
            </w:tcBorders>
            <w:shd w:val="clear" w:color="auto" w:fill="auto"/>
            <w:noWrap/>
            <w:vAlign w:val="bottom"/>
            <w:hideMark/>
          </w:tcPr>
          <w:p w14:paraId="14AAF6D0"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33</w:t>
            </w:r>
          </w:p>
        </w:tc>
        <w:tc>
          <w:tcPr>
            <w:tcW w:w="1135" w:type="dxa"/>
            <w:tcBorders>
              <w:top w:val="nil"/>
              <w:left w:val="nil"/>
              <w:bottom w:val="double" w:sz="6" w:space="0" w:color="auto"/>
              <w:right w:val="nil"/>
            </w:tcBorders>
            <w:shd w:val="clear" w:color="auto" w:fill="auto"/>
            <w:noWrap/>
            <w:vAlign w:val="center"/>
            <w:hideMark/>
          </w:tcPr>
          <w:p w14:paraId="7DCB394A" w14:textId="556B38B3"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92" w:type="dxa"/>
            <w:tcBorders>
              <w:top w:val="nil"/>
              <w:left w:val="single" w:sz="4" w:space="0" w:color="auto"/>
              <w:bottom w:val="double" w:sz="6" w:space="0" w:color="auto"/>
              <w:right w:val="nil"/>
            </w:tcBorders>
            <w:shd w:val="clear" w:color="auto" w:fill="auto"/>
            <w:noWrap/>
            <w:vAlign w:val="bottom"/>
            <w:hideMark/>
          </w:tcPr>
          <w:p w14:paraId="7861C0C5"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16</w:t>
            </w:r>
          </w:p>
        </w:tc>
        <w:tc>
          <w:tcPr>
            <w:tcW w:w="1276" w:type="dxa"/>
            <w:tcBorders>
              <w:top w:val="nil"/>
              <w:left w:val="nil"/>
              <w:bottom w:val="double" w:sz="6" w:space="0" w:color="auto"/>
              <w:right w:val="single" w:sz="4" w:space="0" w:color="auto"/>
            </w:tcBorders>
            <w:shd w:val="clear" w:color="auto" w:fill="auto"/>
            <w:noWrap/>
            <w:vAlign w:val="center"/>
            <w:hideMark/>
          </w:tcPr>
          <w:p w14:paraId="592D2D31" w14:textId="52BF3614"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992" w:type="dxa"/>
            <w:tcBorders>
              <w:top w:val="nil"/>
              <w:left w:val="nil"/>
              <w:bottom w:val="double" w:sz="6" w:space="0" w:color="auto"/>
              <w:right w:val="nil"/>
            </w:tcBorders>
            <w:shd w:val="clear" w:color="auto" w:fill="auto"/>
            <w:noWrap/>
            <w:vAlign w:val="bottom"/>
            <w:hideMark/>
          </w:tcPr>
          <w:p w14:paraId="352B92BC" w14:textId="77777777" w:rsidR="00CF1B50" w:rsidRPr="00A00187" w:rsidRDefault="00CF1B50" w:rsidP="00CF1B50">
            <w:pPr>
              <w:spacing w:line="240" w:lineRule="auto"/>
              <w:jc w:val="center"/>
              <w:rPr>
                <w:rFonts w:eastAsia="Times New Roman"/>
                <w:szCs w:val="24"/>
                <w:lang w:eastAsia="cs-CZ"/>
              </w:rPr>
            </w:pPr>
            <w:r w:rsidRPr="00A00187">
              <w:rPr>
                <w:rFonts w:eastAsia="Times New Roman"/>
                <w:szCs w:val="24"/>
                <w:lang w:eastAsia="cs-CZ"/>
              </w:rPr>
              <w:t>62</w:t>
            </w:r>
          </w:p>
        </w:tc>
        <w:tc>
          <w:tcPr>
            <w:tcW w:w="1276" w:type="dxa"/>
            <w:tcBorders>
              <w:top w:val="nil"/>
              <w:left w:val="nil"/>
              <w:bottom w:val="double" w:sz="6" w:space="0" w:color="auto"/>
              <w:right w:val="nil"/>
            </w:tcBorders>
            <w:shd w:val="clear" w:color="auto" w:fill="auto"/>
            <w:noWrap/>
            <w:vAlign w:val="center"/>
            <w:hideMark/>
          </w:tcPr>
          <w:p w14:paraId="63A8F948" w14:textId="4F5E598B" w:rsidR="00CF1B50" w:rsidRPr="00A00187" w:rsidRDefault="00CF1B50" w:rsidP="009E4F53">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r>
      <w:tr w:rsidR="00AC1E67" w:rsidRPr="00A00187" w14:paraId="1A6EB10C" w14:textId="77777777" w:rsidTr="009E4F53">
        <w:trPr>
          <w:trHeight w:val="345"/>
        </w:trPr>
        <w:tc>
          <w:tcPr>
            <w:tcW w:w="2336" w:type="dxa"/>
            <w:tcBorders>
              <w:top w:val="nil"/>
              <w:left w:val="nil"/>
              <w:bottom w:val="double" w:sz="6" w:space="0" w:color="auto"/>
              <w:right w:val="nil"/>
            </w:tcBorders>
            <w:shd w:val="clear" w:color="auto" w:fill="auto"/>
            <w:noWrap/>
            <w:vAlign w:val="bottom"/>
            <w:hideMark/>
          </w:tcPr>
          <w:p w14:paraId="3DB4E6B4" w14:textId="77777777" w:rsidR="00CF1B50" w:rsidRPr="00A00187" w:rsidRDefault="00CF1B50" w:rsidP="00CF1B5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66" w:type="dxa"/>
            <w:tcBorders>
              <w:top w:val="nil"/>
              <w:left w:val="nil"/>
              <w:bottom w:val="double" w:sz="6" w:space="0" w:color="auto"/>
              <w:right w:val="nil"/>
            </w:tcBorders>
            <w:shd w:val="clear" w:color="auto" w:fill="auto"/>
            <w:noWrap/>
            <w:vAlign w:val="bottom"/>
            <w:hideMark/>
          </w:tcPr>
          <w:p w14:paraId="60035670" w14:textId="77777777" w:rsidR="00CF1B50" w:rsidRPr="00A00187" w:rsidRDefault="00CF1B50" w:rsidP="00CF1B50">
            <w:pPr>
              <w:spacing w:line="240" w:lineRule="auto"/>
              <w:jc w:val="center"/>
              <w:rPr>
                <w:rFonts w:eastAsia="Times New Roman"/>
                <w:b/>
                <w:bCs/>
                <w:szCs w:val="24"/>
                <w:lang w:eastAsia="cs-CZ"/>
              </w:rPr>
            </w:pPr>
            <w:r w:rsidRPr="00A00187">
              <w:rPr>
                <w:rFonts w:eastAsia="Times New Roman"/>
                <w:b/>
                <w:bCs/>
                <w:szCs w:val="24"/>
                <w:lang w:eastAsia="cs-CZ"/>
              </w:rPr>
              <w:t>29</w:t>
            </w:r>
          </w:p>
        </w:tc>
        <w:tc>
          <w:tcPr>
            <w:tcW w:w="1135" w:type="dxa"/>
            <w:tcBorders>
              <w:top w:val="nil"/>
              <w:left w:val="nil"/>
              <w:bottom w:val="double" w:sz="6" w:space="0" w:color="auto"/>
              <w:right w:val="nil"/>
            </w:tcBorders>
            <w:shd w:val="clear" w:color="auto" w:fill="auto"/>
            <w:noWrap/>
            <w:vAlign w:val="center"/>
            <w:hideMark/>
          </w:tcPr>
          <w:p w14:paraId="7B17F8BA" w14:textId="0D6B161A" w:rsidR="00CF1B50" w:rsidRPr="00A00187" w:rsidRDefault="00CF1B50"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+7</w:t>
            </w:r>
            <w:r w:rsidR="00CB570A">
              <w:rPr>
                <w:rFonts w:eastAsia="Times New Roman"/>
                <w:b/>
                <w:bCs/>
                <w:sz w:val="20"/>
                <w:szCs w:val="20"/>
                <w:lang w:eastAsia="cs-CZ"/>
              </w:rPr>
              <w:t> %</w:t>
            </w:r>
          </w:p>
        </w:tc>
        <w:tc>
          <w:tcPr>
            <w:tcW w:w="992" w:type="dxa"/>
            <w:tcBorders>
              <w:top w:val="nil"/>
              <w:left w:val="single" w:sz="4" w:space="0" w:color="auto"/>
              <w:bottom w:val="double" w:sz="6" w:space="0" w:color="auto"/>
              <w:right w:val="nil"/>
            </w:tcBorders>
            <w:shd w:val="clear" w:color="auto" w:fill="auto"/>
            <w:noWrap/>
            <w:vAlign w:val="bottom"/>
            <w:hideMark/>
          </w:tcPr>
          <w:p w14:paraId="61ADE2F1" w14:textId="77777777" w:rsidR="00CF1B50" w:rsidRPr="00A00187" w:rsidRDefault="00CF1B50" w:rsidP="00CF1B50">
            <w:pPr>
              <w:spacing w:line="240" w:lineRule="auto"/>
              <w:jc w:val="center"/>
              <w:rPr>
                <w:rFonts w:eastAsia="Times New Roman"/>
                <w:b/>
                <w:bCs/>
                <w:szCs w:val="24"/>
                <w:lang w:eastAsia="cs-CZ"/>
              </w:rPr>
            </w:pPr>
            <w:r w:rsidRPr="00A00187">
              <w:rPr>
                <w:rFonts w:eastAsia="Times New Roman"/>
                <w:b/>
                <w:bCs/>
                <w:szCs w:val="24"/>
                <w:lang w:eastAsia="cs-CZ"/>
              </w:rPr>
              <w:t>13</w:t>
            </w:r>
          </w:p>
        </w:tc>
        <w:tc>
          <w:tcPr>
            <w:tcW w:w="1276" w:type="dxa"/>
            <w:tcBorders>
              <w:top w:val="nil"/>
              <w:left w:val="nil"/>
              <w:bottom w:val="double" w:sz="6" w:space="0" w:color="auto"/>
              <w:right w:val="single" w:sz="4" w:space="0" w:color="auto"/>
            </w:tcBorders>
            <w:shd w:val="clear" w:color="auto" w:fill="auto"/>
            <w:noWrap/>
            <w:vAlign w:val="center"/>
            <w:hideMark/>
          </w:tcPr>
          <w:p w14:paraId="66E81CA1" w14:textId="0C8A8678" w:rsidR="00CF1B50" w:rsidRPr="00A00187" w:rsidRDefault="00CF1B50"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+0</w:t>
            </w:r>
            <w:r w:rsidR="00CB570A">
              <w:rPr>
                <w:rFonts w:eastAsia="Times New Roman"/>
                <w:b/>
                <w:bCs/>
                <w:sz w:val="20"/>
                <w:szCs w:val="20"/>
                <w:lang w:eastAsia="cs-CZ"/>
              </w:rPr>
              <w:t> %</w:t>
            </w:r>
          </w:p>
        </w:tc>
        <w:tc>
          <w:tcPr>
            <w:tcW w:w="992" w:type="dxa"/>
            <w:tcBorders>
              <w:top w:val="nil"/>
              <w:left w:val="nil"/>
              <w:bottom w:val="double" w:sz="6" w:space="0" w:color="auto"/>
              <w:right w:val="nil"/>
            </w:tcBorders>
            <w:shd w:val="clear" w:color="auto" w:fill="auto"/>
            <w:noWrap/>
            <w:vAlign w:val="bottom"/>
            <w:hideMark/>
          </w:tcPr>
          <w:p w14:paraId="719F2799" w14:textId="77777777" w:rsidR="00CF1B50" w:rsidRPr="00A00187" w:rsidRDefault="00CF1B50" w:rsidP="00CF1B50">
            <w:pPr>
              <w:spacing w:line="240" w:lineRule="auto"/>
              <w:jc w:val="center"/>
              <w:rPr>
                <w:rFonts w:eastAsia="Times New Roman"/>
                <w:b/>
                <w:bCs/>
                <w:szCs w:val="24"/>
                <w:lang w:eastAsia="cs-CZ"/>
              </w:rPr>
            </w:pPr>
            <w:r w:rsidRPr="00A00187">
              <w:rPr>
                <w:rFonts w:eastAsia="Times New Roman"/>
                <w:b/>
                <w:bCs/>
                <w:szCs w:val="24"/>
                <w:lang w:eastAsia="cs-CZ"/>
              </w:rPr>
              <w:t>60</w:t>
            </w:r>
          </w:p>
        </w:tc>
        <w:tc>
          <w:tcPr>
            <w:tcW w:w="1276" w:type="dxa"/>
            <w:tcBorders>
              <w:top w:val="nil"/>
              <w:left w:val="nil"/>
              <w:bottom w:val="double" w:sz="6" w:space="0" w:color="auto"/>
              <w:right w:val="nil"/>
            </w:tcBorders>
            <w:shd w:val="clear" w:color="auto" w:fill="auto"/>
            <w:noWrap/>
            <w:vAlign w:val="center"/>
            <w:hideMark/>
          </w:tcPr>
          <w:p w14:paraId="01BF13FE" w14:textId="719DFA57" w:rsidR="00CF1B50" w:rsidRPr="00A00187" w:rsidRDefault="00CF1B50"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+7</w:t>
            </w:r>
            <w:r w:rsidR="00CB570A">
              <w:rPr>
                <w:rFonts w:eastAsia="Times New Roman"/>
                <w:b/>
                <w:bCs/>
                <w:sz w:val="20"/>
                <w:szCs w:val="20"/>
                <w:lang w:eastAsia="cs-CZ"/>
              </w:rPr>
              <w:t> %</w:t>
            </w:r>
          </w:p>
        </w:tc>
      </w:tr>
      <w:tr w:rsidR="00AC1E67" w:rsidRPr="00A00187" w14:paraId="22D3FD9D" w14:textId="77777777" w:rsidTr="009E4F53">
        <w:trPr>
          <w:trHeight w:val="330"/>
        </w:trPr>
        <w:tc>
          <w:tcPr>
            <w:tcW w:w="2336" w:type="dxa"/>
            <w:tcBorders>
              <w:top w:val="nil"/>
              <w:left w:val="nil"/>
              <w:bottom w:val="nil"/>
              <w:right w:val="nil"/>
            </w:tcBorders>
            <w:shd w:val="clear" w:color="auto" w:fill="auto"/>
            <w:noWrap/>
            <w:vAlign w:val="bottom"/>
            <w:hideMark/>
          </w:tcPr>
          <w:p w14:paraId="238ACE90" w14:textId="77777777" w:rsidR="00CF1B50" w:rsidRPr="00A00187" w:rsidRDefault="00CF1B50" w:rsidP="00647F65">
            <w:pPr>
              <w:spacing w:after="160" w:line="259" w:lineRule="auto"/>
              <w:jc w:val="left"/>
              <w:rPr>
                <w:rFonts w:eastAsia="Times New Roman"/>
                <w:b/>
                <w:bCs/>
                <w:sz w:val="20"/>
                <w:szCs w:val="20"/>
                <w:lang w:eastAsia="cs-CZ"/>
              </w:rPr>
            </w:pPr>
          </w:p>
        </w:tc>
        <w:tc>
          <w:tcPr>
            <w:tcW w:w="1066" w:type="dxa"/>
            <w:tcBorders>
              <w:top w:val="nil"/>
              <w:left w:val="nil"/>
              <w:bottom w:val="nil"/>
              <w:right w:val="nil"/>
            </w:tcBorders>
            <w:shd w:val="clear" w:color="auto" w:fill="auto"/>
            <w:noWrap/>
            <w:vAlign w:val="bottom"/>
            <w:hideMark/>
          </w:tcPr>
          <w:p w14:paraId="1F233372" w14:textId="77777777" w:rsidR="00CF1B50" w:rsidRPr="00A00187" w:rsidRDefault="00CF1B50" w:rsidP="00647F65">
            <w:pPr>
              <w:spacing w:after="160" w:line="259" w:lineRule="auto"/>
              <w:jc w:val="left"/>
              <w:rPr>
                <w:rFonts w:ascii="Times New Roman" w:eastAsia="Times New Roman" w:hAnsi="Times New Roman"/>
                <w:sz w:val="20"/>
                <w:szCs w:val="20"/>
                <w:lang w:eastAsia="cs-CZ"/>
              </w:rPr>
            </w:pPr>
          </w:p>
        </w:tc>
        <w:tc>
          <w:tcPr>
            <w:tcW w:w="1135" w:type="dxa"/>
            <w:tcBorders>
              <w:top w:val="nil"/>
              <w:left w:val="nil"/>
              <w:bottom w:val="nil"/>
              <w:right w:val="nil"/>
            </w:tcBorders>
            <w:shd w:val="clear" w:color="auto" w:fill="auto"/>
            <w:noWrap/>
            <w:vAlign w:val="bottom"/>
            <w:hideMark/>
          </w:tcPr>
          <w:p w14:paraId="24795AAE" w14:textId="77777777" w:rsidR="00CF1B50" w:rsidRPr="00A00187" w:rsidRDefault="00CF1B50" w:rsidP="009E4F53">
            <w:pPr>
              <w:spacing w:after="160" w:line="259" w:lineRule="auto"/>
              <w:jc w:val="center"/>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5E989CE0" w14:textId="77777777" w:rsidR="00CF1B50" w:rsidRPr="00A00187" w:rsidRDefault="00CF1B50" w:rsidP="00647F65">
            <w:pPr>
              <w:spacing w:after="160" w:line="259"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1FC72B26" w14:textId="77777777" w:rsidR="00CF1B50" w:rsidRPr="00A00187" w:rsidRDefault="00CF1B50" w:rsidP="009E4F53">
            <w:pPr>
              <w:spacing w:after="160" w:line="259" w:lineRule="auto"/>
              <w:jc w:val="center"/>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36CF0841" w14:textId="77777777" w:rsidR="00CF1B50" w:rsidRPr="00A00187" w:rsidRDefault="00CF1B50" w:rsidP="00647F65">
            <w:pPr>
              <w:spacing w:after="160" w:line="259"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3F7C68F9" w14:textId="77777777" w:rsidR="00CF1B50" w:rsidRPr="00A00187" w:rsidRDefault="00CF1B50" w:rsidP="009E4F53">
            <w:pPr>
              <w:spacing w:after="160" w:line="259" w:lineRule="auto"/>
              <w:jc w:val="center"/>
              <w:rPr>
                <w:rFonts w:ascii="Times New Roman" w:eastAsia="Times New Roman" w:hAnsi="Times New Roman"/>
                <w:sz w:val="20"/>
                <w:szCs w:val="20"/>
                <w:lang w:eastAsia="cs-CZ"/>
              </w:rPr>
            </w:pPr>
          </w:p>
        </w:tc>
      </w:tr>
    </w:tbl>
    <w:p w14:paraId="7D4AF9AE" w14:textId="15E04532" w:rsidR="002503BF" w:rsidRPr="00A00187" w:rsidRDefault="002434D5" w:rsidP="002503BF">
      <w:r w:rsidRPr="00A00187">
        <w:t xml:space="preserve">Obecně je možné potvrdit, že délky řízení se již ustálily na hodnotách, které se mění jen nevýznamně </w:t>
      </w:r>
      <w:r w:rsidR="00726EC3" w:rsidRPr="00A00187">
        <w:t>a</w:t>
      </w:r>
      <w:r w:rsidR="00726EC3">
        <w:t> </w:t>
      </w:r>
      <w:r w:rsidR="002503BF" w:rsidRPr="00A00187">
        <w:t>jsou řádově nižší než u klasického civilního řízení (rejstřík C). Například mediánová délka řízení v roce 20</w:t>
      </w:r>
      <w:r w:rsidR="004F20B6" w:rsidRPr="00A00187">
        <w:t>21</w:t>
      </w:r>
      <w:r w:rsidR="002503BF" w:rsidRPr="00A00187">
        <w:t xml:space="preserve"> byla v klasickém civilním řízení 1</w:t>
      </w:r>
      <w:r w:rsidR="004F20B6" w:rsidRPr="00A00187">
        <w:t>69</w:t>
      </w:r>
      <w:r w:rsidR="009E4F53">
        <w:t> </w:t>
      </w:r>
      <w:r w:rsidR="002503BF" w:rsidRPr="00A00187">
        <w:t>dnů, v elektronickém rozkazním řízení pouze 13</w:t>
      </w:r>
      <w:r w:rsidR="009E4F53">
        <w:t> </w:t>
      </w:r>
      <w:r w:rsidR="002503BF" w:rsidRPr="00A00187">
        <w:t>dnů. To je třináctkrát méně. To samozřejmě plyne z již diskutované výrazně nižší obtížnosti agendy EPR. Z</w:t>
      </w:r>
      <w:r w:rsidR="002E5CAE" w:rsidRPr="00A00187">
        <w:t> nižší délky logicky vyplývají</w:t>
      </w:r>
      <w:r w:rsidR="002503BF" w:rsidRPr="00A00187">
        <w:t xml:space="preserve"> i nižší absolutní rozdíly mezi jednotlivými soudy a kraji. Mezi nejrychlejšími soudy</w:t>
      </w:r>
      <w:r w:rsidR="00CF1B50" w:rsidRPr="00A00187">
        <w:t xml:space="preserve"> </w:t>
      </w:r>
      <w:r w:rsidR="00672803" w:rsidRPr="00A00187">
        <w:t>ve Středočeském</w:t>
      </w:r>
      <w:r w:rsidR="00CF1B50" w:rsidRPr="00A00187">
        <w:t xml:space="preserve"> </w:t>
      </w:r>
      <w:r w:rsidR="002503BF" w:rsidRPr="00A00187">
        <w:t>kraji a nejpomalejšími soudy v Jihomoravském kraji je rozdíl pouze 1</w:t>
      </w:r>
      <w:r w:rsidR="00CF1B50" w:rsidRPr="00A00187">
        <w:t>4</w:t>
      </w:r>
      <w:r w:rsidR="009E4F53">
        <w:t> </w:t>
      </w:r>
      <w:r w:rsidR="002503BF" w:rsidRPr="00A00187">
        <w:t>dnů v mediánové délce řízení a 21</w:t>
      </w:r>
      <w:r w:rsidR="009E4F53">
        <w:t> </w:t>
      </w:r>
      <w:r w:rsidR="002503BF" w:rsidRPr="00A00187">
        <w:t xml:space="preserve">dnů v průměrné délce řízení. Z jednotlivých soudů jsou nejrychlejší OS </w:t>
      </w:r>
      <w:r w:rsidR="00F03DFF" w:rsidRPr="00A00187">
        <w:t>pro Praha</w:t>
      </w:r>
      <w:r w:rsidR="009E4F53">
        <w:t> </w:t>
      </w:r>
      <w:r w:rsidR="00F03DFF" w:rsidRPr="00A00187">
        <w:t>5, OS pro Prahu</w:t>
      </w:r>
      <w:r w:rsidR="009E4F53">
        <w:t> </w:t>
      </w:r>
      <w:r w:rsidR="00F03DFF" w:rsidRPr="00A00187">
        <w:t>3, OS pro Prahu</w:t>
      </w:r>
      <w:r w:rsidR="009E4F53">
        <w:t> </w:t>
      </w:r>
      <w:r w:rsidR="00726EC3" w:rsidRPr="00A00187">
        <w:t>4</w:t>
      </w:r>
      <w:r w:rsidR="00726EC3">
        <w:t xml:space="preserve"> </w:t>
      </w:r>
      <w:r w:rsidR="00F03DFF" w:rsidRPr="00A00187">
        <w:t>a</w:t>
      </w:r>
      <w:r w:rsidR="009E4F53">
        <w:t> </w:t>
      </w:r>
      <w:r w:rsidR="00F03DFF" w:rsidRPr="00A00187">
        <w:t xml:space="preserve">OS Plzeň-sever </w:t>
      </w:r>
      <w:r w:rsidR="002503BF" w:rsidRPr="00A00187">
        <w:t xml:space="preserve">(medián 6 dnů). </w:t>
      </w:r>
      <w:r w:rsidR="00672803" w:rsidRPr="00A00187">
        <w:t>Nejpomalejší je OS Žďár nad Sázavou (43 dnů) a Brno</w:t>
      </w:r>
      <w:r w:rsidR="00672803" w:rsidRPr="00A00187">
        <w:noBreakHyphen/>
        <w:t>město (53</w:t>
      </w:r>
      <w:r w:rsidR="009E4F53">
        <w:t> </w:t>
      </w:r>
      <w:r w:rsidR="00672803" w:rsidRPr="00A00187">
        <w:t>dnů).</w:t>
      </w:r>
    </w:p>
    <w:p w14:paraId="40597A07" w14:textId="77777777" w:rsidR="002503BF" w:rsidRPr="00A00187" w:rsidRDefault="002503BF" w:rsidP="002503BF">
      <w:r w:rsidRPr="00A00187">
        <w:t>Z výše uvedeného také plyne menší variabilita v absolutních číslech mezi roky. Z tabulky vyplývá, že u většiny krajů došlo k velmi malé změně ve všech ukazatelích. Někde je procentní změna větší, řádově se ale jedná v absolutních číslech pouze o dny.</w:t>
      </w:r>
    </w:p>
    <w:p w14:paraId="43AB3516" w14:textId="2DD9001C" w:rsidR="002503BF" w:rsidRPr="00A00187" w:rsidRDefault="002E5CAE" w:rsidP="002503BF">
      <w:pPr>
        <w:pStyle w:val="OdstavecASR"/>
      </w:pPr>
      <w:r w:rsidRPr="00A00187">
        <w:t xml:space="preserve">Konečně je namístě </w:t>
      </w:r>
      <w:r w:rsidR="002503BF" w:rsidRPr="00A00187">
        <w:t xml:space="preserve">poznamenat, že rychlost vyřizování dle krajů </w:t>
      </w:r>
      <w:r w:rsidR="00672803" w:rsidRPr="00A00187">
        <w:t xml:space="preserve">do značné míry odpovídá rychlosti řízení </w:t>
      </w:r>
      <w:r w:rsidR="002503BF" w:rsidRPr="00A00187">
        <w:t xml:space="preserve">v klasickém civilním řízení (absolutní hodnoty jsou ale </w:t>
      </w:r>
      <w:r w:rsidR="002434D5" w:rsidRPr="00A00187">
        <w:t>řádově nižší</w:t>
      </w:r>
      <w:r w:rsidR="002503BF" w:rsidRPr="00A00187">
        <w:t xml:space="preserve">). Nejnižší délky řízení vykazují soudy, které spadají pod KS Praha </w:t>
      </w:r>
      <w:r w:rsidR="00726EC3" w:rsidRPr="00A00187">
        <w:t>a</w:t>
      </w:r>
      <w:r w:rsidR="00726EC3">
        <w:t> </w:t>
      </w:r>
      <w:r w:rsidR="002503BF" w:rsidRPr="00A00187">
        <w:t>pod KS Hradec Králové. Naopak nejvyšší délky řízení jsou u soudů, které spadají pod KS Ústí nad Labem a KS Brno. To je logické, neboť soudy, kde je přetížen celý civilní úsek, zřejmě budou mít problémy vyřizovat veškerou agendu na tomto úseku.</w:t>
      </w:r>
    </w:p>
    <w:p w14:paraId="23D8BAA3" w14:textId="77777777" w:rsidR="00672803" w:rsidRPr="00A00187" w:rsidRDefault="00672803">
      <w:pPr>
        <w:spacing w:after="160" w:line="259" w:lineRule="auto"/>
        <w:jc w:val="left"/>
        <w:rPr>
          <w:rFonts w:eastAsia="Times New Roman"/>
          <w:b/>
          <w:bCs/>
        </w:rPr>
      </w:pPr>
      <w:bookmarkStart w:id="243" w:name="_Toc515871228"/>
      <w:r w:rsidRPr="00A00187">
        <w:br w:type="page"/>
      </w:r>
    </w:p>
    <w:p w14:paraId="691448A2" w14:textId="1137C6F7" w:rsidR="008430BD" w:rsidRPr="00A00187" w:rsidRDefault="008430BD" w:rsidP="008430BD">
      <w:pPr>
        <w:pStyle w:val="Nadpis3"/>
        <w:numPr>
          <w:ilvl w:val="2"/>
          <w:numId w:val="1"/>
        </w:numPr>
        <w:rPr>
          <w:color w:val="auto"/>
        </w:rPr>
      </w:pPr>
      <w:bookmarkStart w:id="244" w:name="_Toc106092725"/>
      <w:bookmarkStart w:id="245" w:name="_Toc109801341"/>
      <w:r w:rsidRPr="00A00187">
        <w:rPr>
          <w:color w:val="auto"/>
        </w:rPr>
        <w:lastRenderedPageBreak/>
        <w:t>Vyřizování věcí</w:t>
      </w:r>
      <w:bookmarkEnd w:id="243"/>
      <w:bookmarkEnd w:id="244"/>
      <w:bookmarkEnd w:id="245"/>
    </w:p>
    <w:p w14:paraId="7768EBDD" w14:textId="1DC9A94E" w:rsidR="00672803" w:rsidRPr="00A00187" w:rsidRDefault="00672803" w:rsidP="00672803">
      <w:pPr>
        <w:pStyle w:val="Podnadpis"/>
        <w:rPr>
          <w:color w:val="auto"/>
        </w:rPr>
      </w:pPr>
      <w:bookmarkStart w:id="246" w:name="_Toc515871347"/>
      <w:bookmarkStart w:id="247" w:name="_Toc11135082"/>
      <w:bookmarkStart w:id="248" w:name="_Toc43841398"/>
      <w:bookmarkStart w:id="249" w:name="_Toc75952199"/>
      <w:bookmarkStart w:id="250" w:name="_Toc106106653"/>
      <w:bookmarkStart w:id="251" w:name="_Toc109801977"/>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19</w:t>
      </w:r>
      <w:r w:rsidRPr="00A00187">
        <w:rPr>
          <w:color w:val="auto"/>
        </w:rPr>
        <w:fldChar w:fldCharType="end"/>
      </w:r>
      <w:r w:rsidRPr="00A00187">
        <w:rPr>
          <w:color w:val="auto"/>
        </w:rPr>
        <w:t>: OS – vyřizování věcí v rejstříku EPR v letech 2013–20</w:t>
      </w:r>
      <w:bookmarkEnd w:id="246"/>
      <w:bookmarkEnd w:id="247"/>
      <w:bookmarkEnd w:id="248"/>
      <w:r w:rsidRPr="00A00187">
        <w:rPr>
          <w:color w:val="auto"/>
        </w:rPr>
        <w:t>2</w:t>
      </w:r>
      <w:bookmarkEnd w:id="249"/>
      <w:r w:rsidRPr="00A00187">
        <w:rPr>
          <w:color w:val="auto"/>
        </w:rPr>
        <w:t>1</w:t>
      </w:r>
      <w:bookmarkEnd w:id="250"/>
      <w:bookmarkEnd w:id="251"/>
    </w:p>
    <w:p w14:paraId="412E3B09" w14:textId="26D9A245" w:rsidR="00672803" w:rsidRPr="00A00187" w:rsidRDefault="00672803" w:rsidP="008430BD">
      <w:r w:rsidRPr="00A00187">
        <w:rPr>
          <w:noProof/>
        </w:rPr>
        <w:drawing>
          <wp:inline distT="0" distB="0" distL="0" distR="0" wp14:anchorId="478A520E" wp14:editId="714F4CA3">
            <wp:extent cx="5029200" cy="36576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330417" w14:textId="6E30A3B8" w:rsidR="000413C4" w:rsidRPr="00A00187" w:rsidRDefault="000413C4" w:rsidP="008430BD"/>
    <w:p w14:paraId="505526E0" w14:textId="5E6D6A75" w:rsidR="00CB570A" w:rsidRDefault="000413C4" w:rsidP="000413C4">
      <w:pPr>
        <w:pStyle w:val="OdstavecASR"/>
      </w:pPr>
      <w:r w:rsidRPr="00A00187">
        <w:t>Je</w:t>
      </w:r>
      <w:r w:rsidR="006F33AE" w:rsidRPr="00A00187">
        <w:t xml:space="preserve"> zřejmé</w:t>
      </w:r>
      <w:r w:rsidRPr="00A00187">
        <w:t>, že s vyřizováním této agendy nemají až na výjimky soudy žádné potíže. To ilustruje i poměr počtu nevyřízených věcí k počtu vyřízených věcí či k nápadu. V roce 2020 došlo k nemalému nárůstu (o 17</w:t>
      </w:r>
      <w:r w:rsidR="00CB570A">
        <w:t> %</w:t>
      </w:r>
      <w:r w:rsidRPr="00A00187">
        <w:t>) v počtu příchozích věcí oproti roku 2019. K obdobnému nárůstu došlo ve všech krajích. Pandemie COVID</w:t>
      </w:r>
      <w:r w:rsidRPr="00A00187">
        <w:noBreakHyphen/>
        <w:t xml:space="preserve">19 a vládní restrikce tedy zřejmě ovlivnily nápad v opačném směru, než u rejstříku C. To koneckonců dává smysl – EPR je agenda elektronická, a tudíž nijak omezená zavedenými vládními opatřeními. </w:t>
      </w:r>
      <w:r w:rsidR="001E10B5" w:rsidRPr="00A00187">
        <w:t xml:space="preserve">Lze tedy konstatovat, že </w:t>
      </w:r>
      <w:r w:rsidR="00D23084" w:rsidRPr="00A00187">
        <w:t xml:space="preserve">nárůst této agendy v době pandemie COVID 19 </w:t>
      </w:r>
      <w:r w:rsidR="008A64A1" w:rsidRPr="00A00187">
        <w:t xml:space="preserve">pravděpodobně </w:t>
      </w:r>
      <w:r w:rsidR="00D23084" w:rsidRPr="00A00187">
        <w:t xml:space="preserve">souvisí s podstatným přesunem komunikace všeobecně do bezkontaktní </w:t>
      </w:r>
      <w:r w:rsidR="00726EC3" w:rsidRPr="00A00187">
        <w:t>a</w:t>
      </w:r>
      <w:r w:rsidR="00726EC3">
        <w:t> </w:t>
      </w:r>
      <w:r w:rsidR="00D23084" w:rsidRPr="00A00187">
        <w:t xml:space="preserve">elektronické sféry. </w:t>
      </w:r>
      <w:r w:rsidRPr="00A00187">
        <w:t xml:space="preserve">Soudy </w:t>
      </w:r>
      <w:r w:rsidR="00D23084" w:rsidRPr="00A00187">
        <w:t xml:space="preserve">tedy </w:t>
      </w:r>
      <w:r w:rsidRPr="00A00187">
        <w:t xml:space="preserve">neměly vážnější problémy </w:t>
      </w:r>
      <w:r w:rsidR="00A31EE7" w:rsidRPr="00A00187">
        <w:t>s </w:t>
      </w:r>
      <w:r w:rsidR="00D23084" w:rsidRPr="00A00187">
        <w:t>vyřizováním této agendy</w:t>
      </w:r>
      <w:r w:rsidRPr="00A00187">
        <w:t>. Nárůst nevyřízených věcí o více než 40</w:t>
      </w:r>
      <w:r w:rsidR="00CB570A">
        <w:t> %</w:t>
      </w:r>
      <w:r w:rsidRPr="00A00187">
        <w:t xml:space="preserve"> v některých krajích sice mohl</w:t>
      </w:r>
      <w:r w:rsidR="009874C2" w:rsidRPr="00A00187">
        <w:t xml:space="preserve"> </w:t>
      </w:r>
      <w:r w:rsidR="002E5CAE" w:rsidRPr="00A00187">
        <w:t xml:space="preserve">na první pohled </w:t>
      </w:r>
      <w:r w:rsidRPr="00A00187">
        <w:t xml:space="preserve">vypadat hrozivě, u EPR se ale o žádný problém nejednalo, což potvrdil </w:t>
      </w:r>
      <w:r w:rsidR="00726EC3" w:rsidRPr="00A00187">
        <w:t>i</w:t>
      </w:r>
      <w:r w:rsidR="00726EC3">
        <w:t> </w:t>
      </w:r>
      <w:r w:rsidRPr="00A00187">
        <w:t>vývoj v roce 2021</w:t>
      </w:r>
      <w:r w:rsidR="00724777" w:rsidRPr="00A00187">
        <w:t>. V tomto</w:t>
      </w:r>
      <w:r w:rsidR="00857C01" w:rsidRPr="00A00187">
        <w:t xml:space="preserve"> ro</w:t>
      </w:r>
      <w:r w:rsidR="00724777" w:rsidRPr="00A00187">
        <w:t xml:space="preserve">ce naopak </w:t>
      </w:r>
      <w:r w:rsidR="00726EC3" w:rsidRPr="00A00187">
        <w:t>u</w:t>
      </w:r>
      <w:r w:rsidR="00726EC3">
        <w:t> </w:t>
      </w:r>
      <w:r w:rsidR="00724777" w:rsidRPr="00A00187">
        <w:t xml:space="preserve">většiny soudů došlo k poklesu v počtu nevyřízených věcí </w:t>
      </w:r>
      <w:r w:rsidR="00DB61CD" w:rsidRPr="00A00187">
        <w:t>o </w:t>
      </w:r>
      <w:r w:rsidR="00724777" w:rsidRPr="00A00187">
        <w:t xml:space="preserve">desítky procent. </w:t>
      </w:r>
      <w:r w:rsidR="00857C01" w:rsidRPr="00A00187">
        <w:t xml:space="preserve">Zajímavé je také to, že po růstu nápadu v roce 2020 </w:t>
      </w:r>
      <w:r w:rsidR="002434D5" w:rsidRPr="00A00187">
        <w:t xml:space="preserve">začal nápad </w:t>
      </w:r>
      <w:r w:rsidR="00857C01" w:rsidRPr="00A00187">
        <w:t xml:space="preserve">v roce 2021 opět klesat. </w:t>
      </w:r>
      <w:r w:rsidR="002E5CAE" w:rsidRPr="00A00187">
        <w:t>M</w:t>
      </w:r>
      <w:r w:rsidR="00857C01" w:rsidRPr="00A00187">
        <w:t xml:space="preserve">ůže se </w:t>
      </w:r>
      <w:r w:rsidR="002E5CAE" w:rsidRPr="00A00187">
        <w:t>ale</w:t>
      </w:r>
      <w:r w:rsidR="00857C01" w:rsidRPr="00A00187">
        <w:t xml:space="preserve"> jednat jen </w:t>
      </w:r>
      <w:r w:rsidR="00726EC3" w:rsidRPr="00A00187">
        <w:t>o</w:t>
      </w:r>
      <w:r w:rsidR="00726EC3">
        <w:t> </w:t>
      </w:r>
      <w:r w:rsidR="00857C01" w:rsidRPr="00A00187">
        <w:t>fluktuaci v datech.</w:t>
      </w:r>
    </w:p>
    <w:p w14:paraId="76D3F05C" w14:textId="234605B1" w:rsidR="00C1691E" w:rsidRPr="00A00187" w:rsidRDefault="00C1691E">
      <w:pPr>
        <w:spacing w:after="160" w:line="259" w:lineRule="auto"/>
        <w:jc w:val="left"/>
      </w:pPr>
      <w:r w:rsidRPr="00A00187">
        <w:br w:type="page"/>
      </w:r>
    </w:p>
    <w:p w14:paraId="3BB8F9C6" w14:textId="38FA5201" w:rsidR="00C1691E" w:rsidRPr="00A00187" w:rsidRDefault="00C1691E" w:rsidP="00C1691E">
      <w:pPr>
        <w:pStyle w:val="Podnadpis"/>
        <w:rPr>
          <w:color w:val="auto"/>
        </w:rPr>
      </w:pPr>
      <w:bookmarkStart w:id="252" w:name="_Toc106106780"/>
      <w:bookmarkStart w:id="253" w:name="_Toc109802103"/>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18</w:t>
      </w:r>
      <w:r w:rsidRPr="00A00187">
        <w:rPr>
          <w:noProof/>
          <w:color w:val="auto"/>
        </w:rPr>
        <w:fldChar w:fldCharType="end"/>
      </w:r>
      <w:r w:rsidRPr="00A00187">
        <w:rPr>
          <w:color w:val="auto"/>
        </w:rPr>
        <w:t>: OS – vyřizování věcí v rejstříku EPR dle krajů</w:t>
      </w:r>
      <w:bookmarkEnd w:id="252"/>
      <w:bookmarkEnd w:id="253"/>
    </w:p>
    <w:tbl>
      <w:tblPr>
        <w:tblW w:w="9140" w:type="dxa"/>
        <w:tblCellMar>
          <w:left w:w="70" w:type="dxa"/>
          <w:right w:w="70" w:type="dxa"/>
        </w:tblCellMar>
        <w:tblLook w:val="04A0" w:firstRow="1" w:lastRow="0" w:firstColumn="1" w:lastColumn="0" w:noHBand="0" w:noVBand="1"/>
      </w:tblPr>
      <w:tblGrid>
        <w:gridCol w:w="2036"/>
        <w:gridCol w:w="1115"/>
        <w:gridCol w:w="796"/>
        <w:gridCol w:w="1152"/>
        <w:gridCol w:w="796"/>
        <w:gridCol w:w="933"/>
        <w:gridCol w:w="796"/>
        <w:gridCol w:w="1516"/>
      </w:tblGrid>
      <w:tr w:rsidR="00AC1E67" w:rsidRPr="00A00187" w14:paraId="63557943" w14:textId="77777777" w:rsidTr="003811B0">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4253009D" w14:textId="77777777"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5588" w:type="dxa"/>
            <w:gridSpan w:val="6"/>
            <w:tcBorders>
              <w:top w:val="double" w:sz="6" w:space="0" w:color="auto"/>
              <w:left w:val="nil"/>
              <w:bottom w:val="nil"/>
              <w:right w:val="single" w:sz="4" w:space="0" w:color="000000"/>
            </w:tcBorders>
            <w:shd w:val="clear" w:color="auto" w:fill="auto"/>
            <w:noWrap/>
            <w:vAlign w:val="center"/>
            <w:hideMark/>
          </w:tcPr>
          <w:p w14:paraId="054B5F28" w14:textId="77777777"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vMerge w:val="restart"/>
            <w:tcBorders>
              <w:top w:val="double" w:sz="6" w:space="0" w:color="auto"/>
              <w:left w:val="nil"/>
              <w:bottom w:val="double" w:sz="6" w:space="0" w:color="000000"/>
              <w:right w:val="nil"/>
            </w:tcBorders>
            <w:shd w:val="clear" w:color="auto" w:fill="auto"/>
            <w:vAlign w:val="center"/>
            <w:hideMark/>
          </w:tcPr>
          <w:p w14:paraId="378E2606" w14:textId="77777777"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79B70BF2" w14:textId="77777777" w:rsidTr="003811B0">
        <w:trPr>
          <w:trHeight w:val="330"/>
        </w:trPr>
        <w:tc>
          <w:tcPr>
            <w:tcW w:w="2036" w:type="dxa"/>
            <w:vMerge/>
            <w:tcBorders>
              <w:top w:val="double" w:sz="6" w:space="0" w:color="auto"/>
              <w:left w:val="nil"/>
              <w:bottom w:val="double" w:sz="6" w:space="0" w:color="000000"/>
              <w:right w:val="nil"/>
            </w:tcBorders>
            <w:vAlign w:val="center"/>
            <w:hideMark/>
          </w:tcPr>
          <w:p w14:paraId="6119EB4F" w14:textId="77777777" w:rsidR="00C1691E" w:rsidRPr="00A00187" w:rsidRDefault="00C1691E" w:rsidP="003811B0">
            <w:pPr>
              <w:spacing w:line="240" w:lineRule="auto"/>
              <w:jc w:val="left"/>
              <w:rPr>
                <w:rFonts w:eastAsia="Times New Roman"/>
                <w:b/>
                <w:bCs/>
                <w:szCs w:val="24"/>
                <w:lang w:eastAsia="cs-CZ"/>
              </w:rPr>
            </w:pPr>
          </w:p>
        </w:tc>
        <w:tc>
          <w:tcPr>
            <w:tcW w:w="1911" w:type="dxa"/>
            <w:gridSpan w:val="2"/>
            <w:tcBorders>
              <w:top w:val="nil"/>
              <w:left w:val="nil"/>
              <w:bottom w:val="double" w:sz="6" w:space="0" w:color="auto"/>
              <w:right w:val="nil"/>
            </w:tcBorders>
            <w:shd w:val="clear" w:color="auto" w:fill="auto"/>
            <w:noWrap/>
            <w:vAlign w:val="center"/>
            <w:hideMark/>
          </w:tcPr>
          <w:p w14:paraId="3A652C16" w14:textId="77777777"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4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6592188" w14:textId="77777777"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729" w:type="dxa"/>
            <w:gridSpan w:val="2"/>
            <w:tcBorders>
              <w:top w:val="nil"/>
              <w:left w:val="nil"/>
              <w:bottom w:val="double" w:sz="6" w:space="0" w:color="auto"/>
              <w:right w:val="single" w:sz="4" w:space="0" w:color="000000"/>
            </w:tcBorders>
            <w:shd w:val="clear" w:color="auto" w:fill="auto"/>
            <w:noWrap/>
            <w:vAlign w:val="center"/>
            <w:hideMark/>
          </w:tcPr>
          <w:p w14:paraId="34683A92" w14:textId="77777777"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vMerge/>
            <w:tcBorders>
              <w:top w:val="double" w:sz="6" w:space="0" w:color="auto"/>
              <w:left w:val="nil"/>
              <w:bottom w:val="double" w:sz="6" w:space="0" w:color="000000"/>
              <w:right w:val="nil"/>
            </w:tcBorders>
            <w:vAlign w:val="center"/>
            <w:hideMark/>
          </w:tcPr>
          <w:p w14:paraId="1D9BB68D" w14:textId="77777777" w:rsidR="00C1691E" w:rsidRPr="00A00187" w:rsidRDefault="00C1691E" w:rsidP="003811B0">
            <w:pPr>
              <w:spacing w:line="240" w:lineRule="auto"/>
              <w:jc w:val="left"/>
              <w:rPr>
                <w:rFonts w:eastAsia="Times New Roman"/>
                <w:b/>
                <w:bCs/>
                <w:szCs w:val="24"/>
                <w:lang w:eastAsia="cs-CZ"/>
              </w:rPr>
            </w:pPr>
          </w:p>
        </w:tc>
      </w:tr>
      <w:tr w:rsidR="00AC1E67" w:rsidRPr="00A00187" w14:paraId="05FD9752" w14:textId="77777777" w:rsidTr="003811B0">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7E52431D"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MS Praha</w:t>
            </w:r>
          </w:p>
        </w:tc>
        <w:tc>
          <w:tcPr>
            <w:tcW w:w="1115" w:type="dxa"/>
            <w:tcBorders>
              <w:top w:val="single" w:sz="4" w:space="0" w:color="auto"/>
              <w:left w:val="nil"/>
              <w:bottom w:val="single" w:sz="4" w:space="0" w:color="auto"/>
              <w:right w:val="nil"/>
            </w:tcBorders>
            <w:shd w:val="clear" w:color="auto" w:fill="auto"/>
            <w:noWrap/>
            <w:vAlign w:val="bottom"/>
            <w:hideMark/>
          </w:tcPr>
          <w:p w14:paraId="34E5A7A5" w14:textId="6874FEDF"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54</w:t>
            </w:r>
            <w:r w:rsidR="00901FD3" w:rsidRPr="00A00187">
              <w:rPr>
                <w:rFonts w:eastAsia="Times New Roman"/>
                <w:szCs w:val="24"/>
                <w:lang w:eastAsia="cs-CZ"/>
              </w:rPr>
              <w:t xml:space="preserve"> </w:t>
            </w:r>
            <w:r w:rsidRPr="00A00187">
              <w:rPr>
                <w:rFonts w:eastAsia="Times New Roman"/>
                <w:szCs w:val="24"/>
                <w:lang w:eastAsia="cs-CZ"/>
              </w:rPr>
              <w:t>458</w:t>
            </w:r>
          </w:p>
        </w:tc>
        <w:tc>
          <w:tcPr>
            <w:tcW w:w="796" w:type="dxa"/>
            <w:tcBorders>
              <w:top w:val="single" w:sz="4" w:space="0" w:color="auto"/>
              <w:left w:val="nil"/>
              <w:bottom w:val="single" w:sz="4" w:space="0" w:color="auto"/>
              <w:right w:val="nil"/>
            </w:tcBorders>
            <w:shd w:val="clear" w:color="auto" w:fill="auto"/>
            <w:noWrap/>
            <w:vAlign w:val="center"/>
            <w:hideMark/>
          </w:tcPr>
          <w:p w14:paraId="695D455F" w14:textId="6F2A598E"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152" w:type="dxa"/>
            <w:tcBorders>
              <w:top w:val="single" w:sz="4" w:space="0" w:color="auto"/>
              <w:left w:val="single" w:sz="4" w:space="0" w:color="auto"/>
              <w:bottom w:val="single" w:sz="4" w:space="0" w:color="auto"/>
              <w:right w:val="nil"/>
            </w:tcBorders>
            <w:shd w:val="clear" w:color="auto" w:fill="auto"/>
            <w:noWrap/>
            <w:vAlign w:val="bottom"/>
            <w:hideMark/>
          </w:tcPr>
          <w:p w14:paraId="3A3B44F3" w14:textId="4733BB09"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56</w:t>
            </w:r>
            <w:r w:rsidR="00901FD3" w:rsidRPr="00A00187">
              <w:rPr>
                <w:rFonts w:eastAsia="Times New Roman"/>
                <w:szCs w:val="24"/>
                <w:lang w:eastAsia="cs-CZ"/>
              </w:rPr>
              <w:t xml:space="preserve"> </w:t>
            </w:r>
            <w:r w:rsidRPr="00A00187">
              <w:rPr>
                <w:rFonts w:eastAsia="Times New Roman"/>
                <w:szCs w:val="24"/>
                <w:lang w:eastAsia="cs-CZ"/>
              </w:rPr>
              <w:t>501</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0ED0E649" w14:textId="7EF2D093"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c>
          <w:tcPr>
            <w:tcW w:w="933" w:type="dxa"/>
            <w:tcBorders>
              <w:top w:val="single" w:sz="4" w:space="0" w:color="auto"/>
              <w:left w:val="nil"/>
              <w:bottom w:val="single" w:sz="4" w:space="0" w:color="auto"/>
              <w:right w:val="nil"/>
            </w:tcBorders>
            <w:shd w:val="clear" w:color="auto" w:fill="auto"/>
            <w:noWrap/>
            <w:vAlign w:val="bottom"/>
            <w:hideMark/>
          </w:tcPr>
          <w:p w14:paraId="7F1F4759" w14:textId="79CEB393"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2</w:t>
            </w:r>
            <w:r w:rsidR="00901FD3" w:rsidRPr="00A00187">
              <w:rPr>
                <w:rFonts w:eastAsia="Times New Roman"/>
                <w:szCs w:val="24"/>
                <w:lang w:eastAsia="cs-CZ"/>
              </w:rPr>
              <w:t xml:space="preserve"> </w:t>
            </w:r>
            <w:r w:rsidRPr="00A00187">
              <w:rPr>
                <w:rFonts w:eastAsia="Times New Roman"/>
                <w:szCs w:val="24"/>
                <w:lang w:eastAsia="cs-CZ"/>
              </w:rPr>
              <w:t>066</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6E011073" w14:textId="4C13F07F"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-50</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39E0F401" w14:textId="3831F0E5"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103</w:t>
            </w:r>
            <w:r w:rsidR="00901FD3" w:rsidRPr="00A00187">
              <w:rPr>
                <w:rFonts w:eastAsia="Times New Roman"/>
                <w:szCs w:val="24"/>
                <w:lang w:eastAsia="cs-CZ"/>
              </w:rPr>
              <w:t>,</w:t>
            </w:r>
            <w:r w:rsidRPr="00A00187">
              <w:rPr>
                <w:rFonts w:eastAsia="Times New Roman"/>
                <w:szCs w:val="24"/>
                <w:lang w:eastAsia="cs-CZ"/>
              </w:rPr>
              <w:t>8</w:t>
            </w:r>
            <w:r w:rsidR="00CB570A">
              <w:rPr>
                <w:rFonts w:eastAsia="Times New Roman"/>
                <w:szCs w:val="24"/>
                <w:lang w:eastAsia="cs-CZ"/>
              </w:rPr>
              <w:t> %</w:t>
            </w:r>
          </w:p>
        </w:tc>
      </w:tr>
      <w:tr w:rsidR="00AC1E67" w:rsidRPr="00A00187" w14:paraId="6119C073" w14:textId="77777777" w:rsidTr="003811B0">
        <w:trPr>
          <w:trHeight w:val="315"/>
        </w:trPr>
        <w:tc>
          <w:tcPr>
            <w:tcW w:w="2036" w:type="dxa"/>
            <w:tcBorders>
              <w:top w:val="nil"/>
              <w:left w:val="nil"/>
              <w:bottom w:val="single" w:sz="4" w:space="0" w:color="auto"/>
              <w:right w:val="nil"/>
            </w:tcBorders>
            <w:shd w:val="clear" w:color="auto" w:fill="auto"/>
            <w:noWrap/>
            <w:vAlign w:val="bottom"/>
            <w:hideMark/>
          </w:tcPr>
          <w:p w14:paraId="6CA2C6CE"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KS Praha</w:t>
            </w:r>
          </w:p>
        </w:tc>
        <w:tc>
          <w:tcPr>
            <w:tcW w:w="1115" w:type="dxa"/>
            <w:tcBorders>
              <w:top w:val="nil"/>
              <w:left w:val="nil"/>
              <w:bottom w:val="single" w:sz="4" w:space="0" w:color="auto"/>
              <w:right w:val="nil"/>
            </w:tcBorders>
            <w:shd w:val="clear" w:color="auto" w:fill="auto"/>
            <w:noWrap/>
            <w:vAlign w:val="bottom"/>
            <w:hideMark/>
          </w:tcPr>
          <w:p w14:paraId="3BB1B882" w14:textId="6B628DFF"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37</w:t>
            </w:r>
            <w:r w:rsidR="00901FD3" w:rsidRPr="00A00187">
              <w:rPr>
                <w:rFonts w:eastAsia="Times New Roman"/>
                <w:szCs w:val="24"/>
                <w:lang w:eastAsia="cs-CZ"/>
              </w:rPr>
              <w:t xml:space="preserve"> </w:t>
            </w:r>
            <w:r w:rsidRPr="00A00187">
              <w:rPr>
                <w:rFonts w:eastAsia="Times New Roman"/>
                <w:szCs w:val="24"/>
                <w:lang w:eastAsia="cs-CZ"/>
              </w:rPr>
              <w:t>919</w:t>
            </w:r>
          </w:p>
        </w:tc>
        <w:tc>
          <w:tcPr>
            <w:tcW w:w="796" w:type="dxa"/>
            <w:tcBorders>
              <w:top w:val="nil"/>
              <w:left w:val="nil"/>
              <w:bottom w:val="single" w:sz="4" w:space="0" w:color="auto"/>
              <w:right w:val="nil"/>
            </w:tcBorders>
            <w:shd w:val="clear" w:color="auto" w:fill="auto"/>
            <w:noWrap/>
            <w:vAlign w:val="center"/>
            <w:hideMark/>
          </w:tcPr>
          <w:p w14:paraId="2C002DD1" w14:textId="06998EDF"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52" w:type="dxa"/>
            <w:tcBorders>
              <w:top w:val="nil"/>
              <w:left w:val="single" w:sz="4" w:space="0" w:color="auto"/>
              <w:bottom w:val="single" w:sz="4" w:space="0" w:color="auto"/>
              <w:right w:val="nil"/>
            </w:tcBorders>
            <w:shd w:val="clear" w:color="auto" w:fill="auto"/>
            <w:noWrap/>
            <w:vAlign w:val="bottom"/>
            <w:hideMark/>
          </w:tcPr>
          <w:p w14:paraId="1DEA758F" w14:textId="269B1D17"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38</w:t>
            </w:r>
            <w:r w:rsidR="00901FD3" w:rsidRPr="00A00187">
              <w:rPr>
                <w:rFonts w:eastAsia="Times New Roman"/>
                <w:szCs w:val="24"/>
                <w:lang w:eastAsia="cs-CZ"/>
              </w:rPr>
              <w:t xml:space="preserve"> </w:t>
            </w:r>
            <w:r w:rsidRPr="00A00187">
              <w:rPr>
                <w:rFonts w:eastAsia="Times New Roman"/>
                <w:szCs w:val="24"/>
                <w:lang w:eastAsia="cs-CZ"/>
              </w:rPr>
              <w:t>084</w:t>
            </w:r>
          </w:p>
        </w:tc>
        <w:tc>
          <w:tcPr>
            <w:tcW w:w="796" w:type="dxa"/>
            <w:tcBorders>
              <w:top w:val="nil"/>
              <w:left w:val="nil"/>
              <w:bottom w:val="single" w:sz="4" w:space="0" w:color="auto"/>
              <w:right w:val="single" w:sz="4" w:space="0" w:color="auto"/>
            </w:tcBorders>
            <w:shd w:val="clear" w:color="auto" w:fill="auto"/>
            <w:noWrap/>
            <w:vAlign w:val="center"/>
            <w:hideMark/>
          </w:tcPr>
          <w:p w14:paraId="46AC9F21" w14:textId="4FC107D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933" w:type="dxa"/>
            <w:tcBorders>
              <w:top w:val="nil"/>
              <w:left w:val="nil"/>
              <w:bottom w:val="single" w:sz="4" w:space="0" w:color="auto"/>
              <w:right w:val="nil"/>
            </w:tcBorders>
            <w:shd w:val="clear" w:color="auto" w:fill="auto"/>
            <w:noWrap/>
            <w:vAlign w:val="bottom"/>
            <w:hideMark/>
          </w:tcPr>
          <w:p w14:paraId="676186F5" w14:textId="09CC1880"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w:t>
            </w:r>
            <w:r w:rsidR="00901FD3" w:rsidRPr="00A00187">
              <w:rPr>
                <w:rFonts w:eastAsia="Times New Roman"/>
                <w:szCs w:val="24"/>
                <w:lang w:eastAsia="cs-CZ"/>
              </w:rPr>
              <w:t xml:space="preserve"> </w:t>
            </w:r>
            <w:r w:rsidRPr="00A00187">
              <w:rPr>
                <w:rFonts w:eastAsia="Times New Roman"/>
                <w:szCs w:val="24"/>
                <w:lang w:eastAsia="cs-CZ"/>
              </w:rPr>
              <w:t>036</w:t>
            </w:r>
          </w:p>
        </w:tc>
        <w:tc>
          <w:tcPr>
            <w:tcW w:w="796" w:type="dxa"/>
            <w:tcBorders>
              <w:top w:val="nil"/>
              <w:left w:val="nil"/>
              <w:bottom w:val="single" w:sz="4" w:space="0" w:color="auto"/>
              <w:right w:val="single" w:sz="4" w:space="0" w:color="auto"/>
            </w:tcBorders>
            <w:shd w:val="clear" w:color="auto" w:fill="auto"/>
            <w:noWrap/>
            <w:vAlign w:val="center"/>
            <w:hideMark/>
          </w:tcPr>
          <w:p w14:paraId="23835A45" w14:textId="09F4465C"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012AC6D0" w14:textId="4378D932"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100</w:t>
            </w:r>
            <w:r w:rsidR="00901FD3" w:rsidRPr="00A00187">
              <w:rPr>
                <w:rFonts w:eastAsia="Times New Roman"/>
                <w:szCs w:val="24"/>
                <w:lang w:eastAsia="cs-CZ"/>
              </w:rPr>
              <w:t>,</w:t>
            </w:r>
            <w:r w:rsidRPr="00A00187">
              <w:rPr>
                <w:rFonts w:eastAsia="Times New Roman"/>
                <w:szCs w:val="24"/>
                <w:lang w:eastAsia="cs-CZ"/>
              </w:rPr>
              <w:t>4</w:t>
            </w:r>
            <w:r w:rsidR="00CB570A">
              <w:rPr>
                <w:rFonts w:eastAsia="Times New Roman"/>
                <w:szCs w:val="24"/>
                <w:lang w:eastAsia="cs-CZ"/>
              </w:rPr>
              <w:t> %</w:t>
            </w:r>
          </w:p>
        </w:tc>
      </w:tr>
      <w:tr w:rsidR="00AC1E67" w:rsidRPr="00A00187" w14:paraId="56E9CEE8" w14:textId="77777777" w:rsidTr="003811B0">
        <w:trPr>
          <w:trHeight w:val="315"/>
        </w:trPr>
        <w:tc>
          <w:tcPr>
            <w:tcW w:w="2036" w:type="dxa"/>
            <w:tcBorders>
              <w:top w:val="nil"/>
              <w:left w:val="nil"/>
              <w:bottom w:val="single" w:sz="4" w:space="0" w:color="auto"/>
              <w:right w:val="nil"/>
            </w:tcBorders>
            <w:shd w:val="clear" w:color="auto" w:fill="auto"/>
            <w:noWrap/>
            <w:vAlign w:val="bottom"/>
            <w:hideMark/>
          </w:tcPr>
          <w:p w14:paraId="33F8E009"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KS Č. Budějovice</w:t>
            </w:r>
          </w:p>
        </w:tc>
        <w:tc>
          <w:tcPr>
            <w:tcW w:w="1115" w:type="dxa"/>
            <w:tcBorders>
              <w:top w:val="nil"/>
              <w:left w:val="nil"/>
              <w:bottom w:val="single" w:sz="4" w:space="0" w:color="auto"/>
              <w:right w:val="nil"/>
            </w:tcBorders>
            <w:shd w:val="clear" w:color="auto" w:fill="auto"/>
            <w:noWrap/>
            <w:vAlign w:val="bottom"/>
            <w:hideMark/>
          </w:tcPr>
          <w:p w14:paraId="6DB7798E" w14:textId="3EEE5970"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17</w:t>
            </w:r>
            <w:r w:rsidR="00901FD3" w:rsidRPr="00A00187">
              <w:rPr>
                <w:rFonts w:eastAsia="Times New Roman"/>
                <w:szCs w:val="24"/>
                <w:lang w:eastAsia="cs-CZ"/>
              </w:rPr>
              <w:t xml:space="preserve"> </w:t>
            </w:r>
            <w:r w:rsidRPr="00A00187">
              <w:rPr>
                <w:rFonts w:eastAsia="Times New Roman"/>
                <w:szCs w:val="24"/>
                <w:lang w:eastAsia="cs-CZ"/>
              </w:rPr>
              <w:t>197</w:t>
            </w:r>
          </w:p>
        </w:tc>
        <w:tc>
          <w:tcPr>
            <w:tcW w:w="796" w:type="dxa"/>
            <w:tcBorders>
              <w:top w:val="nil"/>
              <w:left w:val="nil"/>
              <w:bottom w:val="single" w:sz="4" w:space="0" w:color="auto"/>
              <w:right w:val="nil"/>
            </w:tcBorders>
            <w:shd w:val="clear" w:color="auto" w:fill="auto"/>
            <w:noWrap/>
            <w:vAlign w:val="center"/>
            <w:hideMark/>
          </w:tcPr>
          <w:p w14:paraId="32BF36F2" w14:textId="0D426BF0"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1152" w:type="dxa"/>
            <w:tcBorders>
              <w:top w:val="nil"/>
              <w:left w:val="single" w:sz="4" w:space="0" w:color="auto"/>
              <w:bottom w:val="single" w:sz="4" w:space="0" w:color="auto"/>
              <w:right w:val="nil"/>
            </w:tcBorders>
            <w:shd w:val="clear" w:color="auto" w:fill="auto"/>
            <w:noWrap/>
            <w:vAlign w:val="bottom"/>
            <w:hideMark/>
          </w:tcPr>
          <w:p w14:paraId="6CABAD37" w14:textId="27B7C683"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17</w:t>
            </w:r>
            <w:r w:rsidR="00901FD3" w:rsidRPr="00A00187">
              <w:rPr>
                <w:rFonts w:eastAsia="Times New Roman"/>
                <w:szCs w:val="24"/>
                <w:lang w:eastAsia="cs-CZ"/>
              </w:rPr>
              <w:t xml:space="preserve"> </w:t>
            </w:r>
            <w:r w:rsidRPr="00A00187">
              <w:rPr>
                <w:rFonts w:eastAsia="Times New Roman"/>
                <w:szCs w:val="24"/>
                <w:lang w:eastAsia="cs-CZ"/>
              </w:rPr>
              <w:t>574</w:t>
            </w:r>
          </w:p>
        </w:tc>
        <w:tc>
          <w:tcPr>
            <w:tcW w:w="796" w:type="dxa"/>
            <w:tcBorders>
              <w:top w:val="nil"/>
              <w:left w:val="nil"/>
              <w:bottom w:val="single" w:sz="4" w:space="0" w:color="auto"/>
              <w:right w:val="single" w:sz="4" w:space="0" w:color="auto"/>
            </w:tcBorders>
            <w:shd w:val="clear" w:color="auto" w:fill="auto"/>
            <w:noWrap/>
            <w:vAlign w:val="center"/>
            <w:hideMark/>
          </w:tcPr>
          <w:p w14:paraId="112105E1" w14:textId="7E1DBA71"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933" w:type="dxa"/>
            <w:tcBorders>
              <w:top w:val="nil"/>
              <w:left w:val="nil"/>
              <w:bottom w:val="single" w:sz="4" w:space="0" w:color="auto"/>
              <w:right w:val="nil"/>
            </w:tcBorders>
            <w:shd w:val="clear" w:color="auto" w:fill="auto"/>
            <w:noWrap/>
            <w:vAlign w:val="bottom"/>
            <w:hideMark/>
          </w:tcPr>
          <w:p w14:paraId="3AEB359F" w14:textId="77777777"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481</w:t>
            </w:r>
          </w:p>
        </w:tc>
        <w:tc>
          <w:tcPr>
            <w:tcW w:w="796" w:type="dxa"/>
            <w:tcBorders>
              <w:top w:val="nil"/>
              <w:left w:val="nil"/>
              <w:bottom w:val="single" w:sz="4" w:space="0" w:color="auto"/>
              <w:right w:val="single" w:sz="4" w:space="0" w:color="auto"/>
            </w:tcBorders>
            <w:shd w:val="clear" w:color="auto" w:fill="auto"/>
            <w:noWrap/>
            <w:vAlign w:val="center"/>
            <w:hideMark/>
          </w:tcPr>
          <w:p w14:paraId="6C74E708" w14:textId="2286FE7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-43</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BD008AD" w14:textId="4BE6175F"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102</w:t>
            </w:r>
            <w:r w:rsidR="00901FD3" w:rsidRPr="00A00187">
              <w:rPr>
                <w:rFonts w:eastAsia="Times New Roman"/>
                <w:szCs w:val="24"/>
                <w:lang w:eastAsia="cs-CZ"/>
              </w:rPr>
              <w:t>,</w:t>
            </w:r>
            <w:r w:rsidRPr="00A00187">
              <w:rPr>
                <w:rFonts w:eastAsia="Times New Roman"/>
                <w:szCs w:val="24"/>
                <w:lang w:eastAsia="cs-CZ"/>
              </w:rPr>
              <w:t>2</w:t>
            </w:r>
            <w:r w:rsidR="00CB570A">
              <w:rPr>
                <w:rFonts w:eastAsia="Times New Roman"/>
                <w:szCs w:val="24"/>
                <w:lang w:eastAsia="cs-CZ"/>
              </w:rPr>
              <w:t> %</w:t>
            </w:r>
          </w:p>
        </w:tc>
      </w:tr>
      <w:tr w:rsidR="00AC1E67" w:rsidRPr="00A00187" w14:paraId="3CF8FEEE" w14:textId="77777777" w:rsidTr="003811B0">
        <w:trPr>
          <w:trHeight w:val="315"/>
        </w:trPr>
        <w:tc>
          <w:tcPr>
            <w:tcW w:w="2036" w:type="dxa"/>
            <w:tcBorders>
              <w:top w:val="nil"/>
              <w:left w:val="nil"/>
              <w:bottom w:val="single" w:sz="4" w:space="0" w:color="auto"/>
              <w:right w:val="nil"/>
            </w:tcBorders>
            <w:shd w:val="clear" w:color="auto" w:fill="auto"/>
            <w:noWrap/>
            <w:vAlign w:val="bottom"/>
            <w:hideMark/>
          </w:tcPr>
          <w:p w14:paraId="62B36FFF"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KS Plzeň</w:t>
            </w:r>
          </w:p>
        </w:tc>
        <w:tc>
          <w:tcPr>
            <w:tcW w:w="1115" w:type="dxa"/>
            <w:tcBorders>
              <w:top w:val="nil"/>
              <w:left w:val="nil"/>
              <w:bottom w:val="single" w:sz="4" w:space="0" w:color="auto"/>
              <w:right w:val="nil"/>
            </w:tcBorders>
            <w:shd w:val="clear" w:color="auto" w:fill="auto"/>
            <w:noWrap/>
            <w:vAlign w:val="bottom"/>
            <w:hideMark/>
          </w:tcPr>
          <w:p w14:paraId="18DC820D" w14:textId="58E9E372"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29</w:t>
            </w:r>
            <w:r w:rsidR="00901FD3" w:rsidRPr="00A00187">
              <w:rPr>
                <w:rFonts w:eastAsia="Times New Roman"/>
                <w:szCs w:val="24"/>
                <w:lang w:eastAsia="cs-CZ"/>
              </w:rPr>
              <w:t xml:space="preserve"> </w:t>
            </w:r>
            <w:r w:rsidRPr="00A00187">
              <w:rPr>
                <w:rFonts w:eastAsia="Times New Roman"/>
                <w:szCs w:val="24"/>
                <w:lang w:eastAsia="cs-CZ"/>
              </w:rPr>
              <w:t>127</w:t>
            </w:r>
          </w:p>
        </w:tc>
        <w:tc>
          <w:tcPr>
            <w:tcW w:w="796" w:type="dxa"/>
            <w:tcBorders>
              <w:top w:val="nil"/>
              <w:left w:val="nil"/>
              <w:bottom w:val="single" w:sz="4" w:space="0" w:color="auto"/>
              <w:right w:val="nil"/>
            </w:tcBorders>
            <w:shd w:val="clear" w:color="auto" w:fill="auto"/>
            <w:noWrap/>
            <w:vAlign w:val="center"/>
            <w:hideMark/>
          </w:tcPr>
          <w:p w14:paraId="5E75DC3A" w14:textId="1BAF9AA6"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152" w:type="dxa"/>
            <w:tcBorders>
              <w:top w:val="nil"/>
              <w:left w:val="single" w:sz="4" w:space="0" w:color="auto"/>
              <w:bottom w:val="single" w:sz="4" w:space="0" w:color="auto"/>
              <w:right w:val="nil"/>
            </w:tcBorders>
            <w:shd w:val="clear" w:color="auto" w:fill="auto"/>
            <w:noWrap/>
            <w:vAlign w:val="bottom"/>
            <w:hideMark/>
          </w:tcPr>
          <w:p w14:paraId="6A8E7D0D" w14:textId="50474A2F"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29</w:t>
            </w:r>
            <w:r w:rsidR="00901FD3" w:rsidRPr="00A00187">
              <w:rPr>
                <w:rFonts w:eastAsia="Times New Roman"/>
                <w:szCs w:val="24"/>
                <w:lang w:eastAsia="cs-CZ"/>
              </w:rPr>
              <w:t xml:space="preserve"> </w:t>
            </w:r>
            <w:r w:rsidRPr="00A00187">
              <w:rPr>
                <w:rFonts w:eastAsia="Times New Roman"/>
                <w:szCs w:val="24"/>
                <w:lang w:eastAsia="cs-CZ"/>
              </w:rPr>
              <w:t>495</w:t>
            </w:r>
          </w:p>
        </w:tc>
        <w:tc>
          <w:tcPr>
            <w:tcW w:w="796" w:type="dxa"/>
            <w:tcBorders>
              <w:top w:val="nil"/>
              <w:left w:val="nil"/>
              <w:bottom w:val="single" w:sz="4" w:space="0" w:color="auto"/>
              <w:right w:val="single" w:sz="4" w:space="0" w:color="auto"/>
            </w:tcBorders>
            <w:shd w:val="clear" w:color="auto" w:fill="auto"/>
            <w:noWrap/>
            <w:vAlign w:val="center"/>
            <w:hideMark/>
          </w:tcPr>
          <w:p w14:paraId="77604FB5" w14:textId="57DE05A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933" w:type="dxa"/>
            <w:tcBorders>
              <w:top w:val="nil"/>
              <w:left w:val="nil"/>
              <w:bottom w:val="single" w:sz="4" w:space="0" w:color="auto"/>
              <w:right w:val="nil"/>
            </w:tcBorders>
            <w:shd w:val="clear" w:color="auto" w:fill="auto"/>
            <w:noWrap/>
            <w:vAlign w:val="bottom"/>
            <w:hideMark/>
          </w:tcPr>
          <w:p w14:paraId="44DED9DA" w14:textId="77777777"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727</w:t>
            </w:r>
          </w:p>
        </w:tc>
        <w:tc>
          <w:tcPr>
            <w:tcW w:w="796" w:type="dxa"/>
            <w:tcBorders>
              <w:top w:val="nil"/>
              <w:left w:val="nil"/>
              <w:bottom w:val="single" w:sz="4" w:space="0" w:color="auto"/>
              <w:right w:val="single" w:sz="4" w:space="0" w:color="auto"/>
            </w:tcBorders>
            <w:shd w:val="clear" w:color="auto" w:fill="auto"/>
            <w:noWrap/>
            <w:vAlign w:val="center"/>
            <w:hideMark/>
          </w:tcPr>
          <w:p w14:paraId="345846DB" w14:textId="413E1CA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-34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39A2FE0D" w14:textId="12AC0535"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101</w:t>
            </w:r>
            <w:r w:rsidR="00901FD3" w:rsidRPr="00A00187">
              <w:rPr>
                <w:rFonts w:eastAsia="Times New Roman"/>
                <w:szCs w:val="24"/>
                <w:lang w:eastAsia="cs-CZ"/>
              </w:rPr>
              <w:t>,</w:t>
            </w:r>
            <w:r w:rsidRPr="00A00187">
              <w:rPr>
                <w:rFonts w:eastAsia="Times New Roman"/>
                <w:szCs w:val="24"/>
                <w:lang w:eastAsia="cs-CZ"/>
              </w:rPr>
              <w:t>3</w:t>
            </w:r>
            <w:r w:rsidR="00CB570A">
              <w:rPr>
                <w:rFonts w:eastAsia="Times New Roman"/>
                <w:szCs w:val="24"/>
                <w:lang w:eastAsia="cs-CZ"/>
              </w:rPr>
              <w:t> %</w:t>
            </w:r>
          </w:p>
        </w:tc>
      </w:tr>
      <w:tr w:rsidR="00AC1E67" w:rsidRPr="00A00187" w14:paraId="6C04602B" w14:textId="77777777" w:rsidTr="003811B0">
        <w:trPr>
          <w:trHeight w:val="315"/>
        </w:trPr>
        <w:tc>
          <w:tcPr>
            <w:tcW w:w="2036" w:type="dxa"/>
            <w:tcBorders>
              <w:top w:val="nil"/>
              <w:left w:val="nil"/>
              <w:bottom w:val="single" w:sz="4" w:space="0" w:color="auto"/>
              <w:right w:val="nil"/>
            </w:tcBorders>
            <w:shd w:val="clear" w:color="auto" w:fill="auto"/>
            <w:noWrap/>
            <w:vAlign w:val="bottom"/>
            <w:hideMark/>
          </w:tcPr>
          <w:p w14:paraId="3758D1DE"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KS Ústí n. Labem</w:t>
            </w:r>
          </w:p>
        </w:tc>
        <w:tc>
          <w:tcPr>
            <w:tcW w:w="1115" w:type="dxa"/>
            <w:tcBorders>
              <w:top w:val="nil"/>
              <w:left w:val="nil"/>
              <w:bottom w:val="single" w:sz="4" w:space="0" w:color="auto"/>
              <w:right w:val="nil"/>
            </w:tcBorders>
            <w:shd w:val="clear" w:color="auto" w:fill="auto"/>
            <w:noWrap/>
            <w:vAlign w:val="bottom"/>
            <w:hideMark/>
          </w:tcPr>
          <w:p w14:paraId="65781095" w14:textId="1FC76A60"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53</w:t>
            </w:r>
            <w:r w:rsidR="00901FD3" w:rsidRPr="00A00187">
              <w:rPr>
                <w:rFonts w:eastAsia="Times New Roman"/>
                <w:szCs w:val="24"/>
                <w:lang w:eastAsia="cs-CZ"/>
              </w:rPr>
              <w:t xml:space="preserve"> </w:t>
            </w:r>
            <w:r w:rsidRPr="00A00187">
              <w:rPr>
                <w:rFonts w:eastAsia="Times New Roman"/>
                <w:szCs w:val="24"/>
                <w:lang w:eastAsia="cs-CZ"/>
              </w:rPr>
              <w:t>049</w:t>
            </w:r>
          </w:p>
        </w:tc>
        <w:tc>
          <w:tcPr>
            <w:tcW w:w="796" w:type="dxa"/>
            <w:tcBorders>
              <w:top w:val="nil"/>
              <w:left w:val="nil"/>
              <w:bottom w:val="single" w:sz="4" w:space="0" w:color="auto"/>
              <w:right w:val="nil"/>
            </w:tcBorders>
            <w:shd w:val="clear" w:color="auto" w:fill="auto"/>
            <w:noWrap/>
            <w:vAlign w:val="center"/>
            <w:hideMark/>
          </w:tcPr>
          <w:p w14:paraId="4A21034A" w14:textId="67B5821A"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1152" w:type="dxa"/>
            <w:tcBorders>
              <w:top w:val="nil"/>
              <w:left w:val="single" w:sz="4" w:space="0" w:color="auto"/>
              <w:bottom w:val="single" w:sz="4" w:space="0" w:color="auto"/>
              <w:right w:val="nil"/>
            </w:tcBorders>
            <w:shd w:val="clear" w:color="auto" w:fill="auto"/>
            <w:noWrap/>
            <w:vAlign w:val="bottom"/>
            <w:hideMark/>
          </w:tcPr>
          <w:p w14:paraId="6F87FB95" w14:textId="59F5C88F"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54</w:t>
            </w:r>
            <w:r w:rsidR="00901FD3" w:rsidRPr="00A00187">
              <w:rPr>
                <w:rFonts w:eastAsia="Times New Roman"/>
                <w:szCs w:val="24"/>
                <w:lang w:eastAsia="cs-CZ"/>
              </w:rPr>
              <w:t xml:space="preserve"> </w:t>
            </w:r>
            <w:r w:rsidRPr="00A00187">
              <w:rPr>
                <w:rFonts w:eastAsia="Times New Roman"/>
                <w:szCs w:val="24"/>
                <w:lang w:eastAsia="cs-CZ"/>
              </w:rPr>
              <w:t>680</w:t>
            </w:r>
          </w:p>
        </w:tc>
        <w:tc>
          <w:tcPr>
            <w:tcW w:w="796" w:type="dxa"/>
            <w:tcBorders>
              <w:top w:val="nil"/>
              <w:left w:val="nil"/>
              <w:bottom w:val="single" w:sz="4" w:space="0" w:color="auto"/>
              <w:right w:val="single" w:sz="4" w:space="0" w:color="auto"/>
            </w:tcBorders>
            <w:shd w:val="clear" w:color="auto" w:fill="auto"/>
            <w:noWrap/>
            <w:vAlign w:val="center"/>
            <w:hideMark/>
          </w:tcPr>
          <w:p w14:paraId="4ECB6AD4" w14:textId="5AB9238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933" w:type="dxa"/>
            <w:tcBorders>
              <w:top w:val="nil"/>
              <w:left w:val="nil"/>
              <w:bottom w:val="single" w:sz="4" w:space="0" w:color="auto"/>
              <w:right w:val="nil"/>
            </w:tcBorders>
            <w:shd w:val="clear" w:color="auto" w:fill="auto"/>
            <w:noWrap/>
            <w:vAlign w:val="bottom"/>
            <w:hideMark/>
          </w:tcPr>
          <w:p w14:paraId="6CCE2FD7" w14:textId="75D490FB"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3</w:t>
            </w:r>
            <w:r w:rsidR="00901FD3" w:rsidRPr="00A00187">
              <w:rPr>
                <w:rFonts w:eastAsia="Times New Roman"/>
                <w:szCs w:val="24"/>
                <w:lang w:eastAsia="cs-CZ"/>
              </w:rPr>
              <w:t xml:space="preserve"> </w:t>
            </w:r>
            <w:r w:rsidRPr="00A00187">
              <w:rPr>
                <w:rFonts w:eastAsia="Times New Roman"/>
                <w:szCs w:val="24"/>
                <w:lang w:eastAsia="cs-CZ"/>
              </w:rPr>
              <w:t>401</w:t>
            </w:r>
          </w:p>
        </w:tc>
        <w:tc>
          <w:tcPr>
            <w:tcW w:w="796" w:type="dxa"/>
            <w:tcBorders>
              <w:top w:val="nil"/>
              <w:left w:val="nil"/>
              <w:bottom w:val="single" w:sz="4" w:space="0" w:color="auto"/>
              <w:right w:val="single" w:sz="4" w:space="0" w:color="auto"/>
            </w:tcBorders>
            <w:shd w:val="clear" w:color="auto" w:fill="auto"/>
            <w:noWrap/>
            <w:vAlign w:val="center"/>
            <w:hideMark/>
          </w:tcPr>
          <w:p w14:paraId="3D0E295E" w14:textId="6FE9C0D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6355C21B" w14:textId="66061370"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103</w:t>
            </w:r>
            <w:r w:rsidR="00901FD3" w:rsidRPr="00A00187">
              <w:rPr>
                <w:rFonts w:eastAsia="Times New Roman"/>
                <w:szCs w:val="24"/>
                <w:lang w:eastAsia="cs-CZ"/>
              </w:rPr>
              <w:t>,</w:t>
            </w:r>
            <w:r w:rsidRPr="00A00187">
              <w:rPr>
                <w:rFonts w:eastAsia="Times New Roman"/>
                <w:szCs w:val="24"/>
                <w:lang w:eastAsia="cs-CZ"/>
              </w:rPr>
              <w:t>1</w:t>
            </w:r>
            <w:r w:rsidR="00CB570A">
              <w:rPr>
                <w:rFonts w:eastAsia="Times New Roman"/>
                <w:szCs w:val="24"/>
                <w:lang w:eastAsia="cs-CZ"/>
              </w:rPr>
              <w:t> %</w:t>
            </w:r>
          </w:p>
        </w:tc>
      </w:tr>
      <w:tr w:rsidR="00AC1E67" w:rsidRPr="00A00187" w14:paraId="5D3AE00A" w14:textId="77777777" w:rsidTr="003811B0">
        <w:trPr>
          <w:trHeight w:val="315"/>
        </w:trPr>
        <w:tc>
          <w:tcPr>
            <w:tcW w:w="2036" w:type="dxa"/>
            <w:tcBorders>
              <w:top w:val="nil"/>
              <w:left w:val="nil"/>
              <w:bottom w:val="single" w:sz="4" w:space="0" w:color="auto"/>
              <w:right w:val="nil"/>
            </w:tcBorders>
            <w:shd w:val="clear" w:color="auto" w:fill="auto"/>
            <w:noWrap/>
            <w:vAlign w:val="bottom"/>
            <w:hideMark/>
          </w:tcPr>
          <w:p w14:paraId="7EEA5411"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KS Hr. Králové</w:t>
            </w:r>
          </w:p>
        </w:tc>
        <w:tc>
          <w:tcPr>
            <w:tcW w:w="1115" w:type="dxa"/>
            <w:tcBorders>
              <w:top w:val="nil"/>
              <w:left w:val="nil"/>
              <w:bottom w:val="single" w:sz="4" w:space="0" w:color="auto"/>
              <w:right w:val="nil"/>
            </w:tcBorders>
            <w:shd w:val="clear" w:color="auto" w:fill="auto"/>
            <w:noWrap/>
            <w:vAlign w:val="bottom"/>
            <w:hideMark/>
          </w:tcPr>
          <w:p w14:paraId="7EA81984" w14:textId="4048B62C"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29</w:t>
            </w:r>
            <w:r w:rsidR="00901FD3" w:rsidRPr="00A00187">
              <w:rPr>
                <w:rFonts w:eastAsia="Times New Roman"/>
                <w:szCs w:val="24"/>
                <w:lang w:eastAsia="cs-CZ"/>
              </w:rPr>
              <w:t xml:space="preserve"> </w:t>
            </w:r>
            <w:r w:rsidRPr="00A00187">
              <w:rPr>
                <w:rFonts w:eastAsia="Times New Roman"/>
                <w:szCs w:val="24"/>
                <w:lang w:eastAsia="cs-CZ"/>
              </w:rPr>
              <w:t>045</w:t>
            </w:r>
          </w:p>
        </w:tc>
        <w:tc>
          <w:tcPr>
            <w:tcW w:w="796" w:type="dxa"/>
            <w:tcBorders>
              <w:top w:val="nil"/>
              <w:left w:val="nil"/>
              <w:bottom w:val="single" w:sz="4" w:space="0" w:color="auto"/>
              <w:right w:val="nil"/>
            </w:tcBorders>
            <w:shd w:val="clear" w:color="auto" w:fill="auto"/>
            <w:noWrap/>
            <w:vAlign w:val="center"/>
            <w:hideMark/>
          </w:tcPr>
          <w:p w14:paraId="11E7DB36" w14:textId="23461D7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152" w:type="dxa"/>
            <w:tcBorders>
              <w:top w:val="nil"/>
              <w:left w:val="single" w:sz="4" w:space="0" w:color="auto"/>
              <w:bottom w:val="single" w:sz="4" w:space="0" w:color="auto"/>
              <w:right w:val="nil"/>
            </w:tcBorders>
            <w:shd w:val="clear" w:color="auto" w:fill="auto"/>
            <w:noWrap/>
            <w:vAlign w:val="bottom"/>
            <w:hideMark/>
          </w:tcPr>
          <w:p w14:paraId="06D15CA5" w14:textId="451C0DD6"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29</w:t>
            </w:r>
            <w:r w:rsidR="00901FD3" w:rsidRPr="00A00187">
              <w:rPr>
                <w:rFonts w:eastAsia="Times New Roman"/>
                <w:szCs w:val="24"/>
                <w:lang w:eastAsia="cs-CZ"/>
              </w:rPr>
              <w:t xml:space="preserve"> </w:t>
            </w:r>
            <w:r w:rsidRPr="00A00187">
              <w:rPr>
                <w:rFonts w:eastAsia="Times New Roman"/>
                <w:szCs w:val="24"/>
                <w:lang w:eastAsia="cs-CZ"/>
              </w:rPr>
              <w:t>397</w:t>
            </w:r>
          </w:p>
        </w:tc>
        <w:tc>
          <w:tcPr>
            <w:tcW w:w="796" w:type="dxa"/>
            <w:tcBorders>
              <w:top w:val="nil"/>
              <w:left w:val="nil"/>
              <w:bottom w:val="single" w:sz="4" w:space="0" w:color="auto"/>
              <w:right w:val="single" w:sz="4" w:space="0" w:color="auto"/>
            </w:tcBorders>
            <w:shd w:val="clear" w:color="auto" w:fill="auto"/>
            <w:noWrap/>
            <w:vAlign w:val="center"/>
            <w:hideMark/>
          </w:tcPr>
          <w:p w14:paraId="28DBD7FF" w14:textId="1F08F528"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33" w:type="dxa"/>
            <w:tcBorders>
              <w:top w:val="nil"/>
              <w:left w:val="nil"/>
              <w:bottom w:val="single" w:sz="4" w:space="0" w:color="auto"/>
              <w:right w:val="nil"/>
            </w:tcBorders>
            <w:shd w:val="clear" w:color="auto" w:fill="auto"/>
            <w:noWrap/>
            <w:vAlign w:val="bottom"/>
            <w:hideMark/>
          </w:tcPr>
          <w:p w14:paraId="14FA1201" w14:textId="77777777"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657</w:t>
            </w:r>
          </w:p>
        </w:tc>
        <w:tc>
          <w:tcPr>
            <w:tcW w:w="796" w:type="dxa"/>
            <w:tcBorders>
              <w:top w:val="nil"/>
              <w:left w:val="nil"/>
              <w:bottom w:val="single" w:sz="4" w:space="0" w:color="auto"/>
              <w:right w:val="single" w:sz="4" w:space="0" w:color="auto"/>
            </w:tcBorders>
            <w:shd w:val="clear" w:color="auto" w:fill="auto"/>
            <w:noWrap/>
            <w:vAlign w:val="center"/>
            <w:hideMark/>
          </w:tcPr>
          <w:p w14:paraId="589164F6" w14:textId="00520131"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-35</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CDB1ED6" w14:textId="749D036A"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101</w:t>
            </w:r>
            <w:r w:rsidR="00901FD3" w:rsidRPr="00A00187">
              <w:rPr>
                <w:rFonts w:eastAsia="Times New Roman"/>
                <w:szCs w:val="24"/>
                <w:lang w:eastAsia="cs-CZ"/>
              </w:rPr>
              <w:t>,</w:t>
            </w:r>
            <w:r w:rsidRPr="00A00187">
              <w:rPr>
                <w:rFonts w:eastAsia="Times New Roman"/>
                <w:szCs w:val="24"/>
                <w:lang w:eastAsia="cs-CZ"/>
              </w:rPr>
              <w:t>2</w:t>
            </w:r>
            <w:r w:rsidR="00CB570A">
              <w:rPr>
                <w:rFonts w:eastAsia="Times New Roman"/>
                <w:szCs w:val="24"/>
                <w:lang w:eastAsia="cs-CZ"/>
              </w:rPr>
              <w:t> %</w:t>
            </w:r>
          </w:p>
        </w:tc>
      </w:tr>
      <w:tr w:rsidR="00AC1E67" w:rsidRPr="00A00187" w14:paraId="07262A0F" w14:textId="77777777" w:rsidTr="003811B0">
        <w:trPr>
          <w:trHeight w:val="315"/>
        </w:trPr>
        <w:tc>
          <w:tcPr>
            <w:tcW w:w="2036" w:type="dxa"/>
            <w:tcBorders>
              <w:top w:val="nil"/>
              <w:left w:val="nil"/>
              <w:bottom w:val="single" w:sz="4" w:space="0" w:color="auto"/>
              <w:right w:val="nil"/>
            </w:tcBorders>
            <w:shd w:val="clear" w:color="auto" w:fill="auto"/>
            <w:noWrap/>
            <w:vAlign w:val="bottom"/>
            <w:hideMark/>
          </w:tcPr>
          <w:p w14:paraId="36B1D9D7"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KS Brno</w:t>
            </w:r>
          </w:p>
        </w:tc>
        <w:tc>
          <w:tcPr>
            <w:tcW w:w="1115" w:type="dxa"/>
            <w:tcBorders>
              <w:top w:val="nil"/>
              <w:left w:val="nil"/>
              <w:bottom w:val="single" w:sz="4" w:space="0" w:color="auto"/>
              <w:right w:val="nil"/>
            </w:tcBorders>
            <w:shd w:val="clear" w:color="auto" w:fill="auto"/>
            <w:noWrap/>
            <w:vAlign w:val="bottom"/>
            <w:hideMark/>
          </w:tcPr>
          <w:p w14:paraId="5FFEF0C2" w14:textId="408192E5"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45</w:t>
            </w:r>
            <w:r w:rsidR="00901FD3" w:rsidRPr="00A00187">
              <w:rPr>
                <w:rFonts w:eastAsia="Times New Roman"/>
                <w:szCs w:val="24"/>
                <w:lang w:eastAsia="cs-CZ"/>
              </w:rPr>
              <w:t xml:space="preserve"> </w:t>
            </w:r>
            <w:r w:rsidRPr="00A00187">
              <w:rPr>
                <w:rFonts w:eastAsia="Times New Roman"/>
                <w:szCs w:val="24"/>
                <w:lang w:eastAsia="cs-CZ"/>
              </w:rPr>
              <w:t>319</w:t>
            </w:r>
          </w:p>
        </w:tc>
        <w:tc>
          <w:tcPr>
            <w:tcW w:w="796" w:type="dxa"/>
            <w:tcBorders>
              <w:top w:val="nil"/>
              <w:left w:val="nil"/>
              <w:bottom w:val="single" w:sz="4" w:space="0" w:color="auto"/>
              <w:right w:val="nil"/>
            </w:tcBorders>
            <w:shd w:val="clear" w:color="auto" w:fill="auto"/>
            <w:noWrap/>
            <w:vAlign w:val="center"/>
            <w:hideMark/>
          </w:tcPr>
          <w:p w14:paraId="526732A5" w14:textId="71B13AE7"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52" w:type="dxa"/>
            <w:tcBorders>
              <w:top w:val="nil"/>
              <w:left w:val="single" w:sz="4" w:space="0" w:color="auto"/>
              <w:bottom w:val="single" w:sz="4" w:space="0" w:color="auto"/>
              <w:right w:val="nil"/>
            </w:tcBorders>
            <w:shd w:val="clear" w:color="auto" w:fill="auto"/>
            <w:noWrap/>
            <w:vAlign w:val="bottom"/>
            <w:hideMark/>
          </w:tcPr>
          <w:p w14:paraId="5C0EBA8F" w14:textId="604B9631"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46</w:t>
            </w:r>
            <w:r w:rsidR="00901FD3" w:rsidRPr="00A00187">
              <w:rPr>
                <w:rFonts w:eastAsia="Times New Roman"/>
                <w:szCs w:val="24"/>
                <w:lang w:eastAsia="cs-CZ"/>
              </w:rPr>
              <w:t xml:space="preserve"> </w:t>
            </w:r>
            <w:r w:rsidRPr="00A00187">
              <w:rPr>
                <w:rFonts w:eastAsia="Times New Roman"/>
                <w:szCs w:val="24"/>
                <w:lang w:eastAsia="cs-CZ"/>
              </w:rPr>
              <w:t>982</w:t>
            </w:r>
          </w:p>
        </w:tc>
        <w:tc>
          <w:tcPr>
            <w:tcW w:w="796" w:type="dxa"/>
            <w:tcBorders>
              <w:top w:val="nil"/>
              <w:left w:val="nil"/>
              <w:bottom w:val="single" w:sz="4" w:space="0" w:color="auto"/>
              <w:right w:val="single" w:sz="4" w:space="0" w:color="auto"/>
            </w:tcBorders>
            <w:shd w:val="clear" w:color="auto" w:fill="auto"/>
            <w:noWrap/>
            <w:vAlign w:val="center"/>
            <w:hideMark/>
          </w:tcPr>
          <w:p w14:paraId="3C17D8E4" w14:textId="6B692E02"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933" w:type="dxa"/>
            <w:tcBorders>
              <w:top w:val="nil"/>
              <w:left w:val="nil"/>
              <w:bottom w:val="single" w:sz="4" w:space="0" w:color="auto"/>
              <w:right w:val="nil"/>
            </w:tcBorders>
            <w:shd w:val="clear" w:color="auto" w:fill="auto"/>
            <w:noWrap/>
            <w:vAlign w:val="bottom"/>
            <w:hideMark/>
          </w:tcPr>
          <w:p w14:paraId="79E86D9A" w14:textId="76CAED02"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3</w:t>
            </w:r>
            <w:r w:rsidR="00901FD3" w:rsidRPr="00A00187">
              <w:rPr>
                <w:rFonts w:eastAsia="Times New Roman"/>
                <w:szCs w:val="24"/>
                <w:lang w:eastAsia="cs-CZ"/>
              </w:rPr>
              <w:t xml:space="preserve"> </w:t>
            </w:r>
            <w:r w:rsidRPr="00A00187">
              <w:rPr>
                <w:rFonts w:eastAsia="Times New Roman"/>
                <w:szCs w:val="24"/>
                <w:lang w:eastAsia="cs-CZ"/>
              </w:rPr>
              <w:t>245</w:t>
            </w:r>
          </w:p>
        </w:tc>
        <w:tc>
          <w:tcPr>
            <w:tcW w:w="796" w:type="dxa"/>
            <w:tcBorders>
              <w:top w:val="nil"/>
              <w:left w:val="nil"/>
              <w:bottom w:val="single" w:sz="4" w:space="0" w:color="auto"/>
              <w:right w:val="single" w:sz="4" w:space="0" w:color="auto"/>
            </w:tcBorders>
            <w:shd w:val="clear" w:color="auto" w:fill="auto"/>
            <w:noWrap/>
            <w:vAlign w:val="center"/>
            <w:hideMark/>
          </w:tcPr>
          <w:p w14:paraId="64C1B7C9" w14:textId="35096B1B"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-34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6B48A2F" w14:textId="5DA29D62"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103</w:t>
            </w:r>
            <w:r w:rsidR="00901FD3" w:rsidRPr="00A00187">
              <w:rPr>
                <w:rFonts w:eastAsia="Times New Roman"/>
                <w:szCs w:val="24"/>
                <w:lang w:eastAsia="cs-CZ"/>
              </w:rPr>
              <w:t>,</w:t>
            </w:r>
            <w:r w:rsidRPr="00A00187">
              <w:rPr>
                <w:rFonts w:eastAsia="Times New Roman"/>
                <w:szCs w:val="24"/>
                <w:lang w:eastAsia="cs-CZ"/>
              </w:rPr>
              <w:t>7</w:t>
            </w:r>
            <w:r w:rsidR="00CB570A">
              <w:rPr>
                <w:rFonts w:eastAsia="Times New Roman"/>
                <w:szCs w:val="24"/>
                <w:lang w:eastAsia="cs-CZ"/>
              </w:rPr>
              <w:t> %</w:t>
            </w:r>
          </w:p>
        </w:tc>
      </w:tr>
      <w:tr w:rsidR="00AC1E67" w:rsidRPr="00A00187" w14:paraId="07063FE8" w14:textId="77777777" w:rsidTr="003811B0">
        <w:trPr>
          <w:trHeight w:val="330"/>
        </w:trPr>
        <w:tc>
          <w:tcPr>
            <w:tcW w:w="2036" w:type="dxa"/>
            <w:tcBorders>
              <w:top w:val="nil"/>
              <w:left w:val="nil"/>
              <w:bottom w:val="double" w:sz="6" w:space="0" w:color="auto"/>
              <w:right w:val="nil"/>
            </w:tcBorders>
            <w:shd w:val="clear" w:color="auto" w:fill="auto"/>
            <w:noWrap/>
            <w:vAlign w:val="bottom"/>
            <w:hideMark/>
          </w:tcPr>
          <w:p w14:paraId="5E283406" w14:textId="77777777" w:rsidR="00C1691E" w:rsidRPr="00A00187" w:rsidRDefault="00C1691E" w:rsidP="003811B0">
            <w:pPr>
              <w:spacing w:line="240" w:lineRule="auto"/>
              <w:jc w:val="left"/>
              <w:rPr>
                <w:rFonts w:eastAsia="Times New Roman"/>
                <w:szCs w:val="24"/>
                <w:lang w:eastAsia="cs-CZ"/>
              </w:rPr>
            </w:pPr>
            <w:r w:rsidRPr="00A00187">
              <w:rPr>
                <w:rFonts w:eastAsia="Times New Roman"/>
                <w:szCs w:val="24"/>
                <w:lang w:eastAsia="cs-CZ"/>
              </w:rPr>
              <w:t>KS Ostrava</w:t>
            </w:r>
          </w:p>
        </w:tc>
        <w:tc>
          <w:tcPr>
            <w:tcW w:w="1115" w:type="dxa"/>
            <w:tcBorders>
              <w:top w:val="nil"/>
              <w:left w:val="nil"/>
              <w:bottom w:val="double" w:sz="6" w:space="0" w:color="auto"/>
              <w:right w:val="nil"/>
            </w:tcBorders>
            <w:shd w:val="clear" w:color="auto" w:fill="auto"/>
            <w:noWrap/>
            <w:vAlign w:val="bottom"/>
            <w:hideMark/>
          </w:tcPr>
          <w:p w14:paraId="4760BB52" w14:textId="45ED3E06"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53</w:t>
            </w:r>
            <w:r w:rsidR="00901FD3" w:rsidRPr="00A00187">
              <w:rPr>
                <w:rFonts w:eastAsia="Times New Roman"/>
                <w:szCs w:val="24"/>
                <w:lang w:eastAsia="cs-CZ"/>
              </w:rPr>
              <w:t xml:space="preserve"> </w:t>
            </w:r>
            <w:r w:rsidRPr="00A00187">
              <w:rPr>
                <w:rFonts w:eastAsia="Times New Roman"/>
                <w:szCs w:val="24"/>
                <w:lang w:eastAsia="cs-CZ"/>
              </w:rPr>
              <w:t>468</w:t>
            </w:r>
          </w:p>
        </w:tc>
        <w:tc>
          <w:tcPr>
            <w:tcW w:w="796" w:type="dxa"/>
            <w:tcBorders>
              <w:top w:val="nil"/>
              <w:left w:val="nil"/>
              <w:bottom w:val="double" w:sz="6" w:space="0" w:color="auto"/>
              <w:right w:val="nil"/>
            </w:tcBorders>
            <w:shd w:val="clear" w:color="auto" w:fill="auto"/>
            <w:noWrap/>
            <w:vAlign w:val="center"/>
            <w:hideMark/>
          </w:tcPr>
          <w:p w14:paraId="64FF1D44" w14:textId="42860E24"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152" w:type="dxa"/>
            <w:tcBorders>
              <w:top w:val="nil"/>
              <w:left w:val="single" w:sz="4" w:space="0" w:color="auto"/>
              <w:bottom w:val="double" w:sz="6" w:space="0" w:color="auto"/>
              <w:right w:val="nil"/>
            </w:tcBorders>
            <w:shd w:val="clear" w:color="auto" w:fill="auto"/>
            <w:noWrap/>
            <w:vAlign w:val="bottom"/>
            <w:hideMark/>
          </w:tcPr>
          <w:p w14:paraId="2A12A9CC" w14:textId="4ECDD2A1"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53</w:t>
            </w:r>
            <w:r w:rsidR="00901FD3" w:rsidRPr="00A00187">
              <w:rPr>
                <w:rFonts w:eastAsia="Times New Roman"/>
                <w:szCs w:val="24"/>
                <w:lang w:eastAsia="cs-CZ"/>
              </w:rPr>
              <w:t xml:space="preserve"> </w:t>
            </w:r>
            <w:r w:rsidRPr="00A00187">
              <w:rPr>
                <w:rFonts w:eastAsia="Times New Roman"/>
                <w:szCs w:val="24"/>
                <w:lang w:eastAsia="cs-CZ"/>
              </w:rPr>
              <w:t>632</w:t>
            </w:r>
          </w:p>
        </w:tc>
        <w:tc>
          <w:tcPr>
            <w:tcW w:w="796" w:type="dxa"/>
            <w:tcBorders>
              <w:top w:val="nil"/>
              <w:left w:val="nil"/>
              <w:bottom w:val="double" w:sz="6" w:space="0" w:color="auto"/>
              <w:right w:val="single" w:sz="4" w:space="0" w:color="auto"/>
            </w:tcBorders>
            <w:shd w:val="clear" w:color="auto" w:fill="auto"/>
            <w:noWrap/>
            <w:vAlign w:val="center"/>
            <w:hideMark/>
          </w:tcPr>
          <w:p w14:paraId="2908C6C3" w14:textId="4D089C9E"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933" w:type="dxa"/>
            <w:tcBorders>
              <w:top w:val="nil"/>
              <w:left w:val="nil"/>
              <w:bottom w:val="double" w:sz="6" w:space="0" w:color="auto"/>
              <w:right w:val="nil"/>
            </w:tcBorders>
            <w:shd w:val="clear" w:color="auto" w:fill="auto"/>
            <w:noWrap/>
            <w:vAlign w:val="bottom"/>
            <w:hideMark/>
          </w:tcPr>
          <w:p w14:paraId="50BDDD89" w14:textId="61F3616E"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3</w:t>
            </w:r>
            <w:r w:rsidR="00901FD3" w:rsidRPr="00A00187">
              <w:rPr>
                <w:rFonts w:eastAsia="Times New Roman"/>
                <w:szCs w:val="24"/>
                <w:lang w:eastAsia="cs-CZ"/>
              </w:rPr>
              <w:t xml:space="preserve"> </w:t>
            </w:r>
            <w:r w:rsidRPr="00A00187">
              <w:rPr>
                <w:rFonts w:eastAsia="Times New Roman"/>
                <w:szCs w:val="24"/>
                <w:lang w:eastAsia="cs-CZ"/>
              </w:rPr>
              <w:t>474</w:t>
            </w:r>
          </w:p>
        </w:tc>
        <w:tc>
          <w:tcPr>
            <w:tcW w:w="796" w:type="dxa"/>
            <w:tcBorders>
              <w:top w:val="nil"/>
              <w:left w:val="nil"/>
              <w:bottom w:val="double" w:sz="6" w:space="0" w:color="auto"/>
              <w:right w:val="single" w:sz="4" w:space="0" w:color="auto"/>
            </w:tcBorders>
            <w:shd w:val="clear" w:color="auto" w:fill="auto"/>
            <w:noWrap/>
            <w:vAlign w:val="center"/>
            <w:hideMark/>
          </w:tcPr>
          <w:p w14:paraId="1EE8C18A" w14:textId="205045F2" w:rsidR="00C1691E" w:rsidRPr="00A00187" w:rsidRDefault="00C1691E" w:rsidP="00901FD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516" w:type="dxa"/>
            <w:tcBorders>
              <w:top w:val="nil"/>
              <w:left w:val="nil"/>
              <w:bottom w:val="nil"/>
              <w:right w:val="nil"/>
            </w:tcBorders>
            <w:shd w:val="clear" w:color="auto" w:fill="auto"/>
            <w:noWrap/>
            <w:vAlign w:val="center"/>
            <w:hideMark/>
          </w:tcPr>
          <w:p w14:paraId="62558CC5" w14:textId="5D6157AE" w:rsidR="00C1691E" w:rsidRPr="00A00187" w:rsidRDefault="00C1691E" w:rsidP="003811B0">
            <w:pPr>
              <w:spacing w:line="240" w:lineRule="auto"/>
              <w:jc w:val="center"/>
              <w:rPr>
                <w:rFonts w:eastAsia="Times New Roman"/>
                <w:szCs w:val="24"/>
                <w:lang w:eastAsia="cs-CZ"/>
              </w:rPr>
            </w:pPr>
            <w:r w:rsidRPr="00A00187">
              <w:rPr>
                <w:rFonts w:eastAsia="Times New Roman"/>
                <w:szCs w:val="24"/>
                <w:lang w:eastAsia="cs-CZ"/>
              </w:rPr>
              <w:t>100</w:t>
            </w:r>
            <w:r w:rsidR="00901FD3" w:rsidRPr="00A00187">
              <w:rPr>
                <w:rFonts w:eastAsia="Times New Roman"/>
                <w:szCs w:val="24"/>
                <w:lang w:eastAsia="cs-CZ"/>
              </w:rPr>
              <w:t>,</w:t>
            </w:r>
            <w:r w:rsidRPr="00A00187">
              <w:rPr>
                <w:rFonts w:eastAsia="Times New Roman"/>
                <w:szCs w:val="24"/>
                <w:lang w:eastAsia="cs-CZ"/>
              </w:rPr>
              <w:t>3</w:t>
            </w:r>
            <w:r w:rsidR="00CB570A">
              <w:rPr>
                <w:rFonts w:eastAsia="Times New Roman"/>
                <w:szCs w:val="24"/>
                <w:lang w:eastAsia="cs-CZ"/>
              </w:rPr>
              <w:t> %</w:t>
            </w:r>
          </w:p>
        </w:tc>
      </w:tr>
      <w:tr w:rsidR="00AC1E67" w:rsidRPr="00A00187" w14:paraId="010BE5D2" w14:textId="77777777" w:rsidTr="003811B0">
        <w:trPr>
          <w:trHeight w:val="345"/>
        </w:trPr>
        <w:tc>
          <w:tcPr>
            <w:tcW w:w="2036" w:type="dxa"/>
            <w:tcBorders>
              <w:top w:val="nil"/>
              <w:left w:val="nil"/>
              <w:bottom w:val="double" w:sz="6" w:space="0" w:color="auto"/>
              <w:right w:val="nil"/>
            </w:tcBorders>
            <w:shd w:val="clear" w:color="auto" w:fill="auto"/>
            <w:noWrap/>
            <w:vAlign w:val="bottom"/>
            <w:hideMark/>
          </w:tcPr>
          <w:p w14:paraId="15CE4EB2" w14:textId="77777777" w:rsidR="00C1691E" w:rsidRPr="00A00187" w:rsidRDefault="00C1691E" w:rsidP="003811B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15" w:type="dxa"/>
            <w:tcBorders>
              <w:top w:val="nil"/>
              <w:left w:val="nil"/>
              <w:bottom w:val="double" w:sz="6" w:space="0" w:color="auto"/>
              <w:right w:val="nil"/>
            </w:tcBorders>
            <w:shd w:val="clear" w:color="auto" w:fill="auto"/>
            <w:noWrap/>
            <w:vAlign w:val="bottom"/>
            <w:hideMark/>
          </w:tcPr>
          <w:p w14:paraId="26ADCAF9" w14:textId="3971360F"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319</w:t>
            </w:r>
            <w:r w:rsidR="00901FD3" w:rsidRPr="00A00187">
              <w:rPr>
                <w:rFonts w:eastAsia="Times New Roman"/>
                <w:b/>
                <w:bCs/>
                <w:szCs w:val="24"/>
                <w:lang w:eastAsia="cs-CZ"/>
              </w:rPr>
              <w:t xml:space="preserve"> </w:t>
            </w:r>
            <w:r w:rsidRPr="00A00187">
              <w:rPr>
                <w:rFonts w:eastAsia="Times New Roman"/>
                <w:b/>
                <w:bCs/>
                <w:szCs w:val="24"/>
                <w:lang w:eastAsia="cs-CZ"/>
              </w:rPr>
              <w:t>582</w:t>
            </w:r>
          </w:p>
        </w:tc>
        <w:tc>
          <w:tcPr>
            <w:tcW w:w="796" w:type="dxa"/>
            <w:tcBorders>
              <w:top w:val="nil"/>
              <w:left w:val="nil"/>
              <w:bottom w:val="double" w:sz="6" w:space="0" w:color="auto"/>
              <w:right w:val="nil"/>
            </w:tcBorders>
            <w:shd w:val="clear" w:color="auto" w:fill="auto"/>
            <w:noWrap/>
            <w:vAlign w:val="center"/>
            <w:hideMark/>
          </w:tcPr>
          <w:p w14:paraId="745070CB" w14:textId="593F72EB" w:rsidR="00C1691E" w:rsidRPr="00A00187" w:rsidRDefault="00C1691E" w:rsidP="00901FD3">
            <w:pPr>
              <w:spacing w:line="240" w:lineRule="auto"/>
              <w:jc w:val="center"/>
              <w:rPr>
                <w:rFonts w:eastAsia="Times New Roman"/>
                <w:b/>
                <w:bCs/>
                <w:sz w:val="20"/>
                <w:szCs w:val="20"/>
                <w:lang w:eastAsia="cs-CZ"/>
              </w:rPr>
            </w:pPr>
            <w:r w:rsidRPr="00A00187">
              <w:rPr>
                <w:rFonts w:eastAsia="Times New Roman"/>
                <w:b/>
                <w:bCs/>
                <w:sz w:val="20"/>
                <w:szCs w:val="20"/>
                <w:lang w:eastAsia="cs-CZ"/>
              </w:rPr>
              <w:t>-10</w:t>
            </w:r>
            <w:r w:rsidR="00CB570A">
              <w:rPr>
                <w:rFonts w:eastAsia="Times New Roman"/>
                <w:b/>
                <w:bCs/>
                <w:sz w:val="20"/>
                <w:szCs w:val="20"/>
                <w:lang w:eastAsia="cs-CZ"/>
              </w:rPr>
              <w:t> %</w:t>
            </w:r>
          </w:p>
        </w:tc>
        <w:tc>
          <w:tcPr>
            <w:tcW w:w="1152" w:type="dxa"/>
            <w:tcBorders>
              <w:top w:val="nil"/>
              <w:left w:val="single" w:sz="4" w:space="0" w:color="auto"/>
              <w:bottom w:val="double" w:sz="6" w:space="0" w:color="auto"/>
              <w:right w:val="nil"/>
            </w:tcBorders>
            <w:shd w:val="clear" w:color="auto" w:fill="auto"/>
            <w:noWrap/>
            <w:vAlign w:val="bottom"/>
            <w:hideMark/>
          </w:tcPr>
          <w:p w14:paraId="4D0420BE" w14:textId="49165BDB"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326</w:t>
            </w:r>
            <w:r w:rsidR="00901FD3" w:rsidRPr="00A00187">
              <w:rPr>
                <w:rFonts w:eastAsia="Times New Roman"/>
                <w:b/>
                <w:bCs/>
                <w:szCs w:val="24"/>
                <w:lang w:eastAsia="cs-CZ"/>
              </w:rPr>
              <w:t xml:space="preserve"> </w:t>
            </w:r>
            <w:r w:rsidRPr="00A00187">
              <w:rPr>
                <w:rFonts w:eastAsia="Times New Roman"/>
                <w:b/>
                <w:bCs/>
                <w:szCs w:val="24"/>
                <w:lang w:eastAsia="cs-CZ"/>
              </w:rPr>
              <w:t>345</w:t>
            </w:r>
          </w:p>
        </w:tc>
        <w:tc>
          <w:tcPr>
            <w:tcW w:w="796" w:type="dxa"/>
            <w:tcBorders>
              <w:top w:val="nil"/>
              <w:left w:val="nil"/>
              <w:bottom w:val="double" w:sz="6" w:space="0" w:color="auto"/>
              <w:right w:val="single" w:sz="4" w:space="0" w:color="auto"/>
            </w:tcBorders>
            <w:shd w:val="clear" w:color="auto" w:fill="auto"/>
            <w:noWrap/>
            <w:vAlign w:val="center"/>
            <w:hideMark/>
          </w:tcPr>
          <w:p w14:paraId="326902C0" w14:textId="150EA3AC" w:rsidR="00C1691E" w:rsidRPr="00A00187" w:rsidRDefault="00C1691E" w:rsidP="00901FD3">
            <w:pPr>
              <w:spacing w:line="240" w:lineRule="auto"/>
              <w:jc w:val="center"/>
              <w:rPr>
                <w:rFonts w:eastAsia="Times New Roman"/>
                <w:b/>
                <w:bCs/>
                <w:sz w:val="20"/>
                <w:szCs w:val="20"/>
                <w:lang w:eastAsia="cs-CZ"/>
              </w:rPr>
            </w:pPr>
            <w:r w:rsidRPr="00A00187">
              <w:rPr>
                <w:rFonts w:eastAsia="Times New Roman"/>
                <w:b/>
                <w:bCs/>
                <w:sz w:val="20"/>
                <w:szCs w:val="20"/>
                <w:lang w:eastAsia="cs-CZ"/>
              </w:rPr>
              <w:t>-7</w:t>
            </w:r>
            <w:r w:rsidR="00CB570A">
              <w:rPr>
                <w:rFonts w:eastAsia="Times New Roman"/>
                <w:b/>
                <w:bCs/>
                <w:sz w:val="20"/>
                <w:szCs w:val="20"/>
                <w:lang w:eastAsia="cs-CZ"/>
              </w:rPr>
              <w:t> %</w:t>
            </w:r>
          </w:p>
        </w:tc>
        <w:tc>
          <w:tcPr>
            <w:tcW w:w="933" w:type="dxa"/>
            <w:tcBorders>
              <w:top w:val="nil"/>
              <w:left w:val="nil"/>
              <w:bottom w:val="double" w:sz="6" w:space="0" w:color="auto"/>
              <w:right w:val="nil"/>
            </w:tcBorders>
            <w:shd w:val="clear" w:color="auto" w:fill="auto"/>
            <w:noWrap/>
            <w:vAlign w:val="bottom"/>
            <w:hideMark/>
          </w:tcPr>
          <w:p w14:paraId="019B3E8B" w14:textId="50EDB4F7"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15</w:t>
            </w:r>
            <w:r w:rsidR="00901FD3" w:rsidRPr="00A00187">
              <w:rPr>
                <w:rFonts w:eastAsia="Times New Roman"/>
                <w:b/>
                <w:bCs/>
                <w:szCs w:val="24"/>
                <w:lang w:eastAsia="cs-CZ"/>
              </w:rPr>
              <w:t xml:space="preserve"> </w:t>
            </w:r>
            <w:r w:rsidRPr="00A00187">
              <w:rPr>
                <w:rFonts w:eastAsia="Times New Roman"/>
                <w:b/>
                <w:bCs/>
                <w:szCs w:val="24"/>
                <w:lang w:eastAsia="cs-CZ"/>
              </w:rPr>
              <w:t>087</w:t>
            </w:r>
          </w:p>
        </w:tc>
        <w:tc>
          <w:tcPr>
            <w:tcW w:w="796" w:type="dxa"/>
            <w:tcBorders>
              <w:top w:val="nil"/>
              <w:left w:val="nil"/>
              <w:bottom w:val="double" w:sz="6" w:space="0" w:color="auto"/>
              <w:right w:val="single" w:sz="4" w:space="0" w:color="auto"/>
            </w:tcBorders>
            <w:shd w:val="clear" w:color="auto" w:fill="auto"/>
            <w:noWrap/>
            <w:vAlign w:val="center"/>
            <w:hideMark/>
          </w:tcPr>
          <w:p w14:paraId="3BBB1637" w14:textId="2486018E" w:rsidR="00C1691E" w:rsidRPr="00A00187" w:rsidRDefault="00C1691E" w:rsidP="00901FD3">
            <w:pPr>
              <w:spacing w:line="240" w:lineRule="auto"/>
              <w:jc w:val="center"/>
              <w:rPr>
                <w:rFonts w:eastAsia="Times New Roman"/>
                <w:b/>
                <w:bCs/>
                <w:sz w:val="20"/>
                <w:szCs w:val="20"/>
                <w:lang w:eastAsia="cs-CZ"/>
              </w:rPr>
            </w:pPr>
            <w:r w:rsidRPr="00A00187">
              <w:rPr>
                <w:rFonts w:eastAsia="Times New Roman"/>
                <w:b/>
                <w:bCs/>
                <w:sz w:val="20"/>
                <w:szCs w:val="20"/>
                <w:lang w:eastAsia="cs-CZ"/>
              </w:rPr>
              <w:t>-31</w:t>
            </w:r>
            <w:r w:rsidR="00CB570A">
              <w:rPr>
                <w:rFonts w:eastAsia="Times New Roman"/>
                <w:b/>
                <w:bCs/>
                <w:sz w:val="20"/>
                <w:szCs w:val="20"/>
                <w:lang w:eastAsia="cs-CZ"/>
              </w:rPr>
              <w:t> %</w:t>
            </w:r>
          </w:p>
        </w:tc>
        <w:tc>
          <w:tcPr>
            <w:tcW w:w="1516" w:type="dxa"/>
            <w:tcBorders>
              <w:top w:val="double" w:sz="6" w:space="0" w:color="auto"/>
              <w:left w:val="nil"/>
              <w:bottom w:val="double" w:sz="6" w:space="0" w:color="auto"/>
              <w:right w:val="nil"/>
            </w:tcBorders>
            <w:shd w:val="clear" w:color="auto" w:fill="auto"/>
            <w:noWrap/>
            <w:vAlign w:val="center"/>
            <w:hideMark/>
          </w:tcPr>
          <w:p w14:paraId="13500CE8" w14:textId="5F7D0E60" w:rsidR="00C1691E" w:rsidRPr="00A00187" w:rsidRDefault="00C1691E" w:rsidP="003811B0">
            <w:pPr>
              <w:spacing w:line="240" w:lineRule="auto"/>
              <w:jc w:val="center"/>
              <w:rPr>
                <w:rFonts w:eastAsia="Times New Roman"/>
                <w:b/>
                <w:bCs/>
                <w:szCs w:val="24"/>
                <w:lang w:eastAsia="cs-CZ"/>
              </w:rPr>
            </w:pPr>
            <w:r w:rsidRPr="00A00187">
              <w:rPr>
                <w:rFonts w:eastAsia="Times New Roman"/>
                <w:b/>
                <w:bCs/>
                <w:szCs w:val="24"/>
                <w:lang w:eastAsia="cs-CZ"/>
              </w:rPr>
              <w:t>102</w:t>
            </w:r>
            <w:r w:rsidR="00901FD3" w:rsidRPr="00A00187">
              <w:rPr>
                <w:rFonts w:eastAsia="Times New Roman"/>
                <w:b/>
                <w:bCs/>
                <w:szCs w:val="24"/>
                <w:lang w:eastAsia="cs-CZ"/>
              </w:rPr>
              <w:t>,</w:t>
            </w:r>
            <w:r w:rsidRPr="00A00187">
              <w:rPr>
                <w:rFonts w:eastAsia="Times New Roman"/>
                <w:b/>
                <w:bCs/>
                <w:szCs w:val="24"/>
                <w:lang w:eastAsia="cs-CZ"/>
              </w:rPr>
              <w:t>1</w:t>
            </w:r>
            <w:r w:rsidR="00CB570A">
              <w:rPr>
                <w:rFonts w:eastAsia="Times New Roman"/>
                <w:b/>
                <w:bCs/>
                <w:szCs w:val="24"/>
                <w:lang w:eastAsia="cs-CZ"/>
              </w:rPr>
              <w:t> %</w:t>
            </w:r>
          </w:p>
        </w:tc>
      </w:tr>
      <w:tr w:rsidR="00AC1E67" w:rsidRPr="00A00187" w14:paraId="3594C66C" w14:textId="77777777" w:rsidTr="003811B0">
        <w:trPr>
          <w:trHeight w:val="330"/>
        </w:trPr>
        <w:tc>
          <w:tcPr>
            <w:tcW w:w="2036" w:type="dxa"/>
            <w:tcBorders>
              <w:top w:val="nil"/>
              <w:left w:val="nil"/>
              <w:bottom w:val="nil"/>
              <w:right w:val="nil"/>
            </w:tcBorders>
            <w:shd w:val="clear" w:color="auto" w:fill="auto"/>
            <w:noWrap/>
            <w:vAlign w:val="bottom"/>
            <w:hideMark/>
          </w:tcPr>
          <w:p w14:paraId="407C4BFB" w14:textId="77777777" w:rsidR="00C1691E" w:rsidRPr="00A00187" w:rsidRDefault="00C1691E" w:rsidP="003811B0">
            <w:pPr>
              <w:spacing w:line="240" w:lineRule="auto"/>
              <w:jc w:val="center"/>
              <w:rPr>
                <w:rFonts w:eastAsia="Times New Roman"/>
                <w:b/>
                <w:bCs/>
                <w:szCs w:val="24"/>
                <w:lang w:eastAsia="cs-CZ"/>
              </w:rPr>
            </w:pPr>
          </w:p>
        </w:tc>
        <w:tc>
          <w:tcPr>
            <w:tcW w:w="1115" w:type="dxa"/>
            <w:tcBorders>
              <w:top w:val="nil"/>
              <w:left w:val="nil"/>
              <w:bottom w:val="nil"/>
              <w:right w:val="nil"/>
            </w:tcBorders>
            <w:shd w:val="clear" w:color="auto" w:fill="auto"/>
            <w:noWrap/>
            <w:vAlign w:val="bottom"/>
            <w:hideMark/>
          </w:tcPr>
          <w:p w14:paraId="7B7BB9D8" w14:textId="77777777" w:rsidR="00C1691E" w:rsidRPr="00A00187" w:rsidRDefault="00C1691E" w:rsidP="003811B0">
            <w:pPr>
              <w:spacing w:line="240" w:lineRule="auto"/>
              <w:jc w:val="left"/>
              <w:rPr>
                <w:rFonts w:ascii="Times New Roman" w:eastAsia="Times New Roman" w:hAnsi="Times New Roman"/>
                <w:sz w:val="20"/>
                <w:szCs w:val="20"/>
                <w:lang w:eastAsia="cs-CZ"/>
              </w:rPr>
            </w:pPr>
          </w:p>
        </w:tc>
        <w:tc>
          <w:tcPr>
            <w:tcW w:w="796" w:type="dxa"/>
            <w:tcBorders>
              <w:top w:val="nil"/>
              <w:left w:val="nil"/>
              <w:bottom w:val="nil"/>
              <w:right w:val="nil"/>
            </w:tcBorders>
            <w:shd w:val="clear" w:color="auto" w:fill="auto"/>
            <w:noWrap/>
            <w:vAlign w:val="bottom"/>
            <w:hideMark/>
          </w:tcPr>
          <w:p w14:paraId="54957AB8" w14:textId="77777777" w:rsidR="00C1691E" w:rsidRPr="00A00187" w:rsidRDefault="00C1691E" w:rsidP="003811B0">
            <w:pPr>
              <w:spacing w:line="240" w:lineRule="auto"/>
              <w:jc w:val="left"/>
              <w:rPr>
                <w:rFonts w:ascii="Times New Roman" w:eastAsia="Times New Roman" w:hAnsi="Times New Roman"/>
                <w:sz w:val="20"/>
                <w:szCs w:val="20"/>
                <w:lang w:eastAsia="cs-CZ"/>
              </w:rPr>
            </w:pPr>
          </w:p>
        </w:tc>
        <w:tc>
          <w:tcPr>
            <w:tcW w:w="1152" w:type="dxa"/>
            <w:tcBorders>
              <w:top w:val="nil"/>
              <w:left w:val="nil"/>
              <w:bottom w:val="nil"/>
              <w:right w:val="nil"/>
            </w:tcBorders>
            <w:shd w:val="clear" w:color="auto" w:fill="auto"/>
            <w:noWrap/>
            <w:vAlign w:val="bottom"/>
            <w:hideMark/>
          </w:tcPr>
          <w:p w14:paraId="0591CA60" w14:textId="77777777" w:rsidR="00C1691E" w:rsidRPr="00A00187" w:rsidRDefault="00C1691E" w:rsidP="003811B0">
            <w:pPr>
              <w:spacing w:line="240" w:lineRule="auto"/>
              <w:jc w:val="left"/>
              <w:rPr>
                <w:rFonts w:ascii="Times New Roman" w:eastAsia="Times New Roman" w:hAnsi="Times New Roman"/>
                <w:sz w:val="20"/>
                <w:szCs w:val="20"/>
                <w:lang w:eastAsia="cs-CZ"/>
              </w:rPr>
            </w:pPr>
          </w:p>
        </w:tc>
        <w:tc>
          <w:tcPr>
            <w:tcW w:w="796" w:type="dxa"/>
            <w:tcBorders>
              <w:top w:val="nil"/>
              <w:left w:val="nil"/>
              <w:bottom w:val="nil"/>
              <w:right w:val="nil"/>
            </w:tcBorders>
            <w:shd w:val="clear" w:color="auto" w:fill="auto"/>
            <w:noWrap/>
            <w:vAlign w:val="bottom"/>
            <w:hideMark/>
          </w:tcPr>
          <w:p w14:paraId="450D7D12" w14:textId="77777777" w:rsidR="00C1691E" w:rsidRPr="00A00187" w:rsidRDefault="00C1691E" w:rsidP="003811B0">
            <w:pPr>
              <w:spacing w:line="240" w:lineRule="auto"/>
              <w:jc w:val="left"/>
              <w:rPr>
                <w:rFonts w:ascii="Times New Roman" w:eastAsia="Times New Roman" w:hAnsi="Times New Roman"/>
                <w:sz w:val="20"/>
                <w:szCs w:val="20"/>
                <w:lang w:eastAsia="cs-CZ"/>
              </w:rPr>
            </w:pPr>
          </w:p>
        </w:tc>
        <w:tc>
          <w:tcPr>
            <w:tcW w:w="933" w:type="dxa"/>
            <w:tcBorders>
              <w:top w:val="nil"/>
              <w:left w:val="nil"/>
              <w:bottom w:val="nil"/>
              <w:right w:val="nil"/>
            </w:tcBorders>
            <w:shd w:val="clear" w:color="auto" w:fill="auto"/>
            <w:noWrap/>
            <w:vAlign w:val="bottom"/>
            <w:hideMark/>
          </w:tcPr>
          <w:p w14:paraId="3183FE39" w14:textId="77777777" w:rsidR="00C1691E" w:rsidRPr="00A00187" w:rsidRDefault="00C1691E" w:rsidP="003811B0">
            <w:pPr>
              <w:spacing w:line="240" w:lineRule="auto"/>
              <w:jc w:val="left"/>
              <w:rPr>
                <w:rFonts w:ascii="Times New Roman" w:eastAsia="Times New Roman" w:hAnsi="Times New Roman"/>
                <w:sz w:val="20"/>
                <w:szCs w:val="20"/>
                <w:lang w:eastAsia="cs-CZ"/>
              </w:rPr>
            </w:pPr>
          </w:p>
        </w:tc>
        <w:tc>
          <w:tcPr>
            <w:tcW w:w="796" w:type="dxa"/>
            <w:tcBorders>
              <w:top w:val="nil"/>
              <w:left w:val="nil"/>
              <w:bottom w:val="nil"/>
              <w:right w:val="nil"/>
            </w:tcBorders>
            <w:shd w:val="clear" w:color="auto" w:fill="auto"/>
            <w:noWrap/>
            <w:vAlign w:val="bottom"/>
            <w:hideMark/>
          </w:tcPr>
          <w:p w14:paraId="2FBC8CA7" w14:textId="77777777" w:rsidR="00C1691E" w:rsidRPr="00A00187" w:rsidRDefault="00C1691E" w:rsidP="003811B0">
            <w:pPr>
              <w:spacing w:line="240" w:lineRule="auto"/>
              <w:jc w:val="left"/>
              <w:rPr>
                <w:rFonts w:ascii="Times New Roman" w:eastAsia="Times New Roman" w:hAnsi="Times New Roman"/>
                <w:sz w:val="20"/>
                <w:szCs w:val="20"/>
                <w:lang w:eastAsia="cs-CZ"/>
              </w:rPr>
            </w:pPr>
          </w:p>
        </w:tc>
        <w:tc>
          <w:tcPr>
            <w:tcW w:w="1516" w:type="dxa"/>
            <w:tcBorders>
              <w:top w:val="nil"/>
              <w:left w:val="nil"/>
              <w:bottom w:val="nil"/>
              <w:right w:val="nil"/>
            </w:tcBorders>
            <w:shd w:val="clear" w:color="auto" w:fill="auto"/>
            <w:noWrap/>
            <w:vAlign w:val="bottom"/>
            <w:hideMark/>
          </w:tcPr>
          <w:p w14:paraId="6F6CA221" w14:textId="77777777" w:rsidR="00C1691E" w:rsidRPr="00A00187" w:rsidRDefault="00C1691E" w:rsidP="003811B0">
            <w:pPr>
              <w:spacing w:line="240" w:lineRule="auto"/>
              <w:jc w:val="left"/>
              <w:rPr>
                <w:rFonts w:ascii="Times New Roman" w:eastAsia="Times New Roman" w:hAnsi="Times New Roman"/>
                <w:sz w:val="20"/>
                <w:szCs w:val="20"/>
                <w:lang w:eastAsia="cs-CZ"/>
              </w:rPr>
            </w:pPr>
          </w:p>
        </w:tc>
      </w:tr>
    </w:tbl>
    <w:p w14:paraId="098547DA" w14:textId="77777777" w:rsidR="00857C01" w:rsidRPr="00A00187" w:rsidRDefault="00857C01" w:rsidP="00857C01">
      <w:pPr>
        <w:pStyle w:val="Nadpis3"/>
        <w:numPr>
          <w:ilvl w:val="2"/>
          <w:numId w:val="1"/>
        </w:numPr>
        <w:rPr>
          <w:color w:val="auto"/>
        </w:rPr>
      </w:pPr>
      <w:bookmarkStart w:id="254" w:name="_Toc75952065"/>
      <w:bookmarkStart w:id="255" w:name="_Toc106092726"/>
      <w:bookmarkStart w:id="256" w:name="_Toc75952321"/>
      <w:bookmarkStart w:id="257" w:name="_Toc109801342"/>
      <w:r w:rsidRPr="00A00187">
        <w:rPr>
          <w:color w:val="auto"/>
        </w:rPr>
        <w:t>Další statistiky</w:t>
      </w:r>
      <w:bookmarkEnd w:id="254"/>
      <w:bookmarkEnd w:id="255"/>
      <w:bookmarkEnd w:id="257"/>
    </w:p>
    <w:p w14:paraId="5922222D" w14:textId="46A7289C" w:rsidR="00857C01" w:rsidRPr="00A00187" w:rsidRDefault="00857C01" w:rsidP="00857C01">
      <w:pPr>
        <w:pStyle w:val="OdstavecASR"/>
      </w:pPr>
      <w:r w:rsidRPr="00A00187">
        <w:t>Velkou část civilních věcí tvoří spory o úhradu dlužné částky (</w:t>
      </w:r>
      <w:r w:rsidR="0020161B" w:rsidRPr="00A00187">
        <w:t xml:space="preserve">např. </w:t>
      </w:r>
      <w:r w:rsidR="005C364D" w:rsidRPr="00A00187">
        <w:t xml:space="preserve">neuhrazené </w:t>
      </w:r>
      <w:r w:rsidRPr="00A00187">
        <w:t xml:space="preserve">pojistné, </w:t>
      </w:r>
      <w:r w:rsidR="005C364D" w:rsidRPr="00A00187">
        <w:t>neuhrazené vyúčtování</w:t>
      </w:r>
      <w:r w:rsidRPr="00A00187">
        <w:t xml:space="preserve"> za </w:t>
      </w:r>
      <w:r w:rsidR="005C364D" w:rsidRPr="00A00187">
        <w:t xml:space="preserve">spotřebovanou </w:t>
      </w:r>
      <w:r w:rsidRPr="00A00187">
        <w:t>energi</w:t>
      </w:r>
      <w:r w:rsidR="005C364D" w:rsidRPr="00A00187">
        <w:t>i</w:t>
      </w:r>
      <w:r w:rsidRPr="00A00187">
        <w:t xml:space="preserve">, </w:t>
      </w:r>
      <w:r w:rsidR="005C364D" w:rsidRPr="00A00187">
        <w:t xml:space="preserve">neuhrazené jízdné včetně přirážky </w:t>
      </w:r>
      <w:r w:rsidR="0020161B" w:rsidRPr="00A00187">
        <w:t xml:space="preserve">k jízdnému </w:t>
      </w:r>
      <w:r w:rsidR="005C364D" w:rsidRPr="00A00187">
        <w:t>za přepravu bez platného jízdního dokladu</w:t>
      </w:r>
      <w:r w:rsidRPr="00A00187">
        <w:t>,</w:t>
      </w:r>
      <w:r w:rsidR="005C364D" w:rsidRPr="00A00187">
        <w:t xml:space="preserve"> neuhrazené splatné pohledávky ze smluv </w:t>
      </w:r>
      <w:r w:rsidR="00726EC3" w:rsidRPr="00A00187">
        <w:t>o</w:t>
      </w:r>
      <w:r w:rsidR="00726EC3">
        <w:t> </w:t>
      </w:r>
      <w:r w:rsidR="005C364D" w:rsidRPr="00A00187">
        <w:t>úvěru apod.</w:t>
      </w:r>
      <w:r w:rsidRPr="00A00187">
        <w:t>)</w:t>
      </w:r>
      <w:r w:rsidR="00B00894" w:rsidRPr="00A00187">
        <w:t>, přičemž</w:t>
      </w:r>
      <w:r w:rsidR="009874C2" w:rsidRPr="00A00187">
        <w:t xml:space="preserve"> </w:t>
      </w:r>
      <w:r w:rsidRPr="00A00187">
        <w:t xml:space="preserve">většina těchto sporů byla </w:t>
      </w:r>
      <w:r w:rsidR="005C364D" w:rsidRPr="00A00187">
        <w:t xml:space="preserve">právě </w:t>
      </w:r>
      <w:r w:rsidRPr="00A00187">
        <w:t xml:space="preserve">převedena z rejstříku EPR. V této kapitole </w:t>
      </w:r>
      <w:r w:rsidR="005C364D" w:rsidRPr="00A00187">
        <w:t>tedy</w:t>
      </w:r>
      <w:r w:rsidRPr="00A00187">
        <w:t xml:space="preserve"> zodpovíme otázku, kolik věcí je vlastně z rejstříku EPR převedeno do rejstříku C, t</w:t>
      </w:r>
      <w:r w:rsidR="005C364D" w:rsidRPr="00A00187">
        <w:t>zn.</w:t>
      </w:r>
      <w:r w:rsidRPr="00A00187">
        <w:t xml:space="preserve"> </w:t>
      </w:r>
      <w:r w:rsidR="005C364D" w:rsidRPr="00A00187">
        <w:t xml:space="preserve">v jaké míře nebylo možno </w:t>
      </w:r>
      <w:r w:rsidRPr="00A00187">
        <w:t>soud</w:t>
      </w:r>
      <w:r w:rsidR="005C364D" w:rsidRPr="00A00187">
        <w:t>em</w:t>
      </w:r>
      <w:r w:rsidRPr="00A00187">
        <w:t xml:space="preserve"> věc </w:t>
      </w:r>
      <w:r w:rsidR="005C364D" w:rsidRPr="00A00187">
        <w:t>vyřídit</w:t>
      </w:r>
      <w:r w:rsidRPr="00A00187">
        <w:t xml:space="preserve"> jednoduše elektronickým platebním rozkazem, </w:t>
      </w:r>
      <w:r w:rsidR="0020161B" w:rsidRPr="00A00187">
        <w:t>nýbrž bylo třeba věc vyřídit v rámci klasického civilního řízení</w:t>
      </w:r>
      <w:r w:rsidRPr="00A00187">
        <w:t>. Opět uvádíme časové řady za celou ČR a průřezová data po krajích za rok 2021.</w:t>
      </w:r>
    </w:p>
    <w:p w14:paraId="64CFF281" w14:textId="170E32B3" w:rsidR="00C1691E" w:rsidRPr="00A00187" w:rsidRDefault="00C1691E" w:rsidP="00C1691E">
      <w:pPr>
        <w:pStyle w:val="Podnadpis"/>
        <w:rPr>
          <w:color w:val="auto"/>
        </w:rPr>
      </w:pPr>
      <w:bookmarkStart w:id="258" w:name="_Toc515871348"/>
      <w:bookmarkStart w:id="259" w:name="_Toc11135083"/>
      <w:bookmarkStart w:id="260" w:name="_Toc43841399"/>
      <w:bookmarkStart w:id="261" w:name="_Toc75952201"/>
      <w:bookmarkStart w:id="262" w:name="_Toc106106654"/>
      <w:bookmarkStart w:id="263" w:name="_Toc10980197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20</w:t>
      </w:r>
      <w:r w:rsidRPr="00A00187">
        <w:rPr>
          <w:color w:val="auto"/>
        </w:rPr>
        <w:fldChar w:fldCharType="end"/>
      </w:r>
      <w:r w:rsidRPr="00A00187">
        <w:rPr>
          <w:color w:val="auto"/>
        </w:rPr>
        <w:t>: OS – převedeno z rejstříku EPR v letech 2013–20</w:t>
      </w:r>
      <w:bookmarkEnd w:id="258"/>
      <w:bookmarkEnd w:id="259"/>
      <w:bookmarkEnd w:id="260"/>
      <w:r w:rsidRPr="00A00187">
        <w:rPr>
          <w:color w:val="auto"/>
        </w:rPr>
        <w:t>2</w:t>
      </w:r>
      <w:bookmarkEnd w:id="261"/>
      <w:r w:rsidRPr="00A00187">
        <w:rPr>
          <w:color w:val="auto"/>
        </w:rPr>
        <w:t>1</w:t>
      </w:r>
      <w:bookmarkEnd w:id="262"/>
      <w:bookmarkEnd w:id="263"/>
    </w:p>
    <w:p w14:paraId="49662CB2" w14:textId="5B9985EC" w:rsidR="00C1691E" w:rsidRPr="00A00187" w:rsidRDefault="0079693A" w:rsidP="00C1691E">
      <w:r w:rsidRPr="00A00187">
        <w:rPr>
          <w:noProof/>
        </w:rPr>
        <w:drawing>
          <wp:inline distT="0" distB="0" distL="0" distR="0" wp14:anchorId="3622054A" wp14:editId="3517580C">
            <wp:extent cx="5029200" cy="36576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C1CA186" w14:textId="77777777" w:rsidR="00724777" w:rsidRPr="00A00187" w:rsidRDefault="00724777">
      <w:pPr>
        <w:spacing w:after="160" w:line="259" w:lineRule="auto"/>
        <w:jc w:val="left"/>
        <w:rPr>
          <w:rFonts w:eastAsia="Times New Roman"/>
          <w:b/>
          <w:iCs/>
          <w:spacing w:val="15"/>
          <w:szCs w:val="24"/>
        </w:rPr>
      </w:pPr>
      <w:r w:rsidRPr="00A00187">
        <w:br w:type="page"/>
      </w:r>
    </w:p>
    <w:p w14:paraId="3F38A8E6" w14:textId="73FBFE3A" w:rsidR="0079693A" w:rsidRPr="00A00187" w:rsidRDefault="0079693A" w:rsidP="0079693A">
      <w:pPr>
        <w:pStyle w:val="Podnadpis"/>
        <w:rPr>
          <w:color w:val="auto"/>
        </w:rPr>
      </w:pPr>
      <w:bookmarkStart w:id="264" w:name="_Toc515871450"/>
      <w:bookmarkStart w:id="265" w:name="_Toc11133218"/>
      <w:bookmarkStart w:id="266" w:name="_Toc43931192"/>
      <w:bookmarkStart w:id="267" w:name="_Toc75952322"/>
      <w:bookmarkStart w:id="268" w:name="_Toc106106781"/>
      <w:bookmarkStart w:id="269" w:name="_Toc109802104"/>
      <w:bookmarkEnd w:id="256"/>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19</w:t>
      </w:r>
      <w:r w:rsidRPr="00A00187">
        <w:rPr>
          <w:color w:val="auto"/>
        </w:rPr>
        <w:fldChar w:fldCharType="end"/>
      </w:r>
      <w:r w:rsidRPr="00A00187">
        <w:rPr>
          <w:color w:val="auto"/>
        </w:rPr>
        <w:t>: OS – převedeno z rejstříku EPR dle krajů</w:t>
      </w:r>
      <w:bookmarkEnd w:id="264"/>
      <w:bookmarkEnd w:id="265"/>
      <w:bookmarkEnd w:id="266"/>
      <w:bookmarkEnd w:id="267"/>
      <w:bookmarkEnd w:id="268"/>
      <w:bookmarkEnd w:id="269"/>
    </w:p>
    <w:tbl>
      <w:tblPr>
        <w:tblW w:w="8892" w:type="dxa"/>
        <w:tblCellMar>
          <w:left w:w="70" w:type="dxa"/>
          <w:right w:w="70" w:type="dxa"/>
        </w:tblCellMar>
        <w:tblLook w:val="04A0" w:firstRow="1" w:lastRow="0" w:firstColumn="1" w:lastColumn="0" w:noHBand="0" w:noVBand="1"/>
      </w:tblPr>
      <w:tblGrid>
        <w:gridCol w:w="2036"/>
        <w:gridCol w:w="1429"/>
        <w:gridCol w:w="1076"/>
        <w:gridCol w:w="1180"/>
        <w:gridCol w:w="889"/>
        <w:gridCol w:w="1216"/>
        <w:gridCol w:w="1066"/>
      </w:tblGrid>
      <w:tr w:rsidR="00AC1E67" w:rsidRPr="00A00187" w14:paraId="2056EA33" w14:textId="77777777" w:rsidTr="0079693A">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45789B2F"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6856" w:type="dxa"/>
            <w:gridSpan w:val="6"/>
            <w:tcBorders>
              <w:top w:val="double" w:sz="6" w:space="0" w:color="auto"/>
              <w:left w:val="nil"/>
              <w:bottom w:val="nil"/>
              <w:right w:val="nil"/>
            </w:tcBorders>
            <w:shd w:val="clear" w:color="auto" w:fill="auto"/>
            <w:noWrap/>
            <w:vAlign w:val="center"/>
            <w:hideMark/>
          </w:tcPr>
          <w:p w14:paraId="3EE6339D"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Počet věcí</w:t>
            </w:r>
          </w:p>
        </w:tc>
      </w:tr>
      <w:tr w:rsidR="00AC1E67" w:rsidRPr="00A00187" w14:paraId="5EBB397A" w14:textId="77777777" w:rsidTr="0079693A">
        <w:trPr>
          <w:trHeight w:val="645"/>
        </w:trPr>
        <w:tc>
          <w:tcPr>
            <w:tcW w:w="2036" w:type="dxa"/>
            <w:vMerge/>
            <w:tcBorders>
              <w:top w:val="double" w:sz="6" w:space="0" w:color="auto"/>
              <w:left w:val="nil"/>
              <w:bottom w:val="double" w:sz="6" w:space="0" w:color="000000"/>
              <w:right w:val="nil"/>
            </w:tcBorders>
            <w:vAlign w:val="center"/>
            <w:hideMark/>
          </w:tcPr>
          <w:p w14:paraId="41636A0A" w14:textId="77777777" w:rsidR="0079693A" w:rsidRPr="00A00187" w:rsidRDefault="0079693A" w:rsidP="0079693A">
            <w:pPr>
              <w:spacing w:line="240" w:lineRule="auto"/>
              <w:jc w:val="left"/>
              <w:rPr>
                <w:rFonts w:eastAsia="Times New Roman"/>
                <w:b/>
                <w:bCs/>
                <w:szCs w:val="24"/>
                <w:lang w:eastAsia="cs-CZ"/>
              </w:rPr>
            </w:pPr>
          </w:p>
        </w:tc>
        <w:tc>
          <w:tcPr>
            <w:tcW w:w="2505" w:type="dxa"/>
            <w:gridSpan w:val="2"/>
            <w:tcBorders>
              <w:top w:val="nil"/>
              <w:left w:val="nil"/>
              <w:bottom w:val="double" w:sz="6" w:space="0" w:color="auto"/>
              <w:right w:val="single" w:sz="4" w:space="0" w:color="000000"/>
            </w:tcBorders>
            <w:shd w:val="clear" w:color="auto" w:fill="auto"/>
            <w:noWrap/>
            <w:vAlign w:val="center"/>
            <w:hideMark/>
          </w:tcPr>
          <w:p w14:paraId="1DE7CE5D"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EPR zrušen soudem</w:t>
            </w:r>
          </w:p>
        </w:tc>
        <w:tc>
          <w:tcPr>
            <w:tcW w:w="2069" w:type="dxa"/>
            <w:gridSpan w:val="2"/>
            <w:tcBorders>
              <w:top w:val="nil"/>
              <w:left w:val="nil"/>
              <w:bottom w:val="double" w:sz="6" w:space="0" w:color="auto"/>
              <w:right w:val="single" w:sz="4" w:space="0" w:color="000000"/>
            </w:tcBorders>
            <w:shd w:val="clear" w:color="auto" w:fill="auto"/>
            <w:vAlign w:val="center"/>
            <w:hideMark/>
          </w:tcPr>
          <w:p w14:paraId="60E47942"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podán odpor, který nebyl odmítnut</w:t>
            </w:r>
          </w:p>
        </w:tc>
        <w:tc>
          <w:tcPr>
            <w:tcW w:w="2282" w:type="dxa"/>
            <w:gridSpan w:val="2"/>
            <w:tcBorders>
              <w:top w:val="nil"/>
              <w:left w:val="nil"/>
              <w:bottom w:val="double" w:sz="6" w:space="0" w:color="auto"/>
              <w:right w:val="nil"/>
            </w:tcBorders>
            <w:shd w:val="clear" w:color="auto" w:fill="auto"/>
            <w:noWrap/>
            <w:vAlign w:val="center"/>
            <w:hideMark/>
          </w:tcPr>
          <w:p w14:paraId="380CD103"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jiný důvod</w:t>
            </w:r>
          </w:p>
        </w:tc>
      </w:tr>
      <w:tr w:rsidR="00AC1E67" w:rsidRPr="00A00187" w14:paraId="5E3BA051" w14:textId="77777777" w:rsidTr="0079693A">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4F98F1E8"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MS Praha</w:t>
            </w:r>
          </w:p>
        </w:tc>
        <w:tc>
          <w:tcPr>
            <w:tcW w:w="1429" w:type="dxa"/>
            <w:tcBorders>
              <w:top w:val="single" w:sz="4" w:space="0" w:color="auto"/>
              <w:left w:val="nil"/>
              <w:bottom w:val="single" w:sz="4" w:space="0" w:color="auto"/>
              <w:right w:val="nil"/>
            </w:tcBorders>
            <w:shd w:val="clear" w:color="auto" w:fill="auto"/>
            <w:noWrap/>
            <w:vAlign w:val="bottom"/>
            <w:hideMark/>
          </w:tcPr>
          <w:p w14:paraId="39854366"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34 122</w:t>
            </w:r>
          </w:p>
        </w:tc>
        <w:tc>
          <w:tcPr>
            <w:tcW w:w="1076" w:type="dxa"/>
            <w:tcBorders>
              <w:top w:val="single" w:sz="4" w:space="0" w:color="auto"/>
              <w:left w:val="nil"/>
              <w:bottom w:val="single" w:sz="4" w:space="0" w:color="auto"/>
              <w:right w:val="single" w:sz="4" w:space="0" w:color="auto"/>
            </w:tcBorders>
            <w:shd w:val="clear" w:color="auto" w:fill="auto"/>
            <w:noWrap/>
            <w:vAlign w:val="center"/>
            <w:hideMark/>
          </w:tcPr>
          <w:p w14:paraId="48776C08" w14:textId="4049A7D2"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180" w:type="dxa"/>
            <w:tcBorders>
              <w:top w:val="single" w:sz="4" w:space="0" w:color="auto"/>
              <w:left w:val="nil"/>
              <w:bottom w:val="single" w:sz="4" w:space="0" w:color="auto"/>
              <w:right w:val="nil"/>
            </w:tcBorders>
            <w:shd w:val="clear" w:color="auto" w:fill="auto"/>
            <w:noWrap/>
            <w:vAlign w:val="bottom"/>
            <w:hideMark/>
          </w:tcPr>
          <w:p w14:paraId="28784FCA"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3 361</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2A99CCE7" w14:textId="023A23DF"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216" w:type="dxa"/>
            <w:tcBorders>
              <w:top w:val="single" w:sz="4" w:space="0" w:color="auto"/>
              <w:left w:val="nil"/>
              <w:bottom w:val="single" w:sz="4" w:space="0" w:color="auto"/>
              <w:right w:val="nil"/>
            </w:tcBorders>
            <w:shd w:val="clear" w:color="auto" w:fill="auto"/>
            <w:noWrap/>
            <w:vAlign w:val="bottom"/>
            <w:hideMark/>
          </w:tcPr>
          <w:p w14:paraId="69568F8F"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3 734</w:t>
            </w:r>
          </w:p>
        </w:tc>
        <w:tc>
          <w:tcPr>
            <w:tcW w:w="1066" w:type="dxa"/>
            <w:tcBorders>
              <w:top w:val="single" w:sz="4" w:space="0" w:color="auto"/>
              <w:left w:val="nil"/>
              <w:bottom w:val="single" w:sz="4" w:space="0" w:color="auto"/>
              <w:right w:val="nil"/>
            </w:tcBorders>
            <w:shd w:val="clear" w:color="auto" w:fill="auto"/>
            <w:noWrap/>
            <w:vAlign w:val="center"/>
            <w:hideMark/>
          </w:tcPr>
          <w:p w14:paraId="38CE5264" w14:textId="19FF430A"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-28</w:t>
            </w:r>
            <w:r w:rsidR="00CB570A">
              <w:rPr>
                <w:rFonts w:eastAsia="Times New Roman"/>
                <w:sz w:val="20"/>
                <w:szCs w:val="20"/>
                <w:lang w:eastAsia="cs-CZ"/>
              </w:rPr>
              <w:t> %</w:t>
            </w:r>
          </w:p>
        </w:tc>
      </w:tr>
      <w:tr w:rsidR="00AC1E67" w:rsidRPr="00A00187" w14:paraId="155B9311" w14:textId="77777777" w:rsidTr="0079693A">
        <w:trPr>
          <w:trHeight w:val="315"/>
        </w:trPr>
        <w:tc>
          <w:tcPr>
            <w:tcW w:w="2036" w:type="dxa"/>
            <w:tcBorders>
              <w:top w:val="nil"/>
              <w:left w:val="nil"/>
              <w:bottom w:val="single" w:sz="4" w:space="0" w:color="auto"/>
              <w:right w:val="nil"/>
            </w:tcBorders>
            <w:shd w:val="clear" w:color="auto" w:fill="auto"/>
            <w:noWrap/>
            <w:vAlign w:val="bottom"/>
            <w:hideMark/>
          </w:tcPr>
          <w:p w14:paraId="30822309"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KS Praha</w:t>
            </w:r>
          </w:p>
        </w:tc>
        <w:tc>
          <w:tcPr>
            <w:tcW w:w="1429" w:type="dxa"/>
            <w:tcBorders>
              <w:top w:val="nil"/>
              <w:left w:val="nil"/>
              <w:bottom w:val="single" w:sz="4" w:space="0" w:color="auto"/>
              <w:right w:val="nil"/>
            </w:tcBorders>
            <w:shd w:val="clear" w:color="auto" w:fill="auto"/>
            <w:noWrap/>
            <w:vAlign w:val="bottom"/>
            <w:hideMark/>
          </w:tcPr>
          <w:p w14:paraId="0B86E16C"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20 402</w:t>
            </w:r>
          </w:p>
        </w:tc>
        <w:tc>
          <w:tcPr>
            <w:tcW w:w="1076" w:type="dxa"/>
            <w:tcBorders>
              <w:top w:val="nil"/>
              <w:left w:val="nil"/>
              <w:bottom w:val="single" w:sz="4" w:space="0" w:color="auto"/>
              <w:right w:val="single" w:sz="4" w:space="0" w:color="auto"/>
            </w:tcBorders>
            <w:shd w:val="clear" w:color="auto" w:fill="auto"/>
            <w:noWrap/>
            <w:vAlign w:val="center"/>
            <w:hideMark/>
          </w:tcPr>
          <w:p w14:paraId="508294D8" w14:textId="659F6A84"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3C950D8B"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1 102</w:t>
            </w:r>
          </w:p>
        </w:tc>
        <w:tc>
          <w:tcPr>
            <w:tcW w:w="889" w:type="dxa"/>
            <w:tcBorders>
              <w:top w:val="nil"/>
              <w:left w:val="nil"/>
              <w:bottom w:val="single" w:sz="4" w:space="0" w:color="auto"/>
              <w:right w:val="single" w:sz="4" w:space="0" w:color="auto"/>
            </w:tcBorders>
            <w:shd w:val="clear" w:color="auto" w:fill="auto"/>
            <w:noWrap/>
            <w:vAlign w:val="center"/>
            <w:hideMark/>
          </w:tcPr>
          <w:p w14:paraId="3D3556A0" w14:textId="5FB3F047"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216" w:type="dxa"/>
            <w:tcBorders>
              <w:top w:val="nil"/>
              <w:left w:val="nil"/>
              <w:bottom w:val="single" w:sz="4" w:space="0" w:color="auto"/>
              <w:right w:val="nil"/>
            </w:tcBorders>
            <w:shd w:val="clear" w:color="auto" w:fill="auto"/>
            <w:noWrap/>
            <w:vAlign w:val="bottom"/>
            <w:hideMark/>
          </w:tcPr>
          <w:p w14:paraId="42491CC1"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2 364</w:t>
            </w:r>
          </w:p>
        </w:tc>
        <w:tc>
          <w:tcPr>
            <w:tcW w:w="1066" w:type="dxa"/>
            <w:tcBorders>
              <w:top w:val="nil"/>
              <w:left w:val="nil"/>
              <w:bottom w:val="single" w:sz="4" w:space="0" w:color="auto"/>
              <w:right w:val="nil"/>
            </w:tcBorders>
            <w:shd w:val="clear" w:color="auto" w:fill="auto"/>
            <w:noWrap/>
            <w:vAlign w:val="center"/>
            <w:hideMark/>
          </w:tcPr>
          <w:p w14:paraId="09E0EFC8" w14:textId="7EDD8D0D"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r>
      <w:tr w:rsidR="00AC1E67" w:rsidRPr="00A00187" w14:paraId="799971EF" w14:textId="77777777" w:rsidTr="0079693A">
        <w:trPr>
          <w:trHeight w:val="315"/>
        </w:trPr>
        <w:tc>
          <w:tcPr>
            <w:tcW w:w="2036" w:type="dxa"/>
            <w:tcBorders>
              <w:top w:val="nil"/>
              <w:left w:val="nil"/>
              <w:bottom w:val="single" w:sz="4" w:space="0" w:color="auto"/>
              <w:right w:val="nil"/>
            </w:tcBorders>
            <w:shd w:val="clear" w:color="auto" w:fill="auto"/>
            <w:noWrap/>
            <w:vAlign w:val="bottom"/>
            <w:hideMark/>
          </w:tcPr>
          <w:p w14:paraId="7525AA9F"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KS Č. Budějovice</w:t>
            </w:r>
          </w:p>
        </w:tc>
        <w:tc>
          <w:tcPr>
            <w:tcW w:w="1429" w:type="dxa"/>
            <w:tcBorders>
              <w:top w:val="nil"/>
              <w:left w:val="nil"/>
              <w:bottom w:val="single" w:sz="4" w:space="0" w:color="auto"/>
              <w:right w:val="nil"/>
            </w:tcBorders>
            <w:shd w:val="clear" w:color="auto" w:fill="auto"/>
            <w:noWrap/>
            <w:vAlign w:val="bottom"/>
            <w:hideMark/>
          </w:tcPr>
          <w:p w14:paraId="410F7F7C"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8 523</w:t>
            </w:r>
          </w:p>
        </w:tc>
        <w:tc>
          <w:tcPr>
            <w:tcW w:w="1076" w:type="dxa"/>
            <w:tcBorders>
              <w:top w:val="nil"/>
              <w:left w:val="nil"/>
              <w:bottom w:val="single" w:sz="4" w:space="0" w:color="auto"/>
              <w:right w:val="single" w:sz="4" w:space="0" w:color="auto"/>
            </w:tcBorders>
            <w:shd w:val="clear" w:color="auto" w:fill="auto"/>
            <w:noWrap/>
            <w:vAlign w:val="center"/>
            <w:hideMark/>
          </w:tcPr>
          <w:p w14:paraId="0A9A9D47" w14:textId="05D68906"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68906F7A"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597</w:t>
            </w:r>
          </w:p>
        </w:tc>
        <w:tc>
          <w:tcPr>
            <w:tcW w:w="889" w:type="dxa"/>
            <w:tcBorders>
              <w:top w:val="nil"/>
              <w:left w:val="nil"/>
              <w:bottom w:val="single" w:sz="4" w:space="0" w:color="auto"/>
              <w:right w:val="single" w:sz="4" w:space="0" w:color="auto"/>
            </w:tcBorders>
            <w:shd w:val="clear" w:color="auto" w:fill="auto"/>
            <w:noWrap/>
            <w:vAlign w:val="center"/>
            <w:hideMark/>
          </w:tcPr>
          <w:p w14:paraId="08118E7D" w14:textId="22F8C97E"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216" w:type="dxa"/>
            <w:tcBorders>
              <w:top w:val="nil"/>
              <w:left w:val="nil"/>
              <w:bottom w:val="single" w:sz="4" w:space="0" w:color="auto"/>
              <w:right w:val="nil"/>
            </w:tcBorders>
            <w:shd w:val="clear" w:color="auto" w:fill="auto"/>
            <w:noWrap/>
            <w:vAlign w:val="bottom"/>
            <w:hideMark/>
          </w:tcPr>
          <w:p w14:paraId="24940BDB"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424</w:t>
            </w:r>
          </w:p>
        </w:tc>
        <w:tc>
          <w:tcPr>
            <w:tcW w:w="1066" w:type="dxa"/>
            <w:tcBorders>
              <w:top w:val="nil"/>
              <w:left w:val="nil"/>
              <w:bottom w:val="single" w:sz="4" w:space="0" w:color="auto"/>
              <w:right w:val="nil"/>
            </w:tcBorders>
            <w:shd w:val="clear" w:color="auto" w:fill="auto"/>
            <w:noWrap/>
            <w:vAlign w:val="center"/>
            <w:hideMark/>
          </w:tcPr>
          <w:p w14:paraId="5E979E1C" w14:textId="3E31BD61"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4280DAAB" w14:textId="77777777" w:rsidTr="0079693A">
        <w:trPr>
          <w:trHeight w:val="315"/>
        </w:trPr>
        <w:tc>
          <w:tcPr>
            <w:tcW w:w="2036" w:type="dxa"/>
            <w:tcBorders>
              <w:top w:val="nil"/>
              <w:left w:val="nil"/>
              <w:bottom w:val="single" w:sz="4" w:space="0" w:color="auto"/>
              <w:right w:val="nil"/>
            </w:tcBorders>
            <w:shd w:val="clear" w:color="auto" w:fill="auto"/>
            <w:noWrap/>
            <w:vAlign w:val="bottom"/>
            <w:hideMark/>
          </w:tcPr>
          <w:p w14:paraId="0EB4CEE5"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KS Plzeň</w:t>
            </w:r>
          </w:p>
        </w:tc>
        <w:tc>
          <w:tcPr>
            <w:tcW w:w="1429" w:type="dxa"/>
            <w:tcBorders>
              <w:top w:val="nil"/>
              <w:left w:val="nil"/>
              <w:bottom w:val="single" w:sz="4" w:space="0" w:color="auto"/>
              <w:right w:val="nil"/>
            </w:tcBorders>
            <w:shd w:val="clear" w:color="auto" w:fill="auto"/>
            <w:noWrap/>
            <w:vAlign w:val="bottom"/>
            <w:hideMark/>
          </w:tcPr>
          <w:p w14:paraId="4971DE6A"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15 668</w:t>
            </w:r>
          </w:p>
        </w:tc>
        <w:tc>
          <w:tcPr>
            <w:tcW w:w="1076" w:type="dxa"/>
            <w:tcBorders>
              <w:top w:val="nil"/>
              <w:left w:val="nil"/>
              <w:bottom w:val="single" w:sz="4" w:space="0" w:color="auto"/>
              <w:right w:val="single" w:sz="4" w:space="0" w:color="auto"/>
            </w:tcBorders>
            <w:shd w:val="clear" w:color="auto" w:fill="auto"/>
            <w:noWrap/>
            <w:vAlign w:val="center"/>
            <w:hideMark/>
          </w:tcPr>
          <w:p w14:paraId="306E5D54" w14:textId="15764B00"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14FF2AAC"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708</w:t>
            </w:r>
          </w:p>
        </w:tc>
        <w:tc>
          <w:tcPr>
            <w:tcW w:w="889" w:type="dxa"/>
            <w:tcBorders>
              <w:top w:val="nil"/>
              <w:left w:val="nil"/>
              <w:bottom w:val="single" w:sz="4" w:space="0" w:color="auto"/>
              <w:right w:val="single" w:sz="4" w:space="0" w:color="auto"/>
            </w:tcBorders>
            <w:shd w:val="clear" w:color="auto" w:fill="auto"/>
            <w:noWrap/>
            <w:vAlign w:val="center"/>
            <w:hideMark/>
          </w:tcPr>
          <w:p w14:paraId="1C14C315" w14:textId="77B8CB07"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216" w:type="dxa"/>
            <w:tcBorders>
              <w:top w:val="nil"/>
              <w:left w:val="nil"/>
              <w:bottom w:val="single" w:sz="4" w:space="0" w:color="auto"/>
              <w:right w:val="nil"/>
            </w:tcBorders>
            <w:shd w:val="clear" w:color="auto" w:fill="auto"/>
            <w:noWrap/>
            <w:vAlign w:val="bottom"/>
            <w:hideMark/>
          </w:tcPr>
          <w:p w14:paraId="638CB1C0"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2 934</w:t>
            </w:r>
          </w:p>
        </w:tc>
        <w:tc>
          <w:tcPr>
            <w:tcW w:w="1066" w:type="dxa"/>
            <w:tcBorders>
              <w:top w:val="nil"/>
              <w:left w:val="nil"/>
              <w:bottom w:val="single" w:sz="4" w:space="0" w:color="auto"/>
              <w:right w:val="nil"/>
            </w:tcBorders>
            <w:shd w:val="clear" w:color="auto" w:fill="auto"/>
            <w:noWrap/>
            <w:vAlign w:val="center"/>
            <w:hideMark/>
          </w:tcPr>
          <w:p w14:paraId="278C0AA3" w14:textId="697D9F0F"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AC1E67" w:rsidRPr="00A00187" w14:paraId="77F2CD0B" w14:textId="77777777" w:rsidTr="0079693A">
        <w:trPr>
          <w:trHeight w:val="315"/>
        </w:trPr>
        <w:tc>
          <w:tcPr>
            <w:tcW w:w="2036" w:type="dxa"/>
            <w:tcBorders>
              <w:top w:val="nil"/>
              <w:left w:val="nil"/>
              <w:bottom w:val="single" w:sz="4" w:space="0" w:color="auto"/>
              <w:right w:val="nil"/>
            </w:tcBorders>
            <w:shd w:val="clear" w:color="auto" w:fill="auto"/>
            <w:noWrap/>
            <w:vAlign w:val="bottom"/>
            <w:hideMark/>
          </w:tcPr>
          <w:p w14:paraId="6451A896"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KS Ústí n. Labem</w:t>
            </w:r>
          </w:p>
        </w:tc>
        <w:tc>
          <w:tcPr>
            <w:tcW w:w="1429" w:type="dxa"/>
            <w:tcBorders>
              <w:top w:val="nil"/>
              <w:left w:val="nil"/>
              <w:bottom w:val="single" w:sz="4" w:space="0" w:color="auto"/>
              <w:right w:val="nil"/>
            </w:tcBorders>
            <w:shd w:val="clear" w:color="auto" w:fill="auto"/>
            <w:noWrap/>
            <w:vAlign w:val="bottom"/>
            <w:hideMark/>
          </w:tcPr>
          <w:p w14:paraId="2BBD73DC"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32 282</w:t>
            </w:r>
          </w:p>
        </w:tc>
        <w:tc>
          <w:tcPr>
            <w:tcW w:w="1076" w:type="dxa"/>
            <w:tcBorders>
              <w:top w:val="nil"/>
              <w:left w:val="nil"/>
              <w:bottom w:val="single" w:sz="4" w:space="0" w:color="auto"/>
              <w:right w:val="single" w:sz="4" w:space="0" w:color="auto"/>
            </w:tcBorders>
            <w:shd w:val="clear" w:color="auto" w:fill="auto"/>
            <w:noWrap/>
            <w:vAlign w:val="center"/>
            <w:hideMark/>
          </w:tcPr>
          <w:p w14:paraId="1E1291F2" w14:textId="660032FC"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4975AE48"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1 139</w:t>
            </w:r>
          </w:p>
        </w:tc>
        <w:tc>
          <w:tcPr>
            <w:tcW w:w="889" w:type="dxa"/>
            <w:tcBorders>
              <w:top w:val="nil"/>
              <w:left w:val="nil"/>
              <w:bottom w:val="single" w:sz="4" w:space="0" w:color="auto"/>
              <w:right w:val="single" w:sz="4" w:space="0" w:color="auto"/>
            </w:tcBorders>
            <w:shd w:val="clear" w:color="auto" w:fill="auto"/>
            <w:noWrap/>
            <w:vAlign w:val="center"/>
            <w:hideMark/>
          </w:tcPr>
          <w:p w14:paraId="42ABD0EE" w14:textId="0BE32FDA"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216" w:type="dxa"/>
            <w:tcBorders>
              <w:top w:val="nil"/>
              <w:left w:val="nil"/>
              <w:bottom w:val="single" w:sz="4" w:space="0" w:color="auto"/>
              <w:right w:val="nil"/>
            </w:tcBorders>
            <w:shd w:val="clear" w:color="auto" w:fill="auto"/>
            <w:noWrap/>
            <w:vAlign w:val="bottom"/>
            <w:hideMark/>
          </w:tcPr>
          <w:p w14:paraId="547B0CF5"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1 528</w:t>
            </w:r>
          </w:p>
        </w:tc>
        <w:tc>
          <w:tcPr>
            <w:tcW w:w="1066" w:type="dxa"/>
            <w:tcBorders>
              <w:top w:val="nil"/>
              <w:left w:val="nil"/>
              <w:bottom w:val="single" w:sz="4" w:space="0" w:color="auto"/>
              <w:right w:val="nil"/>
            </w:tcBorders>
            <w:shd w:val="clear" w:color="auto" w:fill="auto"/>
            <w:noWrap/>
            <w:vAlign w:val="center"/>
            <w:hideMark/>
          </w:tcPr>
          <w:p w14:paraId="0FACEC52" w14:textId="572FBF14"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r>
      <w:tr w:rsidR="00AC1E67" w:rsidRPr="00A00187" w14:paraId="71DED1DC" w14:textId="77777777" w:rsidTr="0079693A">
        <w:trPr>
          <w:trHeight w:val="315"/>
        </w:trPr>
        <w:tc>
          <w:tcPr>
            <w:tcW w:w="2036" w:type="dxa"/>
            <w:tcBorders>
              <w:top w:val="nil"/>
              <w:left w:val="nil"/>
              <w:bottom w:val="single" w:sz="4" w:space="0" w:color="auto"/>
              <w:right w:val="nil"/>
            </w:tcBorders>
            <w:shd w:val="clear" w:color="auto" w:fill="auto"/>
            <w:noWrap/>
            <w:vAlign w:val="bottom"/>
            <w:hideMark/>
          </w:tcPr>
          <w:p w14:paraId="38B1153C"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KS Hr. Králové</w:t>
            </w:r>
          </w:p>
        </w:tc>
        <w:tc>
          <w:tcPr>
            <w:tcW w:w="1429" w:type="dxa"/>
            <w:tcBorders>
              <w:top w:val="nil"/>
              <w:left w:val="nil"/>
              <w:bottom w:val="single" w:sz="4" w:space="0" w:color="auto"/>
              <w:right w:val="nil"/>
            </w:tcBorders>
            <w:shd w:val="clear" w:color="auto" w:fill="auto"/>
            <w:noWrap/>
            <w:vAlign w:val="bottom"/>
            <w:hideMark/>
          </w:tcPr>
          <w:p w14:paraId="7C886A8C"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13 539</w:t>
            </w:r>
          </w:p>
        </w:tc>
        <w:tc>
          <w:tcPr>
            <w:tcW w:w="1076" w:type="dxa"/>
            <w:tcBorders>
              <w:top w:val="nil"/>
              <w:left w:val="nil"/>
              <w:bottom w:val="single" w:sz="4" w:space="0" w:color="auto"/>
              <w:right w:val="single" w:sz="4" w:space="0" w:color="auto"/>
            </w:tcBorders>
            <w:shd w:val="clear" w:color="auto" w:fill="auto"/>
            <w:noWrap/>
            <w:vAlign w:val="center"/>
            <w:hideMark/>
          </w:tcPr>
          <w:p w14:paraId="186C6F34" w14:textId="7F2F8D7C"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12F2D890"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959</w:t>
            </w:r>
          </w:p>
        </w:tc>
        <w:tc>
          <w:tcPr>
            <w:tcW w:w="889" w:type="dxa"/>
            <w:tcBorders>
              <w:top w:val="nil"/>
              <w:left w:val="nil"/>
              <w:bottom w:val="single" w:sz="4" w:space="0" w:color="auto"/>
              <w:right w:val="single" w:sz="4" w:space="0" w:color="auto"/>
            </w:tcBorders>
            <w:shd w:val="clear" w:color="auto" w:fill="auto"/>
            <w:noWrap/>
            <w:vAlign w:val="center"/>
            <w:hideMark/>
          </w:tcPr>
          <w:p w14:paraId="096AC869" w14:textId="51F0C9FE"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216" w:type="dxa"/>
            <w:tcBorders>
              <w:top w:val="nil"/>
              <w:left w:val="nil"/>
              <w:bottom w:val="single" w:sz="4" w:space="0" w:color="auto"/>
              <w:right w:val="nil"/>
            </w:tcBorders>
            <w:shd w:val="clear" w:color="auto" w:fill="auto"/>
            <w:noWrap/>
            <w:vAlign w:val="bottom"/>
            <w:hideMark/>
          </w:tcPr>
          <w:p w14:paraId="60970B2E"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1 538</w:t>
            </w:r>
          </w:p>
        </w:tc>
        <w:tc>
          <w:tcPr>
            <w:tcW w:w="1066" w:type="dxa"/>
            <w:tcBorders>
              <w:top w:val="nil"/>
              <w:left w:val="nil"/>
              <w:bottom w:val="single" w:sz="4" w:space="0" w:color="auto"/>
              <w:right w:val="nil"/>
            </w:tcBorders>
            <w:shd w:val="clear" w:color="auto" w:fill="auto"/>
            <w:noWrap/>
            <w:vAlign w:val="center"/>
            <w:hideMark/>
          </w:tcPr>
          <w:p w14:paraId="1D94D5E7" w14:textId="1BD627AF"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204DB158" w14:textId="77777777" w:rsidTr="0079693A">
        <w:trPr>
          <w:trHeight w:val="315"/>
        </w:trPr>
        <w:tc>
          <w:tcPr>
            <w:tcW w:w="2036" w:type="dxa"/>
            <w:tcBorders>
              <w:top w:val="nil"/>
              <w:left w:val="nil"/>
              <w:bottom w:val="single" w:sz="4" w:space="0" w:color="auto"/>
              <w:right w:val="nil"/>
            </w:tcBorders>
            <w:shd w:val="clear" w:color="auto" w:fill="auto"/>
            <w:noWrap/>
            <w:vAlign w:val="bottom"/>
            <w:hideMark/>
          </w:tcPr>
          <w:p w14:paraId="0C25E80D"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KS Brno</w:t>
            </w:r>
          </w:p>
        </w:tc>
        <w:tc>
          <w:tcPr>
            <w:tcW w:w="1429" w:type="dxa"/>
            <w:tcBorders>
              <w:top w:val="nil"/>
              <w:left w:val="nil"/>
              <w:bottom w:val="single" w:sz="4" w:space="0" w:color="auto"/>
              <w:right w:val="nil"/>
            </w:tcBorders>
            <w:shd w:val="clear" w:color="auto" w:fill="auto"/>
            <w:noWrap/>
            <w:vAlign w:val="bottom"/>
            <w:hideMark/>
          </w:tcPr>
          <w:p w14:paraId="2543E968"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23 237</w:t>
            </w:r>
          </w:p>
        </w:tc>
        <w:tc>
          <w:tcPr>
            <w:tcW w:w="1076" w:type="dxa"/>
            <w:tcBorders>
              <w:top w:val="nil"/>
              <w:left w:val="nil"/>
              <w:bottom w:val="single" w:sz="4" w:space="0" w:color="auto"/>
              <w:right w:val="single" w:sz="4" w:space="0" w:color="auto"/>
            </w:tcBorders>
            <w:shd w:val="clear" w:color="auto" w:fill="auto"/>
            <w:noWrap/>
            <w:vAlign w:val="center"/>
            <w:hideMark/>
          </w:tcPr>
          <w:p w14:paraId="395DF47A" w14:textId="52472EBE"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14:paraId="6478C0EA"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1 836</w:t>
            </w:r>
          </w:p>
        </w:tc>
        <w:tc>
          <w:tcPr>
            <w:tcW w:w="889" w:type="dxa"/>
            <w:tcBorders>
              <w:top w:val="nil"/>
              <w:left w:val="nil"/>
              <w:bottom w:val="single" w:sz="4" w:space="0" w:color="auto"/>
              <w:right w:val="single" w:sz="4" w:space="0" w:color="auto"/>
            </w:tcBorders>
            <w:shd w:val="clear" w:color="auto" w:fill="auto"/>
            <w:noWrap/>
            <w:vAlign w:val="center"/>
            <w:hideMark/>
          </w:tcPr>
          <w:p w14:paraId="078DAD9F" w14:textId="149A8A70"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216" w:type="dxa"/>
            <w:tcBorders>
              <w:top w:val="nil"/>
              <w:left w:val="nil"/>
              <w:bottom w:val="single" w:sz="4" w:space="0" w:color="auto"/>
              <w:right w:val="nil"/>
            </w:tcBorders>
            <w:shd w:val="clear" w:color="auto" w:fill="auto"/>
            <w:noWrap/>
            <w:vAlign w:val="bottom"/>
            <w:hideMark/>
          </w:tcPr>
          <w:p w14:paraId="614A73B8"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2 084</w:t>
            </w:r>
          </w:p>
        </w:tc>
        <w:tc>
          <w:tcPr>
            <w:tcW w:w="1066" w:type="dxa"/>
            <w:tcBorders>
              <w:top w:val="nil"/>
              <w:left w:val="nil"/>
              <w:bottom w:val="single" w:sz="4" w:space="0" w:color="auto"/>
              <w:right w:val="nil"/>
            </w:tcBorders>
            <w:shd w:val="clear" w:color="auto" w:fill="auto"/>
            <w:noWrap/>
            <w:vAlign w:val="center"/>
            <w:hideMark/>
          </w:tcPr>
          <w:p w14:paraId="00463436" w14:textId="105E0373"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r>
      <w:tr w:rsidR="00AC1E67" w:rsidRPr="00A00187" w14:paraId="2DFFE834" w14:textId="77777777" w:rsidTr="0079693A">
        <w:trPr>
          <w:trHeight w:val="330"/>
        </w:trPr>
        <w:tc>
          <w:tcPr>
            <w:tcW w:w="2036" w:type="dxa"/>
            <w:tcBorders>
              <w:top w:val="nil"/>
              <w:left w:val="nil"/>
              <w:bottom w:val="double" w:sz="6" w:space="0" w:color="auto"/>
              <w:right w:val="nil"/>
            </w:tcBorders>
            <w:shd w:val="clear" w:color="auto" w:fill="auto"/>
            <w:noWrap/>
            <w:vAlign w:val="bottom"/>
            <w:hideMark/>
          </w:tcPr>
          <w:p w14:paraId="5F993983" w14:textId="77777777" w:rsidR="0079693A" w:rsidRPr="00A00187" w:rsidRDefault="0079693A" w:rsidP="0079693A">
            <w:pPr>
              <w:spacing w:line="240" w:lineRule="auto"/>
              <w:jc w:val="left"/>
              <w:rPr>
                <w:rFonts w:eastAsia="Times New Roman"/>
                <w:szCs w:val="24"/>
                <w:lang w:eastAsia="cs-CZ"/>
              </w:rPr>
            </w:pPr>
            <w:r w:rsidRPr="00A00187">
              <w:rPr>
                <w:rFonts w:eastAsia="Times New Roman"/>
                <w:szCs w:val="24"/>
                <w:lang w:eastAsia="cs-CZ"/>
              </w:rPr>
              <w:t>KS Ostrava</w:t>
            </w:r>
          </w:p>
        </w:tc>
        <w:tc>
          <w:tcPr>
            <w:tcW w:w="1429" w:type="dxa"/>
            <w:tcBorders>
              <w:top w:val="nil"/>
              <w:left w:val="nil"/>
              <w:bottom w:val="double" w:sz="6" w:space="0" w:color="auto"/>
              <w:right w:val="nil"/>
            </w:tcBorders>
            <w:shd w:val="clear" w:color="auto" w:fill="auto"/>
            <w:noWrap/>
            <w:vAlign w:val="bottom"/>
            <w:hideMark/>
          </w:tcPr>
          <w:p w14:paraId="144035D4"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25 690</w:t>
            </w:r>
          </w:p>
        </w:tc>
        <w:tc>
          <w:tcPr>
            <w:tcW w:w="1076" w:type="dxa"/>
            <w:tcBorders>
              <w:top w:val="nil"/>
              <w:left w:val="nil"/>
              <w:bottom w:val="double" w:sz="6" w:space="0" w:color="auto"/>
              <w:right w:val="single" w:sz="4" w:space="0" w:color="auto"/>
            </w:tcBorders>
            <w:shd w:val="clear" w:color="auto" w:fill="auto"/>
            <w:noWrap/>
            <w:vAlign w:val="center"/>
            <w:hideMark/>
          </w:tcPr>
          <w:p w14:paraId="7E5DB451" w14:textId="67DEE19B"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180" w:type="dxa"/>
            <w:tcBorders>
              <w:top w:val="nil"/>
              <w:left w:val="nil"/>
              <w:bottom w:val="double" w:sz="6" w:space="0" w:color="auto"/>
              <w:right w:val="nil"/>
            </w:tcBorders>
            <w:shd w:val="clear" w:color="auto" w:fill="auto"/>
            <w:noWrap/>
            <w:vAlign w:val="bottom"/>
            <w:hideMark/>
          </w:tcPr>
          <w:p w14:paraId="6BDB915E"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1 502</w:t>
            </w:r>
          </w:p>
        </w:tc>
        <w:tc>
          <w:tcPr>
            <w:tcW w:w="889" w:type="dxa"/>
            <w:tcBorders>
              <w:top w:val="nil"/>
              <w:left w:val="nil"/>
              <w:bottom w:val="double" w:sz="6" w:space="0" w:color="auto"/>
              <w:right w:val="single" w:sz="4" w:space="0" w:color="auto"/>
            </w:tcBorders>
            <w:shd w:val="clear" w:color="auto" w:fill="auto"/>
            <w:noWrap/>
            <w:vAlign w:val="center"/>
            <w:hideMark/>
          </w:tcPr>
          <w:p w14:paraId="6164AC6C" w14:textId="51014544"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216" w:type="dxa"/>
            <w:tcBorders>
              <w:top w:val="nil"/>
              <w:left w:val="nil"/>
              <w:bottom w:val="double" w:sz="6" w:space="0" w:color="auto"/>
              <w:right w:val="nil"/>
            </w:tcBorders>
            <w:shd w:val="clear" w:color="auto" w:fill="auto"/>
            <w:noWrap/>
            <w:vAlign w:val="bottom"/>
            <w:hideMark/>
          </w:tcPr>
          <w:p w14:paraId="6E378D03" w14:textId="77777777" w:rsidR="0079693A" w:rsidRPr="00A00187" w:rsidRDefault="0079693A" w:rsidP="0079693A">
            <w:pPr>
              <w:spacing w:line="240" w:lineRule="auto"/>
              <w:jc w:val="center"/>
              <w:rPr>
                <w:rFonts w:eastAsia="Times New Roman"/>
                <w:szCs w:val="24"/>
                <w:lang w:eastAsia="cs-CZ"/>
              </w:rPr>
            </w:pPr>
            <w:r w:rsidRPr="00A00187">
              <w:rPr>
                <w:rFonts w:eastAsia="Times New Roman"/>
                <w:szCs w:val="24"/>
                <w:lang w:eastAsia="cs-CZ"/>
              </w:rPr>
              <w:t>4 241</w:t>
            </w:r>
          </w:p>
        </w:tc>
        <w:tc>
          <w:tcPr>
            <w:tcW w:w="1066" w:type="dxa"/>
            <w:tcBorders>
              <w:top w:val="nil"/>
              <w:left w:val="nil"/>
              <w:bottom w:val="double" w:sz="6" w:space="0" w:color="auto"/>
              <w:right w:val="nil"/>
            </w:tcBorders>
            <w:shd w:val="clear" w:color="auto" w:fill="auto"/>
            <w:noWrap/>
            <w:vAlign w:val="center"/>
            <w:hideMark/>
          </w:tcPr>
          <w:p w14:paraId="6429ADDD" w14:textId="61824576" w:rsidR="0079693A" w:rsidRPr="00A00187" w:rsidRDefault="0079693A" w:rsidP="00901FD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1B91137C" w14:textId="77777777" w:rsidTr="0079693A">
        <w:trPr>
          <w:trHeight w:val="345"/>
        </w:trPr>
        <w:tc>
          <w:tcPr>
            <w:tcW w:w="2036" w:type="dxa"/>
            <w:tcBorders>
              <w:top w:val="nil"/>
              <w:left w:val="nil"/>
              <w:bottom w:val="double" w:sz="6" w:space="0" w:color="auto"/>
              <w:right w:val="nil"/>
            </w:tcBorders>
            <w:shd w:val="clear" w:color="auto" w:fill="auto"/>
            <w:noWrap/>
            <w:vAlign w:val="bottom"/>
            <w:hideMark/>
          </w:tcPr>
          <w:p w14:paraId="4D7BE277" w14:textId="77777777" w:rsidR="0079693A" w:rsidRPr="00A00187" w:rsidRDefault="0079693A" w:rsidP="0079693A">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429" w:type="dxa"/>
            <w:tcBorders>
              <w:top w:val="nil"/>
              <w:left w:val="nil"/>
              <w:bottom w:val="double" w:sz="6" w:space="0" w:color="auto"/>
              <w:right w:val="nil"/>
            </w:tcBorders>
            <w:shd w:val="clear" w:color="auto" w:fill="auto"/>
            <w:noWrap/>
            <w:vAlign w:val="bottom"/>
            <w:hideMark/>
          </w:tcPr>
          <w:p w14:paraId="24ABC553"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173 463</w:t>
            </w:r>
          </w:p>
        </w:tc>
        <w:tc>
          <w:tcPr>
            <w:tcW w:w="1076" w:type="dxa"/>
            <w:tcBorders>
              <w:top w:val="nil"/>
              <w:left w:val="nil"/>
              <w:bottom w:val="double" w:sz="6" w:space="0" w:color="auto"/>
              <w:right w:val="single" w:sz="4" w:space="0" w:color="auto"/>
            </w:tcBorders>
            <w:shd w:val="clear" w:color="auto" w:fill="auto"/>
            <w:noWrap/>
            <w:vAlign w:val="center"/>
            <w:hideMark/>
          </w:tcPr>
          <w:p w14:paraId="6CBDCFAD" w14:textId="37AAE3C4" w:rsidR="0079693A" w:rsidRPr="00A00187" w:rsidRDefault="0079693A" w:rsidP="00901FD3">
            <w:pPr>
              <w:spacing w:line="240" w:lineRule="auto"/>
              <w:jc w:val="center"/>
              <w:rPr>
                <w:rFonts w:eastAsia="Times New Roman"/>
                <w:b/>
                <w:bCs/>
                <w:sz w:val="20"/>
                <w:szCs w:val="20"/>
                <w:lang w:eastAsia="cs-CZ"/>
              </w:rPr>
            </w:pPr>
            <w:r w:rsidRPr="00A00187">
              <w:rPr>
                <w:rFonts w:eastAsia="Times New Roman"/>
                <w:b/>
                <w:bCs/>
                <w:sz w:val="20"/>
                <w:szCs w:val="20"/>
                <w:lang w:eastAsia="cs-CZ"/>
              </w:rPr>
              <w:t>+10</w:t>
            </w:r>
            <w:r w:rsidR="00CB570A">
              <w:rPr>
                <w:rFonts w:eastAsia="Times New Roman"/>
                <w:b/>
                <w:bCs/>
                <w:sz w:val="20"/>
                <w:szCs w:val="20"/>
                <w:lang w:eastAsia="cs-CZ"/>
              </w:rPr>
              <w:t> %</w:t>
            </w:r>
          </w:p>
        </w:tc>
        <w:tc>
          <w:tcPr>
            <w:tcW w:w="1180" w:type="dxa"/>
            <w:tcBorders>
              <w:top w:val="nil"/>
              <w:left w:val="nil"/>
              <w:bottom w:val="double" w:sz="6" w:space="0" w:color="auto"/>
              <w:right w:val="nil"/>
            </w:tcBorders>
            <w:shd w:val="clear" w:color="auto" w:fill="auto"/>
            <w:noWrap/>
            <w:vAlign w:val="bottom"/>
            <w:hideMark/>
          </w:tcPr>
          <w:p w14:paraId="48D50779"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11 204</w:t>
            </w:r>
          </w:p>
        </w:tc>
        <w:tc>
          <w:tcPr>
            <w:tcW w:w="889" w:type="dxa"/>
            <w:tcBorders>
              <w:top w:val="nil"/>
              <w:left w:val="nil"/>
              <w:bottom w:val="double" w:sz="6" w:space="0" w:color="auto"/>
              <w:right w:val="single" w:sz="4" w:space="0" w:color="auto"/>
            </w:tcBorders>
            <w:shd w:val="clear" w:color="auto" w:fill="auto"/>
            <w:noWrap/>
            <w:vAlign w:val="center"/>
            <w:hideMark/>
          </w:tcPr>
          <w:p w14:paraId="2F8C8EE4" w14:textId="7AC39A79" w:rsidR="0079693A" w:rsidRPr="00A00187" w:rsidRDefault="0079693A" w:rsidP="00901FD3">
            <w:pPr>
              <w:spacing w:line="240" w:lineRule="auto"/>
              <w:jc w:val="center"/>
              <w:rPr>
                <w:rFonts w:eastAsia="Times New Roman"/>
                <w:b/>
                <w:bCs/>
                <w:sz w:val="20"/>
                <w:szCs w:val="20"/>
                <w:lang w:eastAsia="cs-CZ"/>
              </w:rPr>
            </w:pPr>
            <w:r w:rsidRPr="00A00187">
              <w:rPr>
                <w:rFonts w:eastAsia="Times New Roman"/>
                <w:b/>
                <w:bCs/>
                <w:sz w:val="20"/>
                <w:szCs w:val="20"/>
                <w:lang w:eastAsia="cs-CZ"/>
              </w:rPr>
              <w:t>-5</w:t>
            </w:r>
            <w:r w:rsidR="00CB570A">
              <w:rPr>
                <w:rFonts w:eastAsia="Times New Roman"/>
                <w:b/>
                <w:bCs/>
                <w:sz w:val="20"/>
                <w:szCs w:val="20"/>
                <w:lang w:eastAsia="cs-CZ"/>
              </w:rPr>
              <w:t> %</w:t>
            </w:r>
          </w:p>
        </w:tc>
        <w:tc>
          <w:tcPr>
            <w:tcW w:w="1216" w:type="dxa"/>
            <w:tcBorders>
              <w:top w:val="nil"/>
              <w:left w:val="nil"/>
              <w:bottom w:val="double" w:sz="6" w:space="0" w:color="auto"/>
              <w:right w:val="nil"/>
            </w:tcBorders>
            <w:shd w:val="clear" w:color="auto" w:fill="auto"/>
            <w:noWrap/>
            <w:vAlign w:val="bottom"/>
            <w:hideMark/>
          </w:tcPr>
          <w:p w14:paraId="3E5283D0" w14:textId="77777777" w:rsidR="0079693A" w:rsidRPr="00A00187" w:rsidRDefault="0079693A" w:rsidP="0079693A">
            <w:pPr>
              <w:spacing w:line="240" w:lineRule="auto"/>
              <w:jc w:val="center"/>
              <w:rPr>
                <w:rFonts w:eastAsia="Times New Roman"/>
                <w:b/>
                <w:bCs/>
                <w:szCs w:val="24"/>
                <w:lang w:eastAsia="cs-CZ"/>
              </w:rPr>
            </w:pPr>
            <w:r w:rsidRPr="00A00187">
              <w:rPr>
                <w:rFonts w:eastAsia="Times New Roman"/>
                <w:b/>
                <w:bCs/>
                <w:szCs w:val="24"/>
                <w:lang w:eastAsia="cs-CZ"/>
              </w:rPr>
              <w:t>18 847</w:t>
            </w:r>
          </w:p>
        </w:tc>
        <w:tc>
          <w:tcPr>
            <w:tcW w:w="1066" w:type="dxa"/>
            <w:tcBorders>
              <w:top w:val="nil"/>
              <w:left w:val="nil"/>
              <w:bottom w:val="double" w:sz="6" w:space="0" w:color="auto"/>
              <w:right w:val="nil"/>
            </w:tcBorders>
            <w:shd w:val="clear" w:color="auto" w:fill="auto"/>
            <w:noWrap/>
            <w:vAlign w:val="center"/>
            <w:hideMark/>
          </w:tcPr>
          <w:p w14:paraId="7E97AB3C" w14:textId="46E23892" w:rsidR="0079693A" w:rsidRPr="00A00187" w:rsidRDefault="0079693A" w:rsidP="00901FD3">
            <w:pPr>
              <w:spacing w:line="240" w:lineRule="auto"/>
              <w:jc w:val="center"/>
              <w:rPr>
                <w:rFonts w:eastAsia="Times New Roman"/>
                <w:b/>
                <w:bCs/>
                <w:sz w:val="20"/>
                <w:szCs w:val="20"/>
                <w:lang w:eastAsia="cs-CZ"/>
              </w:rPr>
            </w:pPr>
            <w:r w:rsidRPr="00A00187">
              <w:rPr>
                <w:rFonts w:eastAsia="Times New Roman"/>
                <w:b/>
                <w:bCs/>
                <w:sz w:val="20"/>
                <w:szCs w:val="20"/>
                <w:lang w:eastAsia="cs-CZ"/>
              </w:rPr>
              <w:t>-9</w:t>
            </w:r>
            <w:r w:rsidR="00CB570A">
              <w:rPr>
                <w:rFonts w:eastAsia="Times New Roman"/>
                <w:b/>
                <w:bCs/>
                <w:sz w:val="20"/>
                <w:szCs w:val="20"/>
                <w:lang w:eastAsia="cs-CZ"/>
              </w:rPr>
              <w:t> %</w:t>
            </w:r>
          </w:p>
        </w:tc>
      </w:tr>
      <w:tr w:rsidR="00AC1E67" w:rsidRPr="00A00187" w14:paraId="7220FD88" w14:textId="77777777" w:rsidTr="0079693A">
        <w:trPr>
          <w:trHeight w:val="330"/>
        </w:trPr>
        <w:tc>
          <w:tcPr>
            <w:tcW w:w="2036" w:type="dxa"/>
            <w:tcBorders>
              <w:top w:val="nil"/>
              <w:left w:val="nil"/>
              <w:bottom w:val="nil"/>
              <w:right w:val="nil"/>
            </w:tcBorders>
            <w:shd w:val="clear" w:color="auto" w:fill="auto"/>
            <w:noWrap/>
            <w:vAlign w:val="bottom"/>
            <w:hideMark/>
          </w:tcPr>
          <w:p w14:paraId="27A54B19" w14:textId="77777777" w:rsidR="0079693A" w:rsidRPr="00A00187" w:rsidRDefault="0079693A" w:rsidP="00647F65">
            <w:pPr>
              <w:spacing w:after="160" w:line="259" w:lineRule="auto"/>
              <w:jc w:val="left"/>
              <w:rPr>
                <w:rFonts w:eastAsia="Times New Roman"/>
                <w:b/>
                <w:bCs/>
                <w:sz w:val="20"/>
                <w:szCs w:val="20"/>
                <w:lang w:eastAsia="cs-CZ"/>
              </w:rPr>
            </w:pPr>
          </w:p>
        </w:tc>
        <w:tc>
          <w:tcPr>
            <w:tcW w:w="1429" w:type="dxa"/>
            <w:tcBorders>
              <w:top w:val="nil"/>
              <w:left w:val="nil"/>
              <w:bottom w:val="nil"/>
              <w:right w:val="nil"/>
            </w:tcBorders>
            <w:shd w:val="clear" w:color="auto" w:fill="auto"/>
            <w:noWrap/>
            <w:vAlign w:val="bottom"/>
            <w:hideMark/>
          </w:tcPr>
          <w:p w14:paraId="0B3EC9C3" w14:textId="77777777" w:rsidR="0079693A" w:rsidRPr="00A00187" w:rsidRDefault="0079693A" w:rsidP="00647F65">
            <w:pPr>
              <w:spacing w:after="160" w:line="259" w:lineRule="auto"/>
              <w:jc w:val="left"/>
              <w:rPr>
                <w:rFonts w:ascii="Times New Roman" w:eastAsia="Times New Roman" w:hAnsi="Times New Roman"/>
                <w:sz w:val="20"/>
                <w:szCs w:val="20"/>
                <w:lang w:eastAsia="cs-CZ"/>
              </w:rPr>
            </w:pPr>
          </w:p>
        </w:tc>
        <w:tc>
          <w:tcPr>
            <w:tcW w:w="1076" w:type="dxa"/>
            <w:tcBorders>
              <w:top w:val="nil"/>
              <w:left w:val="nil"/>
              <w:bottom w:val="nil"/>
              <w:right w:val="nil"/>
            </w:tcBorders>
            <w:shd w:val="clear" w:color="auto" w:fill="auto"/>
            <w:noWrap/>
            <w:vAlign w:val="bottom"/>
            <w:hideMark/>
          </w:tcPr>
          <w:p w14:paraId="02CF02DA" w14:textId="77777777" w:rsidR="0079693A" w:rsidRPr="00A00187" w:rsidRDefault="0079693A" w:rsidP="00647F65">
            <w:pPr>
              <w:spacing w:after="160" w:line="259" w:lineRule="auto"/>
              <w:jc w:val="left"/>
              <w:rPr>
                <w:rFonts w:ascii="Times New Roman" w:eastAsia="Times New Roman" w:hAnsi="Times New Roman"/>
                <w:sz w:val="20"/>
                <w:szCs w:val="20"/>
                <w:lang w:eastAsia="cs-CZ"/>
              </w:rPr>
            </w:pPr>
          </w:p>
        </w:tc>
        <w:tc>
          <w:tcPr>
            <w:tcW w:w="1180" w:type="dxa"/>
            <w:tcBorders>
              <w:top w:val="nil"/>
              <w:left w:val="nil"/>
              <w:bottom w:val="nil"/>
              <w:right w:val="nil"/>
            </w:tcBorders>
            <w:shd w:val="clear" w:color="auto" w:fill="auto"/>
            <w:noWrap/>
            <w:vAlign w:val="bottom"/>
            <w:hideMark/>
          </w:tcPr>
          <w:p w14:paraId="5AAD23D6" w14:textId="77777777" w:rsidR="0079693A" w:rsidRPr="00A00187" w:rsidRDefault="0079693A" w:rsidP="00647F65">
            <w:pPr>
              <w:spacing w:after="160" w:line="259" w:lineRule="auto"/>
              <w:jc w:val="left"/>
              <w:rPr>
                <w:rFonts w:ascii="Times New Roman" w:eastAsia="Times New Roman" w:hAnsi="Times New Roman"/>
                <w:sz w:val="20"/>
                <w:szCs w:val="20"/>
                <w:lang w:eastAsia="cs-CZ"/>
              </w:rPr>
            </w:pPr>
          </w:p>
        </w:tc>
        <w:tc>
          <w:tcPr>
            <w:tcW w:w="889" w:type="dxa"/>
            <w:tcBorders>
              <w:top w:val="nil"/>
              <w:left w:val="nil"/>
              <w:bottom w:val="nil"/>
              <w:right w:val="nil"/>
            </w:tcBorders>
            <w:shd w:val="clear" w:color="auto" w:fill="auto"/>
            <w:noWrap/>
            <w:vAlign w:val="bottom"/>
            <w:hideMark/>
          </w:tcPr>
          <w:p w14:paraId="3F449CE4" w14:textId="77777777" w:rsidR="0079693A" w:rsidRPr="00A00187" w:rsidRDefault="0079693A" w:rsidP="00647F65">
            <w:pPr>
              <w:spacing w:after="160" w:line="259" w:lineRule="auto"/>
              <w:jc w:val="left"/>
              <w:rPr>
                <w:rFonts w:ascii="Times New Roman" w:eastAsia="Times New Roman" w:hAnsi="Times New Roman"/>
                <w:sz w:val="20"/>
                <w:szCs w:val="20"/>
                <w:lang w:eastAsia="cs-CZ"/>
              </w:rPr>
            </w:pPr>
          </w:p>
        </w:tc>
        <w:tc>
          <w:tcPr>
            <w:tcW w:w="1216" w:type="dxa"/>
            <w:tcBorders>
              <w:top w:val="nil"/>
              <w:left w:val="nil"/>
              <w:bottom w:val="nil"/>
              <w:right w:val="nil"/>
            </w:tcBorders>
            <w:shd w:val="clear" w:color="auto" w:fill="auto"/>
            <w:noWrap/>
            <w:vAlign w:val="bottom"/>
            <w:hideMark/>
          </w:tcPr>
          <w:p w14:paraId="4643A0A2" w14:textId="77777777" w:rsidR="0079693A" w:rsidRPr="00A00187" w:rsidRDefault="0079693A" w:rsidP="00647F65">
            <w:pPr>
              <w:spacing w:after="160" w:line="259" w:lineRule="auto"/>
              <w:jc w:val="left"/>
              <w:rPr>
                <w:rFonts w:ascii="Times New Roman" w:eastAsia="Times New Roman" w:hAnsi="Times New Roman"/>
                <w:sz w:val="20"/>
                <w:szCs w:val="20"/>
                <w:lang w:eastAsia="cs-CZ"/>
              </w:rPr>
            </w:pPr>
          </w:p>
        </w:tc>
        <w:tc>
          <w:tcPr>
            <w:tcW w:w="1066" w:type="dxa"/>
            <w:tcBorders>
              <w:top w:val="nil"/>
              <w:left w:val="nil"/>
              <w:bottom w:val="nil"/>
              <w:right w:val="nil"/>
            </w:tcBorders>
            <w:shd w:val="clear" w:color="auto" w:fill="auto"/>
            <w:noWrap/>
            <w:vAlign w:val="bottom"/>
            <w:hideMark/>
          </w:tcPr>
          <w:p w14:paraId="2B763D78" w14:textId="77777777" w:rsidR="0079693A" w:rsidRPr="00A00187" w:rsidRDefault="0079693A" w:rsidP="00647F65">
            <w:pPr>
              <w:spacing w:after="160" w:line="259" w:lineRule="auto"/>
              <w:jc w:val="left"/>
              <w:rPr>
                <w:rFonts w:ascii="Times New Roman" w:eastAsia="Times New Roman" w:hAnsi="Times New Roman"/>
                <w:sz w:val="20"/>
                <w:szCs w:val="20"/>
                <w:lang w:eastAsia="cs-CZ"/>
              </w:rPr>
            </w:pPr>
          </w:p>
        </w:tc>
      </w:tr>
    </w:tbl>
    <w:p w14:paraId="765A8F9D" w14:textId="77777777" w:rsidR="0079693A" w:rsidRPr="00A00187" w:rsidRDefault="0079693A" w:rsidP="0079693A">
      <w:pPr>
        <w:pStyle w:val="OdstavecASR"/>
      </w:pPr>
      <w:r w:rsidRPr="00A00187">
        <w:t>Statisticky jsou sledovány tři důvody, proč je věc převedena z rejstříku EPR do rejstříku C:</w:t>
      </w:r>
    </w:p>
    <w:p w14:paraId="0B446DE1" w14:textId="4C1A630B" w:rsidR="0079693A" w:rsidRPr="00A00187" w:rsidRDefault="0079693A" w:rsidP="0079693A">
      <w:pPr>
        <w:pStyle w:val="OdstavecASR"/>
        <w:numPr>
          <w:ilvl w:val="0"/>
          <w:numId w:val="10"/>
        </w:numPr>
      </w:pPr>
      <w:r w:rsidRPr="00A00187">
        <w:rPr>
          <w:b/>
        </w:rPr>
        <w:t>EPR zrušen soudem</w:t>
      </w:r>
      <w:r w:rsidRPr="00A00187">
        <w:t xml:space="preserve">: elektronický platební rozkaz je zrušen, protože ho nebylo možné doručit. To může mít různé důvody, </w:t>
      </w:r>
      <w:r w:rsidR="00726EC3" w:rsidRPr="00A00187">
        <w:t>a</w:t>
      </w:r>
      <w:r w:rsidR="00726EC3">
        <w:t> </w:t>
      </w:r>
      <w:r w:rsidR="0020161B" w:rsidRPr="00A00187">
        <w:t xml:space="preserve">to </w:t>
      </w:r>
      <w:r w:rsidRPr="00A00187">
        <w:t>například</w:t>
      </w:r>
      <w:r w:rsidR="0020161B" w:rsidRPr="00A00187">
        <w:t>,</w:t>
      </w:r>
      <w:r w:rsidRPr="00A00187">
        <w:t xml:space="preserve"> pokud se účastník sporu přestěhoval bez udání další </w:t>
      </w:r>
      <w:r w:rsidR="0020161B" w:rsidRPr="00A00187">
        <w:t xml:space="preserve">či nové </w:t>
      </w:r>
      <w:r w:rsidRPr="00A00187">
        <w:t>adresy</w:t>
      </w:r>
      <w:r w:rsidR="0020161B" w:rsidRPr="00A00187">
        <w:t>,</w:t>
      </w:r>
      <w:r w:rsidRPr="00A00187">
        <w:t xml:space="preserve"> nebo má hlášenou adresu bydliště na městském úřadu a dále ho není možné </w:t>
      </w:r>
      <w:r w:rsidR="0020161B" w:rsidRPr="00A00187">
        <w:t xml:space="preserve">nikterak </w:t>
      </w:r>
      <w:r w:rsidRPr="00A00187">
        <w:t>dohledat.</w:t>
      </w:r>
    </w:p>
    <w:p w14:paraId="5B37FD52" w14:textId="77777777" w:rsidR="0079693A" w:rsidRPr="00A00187" w:rsidRDefault="0079693A" w:rsidP="0079693A">
      <w:pPr>
        <w:pStyle w:val="OdstavecASR"/>
        <w:numPr>
          <w:ilvl w:val="0"/>
          <w:numId w:val="10"/>
        </w:numPr>
      </w:pPr>
      <w:r w:rsidRPr="00A00187">
        <w:rPr>
          <w:rFonts w:eastAsia="Times New Roman"/>
          <w:b/>
          <w:bCs/>
          <w:szCs w:val="24"/>
          <w:lang w:eastAsia="cs-CZ"/>
        </w:rPr>
        <w:t xml:space="preserve">Podán odpor, který nebyl odmítnut: </w:t>
      </w:r>
      <w:r w:rsidRPr="00A00187">
        <w:rPr>
          <w:rFonts w:eastAsia="Times New Roman"/>
          <w:bCs/>
          <w:szCs w:val="24"/>
          <w:lang w:eastAsia="cs-CZ"/>
        </w:rPr>
        <w:t>byl podán odpor proti elektronickému platebnímu rozkazu. Odpor byl podán včas a oprávněnou osobou.</w:t>
      </w:r>
    </w:p>
    <w:p w14:paraId="0DFE0F8E" w14:textId="77777777" w:rsidR="0079693A" w:rsidRPr="00A00187" w:rsidRDefault="0079693A" w:rsidP="0079693A">
      <w:pPr>
        <w:pStyle w:val="OdstavecASR"/>
        <w:numPr>
          <w:ilvl w:val="0"/>
          <w:numId w:val="10"/>
        </w:numPr>
      </w:pPr>
      <w:r w:rsidRPr="00A00187">
        <w:rPr>
          <w:rFonts w:eastAsia="Times New Roman"/>
          <w:b/>
          <w:bCs/>
          <w:szCs w:val="24"/>
          <w:lang w:eastAsia="cs-CZ"/>
        </w:rPr>
        <w:t>Jiný důvod:</w:t>
      </w:r>
      <w:r w:rsidRPr="00A00187">
        <w:t xml:space="preserve"> zahrnuje všechny ostatní důvody pro převedení věci, zpravidla proto, že nebylo možné z jiného důvodu vydat EPR (platební rozkaz by tak například měl být doručen žalovanému do ciziny nebo žalobce uplatňuje nárok převyšující jeden milion korun českých).</w:t>
      </w:r>
    </w:p>
    <w:p w14:paraId="4B1CB236" w14:textId="77777777" w:rsidR="0079693A" w:rsidRPr="00A00187" w:rsidRDefault="0079693A" w:rsidP="0079693A"/>
    <w:p w14:paraId="282D0B1F" w14:textId="731589D3" w:rsidR="00CB570A" w:rsidRDefault="0079693A" w:rsidP="0079693A">
      <w:r w:rsidRPr="00A00187">
        <w:t>V datech vidíme, že převedených věcí je opravdu velké množství. Porovnáme-li počet převedených věcí s počtem věcí vyřízených, vidíme, že tento podíl v letech 2013 až 2017 tvořil 51 až 56</w:t>
      </w:r>
      <w:r w:rsidR="00CB570A">
        <w:t> %</w:t>
      </w:r>
      <w:r w:rsidRPr="00A00187">
        <w:t>.</w:t>
      </w:r>
      <w:r w:rsidRPr="00A00187">
        <w:rPr>
          <w:rStyle w:val="Znakapoznpodarou"/>
        </w:rPr>
        <w:footnoteReference w:id="7"/>
      </w:r>
      <w:r w:rsidRPr="00A00187">
        <w:t xml:space="preserve"> V zásadě každá druhá věc v rejstříku EPR tak byla převedena do klasického civilního řízení. V letech 2018 a 2019 tento podíl přesáhl 60</w:t>
      </w:r>
      <w:r w:rsidR="00CB570A">
        <w:t> %</w:t>
      </w:r>
      <w:r w:rsidRPr="00A00187">
        <w:t>. V roce 2020 byl tento podíl 54</w:t>
      </w:r>
      <w:r w:rsidR="00CB570A">
        <w:t> %</w:t>
      </w:r>
      <w:r w:rsidR="0081242E" w:rsidRPr="00A00187">
        <w:t xml:space="preserve"> </w:t>
      </w:r>
      <w:r w:rsidR="00726EC3" w:rsidRPr="00A00187">
        <w:t>a</w:t>
      </w:r>
      <w:r w:rsidR="00726EC3">
        <w:t> </w:t>
      </w:r>
      <w:r w:rsidR="0081242E" w:rsidRPr="00A00187">
        <w:t>v roce 2021 dosáhl 62</w:t>
      </w:r>
      <w:r w:rsidR="00CB570A">
        <w:t> %</w:t>
      </w:r>
      <w:r w:rsidR="0081242E" w:rsidRPr="00A00187">
        <w:t>.</w:t>
      </w:r>
    </w:p>
    <w:p w14:paraId="42848122" w14:textId="6DC13577" w:rsidR="0079693A" w:rsidRPr="00A00187" w:rsidRDefault="0079693A" w:rsidP="0079693A">
      <w:pPr>
        <w:pStyle w:val="Odstavecseseznamem"/>
        <w:numPr>
          <w:ilvl w:val="0"/>
          <w:numId w:val="10"/>
        </w:numPr>
        <w:spacing w:line="240" w:lineRule="auto"/>
        <w:jc w:val="left"/>
      </w:pPr>
      <w:r w:rsidRPr="00A00187">
        <w:br w:type="page"/>
      </w:r>
    </w:p>
    <w:p w14:paraId="67F1B57F" w14:textId="4BD4E554" w:rsidR="00E26C17" w:rsidRPr="00A00187" w:rsidRDefault="008430BD" w:rsidP="00E26C17">
      <w:pPr>
        <w:pStyle w:val="Nadpis2"/>
        <w:numPr>
          <w:ilvl w:val="1"/>
          <w:numId w:val="1"/>
        </w:numPr>
        <w:spacing w:before="120"/>
        <w:rPr>
          <w:color w:val="auto"/>
        </w:rPr>
      </w:pPr>
      <w:bookmarkStart w:id="270" w:name="_Ref511307908"/>
      <w:bookmarkStart w:id="271" w:name="_Toc515871230"/>
      <w:bookmarkStart w:id="272" w:name="_Toc106092727"/>
      <w:bookmarkStart w:id="273" w:name="_Toc109801343"/>
      <w:r w:rsidRPr="00A00187">
        <w:rPr>
          <w:color w:val="auto"/>
        </w:rPr>
        <w:lastRenderedPageBreak/>
        <w:t>Trestní agenda</w:t>
      </w:r>
      <w:bookmarkEnd w:id="270"/>
      <w:bookmarkEnd w:id="271"/>
      <w:bookmarkEnd w:id="272"/>
      <w:bookmarkEnd w:id="273"/>
    </w:p>
    <w:p w14:paraId="2A8661D7" w14:textId="09779417" w:rsidR="00E26C17" w:rsidRPr="00A00187" w:rsidRDefault="00E26C17" w:rsidP="00E26C17">
      <w:pPr>
        <w:pStyle w:val="OdstavecASR"/>
      </w:pPr>
      <w:r w:rsidRPr="00A00187">
        <w:t xml:space="preserve">Z hlediska statistického sledování je situace na trestním úseku soudů jednodušší. Vedlejší agendy jsou zde v zásadě pouze dvě – všeobecné trestní věci včetně rozhodování soudce </w:t>
      </w:r>
      <w:r w:rsidR="007537AE" w:rsidRPr="00A00187">
        <w:t>ve zkráceném </w:t>
      </w:r>
      <w:r w:rsidRPr="00A00187">
        <w:t>přípravném řízení a u soudů, v jejichž obvodu se nachází věznice, též agenda podmíněného propuštění. Soudy tedy vyřizují hlavně prvostupňové trestní věci a prvostupňové trestní věci mladistvých (rejstříky T a </w:t>
      </w:r>
      <w:proofErr w:type="spellStart"/>
      <w:r w:rsidRPr="00A00187">
        <w:t>Tm</w:t>
      </w:r>
      <w:proofErr w:type="spellEnd"/>
      <w:r w:rsidRPr="00A00187">
        <w:t xml:space="preserve">).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 zahrnující věci vyřízené trestním příkazem je možné dohledat na internetových stránkách </w:t>
      </w:r>
      <w:proofErr w:type="spellStart"/>
      <w:r w:rsidRPr="00A00187">
        <w:t>InfoData</w:t>
      </w:r>
      <w:proofErr w:type="spellEnd"/>
      <w:r w:rsidRPr="00A00187">
        <w:t xml:space="preserve"> nebo ve statistických ročenkách.</w:t>
      </w:r>
    </w:p>
    <w:p w14:paraId="46B0EC2E" w14:textId="25622A4E" w:rsidR="008430BD" w:rsidRPr="00A00187" w:rsidRDefault="008430BD" w:rsidP="008430BD">
      <w:pPr>
        <w:pStyle w:val="Nadpis3"/>
        <w:numPr>
          <w:ilvl w:val="2"/>
          <w:numId w:val="1"/>
        </w:numPr>
        <w:rPr>
          <w:color w:val="auto"/>
        </w:rPr>
      </w:pPr>
      <w:bookmarkStart w:id="274" w:name="_Toc487791235"/>
      <w:bookmarkStart w:id="275" w:name="_Toc515871231"/>
      <w:bookmarkStart w:id="276" w:name="_Toc106092728"/>
      <w:bookmarkStart w:id="277" w:name="_Toc109801344"/>
      <w:r w:rsidRPr="00A00187">
        <w:rPr>
          <w:color w:val="auto"/>
        </w:rPr>
        <w:t>Délka řízení</w:t>
      </w:r>
      <w:bookmarkEnd w:id="274"/>
      <w:bookmarkEnd w:id="275"/>
      <w:bookmarkEnd w:id="276"/>
      <w:bookmarkEnd w:id="277"/>
    </w:p>
    <w:p w14:paraId="11B136A0" w14:textId="17E1240C" w:rsidR="00E26C17" w:rsidRPr="00A00187" w:rsidRDefault="00726EC3" w:rsidP="00E26C17">
      <w:pPr>
        <w:pStyle w:val="OdstavecASR"/>
      </w:pPr>
      <w:r w:rsidRPr="00A00187">
        <w:t>U</w:t>
      </w:r>
      <w:r>
        <w:t> </w:t>
      </w:r>
      <w:r w:rsidR="0070468F" w:rsidRPr="00A00187">
        <w:t>délky řízení p</w:t>
      </w:r>
      <w:r w:rsidR="00E26C17" w:rsidRPr="00A00187">
        <w:t>latí stejné poznámky jako u civilního řízení</w:t>
      </w:r>
      <w:r w:rsidR="0070468F" w:rsidRPr="00A00187">
        <w:t>.</w:t>
      </w:r>
      <w:r w:rsidR="00E26C17" w:rsidRPr="00A00187">
        <w:t xml:space="preserve"> </w:t>
      </w:r>
      <w:r w:rsidR="0070468F" w:rsidRPr="00A00187">
        <w:t>D</w:t>
      </w:r>
      <w:r w:rsidR="00E26C17" w:rsidRPr="00A00187">
        <w:t>élku řízení tedy zjišťujeme ze statistických listů a uvádíme ji v kalendářních dnech ode dne nápadu do dne konečného rozhodnutí soudem I. stupně.</w:t>
      </w:r>
    </w:p>
    <w:p w14:paraId="56895185" w14:textId="3B57996A" w:rsidR="00E26C17" w:rsidRPr="00A00187" w:rsidRDefault="00E26C17" w:rsidP="00E26C17">
      <w:pPr>
        <w:pStyle w:val="Podnadpis"/>
        <w:rPr>
          <w:color w:val="auto"/>
        </w:rPr>
      </w:pPr>
      <w:bookmarkStart w:id="278" w:name="_Ref510007164"/>
      <w:bookmarkStart w:id="279" w:name="_Ref510007159"/>
      <w:bookmarkStart w:id="280" w:name="_Toc515871349"/>
      <w:bookmarkStart w:id="281" w:name="_Toc11135084"/>
      <w:bookmarkStart w:id="282" w:name="_Toc43841400"/>
      <w:bookmarkStart w:id="283" w:name="_Toc75952202"/>
      <w:bookmarkStart w:id="284" w:name="_Toc106106655"/>
      <w:bookmarkStart w:id="285" w:name="_Toc10980197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21</w:t>
      </w:r>
      <w:r w:rsidRPr="00A00187">
        <w:rPr>
          <w:noProof/>
          <w:color w:val="auto"/>
        </w:rPr>
        <w:fldChar w:fldCharType="end"/>
      </w:r>
      <w:bookmarkEnd w:id="278"/>
      <w:r w:rsidRPr="00A00187">
        <w:rPr>
          <w:color w:val="auto"/>
        </w:rPr>
        <w:t>: OS – délka trestního řízení v letech 2008–20</w:t>
      </w:r>
      <w:bookmarkEnd w:id="279"/>
      <w:bookmarkEnd w:id="280"/>
      <w:bookmarkEnd w:id="281"/>
      <w:bookmarkEnd w:id="282"/>
      <w:r w:rsidRPr="00A00187">
        <w:rPr>
          <w:color w:val="auto"/>
        </w:rPr>
        <w:t>2</w:t>
      </w:r>
      <w:bookmarkEnd w:id="283"/>
      <w:r w:rsidR="00F012F4" w:rsidRPr="00A00187">
        <w:rPr>
          <w:color w:val="auto"/>
        </w:rPr>
        <w:t>1</w:t>
      </w:r>
      <w:bookmarkEnd w:id="284"/>
      <w:bookmarkEnd w:id="285"/>
    </w:p>
    <w:p w14:paraId="25C7107B" w14:textId="7592F503" w:rsidR="00E26C17" w:rsidRPr="00A00187" w:rsidRDefault="00E91E62" w:rsidP="008430BD">
      <w:pPr>
        <w:pStyle w:val="OdstavecASR"/>
      </w:pPr>
      <w:r w:rsidRPr="00A00187">
        <w:rPr>
          <w:noProof/>
        </w:rPr>
        <w:drawing>
          <wp:inline distT="0" distB="0" distL="0" distR="0" wp14:anchorId="6A9BA281" wp14:editId="5AC53484">
            <wp:extent cx="5029200" cy="36576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515E797" w14:textId="1CAE01FC" w:rsidR="00E91E62" w:rsidRPr="00A00187" w:rsidRDefault="00E91E62" w:rsidP="00E91E62">
      <w:pPr>
        <w:pStyle w:val="OdstavecASR"/>
      </w:pPr>
      <w:r w:rsidRPr="00A00187">
        <w:t xml:space="preserve">Z grafu je patrné, že ve zkoumaném období byly délky řízení </w:t>
      </w:r>
      <w:r w:rsidR="007537AE" w:rsidRPr="00A00187">
        <w:t xml:space="preserve">nejvyšší </w:t>
      </w:r>
      <w:r w:rsidRPr="00A00187">
        <w:t xml:space="preserve">v roce 2008. Od roku 2010 jsou velmi stabilní s tím, že od roku 2015 se vyřízení věci začalo opět postupně prodlužovat a věci „stárnou“ (viz mírné zvyšování percentilu 90, což </w:t>
      </w:r>
      <w:r w:rsidR="007537AE" w:rsidRPr="00A00187">
        <w:t xml:space="preserve">se projevilo </w:t>
      </w:r>
      <w:r w:rsidR="00975DDC" w:rsidRPr="00A00187">
        <w:t>tak</w:t>
      </w:r>
      <w:r w:rsidRPr="00A00187">
        <w:t>, že u 10</w:t>
      </w:r>
      <w:r w:rsidR="00CB570A">
        <w:t> %</w:t>
      </w:r>
      <w:r w:rsidRPr="00A00187">
        <w:t> nejdelších věcí se zvýšila délka projednávání ze 460 dnů v roce 2015 na 504 dnů v roce 2018, tj. o 10</w:t>
      </w:r>
      <w:r w:rsidR="00CB570A">
        <w:t> %</w:t>
      </w:r>
      <w:r w:rsidRPr="00A00187">
        <w:t>). V roce 2019 percentil 90 ale opět klesl</w:t>
      </w:r>
      <w:r w:rsidR="001D6467" w:rsidRPr="00A00187">
        <w:t>.</w:t>
      </w:r>
      <w:r w:rsidR="007537AE" w:rsidRPr="00A00187">
        <w:t xml:space="preserve"> </w:t>
      </w:r>
      <w:r w:rsidR="00C824E1" w:rsidRPr="00A00187">
        <w:t>Velký rozdíl lze pozorovat</w:t>
      </w:r>
      <w:r w:rsidRPr="00A00187">
        <w:t xml:space="preserve"> mezi průměrem a mediánem. Průměrná délka řízení je více než dvojnásobná, než je mediánová délka řízení. To naznačuje, že existuje malá skupina řízení, která se oproti standardu velmi dlouho „táhnou“, což je stav, který trvá po celé vykazované období 2008–</w:t>
      </w:r>
      <w:r w:rsidR="0068379C" w:rsidRPr="00A00187">
        <w:t>2021</w:t>
      </w:r>
      <w:r w:rsidRPr="00A00187">
        <w:t xml:space="preserve">. Tuto domněnku potvrzuje i poměrně vysoký percentil 90. Tento </w:t>
      </w:r>
      <w:r w:rsidRPr="00A00187">
        <w:lastRenderedPageBreak/>
        <w:t>jev můžeme pozorovat i u civilního řízení, kde je nicméně o něco méně výrazný. V </w:t>
      </w:r>
      <w:r w:rsidR="00E414C9" w:rsidRPr="00A00187">
        <w:t>letech</w:t>
      </w:r>
      <w:r w:rsidRPr="00A00187">
        <w:t xml:space="preserve"> 2020</w:t>
      </w:r>
      <w:r w:rsidR="00E414C9" w:rsidRPr="00A00187">
        <w:t xml:space="preserve"> </w:t>
      </w:r>
      <w:r w:rsidR="00726EC3" w:rsidRPr="00A00187">
        <w:t>a</w:t>
      </w:r>
      <w:r w:rsidR="00726EC3">
        <w:t> </w:t>
      </w:r>
      <w:r w:rsidR="00E414C9" w:rsidRPr="00A00187">
        <w:t xml:space="preserve">2021 </w:t>
      </w:r>
      <w:r w:rsidRPr="00A00187">
        <w:t>došlo k mírnému růstu délek řízení, nicméně jde jen o velmi malou změnu a nelze říct, že by tato statistika naznačovala zhoršení situace v trestní</w:t>
      </w:r>
      <w:r w:rsidR="00760465" w:rsidRPr="00A00187">
        <w:t xml:space="preserve"> agendě</w:t>
      </w:r>
      <w:r w:rsidRPr="00A00187">
        <w:t>. Zdá se, že pandemie COVID</w:t>
      </w:r>
      <w:r w:rsidRPr="00A00187">
        <w:noBreakHyphen/>
        <w:t>19 vykazovanou délku řízení v zásadě neovlivnila.</w:t>
      </w:r>
    </w:p>
    <w:p w14:paraId="75D90786" w14:textId="29988C98" w:rsidR="00E414C9" w:rsidRPr="00A00187" w:rsidRDefault="00E414C9" w:rsidP="00E414C9">
      <w:pPr>
        <w:pStyle w:val="Podnadpis"/>
        <w:rPr>
          <w:rFonts w:ascii="Calibri" w:hAnsi="Calibri"/>
          <w:color w:val="auto"/>
          <w:sz w:val="20"/>
          <w:szCs w:val="20"/>
          <w:lang w:eastAsia="cs-CZ"/>
        </w:rPr>
      </w:pPr>
      <w:bookmarkStart w:id="286" w:name="_Ref510084261"/>
      <w:bookmarkStart w:id="287" w:name="_Ref510084255"/>
      <w:bookmarkStart w:id="288" w:name="_Toc515871451"/>
      <w:bookmarkStart w:id="289" w:name="_Toc11133219"/>
      <w:bookmarkStart w:id="290" w:name="_Toc43931193"/>
      <w:bookmarkStart w:id="291" w:name="_Toc75952323"/>
      <w:bookmarkStart w:id="292" w:name="_Toc106106782"/>
      <w:bookmarkStart w:id="293" w:name="_Toc109802105"/>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20</w:t>
      </w:r>
      <w:r w:rsidRPr="00A00187">
        <w:rPr>
          <w:noProof/>
          <w:color w:val="auto"/>
        </w:rPr>
        <w:fldChar w:fldCharType="end"/>
      </w:r>
      <w:bookmarkEnd w:id="286"/>
      <w:r w:rsidRPr="00A00187">
        <w:rPr>
          <w:color w:val="auto"/>
        </w:rPr>
        <w:t>: OS – délky trestního řízení dle krajů</w:t>
      </w:r>
      <w:bookmarkEnd w:id="287"/>
      <w:bookmarkEnd w:id="288"/>
      <w:bookmarkEnd w:id="289"/>
      <w:bookmarkEnd w:id="290"/>
      <w:bookmarkEnd w:id="291"/>
      <w:bookmarkEnd w:id="292"/>
      <w:bookmarkEnd w:id="293"/>
    </w:p>
    <w:tbl>
      <w:tblPr>
        <w:tblW w:w="8953" w:type="dxa"/>
        <w:tblCellMar>
          <w:left w:w="70" w:type="dxa"/>
          <w:right w:w="70" w:type="dxa"/>
        </w:tblCellMar>
        <w:tblLook w:val="04A0" w:firstRow="1" w:lastRow="0" w:firstColumn="1" w:lastColumn="0" w:noHBand="0" w:noVBand="1"/>
      </w:tblPr>
      <w:tblGrid>
        <w:gridCol w:w="2456"/>
        <w:gridCol w:w="854"/>
        <w:gridCol w:w="1367"/>
        <w:gridCol w:w="867"/>
        <w:gridCol w:w="1188"/>
        <w:gridCol w:w="867"/>
        <w:gridCol w:w="1354"/>
      </w:tblGrid>
      <w:tr w:rsidR="00AC1E67" w:rsidRPr="00A00187" w14:paraId="6054B1C7" w14:textId="77777777" w:rsidTr="00E414C9">
        <w:trPr>
          <w:trHeight w:val="330"/>
        </w:trPr>
        <w:tc>
          <w:tcPr>
            <w:tcW w:w="2456" w:type="dxa"/>
            <w:vMerge w:val="restart"/>
            <w:tcBorders>
              <w:top w:val="double" w:sz="6" w:space="0" w:color="auto"/>
              <w:left w:val="nil"/>
              <w:bottom w:val="double" w:sz="6" w:space="0" w:color="000000"/>
              <w:right w:val="nil"/>
            </w:tcBorders>
            <w:shd w:val="clear" w:color="auto" w:fill="auto"/>
            <w:noWrap/>
            <w:vAlign w:val="center"/>
            <w:hideMark/>
          </w:tcPr>
          <w:p w14:paraId="1E273649" w14:textId="77777777" w:rsidR="00E414C9" w:rsidRPr="00A00187" w:rsidRDefault="00E414C9" w:rsidP="003D247C">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6497" w:type="dxa"/>
            <w:gridSpan w:val="6"/>
            <w:tcBorders>
              <w:top w:val="double" w:sz="6" w:space="0" w:color="auto"/>
              <w:left w:val="nil"/>
              <w:bottom w:val="nil"/>
              <w:right w:val="nil"/>
            </w:tcBorders>
            <w:shd w:val="clear" w:color="auto" w:fill="auto"/>
            <w:noWrap/>
            <w:vAlign w:val="center"/>
            <w:hideMark/>
          </w:tcPr>
          <w:p w14:paraId="615A4D4F" w14:textId="77777777" w:rsidR="00E414C9" w:rsidRPr="00A00187" w:rsidRDefault="00E414C9" w:rsidP="00E414C9">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19FB018C" w14:textId="77777777" w:rsidTr="00E414C9">
        <w:trPr>
          <w:trHeight w:val="330"/>
        </w:trPr>
        <w:tc>
          <w:tcPr>
            <w:tcW w:w="2456" w:type="dxa"/>
            <w:vMerge/>
            <w:tcBorders>
              <w:top w:val="double" w:sz="6" w:space="0" w:color="auto"/>
              <w:left w:val="nil"/>
              <w:bottom w:val="double" w:sz="6" w:space="0" w:color="000000"/>
              <w:right w:val="nil"/>
            </w:tcBorders>
            <w:vAlign w:val="center"/>
            <w:hideMark/>
          </w:tcPr>
          <w:p w14:paraId="2C351695" w14:textId="77777777" w:rsidR="00E414C9" w:rsidRPr="00A00187" w:rsidRDefault="00E414C9" w:rsidP="00E414C9">
            <w:pPr>
              <w:spacing w:line="240" w:lineRule="auto"/>
              <w:jc w:val="left"/>
              <w:rPr>
                <w:rFonts w:eastAsia="Times New Roman"/>
                <w:b/>
                <w:bCs/>
                <w:szCs w:val="24"/>
                <w:lang w:eastAsia="cs-CZ"/>
              </w:rPr>
            </w:pPr>
          </w:p>
        </w:tc>
        <w:tc>
          <w:tcPr>
            <w:tcW w:w="2221" w:type="dxa"/>
            <w:gridSpan w:val="2"/>
            <w:tcBorders>
              <w:top w:val="nil"/>
              <w:left w:val="nil"/>
              <w:bottom w:val="double" w:sz="6" w:space="0" w:color="auto"/>
              <w:right w:val="nil"/>
            </w:tcBorders>
            <w:shd w:val="clear" w:color="auto" w:fill="auto"/>
            <w:noWrap/>
            <w:vAlign w:val="center"/>
            <w:hideMark/>
          </w:tcPr>
          <w:p w14:paraId="0BB00C34" w14:textId="77777777" w:rsidR="00E414C9" w:rsidRPr="00A00187" w:rsidRDefault="00E414C9" w:rsidP="00E414C9">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205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BD0D199" w14:textId="77777777" w:rsidR="00E414C9" w:rsidRPr="00A00187" w:rsidRDefault="00E414C9" w:rsidP="00E414C9">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2221" w:type="dxa"/>
            <w:gridSpan w:val="2"/>
            <w:tcBorders>
              <w:top w:val="nil"/>
              <w:left w:val="nil"/>
              <w:bottom w:val="double" w:sz="6" w:space="0" w:color="auto"/>
              <w:right w:val="nil"/>
            </w:tcBorders>
            <w:shd w:val="clear" w:color="auto" w:fill="auto"/>
            <w:noWrap/>
            <w:vAlign w:val="center"/>
            <w:hideMark/>
          </w:tcPr>
          <w:p w14:paraId="1505C8F4" w14:textId="77777777" w:rsidR="00E414C9" w:rsidRPr="00A00187" w:rsidRDefault="00E414C9" w:rsidP="00E414C9">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798AFC35" w14:textId="77777777" w:rsidTr="00E414C9">
        <w:trPr>
          <w:trHeight w:val="330"/>
        </w:trPr>
        <w:tc>
          <w:tcPr>
            <w:tcW w:w="2456" w:type="dxa"/>
            <w:tcBorders>
              <w:top w:val="single" w:sz="4" w:space="0" w:color="auto"/>
              <w:left w:val="nil"/>
              <w:bottom w:val="single" w:sz="4" w:space="0" w:color="auto"/>
              <w:right w:val="nil"/>
            </w:tcBorders>
            <w:shd w:val="clear" w:color="auto" w:fill="auto"/>
            <w:noWrap/>
            <w:vAlign w:val="bottom"/>
            <w:hideMark/>
          </w:tcPr>
          <w:p w14:paraId="4D772795"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MS Praha</w:t>
            </w:r>
          </w:p>
        </w:tc>
        <w:tc>
          <w:tcPr>
            <w:tcW w:w="854" w:type="dxa"/>
            <w:tcBorders>
              <w:top w:val="single" w:sz="4" w:space="0" w:color="auto"/>
              <w:left w:val="nil"/>
              <w:bottom w:val="single" w:sz="4" w:space="0" w:color="auto"/>
              <w:right w:val="nil"/>
            </w:tcBorders>
            <w:shd w:val="clear" w:color="auto" w:fill="auto"/>
            <w:noWrap/>
            <w:vAlign w:val="bottom"/>
            <w:hideMark/>
          </w:tcPr>
          <w:p w14:paraId="6F366328" w14:textId="38F53D9F"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199</w:t>
            </w:r>
          </w:p>
        </w:tc>
        <w:tc>
          <w:tcPr>
            <w:tcW w:w="1367" w:type="dxa"/>
            <w:tcBorders>
              <w:top w:val="single" w:sz="4" w:space="0" w:color="auto"/>
              <w:left w:val="nil"/>
              <w:bottom w:val="single" w:sz="4" w:space="0" w:color="auto"/>
              <w:right w:val="nil"/>
            </w:tcBorders>
            <w:shd w:val="clear" w:color="auto" w:fill="auto"/>
            <w:noWrap/>
            <w:vAlign w:val="center"/>
            <w:hideMark/>
          </w:tcPr>
          <w:p w14:paraId="1486E22E" w14:textId="179A7403"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867" w:type="dxa"/>
            <w:tcBorders>
              <w:top w:val="nil"/>
              <w:left w:val="single" w:sz="4" w:space="0" w:color="auto"/>
              <w:bottom w:val="single" w:sz="4" w:space="0" w:color="auto"/>
              <w:right w:val="nil"/>
            </w:tcBorders>
            <w:shd w:val="clear" w:color="auto" w:fill="auto"/>
            <w:noWrap/>
            <w:vAlign w:val="bottom"/>
            <w:hideMark/>
          </w:tcPr>
          <w:p w14:paraId="159FC0E0"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84</w:t>
            </w:r>
          </w:p>
        </w:tc>
        <w:tc>
          <w:tcPr>
            <w:tcW w:w="1188" w:type="dxa"/>
            <w:tcBorders>
              <w:top w:val="nil"/>
              <w:left w:val="nil"/>
              <w:bottom w:val="single" w:sz="4" w:space="0" w:color="auto"/>
              <w:right w:val="single" w:sz="4" w:space="0" w:color="auto"/>
            </w:tcBorders>
            <w:shd w:val="clear" w:color="auto" w:fill="auto"/>
            <w:noWrap/>
            <w:vAlign w:val="center"/>
            <w:hideMark/>
          </w:tcPr>
          <w:p w14:paraId="2CB713C3" w14:textId="044819A6"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867" w:type="dxa"/>
            <w:tcBorders>
              <w:top w:val="single" w:sz="4" w:space="0" w:color="auto"/>
              <w:left w:val="nil"/>
              <w:bottom w:val="single" w:sz="4" w:space="0" w:color="auto"/>
              <w:right w:val="nil"/>
            </w:tcBorders>
            <w:shd w:val="clear" w:color="auto" w:fill="auto"/>
            <w:noWrap/>
            <w:vAlign w:val="bottom"/>
            <w:hideMark/>
          </w:tcPr>
          <w:p w14:paraId="067DF723"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432</w:t>
            </w:r>
          </w:p>
        </w:tc>
        <w:tc>
          <w:tcPr>
            <w:tcW w:w="1354" w:type="dxa"/>
            <w:tcBorders>
              <w:top w:val="single" w:sz="4" w:space="0" w:color="auto"/>
              <w:left w:val="nil"/>
              <w:bottom w:val="single" w:sz="4" w:space="0" w:color="auto"/>
              <w:right w:val="nil"/>
            </w:tcBorders>
            <w:shd w:val="clear" w:color="auto" w:fill="auto"/>
            <w:noWrap/>
            <w:vAlign w:val="center"/>
            <w:hideMark/>
          </w:tcPr>
          <w:p w14:paraId="297E9E48" w14:textId="5419AFAC"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7CF68B73" w14:textId="77777777" w:rsidTr="00E414C9">
        <w:trPr>
          <w:trHeight w:val="315"/>
        </w:trPr>
        <w:tc>
          <w:tcPr>
            <w:tcW w:w="2456" w:type="dxa"/>
            <w:tcBorders>
              <w:top w:val="nil"/>
              <w:left w:val="nil"/>
              <w:bottom w:val="single" w:sz="4" w:space="0" w:color="auto"/>
              <w:right w:val="nil"/>
            </w:tcBorders>
            <w:shd w:val="clear" w:color="auto" w:fill="auto"/>
            <w:noWrap/>
            <w:vAlign w:val="bottom"/>
            <w:hideMark/>
          </w:tcPr>
          <w:p w14:paraId="63FA651A"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KS Praha</w:t>
            </w:r>
          </w:p>
        </w:tc>
        <w:tc>
          <w:tcPr>
            <w:tcW w:w="854" w:type="dxa"/>
            <w:tcBorders>
              <w:top w:val="nil"/>
              <w:left w:val="nil"/>
              <w:bottom w:val="single" w:sz="4" w:space="0" w:color="auto"/>
              <w:right w:val="nil"/>
            </w:tcBorders>
            <w:shd w:val="clear" w:color="auto" w:fill="auto"/>
            <w:noWrap/>
            <w:vAlign w:val="bottom"/>
            <w:hideMark/>
          </w:tcPr>
          <w:p w14:paraId="18058D5C"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153</w:t>
            </w:r>
          </w:p>
        </w:tc>
        <w:tc>
          <w:tcPr>
            <w:tcW w:w="1367" w:type="dxa"/>
            <w:tcBorders>
              <w:top w:val="nil"/>
              <w:left w:val="nil"/>
              <w:bottom w:val="single" w:sz="4" w:space="0" w:color="auto"/>
              <w:right w:val="nil"/>
            </w:tcBorders>
            <w:shd w:val="clear" w:color="auto" w:fill="auto"/>
            <w:noWrap/>
            <w:vAlign w:val="center"/>
            <w:hideMark/>
          </w:tcPr>
          <w:p w14:paraId="280CC004" w14:textId="1B61611F"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867" w:type="dxa"/>
            <w:tcBorders>
              <w:top w:val="nil"/>
              <w:left w:val="single" w:sz="4" w:space="0" w:color="auto"/>
              <w:bottom w:val="single" w:sz="4" w:space="0" w:color="auto"/>
              <w:right w:val="nil"/>
            </w:tcBorders>
            <w:shd w:val="clear" w:color="auto" w:fill="auto"/>
            <w:noWrap/>
            <w:vAlign w:val="bottom"/>
            <w:hideMark/>
          </w:tcPr>
          <w:p w14:paraId="0C2F18C5"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71</w:t>
            </w:r>
          </w:p>
        </w:tc>
        <w:tc>
          <w:tcPr>
            <w:tcW w:w="1188" w:type="dxa"/>
            <w:tcBorders>
              <w:top w:val="nil"/>
              <w:left w:val="nil"/>
              <w:bottom w:val="single" w:sz="4" w:space="0" w:color="auto"/>
              <w:right w:val="single" w:sz="4" w:space="0" w:color="auto"/>
            </w:tcBorders>
            <w:shd w:val="clear" w:color="auto" w:fill="auto"/>
            <w:noWrap/>
            <w:vAlign w:val="center"/>
            <w:hideMark/>
          </w:tcPr>
          <w:p w14:paraId="05D603B4" w14:textId="5D0CAF86"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867" w:type="dxa"/>
            <w:tcBorders>
              <w:top w:val="nil"/>
              <w:left w:val="nil"/>
              <w:bottom w:val="single" w:sz="4" w:space="0" w:color="auto"/>
              <w:right w:val="nil"/>
            </w:tcBorders>
            <w:shd w:val="clear" w:color="auto" w:fill="auto"/>
            <w:noWrap/>
            <w:vAlign w:val="bottom"/>
            <w:hideMark/>
          </w:tcPr>
          <w:p w14:paraId="7E58C476"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351</w:t>
            </w:r>
          </w:p>
        </w:tc>
        <w:tc>
          <w:tcPr>
            <w:tcW w:w="1354" w:type="dxa"/>
            <w:tcBorders>
              <w:top w:val="nil"/>
              <w:left w:val="nil"/>
              <w:bottom w:val="single" w:sz="4" w:space="0" w:color="auto"/>
              <w:right w:val="nil"/>
            </w:tcBorders>
            <w:shd w:val="clear" w:color="auto" w:fill="auto"/>
            <w:noWrap/>
            <w:vAlign w:val="center"/>
            <w:hideMark/>
          </w:tcPr>
          <w:p w14:paraId="2E75EC49" w14:textId="78753292"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4F456ED8" w14:textId="77777777" w:rsidTr="00E414C9">
        <w:trPr>
          <w:trHeight w:val="315"/>
        </w:trPr>
        <w:tc>
          <w:tcPr>
            <w:tcW w:w="2456" w:type="dxa"/>
            <w:tcBorders>
              <w:top w:val="nil"/>
              <w:left w:val="nil"/>
              <w:bottom w:val="single" w:sz="4" w:space="0" w:color="auto"/>
              <w:right w:val="nil"/>
            </w:tcBorders>
            <w:shd w:val="clear" w:color="auto" w:fill="auto"/>
            <w:noWrap/>
            <w:vAlign w:val="bottom"/>
            <w:hideMark/>
          </w:tcPr>
          <w:p w14:paraId="1950C04D"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KS Č. Budějovice</w:t>
            </w:r>
          </w:p>
        </w:tc>
        <w:tc>
          <w:tcPr>
            <w:tcW w:w="854" w:type="dxa"/>
            <w:tcBorders>
              <w:top w:val="nil"/>
              <w:left w:val="nil"/>
              <w:bottom w:val="single" w:sz="4" w:space="0" w:color="auto"/>
              <w:right w:val="nil"/>
            </w:tcBorders>
            <w:shd w:val="clear" w:color="auto" w:fill="auto"/>
            <w:noWrap/>
            <w:vAlign w:val="bottom"/>
            <w:hideMark/>
          </w:tcPr>
          <w:p w14:paraId="49EE17D3"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169</w:t>
            </w:r>
          </w:p>
        </w:tc>
        <w:tc>
          <w:tcPr>
            <w:tcW w:w="1367" w:type="dxa"/>
            <w:tcBorders>
              <w:top w:val="nil"/>
              <w:left w:val="nil"/>
              <w:bottom w:val="single" w:sz="4" w:space="0" w:color="auto"/>
              <w:right w:val="nil"/>
            </w:tcBorders>
            <w:shd w:val="clear" w:color="auto" w:fill="auto"/>
            <w:noWrap/>
            <w:vAlign w:val="center"/>
            <w:hideMark/>
          </w:tcPr>
          <w:p w14:paraId="4E14C8ED" w14:textId="01D7A76D"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867" w:type="dxa"/>
            <w:tcBorders>
              <w:top w:val="nil"/>
              <w:left w:val="single" w:sz="4" w:space="0" w:color="auto"/>
              <w:bottom w:val="single" w:sz="4" w:space="0" w:color="auto"/>
              <w:right w:val="nil"/>
            </w:tcBorders>
            <w:shd w:val="clear" w:color="auto" w:fill="auto"/>
            <w:noWrap/>
            <w:vAlign w:val="bottom"/>
            <w:hideMark/>
          </w:tcPr>
          <w:p w14:paraId="0E6D0CAF"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97</w:t>
            </w:r>
          </w:p>
        </w:tc>
        <w:tc>
          <w:tcPr>
            <w:tcW w:w="1188" w:type="dxa"/>
            <w:tcBorders>
              <w:top w:val="nil"/>
              <w:left w:val="nil"/>
              <w:bottom w:val="single" w:sz="4" w:space="0" w:color="auto"/>
              <w:right w:val="single" w:sz="4" w:space="0" w:color="auto"/>
            </w:tcBorders>
            <w:shd w:val="clear" w:color="auto" w:fill="auto"/>
            <w:noWrap/>
            <w:vAlign w:val="center"/>
            <w:hideMark/>
          </w:tcPr>
          <w:p w14:paraId="088C4E39" w14:textId="4AB686B0"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867" w:type="dxa"/>
            <w:tcBorders>
              <w:top w:val="nil"/>
              <w:left w:val="nil"/>
              <w:bottom w:val="single" w:sz="4" w:space="0" w:color="auto"/>
              <w:right w:val="nil"/>
            </w:tcBorders>
            <w:shd w:val="clear" w:color="auto" w:fill="auto"/>
            <w:noWrap/>
            <w:vAlign w:val="bottom"/>
            <w:hideMark/>
          </w:tcPr>
          <w:p w14:paraId="09A1A07A"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367</w:t>
            </w:r>
          </w:p>
        </w:tc>
        <w:tc>
          <w:tcPr>
            <w:tcW w:w="1354" w:type="dxa"/>
            <w:tcBorders>
              <w:top w:val="nil"/>
              <w:left w:val="nil"/>
              <w:bottom w:val="single" w:sz="4" w:space="0" w:color="auto"/>
              <w:right w:val="nil"/>
            </w:tcBorders>
            <w:shd w:val="clear" w:color="auto" w:fill="auto"/>
            <w:noWrap/>
            <w:vAlign w:val="center"/>
            <w:hideMark/>
          </w:tcPr>
          <w:p w14:paraId="18960B8A" w14:textId="43220A1E"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r>
      <w:tr w:rsidR="00AC1E67" w:rsidRPr="00A00187" w14:paraId="64AB0452" w14:textId="77777777" w:rsidTr="00E414C9">
        <w:trPr>
          <w:trHeight w:val="315"/>
        </w:trPr>
        <w:tc>
          <w:tcPr>
            <w:tcW w:w="2456" w:type="dxa"/>
            <w:tcBorders>
              <w:top w:val="nil"/>
              <w:left w:val="nil"/>
              <w:bottom w:val="single" w:sz="4" w:space="0" w:color="auto"/>
              <w:right w:val="nil"/>
            </w:tcBorders>
            <w:shd w:val="clear" w:color="auto" w:fill="auto"/>
            <w:noWrap/>
            <w:vAlign w:val="bottom"/>
            <w:hideMark/>
          </w:tcPr>
          <w:p w14:paraId="35BA39C6"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KS Plzeň</w:t>
            </w:r>
          </w:p>
        </w:tc>
        <w:tc>
          <w:tcPr>
            <w:tcW w:w="854" w:type="dxa"/>
            <w:tcBorders>
              <w:top w:val="nil"/>
              <w:left w:val="nil"/>
              <w:bottom w:val="single" w:sz="4" w:space="0" w:color="auto"/>
              <w:right w:val="nil"/>
            </w:tcBorders>
            <w:shd w:val="clear" w:color="auto" w:fill="auto"/>
            <w:noWrap/>
            <w:vAlign w:val="bottom"/>
            <w:hideMark/>
          </w:tcPr>
          <w:p w14:paraId="44472A96"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220</w:t>
            </w:r>
          </w:p>
        </w:tc>
        <w:tc>
          <w:tcPr>
            <w:tcW w:w="1367" w:type="dxa"/>
            <w:tcBorders>
              <w:top w:val="nil"/>
              <w:left w:val="nil"/>
              <w:bottom w:val="single" w:sz="4" w:space="0" w:color="auto"/>
              <w:right w:val="nil"/>
            </w:tcBorders>
            <w:shd w:val="clear" w:color="auto" w:fill="auto"/>
            <w:noWrap/>
            <w:vAlign w:val="center"/>
            <w:hideMark/>
          </w:tcPr>
          <w:p w14:paraId="7939852B" w14:textId="493EA6D0"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867" w:type="dxa"/>
            <w:tcBorders>
              <w:top w:val="nil"/>
              <w:left w:val="single" w:sz="4" w:space="0" w:color="auto"/>
              <w:bottom w:val="single" w:sz="4" w:space="0" w:color="auto"/>
              <w:right w:val="nil"/>
            </w:tcBorders>
            <w:shd w:val="clear" w:color="auto" w:fill="auto"/>
            <w:noWrap/>
            <w:vAlign w:val="bottom"/>
            <w:hideMark/>
          </w:tcPr>
          <w:p w14:paraId="2EB6CA2B"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100</w:t>
            </w:r>
          </w:p>
        </w:tc>
        <w:tc>
          <w:tcPr>
            <w:tcW w:w="1188" w:type="dxa"/>
            <w:tcBorders>
              <w:top w:val="nil"/>
              <w:left w:val="nil"/>
              <w:bottom w:val="single" w:sz="4" w:space="0" w:color="auto"/>
              <w:right w:val="single" w:sz="4" w:space="0" w:color="auto"/>
            </w:tcBorders>
            <w:shd w:val="clear" w:color="auto" w:fill="auto"/>
            <w:noWrap/>
            <w:vAlign w:val="center"/>
            <w:hideMark/>
          </w:tcPr>
          <w:p w14:paraId="35769DBA" w14:textId="5759F410"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867" w:type="dxa"/>
            <w:tcBorders>
              <w:top w:val="nil"/>
              <w:left w:val="nil"/>
              <w:bottom w:val="single" w:sz="4" w:space="0" w:color="auto"/>
              <w:right w:val="nil"/>
            </w:tcBorders>
            <w:shd w:val="clear" w:color="auto" w:fill="auto"/>
            <w:noWrap/>
            <w:vAlign w:val="bottom"/>
            <w:hideMark/>
          </w:tcPr>
          <w:p w14:paraId="228DB4B3"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548</w:t>
            </w:r>
          </w:p>
        </w:tc>
        <w:tc>
          <w:tcPr>
            <w:tcW w:w="1354" w:type="dxa"/>
            <w:tcBorders>
              <w:top w:val="nil"/>
              <w:left w:val="nil"/>
              <w:bottom w:val="single" w:sz="4" w:space="0" w:color="auto"/>
              <w:right w:val="nil"/>
            </w:tcBorders>
            <w:shd w:val="clear" w:color="auto" w:fill="auto"/>
            <w:noWrap/>
            <w:vAlign w:val="center"/>
            <w:hideMark/>
          </w:tcPr>
          <w:p w14:paraId="3159FF7C" w14:textId="0BEAFD23"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r>
      <w:tr w:rsidR="00AC1E67" w:rsidRPr="00A00187" w14:paraId="7EAB336A" w14:textId="77777777" w:rsidTr="00E414C9">
        <w:trPr>
          <w:trHeight w:val="315"/>
        </w:trPr>
        <w:tc>
          <w:tcPr>
            <w:tcW w:w="2456" w:type="dxa"/>
            <w:tcBorders>
              <w:top w:val="nil"/>
              <w:left w:val="nil"/>
              <w:bottom w:val="single" w:sz="4" w:space="0" w:color="auto"/>
              <w:right w:val="nil"/>
            </w:tcBorders>
            <w:shd w:val="clear" w:color="auto" w:fill="auto"/>
            <w:noWrap/>
            <w:vAlign w:val="bottom"/>
            <w:hideMark/>
          </w:tcPr>
          <w:p w14:paraId="0FD1BA8C"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KS Ústí n. Labem</w:t>
            </w:r>
          </w:p>
        </w:tc>
        <w:tc>
          <w:tcPr>
            <w:tcW w:w="854" w:type="dxa"/>
            <w:tcBorders>
              <w:top w:val="nil"/>
              <w:left w:val="nil"/>
              <w:bottom w:val="single" w:sz="4" w:space="0" w:color="auto"/>
              <w:right w:val="nil"/>
            </w:tcBorders>
            <w:shd w:val="clear" w:color="auto" w:fill="auto"/>
            <w:noWrap/>
            <w:vAlign w:val="bottom"/>
            <w:hideMark/>
          </w:tcPr>
          <w:p w14:paraId="7BEE50E4"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285</w:t>
            </w:r>
          </w:p>
        </w:tc>
        <w:tc>
          <w:tcPr>
            <w:tcW w:w="1367" w:type="dxa"/>
            <w:tcBorders>
              <w:top w:val="nil"/>
              <w:left w:val="nil"/>
              <w:bottom w:val="single" w:sz="4" w:space="0" w:color="auto"/>
              <w:right w:val="nil"/>
            </w:tcBorders>
            <w:shd w:val="clear" w:color="auto" w:fill="auto"/>
            <w:noWrap/>
            <w:vAlign w:val="center"/>
            <w:hideMark/>
          </w:tcPr>
          <w:p w14:paraId="00A23856" w14:textId="03924579"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867" w:type="dxa"/>
            <w:tcBorders>
              <w:top w:val="nil"/>
              <w:left w:val="single" w:sz="4" w:space="0" w:color="auto"/>
              <w:bottom w:val="single" w:sz="4" w:space="0" w:color="auto"/>
              <w:right w:val="nil"/>
            </w:tcBorders>
            <w:shd w:val="clear" w:color="auto" w:fill="auto"/>
            <w:noWrap/>
            <w:vAlign w:val="bottom"/>
            <w:hideMark/>
          </w:tcPr>
          <w:p w14:paraId="6A57F84E"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138</w:t>
            </w:r>
          </w:p>
        </w:tc>
        <w:tc>
          <w:tcPr>
            <w:tcW w:w="1188" w:type="dxa"/>
            <w:tcBorders>
              <w:top w:val="nil"/>
              <w:left w:val="nil"/>
              <w:bottom w:val="single" w:sz="4" w:space="0" w:color="auto"/>
              <w:right w:val="single" w:sz="4" w:space="0" w:color="auto"/>
            </w:tcBorders>
            <w:shd w:val="clear" w:color="auto" w:fill="auto"/>
            <w:noWrap/>
            <w:vAlign w:val="center"/>
            <w:hideMark/>
          </w:tcPr>
          <w:p w14:paraId="4BDDC9F6" w14:textId="30F4F9C2"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867" w:type="dxa"/>
            <w:tcBorders>
              <w:top w:val="nil"/>
              <w:left w:val="nil"/>
              <w:bottom w:val="single" w:sz="4" w:space="0" w:color="auto"/>
              <w:right w:val="nil"/>
            </w:tcBorders>
            <w:shd w:val="clear" w:color="auto" w:fill="auto"/>
            <w:noWrap/>
            <w:vAlign w:val="bottom"/>
            <w:hideMark/>
          </w:tcPr>
          <w:p w14:paraId="1699D0D0"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699</w:t>
            </w:r>
          </w:p>
        </w:tc>
        <w:tc>
          <w:tcPr>
            <w:tcW w:w="1354" w:type="dxa"/>
            <w:tcBorders>
              <w:top w:val="nil"/>
              <w:left w:val="nil"/>
              <w:bottom w:val="single" w:sz="4" w:space="0" w:color="auto"/>
              <w:right w:val="nil"/>
            </w:tcBorders>
            <w:shd w:val="clear" w:color="auto" w:fill="auto"/>
            <w:noWrap/>
            <w:vAlign w:val="center"/>
            <w:hideMark/>
          </w:tcPr>
          <w:p w14:paraId="25EC8B5D" w14:textId="50FDF231"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490D286B" w14:textId="77777777" w:rsidTr="00E414C9">
        <w:trPr>
          <w:trHeight w:val="315"/>
        </w:trPr>
        <w:tc>
          <w:tcPr>
            <w:tcW w:w="2456" w:type="dxa"/>
            <w:tcBorders>
              <w:top w:val="nil"/>
              <w:left w:val="nil"/>
              <w:bottom w:val="single" w:sz="4" w:space="0" w:color="auto"/>
              <w:right w:val="nil"/>
            </w:tcBorders>
            <w:shd w:val="clear" w:color="auto" w:fill="auto"/>
            <w:noWrap/>
            <w:vAlign w:val="bottom"/>
            <w:hideMark/>
          </w:tcPr>
          <w:p w14:paraId="08E07866"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KS Hr. Králové</w:t>
            </w:r>
          </w:p>
        </w:tc>
        <w:tc>
          <w:tcPr>
            <w:tcW w:w="854" w:type="dxa"/>
            <w:tcBorders>
              <w:top w:val="nil"/>
              <w:left w:val="nil"/>
              <w:bottom w:val="single" w:sz="4" w:space="0" w:color="auto"/>
              <w:right w:val="nil"/>
            </w:tcBorders>
            <w:shd w:val="clear" w:color="auto" w:fill="auto"/>
            <w:noWrap/>
            <w:vAlign w:val="bottom"/>
            <w:hideMark/>
          </w:tcPr>
          <w:p w14:paraId="2677A385"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138</w:t>
            </w:r>
          </w:p>
        </w:tc>
        <w:tc>
          <w:tcPr>
            <w:tcW w:w="1367" w:type="dxa"/>
            <w:tcBorders>
              <w:top w:val="nil"/>
              <w:left w:val="nil"/>
              <w:bottom w:val="single" w:sz="4" w:space="0" w:color="auto"/>
              <w:right w:val="nil"/>
            </w:tcBorders>
            <w:shd w:val="clear" w:color="auto" w:fill="auto"/>
            <w:noWrap/>
            <w:vAlign w:val="center"/>
            <w:hideMark/>
          </w:tcPr>
          <w:p w14:paraId="56C8DD36" w14:textId="1D7FD726"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867" w:type="dxa"/>
            <w:tcBorders>
              <w:top w:val="nil"/>
              <w:left w:val="single" w:sz="4" w:space="0" w:color="auto"/>
              <w:bottom w:val="single" w:sz="4" w:space="0" w:color="auto"/>
              <w:right w:val="nil"/>
            </w:tcBorders>
            <w:shd w:val="clear" w:color="auto" w:fill="auto"/>
            <w:noWrap/>
            <w:vAlign w:val="bottom"/>
            <w:hideMark/>
          </w:tcPr>
          <w:p w14:paraId="72DB4DC9"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65</w:t>
            </w:r>
          </w:p>
        </w:tc>
        <w:tc>
          <w:tcPr>
            <w:tcW w:w="1188" w:type="dxa"/>
            <w:tcBorders>
              <w:top w:val="nil"/>
              <w:left w:val="nil"/>
              <w:bottom w:val="single" w:sz="4" w:space="0" w:color="auto"/>
              <w:right w:val="single" w:sz="4" w:space="0" w:color="auto"/>
            </w:tcBorders>
            <w:shd w:val="clear" w:color="auto" w:fill="auto"/>
            <w:noWrap/>
            <w:vAlign w:val="center"/>
            <w:hideMark/>
          </w:tcPr>
          <w:p w14:paraId="62440ACF" w14:textId="411E4930"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867" w:type="dxa"/>
            <w:tcBorders>
              <w:top w:val="nil"/>
              <w:left w:val="nil"/>
              <w:bottom w:val="single" w:sz="4" w:space="0" w:color="auto"/>
              <w:right w:val="nil"/>
            </w:tcBorders>
            <w:shd w:val="clear" w:color="auto" w:fill="auto"/>
            <w:noWrap/>
            <w:vAlign w:val="bottom"/>
            <w:hideMark/>
          </w:tcPr>
          <w:p w14:paraId="675F8B87"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296</w:t>
            </w:r>
          </w:p>
        </w:tc>
        <w:tc>
          <w:tcPr>
            <w:tcW w:w="1354" w:type="dxa"/>
            <w:tcBorders>
              <w:top w:val="nil"/>
              <w:left w:val="nil"/>
              <w:bottom w:val="single" w:sz="4" w:space="0" w:color="auto"/>
              <w:right w:val="nil"/>
            </w:tcBorders>
            <w:shd w:val="clear" w:color="auto" w:fill="auto"/>
            <w:noWrap/>
            <w:vAlign w:val="center"/>
            <w:hideMark/>
          </w:tcPr>
          <w:p w14:paraId="57789C33" w14:textId="394130C5"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r>
      <w:tr w:rsidR="00AC1E67" w:rsidRPr="00A00187" w14:paraId="1E5342BF" w14:textId="77777777" w:rsidTr="00E414C9">
        <w:trPr>
          <w:trHeight w:val="315"/>
        </w:trPr>
        <w:tc>
          <w:tcPr>
            <w:tcW w:w="2456" w:type="dxa"/>
            <w:tcBorders>
              <w:top w:val="nil"/>
              <w:left w:val="nil"/>
              <w:bottom w:val="single" w:sz="4" w:space="0" w:color="auto"/>
              <w:right w:val="nil"/>
            </w:tcBorders>
            <w:shd w:val="clear" w:color="auto" w:fill="auto"/>
            <w:noWrap/>
            <w:vAlign w:val="bottom"/>
            <w:hideMark/>
          </w:tcPr>
          <w:p w14:paraId="18D46D2F"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KS Brno</w:t>
            </w:r>
          </w:p>
        </w:tc>
        <w:tc>
          <w:tcPr>
            <w:tcW w:w="854" w:type="dxa"/>
            <w:tcBorders>
              <w:top w:val="nil"/>
              <w:left w:val="nil"/>
              <w:bottom w:val="single" w:sz="4" w:space="0" w:color="auto"/>
              <w:right w:val="nil"/>
            </w:tcBorders>
            <w:shd w:val="clear" w:color="auto" w:fill="auto"/>
            <w:noWrap/>
            <w:vAlign w:val="bottom"/>
            <w:hideMark/>
          </w:tcPr>
          <w:p w14:paraId="286D7586"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167</w:t>
            </w:r>
          </w:p>
        </w:tc>
        <w:tc>
          <w:tcPr>
            <w:tcW w:w="1367" w:type="dxa"/>
            <w:tcBorders>
              <w:top w:val="nil"/>
              <w:left w:val="nil"/>
              <w:bottom w:val="single" w:sz="4" w:space="0" w:color="auto"/>
              <w:right w:val="nil"/>
            </w:tcBorders>
            <w:shd w:val="clear" w:color="auto" w:fill="auto"/>
            <w:noWrap/>
            <w:vAlign w:val="center"/>
            <w:hideMark/>
          </w:tcPr>
          <w:p w14:paraId="0A425A2B" w14:textId="4C6D9C61"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867" w:type="dxa"/>
            <w:tcBorders>
              <w:top w:val="nil"/>
              <w:left w:val="single" w:sz="4" w:space="0" w:color="auto"/>
              <w:bottom w:val="single" w:sz="4" w:space="0" w:color="auto"/>
              <w:right w:val="nil"/>
            </w:tcBorders>
            <w:shd w:val="clear" w:color="auto" w:fill="auto"/>
            <w:noWrap/>
            <w:vAlign w:val="bottom"/>
            <w:hideMark/>
          </w:tcPr>
          <w:p w14:paraId="2E89D7D9"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86</w:t>
            </w:r>
          </w:p>
        </w:tc>
        <w:tc>
          <w:tcPr>
            <w:tcW w:w="1188" w:type="dxa"/>
            <w:tcBorders>
              <w:top w:val="nil"/>
              <w:left w:val="nil"/>
              <w:bottom w:val="single" w:sz="4" w:space="0" w:color="auto"/>
              <w:right w:val="single" w:sz="4" w:space="0" w:color="auto"/>
            </w:tcBorders>
            <w:shd w:val="clear" w:color="auto" w:fill="auto"/>
            <w:noWrap/>
            <w:vAlign w:val="center"/>
            <w:hideMark/>
          </w:tcPr>
          <w:p w14:paraId="792A6A75" w14:textId="41EA9BBE"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867" w:type="dxa"/>
            <w:tcBorders>
              <w:top w:val="nil"/>
              <w:left w:val="nil"/>
              <w:bottom w:val="single" w:sz="4" w:space="0" w:color="auto"/>
              <w:right w:val="nil"/>
            </w:tcBorders>
            <w:shd w:val="clear" w:color="auto" w:fill="auto"/>
            <w:noWrap/>
            <w:vAlign w:val="bottom"/>
            <w:hideMark/>
          </w:tcPr>
          <w:p w14:paraId="6B430768"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373</w:t>
            </w:r>
          </w:p>
        </w:tc>
        <w:tc>
          <w:tcPr>
            <w:tcW w:w="1354" w:type="dxa"/>
            <w:tcBorders>
              <w:top w:val="nil"/>
              <w:left w:val="nil"/>
              <w:bottom w:val="single" w:sz="4" w:space="0" w:color="auto"/>
              <w:right w:val="nil"/>
            </w:tcBorders>
            <w:shd w:val="clear" w:color="auto" w:fill="auto"/>
            <w:noWrap/>
            <w:vAlign w:val="center"/>
            <w:hideMark/>
          </w:tcPr>
          <w:p w14:paraId="05801932" w14:textId="14F8CFC8"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0495E6BB" w14:textId="77777777" w:rsidTr="00E414C9">
        <w:trPr>
          <w:trHeight w:val="330"/>
        </w:trPr>
        <w:tc>
          <w:tcPr>
            <w:tcW w:w="2456" w:type="dxa"/>
            <w:tcBorders>
              <w:top w:val="nil"/>
              <w:left w:val="nil"/>
              <w:bottom w:val="double" w:sz="6" w:space="0" w:color="auto"/>
              <w:right w:val="nil"/>
            </w:tcBorders>
            <w:shd w:val="clear" w:color="auto" w:fill="auto"/>
            <w:noWrap/>
            <w:vAlign w:val="bottom"/>
            <w:hideMark/>
          </w:tcPr>
          <w:p w14:paraId="7B3459F9" w14:textId="77777777" w:rsidR="00E414C9" w:rsidRPr="00A00187" w:rsidRDefault="00E414C9" w:rsidP="00E414C9">
            <w:pPr>
              <w:spacing w:line="240" w:lineRule="auto"/>
              <w:jc w:val="left"/>
              <w:rPr>
                <w:rFonts w:eastAsia="Times New Roman"/>
                <w:szCs w:val="24"/>
                <w:lang w:eastAsia="cs-CZ"/>
              </w:rPr>
            </w:pPr>
            <w:r w:rsidRPr="00A00187">
              <w:rPr>
                <w:rFonts w:eastAsia="Times New Roman"/>
                <w:szCs w:val="24"/>
                <w:lang w:eastAsia="cs-CZ"/>
              </w:rPr>
              <w:t>KS Ostrava</w:t>
            </w:r>
          </w:p>
        </w:tc>
        <w:tc>
          <w:tcPr>
            <w:tcW w:w="854" w:type="dxa"/>
            <w:tcBorders>
              <w:top w:val="nil"/>
              <w:left w:val="nil"/>
              <w:bottom w:val="double" w:sz="6" w:space="0" w:color="auto"/>
              <w:right w:val="nil"/>
            </w:tcBorders>
            <w:shd w:val="clear" w:color="auto" w:fill="auto"/>
            <w:noWrap/>
            <w:vAlign w:val="bottom"/>
            <w:hideMark/>
          </w:tcPr>
          <w:p w14:paraId="226C9554"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219</w:t>
            </w:r>
          </w:p>
        </w:tc>
        <w:tc>
          <w:tcPr>
            <w:tcW w:w="1367" w:type="dxa"/>
            <w:tcBorders>
              <w:top w:val="nil"/>
              <w:left w:val="nil"/>
              <w:bottom w:val="double" w:sz="6" w:space="0" w:color="auto"/>
              <w:right w:val="nil"/>
            </w:tcBorders>
            <w:shd w:val="clear" w:color="auto" w:fill="auto"/>
            <w:noWrap/>
            <w:vAlign w:val="center"/>
            <w:hideMark/>
          </w:tcPr>
          <w:p w14:paraId="3AA97256" w14:textId="24150B55"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867" w:type="dxa"/>
            <w:tcBorders>
              <w:top w:val="nil"/>
              <w:left w:val="single" w:sz="4" w:space="0" w:color="auto"/>
              <w:bottom w:val="double" w:sz="6" w:space="0" w:color="auto"/>
              <w:right w:val="nil"/>
            </w:tcBorders>
            <w:shd w:val="clear" w:color="auto" w:fill="auto"/>
            <w:noWrap/>
            <w:vAlign w:val="bottom"/>
            <w:hideMark/>
          </w:tcPr>
          <w:p w14:paraId="11941746"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118</w:t>
            </w:r>
          </w:p>
        </w:tc>
        <w:tc>
          <w:tcPr>
            <w:tcW w:w="1188" w:type="dxa"/>
            <w:tcBorders>
              <w:top w:val="nil"/>
              <w:left w:val="nil"/>
              <w:bottom w:val="double" w:sz="6" w:space="0" w:color="auto"/>
              <w:right w:val="single" w:sz="4" w:space="0" w:color="auto"/>
            </w:tcBorders>
            <w:shd w:val="clear" w:color="auto" w:fill="auto"/>
            <w:noWrap/>
            <w:vAlign w:val="center"/>
            <w:hideMark/>
          </w:tcPr>
          <w:p w14:paraId="794D9D96" w14:textId="606591AD"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867" w:type="dxa"/>
            <w:tcBorders>
              <w:top w:val="nil"/>
              <w:left w:val="nil"/>
              <w:bottom w:val="double" w:sz="6" w:space="0" w:color="auto"/>
              <w:right w:val="nil"/>
            </w:tcBorders>
            <w:shd w:val="clear" w:color="auto" w:fill="auto"/>
            <w:noWrap/>
            <w:vAlign w:val="bottom"/>
            <w:hideMark/>
          </w:tcPr>
          <w:p w14:paraId="31A3766F" w14:textId="77777777" w:rsidR="00E414C9" w:rsidRPr="00A00187" w:rsidRDefault="00E414C9" w:rsidP="00E414C9">
            <w:pPr>
              <w:spacing w:line="240" w:lineRule="auto"/>
              <w:jc w:val="center"/>
              <w:rPr>
                <w:rFonts w:eastAsia="Times New Roman"/>
                <w:szCs w:val="24"/>
                <w:lang w:eastAsia="cs-CZ"/>
              </w:rPr>
            </w:pPr>
            <w:r w:rsidRPr="00A00187">
              <w:rPr>
                <w:rFonts w:eastAsia="Times New Roman"/>
                <w:szCs w:val="24"/>
                <w:lang w:eastAsia="cs-CZ"/>
              </w:rPr>
              <w:t>537</w:t>
            </w:r>
          </w:p>
        </w:tc>
        <w:tc>
          <w:tcPr>
            <w:tcW w:w="1354" w:type="dxa"/>
            <w:tcBorders>
              <w:top w:val="nil"/>
              <w:left w:val="nil"/>
              <w:bottom w:val="double" w:sz="6" w:space="0" w:color="auto"/>
              <w:right w:val="nil"/>
            </w:tcBorders>
            <w:shd w:val="clear" w:color="auto" w:fill="auto"/>
            <w:noWrap/>
            <w:vAlign w:val="center"/>
            <w:hideMark/>
          </w:tcPr>
          <w:p w14:paraId="67034C60" w14:textId="2847F9CF" w:rsidR="00E414C9" w:rsidRPr="00A00187" w:rsidRDefault="00E414C9" w:rsidP="009E4F53">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r>
      <w:tr w:rsidR="00AC1E67" w:rsidRPr="00A00187" w14:paraId="0B9D53B6" w14:textId="77777777" w:rsidTr="00E414C9">
        <w:trPr>
          <w:trHeight w:val="345"/>
        </w:trPr>
        <w:tc>
          <w:tcPr>
            <w:tcW w:w="2456" w:type="dxa"/>
            <w:tcBorders>
              <w:top w:val="nil"/>
              <w:left w:val="nil"/>
              <w:bottom w:val="double" w:sz="6" w:space="0" w:color="auto"/>
              <w:right w:val="nil"/>
            </w:tcBorders>
            <w:shd w:val="clear" w:color="auto" w:fill="auto"/>
            <w:noWrap/>
            <w:vAlign w:val="bottom"/>
            <w:hideMark/>
          </w:tcPr>
          <w:p w14:paraId="05C13DF9" w14:textId="77777777" w:rsidR="00E414C9" w:rsidRPr="00A00187" w:rsidRDefault="00E414C9" w:rsidP="00E414C9">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854" w:type="dxa"/>
            <w:tcBorders>
              <w:top w:val="nil"/>
              <w:left w:val="nil"/>
              <w:bottom w:val="double" w:sz="6" w:space="0" w:color="auto"/>
              <w:right w:val="nil"/>
            </w:tcBorders>
            <w:shd w:val="clear" w:color="auto" w:fill="auto"/>
            <w:noWrap/>
            <w:vAlign w:val="bottom"/>
            <w:hideMark/>
          </w:tcPr>
          <w:p w14:paraId="6173291C" w14:textId="77777777" w:rsidR="00E414C9" w:rsidRPr="00A00187" w:rsidRDefault="00E414C9" w:rsidP="00E414C9">
            <w:pPr>
              <w:spacing w:line="240" w:lineRule="auto"/>
              <w:jc w:val="center"/>
              <w:rPr>
                <w:rFonts w:eastAsia="Times New Roman"/>
                <w:b/>
                <w:bCs/>
                <w:szCs w:val="24"/>
                <w:lang w:eastAsia="cs-CZ"/>
              </w:rPr>
            </w:pPr>
            <w:r w:rsidRPr="00A00187">
              <w:rPr>
                <w:rFonts w:eastAsia="Times New Roman"/>
                <w:b/>
                <w:bCs/>
                <w:szCs w:val="24"/>
                <w:lang w:eastAsia="cs-CZ"/>
              </w:rPr>
              <w:t>205</w:t>
            </w:r>
          </w:p>
        </w:tc>
        <w:tc>
          <w:tcPr>
            <w:tcW w:w="1367" w:type="dxa"/>
            <w:tcBorders>
              <w:top w:val="nil"/>
              <w:left w:val="nil"/>
              <w:bottom w:val="double" w:sz="6" w:space="0" w:color="auto"/>
              <w:right w:val="nil"/>
            </w:tcBorders>
            <w:shd w:val="clear" w:color="auto" w:fill="auto"/>
            <w:noWrap/>
            <w:vAlign w:val="center"/>
            <w:hideMark/>
          </w:tcPr>
          <w:p w14:paraId="19FD0518" w14:textId="56608A67" w:rsidR="00E414C9" w:rsidRPr="00A00187" w:rsidRDefault="00E414C9"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867" w:type="dxa"/>
            <w:tcBorders>
              <w:top w:val="nil"/>
              <w:left w:val="single" w:sz="4" w:space="0" w:color="auto"/>
              <w:bottom w:val="double" w:sz="6" w:space="0" w:color="auto"/>
              <w:right w:val="nil"/>
            </w:tcBorders>
            <w:shd w:val="clear" w:color="auto" w:fill="auto"/>
            <w:noWrap/>
            <w:vAlign w:val="bottom"/>
            <w:hideMark/>
          </w:tcPr>
          <w:p w14:paraId="1AB92F1B" w14:textId="77777777" w:rsidR="00E414C9" w:rsidRPr="00A00187" w:rsidRDefault="00E414C9" w:rsidP="00E414C9">
            <w:pPr>
              <w:spacing w:line="240" w:lineRule="auto"/>
              <w:jc w:val="center"/>
              <w:rPr>
                <w:rFonts w:eastAsia="Times New Roman"/>
                <w:b/>
                <w:bCs/>
                <w:szCs w:val="24"/>
                <w:lang w:eastAsia="cs-CZ"/>
              </w:rPr>
            </w:pPr>
            <w:r w:rsidRPr="00A00187">
              <w:rPr>
                <w:rFonts w:eastAsia="Times New Roman"/>
                <w:b/>
                <w:bCs/>
                <w:szCs w:val="24"/>
                <w:lang w:eastAsia="cs-CZ"/>
              </w:rPr>
              <w:t>97</w:t>
            </w:r>
          </w:p>
        </w:tc>
        <w:tc>
          <w:tcPr>
            <w:tcW w:w="1188" w:type="dxa"/>
            <w:tcBorders>
              <w:top w:val="nil"/>
              <w:left w:val="nil"/>
              <w:bottom w:val="double" w:sz="6" w:space="0" w:color="auto"/>
              <w:right w:val="single" w:sz="4" w:space="0" w:color="auto"/>
            </w:tcBorders>
            <w:shd w:val="clear" w:color="auto" w:fill="auto"/>
            <w:noWrap/>
            <w:vAlign w:val="center"/>
            <w:hideMark/>
          </w:tcPr>
          <w:p w14:paraId="4D50D9ED" w14:textId="339288E4" w:rsidR="00E414C9" w:rsidRPr="00A00187" w:rsidRDefault="00E414C9"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867" w:type="dxa"/>
            <w:tcBorders>
              <w:top w:val="nil"/>
              <w:left w:val="nil"/>
              <w:bottom w:val="double" w:sz="6" w:space="0" w:color="auto"/>
              <w:right w:val="nil"/>
            </w:tcBorders>
            <w:shd w:val="clear" w:color="auto" w:fill="auto"/>
            <w:noWrap/>
            <w:vAlign w:val="bottom"/>
            <w:hideMark/>
          </w:tcPr>
          <w:p w14:paraId="31C53F00" w14:textId="77777777" w:rsidR="00E414C9" w:rsidRPr="00A00187" w:rsidRDefault="00E414C9" w:rsidP="00E414C9">
            <w:pPr>
              <w:spacing w:line="240" w:lineRule="auto"/>
              <w:jc w:val="center"/>
              <w:rPr>
                <w:rFonts w:eastAsia="Times New Roman"/>
                <w:b/>
                <w:bCs/>
                <w:szCs w:val="24"/>
                <w:lang w:eastAsia="cs-CZ"/>
              </w:rPr>
            </w:pPr>
            <w:r w:rsidRPr="00A00187">
              <w:rPr>
                <w:rFonts w:eastAsia="Times New Roman"/>
                <w:b/>
                <w:bCs/>
                <w:szCs w:val="24"/>
                <w:lang w:eastAsia="cs-CZ"/>
              </w:rPr>
              <w:t>494</w:t>
            </w:r>
          </w:p>
        </w:tc>
        <w:tc>
          <w:tcPr>
            <w:tcW w:w="1354" w:type="dxa"/>
            <w:tcBorders>
              <w:top w:val="nil"/>
              <w:left w:val="nil"/>
              <w:bottom w:val="double" w:sz="6" w:space="0" w:color="auto"/>
              <w:right w:val="nil"/>
            </w:tcBorders>
            <w:shd w:val="clear" w:color="auto" w:fill="auto"/>
            <w:noWrap/>
            <w:vAlign w:val="center"/>
            <w:hideMark/>
          </w:tcPr>
          <w:p w14:paraId="770EBE09" w14:textId="6C473EFB" w:rsidR="00E414C9" w:rsidRPr="00A00187" w:rsidRDefault="00E414C9"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+6</w:t>
            </w:r>
            <w:r w:rsidR="00CB570A">
              <w:rPr>
                <w:rFonts w:eastAsia="Times New Roman"/>
                <w:b/>
                <w:bCs/>
                <w:sz w:val="20"/>
                <w:szCs w:val="20"/>
                <w:lang w:eastAsia="cs-CZ"/>
              </w:rPr>
              <w:t> %</w:t>
            </w:r>
          </w:p>
        </w:tc>
      </w:tr>
      <w:tr w:rsidR="00AC1E67" w:rsidRPr="00A00187" w14:paraId="01CF12DB" w14:textId="77777777" w:rsidTr="00E414C9">
        <w:trPr>
          <w:trHeight w:val="330"/>
        </w:trPr>
        <w:tc>
          <w:tcPr>
            <w:tcW w:w="2456" w:type="dxa"/>
            <w:tcBorders>
              <w:top w:val="nil"/>
              <w:left w:val="nil"/>
              <w:bottom w:val="nil"/>
              <w:right w:val="nil"/>
            </w:tcBorders>
            <w:shd w:val="clear" w:color="auto" w:fill="auto"/>
            <w:noWrap/>
            <w:vAlign w:val="bottom"/>
            <w:hideMark/>
          </w:tcPr>
          <w:p w14:paraId="2DA12B16" w14:textId="77777777" w:rsidR="00E414C9" w:rsidRPr="00A00187" w:rsidRDefault="00E414C9" w:rsidP="00E414C9">
            <w:pPr>
              <w:spacing w:line="240" w:lineRule="auto"/>
              <w:jc w:val="center"/>
              <w:rPr>
                <w:rFonts w:eastAsia="Times New Roman"/>
                <w:b/>
                <w:bCs/>
                <w:sz w:val="20"/>
                <w:szCs w:val="20"/>
                <w:lang w:eastAsia="cs-CZ"/>
              </w:rPr>
            </w:pPr>
          </w:p>
        </w:tc>
        <w:tc>
          <w:tcPr>
            <w:tcW w:w="854" w:type="dxa"/>
            <w:tcBorders>
              <w:top w:val="nil"/>
              <w:left w:val="nil"/>
              <w:bottom w:val="nil"/>
              <w:right w:val="nil"/>
            </w:tcBorders>
            <w:shd w:val="clear" w:color="auto" w:fill="auto"/>
            <w:noWrap/>
            <w:vAlign w:val="bottom"/>
            <w:hideMark/>
          </w:tcPr>
          <w:p w14:paraId="1AFEA6CA" w14:textId="77777777" w:rsidR="00E414C9" w:rsidRPr="00A00187" w:rsidRDefault="00E414C9" w:rsidP="00E414C9">
            <w:pPr>
              <w:spacing w:line="240" w:lineRule="auto"/>
              <w:jc w:val="left"/>
              <w:rPr>
                <w:rFonts w:ascii="Times New Roman" w:eastAsia="Times New Roman" w:hAnsi="Times New Roman"/>
                <w:sz w:val="20"/>
                <w:szCs w:val="20"/>
                <w:lang w:eastAsia="cs-CZ"/>
              </w:rPr>
            </w:pPr>
          </w:p>
        </w:tc>
        <w:tc>
          <w:tcPr>
            <w:tcW w:w="1367" w:type="dxa"/>
            <w:tcBorders>
              <w:top w:val="nil"/>
              <w:left w:val="nil"/>
              <w:bottom w:val="nil"/>
              <w:right w:val="nil"/>
            </w:tcBorders>
            <w:shd w:val="clear" w:color="auto" w:fill="auto"/>
            <w:noWrap/>
            <w:vAlign w:val="bottom"/>
            <w:hideMark/>
          </w:tcPr>
          <w:p w14:paraId="365144E9" w14:textId="77777777" w:rsidR="00E414C9" w:rsidRPr="00A00187" w:rsidRDefault="00E414C9" w:rsidP="009E4F53">
            <w:pPr>
              <w:spacing w:line="240" w:lineRule="auto"/>
              <w:jc w:val="center"/>
              <w:rPr>
                <w:rFonts w:ascii="Times New Roman" w:eastAsia="Times New Roman" w:hAnsi="Times New Roman"/>
                <w:sz w:val="20"/>
                <w:szCs w:val="20"/>
                <w:lang w:eastAsia="cs-CZ"/>
              </w:rPr>
            </w:pPr>
          </w:p>
        </w:tc>
        <w:tc>
          <w:tcPr>
            <w:tcW w:w="867" w:type="dxa"/>
            <w:tcBorders>
              <w:top w:val="nil"/>
              <w:left w:val="nil"/>
              <w:bottom w:val="nil"/>
              <w:right w:val="nil"/>
            </w:tcBorders>
            <w:shd w:val="clear" w:color="auto" w:fill="auto"/>
            <w:noWrap/>
            <w:vAlign w:val="bottom"/>
            <w:hideMark/>
          </w:tcPr>
          <w:p w14:paraId="66CD7AF4" w14:textId="1CAE7F53" w:rsidR="00E414C9" w:rsidRPr="00A00187" w:rsidRDefault="00E414C9" w:rsidP="00E414C9">
            <w:pPr>
              <w:spacing w:line="240" w:lineRule="auto"/>
              <w:jc w:val="left"/>
              <w:rPr>
                <w:rFonts w:ascii="Times New Roman" w:eastAsia="Times New Roman" w:hAnsi="Times New Roman"/>
                <w:sz w:val="20"/>
                <w:szCs w:val="20"/>
                <w:lang w:eastAsia="cs-CZ"/>
              </w:rPr>
            </w:pPr>
          </w:p>
        </w:tc>
        <w:tc>
          <w:tcPr>
            <w:tcW w:w="1188" w:type="dxa"/>
            <w:tcBorders>
              <w:top w:val="nil"/>
              <w:left w:val="nil"/>
              <w:bottom w:val="nil"/>
              <w:right w:val="nil"/>
            </w:tcBorders>
            <w:shd w:val="clear" w:color="auto" w:fill="auto"/>
            <w:noWrap/>
            <w:vAlign w:val="bottom"/>
            <w:hideMark/>
          </w:tcPr>
          <w:p w14:paraId="73F2DA73" w14:textId="77777777" w:rsidR="00E414C9" w:rsidRPr="00A00187" w:rsidRDefault="00E414C9" w:rsidP="009E4F53">
            <w:pPr>
              <w:spacing w:line="240" w:lineRule="auto"/>
              <w:jc w:val="center"/>
              <w:rPr>
                <w:rFonts w:ascii="Times New Roman" w:eastAsia="Times New Roman" w:hAnsi="Times New Roman"/>
                <w:sz w:val="20"/>
                <w:szCs w:val="20"/>
                <w:lang w:eastAsia="cs-CZ"/>
              </w:rPr>
            </w:pPr>
          </w:p>
        </w:tc>
        <w:tc>
          <w:tcPr>
            <w:tcW w:w="867" w:type="dxa"/>
            <w:tcBorders>
              <w:top w:val="nil"/>
              <w:left w:val="nil"/>
              <w:bottom w:val="nil"/>
              <w:right w:val="nil"/>
            </w:tcBorders>
            <w:shd w:val="clear" w:color="auto" w:fill="auto"/>
            <w:noWrap/>
            <w:vAlign w:val="bottom"/>
            <w:hideMark/>
          </w:tcPr>
          <w:p w14:paraId="46B358A0" w14:textId="77777777" w:rsidR="00E414C9" w:rsidRPr="00A00187" w:rsidRDefault="00E414C9" w:rsidP="00E414C9">
            <w:pPr>
              <w:spacing w:line="240" w:lineRule="auto"/>
              <w:jc w:val="left"/>
              <w:rPr>
                <w:rFonts w:ascii="Times New Roman" w:eastAsia="Times New Roman" w:hAnsi="Times New Roman"/>
                <w:sz w:val="20"/>
                <w:szCs w:val="20"/>
                <w:lang w:eastAsia="cs-CZ"/>
              </w:rPr>
            </w:pPr>
          </w:p>
        </w:tc>
        <w:tc>
          <w:tcPr>
            <w:tcW w:w="1354" w:type="dxa"/>
            <w:tcBorders>
              <w:top w:val="nil"/>
              <w:left w:val="nil"/>
              <w:bottom w:val="nil"/>
              <w:right w:val="nil"/>
            </w:tcBorders>
            <w:shd w:val="clear" w:color="auto" w:fill="auto"/>
            <w:noWrap/>
            <w:vAlign w:val="bottom"/>
            <w:hideMark/>
          </w:tcPr>
          <w:p w14:paraId="695BCCDC" w14:textId="77777777" w:rsidR="00E414C9" w:rsidRPr="00A00187" w:rsidRDefault="00E414C9" w:rsidP="009E4F53">
            <w:pPr>
              <w:spacing w:line="240" w:lineRule="auto"/>
              <w:jc w:val="center"/>
              <w:rPr>
                <w:rFonts w:ascii="Times New Roman" w:eastAsia="Times New Roman" w:hAnsi="Times New Roman"/>
                <w:sz w:val="20"/>
                <w:szCs w:val="20"/>
                <w:lang w:eastAsia="cs-CZ"/>
              </w:rPr>
            </w:pPr>
          </w:p>
        </w:tc>
      </w:tr>
    </w:tbl>
    <w:p w14:paraId="1240908E" w14:textId="40903623" w:rsidR="00E414C9" w:rsidRPr="00A00187" w:rsidRDefault="00E414C9" w:rsidP="00E414C9">
      <w:pPr>
        <w:pStyle w:val="Podnadpis"/>
        <w:rPr>
          <w:color w:val="auto"/>
        </w:rPr>
      </w:pPr>
      <w:bookmarkStart w:id="294" w:name="_Toc515871350"/>
      <w:bookmarkStart w:id="295" w:name="_Toc11135085"/>
      <w:bookmarkStart w:id="296" w:name="_Toc43841401"/>
      <w:bookmarkStart w:id="297" w:name="_Toc75952203"/>
      <w:bookmarkStart w:id="298" w:name="_Toc106106656"/>
      <w:bookmarkStart w:id="299" w:name="_Toc109801980"/>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22</w:t>
      </w:r>
      <w:r w:rsidRPr="00A00187">
        <w:rPr>
          <w:noProof/>
          <w:color w:val="auto"/>
        </w:rPr>
        <w:fldChar w:fldCharType="end"/>
      </w:r>
      <w:r w:rsidRPr="00A00187">
        <w:rPr>
          <w:color w:val="auto"/>
        </w:rPr>
        <w:t>: OS – mediánové délky trestního řízení u jednotlivých soudů</w:t>
      </w:r>
      <w:bookmarkEnd w:id="294"/>
      <w:bookmarkEnd w:id="295"/>
      <w:bookmarkEnd w:id="296"/>
      <w:bookmarkEnd w:id="297"/>
      <w:bookmarkEnd w:id="298"/>
      <w:bookmarkEnd w:id="299"/>
    </w:p>
    <w:p w14:paraId="21CE5FD7" w14:textId="668F1C81" w:rsidR="001962CF" w:rsidRPr="00A00187" w:rsidRDefault="00CD68C8">
      <w:pPr>
        <w:spacing w:after="160" w:line="259" w:lineRule="auto"/>
        <w:jc w:val="left"/>
        <w:rPr>
          <w:noProof/>
        </w:rPr>
      </w:pPr>
      <w:r w:rsidRPr="00A00187">
        <w:rPr>
          <w:noProof/>
        </w:rPr>
        <w:drawing>
          <wp:anchor distT="0" distB="0" distL="114300" distR="114300" simplePos="0" relativeHeight="251672576" behindDoc="0" locked="0" layoutInCell="1" allowOverlap="1" wp14:anchorId="4A16E6D8" wp14:editId="0DA6F2A6">
            <wp:simplePos x="0" y="0"/>
            <wp:positionH relativeFrom="margin">
              <wp:align>right</wp:align>
            </wp:positionH>
            <wp:positionV relativeFrom="paragraph">
              <wp:posOffset>9525</wp:posOffset>
            </wp:positionV>
            <wp:extent cx="1238250" cy="899795"/>
            <wp:effectExtent l="0" t="0" r="0" b="0"/>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825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6E06" w:rsidRPr="00A00187">
        <w:rPr>
          <w:noProof/>
        </w:rPr>
        <w:drawing>
          <wp:inline distT="0" distB="0" distL="0" distR="0" wp14:anchorId="0164812D" wp14:editId="742B02FC">
            <wp:extent cx="5759450" cy="329628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6E2CB6D" w14:textId="306CC433" w:rsidR="00E91E62" w:rsidRPr="00A00187" w:rsidRDefault="001962CF" w:rsidP="008430BD">
      <w:pPr>
        <w:pStyle w:val="OdstavecASR"/>
      </w:pPr>
      <w:r w:rsidRPr="00A00187">
        <w:t xml:space="preserve">I když se mediánová délka řízení za celou ČR v roce 2021 takřka nezměnila, došlo k pohybům na úrovni okresních soudů. Při porovnání s kartogramem </w:t>
      </w:r>
      <w:r w:rsidR="00726EC3" w:rsidRPr="00A00187">
        <w:t>v</w:t>
      </w:r>
      <w:r w:rsidR="00726EC3">
        <w:t> </w:t>
      </w:r>
      <w:r w:rsidR="00995864" w:rsidRPr="00A00187">
        <w:t xml:space="preserve">předchozí </w:t>
      </w:r>
      <w:r w:rsidRPr="00A00187">
        <w:t xml:space="preserve">výroční statistické zprávě některé </w:t>
      </w:r>
      <w:r w:rsidR="00995864" w:rsidRPr="00A00187">
        <w:t xml:space="preserve">soudní okresy </w:t>
      </w:r>
      <w:r w:rsidRPr="00A00187">
        <w:t>„zesvětlely“ (snížily průměrnou délku řízení), jiné „ztmavly“ (zvýšily průměrnou délku řízení). Nejdelší řízení vykazují stejně jako u civilního řízení</w:t>
      </w:r>
      <w:r w:rsidRPr="00A00187" w:rsidDel="00120082">
        <w:t xml:space="preserve"> </w:t>
      </w:r>
      <w:r w:rsidRPr="00A00187">
        <w:t xml:space="preserve">okresní soudy v Severočeském kraji. Délky řízení u okresních soudů v ostatních krajích jsou poměrně vyrovnané. Tři soudy s nejkratší mediánovou délkou řízení jsou OS Svitavy (40 dnů), OS Beroun (43 dnů) a OS Kutná Hora (48 dnů). Délky řízení u nejpomalejších soudů byly v tomto roce asi pětkrát až </w:t>
      </w:r>
      <w:r w:rsidRPr="00A00187">
        <w:lastRenderedPageBreak/>
        <w:t xml:space="preserve">šestkrát </w:t>
      </w:r>
      <w:r w:rsidR="00995864" w:rsidRPr="00A00187">
        <w:t xml:space="preserve">vyšší </w:t>
      </w:r>
      <w:r w:rsidRPr="00A00187">
        <w:t>– OS Děčín (326 dnů), OS Chomutov (243 dnů) a OS Jeseník (172 dnů). Za zmínku rozhodně stojí vylepšení statistik u OS v Ústí nad Labem. Tento soud „tradičně“ patřil mezi 3 soudy s nejdelší délkou řízení. V roce 2019 již byla jeho délka řízení pod 200 dny (přesně řečeno 187 dnů), tedy pod celorepublikovým průměrem. V roce 2020 si délku řízení pod 200 dnů udržel (190 dnů)</w:t>
      </w:r>
      <w:r w:rsidR="00D66122" w:rsidRPr="00A00187">
        <w:t xml:space="preserve"> </w:t>
      </w:r>
      <w:r w:rsidR="00726EC3" w:rsidRPr="00A00187">
        <w:t>a</w:t>
      </w:r>
      <w:r w:rsidR="00726EC3">
        <w:t> </w:t>
      </w:r>
      <w:r w:rsidR="00D66122" w:rsidRPr="00A00187">
        <w:t>v roce 2021 vykázal mediánovou délku řízení 142 dnů.</w:t>
      </w:r>
    </w:p>
    <w:p w14:paraId="4138119B" w14:textId="37538671" w:rsidR="001962CF" w:rsidRPr="00A00187" w:rsidRDefault="006A6E06" w:rsidP="006A6E06">
      <w:pPr>
        <w:pStyle w:val="Podnadpis"/>
        <w:rPr>
          <w:color w:val="auto"/>
        </w:rPr>
      </w:pPr>
      <w:bookmarkStart w:id="300" w:name="_Toc43841402"/>
      <w:bookmarkStart w:id="301" w:name="_Toc75952204"/>
      <w:bookmarkStart w:id="302" w:name="_Toc106106657"/>
      <w:bookmarkStart w:id="303" w:name="_Toc109801981"/>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23</w:t>
      </w:r>
      <w:r w:rsidRPr="00A00187">
        <w:rPr>
          <w:noProof/>
          <w:color w:val="auto"/>
        </w:rPr>
        <w:fldChar w:fldCharType="end"/>
      </w:r>
      <w:r w:rsidRPr="00A00187">
        <w:rPr>
          <w:color w:val="auto"/>
        </w:rPr>
        <w:t>: OS – krabicové grafy,</w:t>
      </w:r>
      <w:r w:rsidR="003D247C">
        <w:rPr>
          <w:color w:val="auto"/>
        </w:rPr>
        <w:t xml:space="preserve"> </w:t>
      </w:r>
      <w:r w:rsidRPr="00A00187">
        <w:rPr>
          <w:color w:val="auto"/>
        </w:rPr>
        <w:t>mediánové délky trestního řízení</w:t>
      </w:r>
      <w:bookmarkEnd w:id="300"/>
      <w:bookmarkEnd w:id="301"/>
      <w:bookmarkEnd w:id="302"/>
      <w:bookmarkEnd w:id="303"/>
    </w:p>
    <w:p w14:paraId="18C9B6B9" w14:textId="0D739C85" w:rsidR="001962CF" w:rsidRPr="00A00187" w:rsidRDefault="001962CF" w:rsidP="008430BD">
      <w:pPr>
        <w:pStyle w:val="OdstavecASR"/>
      </w:pPr>
      <w:r w:rsidRPr="00A00187">
        <w:rPr>
          <w:noProof/>
        </w:rPr>
        <w:drawing>
          <wp:inline distT="0" distB="0" distL="0" distR="0" wp14:anchorId="27484E78" wp14:editId="1BF71542">
            <wp:extent cx="5029200" cy="36576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1D726C0" w14:textId="3440DA66" w:rsidR="00E974EA" w:rsidRPr="00A00187" w:rsidRDefault="00E974EA" w:rsidP="00E974EA">
      <w:pPr>
        <w:pStyle w:val="OdstavecASR"/>
      </w:pPr>
      <w:r w:rsidRPr="00A00187">
        <w:t xml:space="preserve">Z krabicového grafu vidíme, že rozdíly mezi soudy se v posledních letech příliš nemění. V roce 2018 však přeci jen došlo ke zlepšení u nejpomalejších soudů, kdy se odlehlé hodnoty přiblížily „ke krabici“. V roce 2019 se z hlediska variability oproti roku 2018 nic nezměnilo. Sice klesla délka řízení u některých nejpomalejších soudů, u jiných soudů ale vzrostla, a tak je zlepšující se soudy vlastně „nahradily“. V roce 2020 došlo k mírnému snížení variability. Několik odlehlých hodnot je nyní v boxu. Pouze jeden soud (OS Děčín) vykazoval délku řízení přes 200 dnů, a jak je vidět na grafu, jedná se o bod, který je zdaleka nejdále od boxu. V roce 2021 pak „odskočily“ dva body (soudy), </w:t>
      </w:r>
      <w:r w:rsidR="00726EC3" w:rsidRPr="00A00187">
        <w:t>a</w:t>
      </w:r>
      <w:r w:rsidR="00726EC3">
        <w:t> </w:t>
      </w:r>
      <w:r w:rsidRPr="00A00187">
        <w:t xml:space="preserve">to OS Děčín </w:t>
      </w:r>
      <w:r w:rsidR="00726EC3" w:rsidRPr="00A00187">
        <w:t>a</w:t>
      </w:r>
      <w:r w:rsidR="00726EC3">
        <w:t> </w:t>
      </w:r>
      <w:r w:rsidRPr="00A00187">
        <w:t>OS Chomutov, kde se délka řízení v roce 2021 prodloužila.</w:t>
      </w:r>
    </w:p>
    <w:p w14:paraId="65F68ACF" w14:textId="61A89A83" w:rsidR="00E974EA" w:rsidRPr="00A00187" w:rsidRDefault="00E974EA" w:rsidP="00E974EA">
      <w:pPr>
        <w:pStyle w:val="OdstavecASR"/>
      </w:pPr>
      <w:r w:rsidRPr="00A00187">
        <w:t>Při pohledu na délky řízení by se mohlo zdát, že se celorepublikově situace v trestním řízení nelepší</w:t>
      </w:r>
      <w:r w:rsidR="009C4FF1" w:rsidRPr="00A00187">
        <w:t>.</w:t>
      </w:r>
      <w:r w:rsidRPr="00A00187">
        <w:t xml:space="preserve"> Další podkapitola nicméně ukazuje, že se postupně počet nevyřízených věcí</w:t>
      </w:r>
      <w:r w:rsidR="009C4FF1" w:rsidRPr="00A00187">
        <w:t xml:space="preserve"> celkově dařilo snižovat</w:t>
      </w:r>
      <w:r w:rsidRPr="00A00187">
        <w:t>.</w:t>
      </w:r>
    </w:p>
    <w:p w14:paraId="3E38192A" w14:textId="7593141E" w:rsidR="00E974EA" w:rsidRPr="00A00187" w:rsidRDefault="00E974EA" w:rsidP="00E974EA">
      <w:pPr>
        <w:pStyle w:val="OdstavecASR"/>
      </w:pPr>
      <w:r w:rsidRPr="00A00187">
        <w:t>Stejně jako u civilního řízení se na délky řízení v roce 202</w:t>
      </w:r>
      <w:r w:rsidR="00030140" w:rsidRPr="00A00187">
        <w:t>1</w:t>
      </w:r>
      <w:r w:rsidRPr="00A00187">
        <w:t xml:space="preserve"> podíváme ještě pomocí histogramu. Šířka jednoho intervalu (sloupce) je 25 dnů. Pro lepší přehlednost uvádíme všechny délky řízení delší než 800 dnů v jednom sloupci (na grafu nejvíce vpravo). Proto je tento sloupec výrazně „vyšší“ než sloupce předchozí. Distribuce délek řízení je takřka stejná jako v letech 2018 </w:t>
      </w:r>
      <w:r w:rsidR="004B6C44" w:rsidRPr="00A00187">
        <w:t>až</w:t>
      </w:r>
      <w:r w:rsidRPr="00A00187">
        <w:t> 20</w:t>
      </w:r>
      <w:r w:rsidR="004B6C44" w:rsidRPr="00A00187">
        <w:t>20</w:t>
      </w:r>
      <w:r w:rsidRPr="00A00187">
        <w:t>, tedy například:</w:t>
      </w:r>
    </w:p>
    <w:p w14:paraId="092A44AA" w14:textId="609FB5D0" w:rsidR="00E974EA" w:rsidRPr="00A00187" w:rsidRDefault="00E974EA" w:rsidP="00E974EA">
      <w:pPr>
        <w:pStyle w:val="Odstavecseseznamem"/>
        <w:numPr>
          <w:ilvl w:val="0"/>
          <w:numId w:val="9"/>
        </w:numPr>
      </w:pPr>
      <w:r w:rsidRPr="00A00187">
        <w:t>Jen necelých 5</w:t>
      </w:r>
      <w:r w:rsidR="00CB570A">
        <w:t> %</w:t>
      </w:r>
      <w:r w:rsidRPr="00A00187">
        <w:t> věcí bylo vyřízeno za více než 800 dnů.</w:t>
      </w:r>
    </w:p>
    <w:p w14:paraId="3598F085" w14:textId="77777777" w:rsidR="00E974EA" w:rsidRPr="00A00187" w:rsidRDefault="00E974EA" w:rsidP="00E974EA">
      <w:pPr>
        <w:pStyle w:val="Odstavecseseznamem"/>
        <w:numPr>
          <w:ilvl w:val="0"/>
          <w:numId w:val="8"/>
        </w:numPr>
        <w:ind w:left="714" w:hanging="357"/>
        <w:jc w:val="left"/>
      </w:pPr>
      <w:r w:rsidRPr="00A00187">
        <w:t>Asi čtvrtina věcí byla vyřízena velice rychle – do 50 dnů ode dne nápadu u soudu.</w:t>
      </w:r>
    </w:p>
    <w:p w14:paraId="474FF216" w14:textId="559E9AEA" w:rsidR="00E974EA" w:rsidRPr="00A00187" w:rsidRDefault="00E974EA" w:rsidP="00E974EA">
      <w:pPr>
        <w:pStyle w:val="Odstavecseseznamem"/>
        <w:numPr>
          <w:ilvl w:val="0"/>
          <w:numId w:val="8"/>
        </w:numPr>
        <w:ind w:left="714" w:hanging="357"/>
        <w:jc w:val="left"/>
      </w:pPr>
      <w:r w:rsidRPr="00A00187">
        <w:lastRenderedPageBreak/>
        <w:t>Největší skupina věcí (cca 1</w:t>
      </w:r>
      <w:r w:rsidR="00162A92" w:rsidRPr="00A00187">
        <w:t>7</w:t>
      </w:r>
      <w:r w:rsidR="00CB570A">
        <w:t> %</w:t>
      </w:r>
      <w:r w:rsidRPr="00A00187">
        <w:t>) byla vyřízena za 26 až 50 dnů. S přibývající délkou řízení četnost klesá.</w:t>
      </w:r>
    </w:p>
    <w:p w14:paraId="610712AD" w14:textId="77777777" w:rsidR="00E974EA" w:rsidRPr="00A00187" w:rsidRDefault="00E974EA" w:rsidP="00E974EA">
      <w:pPr>
        <w:pStyle w:val="Odstavecseseznamem"/>
        <w:numPr>
          <w:ilvl w:val="0"/>
          <w:numId w:val="8"/>
        </w:numPr>
        <w:ind w:left="714" w:hanging="357"/>
        <w:jc w:val="left"/>
      </w:pPr>
      <w:r w:rsidRPr="00A00187">
        <w:t>Rozdělení délek řízení je celkem podobné rozdělení v civilním řízení. Absolutní hodnoty jsou ale výrazně nižší.</w:t>
      </w:r>
    </w:p>
    <w:p w14:paraId="67646B22" w14:textId="77777777" w:rsidR="00E974EA" w:rsidRPr="00A00187" w:rsidRDefault="00E974EA" w:rsidP="00E974EA"/>
    <w:p w14:paraId="126EF3F6" w14:textId="7E231B37" w:rsidR="00E974EA" w:rsidRPr="00A00187" w:rsidRDefault="00E974EA" w:rsidP="00E974EA">
      <w:pPr>
        <w:pStyle w:val="Podnadpis"/>
        <w:rPr>
          <w:color w:val="auto"/>
        </w:rPr>
      </w:pPr>
      <w:bookmarkStart w:id="304" w:name="_Toc515871352"/>
      <w:bookmarkStart w:id="305" w:name="_Toc11135087"/>
      <w:bookmarkStart w:id="306" w:name="_Toc43841403"/>
      <w:bookmarkStart w:id="307" w:name="_Toc75952205"/>
      <w:bookmarkStart w:id="308" w:name="_Toc106106658"/>
      <w:bookmarkStart w:id="309" w:name="_Toc109801982"/>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24</w:t>
      </w:r>
      <w:r w:rsidRPr="00A00187">
        <w:rPr>
          <w:color w:val="auto"/>
        </w:rPr>
        <w:fldChar w:fldCharType="end"/>
      </w:r>
      <w:r w:rsidRPr="00A00187">
        <w:rPr>
          <w:color w:val="auto"/>
        </w:rPr>
        <w:t>: OS – distribuce délek trestního řízení</w:t>
      </w:r>
      <w:bookmarkEnd w:id="304"/>
      <w:bookmarkEnd w:id="305"/>
      <w:bookmarkEnd w:id="306"/>
      <w:bookmarkEnd w:id="307"/>
      <w:bookmarkEnd w:id="308"/>
      <w:bookmarkEnd w:id="309"/>
    </w:p>
    <w:p w14:paraId="63BA0835" w14:textId="50FE94A1" w:rsidR="00E26C17" w:rsidRPr="00A00187" w:rsidRDefault="004B6C44" w:rsidP="008430BD">
      <w:pPr>
        <w:pStyle w:val="OdstavecASR"/>
      </w:pPr>
      <w:r w:rsidRPr="00A00187">
        <w:rPr>
          <w:noProof/>
        </w:rPr>
        <w:drawing>
          <wp:inline distT="0" distB="0" distL="0" distR="0" wp14:anchorId="00D9B8D5" wp14:editId="5DD758CD">
            <wp:extent cx="5029200" cy="365760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198D627" w14:textId="2AE233CC" w:rsidR="00297BEC" w:rsidRPr="00A00187" w:rsidRDefault="00297BEC">
      <w:pPr>
        <w:spacing w:after="160" w:line="259" w:lineRule="auto"/>
        <w:jc w:val="left"/>
      </w:pPr>
      <w:r w:rsidRPr="00A00187">
        <w:br w:type="page"/>
      </w:r>
    </w:p>
    <w:p w14:paraId="0C617C80" w14:textId="77777777" w:rsidR="008430BD" w:rsidRPr="00A00187" w:rsidRDefault="008430BD" w:rsidP="008430BD">
      <w:pPr>
        <w:pStyle w:val="Nadpis3"/>
        <w:numPr>
          <w:ilvl w:val="2"/>
          <w:numId w:val="1"/>
        </w:numPr>
        <w:rPr>
          <w:color w:val="auto"/>
        </w:rPr>
      </w:pPr>
      <w:bookmarkStart w:id="310" w:name="_Toc515871232"/>
      <w:bookmarkStart w:id="311" w:name="_Toc106092729"/>
      <w:bookmarkStart w:id="312" w:name="_Toc109801345"/>
      <w:r w:rsidRPr="00A00187">
        <w:rPr>
          <w:color w:val="auto"/>
        </w:rPr>
        <w:lastRenderedPageBreak/>
        <w:t>Vyřizování věcí</w:t>
      </w:r>
      <w:bookmarkEnd w:id="310"/>
      <w:bookmarkEnd w:id="311"/>
      <w:bookmarkEnd w:id="312"/>
    </w:p>
    <w:p w14:paraId="27348401" w14:textId="3B84895B" w:rsidR="008430BD" w:rsidRPr="00A00187" w:rsidRDefault="00162A92" w:rsidP="00297BEC">
      <w:pPr>
        <w:pStyle w:val="Podnadpis"/>
        <w:rPr>
          <w:color w:val="auto"/>
        </w:rPr>
      </w:pPr>
      <w:bookmarkStart w:id="313" w:name="_Toc515871353"/>
      <w:bookmarkStart w:id="314" w:name="_Toc11135088"/>
      <w:bookmarkStart w:id="315" w:name="_Toc43841404"/>
      <w:bookmarkStart w:id="316" w:name="_Toc75952206"/>
      <w:bookmarkStart w:id="317" w:name="_Toc106106659"/>
      <w:bookmarkStart w:id="318" w:name="_Toc109801983"/>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25</w:t>
      </w:r>
      <w:r w:rsidRPr="00A00187">
        <w:rPr>
          <w:color w:val="auto"/>
        </w:rPr>
        <w:fldChar w:fldCharType="end"/>
      </w:r>
      <w:r w:rsidRPr="00A00187">
        <w:rPr>
          <w:color w:val="auto"/>
        </w:rPr>
        <w:t>: OS – vyřizování trestních věcí v letech 2008–</w:t>
      </w:r>
      <w:bookmarkEnd w:id="313"/>
      <w:bookmarkEnd w:id="314"/>
      <w:bookmarkEnd w:id="315"/>
      <w:r w:rsidRPr="00A00187">
        <w:rPr>
          <w:color w:val="auto"/>
        </w:rPr>
        <w:t>202</w:t>
      </w:r>
      <w:bookmarkEnd w:id="316"/>
      <w:r w:rsidR="00297BEC" w:rsidRPr="00A00187">
        <w:rPr>
          <w:color w:val="auto"/>
        </w:rPr>
        <w:t>1</w:t>
      </w:r>
      <w:bookmarkEnd w:id="317"/>
      <w:bookmarkEnd w:id="318"/>
    </w:p>
    <w:p w14:paraId="503CB704" w14:textId="53D259E6" w:rsidR="00F10457" w:rsidRPr="00A00187" w:rsidRDefault="00F10457" w:rsidP="00F10457">
      <w:r w:rsidRPr="00A00187">
        <w:rPr>
          <w:noProof/>
        </w:rPr>
        <w:drawing>
          <wp:inline distT="0" distB="0" distL="0" distR="0" wp14:anchorId="00651C77" wp14:editId="2C65AE09">
            <wp:extent cx="5029200" cy="365760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DBCD82" w14:textId="4A67E2F8" w:rsidR="00F10457" w:rsidRPr="00A00187" w:rsidRDefault="00F10457" w:rsidP="00F10457"/>
    <w:p w14:paraId="26E44CB8" w14:textId="7ACF78AF" w:rsidR="00F10457" w:rsidRPr="00A00187" w:rsidRDefault="00F10457" w:rsidP="00F10457">
      <w:pPr>
        <w:pStyle w:val="OdstavecASR"/>
      </w:pPr>
      <w:r w:rsidRPr="00A00187">
        <w:t xml:space="preserve">V grafu je na první pohled patrný výrazný </w:t>
      </w:r>
      <w:r w:rsidR="00726EC3" w:rsidRPr="00A00187">
        <w:t>a</w:t>
      </w:r>
      <w:r w:rsidR="00726EC3">
        <w:t> </w:t>
      </w:r>
      <w:r w:rsidR="00BB191A" w:rsidRPr="00A00187">
        <w:t>setrvalý</w:t>
      </w:r>
      <w:r w:rsidRPr="00A00187">
        <w:t xml:space="preserve"> pokles v nápadu a počtu vyřízených věcí po roce 2013. Tento trend je opravdu silný a vyplývá z poklesu kriminality na území ČR. Především pokles v nápadu v posledních letech se pak projevil i v poklesu počtu nevyřízených věcí. Trend se zastavil teprve v roce 2019, kdy byl nápad na úrovni roku 2018. V roce 2020 došlo k prudkému poklesu v počtu příchozích věcí, a to o 13</w:t>
      </w:r>
      <w:r w:rsidR="00CB570A">
        <w:t> %</w:t>
      </w:r>
      <w:r w:rsidRPr="00A00187">
        <w:t>. To samozřejmě lze připsat pandemii COVID</w:t>
      </w:r>
      <w:r w:rsidRPr="00A00187">
        <w:noBreakHyphen/>
        <w:t xml:space="preserve">19 a vládním opatřením k bránění šíření této pandemie. Během této doby </w:t>
      </w:r>
      <w:r w:rsidR="00BB191A" w:rsidRPr="00A00187">
        <w:t>bylo</w:t>
      </w:r>
      <w:r w:rsidRPr="00A00187">
        <w:t xml:space="preserve"> složitější páchat některé druhy trestné činnosti. Dle některých teorií</w:t>
      </w:r>
      <w:r w:rsidRPr="00A00187">
        <w:rPr>
          <w:rStyle w:val="Znakapoznpodarou"/>
        </w:rPr>
        <w:footnoteReference w:id="8"/>
      </w:r>
      <w:r w:rsidRPr="00A00187">
        <w:t xml:space="preserve"> mohou pachatele odradit i vyšší tresty. Data ukazují, že během nouzového stavu opravdu byly vyšší tresty ukládány. Vyřízené věci klesly proporcionálně. Stejně jako v civilní agendě se tedy zdá, že COVID</w:t>
      </w:r>
      <w:r w:rsidRPr="00A00187">
        <w:noBreakHyphen/>
        <w:t>19 snížil nápad (zde dokonce výrazněji), ale nevedl na rozdíl od civilní agendy</w:t>
      </w:r>
      <w:r w:rsidR="00E067F9" w:rsidRPr="00A00187">
        <w:t xml:space="preserve"> </w:t>
      </w:r>
      <w:r w:rsidRPr="00A00187">
        <w:t xml:space="preserve">ke zvýšení v počtu nevyřízených věcí. Lze samozřejmě dovozovat, že s takto nízkým nápadem by za normálního chodu byly soudy schopny snížit počet nedodělků, ale jedná se pouze o spekulaci. V roce 2021 pandemie pokračovala </w:t>
      </w:r>
      <w:r w:rsidR="00726EC3" w:rsidRPr="00A00187">
        <w:t>a</w:t>
      </w:r>
      <w:r w:rsidR="00726EC3">
        <w:t> </w:t>
      </w:r>
      <w:r w:rsidRPr="00A00187">
        <w:t xml:space="preserve">počet příchozích věcí nezačal stoupat na úroveň před </w:t>
      </w:r>
      <w:r w:rsidR="00001A5F" w:rsidRPr="00A00187">
        <w:t>rokem 2020</w:t>
      </w:r>
      <w:r w:rsidRPr="00A00187">
        <w:t>. Právě naopak, dokonce došlo k</w:t>
      </w:r>
      <w:r w:rsidR="003B4C95" w:rsidRPr="00A00187">
        <w:t xml:space="preserve"> dalšímu </w:t>
      </w:r>
      <w:r w:rsidRPr="00A00187">
        <w:t>mírnému poklesu</w:t>
      </w:r>
      <w:r w:rsidR="003B4C95" w:rsidRPr="00A00187">
        <w:t xml:space="preserve"> </w:t>
      </w:r>
      <w:r w:rsidR="00726EC3" w:rsidRPr="00A00187">
        <w:t>o</w:t>
      </w:r>
      <w:r w:rsidR="00726EC3">
        <w:t> </w:t>
      </w:r>
      <w:r w:rsidR="003B4C95" w:rsidRPr="00A00187">
        <w:t>4</w:t>
      </w:r>
      <w:r w:rsidR="00CB570A">
        <w:t> %</w:t>
      </w:r>
      <w:r w:rsidRPr="00A00187">
        <w:t xml:space="preserve">. </w:t>
      </w:r>
      <w:bookmarkStart w:id="319" w:name="_Hlk104291227"/>
      <w:r w:rsidRPr="00A00187">
        <w:t>Soudů</w:t>
      </w:r>
      <w:r w:rsidR="004A13C7" w:rsidRPr="00A00187">
        <w:t>m</w:t>
      </w:r>
      <w:r w:rsidRPr="00A00187">
        <w:t xml:space="preserve"> se podařilo vyřídit více věcí, než přišlo </w:t>
      </w:r>
      <w:r w:rsidR="00726EC3" w:rsidRPr="00A00187">
        <w:t>a</w:t>
      </w:r>
      <w:r w:rsidR="00726EC3">
        <w:t> </w:t>
      </w:r>
      <w:r w:rsidRPr="00A00187">
        <w:t xml:space="preserve">počet nevyřízených věcí je tak </w:t>
      </w:r>
      <w:r w:rsidR="009046C8" w:rsidRPr="00A00187">
        <w:t xml:space="preserve">nejnižší </w:t>
      </w:r>
      <w:r w:rsidRPr="00A00187">
        <w:t>za celé sledované období</w:t>
      </w:r>
      <w:r w:rsidR="00F94945" w:rsidRPr="00A00187">
        <w:t>;</w:t>
      </w:r>
      <w:r w:rsidRPr="00A00187">
        <w:t xml:space="preserve"> </w:t>
      </w:r>
      <w:r w:rsidR="00F94945" w:rsidRPr="00A00187">
        <w:t>o</w:t>
      </w:r>
      <w:r w:rsidRPr="00A00187">
        <w:t xml:space="preserve">d roku 2008 klesl </w:t>
      </w:r>
      <w:r w:rsidR="002208A8" w:rsidRPr="00A00187">
        <w:t>přibližně</w:t>
      </w:r>
      <w:r w:rsidRPr="00A00187">
        <w:t xml:space="preserve"> na polovinu.</w:t>
      </w:r>
    </w:p>
    <w:bookmarkEnd w:id="319"/>
    <w:p w14:paraId="1B1B911D" w14:textId="0B9AC2E8" w:rsidR="00F10457" w:rsidRPr="00A00187" w:rsidRDefault="00F10457">
      <w:pPr>
        <w:spacing w:after="160" w:line="259" w:lineRule="auto"/>
        <w:jc w:val="left"/>
      </w:pPr>
      <w:r w:rsidRPr="00A00187">
        <w:br w:type="page"/>
      </w:r>
    </w:p>
    <w:p w14:paraId="2EE49BDB" w14:textId="1AD882E6" w:rsidR="00F10457" w:rsidRPr="00A00187" w:rsidRDefault="00F10457" w:rsidP="00F10457">
      <w:pPr>
        <w:pStyle w:val="Podnadpis"/>
        <w:rPr>
          <w:color w:val="auto"/>
        </w:rPr>
      </w:pPr>
      <w:bookmarkStart w:id="320" w:name="_Toc75952324"/>
      <w:bookmarkStart w:id="321" w:name="_Toc106106783"/>
      <w:bookmarkStart w:id="322" w:name="_Toc109802106"/>
      <w:r w:rsidRPr="00A00187">
        <w:rPr>
          <w:color w:val="auto"/>
        </w:rPr>
        <w:lastRenderedPageBreak/>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21</w:t>
      </w:r>
      <w:r w:rsidRPr="00A00187">
        <w:rPr>
          <w:noProof/>
          <w:color w:val="auto"/>
        </w:rPr>
        <w:fldChar w:fldCharType="end"/>
      </w:r>
      <w:r w:rsidRPr="00A00187">
        <w:rPr>
          <w:color w:val="auto"/>
        </w:rPr>
        <w:t>: OS – vyřizování trestních věcí dle krajů</w:t>
      </w:r>
      <w:bookmarkEnd w:id="320"/>
      <w:bookmarkEnd w:id="321"/>
      <w:bookmarkEnd w:id="322"/>
    </w:p>
    <w:tbl>
      <w:tblPr>
        <w:tblW w:w="9140" w:type="dxa"/>
        <w:tblCellMar>
          <w:left w:w="70" w:type="dxa"/>
          <w:right w:w="70" w:type="dxa"/>
        </w:tblCellMar>
        <w:tblLook w:val="04A0" w:firstRow="1" w:lastRow="0" w:firstColumn="1" w:lastColumn="0" w:noHBand="0" w:noVBand="1"/>
      </w:tblPr>
      <w:tblGrid>
        <w:gridCol w:w="2036"/>
        <w:gridCol w:w="1033"/>
        <w:gridCol w:w="820"/>
        <w:gridCol w:w="1042"/>
        <w:gridCol w:w="820"/>
        <w:gridCol w:w="1011"/>
        <w:gridCol w:w="862"/>
        <w:gridCol w:w="1516"/>
      </w:tblGrid>
      <w:tr w:rsidR="00AC1E67" w:rsidRPr="00A00187" w14:paraId="20D4C0A3" w14:textId="77777777" w:rsidTr="00F10457">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41B0486F" w14:textId="77777777"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5588" w:type="dxa"/>
            <w:gridSpan w:val="6"/>
            <w:tcBorders>
              <w:top w:val="double" w:sz="6" w:space="0" w:color="auto"/>
              <w:left w:val="nil"/>
              <w:bottom w:val="nil"/>
              <w:right w:val="single" w:sz="4" w:space="0" w:color="000000"/>
            </w:tcBorders>
            <w:shd w:val="clear" w:color="auto" w:fill="auto"/>
            <w:noWrap/>
            <w:vAlign w:val="center"/>
            <w:hideMark/>
          </w:tcPr>
          <w:p w14:paraId="22D7A91C" w14:textId="77777777"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vMerge w:val="restart"/>
            <w:tcBorders>
              <w:top w:val="double" w:sz="6" w:space="0" w:color="auto"/>
              <w:left w:val="nil"/>
              <w:bottom w:val="double" w:sz="6" w:space="0" w:color="000000"/>
              <w:right w:val="nil"/>
            </w:tcBorders>
            <w:shd w:val="clear" w:color="auto" w:fill="auto"/>
            <w:vAlign w:val="center"/>
            <w:hideMark/>
          </w:tcPr>
          <w:p w14:paraId="467F6865" w14:textId="77777777"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3AB9B17F" w14:textId="77777777" w:rsidTr="00F10457">
        <w:trPr>
          <w:trHeight w:val="330"/>
        </w:trPr>
        <w:tc>
          <w:tcPr>
            <w:tcW w:w="2036" w:type="dxa"/>
            <w:vMerge/>
            <w:tcBorders>
              <w:top w:val="double" w:sz="6" w:space="0" w:color="auto"/>
              <w:left w:val="nil"/>
              <w:bottom w:val="double" w:sz="6" w:space="0" w:color="000000"/>
              <w:right w:val="nil"/>
            </w:tcBorders>
            <w:vAlign w:val="center"/>
            <w:hideMark/>
          </w:tcPr>
          <w:p w14:paraId="1CEEEDCE" w14:textId="77777777" w:rsidR="00F10457" w:rsidRPr="00A00187" w:rsidRDefault="00F10457" w:rsidP="00F10457">
            <w:pPr>
              <w:spacing w:line="240" w:lineRule="auto"/>
              <w:jc w:val="left"/>
              <w:rPr>
                <w:rFonts w:eastAsia="Times New Roman"/>
                <w:b/>
                <w:bCs/>
                <w:szCs w:val="24"/>
                <w:lang w:eastAsia="cs-CZ"/>
              </w:rPr>
            </w:pPr>
          </w:p>
        </w:tc>
        <w:tc>
          <w:tcPr>
            <w:tcW w:w="1853" w:type="dxa"/>
            <w:gridSpan w:val="2"/>
            <w:tcBorders>
              <w:top w:val="nil"/>
              <w:left w:val="nil"/>
              <w:bottom w:val="double" w:sz="6" w:space="0" w:color="auto"/>
              <w:right w:val="nil"/>
            </w:tcBorders>
            <w:shd w:val="clear" w:color="auto" w:fill="auto"/>
            <w:noWrap/>
            <w:vAlign w:val="center"/>
            <w:hideMark/>
          </w:tcPr>
          <w:p w14:paraId="1525C158" w14:textId="77777777"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86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47707B6" w14:textId="77777777"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873" w:type="dxa"/>
            <w:gridSpan w:val="2"/>
            <w:tcBorders>
              <w:top w:val="nil"/>
              <w:left w:val="nil"/>
              <w:bottom w:val="double" w:sz="6" w:space="0" w:color="auto"/>
              <w:right w:val="single" w:sz="4" w:space="0" w:color="000000"/>
            </w:tcBorders>
            <w:shd w:val="clear" w:color="auto" w:fill="auto"/>
            <w:noWrap/>
            <w:vAlign w:val="center"/>
            <w:hideMark/>
          </w:tcPr>
          <w:p w14:paraId="456FBA8B" w14:textId="77777777"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vMerge/>
            <w:tcBorders>
              <w:top w:val="double" w:sz="6" w:space="0" w:color="auto"/>
              <w:left w:val="nil"/>
              <w:bottom w:val="double" w:sz="6" w:space="0" w:color="000000"/>
              <w:right w:val="nil"/>
            </w:tcBorders>
            <w:vAlign w:val="center"/>
            <w:hideMark/>
          </w:tcPr>
          <w:p w14:paraId="6A542FC6" w14:textId="77777777" w:rsidR="00F10457" w:rsidRPr="00A00187" w:rsidRDefault="00F10457" w:rsidP="00F10457">
            <w:pPr>
              <w:spacing w:line="240" w:lineRule="auto"/>
              <w:jc w:val="left"/>
              <w:rPr>
                <w:rFonts w:eastAsia="Times New Roman"/>
                <w:b/>
                <w:bCs/>
                <w:szCs w:val="24"/>
                <w:lang w:eastAsia="cs-CZ"/>
              </w:rPr>
            </w:pPr>
          </w:p>
        </w:tc>
      </w:tr>
      <w:tr w:rsidR="00AC1E67" w:rsidRPr="00A00187" w14:paraId="5583B958" w14:textId="77777777" w:rsidTr="00F10457">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00DB2491"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MS Praha</w:t>
            </w:r>
          </w:p>
        </w:tc>
        <w:tc>
          <w:tcPr>
            <w:tcW w:w="1033" w:type="dxa"/>
            <w:tcBorders>
              <w:top w:val="single" w:sz="4" w:space="0" w:color="auto"/>
              <w:left w:val="nil"/>
              <w:bottom w:val="single" w:sz="4" w:space="0" w:color="auto"/>
              <w:right w:val="nil"/>
            </w:tcBorders>
            <w:shd w:val="clear" w:color="auto" w:fill="auto"/>
            <w:noWrap/>
            <w:vAlign w:val="bottom"/>
            <w:hideMark/>
          </w:tcPr>
          <w:p w14:paraId="72167077" w14:textId="7777777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8 472</w:t>
            </w:r>
          </w:p>
        </w:tc>
        <w:tc>
          <w:tcPr>
            <w:tcW w:w="820" w:type="dxa"/>
            <w:tcBorders>
              <w:top w:val="single" w:sz="4" w:space="0" w:color="auto"/>
              <w:left w:val="nil"/>
              <w:bottom w:val="single" w:sz="4" w:space="0" w:color="auto"/>
              <w:right w:val="nil"/>
            </w:tcBorders>
            <w:shd w:val="clear" w:color="auto" w:fill="auto"/>
            <w:noWrap/>
            <w:vAlign w:val="center"/>
            <w:hideMark/>
          </w:tcPr>
          <w:p w14:paraId="61E5825C" w14:textId="0C6D9CDD"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042" w:type="dxa"/>
            <w:tcBorders>
              <w:top w:val="single" w:sz="4" w:space="0" w:color="auto"/>
              <w:left w:val="single" w:sz="4" w:space="0" w:color="auto"/>
              <w:bottom w:val="single" w:sz="4" w:space="0" w:color="auto"/>
              <w:right w:val="nil"/>
            </w:tcBorders>
            <w:shd w:val="clear" w:color="auto" w:fill="auto"/>
            <w:noWrap/>
            <w:vAlign w:val="bottom"/>
            <w:hideMark/>
          </w:tcPr>
          <w:p w14:paraId="3CC6F5D7" w14:textId="7777777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8 529</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37D1FA98" w14:textId="4CF5B2BF"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011" w:type="dxa"/>
            <w:tcBorders>
              <w:top w:val="single" w:sz="4" w:space="0" w:color="auto"/>
              <w:left w:val="nil"/>
              <w:bottom w:val="single" w:sz="4" w:space="0" w:color="auto"/>
              <w:right w:val="nil"/>
            </w:tcBorders>
            <w:shd w:val="clear" w:color="auto" w:fill="auto"/>
            <w:noWrap/>
            <w:vAlign w:val="bottom"/>
            <w:hideMark/>
          </w:tcPr>
          <w:p w14:paraId="0D87699F" w14:textId="7777777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1 157</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1EEBA86B" w14:textId="50AA790B"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1A8D86D" w14:textId="28A1452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100,7</w:t>
            </w:r>
            <w:r w:rsidR="00CB570A">
              <w:rPr>
                <w:rFonts w:eastAsia="Times New Roman"/>
                <w:szCs w:val="24"/>
                <w:lang w:eastAsia="cs-CZ"/>
              </w:rPr>
              <w:t> %</w:t>
            </w:r>
          </w:p>
        </w:tc>
      </w:tr>
      <w:tr w:rsidR="00AC1E67" w:rsidRPr="00A00187" w14:paraId="4AD57BFC" w14:textId="77777777" w:rsidTr="00F10457">
        <w:trPr>
          <w:trHeight w:val="315"/>
        </w:trPr>
        <w:tc>
          <w:tcPr>
            <w:tcW w:w="2036" w:type="dxa"/>
            <w:tcBorders>
              <w:top w:val="nil"/>
              <w:left w:val="nil"/>
              <w:bottom w:val="single" w:sz="4" w:space="0" w:color="auto"/>
              <w:right w:val="nil"/>
            </w:tcBorders>
            <w:shd w:val="clear" w:color="auto" w:fill="auto"/>
            <w:noWrap/>
            <w:vAlign w:val="bottom"/>
            <w:hideMark/>
          </w:tcPr>
          <w:p w14:paraId="396A4674"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KS Praha</w:t>
            </w:r>
          </w:p>
        </w:tc>
        <w:tc>
          <w:tcPr>
            <w:tcW w:w="1033" w:type="dxa"/>
            <w:tcBorders>
              <w:top w:val="nil"/>
              <w:left w:val="nil"/>
              <w:bottom w:val="single" w:sz="4" w:space="0" w:color="auto"/>
              <w:right w:val="nil"/>
            </w:tcBorders>
            <w:shd w:val="clear" w:color="auto" w:fill="auto"/>
            <w:noWrap/>
            <w:vAlign w:val="bottom"/>
            <w:hideMark/>
          </w:tcPr>
          <w:p w14:paraId="3D1D8FAE" w14:textId="22F82298"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7 032</w:t>
            </w:r>
          </w:p>
        </w:tc>
        <w:tc>
          <w:tcPr>
            <w:tcW w:w="820" w:type="dxa"/>
            <w:tcBorders>
              <w:top w:val="nil"/>
              <w:left w:val="nil"/>
              <w:bottom w:val="single" w:sz="4" w:space="0" w:color="auto"/>
              <w:right w:val="nil"/>
            </w:tcBorders>
            <w:shd w:val="clear" w:color="auto" w:fill="auto"/>
            <w:noWrap/>
            <w:vAlign w:val="center"/>
            <w:hideMark/>
          </w:tcPr>
          <w:p w14:paraId="321DE140" w14:textId="27CB814C"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3F572253" w14:textId="77792F95"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7 194</w:t>
            </w:r>
          </w:p>
        </w:tc>
        <w:tc>
          <w:tcPr>
            <w:tcW w:w="820" w:type="dxa"/>
            <w:tcBorders>
              <w:top w:val="nil"/>
              <w:left w:val="nil"/>
              <w:bottom w:val="single" w:sz="4" w:space="0" w:color="auto"/>
              <w:right w:val="single" w:sz="4" w:space="0" w:color="auto"/>
            </w:tcBorders>
            <w:shd w:val="clear" w:color="auto" w:fill="auto"/>
            <w:noWrap/>
            <w:vAlign w:val="center"/>
            <w:hideMark/>
          </w:tcPr>
          <w:p w14:paraId="0CCCAE56" w14:textId="08D72AF2"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14:paraId="2348C71A" w14:textId="0DD26786"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481</w:t>
            </w:r>
          </w:p>
        </w:tc>
        <w:tc>
          <w:tcPr>
            <w:tcW w:w="862" w:type="dxa"/>
            <w:tcBorders>
              <w:top w:val="nil"/>
              <w:left w:val="nil"/>
              <w:bottom w:val="single" w:sz="4" w:space="0" w:color="auto"/>
              <w:right w:val="single" w:sz="4" w:space="0" w:color="auto"/>
            </w:tcBorders>
            <w:shd w:val="clear" w:color="auto" w:fill="auto"/>
            <w:noWrap/>
            <w:vAlign w:val="center"/>
            <w:hideMark/>
          </w:tcPr>
          <w:p w14:paraId="3A0AEA37" w14:textId="36F27CDA"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4FC81B8B" w14:textId="4D69A5B8"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102,3</w:t>
            </w:r>
            <w:r w:rsidR="00CB570A">
              <w:rPr>
                <w:rFonts w:eastAsia="Times New Roman"/>
                <w:szCs w:val="24"/>
                <w:lang w:eastAsia="cs-CZ"/>
              </w:rPr>
              <w:t> %</w:t>
            </w:r>
          </w:p>
        </w:tc>
      </w:tr>
      <w:tr w:rsidR="00AC1E67" w:rsidRPr="00A00187" w14:paraId="799CD722" w14:textId="77777777" w:rsidTr="00F10457">
        <w:trPr>
          <w:trHeight w:val="315"/>
        </w:trPr>
        <w:tc>
          <w:tcPr>
            <w:tcW w:w="2036" w:type="dxa"/>
            <w:tcBorders>
              <w:top w:val="nil"/>
              <w:left w:val="nil"/>
              <w:bottom w:val="single" w:sz="4" w:space="0" w:color="auto"/>
              <w:right w:val="nil"/>
            </w:tcBorders>
            <w:shd w:val="clear" w:color="auto" w:fill="auto"/>
            <w:noWrap/>
            <w:vAlign w:val="bottom"/>
            <w:hideMark/>
          </w:tcPr>
          <w:p w14:paraId="7B02603D"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KS Č. Budějovice</w:t>
            </w:r>
          </w:p>
        </w:tc>
        <w:tc>
          <w:tcPr>
            <w:tcW w:w="1033" w:type="dxa"/>
            <w:tcBorders>
              <w:top w:val="nil"/>
              <w:left w:val="nil"/>
              <w:bottom w:val="single" w:sz="4" w:space="0" w:color="auto"/>
              <w:right w:val="nil"/>
            </w:tcBorders>
            <w:shd w:val="clear" w:color="auto" w:fill="auto"/>
            <w:noWrap/>
            <w:vAlign w:val="bottom"/>
            <w:hideMark/>
          </w:tcPr>
          <w:p w14:paraId="2533015E" w14:textId="2453F77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4 206</w:t>
            </w:r>
          </w:p>
        </w:tc>
        <w:tc>
          <w:tcPr>
            <w:tcW w:w="820" w:type="dxa"/>
            <w:tcBorders>
              <w:top w:val="nil"/>
              <w:left w:val="nil"/>
              <w:bottom w:val="single" w:sz="4" w:space="0" w:color="auto"/>
              <w:right w:val="nil"/>
            </w:tcBorders>
            <w:shd w:val="clear" w:color="auto" w:fill="auto"/>
            <w:noWrap/>
            <w:vAlign w:val="center"/>
            <w:hideMark/>
          </w:tcPr>
          <w:p w14:paraId="30C83AB5" w14:textId="5B768AAD"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0C80F724" w14:textId="775E4B3C"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4 339</w:t>
            </w:r>
          </w:p>
        </w:tc>
        <w:tc>
          <w:tcPr>
            <w:tcW w:w="820" w:type="dxa"/>
            <w:tcBorders>
              <w:top w:val="nil"/>
              <w:left w:val="nil"/>
              <w:bottom w:val="single" w:sz="4" w:space="0" w:color="auto"/>
              <w:right w:val="single" w:sz="4" w:space="0" w:color="auto"/>
            </w:tcBorders>
            <w:shd w:val="clear" w:color="auto" w:fill="auto"/>
            <w:noWrap/>
            <w:vAlign w:val="center"/>
            <w:hideMark/>
          </w:tcPr>
          <w:p w14:paraId="4A95DB32" w14:textId="41974C6C"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14:paraId="7206F310" w14:textId="7777777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540</w:t>
            </w:r>
          </w:p>
        </w:tc>
        <w:tc>
          <w:tcPr>
            <w:tcW w:w="862" w:type="dxa"/>
            <w:tcBorders>
              <w:top w:val="nil"/>
              <w:left w:val="nil"/>
              <w:bottom w:val="single" w:sz="4" w:space="0" w:color="auto"/>
              <w:right w:val="single" w:sz="4" w:space="0" w:color="auto"/>
            </w:tcBorders>
            <w:shd w:val="clear" w:color="auto" w:fill="auto"/>
            <w:noWrap/>
            <w:vAlign w:val="center"/>
            <w:hideMark/>
          </w:tcPr>
          <w:p w14:paraId="0FA7AE38" w14:textId="0FAC9994"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2ED34222" w14:textId="55147A7A"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103,2</w:t>
            </w:r>
            <w:r w:rsidR="00CB570A">
              <w:rPr>
                <w:rFonts w:eastAsia="Times New Roman"/>
                <w:szCs w:val="24"/>
                <w:lang w:eastAsia="cs-CZ"/>
              </w:rPr>
              <w:t> %</w:t>
            </w:r>
          </w:p>
        </w:tc>
      </w:tr>
      <w:tr w:rsidR="00AC1E67" w:rsidRPr="00A00187" w14:paraId="653A9C57" w14:textId="77777777" w:rsidTr="00F10457">
        <w:trPr>
          <w:trHeight w:val="315"/>
        </w:trPr>
        <w:tc>
          <w:tcPr>
            <w:tcW w:w="2036" w:type="dxa"/>
            <w:tcBorders>
              <w:top w:val="nil"/>
              <w:left w:val="nil"/>
              <w:bottom w:val="single" w:sz="4" w:space="0" w:color="auto"/>
              <w:right w:val="nil"/>
            </w:tcBorders>
            <w:shd w:val="clear" w:color="auto" w:fill="auto"/>
            <w:noWrap/>
            <w:vAlign w:val="bottom"/>
            <w:hideMark/>
          </w:tcPr>
          <w:p w14:paraId="10F629D1"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KS Plzeň</w:t>
            </w:r>
          </w:p>
        </w:tc>
        <w:tc>
          <w:tcPr>
            <w:tcW w:w="1033" w:type="dxa"/>
            <w:tcBorders>
              <w:top w:val="nil"/>
              <w:left w:val="nil"/>
              <w:bottom w:val="single" w:sz="4" w:space="0" w:color="auto"/>
              <w:right w:val="nil"/>
            </w:tcBorders>
            <w:shd w:val="clear" w:color="auto" w:fill="auto"/>
            <w:noWrap/>
            <w:vAlign w:val="bottom"/>
            <w:hideMark/>
          </w:tcPr>
          <w:p w14:paraId="4EAEF125" w14:textId="44494654"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5 265</w:t>
            </w:r>
          </w:p>
        </w:tc>
        <w:tc>
          <w:tcPr>
            <w:tcW w:w="820" w:type="dxa"/>
            <w:tcBorders>
              <w:top w:val="nil"/>
              <w:left w:val="nil"/>
              <w:bottom w:val="single" w:sz="4" w:space="0" w:color="auto"/>
              <w:right w:val="nil"/>
            </w:tcBorders>
            <w:shd w:val="clear" w:color="auto" w:fill="auto"/>
            <w:noWrap/>
            <w:vAlign w:val="center"/>
            <w:hideMark/>
          </w:tcPr>
          <w:p w14:paraId="2865F774" w14:textId="05719C1F"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6AD2DCE7" w14:textId="4804B345"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5 567</w:t>
            </w:r>
          </w:p>
        </w:tc>
        <w:tc>
          <w:tcPr>
            <w:tcW w:w="820" w:type="dxa"/>
            <w:tcBorders>
              <w:top w:val="nil"/>
              <w:left w:val="nil"/>
              <w:bottom w:val="single" w:sz="4" w:space="0" w:color="auto"/>
              <w:right w:val="single" w:sz="4" w:space="0" w:color="auto"/>
            </w:tcBorders>
            <w:shd w:val="clear" w:color="auto" w:fill="auto"/>
            <w:noWrap/>
            <w:vAlign w:val="center"/>
            <w:hideMark/>
          </w:tcPr>
          <w:p w14:paraId="367179DD" w14:textId="645BA226"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14:paraId="3A5CD526" w14:textId="7777777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934</w:t>
            </w:r>
          </w:p>
        </w:tc>
        <w:tc>
          <w:tcPr>
            <w:tcW w:w="862" w:type="dxa"/>
            <w:tcBorders>
              <w:top w:val="nil"/>
              <w:left w:val="nil"/>
              <w:bottom w:val="single" w:sz="4" w:space="0" w:color="auto"/>
              <w:right w:val="single" w:sz="4" w:space="0" w:color="auto"/>
            </w:tcBorders>
            <w:shd w:val="clear" w:color="auto" w:fill="auto"/>
            <w:noWrap/>
            <w:vAlign w:val="center"/>
            <w:hideMark/>
          </w:tcPr>
          <w:p w14:paraId="1669DFAF" w14:textId="6B8C8932"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6B6FDFC" w14:textId="029D40B2"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105,7</w:t>
            </w:r>
            <w:r w:rsidR="00CB570A">
              <w:rPr>
                <w:rFonts w:eastAsia="Times New Roman"/>
                <w:szCs w:val="24"/>
                <w:lang w:eastAsia="cs-CZ"/>
              </w:rPr>
              <w:t> %</w:t>
            </w:r>
          </w:p>
        </w:tc>
      </w:tr>
      <w:tr w:rsidR="00AC1E67" w:rsidRPr="00A00187" w14:paraId="49F50538" w14:textId="77777777" w:rsidTr="00F10457">
        <w:trPr>
          <w:trHeight w:val="315"/>
        </w:trPr>
        <w:tc>
          <w:tcPr>
            <w:tcW w:w="2036" w:type="dxa"/>
            <w:tcBorders>
              <w:top w:val="nil"/>
              <w:left w:val="nil"/>
              <w:bottom w:val="single" w:sz="4" w:space="0" w:color="auto"/>
              <w:right w:val="nil"/>
            </w:tcBorders>
            <w:shd w:val="clear" w:color="auto" w:fill="auto"/>
            <w:noWrap/>
            <w:vAlign w:val="bottom"/>
            <w:hideMark/>
          </w:tcPr>
          <w:p w14:paraId="148C8FBF"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KS Ústí n. Labem</w:t>
            </w:r>
          </w:p>
        </w:tc>
        <w:tc>
          <w:tcPr>
            <w:tcW w:w="1033" w:type="dxa"/>
            <w:tcBorders>
              <w:top w:val="nil"/>
              <w:left w:val="nil"/>
              <w:bottom w:val="single" w:sz="4" w:space="0" w:color="auto"/>
              <w:right w:val="nil"/>
            </w:tcBorders>
            <w:shd w:val="clear" w:color="auto" w:fill="auto"/>
            <w:noWrap/>
            <w:vAlign w:val="bottom"/>
            <w:hideMark/>
          </w:tcPr>
          <w:p w14:paraId="6F735991" w14:textId="4A1BE3E6"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10 117</w:t>
            </w:r>
          </w:p>
        </w:tc>
        <w:tc>
          <w:tcPr>
            <w:tcW w:w="820" w:type="dxa"/>
            <w:tcBorders>
              <w:top w:val="nil"/>
              <w:left w:val="nil"/>
              <w:bottom w:val="single" w:sz="4" w:space="0" w:color="auto"/>
              <w:right w:val="nil"/>
            </w:tcBorders>
            <w:shd w:val="clear" w:color="auto" w:fill="auto"/>
            <w:noWrap/>
            <w:vAlign w:val="center"/>
            <w:hideMark/>
          </w:tcPr>
          <w:p w14:paraId="373FFEF2" w14:textId="3703CEFE"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2D2459B7" w14:textId="5C720A5D"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10 703</w:t>
            </w:r>
          </w:p>
        </w:tc>
        <w:tc>
          <w:tcPr>
            <w:tcW w:w="820" w:type="dxa"/>
            <w:tcBorders>
              <w:top w:val="nil"/>
              <w:left w:val="nil"/>
              <w:bottom w:val="single" w:sz="4" w:space="0" w:color="auto"/>
              <w:right w:val="single" w:sz="4" w:space="0" w:color="auto"/>
            </w:tcBorders>
            <w:shd w:val="clear" w:color="auto" w:fill="auto"/>
            <w:noWrap/>
            <w:vAlign w:val="center"/>
            <w:hideMark/>
          </w:tcPr>
          <w:p w14:paraId="6692861D" w14:textId="2A68809F"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14:paraId="1E2FEF10" w14:textId="5BDA3840"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2 795</w:t>
            </w:r>
          </w:p>
        </w:tc>
        <w:tc>
          <w:tcPr>
            <w:tcW w:w="862" w:type="dxa"/>
            <w:tcBorders>
              <w:top w:val="nil"/>
              <w:left w:val="nil"/>
              <w:bottom w:val="single" w:sz="4" w:space="0" w:color="auto"/>
              <w:right w:val="single" w:sz="4" w:space="0" w:color="auto"/>
            </w:tcBorders>
            <w:shd w:val="clear" w:color="auto" w:fill="auto"/>
            <w:noWrap/>
            <w:vAlign w:val="center"/>
            <w:hideMark/>
          </w:tcPr>
          <w:p w14:paraId="2FF2FB33" w14:textId="0978397B"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179BAAD2" w14:textId="0E0A300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105,8</w:t>
            </w:r>
            <w:r w:rsidR="00CB570A">
              <w:rPr>
                <w:rFonts w:eastAsia="Times New Roman"/>
                <w:szCs w:val="24"/>
                <w:lang w:eastAsia="cs-CZ"/>
              </w:rPr>
              <w:t> %</w:t>
            </w:r>
          </w:p>
        </w:tc>
      </w:tr>
      <w:tr w:rsidR="00AC1E67" w:rsidRPr="00A00187" w14:paraId="3E0BCE2F" w14:textId="77777777" w:rsidTr="00F10457">
        <w:trPr>
          <w:trHeight w:val="315"/>
        </w:trPr>
        <w:tc>
          <w:tcPr>
            <w:tcW w:w="2036" w:type="dxa"/>
            <w:tcBorders>
              <w:top w:val="nil"/>
              <w:left w:val="nil"/>
              <w:bottom w:val="single" w:sz="4" w:space="0" w:color="auto"/>
              <w:right w:val="nil"/>
            </w:tcBorders>
            <w:shd w:val="clear" w:color="auto" w:fill="auto"/>
            <w:noWrap/>
            <w:vAlign w:val="bottom"/>
            <w:hideMark/>
          </w:tcPr>
          <w:p w14:paraId="57D60165"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KS Hr. Králové</w:t>
            </w:r>
          </w:p>
        </w:tc>
        <w:tc>
          <w:tcPr>
            <w:tcW w:w="1033" w:type="dxa"/>
            <w:tcBorders>
              <w:top w:val="nil"/>
              <w:left w:val="nil"/>
              <w:bottom w:val="single" w:sz="4" w:space="0" w:color="auto"/>
              <w:right w:val="nil"/>
            </w:tcBorders>
            <w:shd w:val="clear" w:color="auto" w:fill="auto"/>
            <w:noWrap/>
            <w:vAlign w:val="bottom"/>
            <w:hideMark/>
          </w:tcPr>
          <w:p w14:paraId="4800678B" w14:textId="2B02D129"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5 516</w:t>
            </w:r>
          </w:p>
        </w:tc>
        <w:tc>
          <w:tcPr>
            <w:tcW w:w="820" w:type="dxa"/>
            <w:tcBorders>
              <w:top w:val="nil"/>
              <w:left w:val="nil"/>
              <w:bottom w:val="single" w:sz="4" w:space="0" w:color="auto"/>
              <w:right w:val="nil"/>
            </w:tcBorders>
            <w:shd w:val="clear" w:color="auto" w:fill="auto"/>
            <w:noWrap/>
            <w:vAlign w:val="center"/>
            <w:hideMark/>
          </w:tcPr>
          <w:p w14:paraId="52910FE5" w14:textId="538C120B"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221B9A36" w14:textId="6AABD0B1"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5 562</w:t>
            </w:r>
          </w:p>
        </w:tc>
        <w:tc>
          <w:tcPr>
            <w:tcW w:w="820" w:type="dxa"/>
            <w:tcBorders>
              <w:top w:val="nil"/>
              <w:left w:val="nil"/>
              <w:bottom w:val="single" w:sz="4" w:space="0" w:color="auto"/>
              <w:right w:val="single" w:sz="4" w:space="0" w:color="auto"/>
            </w:tcBorders>
            <w:shd w:val="clear" w:color="auto" w:fill="auto"/>
            <w:noWrap/>
            <w:vAlign w:val="center"/>
            <w:hideMark/>
          </w:tcPr>
          <w:p w14:paraId="17F7D12D" w14:textId="061B0E0F"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14:paraId="192070BC" w14:textId="77777777"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603</w:t>
            </w:r>
          </w:p>
        </w:tc>
        <w:tc>
          <w:tcPr>
            <w:tcW w:w="862" w:type="dxa"/>
            <w:tcBorders>
              <w:top w:val="nil"/>
              <w:left w:val="nil"/>
              <w:bottom w:val="single" w:sz="4" w:space="0" w:color="auto"/>
              <w:right w:val="single" w:sz="4" w:space="0" w:color="auto"/>
            </w:tcBorders>
            <w:shd w:val="clear" w:color="auto" w:fill="auto"/>
            <w:noWrap/>
            <w:vAlign w:val="center"/>
            <w:hideMark/>
          </w:tcPr>
          <w:p w14:paraId="0C91976B" w14:textId="6441CFF7"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486AA369" w14:textId="34E432A9"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100,8</w:t>
            </w:r>
            <w:r w:rsidR="00CB570A">
              <w:rPr>
                <w:rFonts w:eastAsia="Times New Roman"/>
                <w:szCs w:val="24"/>
                <w:lang w:eastAsia="cs-CZ"/>
              </w:rPr>
              <w:t> %</w:t>
            </w:r>
          </w:p>
        </w:tc>
      </w:tr>
      <w:tr w:rsidR="00AC1E67" w:rsidRPr="00A00187" w14:paraId="6127D354" w14:textId="77777777" w:rsidTr="00F10457">
        <w:trPr>
          <w:trHeight w:val="315"/>
        </w:trPr>
        <w:tc>
          <w:tcPr>
            <w:tcW w:w="2036" w:type="dxa"/>
            <w:tcBorders>
              <w:top w:val="nil"/>
              <w:left w:val="nil"/>
              <w:bottom w:val="single" w:sz="4" w:space="0" w:color="auto"/>
              <w:right w:val="nil"/>
            </w:tcBorders>
            <w:shd w:val="clear" w:color="auto" w:fill="auto"/>
            <w:noWrap/>
            <w:vAlign w:val="bottom"/>
            <w:hideMark/>
          </w:tcPr>
          <w:p w14:paraId="65F1AF26"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KS Brno</w:t>
            </w:r>
          </w:p>
        </w:tc>
        <w:tc>
          <w:tcPr>
            <w:tcW w:w="1033" w:type="dxa"/>
            <w:tcBorders>
              <w:top w:val="nil"/>
              <w:left w:val="nil"/>
              <w:bottom w:val="single" w:sz="4" w:space="0" w:color="auto"/>
              <w:right w:val="nil"/>
            </w:tcBorders>
            <w:shd w:val="clear" w:color="auto" w:fill="auto"/>
            <w:noWrap/>
            <w:vAlign w:val="bottom"/>
            <w:hideMark/>
          </w:tcPr>
          <w:p w14:paraId="03D928FD" w14:textId="261EED3C"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9 090</w:t>
            </w:r>
          </w:p>
        </w:tc>
        <w:tc>
          <w:tcPr>
            <w:tcW w:w="820" w:type="dxa"/>
            <w:tcBorders>
              <w:top w:val="nil"/>
              <w:left w:val="nil"/>
              <w:bottom w:val="single" w:sz="4" w:space="0" w:color="auto"/>
              <w:right w:val="nil"/>
            </w:tcBorders>
            <w:shd w:val="clear" w:color="auto" w:fill="auto"/>
            <w:noWrap/>
            <w:vAlign w:val="center"/>
            <w:hideMark/>
          </w:tcPr>
          <w:p w14:paraId="3D061FC4" w14:textId="6EA68243"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2EFD8256" w14:textId="7ADF7C2D"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9 266</w:t>
            </w:r>
          </w:p>
        </w:tc>
        <w:tc>
          <w:tcPr>
            <w:tcW w:w="820" w:type="dxa"/>
            <w:tcBorders>
              <w:top w:val="nil"/>
              <w:left w:val="nil"/>
              <w:bottom w:val="single" w:sz="4" w:space="0" w:color="auto"/>
              <w:right w:val="single" w:sz="4" w:space="0" w:color="auto"/>
            </w:tcBorders>
            <w:shd w:val="clear" w:color="auto" w:fill="auto"/>
            <w:noWrap/>
            <w:vAlign w:val="center"/>
            <w:hideMark/>
          </w:tcPr>
          <w:p w14:paraId="4E7DF8CE" w14:textId="56F71510"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14:paraId="51BECF53" w14:textId="5DACCE68"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1 473</w:t>
            </w:r>
          </w:p>
        </w:tc>
        <w:tc>
          <w:tcPr>
            <w:tcW w:w="862" w:type="dxa"/>
            <w:tcBorders>
              <w:top w:val="nil"/>
              <w:left w:val="nil"/>
              <w:bottom w:val="single" w:sz="4" w:space="0" w:color="auto"/>
              <w:right w:val="single" w:sz="4" w:space="0" w:color="auto"/>
            </w:tcBorders>
            <w:shd w:val="clear" w:color="auto" w:fill="auto"/>
            <w:noWrap/>
            <w:vAlign w:val="center"/>
            <w:hideMark/>
          </w:tcPr>
          <w:p w14:paraId="202490DA" w14:textId="4BD41DFB"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35D5ABAD" w14:textId="591766FF"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101,9</w:t>
            </w:r>
            <w:r w:rsidR="00CB570A">
              <w:rPr>
                <w:rFonts w:eastAsia="Times New Roman"/>
                <w:szCs w:val="24"/>
                <w:lang w:eastAsia="cs-CZ"/>
              </w:rPr>
              <w:t> %</w:t>
            </w:r>
          </w:p>
        </w:tc>
      </w:tr>
      <w:tr w:rsidR="00AC1E67" w:rsidRPr="00A00187" w14:paraId="502F4B23" w14:textId="77777777" w:rsidTr="00F10457">
        <w:trPr>
          <w:trHeight w:val="330"/>
        </w:trPr>
        <w:tc>
          <w:tcPr>
            <w:tcW w:w="2036" w:type="dxa"/>
            <w:tcBorders>
              <w:top w:val="nil"/>
              <w:left w:val="nil"/>
              <w:bottom w:val="double" w:sz="6" w:space="0" w:color="auto"/>
              <w:right w:val="nil"/>
            </w:tcBorders>
            <w:shd w:val="clear" w:color="auto" w:fill="auto"/>
            <w:noWrap/>
            <w:vAlign w:val="bottom"/>
            <w:hideMark/>
          </w:tcPr>
          <w:p w14:paraId="4FE3224B" w14:textId="77777777" w:rsidR="00F10457" w:rsidRPr="00A00187" w:rsidRDefault="00F10457" w:rsidP="00F10457">
            <w:pPr>
              <w:spacing w:line="240" w:lineRule="auto"/>
              <w:jc w:val="left"/>
              <w:rPr>
                <w:rFonts w:eastAsia="Times New Roman"/>
                <w:szCs w:val="24"/>
                <w:lang w:eastAsia="cs-CZ"/>
              </w:rPr>
            </w:pPr>
            <w:r w:rsidRPr="00A00187">
              <w:rPr>
                <w:rFonts w:eastAsia="Times New Roman"/>
                <w:szCs w:val="24"/>
                <w:lang w:eastAsia="cs-CZ"/>
              </w:rPr>
              <w:t>KS Ostrava</w:t>
            </w:r>
          </w:p>
        </w:tc>
        <w:tc>
          <w:tcPr>
            <w:tcW w:w="1033" w:type="dxa"/>
            <w:tcBorders>
              <w:top w:val="nil"/>
              <w:left w:val="nil"/>
              <w:bottom w:val="double" w:sz="6" w:space="0" w:color="auto"/>
              <w:right w:val="nil"/>
            </w:tcBorders>
            <w:shd w:val="clear" w:color="auto" w:fill="auto"/>
            <w:noWrap/>
            <w:vAlign w:val="bottom"/>
            <w:hideMark/>
          </w:tcPr>
          <w:p w14:paraId="57A77CD9" w14:textId="0B7FDA63"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11 569</w:t>
            </w:r>
          </w:p>
        </w:tc>
        <w:tc>
          <w:tcPr>
            <w:tcW w:w="820" w:type="dxa"/>
            <w:tcBorders>
              <w:top w:val="nil"/>
              <w:left w:val="nil"/>
              <w:bottom w:val="double" w:sz="6" w:space="0" w:color="auto"/>
              <w:right w:val="nil"/>
            </w:tcBorders>
            <w:shd w:val="clear" w:color="auto" w:fill="auto"/>
            <w:noWrap/>
            <w:vAlign w:val="center"/>
            <w:hideMark/>
          </w:tcPr>
          <w:p w14:paraId="4F6D765C" w14:textId="63EA094D"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42" w:type="dxa"/>
            <w:tcBorders>
              <w:top w:val="nil"/>
              <w:left w:val="single" w:sz="4" w:space="0" w:color="auto"/>
              <w:bottom w:val="double" w:sz="6" w:space="0" w:color="auto"/>
              <w:right w:val="nil"/>
            </w:tcBorders>
            <w:shd w:val="clear" w:color="auto" w:fill="auto"/>
            <w:noWrap/>
            <w:vAlign w:val="bottom"/>
            <w:hideMark/>
          </w:tcPr>
          <w:p w14:paraId="356285FB" w14:textId="2A7C3A90"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12 005</w:t>
            </w:r>
          </w:p>
        </w:tc>
        <w:tc>
          <w:tcPr>
            <w:tcW w:w="820" w:type="dxa"/>
            <w:tcBorders>
              <w:top w:val="nil"/>
              <w:left w:val="nil"/>
              <w:bottom w:val="double" w:sz="6" w:space="0" w:color="auto"/>
              <w:right w:val="single" w:sz="4" w:space="0" w:color="auto"/>
            </w:tcBorders>
            <w:shd w:val="clear" w:color="auto" w:fill="auto"/>
            <w:noWrap/>
            <w:vAlign w:val="center"/>
            <w:hideMark/>
          </w:tcPr>
          <w:p w14:paraId="1FBAD0DE" w14:textId="5FEFE8D1"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11" w:type="dxa"/>
            <w:tcBorders>
              <w:top w:val="nil"/>
              <w:left w:val="nil"/>
              <w:bottom w:val="double" w:sz="6" w:space="0" w:color="auto"/>
              <w:right w:val="nil"/>
            </w:tcBorders>
            <w:shd w:val="clear" w:color="auto" w:fill="auto"/>
            <w:noWrap/>
            <w:vAlign w:val="bottom"/>
            <w:hideMark/>
          </w:tcPr>
          <w:p w14:paraId="5CEB9097" w14:textId="49775FD8"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2 247</w:t>
            </w:r>
          </w:p>
        </w:tc>
        <w:tc>
          <w:tcPr>
            <w:tcW w:w="862" w:type="dxa"/>
            <w:tcBorders>
              <w:top w:val="nil"/>
              <w:left w:val="nil"/>
              <w:bottom w:val="double" w:sz="6" w:space="0" w:color="auto"/>
              <w:right w:val="single" w:sz="4" w:space="0" w:color="auto"/>
            </w:tcBorders>
            <w:shd w:val="clear" w:color="auto" w:fill="auto"/>
            <w:noWrap/>
            <w:vAlign w:val="center"/>
            <w:hideMark/>
          </w:tcPr>
          <w:p w14:paraId="5416D6AF" w14:textId="238F0B90" w:rsidR="00F10457" w:rsidRPr="00A00187" w:rsidRDefault="00F10457" w:rsidP="009E4F53">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1516" w:type="dxa"/>
            <w:tcBorders>
              <w:top w:val="nil"/>
              <w:left w:val="nil"/>
              <w:bottom w:val="nil"/>
              <w:right w:val="nil"/>
            </w:tcBorders>
            <w:shd w:val="clear" w:color="auto" w:fill="auto"/>
            <w:noWrap/>
            <w:vAlign w:val="center"/>
            <w:hideMark/>
          </w:tcPr>
          <w:p w14:paraId="0B36CBA6" w14:textId="4E6136C3" w:rsidR="00F10457" w:rsidRPr="00A00187" w:rsidRDefault="00F10457" w:rsidP="00F10457">
            <w:pPr>
              <w:spacing w:line="240" w:lineRule="auto"/>
              <w:jc w:val="center"/>
              <w:rPr>
                <w:rFonts w:eastAsia="Times New Roman"/>
                <w:szCs w:val="24"/>
                <w:lang w:eastAsia="cs-CZ"/>
              </w:rPr>
            </w:pPr>
            <w:r w:rsidRPr="00A00187">
              <w:rPr>
                <w:rFonts w:eastAsia="Times New Roman"/>
                <w:szCs w:val="24"/>
                <w:lang w:eastAsia="cs-CZ"/>
              </w:rPr>
              <w:t>103,8</w:t>
            </w:r>
            <w:r w:rsidR="00CB570A">
              <w:rPr>
                <w:rFonts w:eastAsia="Times New Roman"/>
                <w:szCs w:val="24"/>
                <w:lang w:eastAsia="cs-CZ"/>
              </w:rPr>
              <w:t> %</w:t>
            </w:r>
          </w:p>
        </w:tc>
      </w:tr>
      <w:tr w:rsidR="00AC1E67" w:rsidRPr="00A00187" w14:paraId="68CA2E0E" w14:textId="77777777" w:rsidTr="00F10457">
        <w:trPr>
          <w:trHeight w:val="345"/>
        </w:trPr>
        <w:tc>
          <w:tcPr>
            <w:tcW w:w="2036" w:type="dxa"/>
            <w:tcBorders>
              <w:top w:val="nil"/>
              <w:left w:val="nil"/>
              <w:bottom w:val="double" w:sz="6" w:space="0" w:color="auto"/>
              <w:right w:val="nil"/>
            </w:tcBorders>
            <w:shd w:val="clear" w:color="auto" w:fill="auto"/>
            <w:noWrap/>
            <w:vAlign w:val="bottom"/>
            <w:hideMark/>
          </w:tcPr>
          <w:p w14:paraId="41626185" w14:textId="77777777" w:rsidR="00F10457" w:rsidRPr="00A00187" w:rsidRDefault="00F10457" w:rsidP="00F10457">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33" w:type="dxa"/>
            <w:tcBorders>
              <w:top w:val="nil"/>
              <w:left w:val="nil"/>
              <w:bottom w:val="double" w:sz="6" w:space="0" w:color="auto"/>
              <w:right w:val="nil"/>
            </w:tcBorders>
            <w:shd w:val="clear" w:color="auto" w:fill="auto"/>
            <w:noWrap/>
            <w:vAlign w:val="bottom"/>
            <w:hideMark/>
          </w:tcPr>
          <w:p w14:paraId="7644030E" w14:textId="42E9B54C"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61 267</w:t>
            </w:r>
          </w:p>
        </w:tc>
        <w:tc>
          <w:tcPr>
            <w:tcW w:w="820" w:type="dxa"/>
            <w:tcBorders>
              <w:top w:val="nil"/>
              <w:left w:val="nil"/>
              <w:bottom w:val="double" w:sz="6" w:space="0" w:color="auto"/>
              <w:right w:val="nil"/>
            </w:tcBorders>
            <w:shd w:val="clear" w:color="auto" w:fill="auto"/>
            <w:noWrap/>
            <w:vAlign w:val="center"/>
            <w:hideMark/>
          </w:tcPr>
          <w:p w14:paraId="2A3624D3" w14:textId="534C7DDD" w:rsidR="00F10457" w:rsidRPr="00A00187" w:rsidRDefault="00F10457"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c>
          <w:tcPr>
            <w:tcW w:w="1042" w:type="dxa"/>
            <w:tcBorders>
              <w:top w:val="nil"/>
              <w:left w:val="single" w:sz="4" w:space="0" w:color="auto"/>
              <w:bottom w:val="double" w:sz="6" w:space="0" w:color="auto"/>
              <w:right w:val="nil"/>
            </w:tcBorders>
            <w:shd w:val="clear" w:color="auto" w:fill="auto"/>
            <w:noWrap/>
            <w:vAlign w:val="bottom"/>
            <w:hideMark/>
          </w:tcPr>
          <w:p w14:paraId="7A2F8C7D" w14:textId="1ADCFA54"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63 165</w:t>
            </w:r>
          </w:p>
        </w:tc>
        <w:tc>
          <w:tcPr>
            <w:tcW w:w="820" w:type="dxa"/>
            <w:tcBorders>
              <w:top w:val="nil"/>
              <w:left w:val="nil"/>
              <w:bottom w:val="double" w:sz="6" w:space="0" w:color="auto"/>
              <w:right w:val="single" w:sz="4" w:space="0" w:color="auto"/>
            </w:tcBorders>
            <w:shd w:val="clear" w:color="auto" w:fill="auto"/>
            <w:noWrap/>
            <w:vAlign w:val="center"/>
            <w:hideMark/>
          </w:tcPr>
          <w:p w14:paraId="0D2D8F73" w14:textId="11C38A3F" w:rsidR="00F10457" w:rsidRPr="00A00187" w:rsidRDefault="00F10457"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c>
          <w:tcPr>
            <w:tcW w:w="1011" w:type="dxa"/>
            <w:tcBorders>
              <w:top w:val="nil"/>
              <w:left w:val="nil"/>
              <w:bottom w:val="double" w:sz="6" w:space="0" w:color="auto"/>
              <w:right w:val="nil"/>
            </w:tcBorders>
            <w:shd w:val="clear" w:color="auto" w:fill="auto"/>
            <w:noWrap/>
            <w:vAlign w:val="bottom"/>
            <w:hideMark/>
          </w:tcPr>
          <w:p w14:paraId="27E4E1F5" w14:textId="66668BE0"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10</w:t>
            </w:r>
            <w:r w:rsidR="00E067F9" w:rsidRPr="00A00187">
              <w:rPr>
                <w:rFonts w:eastAsia="Times New Roman"/>
                <w:b/>
                <w:bCs/>
                <w:szCs w:val="24"/>
                <w:lang w:eastAsia="cs-CZ"/>
              </w:rPr>
              <w:t xml:space="preserve"> </w:t>
            </w:r>
            <w:r w:rsidRPr="00A00187">
              <w:rPr>
                <w:rFonts w:eastAsia="Times New Roman"/>
                <w:b/>
                <w:bCs/>
                <w:szCs w:val="24"/>
                <w:lang w:eastAsia="cs-CZ"/>
              </w:rPr>
              <w:t>230</w:t>
            </w:r>
          </w:p>
        </w:tc>
        <w:tc>
          <w:tcPr>
            <w:tcW w:w="862" w:type="dxa"/>
            <w:tcBorders>
              <w:top w:val="nil"/>
              <w:left w:val="nil"/>
              <w:bottom w:val="double" w:sz="6" w:space="0" w:color="auto"/>
              <w:right w:val="single" w:sz="4" w:space="0" w:color="auto"/>
            </w:tcBorders>
            <w:shd w:val="clear" w:color="auto" w:fill="auto"/>
            <w:noWrap/>
            <w:vAlign w:val="center"/>
            <w:hideMark/>
          </w:tcPr>
          <w:p w14:paraId="12BD29CE" w14:textId="41BB63F0" w:rsidR="00F10457" w:rsidRPr="00A00187" w:rsidRDefault="00F10457"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c>
          <w:tcPr>
            <w:tcW w:w="1516" w:type="dxa"/>
            <w:tcBorders>
              <w:top w:val="double" w:sz="6" w:space="0" w:color="auto"/>
              <w:left w:val="nil"/>
              <w:bottom w:val="double" w:sz="6" w:space="0" w:color="auto"/>
              <w:right w:val="nil"/>
            </w:tcBorders>
            <w:shd w:val="clear" w:color="auto" w:fill="auto"/>
            <w:noWrap/>
            <w:vAlign w:val="center"/>
            <w:hideMark/>
          </w:tcPr>
          <w:p w14:paraId="7DF98758" w14:textId="7FA5C024" w:rsidR="00F10457" w:rsidRPr="00A00187" w:rsidRDefault="00F10457" w:rsidP="00F10457">
            <w:pPr>
              <w:spacing w:line="240" w:lineRule="auto"/>
              <w:jc w:val="center"/>
              <w:rPr>
                <w:rFonts w:eastAsia="Times New Roman"/>
                <w:b/>
                <w:bCs/>
                <w:szCs w:val="24"/>
                <w:lang w:eastAsia="cs-CZ"/>
              </w:rPr>
            </w:pPr>
            <w:r w:rsidRPr="00A00187">
              <w:rPr>
                <w:rFonts w:eastAsia="Times New Roman"/>
                <w:b/>
                <w:bCs/>
                <w:szCs w:val="24"/>
                <w:lang w:eastAsia="cs-CZ"/>
              </w:rPr>
              <w:t>103,1</w:t>
            </w:r>
            <w:r w:rsidR="00CB570A">
              <w:rPr>
                <w:rFonts w:eastAsia="Times New Roman"/>
                <w:b/>
                <w:bCs/>
                <w:szCs w:val="24"/>
                <w:lang w:eastAsia="cs-CZ"/>
              </w:rPr>
              <w:t> %</w:t>
            </w:r>
          </w:p>
        </w:tc>
      </w:tr>
      <w:tr w:rsidR="00AC1E67" w:rsidRPr="00A00187" w14:paraId="20A291F7" w14:textId="77777777" w:rsidTr="00F10457">
        <w:trPr>
          <w:trHeight w:val="330"/>
        </w:trPr>
        <w:tc>
          <w:tcPr>
            <w:tcW w:w="2036" w:type="dxa"/>
            <w:tcBorders>
              <w:top w:val="nil"/>
              <w:left w:val="nil"/>
              <w:bottom w:val="nil"/>
              <w:right w:val="nil"/>
            </w:tcBorders>
            <w:shd w:val="clear" w:color="auto" w:fill="auto"/>
            <w:noWrap/>
            <w:vAlign w:val="bottom"/>
            <w:hideMark/>
          </w:tcPr>
          <w:p w14:paraId="2F55CF4A" w14:textId="77777777" w:rsidR="00F10457" w:rsidRPr="00A00187" w:rsidRDefault="00F10457" w:rsidP="00F10457">
            <w:pPr>
              <w:spacing w:line="240" w:lineRule="auto"/>
              <w:jc w:val="center"/>
              <w:rPr>
                <w:rFonts w:eastAsia="Times New Roman"/>
                <w:b/>
                <w:bCs/>
                <w:szCs w:val="24"/>
                <w:lang w:eastAsia="cs-CZ"/>
              </w:rPr>
            </w:pPr>
          </w:p>
        </w:tc>
        <w:tc>
          <w:tcPr>
            <w:tcW w:w="1033" w:type="dxa"/>
            <w:tcBorders>
              <w:top w:val="nil"/>
              <w:left w:val="nil"/>
              <w:bottom w:val="nil"/>
              <w:right w:val="nil"/>
            </w:tcBorders>
            <w:shd w:val="clear" w:color="auto" w:fill="auto"/>
            <w:noWrap/>
            <w:vAlign w:val="bottom"/>
            <w:hideMark/>
          </w:tcPr>
          <w:p w14:paraId="09FE1B8F" w14:textId="77777777" w:rsidR="00F10457" w:rsidRPr="00A00187" w:rsidRDefault="00F10457" w:rsidP="00F10457">
            <w:pPr>
              <w:spacing w:line="240" w:lineRule="auto"/>
              <w:jc w:val="left"/>
              <w:rPr>
                <w:rFonts w:ascii="Times New Roman" w:eastAsia="Times New Roman" w:hAnsi="Times New Roman"/>
                <w:sz w:val="20"/>
                <w:szCs w:val="20"/>
                <w:lang w:eastAsia="cs-CZ"/>
              </w:rPr>
            </w:pPr>
          </w:p>
        </w:tc>
        <w:tc>
          <w:tcPr>
            <w:tcW w:w="820" w:type="dxa"/>
            <w:tcBorders>
              <w:top w:val="nil"/>
              <w:left w:val="nil"/>
              <w:bottom w:val="nil"/>
              <w:right w:val="nil"/>
            </w:tcBorders>
            <w:shd w:val="clear" w:color="auto" w:fill="auto"/>
            <w:noWrap/>
            <w:vAlign w:val="bottom"/>
            <w:hideMark/>
          </w:tcPr>
          <w:p w14:paraId="7473EFF9" w14:textId="77777777" w:rsidR="00F10457" w:rsidRPr="00A00187" w:rsidRDefault="00F10457" w:rsidP="009E4F53">
            <w:pPr>
              <w:spacing w:line="240" w:lineRule="auto"/>
              <w:jc w:val="center"/>
              <w:rPr>
                <w:rFonts w:ascii="Times New Roman" w:eastAsia="Times New Roman" w:hAnsi="Times New Roman"/>
                <w:sz w:val="20"/>
                <w:szCs w:val="20"/>
                <w:lang w:eastAsia="cs-CZ"/>
              </w:rPr>
            </w:pPr>
          </w:p>
        </w:tc>
        <w:tc>
          <w:tcPr>
            <w:tcW w:w="1042" w:type="dxa"/>
            <w:tcBorders>
              <w:top w:val="nil"/>
              <w:left w:val="nil"/>
              <w:bottom w:val="nil"/>
              <w:right w:val="nil"/>
            </w:tcBorders>
            <w:shd w:val="clear" w:color="auto" w:fill="auto"/>
            <w:noWrap/>
            <w:vAlign w:val="bottom"/>
            <w:hideMark/>
          </w:tcPr>
          <w:p w14:paraId="1ECA180C" w14:textId="77777777" w:rsidR="00F10457" w:rsidRPr="00A00187" w:rsidRDefault="00F10457" w:rsidP="00F10457">
            <w:pPr>
              <w:spacing w:line="240" w:lineRule="auto"/>
              <w:jc w:val="left"/>
              <w:rPr>
                <w:rFonts w:ascii="Times New Roman" w:eastAsia="Times New Roman" w:hAnsi="Times New Roman"/>
                <w:sz w:val="20"/>
                <w:szCs w:val="20"/>
                <w:lang w:eastAsia="cs-CZ"/>
              </w:rPr>
            </w:pPr>
          </w:p>
        </w:tc>
        <w:tc>
          <w:tcPr>
            <w:tcW w:w="820" w:type="dxa"/>
            <w:tcBorders>
              <w:top w:val="nil"/>
              <w:left w:val="nil"/>
              <w:bottom w:val="nil"/>
              <w:right w:val="nil"/>
            </w:tcBorders>
            <w:shd w:val="clear" w:color="auto" w:fill="auto"/>
            <w:noWrap/>
            <w:vAlign w:val="bottom"/>
            <w:hideMark/>
          </w:tcPr>
          <w:p w14:paraId="4A09501D" w14:textId="77777777" w:rsidR="00F10457" w:rsidRPr="00A00187" w:rsidRDefault="00F10457" w:rsidP="009E4F53">
            <w:pPr>
              <w:spacing w:line="240" w:lineRule="auto"/>
              <w:jc w:val="center"/>
              <w:rPr>
                <w:rFonts w:ascii="Times New Roman" w:eastAsia="Times New Roman" w:hAnsi="Times New Roman"/>
                <w:sz w:val="20"/>
                <w:szCs w:val="20"/>
                <w:lang w:eastAsia="cs-CZ"/>
              </w:rPr>
            </w:pPr>
          </w:p>
        </w:tc>
        <w:tc>
          <w:tcPr>
            <w:tcW w:w="1011" w:type="dxa"/>
            <w:tcBorders>
              <w:top w:val="nil"/>
              <w:left w:val="nil"/>
              <w:bottom w:val="nil"/>
              <w:right w:val="nil"/>
            </w:tcBorders>
            <w:shd w:val="clear" w:color="auto" w:fill="auto"/>
            <w:noWrap/>
            <w:vAlign w:val="bottom"/>
            <w:hideMark/>
          </w:tcPr>
          <w:p w14:paraId="62533483" w14:textId="77777777" w:rsidR="00F10457" w:rsidRPr="00A00187" w:rsidRDefault="00F10457" w:rsidP="00F10457">
            <w:pPr>
              <w:spacing w:line="240" w:lineRule="auto"/>
              <w:jc w:val="left"/>
              <w:rPr>
                <w:rFonts w:ascii="Times New Roman" w:eastAsia="Times New Roman" w:hAnsi="Times New Roman"/>
                <w:sz w:val="20"/>
                <w:szCs w:val="20"/>
                <w:lang w:eastAsia="cs-CZ"/>
              </w:rPr>
            </w:pPr>
          </w:p>
        </w:tc>
        <w:tc>
          <w:tcPr>
            <w:tcW w:w="862" w:type="dxa"/>
            <w:tcBorders>
              <w:top w:val="nil"/>
              <w:left w:val="nil"/>
              <w:bottom w:val="nil"/>
              <w:right w:val="nil"/>
            </w:tcBorders>
            <w:shd w:val="clear" w:color="auto" w:fill="auto"/>
            <w:noWrap/>
            <w:vAlign w:val="bottom"/>
            <w:hideMark/>
          </w:tcPr>
          <w:p w14:paraId="2D126679" w14:textId="77777777" w:rsidR="00F10457" w:rsidRPr="00A00187" w:rsidRDefault="00F10457" w:rsidP="009E4F53">
            <w:pPr>
              <w:spacing w:line="240" w:lineRule="auto"/>
              <w:jc w:val="center"/>
              <w:rPr>
                <w:rFonts w:ascii="Times New Roman" w:eastAsia="Times New Roman" w:hAnsi="Times New Roman"/>
                <w:sz w:val="20"/>
                <w:szCs w:val="20"/>
                <w:lang w:eastAsia="cs-CZ"/>
              </w:rPr>
            </w:pPr>
          </w:p>
        </w:tc>
        <w:tc>
          <w:tcPr>
            <w:tcW w:w="1516" w:type="dxa"/>
            <w:tcBorders>
              <w:top w:val="nil"/>
              <w:left w:val="nil"/>
              <w:bottom w:val="nil"/>
              <w:right w:val="nil"/>
            </w:tcBorders>
            <w:shd w:val="clear" w:color="auto" w:fill="auto"/>
            <w:noWrap/>
            <w:vAlign w:val="bottom"/>
            <w:hideMark/>
          </w:tcPr>
          <w:p w14:paraId="35F2047A" w14:textId="77777777" w:rsidR="00F10457" w:rsidRPr="00A00187" w:rsidRDefault="00F10457" w:rsidP="00F10457">
            <w:pPr>
              <w:spacing w:line="240" w:lineRule="auto"/>
              <w:jc w:val="left"/>
              <w:rPr>
                <w:rFonts w:ascii="Times New Roman" w:eastAsia="Times New Roman" w:hAnsi="Times New Roman"/>
                <w:sz w:val="20"/>
                <w:szCs w:val="20"/>
                <w:lang w:eastAsia="cs-CZ"/>
              </w:rPr>
            </w:pPr>
          </w:p>
        </w:tc>
      </w:tr>
    </w:tbl>
    <w:p w14:paraId="2E37713A" w14:textId="075CF718" w:rsidR="008742F2" w:rsidRPr="00A00187" w:rsidRDefault="00831D1C" w:rsidP="008742F2">
      <w:pPr>
        <w:pStyle w:val="OdstavecASR"/>
      </w:pPr>
      <w:bookmarkStart w:id="323" w:name="_Hlk104291263"/>
      <w:r w:rsidRPr="00A00187">
        <w:t xml:space="preserve">Míra vyřizování se pohybovala v minulých letech kolem </w:t>
      </w:r>
      <w:r w:rsidR="00001A5F" w:rsidRPr="00A00187">
        <w:t>100</w:t>
      </w:r>
      <w:r w:rsidR="00CB570A">
        <w:t> %</w:t>
      </w:r>
      <w:r w:rsidRPr="00A00187">
        <w:t>, v roce 2021 však vzrostla na hodnotu 103,1</w:t>
      </w:r>
      <w:r w:rsidR="00CB570A">
        <w:t> %</w:t>
      </w:r>
      <w:r w:rsidR="00582F7F" w:rsidRPr="00A00187">
        <w:t xml:space="preserve"> </w:t>
      </w:r>
      <w:r w:rsidR="00726EC3" w:rsidRPr="00A00187">
        <w:t>a</w:t>
      </w:r>
      <w:r w:rsidR="00726EC3">
        <w:t> </w:t>
      </w:r>
      <w:r w:rsidR="00001A5F" w:rsidRPr="00A00187">
        <w:t>byla poprvé nad 100</w:t>
      </w:r>
      <w:r w:rsidR="00CB570A">
        <w:t> %</w:t>
      </w:r>
      <w:r w:rsidR="00001A5F" w:rsidRPr="00A00187">
        <w:t xml:space="preserve"> ve všech krajích.</w:t>
      </w:r>
      <w:bookmarkEnd w:id="323"/>
      <w:r w:rsidR="000E0C47" w:rsidRPr="00A00187">
        <w:t xml:space="preserve"> </w:t>
      </w:r>
      <w:r w:rsidR="008742F2" w:rsidRPr="00A00187">
        <w:t>Soudní kraj Severní Čechy (nadřízený soud KS Ústí nad Labem), tedy kraj, který vykazuje vysoké délky řízení a velké množství nedodělků, má opět nejvyšší míru vyřizování</w:t>
      </w:r>
      <w:r w:rsidRPr="00A00187">
        <w:t xml:space="preserve">, kterou v roce 2021 </w:t>
      </w:r>
      <w:r w:rsidR="00001A5F" w:rsidRPr="00A00187">
        <w:t xml:space="preserve">dále </w:t>
      </w:r>
      <w:r w:rsidRPr="00A00187">
        <w:t xml:space="preserve">výrazně zvýšil </w:t>
      </w:r>
      <w:r w:rsidR="00726EC3" w:rsidRPr="00A00187">
        <w:t>o</w:t>
      </w:r>
      <w:r w:rsidR="00726EC3">
        <w:t> </w:t>
      </w:r>
      <w:r w:rsidRPr="00A00187">
        <w:t>4,8</w:t>
      </w:r>
      <w:r w:rsidR="00CB570A">
        <w:t> %</w:t>
      </w:r>
      <w:r w:rsidRPr="00A00187">
        <w:t xml:space="preserve"> bodů. </w:t>
      </w:r>
      <w:r w:rsidR="008742F2" w:rsidRPr="00A00187">
        <w:t xml:space="preserve">Situace v tomto kraji se tedy i nadále </w:t>
      </w:r>
      <w:r w:rsidR="00F94945" w:rsidRPr="00A00187">
        <w:t>postupně</w:t>
      </w:r>
      <w:r w:rsidR="00C34EB8" w:rsidRPr="00A00187">
        <w:t xml:space="preserve"> </w:t>
      </w:r>
      <w:r w:rsidR="008742F2" w:rsidRPr="00A00187">
        <w:t>zlepšuje.</w:t>
      </w:r>
    </w:p>
    <w:p w14:paraId="24829AB1" w14:textId="0C448FB9" w:rsidR="008742F2" w:rsidRPr="00A00187" w:rsidRDefault="008430BD" w:rsidP="008742F2">
      <w:pPr>
        <w:pStyle w:val="Nadpis3"/>
        <w:numPr>
          <w:ilvl w:val="2"/>
          <w:numId w:val="1"/>
        </w:numPr>
        <w:rPr>
          <w:color w:val="auto"/>
        </w:rPr>
      </w:pPr>
      <w:bookmarkStart w:id="324" w:name="_Toc515871233"/>
      <w:bookmarkStart w:id="325" w:name="_Toc41546310"/>
      <w:bookmarkStart w:id="326" w:name="_Toc106092730"/>
      <w:bookmarkStart w:id="327" w:name="_Toc109801346"/>
      <w:r w:rsidRPr="00A00187">
        <w:rPr>
          <w:color w:val="auto"/>
        </w:rPr>
        <w:t>Vyřizování věcí v přepočtu na soudce</w:t>
      </w:r>
      <w:bookmarkEnd w:id="324"/>
      <w:bookmarkEnd w:id="325"/>
      <w:bookmarkEnd w:id="326"/>
      <w:bookmarkEnd w:id="327"/>
    </w:p>
    <w:p w14:paraId="3F0B2AA1" w14:textId="77777777" w:rsidR="008742F2" w:rsidRPr="00A00187" w:rsidRDefault="008742F2" w:rsidP="008742F2">
      <w:pPr>
        <w:pStyle w:val="OdstavecASR"/>
      </w:pPr>
      <w:r w:rsidRPr="00A00187">
        <w:t>Trestní úsek je výrazně menší než úsek civilní. Proto může v přepočtu na soudce docházet k určitým výkyvům, a to především na úrovni jednotlivých soudů. U nejmenších soudů působí na trestním úseku pouze dva soudci. Dočasný pokles nebo nárůst v počtu soudců tedy může vést ke značnému nárůstu nebo poklesu nevyřízených věcí v přepočtu na soudce.</w:t>
      </w:r>
    </w:p>
    <w:p w14:paraId="2A6F2E64" w14:textId="3F98F507" w:rsidR="008742F2" w:rsidRPr="00A00187" w:rsidRDefault="008742F2" w:rsidP="008742F2">
      <w:r w:rsidRPr="00A00187">
        <w:t xml:space="preserve">Stejně jako u civilní agendy má Ministerstvo spravedlnosti za poslední </w:t>
      </w:r>
      <w:r w:rsidR="00154E64" w:rsidRPr="00A00187">
        <w:t>tři</w:t>
      </w:r>
      <w:r w:rsidRPr="00A00187">
        <w:t xml:space="preserve"> roky k dispozici přesnější data o počtu soudců. Detailnější informace lze najít v podkapitole 2.2.3.</w:t>
      </w:r>
    </w:p>
    <w:p w14:paraId="26E944E7" w14:textId="494EFA30" w:rsidR="00154E64" w:rsidRPr="00A00187" w:rsidRDefault="00154E64" w:rsidP="00154E64">
      <w:pPr>
        <w:pStyle w:val="Podnadpis"/>
        <w:rPr>
          <w:color w:val="auto"/>
        </w:rPr>
      </w:pPr>
      <w:bookmarkStart w:id="328" w:name="_Toc515871454"/>
      <w:bookmarkStart w:id="329" w:name="_Toc11133222"/>
      <w:bookmarkStart w:id="330" w:name="_Toc43931195"/>
      <w:bookmarkStart w:id="331" w:name="_Hlk67407410"/>
      <w:bookmarkStart w:id="332" w:name="_Toc75952325"/>
      <w:bookmarkStart w:id="333" w:name="_Toc106106784"/>
      <w:bookmarkStart w:id="334" w:name="_Toc109802107"/>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22</w:t>
      </w:r>
      <w:r w:rsidRPr="00A00187">
        <w:rPr>
          <w:noProof/>
          <w:color w:val="auto"/>
        </w:rPr>
        <w:fldChar w:fldCharType="end"/>
      </w:r>
      <w:r w:rsidRPr="00A00187">
        <w:rPr>
          <w:color w:val="auto"/>
        </w:rPr>
        <w:t>: OS – vyřizování trestních věcí na skutečný úvazek dle krajů</w:t>
      </w:r>
      <w:bookmarkEnd w:id="328"/>
      <w:bookmarkEnd w:id="329"/>
      <w:bookmarkEnd w:id="330"/>
      <w:bookmarkEnd w:id="331"/>
      <w:bookmarkEnd w:id="332"/>
      <w:bookmarkEnd w:id="333"/>
      <w:bookmarkEnd w:id="334"/>
    </w:p>
    <w:tbl>
      <w:tblPr>
        <w:tblW w:w="9222" w:type="dxa"/>
        <w:tblCellMar>
          <w:left w:w="70" w:type="dxa"/>
          <w:right w:w="70" w:type="dxa"/>
        </w:tblCellMar>
        <w:tblLook w:val="04A0" w:firstRow="1" w:lastRow="0" w:firstColumn="1" w:lastColumn="0" w:noHBand="0" w:noVBand="1"/>
      </w:tblPr>
      <w:tblGrid>
        <w:gridCol w:w="1836"/>
        <w:gridCol w:w="1141"/>
        <w:gridCol w:w="1134"/>
        <w:gridCol w:w="926"/>
        <w:gridCol w:w="7"/>
        <w:gridCol w:w="1193"/>
        <w:gridCol w:w="926"/>
        <w:gridCol w:w="7"/>
        <w:gridCol w:w="1081"/>
        <w:gridCol w:w="957"/>
        <w:gridCol w:w="14"/>
      </w:tblGrid>
      <w:tr w:rsidR="00AC1E67" w:rsidRPr="00A00187" w14:paraId="3A818824" w14:textId="77777777" w:rsidTr="00647F65">
        <w:trPr>
          <w:gridAfter w:val="1"/>
          <w:wAfter w:w="14" w:type="dxa"/>
          <w:trHeight w:val="330"/>
        </w:trPr>
        <w:tc>
          <w:tcPr>
            <w:tcW w:w="1836" w:type="dxa"/>
            <w:vMerge w:val="restart"/>
            <w:tcBorders>
              <w:top w:val="double" w:sz="6" w:space="0" w:color="auto"/>
              <w:left w:val="nil"/>
              <w:bottom w:val="double" w:sz="6" w:space="0" w:color="000000"/>
              <w:right w:val="nil"/>
            </w:tcBorders>
            <w:shd w:val="clear" w:color="auto" w:fill="auto"/>
            <w:noWrap/>
            <w:vAlign w:val="center"/>
            <w:hideMark/>
          </w:tcPr>
          <w:p w14:paraId="412950F9" w14:textId="77777777" w:rsidR="00154E64" w:rsidRPr="00A00187" w:rsidRDefault="00154E64" w:rsidP="00154E64">
            <w:pPr>
              <w:spacing w:line="240" w:lineRule="auto"/>
              <w:jc w:val="left"/>
              <w:rPr>
                <w:rFonts w:eastAsia="Times New Roman"/>
                <w:b/>
                <w:bCs/>
                <w:szCs w:val="24"/>
                <w:lang w:eastAsia="cs-CZ"/>
              </w:rPr>
            </w:pPr>
            <w:r w:rsidRPr="00A00187">
              <w:rPr>
                <w:rFonts w:eastAsia="Times New Roman"/>
                <w:b/>
                <w:bCs/>
                <w:szCs w:val="24"/>
                <w:lang w:eastAsia="cs-CZ"/>
              </w:rPr>
              <w:t>Nadřízený soud</w:t>
            </w:r>
          </w:p>
        </w:tc>
        <w:tc>
          <w:tcPr>
            <w:tcW w:w="1141" w:type="dxa"/>
            <w:vMerge w:val="restart"/>
            <w:tcBorders>
              <w:top w:val="double" w:sz="6" w:space="0" w:color="auto"/>
              <w:left w:val="nil"/>
              <w:bottom w:val="double" w:sz="6" w:space="0" w:color="000000"/>
              <w:right w:val="nil"/>
            </w:tcBorders>
            <w:shd w:val="clear" w:color="auto" w:fill="auto"/>
            <w:noWrap/>
            <w:vAlign w:val="center"/>
            <w:hideMark/>
          </w:tcPr>
          <w:p w14:paraId="69143BF1" w14:textId="77777777"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231" w:type="dxa"/>
            <w:gridSpan w:val="8"/>
            <w:tcBorders>
              <w:top w:val="double" w:sz="6" w:space="0" w:color="auto"/>
              <w:left w:val="nil"/>
              <w:bottom w:val="nil"/>
              <w:right w:val="nil"/>
            </w:tcBorders>
            <w:shd w:val="clear" w:color="auto" w:fill="auto"/>
            <w:noWrap/>
            <w:vAlign w:val="center"/>
            <w:hideMark/>
          </w:tcPr>
          <w:p w14:paraId="484C8470" w14:textId="05C57C8A" w:rsidR="00154E64" w:rsidRPr="00A00187" w:rsidRDefault="009516B8" w:rsidP="00154E64">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AC1E67" w:rsidRPr="00A00187" w14:paraId="255B4DC6" w14:textId="77777777" w:rsidTr="00E067F9">
        <w:trPr>
          <w:gridAfter w:val="1"/>
          <w:wAfter w:w="14" w:type="dxa"/>
          <w:trHeight w:val="330"/>
        </w:trPr>
        <w:tc>
          <w:tcPr>
            <w:tcW w:w="1836" w:type="dxa"/>
            <w:vMerge/>
            <w:tcBorders>
              <w:top w:val="double" w:sz="6" w:space="0" w:color="auto"/>
              <w:left w:val="nil"/>
              <w:bottom w:val="double" w:sz="6" w:space="0" w:color="000000"/>
              <w:right w:val="nil"/>
            </w:tcBorders>
            <w:vAlign w:val="center"/>
            <w:hideMark/>
          </w:tcPr>
          <w:p w14:paraId="1650A38C" w14:textId="77777777" w:rsidR="00154E64" w:rsidRPr="00A00187" w:rsidRDefault="00154E64" w:rsidP="00154E64">
            <w:pPr>
              <w:spacing w:line="240" w:lineRule="auto"/>
              <w:jc w:val="left"/>
              <w:rPr>
                <w:rFonts w:eastAsia="Times New Roman"/>
                <w:b/>
                <w:bCs/>
                <w:szCs w:val="24"/>
                <w:lang w:eastAsia="cs-CZ"/>
              </w:rPr>
            </w:pPr>
          </w:p>
        </w:tc>
        <w:tc>
          <w:tcPr>
            <w:tcW w:w="1141" w:type="dxa"/>
            <w:vMerge/>
            <w:tcBorders>
              <w:top w:val="double" w:sz="6" w:space="0" w:color="auto"/>
              <w:left w:val="nil"/>
              <w:bottom w:val="double" w:sz="6" w:space="0" w:color="000000"/>
              <w:right w:val="nil"/>
            </w:tcBorders>
            <w:vAlign w:val="center"/>
            <w:hideMark/>
          </w:tcPr>
          <w:p w14:paraId="2E9EFCDD" w14:textId="77777777" w:rsidR="00154E64" w:rsidRPr="00A00187" w:rsidRDefault="00154E64" w:rsidP="00154E64">
            <w:pPr>
              <w:spacing w:line="240" w:lineRule="auto"/>
              <w:jc w:val="left"/>
              <w:rPr>
                <w:rFonts w:eastAsia="Times New Roman"/>
                <w:b/>
                <w:bCs/>
                <w:szCs w:val="24"/>
                <w:lang w:eastAsia="cs-CZ"/>
              </w:rPr>
            </w:pPr>
          </w:p>
        </w:tc>
        <w:tc>
          <w:tcPr>
            <w:tcW w:w="2060" w:type="dxa"/>
            <w:gridSpan w:val="2"/>
            <w:tcBorders>
              <w:top w:val="nil"/>
              <w:left w:val="nil"/>
              <w:bottom w:val="double" w:sz="6" w:space="0" w:color="auto"/>
              <w:right w:val="nil"/>
            </w:tcBorders>
            <w:shd w:val="clear" w:color="auto" w:fill="auto"/>
            <w:noWrap/>
            <w:vAlign w:val="center"/>
            <w:hideMark/>
          </w:tcPr>
          <w:p w14:paraId="24577D4F" w14:textId="77777777"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126"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4B6EFD11" w14:textId="77777777"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2045" w:type="dxa"/>
            <w:gridSpan w:val="3"/>
            <w:tcBorders>
              <w:top w:val="nil"/>
              <w:left w:val="nil"/>
              <w:bottom w:val="double" w:sz="6" w:space="0" w:color="auto"/>
              <w:right w:val="nil"/>
            </w:tcBorders>
            <w:shd w:val="clear" w:color="auto" w:fill="auto"/>
            <w:noWrap/>
            <w:vAlign w:val="center"/>
            <w:hideMark/>
          </w:tcPr>
          <w:p w14:paraId="7BEF45F2" w14:textId="77777777"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79A9966F" w14:textId="77777777" w:rsidTr="00E067F9">
        <w:trPr>
          <w:trHeight w:val="330"/>
        </w:trPr>
        <w:tc>
          <w:tcPr>
            <w:tcW w:w="1836" w:type="dxa"/>
            <w:tcBorders>
              <w:top w:val="single" w:sz="4" w:space="0" w:color="auto"/>
              <w:left w:val="nil"/>
              <w:bottom w:val="single" w:sz="4" w:space="0" w:color="auto"/>
              <w:right w:val="nil"/>
            </w:tcBorders>
            <w:shd w:val="clear" w:color="auto" w:fill="auto"/>
            <w:noWrap/>
            <w:vAlign w:val="bottom"/>
            <w:hideMark/>
          </w:tcPr>
          <w:p w14:paraId="3AC37E52"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MS Praha</w:t>
            </w:r>
          </w:p>
        </w:tc>
        <w:tc>
          <w:tcPr>
            <w:tcW w:w="1141" w:type="dxa"/>
            <w:tcBorders>
              <w:top w:val="single" w:sz="4" w:space="0" w:color="auto"/>
              <w:left w:val="nil"/>
              <w:bottom w:val="single" w:sz="4" w:space="0" w:color="auto"/>
              <w:right w:val="nil"/>
            </w:tcBorders>
            <w:shd w:val="clear" w:color="auto" w:fill="auto"/>
            <w:noWrap/>
            <w:vAlign w:val="bottom"/>
            <w:hideMark/>
          </w:tcPr>
          <w:p w14:paraId="78D1DE03" w14:textId="7CFAA75A"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53,00</w:t>
            </w:r>
          </w:p>
        </w:tc>
        <w:tc>
          <w:tcPr>
            <w:tcW w:w="1134" w:type="dxa"/>
            <w:tcBorders>
              <w:top w:val="single" w:sz="4" w:space="0" w:color="auto"/>
              <w:left w:val="nil"/>
              <w:bottom w:val="single" w:sz="4" w:space="0" w:color="auto"/>
              <w:right w:val="nil"/>
            </w:tcBorders>
            <w:shd w:val="clear" w:color="auto" w:fill="auto"/>
            <w:noWrap/>
            <w:vAlign w:val="bottom"/>
            <w:hideMark/>
          </w:tcPr>
          <w:p w14:paraId="263F0B35" w14:textId="26E74FFB"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159,85</w:t>
            </w:r>
          </w:p>
        </w:tc>
        <w:tc>
          <w:tcPr>
            <w:tcW w:w="933" w:type="dxa"/>
            <w:gridSpan w:val="2"/>
            <w:tcBorders>
              <w:top w:val="single" w:sz="4" w:space="0" w:color="auto"/>
              <w:left w:val="nil"/>
              <w:bottom w:val="single" w:sz="4" w:space="0" w:color="auto"/>
              <w:right w:val="nil"/>
            </w:tcBorders>
            <w:shd w:val="clear" w:color="auto" w:fill="auto"/>
            <w:noWrap/>
            <w:vAlign w:val="center"/>
            <w:hideMark/>
          </w:tcPr>
          <w:p w14:paraId="5B9DBC4E" w14:textId="632F6F2D"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193" w:type="dxa"/>
            <w:tcBorders>
              <w:top w:val="nil"/>
              <w:left w:val="single" w:sz="4" w:space="0" w:color="auto"/>
              <w:bottom w:val="single" w:sz="4" w:space="0" w:color="auto"/>
              <w:right w:val="nil"/>
            </w:tcBorders>
            <w:shd w:val="clear" w:color="auto" w:fill="auto"/>
            <w:noWrap/>
            <w:vAlign w:val="bottom"/>
            <w:hideMark/>
          </w:tcPr>
          <w:p w14:paraId="4D4DE430" w14:textId="37261198"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160,92</w:t>
            </w:r>
          </w:p>
        </w:tc>
        <w:tc>
          <w:tcPr>
            <w:tcW w:w="933" w:type="dxa"/>
            <w:gridSpan w:val="2"/>
            <w:tcBorders>
              <w:top w:val="nil"/>
              <w:left w:val="nil"/>
              <w:bottom w:val="single" w:sz="4" w:space="0" w:color="auto"/>
              <w:right w:val="single" w:sz="4" w:space="0" w:color="auto"/>
            </w:tcBorders>
            <w:shd w:val="clear" w:color="auto" w:fill="auto"/>
            <w:noWrap/>
            <w:vAlign w:val="center"/>
            <w:hideMark/>
          </w:tcPr>
          <w:p w14:paraId="4037D5D6" w14:textId="382D8062"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81" w:type="dxa"/>
            <w:tcBorders>
              <w:top w:val="single" w:sz="4" w:space="0" w:color="auto"/>
              <w:left w:val="nil"/>
              <w:bottom w:val="single" w:sz="4" w:space="0" w:color="auto"/>
              <w:right w:val="nil"/>
            </w:tcBorders>
            <w:shd w:val="clear" w:color="auto" w:fill="auto"/>
            <w:noWrap/>
            <w:vAlign w:val="bottom"/>
            <w:hideMark/>
          </w:tcPr>
          <w:p w14:paraId="391348C3" w14:textId="533DB653"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21,83</w:t>
            </w:r>
          </w:p>
        </w:tc>
        <w:tc>
          <w:tcPr>
            <w:tcW w:w="971" w:type="dxa"/>
            <w:gridSpan w:val="2"/>
            <w:tcBorders>
              <w:top w:val="single" w:sz="4" w:space="0" w:color="auto"/>
              <w:left w:val="nil"/>
              <w:bottom w:val="single" w:sz="4" w:space="0" w:color="auto"/>
              <w:right w:val="nil"/>
            </w:tcBorders>
            <w:shd w:val="clear" w:color="auto" w:fill="auto"/>
            <w:noWrap/>
            <w:vAlign w:val="center"/>
            <w:hideMark/>
          </w:tcPr>
          <w:p w14:paraId="33DB2866" w14:textId="38643021"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252B60B1" w14:textId="77777777" w:rsidTr="00E067F9">
        <w:trPr>
          <w:trHeight w:val="315"/>
        </w:trPr>
        <w:tc>
          <w:tcPr>
            <w:tcW w:w="1836" w:type="dxa"/>
            <w:tcBorders>
              <w:top w:val="nil"/>
              <w:left w:val="nil"/>
              <w:bottom w:val="single" w:sz="4" w:space="0" w:color="auto"/>
              <w:right w:val="nil"/>
            </w:tcBorders>
            <w:shd w:val="clear" w:color="auto" w:fill="auto"/>
            <w:noWrap/>
            <w:vAlign w:val="bottom"/>
            <w:hideMark/>
          </w:tcPr>
          <w:p w14:paraId="79FD282A"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KS Praha</w:t>
            </w:r>
          </w:p>
        </w:tc>
        <w:tc>
          <w:tcPr>
            <w:tcW w:w="1141" w:type="dxa"/>
            <w:tcBorders>
              <w:top w:val="nil"/>
              <w:left w:val="nil"/>
              <w:bottom w:val="single" w:sz="4" w:space="0" w:color="auto"/>
              <w:right w:val="nil"/>
            </w:tcBorders>
            <w:shd w:val="clear" w:color="auto" w:fill="auto"/>
            <w:noWrap/>
            <w:vAlign w:val="bottom"/>
            <w:hideMark/>
          </w:tcPr>
          <w:p w14:paraId="7FFADF98" w14:textId="6A2C9FE2"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43,85</w:t>
            </w:r>
          </w:p>
        </w:tc>
        <w:tc>
          <w:tcPr>
            <w:tcW w:w="1134" w:type="dxa"/>
            <w:tcBorders>
              <w:top w:val="nil"/>
              <w:left w:val="nil"/>
              <w:bottom w:val="single" w:sz="4" w:space="0" w:color="auto"/>
              <w:right w:val="nil"/>
            </w:tcBorders>
            <w:shd w:val="clear" w:color="auto" w:fill="auto"/>
            <w:noWrap/>
            <w:vAlign w:val="bottom"/>
            <w:hideMark/>
          </w:tcPr>
          <w:p w14:paraId="5660D2AA" w14:textId="5A8B6381"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160,36</w:t>
            </w:r>
          </w:p>
        </w:tc>
        <w:tc>
          <w:tcPr>
            <w:tcW w:w="933" w:type="dxa"/>
            <w:gridSpan w:val="2"/>
            <w:tcBorders>
              <w:top w:val="nil"/>
              <w:left w:val="nil"/>
              <w:bottom w:val="single" w:sz="4" w:space="0" w:color="auto"/>
              <w:right w:val="nil"/>
            </w:tcBorders>
            <w:shd w:val="clear" w:color="auto" w:fill="auto"/>
            <w:noWrap/>
            <w:vAlign w:val="center"/>
            <w:hideMark/>
          </w:tcPr>
          <w:p w14:paraId="5B7E94C1" w14:textId="2DC8F7C7"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193" w:type="dxa"/>
            <w:tcBorders>
              <w:top w:val="nil"/>
              <w:left w:val="single" w:sz="4" w:space="0" w:color="auto"/>
              <w:bottom w:val="single" w:sz="4" w:space="0" w:color="auto"/>
              <w:right w:val="nil"/>
            </w:tcBorders>
            <w:shd w:val="clear" w:color="auto" w:fill="auto"/>
            <w:noWrap/>
            <w:vAlign w:val="bottom"/>
            <w:hideMark/>
          </w:tcPr>
          <w:p w14:paraId="221D9784" w14:textId="1A1471FA"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164,06</w:t>
            </w:r>
          </w:p>
        </w:tc>
        <w:tc>
          <w:tcPr>
            <w:tcW w:w="933" w:type="dxa"/>
            <w:gridSpan w:val="2"/>
            <w:tcBorders>
              <w:top w:val="nil"/>
              <w:left w:val="nil"/>
              <w:bottom w:val="single" w:sz="4" w:space="0" w:color="auto"/>
              <w:right w:val="single" w:sz="4" w:space="0" w:color="auto"/>
            </w:tcBorders>
            <w:shd w:val="clear" w:color="auto" w:fill="auto"/>
            <w:noWrap/>
            <w:vAlign w:val="center"/>
            <w:hideMark/>
          </w:tcPr>
          <w:p w14:paraId="644A6FE7" w14:textId="44A30A6A"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081" w:type="dxa"/>
            <w:tcBorders>
              <w:top w:val="nil"/>
              <w:left w:val="nil"/>
              <w:bottom w:val="single" w:sz="4" w:space="0" w:color="auto"/>
              <w:right w:val="nil"/>
            </w:tcBorders>
            <w:shd w:val="clear" w:color="auto" w:fill="auto"/>
            <w:noWrap/>
            <w:vAlign w:val="bottom"/>
            <w:hideMark/>
          </w:tcPr>
          <w:p w14:paraId="16B3DFAA" w14:textId="528807EE"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10,97</w:t>
            </w:r>
          </w:p>
        </w:tc>
        <w:tc>
          <w:tcPr>
            <w:tcW w:w="971" w:type="dxa"/>
            <w:gridSpan w:val="2"/>
            <w:tcBorders>
              <w:top w:val="nil"/>
              <w:left w:val="nil"/>
              <w:bottom w:val="single" w:sz="4" w:space="0" w:color="auto"/>
              <w:right w:val="nil"/>
            </w:tcBorders>
            <w:shd w:val="clear" w:color="auto" w:fill="auto"/>
            <w:noWrap/>
            <w:vAlign w:val="center"/>
            <w:hideMark/>
          </w:tcPr>
          <w:p w14:paraId="0D984212" w14:textId="769737A1"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-29</w:t>
            </w:r>
            <w:r w:rsidR="00CB570A">
              <w:rPr>
                <w:rFonts w:eastAsia="Times New Roman"/>
                <w:sz w:val="20"/>
                <w:szCs w:val="20"/>
                <w:lang w:eastAsia="cs-CZ"/>
              </w:rPr>
              <w:t> %</w:t>
            </w:r>
          </w:p>
        </w:tc>
      </w:tr>
      <w:tr w:rsidR="00AC1E67" w:rsidRPr="00A00187" w14:paraId="3BC47A8F" w14:textId="77777777" w:rsidTr="00E067F9">
        <w:trPr>
          <w:trHeight w:val="315"/>
        </w:trPr>
        <w:tc>
          <w:tcPr>
            <w:tcW w:w="1836" w:type="dxa"/>
            <w:tcBorders>
              <w:top w:val="nil"/>
              <w:left w:val="nil"/>
              <w:bottom w:val="single" w:sz="4" w:space="0" w:color="auto"/>
              <w:right w:val="nil"/>
            </w:tcBorders>
            <w:shd w:val="clear" w:color="auto" w:fill="auto"/>
            <w:noWrap/>
            <w:vAlign w:val="bottom"/>
            <w:hideMark/>
          </w:tcPr>
          <w:p w14:paraId="0C2929F7"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KS Č. Budějovice</w:t>
            </w:r>
          </w:p>
        </w:tc>
        <w:tc>
          <w:tcPr>
            <w:tcW w:w="1141" w:type="dxa"/>
            <w:tcBorders>
              <w:top w:val="nil"/>
              <w:left w:val="nil"/>
              <w:bottom w:val="single" w:sz="4" w:space="0" w:color="auto"/>
              <w:right w:val="nil"/>
            </w:tcBorders>
            <w:shd w:val="clear" w:color="auto" w:fill="auto"/>
            <w:noWrap/>
            <w:vAlign w:val="bottom"/>
            <w:hideMark/>
          </w:tcPr>
          <w:p w14:paraId="223B9D08" w14:textId="25006F59"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25,10</w:t>
            </w:r>
          </w:p>
        </w:tc>
        <w:tc>
          <w:tcPr>
            <w:tcW w:w="1134" w:type="dxa"/>
            <w:tcBorders>
              <w:top w:val="nil"/>
              <w:left w:val="nil"/>
              <w:bottom w:val="single" w:sz="4" w:space="0" w:color="auto"/>
              <w:right w:val="nil"/>
            </w:tcBorders>
            <w:shd w:val="clear" w:color="auto" w:fill="auto"/>
            <w:noWrap/>
            <w:vAlign w:val="bottom"/>
            <w:hideMark/>
          </w:tcPr>
          <w:p w14:paraId="64040D80" w14:textId="06F5812D"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167,57</w:t>
            </w:r>
          </w:p>
        </w:tc>
        <w:tc>
          <w:tcPr>
            <w:tcW w:w="933" w:type="dxa"/>
            <w:gridSpan w:val="2"/>
            <w:tcBorders>
              <w:top w:val="nil"/>
              <w:left w:val="nil"/>
              <w:bottom w:val="single" w:sz="4" w:space="0" w:color="auto"/>
              <w:right w:val="nil"/>
            </w:tcBorders>
            <w:shd w:val="clear" w:color="auto" w:fill="auto"/>
            <w:noWrap/>
            <w:vAlign w:val="center"/>
            <w:hideMark/>
          </w:tcPr>
          <w:p w14:paraId="0A86E04A" w14:textId="11D64C63"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193" w:type="dxa"/>
            <w:tcBorders>
              <w:top w:val="nil"/>
              <w:left w:val="single" w:sz="4" w:space="0" w:color="auto"/>
              <w:bottom w:val="single" w:sz="4" w:space="0" w:color="auto"/>
              <w:right w:val="nil"/>
            </w:tcBorders>
            <w:shd w:val="clear" w:color="auto" w:fill="auto"/>
            <w:noWrap/>
            <w:vAlign w:val="bottom"/>
            <w:hideMark/>
          </w:tcPr>
          <w:p w14:paraId="735722DD" w14:textId="4C68EAA6"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172,87</w:t>
            </w:r>
          </w:p>
        </w:tc>
        <w:tc>
          <w:tcPr>
            <w:tcW w:w="933" w:type="dxa"/>
            <w:gridSpan w:val="2"/>
            <w:tcBorders>
              <w:top w:val="nil"/>
              <w:left w:val="nil"/>
              <w:bottom w:val="single" w:sz="4" w:space="0" w:color="auto"/>
              <w:right w:val="single" w:sz="4" w:space="0" w:color="auto"/>
            </w:tcBorders>
            <w:shd w:val="clear" w:color="auto" w:fill="auto"/>
            <w:noWrap/>
            <w:vAlign w:val="center"/>
            <w:hideMark/>
          </w:tcPr>
          <w:p w14:paraId="70E16A06" w14:textId="3DD3640B"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81" w:type="dxa"/>
            <w:tcBorders>
              <w:top w:val="nil"/>
              <w:left w:val="nil"/>
              <w:bottom w:val="single" w:sz="4" w:space="0" w:color="auto"/>
              <w:right w:val="nil"/>
            </w:tcBorders>
            <w:shd w:val="clear" w:color="auto" w:fill="auto"/>
            <w:noWrap/>
            <w:vAlign w:val="bottom"/>
            <w:hideMark/>
          </w:tcPr>
          <w:p w14:paraId="12AD5E32" w14:textId="1A84A91E"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21,51</w:t>
            </w:r>
          </w:p>
        </w:tc>
        <w:tc>
          <w:tcPr>
            <w:tcW w:w="971" w:type="dxa"/>
            <w:gridSpan w:val="2"/>
            <w:tcBorders>
              <w:top w:val="nil"/>
              <w:left w:val="nil"/>
              <w:bottom w:val="single" w:sz="4" w:space="0" w:color="auto"/>
              <w:right w:val="nil"/>
            </w:tcBorders>
            <w:shd w:val="clear" w:color="auto" w:fill="auto"/>
            <w:noWrap/>
            <w:vAlign w:val="center"/>
            <w:hideMark/>
          </w:tcPr>
          <w:p w14:paraId="20035AF0" w14:textId="223E0CEF"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AC1E67" w:rsidRPr="00A00187" w14:paraId="2C69153F" w14:textId="77777777" w:rsidTr="00E067F9">
        <w:trPr>
          <w:trHeight w:val="315"/>
        </w:trPr>
        <w:tc>
          <w:tcPr>
            <w:tcW w:w="1836" w:type="dxa"/>
            <w:tcBorders>
              <w:top w:val="nil"/>
              <w:left w:val="nil"/>
              <w:bottom w:val="single" w:sz="4" w:space="0" w:color="auto"/>
              <w:right w:val="nil"/>
            </w:tcBorders>
            <w:shd w:val="clear" w:color="auto" w:fill="auto"/>
            <w:noWrap/>
            <w:vAlign w:val="bottom"/>
            <w:hideMark/>
          </w:tcPr>
          <w:p w14:paraId="7B9EA3D3"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KS Plzeň</w:t>
            </w:r>
          </w:p>
        </w:tc>
        <w:tc>
          <w:tcPr>
            <w:tcW w:w="1141" w:type="dxa"/>
            <w:tcBorders>
              <w:top w:val="nil"/>
              <w:left w:val="nil"/>
              <w:bottom w:val="single" w:sz="4" w:space="0" w:color="auto"/>
              <w:right w:val="nil"/>
            </w:tcBorders>
            <w:shd w:val="clear" w:color="auto" w:fill="auto"/>
            <w:noWrap/>
            <w:vAlign w:val="bottom"/>
            <w:hideMark/>
          </w:tcPr>
          <w:p w14:paraId="0FFFDABA" w14:textId="57A89010"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36,10</w:t>
            </w:r>
          </w:p>
        </w:tc>
        <w:tc>
          <w:tcPr>
            <w:tcW w:w="1134" w:type="dxa"/>
            <w:tcBorders>
              <w:top w:val="nil"/>
              <w:left w:val="nil"/>
              <w:bottom w:val="single" w:sz="4" w:space="0" w:color="auto"/>
              <w:right w:val="nil"/>
            </w:tcBorders>
            <w:shd w:val="clear" w:color="auto" w:fill="auto"/>
            <w:noWrap/>
            <w:vAlign w:val="bottom"/>
            <w:hideMark/>
          </w:tcPr>
          <w:p w14:paraId="6576DBD3" w14:textId="6B1FAF67"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145,84</w:t>
            </w:r>
          </w:p>
        </w:tc>
        <w:tc>
          <w:tcPr>
            <w:tcW w:w="933" w:type="dxa"/>
            <w:gridSpan w:val="2"/>
            <w:tcBorders>
              <w:top w:val="nil"/>
              <w:left w:val="nil"/>
              <w:bottom w:val="single" w:sz="4" w:space="0" w:color="auto"/>
              <w:right w:val="nil"/>
            </w:tcBorders>
            <w:shd w:val="clear" w:color="auto" w:fill="auto"/>
            <w:noWrap/>
            <w:vAlign w:val="center"/>
            <w:hideMark/>
          </w:tcPr>
          <w:p w14:paraId="1BDC07B8" w14:textId="653D2331"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93" w:type="dxa"/>
            <w:tcBorders>
              <w:top w:val="nil"/>
              <w:left w:val="single" w:sz="4" w:space="0" w:color="auto"/>
              <w:bottom w:val="single" w:sz="4" w:space="0" w:color="auto"/>
              <w:right w:val="nil"/>
            </w:tcBorders>
            <w:shd w:val="clear" w:color="auto" w:fill="auto"/>
            <w:noWrap/>
            <w:vAlign w:val="bottom"/>
            <w:hideMark/>
          </w:tcPr>
          <w:p w14:paraId="6320DE0E" w14:textId="3CCFED7A"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154,21</w:t>
            </w:r>
          </w:p>
        </w:tc>
        <w:tc>
          <w:tcPr>
            <w:tcW w:w="933" w:type="dxa"/>
            <w:gridSpan w:val="2"/>
            <w:tcBorders>
              <w:top w:val="nil"/>
              <w:left w:val="nil"/>
              <w:bottom w:val="single" w:sz="4" w:space="0" w:color="auto"/>
              <w:right w:val="single" w:sz="4" w:space="0" w:color="auto"/>
            </w:tcBorders>
            <w:shd w:val="clear" w:color="auto" w:fill="auto"/>
            <w:noWrap/>
            <w:vAlign w:val="center"/>
            <w:hideMark/>
          </w:tcPr>
          <w:p w14:paraId="7EF3B279" w14:textId="71B1C42C"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081" w:type="dxa"/>
            <w:tcBorders>
              <w:top w:val="nil"/>
              <w:left w:val="nil"/>
              <w:bottom w:val="single" w:sz="4" w:space="0" w:color="auto"/>
              <w:right w:val="nil"/>
            </w:tcBorders>
            <w:shd w:val="clear" w:color="auto" w:fill="auto"/>
            <w:noWrap/>
            <w:vAlign w:val="bottom"/>
            <w:hideMark/>
          </w:tcPr>
          <w:p w14:paraId="6612C1AB" w14:textId="275814B3"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25,87</w:t>
            </w:r>
          </w:p>
        </w:tc>
        <w:tc>
          <w:tcPr>
            <w:tcW w:w="971" w:type="dxa"/>
            <w:gridSpan w:val="2"/>
            <w:tcBorders>
              <w:top w:val="nil"/>
              <w:left w:val="nil"/>
              <w:bottom w:val="single" w:sz="4" w:space="0" w:color="auto"/>
              <w:right w:val="nil"/>
            </w:tcBorders>
            <w:shd w:val="clear" w:color="auto" w:fill="auto"/>
            <w:noWrap/>
            <w:vAlign w:val="center"/>
            <w:hideMark/>
          </w:tcPr>
          <w:p w14:paraId="789CA4BE" w14:textId="4182E09A"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r>
      <w:tr w:rsidR="00AC1E67" w:rsidRPr="00A00187" w14:paraId="51DD5C55" w14:textId="77777777" w:rsidTr="00E067F9">
        <w:trPr>
          <w:trHeight w:val="315"/>
        </w:trPr>
        <w:tc>
          <w:tcPr>
            <w:tcW w:w="1836" w:type="dxa"/>
            <w:tcBorders>
              <w:top w:val="nil"/>
              <w:left w:val="nil"/>
              <w:bottom w:val="single" w:sz="4" w:space="0" w:color="auto"/>
              <w:right w:val="nil"/>
            </w:tcBorders>
            <w:shd w:val="clear" w:color="auto" w:fill="auto"/>
            <w:noWrap/>
            <w:vAlign w:val="bottom"/>
            <w:hideMark/>
          </w:tcPr>
          <w:p w14:paraId="5660CE0E"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KS Ústí n. Labem</w:t>
            </w:r>
          </w:p>
        </w:tc>
        <w:tc>
          <w:tcPr>
            <w:tcW w:w="1141" w:type="dxa"/>
            <w:tcBorders>
              <w:top w:val="nil"/>
              <w:left w:val="nil"/>
              <w:bottom w:val="single" w:sz="4" w:space="0" w:color="auto"/>
              <w:right w:val="nil"/>
            </w:tcBorders>
            <w:shd w:val="clear" w:color="auto" w:fill="auto"/>
            <w:noWrap/>
            <w:vAlign w:val="bottom"/>
            <w:hideMark/>
          </w:tcPr>
          <w:p w14:paraId="5ACDC374" w14:textId="307EC3AE"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62,07</w:t>
            </w:r>
          </w:p>
        </w:tc>
        <w:tc>
          <w:tcPr>
            <w:tcW w:w="1134" w:type="dxa"/>
            <w:tcBorders>
              <w:top w:val="nil"/>
              <w:left w:val="nil"/>
              <w:bottom w:val="single" w:sz="4" w:space="0" w:color="auto"/>
              <w:right w:val="nil"/>
            </w:tcBorders>
            <w:shd w:val="clear" w:color="auto" w:fill="auto"/>
            <w:noWrap/>
            <w:vAlign w:val="bottom"/>
            <w:hideMark/>
          </w:tcPr>
          <w:p w14:paraId="22D02736" w14:textId="624721C7"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162,99</w:t>
            </w:r>
          </w:p>
        </w:tc>
        <w:tc>
          <w:tcPr>
            <w:tcW w:w="933" w:type="dxa"/>
            <w:gridSpan w:val="2"/>
            <w:tcBorders>
              <w:top w:val="nil"/>
              <w:left w:val="nil"/>
              <w:bottom w:val="single" w:sz="4" w:space="0" w:color="auto"/>
              <w:right w:val="nil"/>
            </w:tcBorders>
            <w:shd w:val="clear" w:color="auto" w:fill="auto"/>
            <w:noWrap/>
            <w:vAlign w:val="center"/>
            <w:hideMark/>
          </w:tcPr>
          <w:p w14:paraId="267D15F0" w14:textId="757BF599"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93" w:type="dxa"/>
            <w:tcBorders>
              <w:top w:val="nil"/>
              <w:left w:val="single" w:sz="4" w:space="0" w:color="auto"/>
              <w:bottom w:val="single" w:sz="4" w:space="0" w:color="auto"/>
              <w:right w:val="nil"/>
            </w:tcBorders>
            <w:shd w:val="clear" w:color="auto" w:fill="auto"/>
            <w:noWrap/>
            <w:vAlign w:val="bottom"/>
            <w:hideMark/>
          </w:tcPr>
          <w:p w14:paraId="27BF716E" w14:textId="1D66F6F9"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172,43</w:t>
            </w:r>
          </w:p>
        </w:tc>
        <w:tc>
          <w:tcPr>
            <w:tcW w:w="933" w:type="dxa"/>
            <w:gridSpan w:val="2"/>
            <w:tcBorders>
              <w:top w:val="nil"/>
              <w:left w:val="nil"/>
              <w:bottom w:val="single" w:sz="4" w:space="0" w:color="auto"/>
              <w:right w:val="single" w:sz="4" w:space="0" w:color="auto"/>
            </w:tcBorders>
            <w:shd w:val="clear" w:color="auto" w:fill="auto"/>
            <w:noWrap/>
            <w:vAlign w:val="center"/>
            <w:hideMark/>
          </w:tcPr>
          <w:p w14:paraId="766F493F" w14:textId="4BBFC571"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081" w:type="dxa"/>
            <w:tcBorders>
              <w:top w:val="nil"/>
              <w:left w:val="nil"/>
              <w:bottom w:val="single" w:sz="4" w:space="0" w:color="auto"/>
              <w:right w:val="nil"/>
            </w:tcBorders>
            <w:shd w:val="clear" w:color="auto" w:fill="auto"/>
            <w:noWrap/>
            <w:vAlign w:val="bottom"/>
            <w:hideMark/>
          </w:tcPr>
          <w:p w14:paraId="2659F03F" w14:textId="0C4E5EFB"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45,03</w:t>
            </w:r>
          </w:p>
        </w:tc>
        <w:tc>
          <w:tcPr>
            <w:tcW w:w="971" w:type="dxa"/>
            <w:gridSpan w:val="2"/>
            <w:tcBorders>
              <w:top w:val="nil"/>
              <w:left w:val="nil"/>
              <w:bottom w:val="single" w:sz="4" w:space="0" w:color="auto"/>
              <w:right w:val="nil"/>
            </w:tcBorders>
            <w:shd w:val="clear" w:color="auto" w:fill="auto"/>
            <w:noWrap/>
            <w:vAlign w:val="center"/>
            <w:hideMark/>
          </w:tcPr>
          <w:p w14:paraId="63626C30" w14:textId="54EF3B20"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AC1E67" w:rsidRPr="00A00187" w14:paraId="39414B5D" w14:textId="77777777" w:rsidTr="00E067F9">
        <w:trPr>
          <w:trHeight w:val="315"/>
        </w:trPr>
        <w:tc>
          <w:tcPr>
            <w:tcW w:w="1836" w:type="dxa"/>
            <w:tcBorders>
              <w:top w:val="nil"/>
              <w:left w:val="nil"/>
              <w:bottom w:val="single" w:sz="4" w:space="0" w:color="auto"/>
              <w:right w:val="nil"/>
            </w:tcBorders>
            <w:shd w:val="clear" w:color="auto" w:fill="auto"/>
            <w:noWrap/>
            <w:vAlign w:val="bottom"/>
            <w:hideMark/>
          </w:tcPr>
          <w:p w14:paraId="342BFC20"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KS Hr. Králové</w:t>
            </w:r>
          </w:p>
        </w:tc>
        <w:tc>
          <w:tcPr>
            <w:tcW w:w="1141" w:type="dxa"/>
            <w:tcBorders>
              <w:top w:val="nil"/>
              <w:left w:val="nil"/>
              <w:bottom w:val="single" w:sz="4" w:space="0" w:color="auto"/>
              <w:right w:val="nil"/>
            </w:tcBorders>
            <w:shd w:val="clear" w:color="auto" w:fill="auto"/>
            <w:noWrap/>
            <w:vAlign w:val="bottom"/>
            <w:hideMark/>
          </w:tcPr>
          <w:p w14:paraId="167429E6" w14:textId="1E711E15"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36,30</w:t>
            </w:r>
          </w:p>
        </w:tc>
        <w:tc>
          <w:tcPr>
            <w:tcW w:w="1134" w:type="dxa"/>
            <w:tcBorders>
              <w:top w:val="nil"/>
              <w:left w:val="nil"/>
              <w:bottom w:val="single" w:sz="4" w:space="0" w:color="auto"/>
              <w:right w:val="nil"/>
            </w:tcBorders>
            <w:shd w:val="clear" w:color="auto" w:fill="auto"/>
            <w:noWrap/>
            <w:vAlign w:val="bottom"/>
            <w:hideMark/>
          </w:tcPr>
          <w:p w14:paraId="017820F8" w14:textId="17862EE5"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151,96</w:t>
            </w:r>
          </w:p>
        </w:tc>
        <w:tc>
          <w:tcPr>
            <w:tcW w:w="933" w:type="dxa"/>
            <w:gridSpan w:val="2"/>
            <w:tcBorders>
              <w:top w:val="nil"/>
              <w:left w:val="nil"/>
              <w:bottom w:val="single" w:sz="4" w:space="0" w:color="auto"/>
              <w:right w:val="nil"/>
            </w:tcBorders>
            <w:shd w:val="clear" w:color="auto" w:fill="auto"/>
            <w:noWrap/>
            <w:vAlign w:val="center"/>
            <w:hideMark/>
          </w:tcPr>
          <w:p w14:paraId="78957759" w14:textId="2F89F6E1"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193" w:type="dxa"/>
            <w:tcBorders>
              <w:top w:val="nil"/>
              <w:left w:val="single" w:sz="4" w:space="0" w:color="auto"/>
              <w:bottom w:val="single" w:sz="4" w:space="0" w:color="auto"/>
              <w:right w:val="nil"/>
            </w:tcBorders>
            <w:shd w:val="clear" w:color="auto" w:fill="auto"/>
            <w:noWrap/>
            <w:vAlign w:val="bottom"/>
            <w:hideMark/>
          </w:tcPr>
          <w:p w14:paraId="19108673" w14:textId="52566A72"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153,22</w:t>
            </w:r>
          </w:p>
        </w:tc>
        <w:tc>
          <w:tcPr>
            <w:tcW w:w="933" w:type="dxa"/>
            <w:gridSpan w:val="2"/>
            <w:tcBorders>
              <w:top w:val="nil"/>
              <w:left w:val="nil"/>
              <w:bottom w:val="single" w:sz="4" w:space="0" w:color="auto"/>
              <w:right w:val="single" w:sz="4" w:space="0" w:color="auto"/>
            </w:tcBorders>
            <w:shd w:val="clear" w:color="auto" w:fill="auto"/>
            <w:noWrap/>
            <w:vAlign w:val="center"/>
            <w:hideMark/>
          </w:tcPr>
          <w:p w14:paraId="2A02A532" w14:textId="17066AD4"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81" w:type="dxa"/>
            <w:tcBorders>
              <w:top w:val="nil"/>
              <w:left w:val="nil"/>
              <w:bottom w:val="single" w:sz="4" w:space="0" w:color="auto"/>
              <w:right w:val="nil"/>
            </w:tcBorders>
            <w:shd w:val="clear" w:color="auto" w:fill="auto"/>
            <w:noWrap/>
            <w:vAlign w:val="bottom"/>
            <w:hideMark/>
          </w:tcPr>
          <w:p w14:paraId="42884A94" w14:textId="6E29E0AE"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16,61</w:t>
            </w:r>
          </w:p>
        </w:tc>
        <w:tc>
          <w:tcPr>
            <w:tcW w:w="971" w:type="dxa"/>
            <w:gridSpan w:val="2"/>
            <w:tcBorders>
              <w:top w:val="nil"/>
              <w:left w:val="nil"/>
              <w:bottom w:val="single" w:sz="4" w:space="0" w:color="auto"/>
              <w:right w:val="nil"/>
            </w:tcBorders>
            <w:shd w:val="clear" w:color="auto" w:fill="auto"/>
            <w:noWrap/>
            <w:vAlign w:val="center"/>
            <w:hideMark/>
          </w:tcPr>
          <w:p w14:paraId="01A1DA53" w14:textId="78BC29E4"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5945A864" w14:textId="77777777" w:rsidTr="00E067F9">
        <w:trPr>
          <w:trHeight w:val="315"/>
        </w:trPr>
        <w:tc>
          <w:tcPr>
            <w:tcW w:w="1836" w:type="dxa"/>
            <w:tcBorders>
              <w:top w:val="nil"/>
              <w:left w:val="nil"/>
              <w:bottom w:val="single" w:sz="4" w:space="0" w:color="auto"/>
              <w:right w:val="nil"/>
            </w:tcBorders>
            <w:shd w:val="clear" w:color="auto" w:fill="auto"/>
            <w:noWrap/>
            <w:vAlign w:val="bottom"/>
            <w:hideMark/>
          </w:tcPr>
          <w:p w14:paraId="18F504E2"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KS Brno</w:t>
            </w:r>
          </w:p>
        </w:tc>
        <w:tc>
          <w:tcPr>
            <w:tcW w:w="1141" w:type="dxa"/>
            <w:tcBorders>
              <w:top w:val="nil"/>
              <w:left w:val="nil"/>
              <w:bottom w:val="single" w:sz="4" w:space="0" w:color="auto"/>
              <w:right w:val="nil"/>
            </w:tcBorders>
            <w:shd w:val="clear" w:color="auto" w:fill="auto"/>
            <w:noWrap/>
            <w:vAlign w:val="bottom"/>
            <w:hideMark/>
          </w:tcPr>
          <w:p w14:paraId="0AC905BB" w14:textId="4C50930D"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52,84</w:t>
            </w:r>
          </w:p>
        </w:tc>
        <w:tc>
          <w:tcPr>
            <w:tcW w:w="1134" w:type="dxa"/>
            <w:tcBorders>
              <w:top w:val="nil"/>
              <w:left w:val="nil"/>
              <w:bottom w:val="single" w:sz="4" w:space="0" w:color="auto"/>
              <w:right w:val="nil"/>
            </w:tcBorders>
            <w:shd w:val="clear" w:color="auto" w:fill="auto"/>
            <w:noWrap/>
            <w:vAlign w:val="bottom"/>
            <w:hideMark/>
          </w:tcPr>
          <w:p w14:paraId="5CED902D" w14:textId="36361141"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172,03</w:t>
            </w:r>
          </w:p>
        </w:tc>
        <w:tc>
          <w:tcPr>
            <w:tcW w:w="933" w:type="dxa"/>
            <w:gridSpan w:val="2"/>
            <w:tcBorders>
              <w:top w:val="nil"/>
              <w:left w:val="nil"/>
              <w:bottom w:val="single" w:sz="4" w:space="0" w:color="auto"/>
              <w:right w:val="nil"/>
            </w:tcBorders>
            <w:shd w:val="clear" w:color="auto" w:fill="auto"/>
            <w:noWrap/>
            <w:vAlign w:val="center"/>
            <w:hideMark/>
          </w:tcPr>
          <w:p w14:paraId="20C105DC" w14:textId="5AD0D8CC"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93" w:type="dxa"/>
            <w:tcBorders>
              <w:top w:val="nil"/>
              <w:left w:val="single" w:sz="4" w:space="0" w:color="auto"/>
              <w:bottom w:val="single" w:sz="4" w:space="0" w:color="auto"/>
              <w:right w:val="nil"/>
            </w:tcBorders>
            <w:shd w:val="clear" w:color="auto" w:fill="auto"/>
            <w:noWrap/>
            <w:vAlign w:val="bottom"/>
            <w:hideMark/>
          </w:tcPr>
          <w:p w14:paraId="280A97E6" w14:textId="740E66B8"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175,36</w:t>
            </w:r>
          </w:p>
        </w:tc>
        <w:tc>
          <w:tcPr>
            <w:tcW w:w="933" w:type="dxa"/>
            <w:gridSpan w:val="2"/>
            <w:tcBorders>
              <w:top w:val="nil"/>
              <w:left w:val="nil"/>
              <w:bottom w:val="single" w:sz="4" w:space="0" w:color="auto"/>
              <w:right w:val="single" w:sz="4" w:space="0" w:color="auto"/>
            </w:tcBorders>
            <w:shd w:val="clear" w:color="auto" w:fill="auto"/>
            <w:noWrap/>
            <w:vAlign w:val="center"/>
            <w:hideMark/>
          </w:tcPr>
          <w:p w14:paraId="39721744" w14:textId="6C3CF445"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81" w:type="dxa"/>
            <w:tcBorders>
              <w:top w:val="nil"/>
              <w:left w:val="nil"/>
              <w:bottom w:val="single" w:sz="4" w:space="0" w:color="auto"/>
              <w:right w:val="nil"/>
            </w:tcBorders>
            <w:shd w:val="clear" w:color="auto" w:fill="auto"/>
            <w:noWrap/>
            <w:vAlign w:val="bottom"/>
            <w:hideMark/>
          </w:tcPr>
          <w:p w14:paraId="68F354D5" w14:textId="5748D18E"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27,88</w:t>
            </w:r>
          </w:p>
        </w:tc>
        <w:tc>
          <w:tcPr>
            <w:tcW w:w="971" w:type="dxa"/>
            <w:gridSpan w:val="2"/>
            <w:tcBorders>
              <w:top w:val="nil"/>
              <w:left w:val="nil"/>
              <w:bottom w:val="single" w:sz="4" w:space="0" w:color="auto"/>
              <w:right w:val="nil"/>
            </w:tcBorders>
            <w:shd w:val="clear" w:color="auto" w:fill="auto"/>
            <w:noWrap/>
            <w:vAlign w:val="center"/>
            <w:hideMark/>
          </w:tcPr>
          <w:p w14:paraId="5A0A5402" w14:textId="65A005EA"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r>
      <w:tr w:rsidR="00AC1E67" w:rsidRPr="00A00187" w14:paraId="6B7C6F00" w14:textId="77777777" w:rsidTr="00E067F9">
        <w:trPr>
          <w:trHeight w:val="330"/>
        </w:trPr>
        <w:tc>
          <w:tcPr>
            <w:tcW w:w="1836" w:type="dxa"/>
            <w:tcBorders>
              <w:top w:val="nil"/>
              <w:left w:val="nil"/>
              <w:bottom w:val="double" w:sz="6" w:space="0" w:color="auto"/>
              <w:right w:val="nil"/>
            </w:tcBorders>
            <w:shd w:val="clear" w:color="auto" w:fill="auto"/>
            <w:noWrap/>
            <w:vAlign w:val="bottom"/>
            <w:hideMark/>
          </w:tcPr>
          <w:p w14:paraId="6059F219" w14:textId="77777777" w:rsidR="00154E64" w:rsidRPr="00A00187" w:rsidRDefault="00154E64" w:rsidP="00154E64">
            <w:pPr>
              <w:spacing w:line="240" w:lineRule="auto"/>
              <w:jc w:val="left"/>
              <w:rPr>
                <w:rFonts w:eastAsia="Times New Roman"/>
                <w:szCs w:val="24"/>
                <w:lang w:eastAsia="cs-CZ"/>
              </w:rPr>
            </w:pPr>
            <w:r w:rsidRPr="00A00187">
              <w:rPr>
                <w:rFonts w:eastAsia="Times New Roman"/>
                <w:szCs w:val="24"/>
                <w:lang w:eastAsia="cs-CZ"/>
              </w:rPr>
              <w:t>KS Ostrava</w:t>
            </w:r>
          </w:p>
        </w:tc>
        <w:tc>
          <w:tcPr>
            <w:tcW w:w="1141" w:type="dxa"/>
            <w:tcBorders>
              <w:top w:val="nil"/>
              <w:left w:val="nil"/>
              <w:bottom w:val="double" w:sz="6" w:space="0" w:color="auto"/>
              <w:right w:val="nil"/>
            </w:tcBorders>
            <w:shd w:val="clear" w:color="auto" w:fill="auto"/>
            <w:noWrap/>
            <w:vAlign w:val="bottom"/>
            <w:hideMark/>
          </w:tcPr>
          <w:p w14:paraId="75A986E4" w14:textId="4083618A"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69,15</w:t>
            </w:r>
          </w:p>
        </w:tc>
        <w:tc>
          <w:tcPr>
            <w:tcW w:w="1134" w:type="dxa"/>
            <w:tcBorders>
              <w:top w:val="nil"/>
              <w:left w:val="nil"/>
              <w:bottom w:val="double" w:sz="6" w:space="0" w:color="auto"/>
              <w:right w:val="nil"/>
            </w:tcBorders>
            <w:shd w:val="clear" w:color="auto" w:fill="auto"/>
            <w:noWrap/>
            <w:vAlign w:val="bottom"/>
            <w:hideMark/>
          </w:tcPr>
          <w:p w14:paraId="03A8C28E" w14:textId="727F5509"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167,30</w:t>
            </w:r>
          </w:p>
        </w:tc>
        <w:tc>
          <w:tcPr>
            <w:tcW w:w="933" w:type="dxa"/>
            <w:gridSpan w:val="2"/>
            <w:tcBorders>
              <w:top w:val="nil"/>
              <w:left w:val="nil"/>
              <w:bottom w:val="double" w:sz="6" w:space="0" w:color="auto"/>
              <w:right w:val="nil"/>
            </w:tcBorders>
            <w:shd w:val="clear" w:color="auto" w:fill="auto"/>
            <w:noWrap/>
            <w:vAlign w:val="center"/>
            <w:hideMark/>
          </w:tcPr>
          <w:p w14:paraId="7C3C8073" w14:textId="1919F9C1"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193" w:type="dxa"/>
            <w:tcBorders>
              <w:top w:val="nil"/>
              <w:left w:val="single" w:sz="4" w:space="0" w:color="auto"/>
              <w:bottom w:val="double" w:sz="6" w:space="0" w:color="auto"/>
              <w:right w:val="nil"/>
            </w:tcBorders>
            <w:shd w:val="clear" w:color="auto" w:fill="auto"/>
            <w:noWrap/>
            <w:vAlign w:val="bottom"/>
            <w:hideMark/>
          </w:tcPr>
          <w:p w14:paraId="3818A4D4" w14:textId="6154BC27"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173,61</w:t>
            </w:r>
          </w:p>
        </w:tc>
        <w:tc>
          <w:tcPr>
            <w:tcW w:w="933" w:type="dxa"/>
            <w:gridSpan w:val="2"/>
            <w:tcBorders>
              <w:top w:val="nil"/>
              <w:left w:val="nil"/>
              <w:bottom w:val="double" w:sz="6" w:space="0" w:color="auto"/>
              <w:right w:val="single" w:sz="4" w:space="0" w:color="auto"/>
            </w:tcBorders>
            <w:shd w:val="clear" w:color="auto" w:fill="auto"/>
            <w:noWrap/>
            <w:vAlign w:val="center"/>
            <w:hideMark/>
          </w:tcPr>
          <w:p w14:paraId="247825F8" w14:textId="7973F02D"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81" w:type="dxa"/>
            <w:tcBorders>
              <w:top w:val="nil"/>
              <w:left w:val="nil"/>
              <w:bottom w:val="double" w:sz="6" w:space="0" w:color="auto"/>
              <w:right w:val="nil"/>
            </w:tcBorders>
            <w:shd w:val="clear" w:color="auto" w:fill="auto"/>
            <w:noWrap/>
            <w:vAlign w:val="bottom"/>
            <w:hideMark/>
          </w:tcPr>
          <w:p w14:paraId="3055637A" w14:textId="753888AA" w:rsidR="00154E64" w:rsidRPr="00A00187" w:rsidRDefault="00154E64" w:rsidP="00154E64">
            <w:pPr>
              <w:spacing w:line="240" w:lineRule="auto"/>
              <w:jc w:val="center"/>
              <w:rPr>
                <w:rFonts w:eastAsia="Times New Roman"/>
                <w:szCs w:val="24"/>
                <w:lang w:eastAsia="cs-CZ"/>
              </w:rPr>
            </w:pPr>
            <w:r w:rsidRPr="00A00187">
              <w:rPr>
                <w:rFonts w:eastAsia="Times New Roman"/>
                <w:szCs w:val="24"/>
                <w:lang w:eastAsia="cs-CZ"/>
              </w:rPr>
              <w:t>32,49</w:t>
            </w:r>
          </w:p>
        </w:tc>
        <w:tc>
          <w:tcPr>
            <w:tcW w:w="971" w:type="dxa"/>
            <w:gridSpan w:val="2"/>
            <w:tcBorders>
              <w:top w:val="nil"/>
              <w:left w:val="nil"/>
              <w:bottom w:val="double" w:sz="6" w:space="0" w:color="auto"/>
              <w:right w:val="nil"/>
            </w:tcBorders>
            <w:shd w:val="clear" w:color="auto" w:fill="auto"/>
            <w:noWrap/>
            <w:vAlign w:val="center"/>
            <w:hideMark/>
          </w:tcPr>
          <w:p w14:paraId="56D604A1" w14:textId="470FC609" w:rsidR="00154E64" w:rsidRPr="00A00187" w:rsidRDefault="00154E64" w:rsidP="009E4F53">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612D171C" w14:textId="77777777" w:rsidTr="00E067F9">
        <w:trPr>
          <w:trHeight w:val="345"/>
        </w:trPr>
        <w:tc>
          <w:tcPr>
            <w:tcW w:w="1836" w:type="dxa"/>
            <w:tcBorders>
              <w:top w:val="nil"/>
              <w:left w:val="nil"/>
              <w:bottom w:val="double" w:sz="6" w:space="0" w:color="auto"/>
              <w:right w:val="nil"/>
            </w:tcBorders>
            <w:shd w:val="clear" w:color="auto" w:fill="auto"/>
            <w:noWrap/>
            <w:vAlign w:val="bottom"/>
            <w:hideMark/>
          </w:tcPr>
          <w:p w14:paraId="1FBB3D07" w14:textId="77777777" w:rsidR="00154E64" w:rsidRPr="00A00187" w:rsidRDefault="00154E64" w:rsidP="00154E64">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41" w:type="dxa"/>
            <w:tcBorders>
              <w:top w:val="nil"/>
              <w:left w:val="nil"/>
              <w:bottom w:val="double" w:sz="6" w:space="0" w:color="auto"/>
              <w:right w:val="nil"/>
            </w:tcBorders>
            <w:shd w:val="clear" w:color="auto" w:fill="auto"/>
            <w:noWrap/>
            <w:vAlign w:val="bottom"/>
            <w:hideMark/>
          </w:tcPr>
          <w:p w14:paraId="6D20E9EA" w14:textId="693D6AF2"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378,41</w:t>
            </w:r>
          </w:p>
        </w:tc>
        <w:tc>
          <w:tcPr>
            <w:tcW w:w="1134" w:type="dxa"/>
            <w:tcBorders>
              <w:top w:val="nil"/>
              <w:left w:val="nil"/>
              <w:bottom w:val="double" w:sz="6" w:space="0" w:color="auto"/>
              <w:right w:val="nil"/>
            </w:tcBorders>
            <w:shd w:val="clear" w:color="auto" w:fill="auto"/>
            <w:noWrap/>
            <w:vAlign w:val="bottom"/>
            <w:hideMark/>
          </w:tcPr>
          <w:p w14:paraId="22BAB4F0" w14:textId="5897F4F1"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161,91</w:t>
            </w:r>
          </w:p>
        </w:tc>
        <w:tc>
          <w:tcPr>
            <w:tcW w:w="933" w:type="dxa"/>
            <w:gridSpan w:val="2"/>
            <w:tcBorders>
              <w:top w:val="nil"/>
              <w:left w:val="nil"/>
              <w:bottom w:val="double" w:sz="6" w:space="0" w:color="auto"/>
              <w:right w:val="nil"/>
            </w:tcBorders>
            <w:shd w:val="clear" w:color="auto" w:fill="auto"/>
            <w:noWrap/>
            <w:vAlign w:val="center"/>
            <w:hideMark/>
          </w:tcPr>
          <w:p w14:paraId="6FBC29A3" w14:textId="148F2D51" w:rsidR="00154E64" w:rsidRPr="00A00187" w:rsidRDefault="00154E64"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c>
          <w:tcPr>
            <w:tcW w:w="1193" w:type="dxa"/>
            <w:tcBorders>
              <w:top w:val="nil"/>
              <w:left w:val="single" w:sz="4" w:space="0" w:color="auto"/>
              <w:bottom w:val="double" w:sz="6" w:space="0" w:color="auto"/>
              <w:right w:val="nil"/>
            </w:tcBorders>
            <w:shd w:val="clear" w:color="auto" w:fill="auto"/>
            <w:noWrap/>
            <w:vAlign w:val="bottom"/>
            <w:hideMark/>
          </w:tcPr>
          <w:p w14:paraId="209632E0" w14:textId="0E4F36FB"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166,92</w:t>
            </w:r>
          </w:p>
        </w:tc>
        <w:tc>
          <w:tcPr>
            <w:tcW w:w="933" w:type="dxa"/>
            <w:gridSpan w:val="2"/>
            <w:tcBorders>
              <w:top w:val="nil"/>
              <w:left w:val="nil"/>
              <w:bottom w:val="double" w:sz="6" w:space="0" w:color="auto"/>
              <w:right w:val="single" w:sz="4" w:space="0" w:color="auto"/>
            </w:tcBorders>
            <w:shd w:val="clear" w:color="auto" w:fill="auto"/>
            <w:noWrap/>
            <w:vAlign w:val="center"/>
            <w:hideMark/>
          </w:tcPr>
          <w:p w14:paraId="3D2A7B24" w14:textId="6FD1EAF3" w:rsidR="00154E64" w:rsidRPr="00A00187" w:rsidRDefault="00154E64"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c>
          <w:tcPr>
            <w:tcW w:w="1081" w:type="dxa"/>
            <w:tcBorders>
              <w:top w:val="nil"/>
              <w:left w:val="nil"/>
              <w:bottom w:val="double" w:sz="6" w:space="0" w:color="auto"/>
              <w:right w:val="nil"/>
            </w:tcBorders>
            <w:shd w:val="clear" w:color="auto" w:fill="auto"/>
            <w:noWrap/>
            <w:vAlign w:val="bottom"/>
            <w:hideMark/>
          </w:tcPr>
          <w:p w14:paraId="21C2DDA9" w14:textId="77B2802A" w:rsidR="00154E64" w:rsidRPr="00A00187" w:rsidRDefault="00154E64" w:rsidP="00154E64">
            <w:pPr>
              <w:spacing w:line="240" w:lineRule="auto"/>
              <w:jc w:val="center"/>
              <w:rPr>
                <w:rFonts w:eastAsia="Times New Roman"/>
                <w:b/>
                <w:bCs/>
                <w:szCs w:val="24"/>
                <w:lang w:eastAsia="cs-CZ"/>
              </w:rPr>
            </w:pPr>
            <w:r w:rsidRPr="00A00187">
              <w:rPr>
                <w:rFonts w:eastAsia="Times New Roman"/>
                <w:b/>
                <w:bCs/>
                <w:szCs w:val="24"/>
                <w:lang w:eastAsia="cs-CZ"/>
              </w:rPr>
              <w:t>27,03</w:t>
            </w:r>
          </w:p>
        </w:tc>
        <w:tc>
          <w:tcPr>
            <w:tcW w:w="971" w:type="dxa"/>
            <w:gridSpan w:val="2"/>
            <w:tcBorders>
              <w:top w:val="nil"/>
              <w:left w:val="nil"/>
              <w:bottom w:val="double" w:sz="6" w:space="0" w:color="auto"/>
              <w:right w:val="nil"/>
            </w:tcBorders>
            <w:shd w:val="clear" w:color="auto" w:fill="auto"/>
            <w:noWrap/>
            <w:vAlign w:val="center"/>
            <w:hideMark/>
          </w:tcPr>
          <w:p w14:paraId="4BBE5E1B" w14:textId="432D33EA" w:rsidR="00154E64" w:rsidRPr="00A00187" w:rsidRDefault="00154E64" w:rsidP="009E4F53">
            <w:pPr>
              <w:spacing w:line="240" w:lineRule="auto"/>
              <w:jc w:val="center"/>
              <w:rPr>
                <w:rFonts w:eastAsia="Times New Roman"/>
                <w:b/>
                <w:bCs/>
                <w:sz w:val="20"/>
                <w:szCs w:val="20"/>
                <w:lang w:eastAsia="cs-CZ"/>
              </w:rPr>
            </w:pPr>
            <w:r w:rsidRPr="00A00187">
              <w:rPr>
                <w:rFonts w:eastAsia="Times New Roman"/>
                <w:b/>
                <w:bCs/>
                <w:sz w:val="20"/>
                <w:szCs w:val="20"/>
                <w:lang w:eastAsia="cs-CZ"/>
              </w:rPr>
              <w:t>-15</w:t>
            </w:r>
            <w:r w:rsidR="00CB570A">
              <w:rPr>
                <w:rFonts w:eastAsia="Times New Roman"/>
                <w:b/>
                <w:bCs/>
                <w:sz w:val="20"/>
                <w:szCs w:val="20"/>
                <w:lang w:eastAsia="cs-CZ"/>
              </w:rPr>
              <w:t> %</w:t>
            </w:r>
          </w:p>
        </w:tc>
      </w:tr>
      <w:tr w:rsidR="00AC1E67" w:rsidRPr="00A00187" w14:paraId="0106C979" w14:textId="77777777" w:rsidTr="00647F65">
        <w:trPr>
          <w:trHeight w:val="330"/>
        </w:trPr>
        <w:tc>
          <w:tcPr>
            <w:tcW w:w="1836" w:type="dxa"/>
            <w:tcBorders>
              <w:top w:val="nil"/>
              <w:left w:val="nil"/>
              <w:bottom w:val="nil"/>
              <w:right w:val="nil"/>
            </w:tcBorders>
            <w:shd w:val="clear" w:color="auto" w:fill="auto"/>
            <w:noWrap/>
            <w:vAlign w:val="bottom"/>
            <w:hideMark/>
          </w:tcPr>
          <w:p w14:paraId="19DC7D31" w14:textId="77777777" w:rsidR="00154E64" w:rsidRPr="00A00187" w:rsidRDefault="00154E64" w:rsidP="004A67D2">
            <w:pPr>
              <w:spacing w:line="240" w:lineRule="auto"/>
              <w:rPr>
                <w:rFonts w:eastAsia="Times New Roman"/>
                <w:b/>
                <w:bCs/>
                <w:sz w:val="20"/>
                <w:szCs w:val="20"/>
                <w:lang w:eastAsia="cs-CZ"/>
              </w:rPr>
            </w:pPr>
          </w:p>
        </w:tc>
        <w:tc>
          <w:tcPr>
            <w:tcW w:w="1141" w:type="dxa"/>
            <w:tcBorders>
              <w:top w:val="nil"/>
              <w:left w:val="nil"/>
              <w:bottom w:val="nil"/>
              <w:right w:val="nil"/>
            </w:tcBorders>
            <w:shd w:val="clear" w:color="auto" w:fill="auto"/>
            <w:noWrap/>
            <w:vAlign w:val="bottom"/>
            <w:hideMark/>
          </w:tcPr>
          <w:p w14:paraId="3ABB897B" w14:textId="77777777" w:rsidR="00154E64" w:rsidRPr="00A00187" w:rsidRDefault="00154E64" w:rsidP="00154E64">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479614DE" w14:textId="77777777" w:rsidR="00154E64" w:rsidRPr="00A00187" w:rsidRDefault="00154E64" w:rsidP="00154E64">
            <w:pPr>
              <w:spacing w:line="240" w:lineRule="auto"/>
              <w:jc w:val="left"/>
              <w:rPr>
                <w:rFonts w:ascii="Times New Roman" w:eastAsia="Times New Roman" w:hAnsi="Times New Roman"/>
                <w:sz w:val="20"/>
                <w:szCs w:val="20"/>
                <w:lang w:eastAsia="cs-CZ"/>
              </w:rPr>
            </w:pPr>
          </w:p>
        </w:tc>
        <w:tc>
          <w:tcPr>
            <w:tcW w:w="933" w:type="dxa"/>
            <w:gridSpan w:val="2"/>
            <w:tcBorders>
              <w:top w:val="nil"/>
              <w:left w:val="nil"/>
              <w:bottom w:val="nil"/>
              <w:right w:val="nil"/>
            </w:tcBorders>
            <w:shd w:val="clear" w:color="auto" w:fill="auto"/>
            <w:noWrap/>
            <w:vAlign w:val="bottom"/>
            <w:hideMark/>
          </w:tcPr>
          <w:p w14:paraId="63AB52AD" w14:textId="77777777" w:rsidR="00154E64" w:rsidRPr="00A00187" w:rsidRDefault="00154E64" w:rsidP="00154E64">
            <w:pPr>
              <w:spacing w:line="240" w:lineRule="auto"/>
              <w:jc w:val="left"/>
              <w:rPr>
                <w:rFonts w:ascii="Times New Roman" w:eastAsia="Times New Roman" w:hAnsi="Times New Roman"/>
                <w:sz w:val="20"/>
                <w:szCs w:val="20"/>
                <w:lang w:eastAsia="cs-CZ"/>
              </w:rPr>
            </w:pPr>
          </w:p>
        </w:tc>
        <w:tc>
          <w:tcPr>
            <w:tcW w:w="1193" w:type="dxa"/>
            <w:tcBorders>
              <w:top w:val="nil"/>
              <w:left w:val="nil"/>
              <w:bottom w:val="nil"/>
              <w:right w:val="nil"/>
            </w:tcBorders>
            <w:shd w:val="clear" w:color="auto" w:fill="auto"/>
            <w:noWrap/>
            <w:vAlign w:val="bottom"/>
            <w:hideMark/>
          </w:tcPr>
          <w:p w14:paraId="3E8FA25F" w14:textId="77777777" w:rsidR="00154E64" w:rsidRPr="00A00187" w:rsidRDefault="00154E64" w:rsidP="00154E64">
            <w:pPr>
              <w:spacing w:line="240" w:lineRule="auto"/>
              <w:jc w:val="left"/>
              <w:rPr>
                <w:rFonts w:ascii="Times New Roman" w:eastAsia="Times New Roman" w:hAnsi="Times New Roman"/>
                <w:sz w:val="20"/>
                <w:szCs w:val="20"/>
                <w:lang w:eastAsia="cs-CZ"/>
              </w:rPr>
            </w:pPr>
          </w:p>
        </w:tc>
        <w:tc>
          <w:tcPr>
            <w:tcW w:w="933" w:type="dxa"/>
            <w:gridSpan w:val="2"/>
            <w:tcBorders>
              <w:top w:val="nil"/>
              <w:left w:val="nil"/>
              <w:bottom w:val="nil"/>
              <w:right w:val="nil"/>
            </w:tcBorders>
            <w:shd w:val="clear" w:color="auto" w:fill="auto"/>
            <w:noWrap/>
            <w:vAlign w:val="bottom"/>
            <w:hideMark/>
          </w:tcPr>
          <w:p w14:paraId="2754E317" w14:textId="77777777" w:rsidR="00154E64" w:rsidRPr="00A00187" w:rsidRDefault="00154E64" w:rsidP="00154E64">
            <w:pPr>
              <w:spacing w:line="240" w:lineRule="auto"/>
              <w:jc w:val="left"/>
              <w:rPr>
                <w:rFonts w:ascii="Times New Roman" w:eastAsia="Times New Roman" w:hAnsi="Times New Roman"/>
                <w:sz w:val="20"/>
                <w:szCs w:val="20"/>
                <w:lang w:eastAsia="cs-CZ"/>
              </w:rPr>
            </w:pPr>
          </w:p>
        </w:tc>
        <w:tc>
          <w:tcPr>
            <w:tcW w:w="1081" w:type="dxa"/>
            <w:tcBorders>
              <w:top w:val="nil"/>
              <w:left w:val="nil"/>
              <w:bottom w:val="nil"/>
              <w:right w:val="nil"/>
            </w:tcBorders>
            <w:shd w:val="clear" w:color="auto" w:fill="auto"/>
            <w:noWrap/>
            <w:vAlign w:val="bottom"/>
            <w:hideMark/>
          </w:tcPr>
          <w:p w14:paraId="7E98B541" w14:textId="77777777" w:rsidR="00154E64" w:rsidRPr="00A00187" w:rsidRDefault="00154E64" w:rsidP="00154E64">
            <w:pPr>
              <w:spacing w:line="240" w:lineRule="auto"/>
              <w:jc w:val="left"/>
              <w:rPr>
                <w:rFonts w:ascii="Times New Roman" w:eastAsia="Times New Roman" w:hAnsi="Times New Roman"/>
                <w:sz w:val="20"/>
                <w:szCs w:val="20"/>
                <w:lang w:eastAsia="cs-CZ"/>
              </w:rPr>
            </w:pPr>
          </w:p>
        </w:tc>
        <w:tc>
          <w:tcPr>
            <w:tcW w:w="971" w:type="dxa"/>
            <w:gridSpan w:val="2"/>
            <w:tcBorders>
              <w:top w:val="nil"/>
              <w:left w:val="nil"/>
              <w:bottom w:val="nil"/>
              <w:right w:val="nil"/>
            </w:tcBorders>
            <w:shd w:val="clear" w:color="auto" w:fill="auto"/>
            <w:noWrap/>
            <w:vAlign w:val="bottom"/>
            <w:hideMark/>
          </w:tcPr>
          <w:p w14:paraId="436E7EE4" w14:textId="77777777" w:rsidR="00154E64" w:rsidRPr="00A00187" w:rsidRDefault="00154E64" w:rsidP="009E4F53">
            <w:pPr>
              <w:spacing w:line="240" w:lineRule="auto"/>
              <w:jc w:val="center"/>
              <w:rPr>
                <w:rFonts w:ascii="Times New Roman" w:eastAsia="Times New Roman" w:hAnsi="Times New Roman"/>
                <w:sz w:val="20"/>
                <w:szCs w:val="20"/>
                <w:lang w:eastAsia="cs-CZ"/>
              </w:rPr>
            </w:pPr>
          </w:p>
        </w:tc>
      </w:tr>
    </w:tbl>
    <w:p w14:paraId="562B024B" w14:textId="6EA558AC" w:rsidR="00154E64" w:rsidRPr="00A00187" w:rsidRDefault="00154E64" w:rsidP="00853151">
      <w:pPr>
        <w:pStyle w:val="OdstavecASR"/>
      </w:pPr>
      <w:r w:rsidRPr="00A00187">
        <w:t>V tabulce</w:t>
      </w:r>
      <w:r w:rsidR="00641DB9">
        <w:t xml:space="preserve"> </w:t>
      </w:r>
      <w:r w:rsidRPr="00A00187">
        <w:t>vidíme, že výsledky (počty nevyřízených věcí na soudce) opět přibližně odpovídají délkám řízení – nejhorší situace je zatím ještě stále u OS, které spadají pod KS Ústí nad Labem.</w:t>
      </w:r>
    </w:p>
    <w:p w14:paraId="4B03C9E4" w14:textId="3DBF8E35" w:rsidR="00154E64" w:rsidRPr="00A00187" w:rsidRDefault="00154E64" w:rsidP="00853151">
      <w:pPr>
        <w:pStyle w:val="OdstavecASR"/>
      </w:pPr>
      <w:r w:rsidRPr="00A00187">
        <w:lastRenderedPageBreak/>
        <w:t>Počet úvazků se za rok téměř nezměnil, takže změny v počt</w:t>
      </w:r>
      <w:r w:rsidR="00F94945" w:rsidRPr="00A00187">
        <w:t>u</w:t>
      </w:r>
      <w:r w:rsidRPr="00A00187">
        <w:t xml:space="preserve"> příchozích, vyřízených a</w:t>
      </w:r>
      <w:r w:rsidR="009F3884" w:rsidRPr="00A00187">
        <w:t> </w:t>
      </w:r>
      <w:r w:rsidRPr="00A00187">
        <w:t xml:space="preserve">nevyřízených </w:t>
      </w:r>
      <w:r w:rsidR="009F3884" w:rsidRPr="00A00187">
        <w:t>věcí</w:t>
      </w:r>
      <w:r w:rsidRPr="00A00187">
        <w:t xml:space="preserve"> na soudce odpovídají vývoji v absolutní</w:t>
      </w:r>
      <w:r w:rsidR="00F94945" w:rsidRPr="00A00187">
        <w:t>ch</w:t>
      </w:r>
      <w:r w:rsidRPr="00A00187">
        <w:t xml:space="preserve"> počt</w:t>
      </w:r>
      <w:r w:rsidR="00F94945" w:rsidRPr="00A00187">
        <w:t>ech</w:t>
      </w:r>
      <w:r w:rsidRPr="00A00187">
        <w:t>.</w:t>
      </w:r>
    </w:p>
    <w:p w14:paraId="72331570" w14:textId="2F4271D2" w:rsidR="008742F2" w:rsidRPr="00A00187" w:rsidRDefault="00154E64" w:rsidP="00154E64">
      <w:pPr>
        <w:pStyle w:val="Podnadpis"/>
        <w:rPr>
          <w:color w:val="auto"/>
        </w:rPr>
      </w:pPr>
      <w:bookmarkStart w:id="335" w:name="_Toc515871354"/>
      <w:bookmarkStart w:id="336" w:name="_Toc11135089"/>
      <w:bookmarkStart w:id="337" w:name="_Toc43841405"/>
      <w:bookmarkStart w:id="338" w:name="_Toc75952208"/>
      <w:bookmarkStart w:id="339" w:name="_Toc106106660"/>
      <w:bookmarkStart w:id="340" w:name="_Toc109801984"/>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26</w:t>
      </w:r>
      <w:r w:rsidRPr="00A00187">
        <w:rPr>
          <w:color w:val="auto"/>
        </w:rPr>
        <w:fldChar w:fldCharType="end"/>
      </w:r>
      <w:r w:rsidRPr="00A00187">
        <w:rPr>
          <w:color w:val="auto"/>
        </w:rPr>
        <w:t xml:space="preserve">: OS – počet </w:t>
      </w:r>
      <w:proofErr w:type="spellStart"/>
      <w:r w:rsidRPr="00A00187">
        <w:rPr>
          <w:color w:val="auto"/>
        </w:rPr>
        <w:t>nevyříz</w:t>
      </w:r>
      <w:proofErr w:type="spellEnd"/>
      <w:r w:rsidRPr="00A00187">
        <w:rPr>
          <w:color w:val="auto"/>
        </w:rPr>
        <w:t>. trestních věcí na úvazek u jednotlivých soudů</w:t>
      </w:r>
      <w:bookmarkEnd w:id="335"/>
      <w:bookmarkEnd w:id="336"/>
      <w:bookmarkEnd w:id="337"/>
      <w:bookmarkEnd w:id="338"/>
      <w:bookmarkEnd w:id="339"/>
      <w:bookmarkEnd w:id="340"/>
    </w:p>
    <w:p w14:paraId="118F2971" w14:textId="5FEEE089" w:rsidR="00154E64" w:rsidRPr="00A00187" w:rsidRDefault="009E7D89" w:rsidP="00154E64">
      <w:r w:rsidRPr="00A00187">
        <w:rPr>
          <w:noProof/>
        </w:rPr>
        <w:drawing>
          <wp:anchor distT="0" distB="0" distL="114300" distR="114300" simplePos="0" relativeHeight="251674624" behindDoc="0" locked="0" layoutInCell="1" allowOverlap="1" wp14:anchorId="79BFB170" wp14:editId="1FAFDAB0">
            <wp:simplePos x="0" y="0"/>
            <wp:positionH relativeFrom="margin">
              <wp:align>right</wp:align>
            </wp:positionH>
            <wp:positionV relativeFrom="paragraph">
              <wp:posOffset>10160</wp:posOffset>
            </wp:positionV>
            <wp:extent cx="1238400" cy="900000"/>
            <wp:effectExtent l="0" t="0" r="0" b="0"/>
            <wp:wrapNone/>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7D2" w:rsidRPr="00A00187">
        <w:rPr>
          <w:noProof/>
        </w:rPr>
        <w:drawing>
          <wp:inline distT="0" distB="0" distL="0" distR="0" wp14:anchorId="5C2657CC" wp14:editId="4DD9907E">
            <wp:extent cx="5759450" cy="329628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390742A6" w14:textId="645F4109" w:rsidR="00154E64" w:rsidRPr="00A00187" w:rsidRDefault="00154E64" w:rsidP="00154E64"/>
    <w:p w14:paraId="0713A78A" w14:textId="0A8EDB77" w:rsidR="00CB570A" w:rsidRDefault="00154E64" w:rsidP="00853151">
      <w:pPr>
        <w:pStyle w:val="OdstavecASR"/>
      </w:pPr>
      <w:r w:rsidRPr="00A00187">
        <w:t xml:space="preserve">Soudy s nejmenším počtem nevyřízených věcí v přepočtu na soudce jsou </w:t>
      </w:r>
      <w:r w:rsidR="00D5640F" w:rsidRPr="00A00187">
        <w:t>OS Praha-</w:t>
      </w:r>
      <w:r w:rsidR="000D386B">
        <w:t>v</w:t>
      </w:r>
      <w:r w:rsidR="00D5640F" w:rsidRPr="00A00187">
        <w:t xml:space="preserve">ýchod, </w:t>
      </w:r>
      <w:r w:rsidRPr="00A00187">
        <w:t>OS Beroun (</w:t>
      </w:r>
      <w:r w:rsidR="00D5640F" w:rsidRPr="00A00187">
        <w:t>oba 6</w:t>
      </w:r>
      <w:r w:rsidRPr="00A00187">
        <w:t> věcí)</w:t>
      </w:r>
      <w:r w:rsidR="00D5640F" w:rsidRPr="00A00187">
        <w:t xml:space="preserve"> </w:t>
      </w:r>
      <w:r w:rsidR="00726EC3" w:rsidRPr="00A00187">
        <w:t>a</w:t>
      </w:r>
      <w:r w:rsidR="00726EC3">
        <w:t> </w:t>
      </w:r>
      <w:r w:rsidRPr="00A00187">
        <w:t>OS Kutná Hora (8)</w:t>
      </w:r>
      <w:r w:rsidR="00D5640F" w:rsidRPr="00A00187">
        <w:t>.</w:t>
      </w:r>
      <w:r w:rsidRPr="00A00187">
        <w:t xml:space="preserve"> Naopak soudy s </w:t>
      </w:r>
      <w:r w:rsidR="00E761D4" w:rsidRPr="00A00187">
        <w:t xml:space="preserve">nejvyšším </w:t>
      </w:r>
      <w:r w:rsidRPr="00A00187">
        <w:t xml:space="preserve">počtem nevyřízených věcí na soudce jsou OS </w:t>
      </w:r>
      <w:r w:rsidR="000A6DFA" w:rsidRPr="00A00187">
        <w:t>Šumperk</w:t>
      </w:r>
      <w:r w:rsidRPr="00A00187">
        <w:t xml:space="preserve"> (</w:t>
      </w:r>
      <w:r w:rsidR="00853151" w:rsidRPr="00A00187">
        <w:t>59</w:t>
      </w:r>
      <w:r w:rsidRPr="00A00187">
        <w:t xml:space="preserve">), OS </w:t>
      </w:r>
      <w:r w:rsidR="000A6DFA" w:rsidRPr="00A00187">
        <w:t>Bruntál</w:t>
      </w:r>
      <w:r w:rsidRPr="00A00187">
        <w:t xml:space="preserve"> (</w:t>
      </w:r>
      <w:r w:rsidR="00853151" w:rsidRPr="00A00187">
        <w:t>59</w:t>
      </w:r>
      <w:r w:rsidRPr="00A00187">
        <w:t xml:space="preserve">) a na posledním místě OS Děčín s počtem </w:t>
      </w:r>
      <w:r w:rsidR="00853151" w:rsidRPr="00A00187">
        <w:t xml:space="preserve">88 </w:t>
      </w:r>
      <w:r w:rsidRPr="00A00187">
        <w:t>nevyřízených věcí na soudce</w:t>
      </w:r>
      <w:r w:rsidR="00C34EB8" w:rsidRPr="00A00187">
        <w:t xml:space="preserve"> </w:t>
      </w:r>
      <w:r w:rsidR="002A449E" w:rsidRPr="00A00187">
        <w:t xml:space="preserve">(stejně jako v loňském </w:t>
      </w:r>
      <w:r w:rsidR="00726EC3" w:rsidRPr="00A00187">
        <w:t>i</w:t>
      </w:r>
      <w:r w:rsidR="00726EC3">
        <w:t> </w:t>
      </w:r>
      <w:r w:rsidR="002A449E" w:rsidRPr="00A00187">
        <w:t>předloňském roce)</w:t>
      </w:r>
      <w:r w:rsidR="00853151" w:rsidRPr="00A00187">
        <w:t xml:space="preserve">, což je </w:t>
      </w:r>
      <w:r w:rsidR="00F94945" w:rsidRPr="00A00187">
        <w:t xml:space="preserve">nicméně </w:t>
      </w:r>
      <w:r w:rsidR="00853151" w:rsidRPr="00A00187">
        <w:t>značné zlepšení oproti roku předchozímu.</w:t>
      </w:r>
    </w:p>
    <w:p w14:paraId="0AA45194" w14:textId="63106586" w:rsidR="004A67D2" w:rsidRPr="00A00187" w:rsidRDefault="004A67D2" w:rsidP="00853151">
      <w:pPr>
        <w:pStyle w:val="OdstavecASR"/>
      </w:pPr>
      <w:r w:rsidRPr="00A00187">
        <w:br w:type="page"/>
      </w:r>
    </w:p>
    <w:p w14:paraId="479BB0DB" w14:textId="6B9A635A" w:rsidR="008430BD" w:rsidRPr="00A00187" w:rsidRDefault="008430BD" w:rsidP="008430BD">
      <w:pPr>
        <w:pStyle w:val="Nadpis3"/>
        <w:numPr>
          <w:ilvl w:val="2"/>
          <w:numId w:val="1"/>
        </w:numPr>
        <w:rPr>
          <w:color w:val="auto"/>
        </w:rPr>
      </w:pPr>
      <w:bookmarkStart w:id="341" w:name="_Toc515871234"/>
      <w:bookmarkStart w:id="342" w:name="_Toc106092731"/>
      <w:bookmarkStart w:id="343" w:name="_Toc109801347"/>
      <w:proofErr w:type="spellStart"/>
      <w:r w:rsidRPr="00A00187">
        <w:rPr>
          <w:color w:val="auto"/>
        </w:rPr>
        <w:lastRenderedPageBreak/>
        <w:t>Disposition</w:t>
      </w:r>
      <w:proofErr w:type="spellEnd"/>
      <w:r w:rsidRPr="00A00187">
        <w:rPr>
          <w:color w:val="auto"/>
        </w:rPr>
        <w:t xml:space="preserve"> </w:t>
      </w:r>
      <w:proofErr w:type="spellStart"/>
      <w:r w:rsidRPr="00A00187">
        <w:rPr>
          <w:color w:val="auto"/>
        </w:rPr>
        <w:t>time</w:t>
      </w:r>
      <w:bookmarkEnd w:id="341"/>
      <w:proofErr w:type="spellEnd"/>
      <w:r w:rsidRPr="00A00187">
        <w:rPr>
          <w:color w:val="auto"/>
        </w:rPr>
        <w:t xml:space="preserve"> (dispoziční čas)</w:t>
      </w:r>
      <w:bookmarkEnd w:id="342"/>
      <w:bookmarkEnd w:id="343"/>
    </w:p>
    <w:p w14:paraId="79DD329F" w14:textId="77777777" w:rsidR="000A6DFA" w:rsidRPr="00A00187" w:rsidRDefault="000A6DFA" w:rsidP="00853151">
      <w:pPr>
        <w:pStyle w:val="OdstavecASR"/>
      </w:pPr>
      <w:r w:rsidRPr="00A00187">
        <w:t>Základní popis způsobu výpočtu a účelu tohoto ukazatele se nachází v části věnované civilnímu řízení u OS. Výsledky DT velmi silně korespondují s výsledky z předchozích podkapitol.</w:t>
      </w:r>
    </w:p>
    <w:p w14:paraId="35EBF772" w14:textId="69C7F6A8" w:rsidR="000A6DFA" w:rsidRPr="00A00187" w:rsidRDefault="000A6DFA" w:rsidP="008A712C">
      <w:pPr>
        <w:pStyle w:val="Podnadpis"/>
        <w:numPr>
          <w:ilvl w:val="0"/>
          <w:numId w:val="0"/>
        </w:numPr>
        <w:rPr>
          <w:color w:val="auto"/>
        </w:rPr>
      </w:pPr>
      <w:bookmarkStart w:id="344" w:name="_Toc515871358"/>
      <w:bookmarkStart w:id="345" w:name="_Toc11135092"/>
      <w:bookmarkStart w:id="346" w:name="_Toc43841406"/>
      <w:bookmarkStart w:id="347" w:name="_Toc75952209"/>
      <w:bookmarkStart w:id="348" w:name="_Toc106106661"/>
      <w:bookmarkStart w:id="349" w:name="_Toc109801985"/>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27</w:t>
      </w:r>
      <w:r w:rsidRPr="00A00187">
        <w:rPr>
          <w:noProof/>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trestního řízení v letech 2008–20</w:t>
      </w:r>
      <w:bookmarkEnd w:id="344"/>
      <w:bookmarkEnd w:id="345"/>
      <w:bookmarkEnd w:id="346"/>
      <w:r w:rsidRPr="00A00187">
        <w:rPr>
          <w:color w:val="auto"/>
        </w:rPr>
        <w:t>20</w:t>
      </w:r>
      <w:bookmarkEnd w:id="347"/>
      <w:bookmarkEnd w:id="348"/>
      <w:bookmarkEnd w:id="349"/>
    </w:p>
    <w:p w14:paraId="1CE266B6" w14:textId="3A6AFC64" w:rsidR="00154E64" w:rsidRPr="00A00187" w:rsidRDefault="008A712C" w:rsidP="00154E64">
      <w:r w:rsidRPr="00A00187">
        <w:rPr>
          <w:noProof/>
        </w:rPr>
        <w:drawing>
          <wp:inline distT="0" distB="0" distL="0" distR="0" wp14:anchorId="1DBFCE14" wp14:editId="6C209E6F">
            <wp:extent cx="5029200" cy="365760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666D93" w14:textId="374A8F39" w:rsidR="00154E64" w:rsidRPr="00A00187" w:rsidRDefault="00154E64" w:rsidP="00853151">
      <w:pPr>
        <w:pStyle w:val="OdstavecASR"/>
      </w:pPr>
    </w:p>
    <w:p w14:paraId="15AB3F9A" w14:textId="77777777" w:rsidR="00CB570A" w:rsidRDefault="008A712C" w:rsidP="00853151">
      <w:pPr>
        <w:pStyle w:val="OdstavecASR"/>
      </w:pPr>
      <w:r w:rsidRPr="00A00187">
        <w:t>Zajímavý je určitý pokles DT v roce 2013. Ten byl způsoben nárůstem v počtu napadlých (a tedy i vyřízených věcí) v tomto roce. Od roku 2013 je DT velmi stabilní. Pokles počtu vyřízených i nevyřízených věcí za celou ČR pokračoval přibližně stejným tempem. Jak je výše diskutováno, v roce 2020 významně poklesl nápad (o 13</w:t>
      </w:r>
      <w:r w:rsidR="00CB570A">
        <w:t> %</w:t>
      </w:r>
      <w:r w:rsidRPr="00A00187">
        <w:t>), logicky tak poklesl i počet vyřízených věcí (také o 13</w:t>
      </w:r>
      <w:r w:rsidR="00CB570A">
        <w:t> %</w:t>
      </w:r>
      <w:r w:rsidRPr="00A00187">
        <w:t>), ale počet nevyřízených věcí poklesl jen nepatrně o 1</w:t>
      </w:r>
      <w:r w:rsidR="00CB570A">
        <w:t> %</w:t>
      </w:r>
      <w:r w:rsidRPr="00A00187">
        <w:t xml:space="preserve"> oproti roku 2019. To pak vedlo k růstu DT. V roce 2021 se poměrně významně podařilo snížit počet nevyřízených věcí. To se pak samozřejmě odrazilo v</w:t>
      </w:r>
      <w:r w:rsidR="00F94945" w:rsidRPr="00A00187">
        <w:t> poklesu</w:t>
      </w:r>
      <w:r w:rsidRPr="00A00187">
        <w:t xml:space="preserve"> DT </w:t>
      </w:r>
      <w:r w:rsidR="00F94945" w:rsidRPr="00A00187">
        <w:t>na nejnižší hodnotu za celé sledované období</w:t>
      </w:r>
      <w:r w:rsidRPr="00A00187">
        <w:t>.</w:t>
      </w:r>
    </w:p>
    <w:p w14:paraId="4F67C726" w14:textId="13D58B2D" w:rsidR="008A712C" w:rsidRPr="00A00187" w:rsidRDefault="008A712C" w:rsidP="008A712C">
      <w:pPr>
        <w:pStyle w:val="Podnadpis"/>
        <w:rPr>
          <w:color w:val="auto"/>
        </w:rPr>
      </w:pPr>
      <w:bookmarkStart w:id="350" w:name="_Toc43931196"/>
      <w:bookmarkStart w:id="351" w:name="_Toc75952326"/>
      <w:bookmarkStart w:id="352" w:name="_Toc106106785"/>
      <w:bookmarkStart w:id="353" w:name="_Toc109802108"/>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23</w:t>
      </w:r>
      <w:r w:rsidRPr="00A00187">
        <w:rPr>
          <w:noProof/>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trestního řízení dle krajů</w:t>
      </w:r>
      <w:bookmarkEnd w:id="350"/>
      <w:bookmarkEnd w:id="351"/>
      <w:bookmarkEnd w:id="352"/>
      <w:bookmarkEnd w:id="353"/>
    </w:p>
    <w:tbl>
      <w:tblPr>
        <w:tblW w:w="5992" w:type="dxa"/>
        <w:tblCellMar>
          <w:left w:w="70" w:type="dxa"/>
          <w:right w:w="70" w:type="dxa"/>
        </w:tblCellMar>
        <w:tblLook w:val="04A0" w:firstRow="1" w:lastRow="0" w:firstColumn="1" w:lastColumn="0" w:noHBand="0" w:noVBand="1"/>
      </w:tblPr>
      <w:tblGrid>
        <w:gridCol w:w="2796"/>
        <w:gridCol w:w="1042"/>
        <w:gridCol w:w="2154"/>
      </w:tblGrid>
      <w:tr w:rsidR="00AC1E67" w:rsidRPr="00A00187" w14:paraId="64CC88C0" w14:textId="77777777" w:rsidTr="008A712C">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024521A2" w14:textId="77777777" w:rsidR="008A712C" w:rsidRPr="00A00187" w:rsidRDefault="008A712C" w:rsidP="008A712C">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196" w:type="dxa"/>
            <w:gridSpan w:val="2"/>
            <w:tcBorders>
              <w:top w:val="double" w:sz="6" w:space="0" w:color="auto"/>
              <w:left w:val="nil"/>
              <w:bottom w:val="double" w:sz="6" w:space="0" w:color="auto"/>
              <w:right w:val="nil"/>
            </w:tcBorders>
            <w:shd w:val="clear" w:color="auto" w:fill="auto"/>
            <w:noWrap/>
            <w:vAlign w:val="center"/>
            <w:hideMark/>
          </w:tcPr>
          <w:p w14:paraId="3127F41B" w14:textId="77777777" w:rsidR="008A712C" w:rsidRPr="00A00187" w:rsidRDefault="008A712C" w:rsidP="008A712C">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736C8F0A" w14:textId="77777777" w:rsidTr="008A712C">
        <w:trPr>
          <w:trHeight w:val="330"/>
        </w:trPr>
        <w:tc>
          <w:tcPr>
            <w:tcW w:w="2796" w:type="dxa"/>
            <w:tcBorders>
              <w:top w:val="nil"/>
              <w:left w:val="nil"/>
              <w:bottom w:val="single" w:sz="4" w:space="0" w:color="auto"/>
              <w:right w:val="nil"/>
            </w:tcBorders>
            <w:shd w:val="clear" w:color="auto" w:fill="auto"/>
            <w:noWrap/>
            <w:vAlign w:val="bottom"/>
            <w:hideMark/>
          </w:tcPr>
          <w:p w14:paraId="15A70F89"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MS Praha</w:t>
            </w:r>
          </w:p>
        </w:tc>
        <w:tc>
          <w:tcPr>
            <w:tcW w:w="1042" w:type="dxa"/>
            <w:tcBorders>
              <w:top w:val="nil"/>
              <w:left w:val="nil"/>
              <w:bottom w:val="single" w:sz="4" w:space="0" w:color="auto"/>
              <w:right w:val="nil"/>
            </w:tcBorders>
            <w:shd w:val="clear" w:color="auto" w:fill="auto"/>
            <w:noWrap/>
            <w:vAlign w:val="bottom"/>
            <w:hideMark/>
          </w:tcPr>
          <w:p w14:paraId="450BAFD2"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50</w:t>
            </w:r>
          </w:p>
        </w:tc>
        <w:tc>
          <w:tcPr>
            <w:tcW w:w="2154" w:type="dxa"/>
            <w:tcBorders>
              <w:top w:val="nil"/>
              <w:left w:val="nil"/>
              <w:bottom w:val="single" w:sz="4" w:space="0" w:color="auto"/>
              <w:right w:val="nil"/>
            </w:tcBorders>
            <w:shd w:val="clear" w:color="auto" w:fill="auto"/>
            <w:noWrap/>
            <w:vAlign w:val="center"/>
            <w:hideMark/>
          </w:tcPr>
          <w:p w14:paraId="6C64D5D7" w14:textId="58479F5E"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r>
      <w:tr w:rsidR="00AC1E67" w:rsidRPr="00A00187" w14:paraId="2FD809F0" w14:textId="77777777" w:rsidTr="008A712C">
        <w:trPr>
          <w:trHeight w:val="315"/>
        </w:trPr>
        <w:tc>
          <w:tcPr>
            <w:tcW w:w="2796" w:type="dxa"/>
            <w:tcBorders>
              <w:top w:val="nil"/>
              <w:left w:val="nil"/>
              <w:bottom w:val="single" w:sz="4" w:space="0" w:color="auto"/>
              <w:right w:val="nil"/>
            </w:tcBorders>
            <w:shd w:val="clear" w:color="auto" w:fill="auto"/>
            <w:noWrap/>
            <w:vAlign w:val="bottom"/>
            <w:hideMark/>
          </w:tcPr>
          <w:p w14:paraId="26B86F3E"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KS Praha</w:t>
            </w:r>
          </w:p>
        </w:tc>
        <w:tc>
          <w:tcPr>
            <w:tcW w:w="1042" w:type="dxa"/>
            <w:tcBorders>
              <w:top w:val="nil"/>
              <w:left w:val="nil"/>
              <w:bottom w:val="single" w:sz="4" w:space="0" w:color="auto"/>
              <w:right w:val="nil"/>
            </w:tcBorders>
            <w:shd w:val="clear" w:color="auto" w:fill="auto"/>
            <w:noWrap/>
            <w:vAlign w:val="bottom"/>
            <w:hideMark/>
          </w:tcPr>
          <w:p w14:paraId="0C9053B3"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24</w:t>
            </w:r>
          </w:p>
        </w:tc>
        <w:tc>
          <w:tcPr>
            <w:tcW w:w="2154" w:type="dxa"/>
            <w:tcBorders>
              <w:top w:val="nil"/>
              <w:left w:val="nil"/>
              <w:bottom w:val="single" w:sz="4" w:space="0" w:color="auto"/>
              <w:right w:val="nil"/>
            </w:tcBorders>
            <w:shd w:val="clear" w:color="auto" w:fill="auto"/>
            <w:noWrap/>
            <w:vAlign w:val="center"/>
            <w:hideMark/>
          </w:tcPr>
          <w:p w14:paraId="17E7BA05" w14:textId="4EB9ADBE"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r>
      <w:tr w:rsidR="00AC1E67" w:rsidRPr="00A00187" w14:paraId="0BA5F6D0" w14:textId="77777777" w:rsidTr="008A712C">
        <w:trPr>
          <w:trHeight w:val="315"/>
        </w:trPr>
        <w:tc>
          <w:tcPr>
            <w:tcW w:w="2796" w:type="dxa"/>
            <w:tcBorders>
              <w:top w:val="nil"/>
              <w:left w:val="nil"/>
              <w:bottom w:val="single" w:sz="4" w:space="0" w:color="auto"/>
              <w:right w:val="nil"/>
            </w:tcBorders>
            <w:shd w:val="clear" w:color="auto" w:fill="auto"/>
            <w:noWrap/>
            <w:vAlign w:val="bottom"/>
            <w:hideMark/>
          </w:tcPr>
          <w:p w14:paraId="0E0217E7"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KS Č. Budějovice</w:t>
            </w:r>
          </w:p>
        </w:tc>
        <w:tc>
          <w:tcPr>
            <w:tcW w:w="1042" w:type="dxa"/>
            <w:tcBorders>
              <w:top w:val="nil"/>
              <w:left w:val="nil"/>
              <w:bottom w:val="single" w:sz="4" w:space="0" w:color="auto"/>
              <w:right w:val="nil"/>
            </w:tcBorders>
            <w:shd w:val="clear" w:color="auto" w:fill="auto"/>
            <w:noWrap/>
            <w:vAlign w:val="bottom"/>
            <w:hideMark/>
          </w:tcPr>
          <w:p w14:paraId="015BB8FC"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45</w:t>
            </w:r>
          </w:p>
        </w:tc>
        <w:tc>
          <w:tcPr>
            <w:tcW w:w="2154" w:type="dxa"/>
            <w:tcBorders>
              <w:top w:val="nil"/>
              <w:left w:val="nil"/>
              <w:bottom w:val="single" w:sz="4" w:space="0" w:color="auto"/>
              <w:right w:val="nil"/>
            </w:tcBorders>
            <w:shd w:val="clear" w:color="auto" w:fill="auto"/>
            <w:noWrap/>
            <w:vAlign w:val="center"/>
            <w:hideMark/>
          </w:tcPr>
          <w:p w14:paraId="36D45AA3" w14:textId="444B2EA3"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r>
      <w:tr w:rsidR="00AC1E67" w:rsidRPr="00A00187" w14:paraId="148BF715" w14:textId="77777777" w:rsidTr="008A712C">
        <w:trPr>
          <w:trHeight w:val="315"/>
        </w:trPr>
        <w:tc>
          <w:tcPr>
            <w:tcW w:w="2796" w:type="dxa"/>
            <w:tcBorders>
              <w:top w:val="nil"/>
              <w:left w:val="nil"/>
              <w:bottom w:val="single" w:sz="4" w:space="0" w:color="auto"/>
              <w:right w:val="nil"/>
            </w:tcBorders>
            <w:shd w:val="clear" w:color="auto" w:fill="auto"/>
            <w:noWrap/>
            <w:vAlign w:val="bottom"/>
            <w:hideMark/>
          </w:tcPr>
          <w:p w14:paraId="78FA2F19"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KS Plzeň</w:t>
            </w:r>
          </w:p>
        </w:tc>
        <w:tc>
          <w:tcPr>
            <w:tcW w:w="1042" w:type="dxa"/>
            <w:tcBorders>
              <w:top w:val="nil"/>
              <w:left w:val="nil"/>
              <w:bottom w:val="single" w:sz="4" w:space="0" w:color="auto"/>
              <w:right w:val="nil"/>
            </w:tcBorders>
            <w:shd w:val="clear" w:color="auto" w:fill="auto"/>
            <w:noWrap/>
            <w:vAlign w:val="bottom"/>
            <w:hideMark/>
          </w:tcPr>
          <w:p w14:paraId="30EDD25C"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61</w:t>
            </w:r>
          </w:p>
        </w:tc>
        <w:tc>
          <w:tcPr>
            <w:tcW w:w="2154" w:type="dxa"/>
            <w:tcBorders>
              <w:top w:val="nil"/>
              <w:left w:val="nil"/>
              <w:bottom w:val="single" w:sz="4" w:space="0" w:color="auto"/>
              <w:right w:val="nil"/>
            </w:tcBorders>
            <w:shd w:val="clear" w:color="auto" w:fill="auto"/>
            <w:noWrap/>
            <w:vAlign w:val="center"/>
            <w:hideMark/>
          </w:tcPr>
          <w:p w14:paraId="2EABEC10" w14:textId="1348EA2D"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r>
      <w:tr w:rsidR="00AC1E67" w:rsidRPr="00A00187" w14:paraId="14E9A188" w14:textId="77777777" w:rsidTr="008A712C">
        <w:trPr>
          <w:trHeight w:val="315"/>
        </w:trPr>
        <w:tc>
          <w:tcPr>
            <w:tcW w:w="2796" w:type="dxa"/>
            <w:tcBorders>
              <w:top w:val="nil"/>
              <w:left w:val="nil"/>
              <w:bottom w:val="single" w:sz="4" w:space="0" w:color="auto"/>
              <w:right w:val="nil"/>
            </w:tcBorders>
            <w:shd w:val="clear" w:color="auto" w:fill="auto"/>
            <w:noWrap/>
            <w:vAlign w:val="bottom"/>
            <w:hideMark/>
          </w:tcPr>
          <w:p w14:paraId="5892AF3A"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KS Ústí n. Labem</w:t>
            </w:r>
          </w:p>
        </w:tc>
        <w:tc>
          <w:tcPr>
            <w:tcW w:w="1042" w:type="dxa"/>
            <w:tcBorders>
              <w:top w:val="nil"/>
              <w:left w:val="nil"/>
              <w:bottom w:val="single" w:sz="4" w:space="0" w:color="auto"/>
              <w:right w:val="nil"/>
            </w:tcBorders>
            <w:shd w:val="clear" w:color="auto" w:fill="auto"/>
            <w:noWrap/>
            <w:vAlign w:val="bottom"/>
            <w:hideMark/>
          </w:tcPr>
          <w:p w14:paraId="0E5932AB"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95</w:t>
            </w:r>
          </w:p>
        </w:tc>
        <w:tc>
          <w:tcPr>
            <w:tcW w:w="2154" w:type="dxa"/>
            <w:tcBorders>
              <w:top w:val="nil"/>
              <w:left w:val="nil"/>
              <w:bottom w:val="single" w:sz="4" w:space="0" w:color="auto"/>
              <w:right w:val="nil"/>
            </w:tcBorders>
            <w:shd w:val="clear" w:color="auto" w:fill="auto"/>
            <w:noWrap/>
            <w:vAlign w:val="center"/>
            <w:hideMark/>
          </w:tcPr>
          <w:p w14:paraId="0EF9817F" w14:textId="6F4C7458"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r>
      <w:tr w:rsidR="00AC1E67" w:rsidRPr="00A00187" w14:paraId="5E552EC8" w14:textId="77777777" w:rsidTr="008A712C">
        <w:trPr>
          <w:trHeight w:val="315"/>
        </w:trPr>
        <w:tc>
          <w:tcPr>
            <w:tcW w:w="2796" w:type="dxa"/>
            <w:tcBorders>
              <w:top w:val="nil"/>
              <w:left w:val="nil"/>
              <w:bottom w:val="single" w:sz="4" w:space="0" w:color="auto"/>
              <w:right w:val="nil"/>
            </w:tcBorders>
            <w:shd w:val="clear" w:color="auto" w:fill="auto"/>
            <w:noWrap/>
            <w:vAlign w:val="bottom"/>
            <w:hideMark/>
          </w:tcPr>
          <w:p w14:paraId="61E6A151"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KS Hr. Králové</w:t>
            </w:r>
          </w:p>
        </w:tc>
        <w:tc>
          <w:tcPr>
            <w:tcW w:w="1042" w:type="dxa"/>
            <w:tcBorders>
              <w:top w:val="nil"/>
              <w:left w:val="nil"/>
              <w:bottom w:val="single" w:sz="4" w:space="0" w:color="auto"/>
              <w:right w:val="nil"/>
            </w:tcBorders>
            <w:shd w:val="clear" w:color="auto" w:fill="auto"/>
            <w:noWrap/>
            <w:vAlign w:val="bottom"/>
            <w:hideMark/>
          </w:tcPr>
          <w:p w14:paraId="67C78221"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40</w:t>
            </w:r>
          </w:p>
        </w:tc>
        <w:tc>
          <w:tcPr>
            <w:tcW w:w="2154" w:type="dxa"/>
            <w:tcBorders>
              <w:top w:val="nil"/>
              <w:left w:val="nil"/>
              <w:bottom w:val="single" w:sz="4" w:space="0" w:color="auto"/>
              <w:right w:val="nil"/>
            </w:tcBorders>
            <w:shd w:val="clear" w:color="auto" w:fill="auto"/>
            <w:noWrap/>
            <w:vAlign w:val="center"/>
            <w:hideMark/>
          </w:tcPr>
          <w:p w14:paraId="6BD826CB" w14:textId="6318566B"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1914A983" w14:textId="77777777" w:rsidTr="008A712C">
        <w:trPr>
          <w:trHeight w:val="315"/>
        </w:trPr>
        <w:tc>
          <w:tcPr>
            <w:tcW w:w="2796" w:type="dxa"/>
            <w:tcBorders>
              <w:top w:val="nil"/>
              <w:left w:val="nil"/>
              <w:bottom w:val="single" w:sz="4" w:space="0" w:color="auto"/>
              <w:right w:val="nil"/>
            </w:tcBorders>
            <w:shd w:val="clear" w:color="auto" w:fill="auto"/>
            <w:noWrap/>
            <w:vAlign w:val="bottom"/>
            <w:hideMark/>
          </w:tcPr>
          <w:p w14:paraId="04F0A45F"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KS Brno</w:t>
            </w:r>
          </w:p>
        </w:tc>
        <w:tc>
          <w:tcPr>
            <w:tcW w:w="1042" w:type="dxa"/>
            <w:tcBorders>
              <w:top w:val="nil"/>
              <w:left w:val="nil"/>
              <w:bottom w:val="single" w:sz="4" w:space="0" w:color="auto"/>
              <w:right w:val="nil"/>
            </w:tcBorders>
            <w:shd w:val="clear" w:color="auto" w:fill="auto"/>
            <w:noWrap/>
            <w:vAlign w:val="bottom"/>
            <w:hideMark/>
          </w:tcPr>
          <w:p w14:paraId="1EDE91B4"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58</w:t>
            </w:r>
          </w:p>
        </w:tc>
        <w:tc>
          <w:tcPr>
            <w:tcW w:w="2154" w:type="dxa"/>
            <w:tcBorders>
              <w:top w:val="nil"/>
              <w:left w:val="nil"/>
              <w:bottom w:val="single" w:sz="4" w:space="0" w:color="auto"/>
              <w:right w:val="nil"/>
            </w:tcBorders>
            <w:shd w:val="clear" w:color="auto" w:fill="auto"/>
            <w:noWrap/>
            <w:vAlign w:val="center"/>
            <w:hideMark/>
          </w:tcPr>
          <w:p w14:paraId="5B885AEA" w14:textId="37B829DA"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2511D838" w14:textId="77777777" w:rsidTr="008A712C">
        <w:trPr>
          <w:trHeight w:val="330"/>
        </w:trPr>
        <w:tc>
          <w:tcPr>
            <w:tcW w:w="2796" w:type="dxa"/>
            <w:tcBorders>
              <w:top w:val="nil"/>
              <w:left w:val="nil"/>
              <w:bottom w:val="double" w:sz="6" w:space="0" w:color="auto"/>
              <w:right w:val="nil"/>
            </w:tcBorders>
            <w:shd w:val="clear" w:color="auto" w:fill="auto"/>
            <w:noWrap/>
            <w:vAlign w:val="bottom"/>
            <w:hideMark/>
          </w:tcPr>
          <w:p w14:paraId="48B7CCA6" w14:textId="77777777" w:rsidR="008A712C" w:rsidRPr="00A00187" w:rsidRDefault="008A712C" w:rsidP="008A712C">
            <w:pPr>
              <w:spacing w:line="240" w:lineRule="auto"/>
              <w:jc w:val="left"/>
              <w:rPr>
                <w:rFonts w:eastAsia="Times New Roman"/>
                <w:szCs w:val="24"/>
                <w:lang w:eastAsia="cs-CZ"/>
              </w:rPr>
            </w:pPr>
            <w:r w:rsidRPr="00A00187">
              <w:rPr>
                <w:rFonts w:eastAsia="Times New Roman"/>
                <w:szCs w:val="24"/>
                <w:lang w:eastAsia="cs-CZ"/>
              </w:rPr>
              <w:t>KS Ostrava</w:t>
            </w:r>
          </w:p>
        </w:tc>
        <w:tc>
          <w:tcPr>
            <w:tcW w:w="1042" w:type="dxa"/>
            <w:tcBorders>
              <w:top w:val="nil"/>
              <w:left w:val="nil"/>
              <w:bottom w:val="double" w:sz="6" w:space="0" w:color="auto"/>
              <w:right w:val="nil"/>
            </w:tcBorders>
            <w:shd w:val="clear" w:color="auto" w:fill="auto"/>
            <w:noWrap/>
            <w:vAlign w:val="bottom"/>
            <w:hideMark/>
          </w:tcPr>
          <w:p w14:paraId="4E32CFC6" w14:textId="77777777" w:rsidR="008A712C" w:rsidRPr="00A00187" w:rsidRDefault="008A712C" w:rsidP="008A712C">
            <w:pPr>
              <w:spacing w:line="240" w:lineRule="auto"/>
              <w:jc w:val="center"/>
              <w:rPr>
                <w:rFonts w:eastAsia="Times New Roman"/>
                <w:szCs w:val="24"/>
                <w:lang w:eastAsia="cs-CZ"/>
              </w:rPr>
            </w:pPr>
            <w:r w:rsidRPr="00A00187">
              <w:rPr>
                <w:rFonts w:eastAsia="Times New Roman"/>
                <w:szCs w:val="24"/>
                <w:lang w:eastAsia="cs-CZ"/>
              </w:rPr>
              <w:t>68</w:t>
            </w:r>
          </w:p>
        </w:tc>
        <w:tc>
          <w:tcPr>
            <w:tcW w:w="2154" w:type="dxa"/>
            <w:tcBorders>
              <w:top w:val="nil"/>
              <w:left w:val="nil"/>
              <w:bottom w:val="double" w:sz="6" w:space="0" w:color="auto"/>
              <w:right w:val="nil"/>
            </w:tcBorders>
            <w:shd w:val="clear" w:color="auto" w:fill="auto"/>
            <w:noWrap/>
            <w:vAlign w:val="center"/>
            <w:hideMark/>
          </w:tcPr>
          <w:p w14:paraId="0E59C61C" w14:textId="2F2A6803" w:rsidR="008A712C" w:rsidRPr="00A00187" w:rsidRDefault="008A712C"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7C1D34BA" w14:textId="77777777" w:rsidTr="008A712C">
        <w:trPr>
          <w:trHeight w:val="345"/>
        </w:trPr>
        <w:tc>
          <w:tcPr>
            <w:tcW w:w="2796" w:type="dxa"/>
            <w:tcBorders>
              <w:top w:val="nil"/>
              <w:left w:val="nil"/>
              <w:bottom w:val="double" w:sz="6" w:space="0" w:color="auto"/>
              <w:right w:val="nil"/>
            </w:tcBorders>
            <w:shd w:val="clear" w:color="auto" w:fill="auto"/>
            <w:noWrap/>
            <w:vAlign w:val="bottom"/>
            <w:hideMark/>
          </w:tcPr>
          <w:p w14:paraId="38A0B117" w14:textId="77777777" w:rsidR="008A712C" w:rsidRPr="00A00187" w:rsidRDefault="008A712C" w:rsidP="008A712C">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42" w:type="dxa"/>
            <w:tcBorders>
              <w:top w:val="nil"/>
              <w:left w:val="nil"/>
              <w:bottom w:val="double" w:sz="6" w:space="0" w:color="auto"/>
              <w:right w:val="nil"/>
            </w:tcBorders>
            <w:shd w:val="clear" w:color="auto" w:fill="auto"/>
            <w:noWrap/>
            <w:vAlign w:val="bottom"/>
            <w:hideMark/>
          </w:tcPr>
          <w:p w14:paraId="07B6838B" w14:textId="77777777" w:rsidR="008A712C" w:rsidRPr="00A00187" w:rsidRDefault="008A712C" w:rsidP="008A712C">
            <w:pPr>
              <w:spacing w:line="240" w:lineRule="auto"/>
              <w:jc w:val="center"/>
              <w:rPr>
                <w:rFonts w:eastAsia="Times New Roman"/>
                <w:b/>
                <w:bCs/>
                <w:szCs w:val="24"/>
                <w:lang w:eastAsia="cs-CZ"/>
              </w:rPr>
            </w:pPr>
            <w:r w:rsidRPr="00A00187">
              <w:rPr>
                <w:rFonts w:eastAsia="Times New Roman"/>
                <w:b/>
                <w:bCs/>
                <w:szCs w:val="24"/>
                <w:lang w:eastAsia="cs-CZ"/>
              </w:rPr>
              <w:t>59</w:t>
            </w:r>
          </w:p>
        </w:tc>
        <w:tc>
          <w:tcPr>
            <w:tcW w:w="2154" w:type="dxa"/>
            <w:tcBorders>
              <w:top w:val="nil"/>
              <w:left w:val="nil"/>
              <w:bottom w:val="double" w:sz="6" w:space="0" w:color="auto"/>
              <w:right w:val="nil"/>
            </w:tcBorders>
            <w:shd w:val="clear" w:color="auto" w:fill="auto"/>
            <w:noWrap/>
            <w:vAlign w:val="center"/>
            <w:hideMark/>
          </w:tcPr>
          <w:p w14:paraId="7FE12A35" w14:textId="08E51070" w:rsidR="008A712C" w:rsidRPr="00A00187" w:rsidRDefault="008A712C"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-14</w:t>
            </w:r>
            <w:r w:rsidR="00CB570A">
              <w:rPr>
                <w:rFonts w:eastAsia="Times New Roman"/>
                <w:b/>
                <w:bCs/>
                <w:sz w:val="20"/>
                <w:szCs w:val="20"/>
                <w:lang w:eastAsia="cs-CZ"/>
              </w:rPr>
              <w:t> %</w:t>
            </w:r>
          </w:p>
        </w:tc>
      </w:tr>
      <w:tr w:rsidR="00AC1E67" w:rsidRPr="00A00187" w14:paraId="33F41B62" w14:textId="77777777" w:rsidTr="008A712C">
        <w:trPr>
          <w:trHeight w:val="330"/>
        </w:trPr>
        <w:tc>
          <w:tcPr>
            <w:tcW w:w="2796" w:type="dxa"/>
            <w:tcBorders>
              <w:top w:val="nil"/>
              <w:left w:val="nil"/>
              <w:bottom w:val="nil"/>
              <w:right w:val="nil"/>
            </w:tcBorders>
            <w:shd w:val="clear" w:color="auto" w:fill="auto"/>
            <w:noWrap/>
            <w:vAlign w:val="bottom"/>
            <w:hideMark/>
          </w:tcPr>
          <w:p w14:paraId="077CBEFB" w14:textId="77777777" w:rsidR="008A712C" w:rsidRPr="00A00187" w:rsidRDefault="008A712C" w:rsidP="008A712C">
            <w:pPr>
              <w:spacing w:line="240" w:lineRule="auto"/>
              <w:jc w:val="center"/>
              <w:rPr>
                <w:rFonts w:eastAsia="Times New Roman"/>
                <w:b/>
                <w:bCs/>
                <w:sz w:val="20"/>
                <w:szCs w:val="20"/>
                <w:lang w:eastAsia="cs-CZ"/>
              </w:rPr>
            </w:pPr>
          </w:p>
        </w:tc>
        <w:tc>
          <w:tcPr>
            <w:tcW w:w="1042" w:type="dxa"/>
            <w:tcBorders>
              <w:top w:val="nil"/>
              <w:left w:val="nil"/>
              <w:bottom w:val="nil"/>
              <w:right w:val="nil"/>
            </w:tcBorders>
            <w:shd w:val="clear" w:color="auto" w:fill="auto"/>
            <w:noWrap/>
            <w:vAlign w:val="bottom"/>
            <w:hideMark/>
          </w:tcPr>
          <w:p w14:paraId="57B75CF4" w14:textId="77777777" w:rsidR="008A712C" w:rsidRPr="00A00187" w:rsidRDefault="008A712C" w:rsidP="008A712C">
            <w:pPr>
              <w:spacing w:line="240" w:lineRule="auto"/>
              <w:jc w:val="left"/>
              <w:rPr>
                <w:rFonts w:ascii="Times New Roman" w:eastAsia="Times New Roman" w:hAnsi="Times New Roman"/>
                <w:sz w:val="20"/>
                <w:szCs w:val="20"/>
                <w:lang w:eastAsia="cs-CZ"/>
              </w:rPr>
            </w:pPr>
          </w:p>
        </w:tc>
        <w:tc>
          <w:tcPr>
            <w:tcW w:w="2154" w:type="dxa"/>
            <w:tcBorders>
              <w:top w:val="nil"/>
              <w:left w:val="nil"/>
              <w:bottom w:val="nil"/>
              <w:right w:val="nil"/>
            </w:tcBorders>
            <w:shd w:val="clear" w:color="auto" w:fill="auto"/>
            <w:noWrap/>
            <w:vAlign w:val="bottom"/>
            <w:hideMark/>
          </w:tcPr>
          <w:p w14:paraId="3075D834" w14:textId="77777777" w:rsidR="008A712C" w:rsidRPr="00A00187" w:rsidRDefault="008A712C" w:rsidP="008A712C">
            <w:pPr>
              <w:spacing w:line="240" w:lineRule="auto"/>
              <w:jc w:val="left"/>
              <w:rPr>
                <w:rFonts w:ascii="Times New Roman" w:eastAsia="Times New Roman" w:hAnsi="Times New Roman"/>
                <w:sz w:val="20"/>
                <w:szCs w:val="20"/>
                <w:lang w:eastAsia="cs-CZ"/>
              </w:rPr>
            </w:pPr>
          </w:p>
        </w:tc>
      </w:tr>
    </w:tbl>
    <w:p w14:paraId="374A2B01" w14:textId="6F4D5337" w:rsidR="008A712C" w:rsidRPr="00A00187" w:rsidRDefault="008A712C" w:rsidP="00853151">
      <w:pPr>
        <w:pStyle w:val="OdstavecASR"/>
      </w:pPr>
      <w:r w:rsidRPr="00A00187">
        <w:t>DT dle krajů víceméně odpovídá výsledkům dle počtu nevyřízených věcí na soudce. Nejvyšší DT m</w:t>
      </w:r>
      <w:r w:rsidR="00FC6CC1" w:rsidRPr="00A00187">
        <w:t>á Severočeský</w:t>
      </w:r>
      <w:r w:rsidRPr="00A00187">
        <w:t xml:space="preserve"> kraj, nejnižší kraj Středočeský</w:t>
      </w:r>
      <w:r w:rsidR="00FC6CC1" w:rsidRPr="00A00187">
        <w:t>.</w:t>
      </w:r>
    </w:p>
    <w:p w14:paraId="3360A86B" w14:textId="4A1653A9" w:rsidR="008A712C" w:rsidRPr="00A00187" w:rsidRDefault="008A712C" w:rsidP="008A712C">
      <w:pPr>
        <w:pStyle w:val="Podnadpis"/>
        <w:rPr>
          <w:color w:val="auto"/>
        </w:rPr>
      </w:pPr>
      <w:bookmarkStart w:id="354" w:name="_Toc515871359"/>
      <w:bookmarkStart w:id="355" w:name="_Toc11135093"/>
      <w:bookmarkStart w:id="356" w:name="_Toc43841407"/>
      <w:bookmarkStart w:id="357" w:name="_Toc75952210"/>
      <w:bookmarkStart w:id="358" w:name="_Toc106106662"/>
      <w:bookmarkStart w:id="359" w:name="_Toc109801986"/>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28</w:t>
      </w:r>
      <w:r w:rsidRPr="00A00187">
        <w:rPr>
          <w:noProof/>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trestního řízení u jednotlivých soudů</w:t>
      </w:r>
      <w:bookmarkEnd w:id="354"/>
      <w:bookmarkEnd w:id="355"/>
      <w:bookmarkEnd w:id="356"/>
      <w:bookmarkEnd w:id="357"/>
      <w:bookmarkEnd w:id="358"/>
      <w:bookmarkEnd w:id="359"/>
    </w:p>
    <w:p w14:paraId="02D97082" w14:textId="18FE44BC" w:rsidR="000A6DFA" w:rsidRPr="00A00187" w:rsidRDefault="00597775" w:rsidP="00154E64">
      <w:r w:rsidRPr="00A00187">
        <w:rPr>
          <w:noProof/>
        </w:rPr>
        <w:drawing>
          <wp:anchor distT="0" distB="0" distL="114300" distR="114300" simplePos="0" relativeHeight="251676672" behindDoc="0" locked="0" layoutInCell="1" allowOverlap="1" wp14:anchorId="6D9FAAB3" wp14:editId="5D939BB0">
            <wp:simplePos x="0" y="0"/>
            <wp:positionH relativeFrom="margin">
              <wp:align>right</wp:align>
            </wp:positionH>
            <wp:positionV relativeFrom="paragraph">
              <wp:posOffset>10160</wp:posOffset>
            </wp:positionV>
            <wp:extent cx="1238400" cy="900000"/>
            <wp:effectExtent l="0" t="0" r="0" b="0"/>
            <wp:wrapNone/>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D89" w:rsidRPr="00A00187">
        <w:rPr>
          <w:noProof/>
        </w:rPr>
        <w:drawing>
          <wp:inline distT="0" distB="0" distL="0" distR="0" wp14:anchorId="4AB9A592" wp14:editId="7C24DF2C">
            <wp:extent cx="5759450" cy="3296285"/>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3CE211C3" w14:textId="77777777" w:rsidR="00CB570A" w:rsidRDefault="005900CD" w:rsidP="00853151">
      <w:pPr>
        <w:pStyle w:val="OdstavecASR"/>
      </w:pPr>
      <w:r w:rsidRPr="00A00187">
        <w:t>Data v kartogramu potvrzují závěry z předchozích podkapitol věnovaných délkám řízení a vyřizování věcí.</w:t>
      </w:r>
    </w:p>
    <w:p w14:paraId="33A6A32C" w14:textId="31D5C391" w:rsidR="005900CD" w:rsidRPr="00A00187" w:rsidRDefault="005900CD" w:rsidP="005900CD">
      <w:pPr>
        <w:pStyle w:val="Podnadpis"/>
        <w:rPr>
          <w:color w:val="auto"/>
        </w:rPr>
      </w:pPr>
      <w:bookmarkStart w:id="360" w:name="_Toc43841408"/>
      <w:bookmarkStart w:id="361" w:name="_Toc75952211"/>
      <w:bookmarkStart w:id="362" w:name="_Toc106106663"/>
      <w:bookmarkStart w:id="363" w:name="_Toc109801987"/>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29</w:t>
      </w:r>
      <w:r w:rsidRPr="00A00187">
        <w:rPr>
          <w:noProof/>
          <w:color w:val="auto"/>
        </w:rPr>
        <w:fldChar w:fldCharType="end"/>
      </w:r>
      <w:r w:rsidRPr="00A00187">
        <w:rPr>
          <w:color w:val="auto"/>
        </w:rPr>
        <w:t>: OS – krabicové grafy, DT trestního řízení</w:t>
      </w:r>
      <w:bookmarkEnd w:id="360"/>
      <w:bookmarkEnd w:id="361"/>
      <w:bookmarkEnd w:id="362"/>
      <w:bookmarkEnd w:id="363"/>
    </w:p>
    <w:p w14:paraId="14A6C192" w14:textId="14B14C73" w:rsidR="005900CD" w:rsidRPr="00A00187" w:rsidRDefault="00154E64" w:rsidP="00154E64">
      <w:r w:rsidRPr="00A00187">
        <w:rPr>
          <w:noProof/>
        </w:rPr>
        <w:drawing>
          <wp:inline distT="0" distB="0" distL="0" distR="0" wp14:anchorId="75EB1B3C" wp14:editId="13F5761E">
            <wp:extent cx="5029200" cy="365760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B9B7554" w14:textId="77777777" w:rsidR="005900CD" w:rsidRPr="00A00187" w:rsidRDefault="005900CD">
      <w:pPr>
        <w:spacing w:after="160" w:line="259" w:lineRule="auto"/>
        <w:jc w:val="left"/>
      </w:pPr>
    </w:p>
    <w:p w14:paraId="70CE9883" w14:textId="552A03C6" w:rsidR="005900CD" w:rsidRPr="00A00187" w:rsidRDefault="005900CD" w:rsidP="00853151">
      <w:pPr>
        <w:pStyle w:val="OdstavecASR"/>
      </w:pPr>
      <w:r w:rsidRPr="00A00187">
        <w:lastRenderedPageBreak/>
        <w:t>Na krabicových grafech opět registrujeme snížení variability – „vousy“ jsou kratší. Nejodlehlejší hodnota DT na grafu je opět OS Děčín.</w:t>
      </w:r>
      <w:r w:rsidR="000E0C47" w:rsidRPr="00A00187">
        <w:t xml:space="preserve"> </w:t>
      </w:r>
      <w:r w:rsidRPr="00A00187">
        <w:t>To spolu se značnými délkami řízení a vysokým počtem nevyřízených věcí na soudce v posledních letech ukazuje, že OS Děčín má s vyřizováním trestní agendy dlouhodobější problém.</w:t>
      </w:r>
      <w:r w:rsidR="00853151" w:rsidRPr="00A00187">
        <w:t xml:space="preserve"> V </w:t>
      </w:r>
      <w:r w:rsidR="00607E1B" w:rsidRPr="00A00187">
        <w:t>roce 2021</w:t>
      </w:r>
      <w:r w:rsidR="00853151" w:rsidRPr="00A00187">
        <w:t xml:space="preserve"> ale došlo </w:t>
      </w:r>
      <w:r w:rsidR="00726EC3" w:rsidRPr="00A00187">
        <w:t>u</w:t>
      </w:r>
      <w:r w:rsidR="00726EC3">
        <w:t> </w:t>
      </w:r>
      <w:r w:rsidR="00853151" w:rsidRPr="00A00187">
        <w:t xml:space="preserve">tohoto soudu ke snížení počtu nevyřízených věcí </w:t>
      </w:r>
      <w:r w:rsidR="00726EC3" w:rsidRPr="00A00187">
        <w:t>i</w:t>
      </w:r>
      <w:r w:rsidR="00726EC3">
        <w:t> </w:t>
      </w:r>
      <w:r w:rsidR="00853151" w:rsidRPr="00A00187">
        <w:t>DT.</w:t>
      </w:r>
    </w:p>
    <w:p w14:paraId="72FECD01" w14:textId="77777777" w:rsidR="008430BD" w:rsidRPr="00A00187" w:rsidRDefault="008430BD" w:rsidP="008430BD">
      <w:pPr>
        <w:pStyle w:val="Nadpis3"/>
        <w:numPr>
          <w:ilvl w:val="2"/>
          <w:numId w:val="1"/>
        </w:numPr>
        <w:rPr>
          <w:color w:val="auto"/>
        </w:rPr>
      </w:pPr>
      <w:bookmarkStart w:id="364" w:name="_Toc515871235"/>
      <w:bookmarkStart w:id="365" w:name="_Toc106092732"/>
      <w:bookmarkStart w:id="366" w:name="_Toc109801348"/>
      <w:r w:rsidRPr="00A00187">
        <w:rPr>
          <w:color w:val="auto"/>
        </w:rPr>
        <w:t>Další statistiky</w:t>
      </w:r>
      <w:bookmarkEnd w:id="364"/>
      <w:bookmarkEnd w:id="365"/>
      <w:bookmarkEnd w:id="366"/>
    </w:p>
    <w:p w14:paraId="1FD75E50" w14:textId="22401E43" w:rsidR="00BE72AD" w:rsidRPr="00A00187" w:rsidRDefault="00BE72AD" w:rsidP="00BE72AD">
      <w:pPr>
        <w:pStyle w:val="OdstavecASR"/>
      </w:pPr>
      <w:r w:rsidRPr="00A00187">
        <w:t>Data pochází ze statistických listů, zkoumáme tedy agendy </w:t>
      </w:r>
      <w:r w:rsidR="00726EC3" w:rsidRPr="00A00187">
        <w:t>T</w:t>
      </w:r>
      <w:r w:rsidR="00726EC3">
        <w:t xml:space="preserve"> </w:t>
      </w:r>
      <w:r w:rsidRPr="00A00187">
        <w:t>a </w:t>
      </w:r>
      <w:proofErr w:type="spellStart"/>
      <w:r w:rsidRPr="00A00187">
        <w:t>Tm</w:t>
      </w:r>
      <w:proofErr w:type="spellEnd"/>
      <w:r w:rsidRPr="00A00187">
        <w:t>. I zde uvádíme několik příkladů dalších sledovaných statistik</w:t>
      </w:r>
      <w:r w:rsidR="003C3F9C" w:rsidRPr="00A00187">
        <w:t>.</w:t>
      </w:r>
      <w:r w:rsidRPr="00A00187">
        <w:t xml:space="preserve"> </w:t>
      </w:r>
      <w:r w:rsidR="003C3F9C" w:rsidRPr="00A00187">
        <w:t>P</w:t>
      </w:r>
      <w:r w:rsidRPr="00A00187">
        <w:t>odobně jako u civilního řízení je to míra odvolání a míra změny rozsudku. Připomínáme, že jsme u </w:t>
      </w:r>
      <w:r w:rsidR="003C3F9C" w:rsidRPr="00A00187">
        <w:t xml:space="preserve">trestních </w:t>
      </w:r>
      <w:r w:rsidRPr="00A00187">
        <w:t xml:space="preserve">statistik vyřadili věci vyřízené trestním příkazem, jejichž podíl na celkovém počtu věcí </w:t>
      </w:r>
      <w:r w:rsidR="00582F7F" w:rsidRPr="00A00187">
        <w:t xml:space="preserve">však </w:t>
      </w:r>
      <w:r w:rsidRPr="00A00187">
        <w:t xml:space="preserve">v této podkapitole také zkoumáme. </w:t>
      </w:r>
      <w:r w:rsidR="00D12AC6" w:rsidRPr="00A00187">
        <w:t xml:space="preserve">Dále se </w:t>
      </w:r>
      <w:r w:rsidR="00726EC3" w:rsidRPr="00A00187">
        <w:t>v</w:t>
      </w:r>
      <w:r w:rsidR="00726EC3">
        <w:t> </w:t>
      </w:r>
      <w:r w:rsidR="0003012E" w:rsidRPr="00A00187">
        <w:t>této kapitol</w:t>
      </w:r>
      <w:r w:rsidR="00D12AC6" w:rsidRPr="00A00187">
        <w:t xml:space="preserve">e </w:t>
      </w:r>
      <w:r w:rsidR="00C34EB8" w:rsidRPr="00A00187">
        <w:t>z</w:t>
      </w:r>
      <w:r w:rsidRPr="00A00187">
        <w:t>abýváme nejčastějšími trestnými činy dle věkových kategorií, vývojem ukládání peněžitých trestů od roku 2008 a nakonec mírou odsouzení.</w:t>
      </w:r>
    </w:p>
    <w:p w14:paraId="2449F38A" w14:textId="03557AC5" w:rsidR="00BE72AD" w:rsidRPr="00A00187" w:rsidRDefault="00BE72AD" w:rsidP="007F73C9">
      <w:pPr>
        <w:pStyle w:val="OdstavecASR"/>
        <w:keepNext/>
        <w:outlineLvl w:val="3"/>
        <w:rPr>
          <w:b/>
          <w:bCs/>
        </w:rPr>
      </w:pPr>
      <w:r w:rsidRPr="00A00187">
        <w:rPr>
          <w:b/>
          <w:bCs/>
        </w:rPr>
        <w:t>Míra odvolání</w:t>
      </w:r>
    </w:p>
    <w:tbl>
      <w:tblPr>
        <w:tblW w:w="6332" w:type="dxa"/>
        <w:tblCellMar>
          <w:left w:w="70" w:type="dxa"/>
          <w:right w:w="70" w:type="dxa"/>
        </w:tblCellMar>
        <w:tblLook w:val="04A0" w:firstRow="1" w:lastRow="0" w:firstColumn="1" w:lastColumn="0" w:noHBand="0" w:noVBand="1"/>
      </w:tblPr>
      <w:tblGrid>
        <w:gridCol w:w="2796"/>
        <w:gridCol w:w="1470"/>
        <w:gridCol w:w="2066"/>
      </w:tblGrid>
      <w:tr w:rsidR="00AC1E67" w:rsidRPr="00A00187" w14:paraId="3B0C8684" w14:textId="77777777" w:rsidTr="00BE72AD">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0AB22F6B" w14:textId="77777777" w:rsidR="00BE72AD" w:rsidRPr="00A00187" w:rsidRDefault="00BE72AD" w:rsidP="00BE72AD">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536" w:type="dxa"/>
            <w:gridSpan w:val="2"/>
            <w:tcBorders>
              <w:top w:val="double" w:sz="6" w:space="0" w:color="auto"/>
              <w:left w:val="nil"/>
              <w:bottom w:val="double" w:sz="6" w:space="0" w:color="auto"/>
              <w:right w:val="nil"/>
            </w:tcBorders>
            <w:shd w:val="clear" w:color="auto" w:fill="auto"/>
            <w:noWrap/>
            <w:vAlign w:val="center"/>
            <w:hideMark/>
          </w:tcPr>
          <w:p w14:paraId="70D1C8AD" w14:textId="5667ADCB" w:rsidR="00BE72AD" w:rsidRPr="00A00187" w:rsidRDefault="00BE72AD" w:rsidP="00BE72AD">
            <w:pPr>
              <w:spacing w:line="240" w:lineRule="auto"/>
              <w:jc w:val="center"/>
              <w:rPr>
                <w:rFonts w:eastAsia="Times New Roman"/>
                <w:b/>
                <w:bCs/>
                <w:szCs w:val="24"/>
                <w:lang w:eastAsia="cs-CZ"/>
              </w:rPr>
            </w:pPr>
            <w:r w:rsidRPr="00A00187">
              <w:rPr>
                <w:rFonts w:eastAsia="Times New Roman"/>
                <w:b/>
                <w:bCs/>
                <w:szCs w:val="24"/>
                <w:lang w:eastAsia="cs-CZ"/>
              </w:rPr>
              <w:t>Míra odvolání</w:t>
            </w:r>
          </w:p>
        </w:tc>
      </w:tr>
      <w:tr w:rsidR="00AC1E67" w:rsidRPr="00A00187" w14:paraId="431B53EE" w14:textId="77777777" w:rsidTr="00BE72AD">
        <w:trPr>
          <w:trHeight w:val="330"/>
        </w:trPr>
        <w:tc>
          <w:tcPr>
            <w:tcW w:w="2796" w:type="dxa"/>
            <w:tcBorders>
              <w:top w:val="nil"/>
              <w:left w:val="nil"/>
              <w:bottom w:val="single" w:sz="4" w:space="0" w:color="auto"/>
              <w:right w:val="nil"/>
            </w:tcBorders>
            <w:shd w:val="clear" w:color="auto" w:fill="auto"/>
            <w:noWrap/>
            <w:vAlign w:val="bottom"/>
            <w:hideMark/>
          </w:tcPr>
          <w:p w14:paraId="6A913E8E"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MS Praha</w:t>
            </w:r>
          </w:p>
        </w:tc>
        <w:tc>
          <w:tcPr>
            <w:tcW w:w="1470" w:type="dxa"/>
            <w:tcBorders>
              <w:top w:val="nil"/>
              <w:left w:val="nil"/>
              <w:bottom w:val="single" w:sz="4" w:space="0" w:color="auto"/>
              <w:right w:val="nil"/>
            </w:tcBorders>
            <w:shd w:val="clear" w:color="auto" w:fill="auto"/>
            <w:noWrap/>
            <w:vAlign w:val="bottom"/>
            <w:hideMark/>
          </w:tcPr>
          <w:p w14:paraId="6119CE29" w14:textId="50710B6D"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28,43</w:t>
            </w:r>
            <w:r w:rsidR="00CB570A">
              <w:rPr>
                <w:rFonts w:eastAsia="Times New Roman"/>
                <w:szCs w:val="24"/>
                <w:lang w:eastAsia="cs-CZ"/>
              </w:rPr>
              <w:t> %</w:t>
            </w:r>
          </w:p>
        </w:tc>
        <w:tc>
          <w:tcPr>
            <w:tcW w:w="2066" w:type="dxa"/>
            <w:tcBorders>
              <w:top w:val="nil"/>
              <w:left w:val="nil"/>
              <w:bottom w:val="single" w:sz="4" w:space="0" w:color="auto"/>
              <w:right w:val="nil"/>
            </w:tcBorders>
            <w:shd w:val="clear" w:color="auto" w:fill="auto"/>
            <w:noWrap/>
            <w:vAlign w:val="center"/>
            <w:hideMark/>
          </w:tcPr>
          <w:p w14:paraId="3606EF69" w14:textId="67CE648E"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-2,2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7E601D1" w14:textId="77777777" w:rsidTr="00BE72AD">
        <w:trPr>
          <w:trHeight w:val="315"/>
        </w:trPr>
        <w:tc>
          <w:tcPr>
            <w:tcW w:w="2796" w:type="dxa"/>
            <w:tcBorders>
              <w:top w:val="nil"/>
              <w:left w:val="nil"/>
              <w:bottom w:val="single" w:sz="4" w:space="0" w:color="auto"/>
              <w:right w:val="nil"/>
            </w:tcBorders>
            <w:shd w:val="clear" w:color="auto" w:fill="auto"/>
            <w:noWrap/>
            <w:vAlign w:val="bottom"/>
            <w:hideMark/>
          </w:tcPr>
          <w:p w14:paraId="0A6FA190"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KS Praha</w:t>
            </w:r>
          </w:p>
        </w:tc>
        <w:tc>
          <w:tcPr>
            <w:tcW w:w="1470" w:type="dxa"/>
            <w:tcBorders>
              <w:top w:val="nil"/>
              <w:left w:val="nil"/>
              <w:bottom w:val="single" w:sz="4" w:space="0" w:color="auto"/>
              <w:right w:val="nil"/>
            </w:tcBorders>
            <w:shd w:val="clear" w:color="auto" w:fill="auto"/>
            <w:noWrap/>
            <w:vAlign w:val="bottom"/>
            <w:hideMark/>
          </w:tcPr>
          <w:p w14:paraId="7795CB74" w14:textId="1C58D2F3"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29,01</w:t>
            </w:r>
            <w:r w:rsidR="00CB570A">
              <w:rPr>
                <w:rFonts w:eastAsia="Times New Roman"/>
                <w:szCs w:val="24"/>
                <w:lang w:eastAsia="cs-CZ"/>
              </w:rPr>
              <w:t> %</w:t>
            </w:r>
          </w:p>
        </w:tc>
        <w:tc>
          <w:tcPr>
            <w:tcW w:w="2066" w:type="dxa"/>
            <w:tcBorders>
              <w:top w:val="nil"/>
              <w:left w:val="nil"/>
              <w:bottom w:val="single" w:sz="4" w:space="0" w:color="auto"/>
              <w:right w:val="nil"/>
            </w:tcBorders>
            <w:shd w:val="clear" w:color="auto" w:fill="auto"/>
            <w:noWrap/>
            <w:vAlign w:val="center"/>
            <w:hideMark/>
          </w:tcPr>
          <w:p w14:paraId="48AB1F8B" w14:textId="08011D77"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+0,9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0F23E4F6" w14:textId="77777777" w:rsidTr="00BE72AD">
        <w:trPr>
          <w:trHeight w:val="315"/>
        </w:trPr>
        <w:tc>
          <w:tcPr>
            <w:tcW w:w="2796" w:type="dxa"/>
            <w:tcBorders>
              <w:top w:val="nil"/>
              <w:left w:val="nil"/>
              <w:bottom w:val="single" w:sz="4" w:space="0" w:color="auto"/>
              <w:right w:val="nil"/>
            </w:tcBorders>
            <w:shd w:val="clear" w:color="auto" w:fill="auto"/>
            <w:noWrap/>
            <w:vAlign w:val="bottom"/>
            <w:hideMark/>
          </w:tcPr>
          <w:p w14:paraId="7DE0A575"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KS Č. Budějovice</w:t>
            </w:r>
          </w:p>
        </w:tc>
        <w:tc>
          <w:tcPr>
            <w:tcW w:w="1470" w:type="dxa"/>
            <w:tcBorders>
              <w:top w:val="nil"/>
              <w:left w:val="nil"/>
              <w:bottom w:val="single" w:sz="4" w:space="0" w:color="auto"/>
              <w:right w:val="nil"/>
            </w:tcBorders>
            <w:shd w:val="clear" w:color="auto" w:fill="auto"/>
            <w:noWrap/>
            <w:vAlign w:val="bottom"/>
            <w:hideMark/>
          </w:tcPr>
          <w:p w14:paraId="2E388758" w14:textId="49DF5FBB"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21,49</w:t>
            </w:r>
            <w:r w:rsidR="00CB570A">
              <w:rPr>
                <w:rFonts w:eastAsia="Times New Roman"/>
                <w:szCs w:val="24"/>
                <w:lang w:eastAsia="cs-CZ"/>
              </w:rPr>
              <w:t> %</w:t>
            </w:r>
          </w:p>
        </w:tc>
        <w:tc>
          <w:tcPr>
            <w:tcW w:w="2066" w:type="dxa"/>
            <w:tcBorders>
              <w:top w:val="nil"/>
              <w:left w:val="nil"/>
              <w:bottom w:val="single" w:sz="4" w:space="0" w:color="auto"/>
              <w:right w:val="nil"/>
            </w:tcBorders>
            <w:shd w:val="clear" w:color="auto" w:fill="auto"/>
            <w:noWrap/>
            <w:vAlign w:val="center"/>
            <w:hideMark/>
          </w:tcPr>
          <w:p w14:paraId="49AD0EF7" w14:textId="3E3641B7"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+0,2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26F99AE" w14:textId="77777777" w:rsidTr="00BE72AD">
        <w:trPr>
          <w:trHeight w:val="315"/>
        </w:trPr>
        <w:tc>
          <w:tcPr>
            <w:tcW w:w="2796" w:type="dxa"/>
            <w:tcBorders>
              <w:top w:val="nil"/>
              <w:left w:val="nil"/>
              <w:bottom w:val="single" w:sz="4" w:space="0" w:color="auto"/>
              <w:right w:val="nil"/>
            </w:tcBorders>
            <w:shd w:val="clear" w:color="auto" w:fill="auto"/>
            <w:noWrap/>
            <w:vAlign w:val="bottom"/>
            <w:hideMark/>
          </w:tcPr>
          <w:p w14:paraId="6F1372ED"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KS Plzeň</w:t>
            </w:r>
          </w:p>
        </w:tc>
        <w:tc>
          <w:tcPr>
            <w:tcW w:w="1470" w:type="dxa"/>
            <w:tcBorders>
              <w:top w:val="nil"/>
              <w:left w:val="nil"/>
              <w:bottom w:val="single" w:sz="4" w:space="0" w:color="auto"/>
              <w:right w:val="nil"/>
            </w:tcBorders>
            <w:shd w:val="clear" w:color="auto" w:fill="auto"/>
            <w:noWrap/>
            <w:vAlign w:val="bottom"/>
            <w:hideMark/>
          </w:tcPr>
          <w:p w14:paraId="582CEBD4" w14:textId="5753F890"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26,98</w:t>
            </w:r>
            <w:r w:rsidR="00CB570A">
              <w:rPr>
                <w:rFonts w:eastAsia="Times New Roman"/>
                <w:szCs w:val="24"/>
                <w:lang w:eastAsia="cs-CZ"/>
              </w:rPr>
              <w:t> %</w:t>
            </w:r>
          </w:p>
        </w:tc>
        <w:tc>
          <w:tcPr>
            <w:tcW w:w="2066" w:type="dxa"/>
            <w:tcBorders>
              <w:top w:val="nil"/>
              <w:left w:val="nil"/>
              <w:bottom w:val="single" w:sz="4" w:space="0" w:color="auto"/>
              <w:right w:val="nil"/>
            </w:tcBorders>
            <w:shd w:val="clear" w:color="auto" w:fill="auto"/>
            <w:noWrap/>
            <w:vAlign w:val="center"/>
            <w:hideMark/>
          </w:tcPr>
          <w:p w14:paraId="4E5FF610" w14:textId="59838926"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-0,7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6F59E7C" w14:textId="77777777" w:rsidTr="00BE72AD">
        <w:trPr>
          <w:trHeight w:val="315"/>
        </w:trPr>
        <w:tc>
          <w:tcPr>
            <w:tcW w:w="2796" w:type="dxa"/>
            <w:tcBorders>
              <w:top w:val="nil"/>
              <w:left w:val="nil"/>
              <w:bottom w:val="single" w:sz="4" w:space="0" w:color="auto"/>
              <w:right w:val="nil"/>
            </w:tcBorders>
            <w:shd w:val="clear" w:color="auto" w:fill="auto"/>
            <w:noWrap/>
            <w:vAlign w:val="bottom"/>
            <w:hideMark/>
          </w:tcPr>
          <w:p w14:paraId="1E678832"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KS Ústí n. Labem</w:t>
            </w:r>
          </w:p>
        </w:tc>
        <w:tc>
          <w:tcPr>
            <w:tcW w:w="1470" w:type="dxa"/>
            <w:tcBorders>
              <w:top w:val="nil"/>
              <w:left w:val="nil"/>
              <w:bottom w:val="single" w:sz="4" w:space="0" w:color="auto"/>
              <w:right w:val="nil"/>
            </w:tcBorders>
            <w:shd w:val="clear" w:color="auto" w:fill="auto"/>
            <w:noWrap/>
            <w:vAlign w:val="bottom"/>
            <w:hideMark/>
          </w:tcPr>
          <w:p w14:paraId="04E0B3CB" w14:textId="2B1F0A22"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17,03</w:t>
            </w:r>
            <w:r w:rsidR="00CB570A">
              <w:rPr>
                <w:rFonts w:eastAsia="Times New Roman"/>
                <w:szCs w:val="24"/>
                <w:lang w:eastAsia="cs-CZ"/>
              </w:rPr>
              <w:t> %</w:t>
            </w:r>
          </w:p>
        </w:tc>
        <w:tc>
          <w:tcPr>
            <w:tcW w:w="2066" w:type="dxa"/>
            <w:tcBorders>
              <w:top w:val="nil"/>
              <w:left w:val="nil"/>
              <w:bottom w:val="single" w:sz="4" w:space="0" w:color="auto"/>
              <w:right w:val="nil"/>
            </w:tcBorders>
            <w:shd w:val="clear" w:color="auto" w:fill="auto"/>
            <w:noWrap/>
            <w:vAlign w:val="center"/>
            <w:hideMark/>
          </w:tcPr>
          <w:p w14:paraId="3B5E2D1E" w14:textId="4E654ACD"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-0,4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0153F2A" w14:textId="77777777" w:rsidTr="00BE72AD">
        <w:trPr>
          <w:trHeight w:val="315"/>
        </w:trPr>
        <w:tc>
          <w:tcPr>
            <w:tcW w:w="2796" w:type="dxa"/>
            <w:tcBorders>
              <w:top w:val="nil"/>
              <w:left w:val="nil"/>
              <w:bottom w:val="single" w:sz="4" w:space="0" w:color="auto"/>
              <w:right w:val="nil"/>
            </w:tcBorders>
            <w:shd w:val="clear" w:color="auto" w:fill="auto"/>
            <w:noWrap/>
            <w:vAlign w:val="bottom"/>
            <w:hideMark/>
          </w:tcPr>
          <w:p w14:paraId="37CDB292"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KS Hr. Králové</w:t>
            </w:r>
          </w:p>
        </w:tc>
        <w:tc>
          <w:tcPr>
            <w:tcW w:w="1470" w:type="dxa"/>
            <w:tcBorders>
              <w:top w:val="nil"/>
              <w:left w:val="nil"/>
              <w:bottom w:val="single" w:sz="4" w:space="0" w:color="auto"/>
              <w:right w:val="nil"/>
            </w:tcBorders>
            <w:shd w:val="clear" w:color="auto" w:fill="auto"/>
            <w:noWrap/>
            <w:vAlign w:val="bottom"/>
            <w:hideMark/>
          </w:tcPr>
          <w:p w14:paraId="6948555E" w14:textId="53FB87DB"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21,84</w:t>
            </w:r>
            <w:r w:rsidR="00CB570A">
              <w:rPr>
                <w:rFonts w:eastAsia="Times New Roman"/>
                <w:szCs w:val="24"/>
                <w:lang w:eastAsia="cs-CZ"/>
              </w:rPr>
              <w:t> %</w:t>
            </w:r>
          </w:p>
        </w:tc>
        <w:tc>
          <w:tcPr>
            <w:tcW w:w="2066" w:type="dxa"/>
            <w:tcBorders>
              <w:top w:val="nil"/>
              <w:left w:val="nil"/>
              <w:bottom w:val="single" w:sz="4" w:space="0" w:color="auto"/>
              <w:right w:val="nil"/>
            </w:tcBorders>
            <w:shd w:val="clear" w:color="auto" w:fill="auto"/>
            <w:noWrap/>
            <w:vAlign w:val="center"/>
            <w:hideMark/>
          </w:tcPr>
          <w:p w14:paraId="16FFD82F" w14:textId="7CE4712E"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-3,7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3429C14" w14:textId="77777777" w:rsidTr="00BE72AD">
        <w:trPr>
          <w:trHeight w:val="315"/>
        </w:trPr>
        <w:tc>
          <w:tcPr>
            <w:tcW w:w="2796" w:type="dxa"/>
            <w:tcBorders>
              <w:top w:val="nil"/>
              <w:left w:val="nil"/>
              <w:bottom w:val="single" w:sz="4" w:space="0" w:color="auto"/>
              <w:right w:val="nil"/>
            </w:tcBorders>
            <w:shd w:val="clear" w:color="auto" w:fill="auto"/>
            <w:noWrap/>
            <w:vAlign w:val="bottom"/>
            <w:hideMark/>
          </w:tcPr>
          <w:p w14:paraId="7A252205"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KS Brno</w:t>
            </w:r>
          </w:p>
        </w:tc>
        <w:tc>
          <w:tcPr>
            <w:tcW w:w="1470" w:type="dxa"/>
            <w:tcBorders>
              <w:top w:val="nil"/>
              <w:left w:val="nil"/>
              <w:bottom w:val="single" w:sz="4" w:space="0" w:color="auto"/>
              <w:right w:val="nil"/>
            </w:tcBorders>
            <w:shd w:val="clear" w:color="auto" w:fill="auto"/>
            <w:noWrap/>
            <w:vAlign w:val="bottom"/>
            <w:hideMark/>
          </w:tcPr>
          <w:p w14:paraId="7D970C14" w14:textId="1DAD7F32"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23,89</w:t>
            </w:r>
            <w:r w:rsidR="00CB570A">
              <w:rPr>
                <w:rFonts w:eastAsia="Times New Roman"/>
                <w:szCs w:val="24"/>
                <w:lang w:eastAsia="cs-CZ"/>
              </w:rPr>
              <w:t> %</w:t>
            </w:r>
          </w:p>
        </w:tc>
        <w:tc>
          <w:tcPr>
            <w:tcW w:w="2066" w:type="dxa"/>
            <w:tcBorders>
              <w:top w:val="nil"/>
              <w:left w:val="nil"/>
              <w:bottom w:val="single" w:sz="4" w:space="0" w:color="auto"/>
              <w:right w:val="nil"/>
            </w:tcBorders>
            <w:shd w:val="clear" w:color="auto" w:fill="auto"/>
            <w:noWrap/>
            <w:vAlign w:val="center"/>
            <w:hideMark/>
          </w:tcPr>
          <w:p w14:paraId="26B75B9F" w14:textId="6950C3AB"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-2,0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17452048" w14:textId="77777777" w:rsidTr="00BE72AD">
        <w:trPr>
          <w:trHeight w:val="330"/>
        </w:trPr>
        <w:tc>
          <w:tcPr>
            <w:tcW w:w="2796" w:type="dxa"/>
            <w:tcBorders>
              <w:top w:val="nil"/>
              <w:left w:val="nil"/>
              <w:bottom w:val="double" w:sz="6" w:space="0" w:color="auto"/>
              <w:right w:val="nil"/>
            </w:tcBorders>
            <w:shd w:val="clear" w:color="auto" w:fill="auto"/>
            <w:noWrap/>
            <w:vAlign w:val="bottom"/>
            <w:hideMark/>
          </w:tcPr>
          <w:p w14:paraId="0D6AA9BF" w14:textId="77777777" w:rsidR="00BE72AD" w:rsidRPr="00A00187" w:rsidRDefault="00BE72AD" w:rsidP="00BE72AD">
            <w:pPr>
              <w:spacing w:line="240" w:lineRule="auto"/>
              <w:jc w:val="left"/>
              <w:rPr>
                <w:rFonts w:eastAsia="Times New Roman"/>
                <w:szCs w:val="24"/>
                <w:lang w:eastAsia="cs-CZ"/>
              </w:rPr>
            </w:pPr>
            <w:r w:rsidRPr="00A00187">
              <w:rPr>
                <w:rFonts w:eastAsia="Times New Roman"/>
                <w:szCs w:val="24"/>
                <w:lang w:eastAsia="cs-CZ"/>
              </w:rPr>
              <w:t>KS Ostrava</w:t>
            </w:r>
          </w:p>
        </w:tc>
        <w:tc>
          <w:tcPr>
            <w:tcW w:w="1470" w:type="dxa"/>
            <w:tcBorders>
              <w:top w:val="nil"/>
              <w:left w:val="nil"/>
              <w:bottom w:val="double" w:sz="6" w:space="0" w:color="auto"/>
              <w:right w:val="nil"/>
            </w:tcBorders>
            <w:shd w:val="clear" w:color="auto" w:fill="auto"/>
            <w:noWrap/>
            <w:vAlign w:val="bottom"/>
            <w:hideMark/>
          </w:tcPr>
          <w:p w14:paraId="4FFECF3D" w14:textId="17CDD175" w:rsidR="00BE72AD" w:rsidRPr="00A00187" w:rsidRDefault="00BE72AD" w:rsidP="00BE72AD">
            <w:pPr>
              <w:spacing w:line="240" w:lineRule="auto"/>
              <w:jc w:val="center"/>
              <w:rPr>
                <w:rFonts w:eastAsia="Times New Roman"/>
                <w:szCs w:val="24"/>
                <w:lang w:eastAsia="cs-CZ"/>
              </w:rPr>
            </w:pPr>
            <w:r w:rsidRPr="00A00187">
              <w:rPr>
                <w:rFonts w:eastAsia="Times New Roman"/>
                <w:szCs w:val="24"/>
                <w:lang w:eastAsia="cs-CZ"/>
              </w:rPr>
              <w:t>21,18</w:t>
            </w:r>
            <w:r w:rsidR="00CB570A">
              <w:rPr>
                <w:rFonts w:eastAsia="Times New Roman"/>
                <w:szCs w:val="24"/>
                <w:lang w:eastAsia="cs-CZ"/>
              </w:rPr>
              <w:t> %</w:t>
            </w:r>
          </w:p>
        </w:tc>
        <w:tc>
          <w:tcPr>
            <w:tcW w:w="2066" w:type="dxa"/>
            <w:tcBorders>
              <w:top w:val="nil"/>
              <w:left w:val="nil"/>
              <w:bottom w:val="double" w:sz="6" w:space="0" w:color="auto"/>
              <w:right w:val="nil"/>
            </w:tcBorders>
            <w:shd w:val="clear" w:color="auto" w:fill="auto"/>
            <w:noWrap/>
            <w:vAlign w:val="center"/>
            <w:hideMark/>
          </w:tcPr>
          <w:p w14:paraId="7D61429B" w14:textId="7F9AEFD5" w:rsidR="00BE72AD" w:rsidRPr="00A00187" w:rsidRDefault="00BE72AD" w:rsidP="00BE72AD">
            <w:pPr>
              <w:spacing w:line="240" w:lineRule="auto"/>
              <w:jc w:val="center"/>
              <w:rPr>
                <w:rFonts w:eastAsia="Times New Roman"/>
                <w:sz w:val="20"/>
                <w:szCs w:val="20"/>
                <w:lang w:eastAsia="cs-CZ"/>
              </w:rPr>
            </w:pPr>
            <w:r w:rsidRPr="00A00187">
              <w:rPr>
                <w:rFonts w:eastAsia="Times New Roman"/>
                <w:sz w:val="20"/>
                <w:szCs w:val="20"/>
                <w:lang w:eastAsia="cs-CZ"/>
              </w:rPr>
              <w:t xml:space="preserve">-2,5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177E0D39" w14:textId="77777777" w:rsidTr="00BE72AD">
        <w:trPr>
          <w:trHeight w:val="345"/>
        </w:trPr>
        <w:tc>
          <w:tcPr>
            <w:tcW w:w="2796" w:type="dxa"/>
            <w:tcBorders>
              <w:top w:val="nil"/>
              <w:left w:val="nil"/>
              <w:bottom w:val="double" w:sz="6" w:space="0" w:color="auto"/>
              <w:right w:val="nil"/>
            </w:tcBorders>
            <w:shd w:val="clear" w:color="auto" w:fill="auto"/>
            <w:noWrap/>
            <w:vAlign w:val="bottom"/>
            <w:hideMark/>
          </w:tcPr>
          <w:p w14:paraId="51F43A41" w14:textId="77777777" w:rsidR="00BE72AD" w:rsidRPr="00A00187" w:rsidRDefault="00BE72AD" w:rsidP="00BE72AD">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470" w:type="dxa"/>
            <w:tcBorders>
              <w:top w:val="nil"/>
              <w:left w:val="nil"/>
              <w:bottom w:val="double" w:sz="6" w:space="0" w:color="auto"/>
              <w:right w:val="nil"/>
            </w:tcBorders>
            <w:shd w:val="clear" w:color="auto" w:fill="auto"/>
            <w:noWrap/>
            <w:vAlign w:val="bottom"/>
            <w:hideMark/>
          </w:tcPr>
          <w:p w14:paraId="216BB020" w14:textId="061DA81E" w:rsidR="00BE72AD" w:rsidRPr="00A00187" w:rsidRDefault="00BE72AD" w:rsidP="00BE72AD">
            <w:pPr>
              <w:spacing w:line="240" w:lineRule="auto"/>
              <w:jc w:val="center"/>
              <w:rPr>
                <w:rFonts w:eastAsia="Times New Roman"/>
                <w:b/>
                <w:bCs/>
                <w:szCs w:val="24"/>
                <w:lang w:eastAsia="cs-CZ"/>
              </w:rPr>
            </w:pPr>
            <w:r w:rsidRPr="00A00187">
              <w:rPr>
                <w:rFonts w:eastAsia="Times New Roman"/>
                <w:b/>
                <w:bCs/>
                <w:szCs w:val="24"/>
                <w:lang w:eastAsia="cs-CZ"/>
              </w:rPr>
              <w:t>23,18</w:t>
            </w:r>
            <w:r w:rsidR="00CB570A">
              <w:rPr>
                <w:rFonts w:eastAsia="Times New Roman"/>
                <w:b/>
                <w:bCs/>
                <w:szCs w:val="24"/>
                <w:lang w:eastAsia="cs-CZ"/>
              </w:rPr>
              <w:t> %</w:t>
            </w:r>
          </w:p>
        </w:tc>
        <w:tc>
          <w:tcPr>
            <w:tcW w:w="2066" w:type="dxa"/>
            <w:tcBorders>
              <w:top w:val="nil"/>
              <w:left w:val="nil"/>
              <w:bottom w:val="double" w:sz="6" w:space="0" w:color="auto"/>
              <w:right w:val="nil"/>
            </w:tcBorders>
            <w:shd w:val="clear" w:color="auto" w:fill="auto"/>
            <w:noWrap/>
            <w:vAlign w:val="center"/>
            <w:hideMark/>
          </w:tcPr>
          <w:p w14:paraId="3B506D4E" w14:textId="082A5A91" w:rsidR="00BE72AD" w:rsidRPr="00A00187" w:rsidRDefault="00BE72AD" w:rsidP="00BE72AD">
            <w:pPr>
              <w:spacing w:line="240" w:lineRule="auto"/>
              <w:jc w:val="center"/>
              <w:rPr>
                <w:rFonts w:eastAsia="Times New Roman"/>
                <w:b/>
                <w:bCs/>
                <w:sz w:val="20"/>
                <w:szCs w:val="20"/>
                <w:lang w:eastAsia="cs-CZ"/>
              </w:rPr>
            </w:pPr>
            <w:r w:rsidRPr="00A00187">
              <w:rPr>
                <w:rFonts w:eastAsia="Times New Roman"/>
                <w:b/>
                <w:bCs/>
                <w:sz w:val="20"/>
                <w:szCs w:val="20"/>
                <w:lang w:eastAsia="cs-CZ"/>
              </w:rPr>
              <w:t xml:space="preserve">-1,5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C1E67" w:rsidRPr="00A00187" w14:paraId="2C7FA252" w14:textId="77777777" w:rsidTr="00BE72AD">
        <w:trPr>
          <w:trHeight w:val="330"/>
        </w:trPr>
        <w:tc>
          <w:tcPr>
            <w:tcW w:w="2796" w:type="dxa"/>
            <w:tcBorders>
              <w:top w:val="nil"/>
              <w:left w:val="nil"/>
              <w:bottom w:val="nil"/>
              <w:right w:val="nil"/>
            </w:tcBorders>
            <w:shd w:val="clear" w:color="auto" w:fill="auto"/>
            <w:noWrap/>
            <w:vAlign w:val="bottom"/>
            <w:hideMark/>
          </w:tcPr>
          <w:p w14:paraId="59CE0CE9" w14:textId="77777777" w:rsidR="00BE72AD" w:rsidRPr="00A00187" w:rsidRDefault="00BE72AD" w:rsidP="00BE72AD">
            <w:pPr>
              <w:spacing w:line="240" w:lineRule="auto"/>
              <w:jc w:val="right"/>
              <w:rPr>
                <w:rFonts w:eastAsia="Times New Roman"/>
                <w:b/>
                <w:bCs/>
                <w:sz w:val="20"/>
                <w:szCs w:val="20"/>
                <w:lang w:eastAsia="cs-CZ"/>
              </w:rPr>
            </w:pPr>
          </w:p>
        </w:tc>
        <w:tc>
          <w:tcPr>
            <w:tcW w:w="1470" w:type="dxa"/>
            <w:tcBorders>
              <w:top w:val="nil"/>
              <w:left w:val="nil"/>
              <w:bottom w:val="nil"/>
              <w:right w:val="nil"/>
            </w:tcBorders>
            <w:shd w:val="clear" w:color="auto" w:fill="auto"/>
            <w:noWrap/>
            <w:vAlign w:val="bottom"/>
            <w:hideMark/>
          </w:tcPr>
          <w:p w14:paraId="50D2323E" w14:textId="77777777" w:rsidR="00BE72AD" w:rsidRPr="00A00187" w:rsidRDefault="00BE72AD" w:rsidP="00BE72AD">
            <w:pPr>
              <w:spacing w:line="240" w:lineRule="auto"/>
              <w:jc w:val="left"/>
              <w:rPr>
                <w:rFonts w:ascii="Times New Roman" w:eastAsia="Times New Roman" w:hAnsi="Times New Roman"/>
                <w:sz w:val="20"/>
                <w:szCs w:val="20"/>
                <w:lang w:eastAsia="cs-CZ"/>
              </w:rPr>
            </w:pPr>
          </w:p>
        </w:tc>
        <w:tc>
          <w:tcPr>
            <w:tcW w:w="2066" w:type="dxa"/>
            <w:tcBorders>
              <w:top w:val="nil"/>
              <w:left w:val="nil"/>
              <w:bottom w:val="nil"/>
              <w:right w:val="nil"/>
            </w:tcBorders>
            <w:shd w:val="clear" w:color="auto" w:fill="auto"/>
            <w:noWrap/>
            <w:vAlign w:val="bottom"/>
            <w:hideMark/>
          </w:tcPr>
          <w:p w14:paraId="2ADE4812" w14:textId="77777777" w:rsidR="00BE72AD" w:rsidRPr="00A00187" w:rsidRDefault="00BE72AD" w:rsidP="00BE72AD">
            <w:pPr>
              <w:spacing w:line="240" w:lineRule="auto"/>
              <w:jc w:val="left"/>
              <w:rPr>
                <w:rFonts w:ascii="Times New Roman" w:eastAsia="Times New Roman" w:hAnsi="Times New Roman"/>
                <w:sz w:val="20"/>
                <w:szCs w:val="20"/>
                <w:lang w:eastAsia="cs-CZ"/>
              </w:rPr>
            </w:pPr>
          </w:p>
        </w:tc>
      </w:tr>
    </w:tbl>
    <w:p w14:paraId="3BD8B5C9" w14:textId="4ECD009A" w:rsidR="00991849" w:rsidRPr="00A00187" w:rsidRDefault="00991849" w:rsidP="00991849">
      <w:pPr>
        <w:pStyle w:val="Podnadpis"/>
        <w:rPr>
          <w:color w:val="auto"/>
        </w:rPr>
      </w:pPr>
      <w:bookmarkStart w:id="367" w:name="_Toc515871361"/>
      <w:bookmarkStart w:id="368" w:name="_Toc11135095"/>
      <w:bookmarkStart w:id="369" w:name="_Toc43841409"/>
      <w:bookmarkStart w:id="370" w:name="_Toc75952212"/>
      <w:bookmarkStart w:id="371" w:name="_Toc106106664"/>
      <w:bookmarkStart w:id="372" w:name="_Toc10980198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30</w:t>
      </w:r>
      <w:r w:rsidRPr="00A00187">
        <w:rPr>
          <w:noProof/>
          <w:color w:val="auto"/>
        </w:rPr>
        <w:fldChar w:fldCharType="end"/>
      </w:r>
      <w:r w:rsidRPr="00A00187">
        <w:rPr>
          <w:color w:val="auto"/>
        </w:rPr>
        <w:t>: OS – míra odvolání u jednotlivých soudů v trestním řízení</w:t>
      </w:r>
      <w:bookmarkEnd w:id="367"/>
      <w:bookmarkEnd w:id="368"/>
      <w:bookmarkEnd w:id="369"/>
      <w:bookmarkEnd w:id="370"/>
      <w:bookmarkEnd w:id="371"/>
      <w:bookmarkEnd w:id="372"/>
    </w:p>
    <w:p w14:paraId="01538F2B" w14:textId="6B5DA9B2" w:rsidR="00BE72AD" w:rsidRPr="00A00187" w:rsidRDefault="00411146" w:rsidP="00BE72AD">
      <w:pPr>
        <w:pStyle w:val="OdstavecASR"/>
        <w:rPr>
          <w:b/>
          <w:bCs/>
        </w:rPr>
      </w:pPr>
      <w:r w:rsidRPr="00A00187">
        <w:rPr>
          <w:noProof/>
        </w:rPr>
        <w:drawing>
          <wp:anchor distT="0" distB="0" distL="114300" distR="114300" simplePos="0" relativeHeight="251678720" behindDoc="0" locked="0" layoutInCell="1" allowOverlap="1" wp14:anchorId="0FEFBBC7" wp14:editId="6A91F07D">
            <wp:simplePos x="0" y="0"/>
            <wp:positionH relativeFrom="margin">
              <wp:align>right</wp:align>
            </wp:positionH>
            <wp:positionV relativeFrom="paragraph">
              <wp:posOffset>51435</wp:posOffset>
            </wp:positionV>
            <wp:extent cx="1238400" cy="900000"/>
            <wp:effectExtent l="0" t="0" r="0"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0187">
        <w:rPr>
          <w:b/>
          <w:bCs/>
          <w:noProof/>
        </w:rPr>
        <w:drawing>
          <wp:inline distT="0" distB="0" distL="0" distR="0" wp14:anchorId="5537CDD4" wp14:editId="29BB1479">
            <wp:extent cx="5759450" cy="3296285"/>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2CB0831B" w14:textId="77777777" w:rsidR="00991849" w:rsidRPr="00A00187" w:rsidRDefault="00991849" w:rsidP="00991849">
      <w:pPr>
        <w:pStyle w:val="OdstavecASR"/>
        <w:keepNext/>
      </w:pPr>
      <w:r w:rsidRPr="00A00187">
        <w:lastRenderedPageBreak/>
        <w:t>Při pohledu na data o míře odvolání je třeba poukázat na několik věcí:</w:t>
      </w:r>
    </w:p>
    <w:p w14:paraId="0AA266B2" w14:textId="77777777" w:rsidR="00991849" w:rsidRPr="00A00187" w:rsidRDefault="00991849" w:rsidP="00991849">
      <w:pPr>
        <w:pStyle w:val="OdstavecASR"/>
        <w:numPr>
          <w:ilvl w:val="0"/>
          <w:numId w:val="11"/>
        </w:numPr>
      </w:pPr>
      <w:r w:rsidRPr="00A00187">
        <w:t>Míra odvolání v trestním řízení je vysoká – asi třikrát vyšší než v řízení občanskoprávním. Odvolání je podáno přibližně v každém čtvrtém trestním řízení u okresního soudu.</w:t>
      </w:r>
    </w:p>
    <w:p w14:paraId="134A83DF" w14:textId="6EF42704" w:rsidR="00991849" w:rsidRPr="00A00187" w:rsidRDefault="00991849" w:rsidP="00991849">
      <w:pPr>
        <w:pStyle w:val="OdstavecASR"/>
        <w:numPr>
          <w:ilvl w:val="0"/>
          <w:numId w:val="11"/>
        </w:numPr>
      </w:pPr>
      <w:r w:rsidRPr="00A00187">
        <w:t xml:space="preserve">Na celorepublikové úrovni je </w:t>
      </w:r>
      <w:r w:rsidR="003C3F9C" w:rsidRPr="00A00187">
        <w:t xml:space="preserve">míra odvolání </w:t>
      </w:r>
      <w:r w:rsidRPr="00A00187">
        <w:t xml:space="preserve">stabilní, na úrovni krajů </w:t>
      </w:r>
      <w:r w:rsidR="003C3F9C" w:rsidRPr="00A00187">
        <w:t>jsou patrné větší odchylky, stále však nijak zásadní</w:t>
      </w:r>
      <w:r w:rsidRPr="00A00187">
        <w:t xml:space="preserve">. U jednotlivých soudů se </w:t>
      </w:r>
      <w:r w:rsidR="003C3F9C" w:rsidRPr="00A00187">
        <w:t xml:space="preserve">míra odvolání </w:t>
      </w:r>
      <w:r w:rsidR="00607E1B" w:rsidRPr="00A00187">
        <w:t xml:space="preserve">však </w:t>
      </w:r>
      <w:r w:rsidRPr="00A00187">
        <w:t>může mezi roky lišit</w:t>
      </w:r>
      <w:r w:rsidR="003C3F9C" w:rsidRPr="00A00187">
        <w:t xml:space="preserve"> nejvýrazněji</w:t>
      </w:r>
      <w:r w:rsidRPr="00A00187">
        <w:t>.</w:t>
      </w:r>
    </w:p>
    <w:p w14:paraId="2CB1C73F" w14:textId="77777777" w:rsidR="00991849" w:rsidRPr="00A00187" w:rsidRDefault="00991849" w:rsidP="00991849">
      <w:pPr>
        <w:pStyle w:val="OdstavecASR"/>
        <w:numPr>
          <w:ilvl w:val="0"/>
          <w:numId w:val="11"/>
        </w:numPr>
      </w:pPr>
      <w:r w:rsidRPr="00A00187">
        <w:t>V míře odvolání jsou mezi jednotlivými soudy velké rozdíly – až šestinásobek u soudů s nejvyšší mírou odvolání oproti soudům s nejnižší mírou odvolání.</w:t>
      </w:r>
    </w:p>
    <w:p w14:paraId="3B358F6F" w14:textId="77777777" w:rsidR="00991849" w:rsidRPr="00A00187" w:rsidRDefault="00991849" w:rsidP="00991849">
      <w:pPr>
        <w:pStyle w:val="OdstavecASR"/>
        <w:numPr>
          <w:ilvl w:val="0"/>
          <w:numId w:val="11"/>
        </w:numPr>
      </w:pPr>
      <w:r w:rsidRPr="00A00187">
        <w:t>Nejvyšší míra odvolání zůstává v Praze a suverénně nejnižší v Severočeském kraji. Částečně to zřejmě souvisí s rozdílnou agendou a s rozdíly v socioekonomických ukazatelích, uspokojivé vysvětlení pro takto markantní rozdíl to však není. Rozdíly jsou totiž někdy značné i v rámci jednoho kraje.</w:t>
      </w:r>
    </w:p>
    <w:p w14:paraId="10CC5D1C" w14:textId="08747215" w:rsidR="00991849" w:rsidRPr="00A00187" w:rsidRDefault="00991849" w:rsidP="00991849">
      <w:pPr>
        <w:pStyle w:val="OdstavecASR"/>
      </w:pPr>
      <w:r w:rsidRPr="00A00187">
        <w:t>Soudy s nejnižší mírou odvolání v roce 202</w:t>
      </w:r>
      <w:r w:rsidR="00411146" w:rsidRPr="00A00187">
        <w:t>1</w:t>
      </w:r>
      <w:r w:rsidRPr="00A00187">
        <w:t xml:space="preserve"> jsou OS Děčín (6,94</w:t>
      </w:r>
      <w:r w:rsidR="00CB570A">
        <w:t> %</w:t>
      </w:r>
      <w:r w:rsidRPr="00A00187">
        <w:t>), OS Most (9,20</w:t>
      </w:r>
      <w:r w:rsidR="00CB570A">
        <w:t> %</w:t>
      </w:r>
      <w:r w:rsidRPr="00A00187">
        <w:t xml:space="preserve">) </w:t>
      </w:r>
      <w:r w:rsidR="00726EC3" w:rsidRPr="00A00187">
        <w:t>a</w:t>
      </w:r>
      <w:r w:rsidR="00726EC3">
        <w:t> </w:t>
      </w:r>
      <w:r w:rsidRPr="00A00187">
        <w:t>OS Tachov (11,27</w:t>
      </w:r>
      <w:r w:rsidR="00CB570A">
        <w:t> %</w:t>
      </w:r>
      <w:r w:rsidRPr="00A00187">
        <w:t>). Nejvyšší míra odvolání naopak je u OS Plzeň</w:t>
      </w:r>
      <w:r w:rsidRPr="00A00187">
        <w:noBreakHyphen/>
        <w:t>jih, (43,45</w:t>
      </w:r>
      <w:r w:rsidR="00CB570A">
        <w:t> %</w:t>
      </w:r>
      <w:r w:rsidRPr="00A00187">
        <w:t>), OS pro Prahu 1</w:t>
      </w:r>
      <w:r w:rsidRPr="00A00187" w:rsidDel="00D42872">
        <w:t xml:space="preserve"> </w:t>
      </w:r>
      <w:r w:rsidRPr="00A00187">
        <w:t>(42,43</w:t>
      </w:r>
      <w:r w:rsidR="00CB570A">
        <w:t> %</w:t>
      </w:r>
      <w:r w:rsidRPr="00A00187">
        <w:t>) a OS Praha</w:t>
      </w:r>
      <w:r w:rsidRPr="00A00187">
        <w:noBreakHyphen/>
        <w:t>západ (42,29</w:t>
      </w:r>
      <w:r w:rsidR="00CB570A">
        <w:t> %</w:t>
      </w:r>
      <w:r w:rsidRPr="00A00187">
        <w:t>).</w:t>
      </w:r>
    </w:p>
    <w:p w14:paraId="355F8650" w14:textId="49971470" w:rsidR="00991849" w:rsidRPr="00A00187" w:rsidRDefault="00991849" w:rsidP="007F73C9">
      <w:pPr>
        <w:pStyle w:val="OdstavecASR"/>
        <w:keepNext/>
        <w:outlineLvl w:val="3"/>
        <w:rPr>
          <w:b/>
          <w:bCs/>
        </w:rPr>
      </w:pPr>
      <w:r w:rsidRPr="00A00187">
        <w:rPr>
          <w:b/>
          <w:bCs/>
        </w:rPr>
        <w:t>Míra změny rozsudku</w:t>
      </w:r>
    </w:p>
    <w:p w14:paraId="2F490D5A" w14:textId="18BA9CE4" w:rsidR="00991849" w:rsidRPr="00A00187" w:rsidRDefault="00991849" w:rsidP="00991849">
      <w:pPr>
        <w:pStyle w:val="OdstavecASR"/>
      </w:pPr>
      <w:r w:rsidRPr="00A00187">
        <w:t>Dalším sledovaným ukazatelem je míra změny rozsudku. Jedná se o podíl věcí v procentech, ve kterých odvolací soud na základě odvolání změnil rozhodnutí soudu I. stupně. Jako změna rozsudku jsou započítány věci, v nichž bylo odvolání vyhověno, ale i případy, kdy bylo rozhodnutí soudu I. stupně odvolacím soudem zrušeno a vráceno soudu I. stupně.</w:t>
      </w:r>
    </w:p>
    <w:p w14:paraId="405FFFB1" w14:textId="77777777" w:rsidR="0003012E" w:rsidRPr="00A00187" w:rsidRDefault="0003012E" w:rsidP="00991849">
      <w:pPr>
        <w:pStyle w:val="OdstavecASR"/>
      </w:pPr>
    </w:p>
    <w:p w14:paraId="4A2186B5" w14:textId="46BA2A84" w:rsidR="00991849" w:rsidRPr="00A00187" w:rsidRDefault="00991849" w:rsidP="00991849">
      <w:pPr>
        <w:pStyle w:val="Podnadpis"/>
        <w:rPr>
          <w:color w:val="auto"/>
        </w:rPr>
      </w:pPr>
      <w:bookmarkStart w:id="373" w:name="_Toc75952328"/>
      <w:bookmarkStart w:id="374" w:name="_Toc106106786"/>
      <w:bookmarkStart w:id="375" w:name="_Toc109802109"/>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24</w:t>
      </w:r>
      <w:r w:rsidRPr="00A00187">
        <w:rPr>
          <w:noProof/>
          <w:color w:val="auto"/>
        </w:rPr>
        <w:fldChar w:fldCharType="end"/>
      </w:r>
      <w:r w:rsidRPr="00A00187">
        <w:rPr>
          <w:color w:val="auto"/>
        </w:rPr>
        <w:t>: OS – míra změny rozsudku dle krajů v trestním řízení</w:t>
      </w:r>
      <w:bookmarkEnd w:id="373"/>
      <w:bookmarkEnd w:id="374"/>
      <w:bookmarkEnd w:id="375"/>
    </w:p>
    <w:tbl>
      <w:tblPr>
        <w:tblW w:w="7012" w:type="dxa"/>
        <w:tblCellMar>
          <w:left w:w="70" w:type="dxa"/>
          <w:right w:w="70" w:type="dxa"/>
        </w:tblCellMar>
        <w:tblLook w:val="04A0" w:firstRow="1" w:lastRow="0" w:firstColumn="1" w:lastColumn="0" w:noHBand="0" w:noVBand="1"/>
      </w:tblPr>
      <w:tblGrid>
        <w:gridCol w:w="2796"/>
        <w:gridCol w:w="1715"/>
        <w:gridCol w:w="2501"/>
      </w:tblGrid>
      <w:tr w:rsidR="00AC1E67" w:rsidRPr="00A00187" w14:paraId="4900FEDE" w14:textId="77777777" w:rsidTr="00991849">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79C84CA6" w14:textId="77777777" w:rsidR="00991849" w:rsidRPr="00A00187" w:rsidRDefault="00991849" w:rsidP="00991849">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4216" w:type="dxa"/>
            <w:gridSpan w:val="2"/>
            <w:tcBorders>
              <w:top w:val="double" w:sz="6" w:space="0" w:color="auto"/>
              <w:left w:val="nil"/>
              <w:bottom w:val="double" w:sz="6" w:space="0" w:color="auto"/>
              <w:right w:val="nil"/>
            </w:tcBorders>
            <w:shd w:val="clear" w:color="auto" w:fill="auto"/>
            <w:noWrap/>
            <w:vAlign w:val="center"/>
            <w:hideMark/>
          </w:tcPr>
          <w:p w14:paraId="14317923" w14:textId="37FC3106" w:rsidR="00991849" w:rsidRPr="00A00187" w:rsidRDefault="00991849" w:rsidP="00991849">
            <w:pPr>
              <w:spacing w:line="240" w:lineRule="auto"/>
              <w:jc w:val="center"/>
              <w:rPr>
                <w:rFonts w:eastAsia="Times New Roman"/>
                <w:b/>
                <w:bCs/>
                <w:szCs w:val="24"/>
                <w:lang w:eastAsia="cs-CZ"/>
              </w:rPr>
            </w:pPr>
            <w:r w:rsidRPr="00A00187">
              <w:rPr>
                <w:rFonts w:eastAsia="Times New Roman"/>
                <w:b/>
                <w:bCs/>
                <w:szCs w:val="24"/>
                <w:lang w:eastAsia="cs-CZ"/>
              </w:rPr>
              <w:t>Míra změny rozsudku</w:t>
            </w:r>
          </w:p>
        </w:tc>
      </w:tr>
      <w:tr w:rsidR="00AC1E67" w:rsidRPr="00A00187" w14:paraId="5C3F9D4E" w14:textId="77777777" w:rsidTr="00991849">
        <w:trPr>
          <w:trHeight w:val="330"/>
        </w:trPr>
        <w:tc>
          <w:tcPr>
            <w:tcW w:w="2796" w:type="dxa"/>
            <w:tcBorders>
              <w:top w:val="nil"/>
              <w:left w:val="nil"/>
              <w:bottom w:val="single" w:sz="4" w:space="0" w:color="auto"/>
              <w:right w:val="nil"/>
            </w:tcBorders>
            <w:shd w:val="clear" w:color="auto" w:fill="auto"/>
            <w:noWrap/>
            <w:vAlign w:val="bottom"/>
            <w:hideMark/>
          </w:tcPr>
          <w:p w14:paraId="463E6B9B"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MS Praha</w:t>
            </w:r>
          </w:p>
        </w:tc>
        <w:tc>
          <w:tcPr>
            <w:tcW w:w="1715" w:type="dxa"/>
            <w:tcBorders>
              <w:top w:val="nil"/>
              <w:left w:val="nil"/>
              <w:bottom w:val="single" w:sz="4" w:space="0" w:color="auto"/>
              <w:right w:val="nil"/>
            </w:tcBorders>
            <w:shd w:val="clear" w:color="auto" w:fill="auto"/>
            <w:noWrap/>
            <w:vAlign w:val="bottom"/>
            <w:hideMark/>
          </w:tcPr>
          <w:p w14:paraId="63B2F4CB" w14:textId="6D8CFCB3"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46</w:t>
            </w:r>
            <w:r w:rsidR="00DB7553" w:rsidRPr="00A00187">
              <w:rPr>
                <w:rFonts w:eastAsia="Times New Roman"/>
                <w:szCs w:val="24"/>
                <w:lang w:eastAsia="cs-CZ"/>
              </w:rPr>
              <w:t>,</w:t>
            </w:r>
            <w:r w:rsidRPr="00A00187">
              <w:rPr>
                <w:rFonts w:eastAsia="Times New Roman"/>
                <w:szCs w:val="24"/>
                <w:lang w:eastAsia="cs-CZ"/>
              </w:rPr>
              <w:t>67</w:t>
            </w:r>
            <w:r w:rsidR="00CB570A">
              <w:rPr>
                <w:rFonts w:eastAsia="Times New Roman"/>
                <w:szCs w:val="24"/>
                <w:lang w:eastAsia="cs-CZ"/>
              </w:rPr>
              <w:t> %</w:t>
            </w:r>
          </w:p>
        </w:tc>
        <w:tc>
          <w:tcPr>
            <w:tcW w:w="2501" w:type="dxa"/>
            <w:tcBorders>
              <w:top w:val="nil"/>
              <w:left w:val="nil"/>
              <w:bottom w:val="single" w:sz="4" w:space="0" w:color="auto"/>
              <w:right w:val="nil"/>
            </w:tcBorders>
            <w:shd w:val="clear" w:color="auto" w:fill="auto"/>
            <w:noWrap/>
            <w:vAlign w:val="center"/>
            <w:hideMark/>
          </w:tcPr>
          <w:p w14:paraId="636607A1" w14:textId="77DC3122"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+1,7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C622A5A" w14:textId="77777777" w:rsidTr="00991849">
        <w:trPr>
          <w:trHeight w:val="315"/>
        </w:trPr>
        <w:tc>
          <w:tcPr>
            <w:tcW w:w="2796" w:type="dxa"/>
            <w:tcBorders>
              <w:top w:val="nil"/>
              <w:left w:val="nil"/>
              <w:bottom w:val="single" w:sz="4" w:space="0" w:color="auto"/>
              <w:right w:val="nil"/>
            </w:tcBorders>
            <w:shd w:val="clear" w:color="auto" w:fill="auto"/>
            <w:noWrap/>
            <w:vAlign w:val="bottom"/>
            <w:hideMark/>
          </w:tcPr>
          <w:p w14:paraId="0F828FCE"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KS Praha</w:t>
            </w:r>
          </w:p>
        </w:tc>
        <w:tc>
          <w:tcPr>
            <w:tcW w:w="1715" w:type="dxa"/>
            <w:tcBorders>
              <w:top w:val="nil"/>
              <w:left w:val="nil"/>
              <w:bottom w:val="single" w:sz="4" w:space="0" w:color="auto"/>
              <w:right w:val="nil"/>
            </w:tcBorders>
            <w:shd w:val="clear" w:color="auto" w:fill="auto"/>
            <w:noWrap/>
            <w:vAlign w:val="bottom"/>
            <w:hideMark/>
          </w:tcPr>
          <w:p w14:paraId="1ED39CD7" w14:textId="7D27A86D"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39</w:t>
            </w:r>
            <w:r w:rsidR="00DB7553" w:rsidRPr="00A00187">
              <w:rPr>
                <w:rFonts w:eastAsia="Times New Roman"/>
                <w:szCs w:val="24"/>
                <w:lang w:eastAsia="cs-CZ"/>
              </w:rPr>
              <w:t>,</w:t>
            </w:r>
            <w:r w:rsidRPr="00A00187">
              <w:rPr>
                <w:rFonts w:eastAsia="Times New Roman"/>
                <w:szCs w:val="24"/>
                <w:lang w:eastAsia="cs-CZ"/>
              </w:rPr>
              <w:t>78</w:t>
            </w:r>
            <w:r w:rsidR="00CB570A">
              <w:rPr>
                <w:rFonts w:eastAsia="Times New Roman"/>
                <w:szCs w:val="24"/>
                <w:lang w:eastAsia="cs-CZ"/>
              </w:rPr>
              <w:t> %</w:t>
            </w:r>
          </w:p>
        </w:tc>
        <w:tc>
          <w:tcPr>
            <w:tcW w:w="2501" w:type="dxa"/>
            <w:tcBorders>
              <w:top w:val="nil"/>
              <w:left w:val="nil"/>
              <w:bottom w:val="single" w:sz="4" w:space="0" w:color="auto"/>
              <w:right w:val="nil"/>
            </w:tcBorders>
            <w:shd w:val="clear" w:color="auto" w:fill="auto"/>
            <w:noWrap/>
            <w:vAlign w:val="center"/>
            <w:hideMark/>
          </w:tcPr>
          <w:p w14:paraId="3734B720" w14:textId="5782F64D"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-0,3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15C9156" w14:textId="77777777" w:rsidTr="00991849">
        <w:trPr>
          <w:trHeight w:val="315"/>
        </w:trPr>
        <w:tc>
          <w:tcPr>
            <w:tcW w:w="2796" w:type="dxa"/>
            <w:tcBorders>
              <w:top w:val="nil"/>
              <w:left w:val="nil"/>
              <w:bottom w:val="single" w:sz="4" w:space="0" w:color="auto"/>
              <w:right w:val="nil"/>
            </w:tcBorders>
            <w:shd w:val="clear" w:color="auto" w:fill="auto"/>
            <w:noWrap/>
            <w:vAlign w:val="bottom"/>
            <w:hideMark/>
          </w:tcPr>
          <w:p w14:paraId="5CFFB5D4"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KS Č. Budějovice</w:t>
            </w:r>
          </w:p>
        </w:tc>
        <w:tc>
          <w:tcPr>
            <w:tcW w:w="1715" w:type="dxa"/>
            <w:tcBorders>
              <w:top w:val="nil"/>
              <w:left w:val="nil"/>
              <w:bottom w:val="single" w:sz="4" w:space="0" w:color="auto"/>
              <w:right w:val="nil"/>
            </w:tcBorders>
            <w:shd w:val="clear" w:color="auto" w:fill="auto"/>
            <w:noWrap/>
            <w:vAlign w:val="bottom"/>
            <w:hideMark/>
          </w:tcPr>
          <w:p w14:paraId="58EF7F06" w14:textId="2FD0937F"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38</w:t>
            </w:r>
            <w:r w:rsidR="00DB7553" w:rsidRPr="00A00187">
              <w:rPr>
                <w:rFonts w:eastAsia="Times New Roman"/>
                <w:szCs w:val="24"/>
                <w:lang w:eastAsia="cs-CZ"/>
              </w:rPr>
              <w:t>,</w:t>
            </w:r>
            <w:r w:rsidRPr="00A00187">
              <w:rPr>
                <w:rFonts w:eastAsia="Times New Roman"/>
                <w:szCs w:val="24"/>
                <w:lang w:eastAsia="cs-CZ"/>
              </w:rPr>
              <w:t>63</w:t>
            </w:r>
            <w:r w:rsidR="00CB570A">
              <w:rPr>
                <w:rFonts w:eastAsia="Times New Roman"/>
                <w:szCs w:val="24"/>
                <w:lang w:eastAsia="cs-CZ"/>
              </w:rPr>
              <w:t> %</w:t>
            </w:r>
          </w:p>
        </w:tc>
        <w:tc>
          <w:tcPr>
            <w:tcW w:w="2501" w:type="dxa"/>
            <w:tcBorders>
              <w:top w:val="nil"/>
              <w:left w:val="nil"/>
              <w:bottom w:val="single" w:sz="4" w:space="0" w:color="auto"/>
              <w:right w:val="nil"/>
            </w:tcBorders>
            <w:shd w:val="clear" w:color="auto" w:fill="auto"/>
            <w:noWrap/>
            <w:vAlign w:val="center"/>
            <w:hideMark/>
          </w:tcPr>
          <w:p w14:paraId="76E8F06E" w14:textId="05278C54"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+5,7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EE0E517" w14:textId="77777777" w:rsidTr="00991849">
        <w:trPr>
          <w:trHeight w:val="315"/>
        </w:trPr>
        <w:tc>
          <w:tcPr>
            <w:tcW w:w="2796" w:type="dxa"/>
            <w:tcBorders>
              <w:top w:val="nil"/>
              <w:left w:val="nil"/>
              <w:bottom w:val="single" w:sz="4" w:space="0" w:color="auto"/>
              <w:right w:val="nil"/>
            </w:tcBorders>
            <w:shd w:val="clear" w:color="auto" w:fill="auto"/>
            <w:noWrap/>
            <w:vAlign w:val="bottom"/>
            <w:hideMark/>
          </w:tcPr>
          <w:p w14:paraId="3740874E"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KS Plzeň</w:t>
            </w:r>
          </w:p>
        </w:tc>
        <w:tc>
          <w:tcPr>
            <w:tcW w:w="1715" w:type="dxa"/>
            <w:tcBorders>
              <w:top w:val="nil"/>
              <w:left w:val="nil"/>
              <w:bottom w:val="single" w:sz="4" w:space="0" w:color="auto"/>
              <w:right w:val="nil"/>
            </w:tcBorders>
            <w:shd w:val="clear" w:color="auto" w:fill="auto"/>
            <w:noWrap/>
            <w:vAlign w:val="bottom"/>
            <w:hideMark/>
          </w:tcPr>
          <w:p w14:paraId="419386DD" w14:textId="660CE9C4"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54</w:t>
            </w:r>
            <w:r w:rsidR="00DB7553" w:rsidRPr="00A00187">
              <w:rPr>
                <w:rFonts w:eastAsia="Times New Roman"/>
                <w:szCs w:val="24"/>
                <w:lang w:eastAsia="cs-CZ"/>
              </w:rPr>
              <w:t>,</w:t>
            </w:r>
            <w:r w:rsidRPr="00A00187">
              <w:rPr>
                <w:rFonts w:eastAsia="Times New Roman"/>
                <w:szCs w:val="24"/>
                <w:lang w:eastAsia="cs-CZ"/>
              </w:rPr>
              <w:t>25</w:t>
            </w:r>
            <w:r w:rsidR="00CB570A">
              <w:rPr>
                <w:rFonts w:eastAsia="Times New Roman"/>
                <w:szCs w:val="24"/>
                <w:lang w:eastAsia="cs-CZ"/>
              </w:rPr>
              <w:t> %</w:t>
            </w:r>
          </w:p>
        </w:tc>
        <w:tc>
          <w:tcPr>
            <w:tcW w:w="2501" w:type="dxa"/>
            <w:tcBorders>
              <w:top w:val="nil"/>
              <w:left w:val="nil"/>
              <w:bottom w:val="single" w:sz="4" w:space="0" w:color="auto"/>
              <w:right w:val="nil"/>
            </w:tcBorders>
            <w:shd w:val="clear" w:color="auto" w:fill="auto"/>
            <w:noWrap/>
            <w:vAlign w:val="center"/>
            <w:hideMark/>
          </w:tcPr>
          <w:p w14:paraId="53A9A9B8" w14:textId="65C9BCA5"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+3,9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0456CC25" w14:textId="77777777" w:rsidTr="00991849">
        <w:trPr>
          <w:trHeight w:val="315"/>
        </w:trPr>
        <w:tc>
          <w:tcPr>
            <w:tcW w:w="2796" w:type="dxa"/>
            <w:tcBorders>
              <w:top w:val="nil"/>
              <w:left w:val="nil"/>
              <w:bottom w:val="single" w:sz="4" w:space="0" w:color="auto"/>
              <w:right w:val="nil"/>
            </w:tcBorders>
            <w:shd w:val="clear" w:color="auto" w:fill="auto"/>
            <w:noWrap/>
            <w:vAlign w:val="bottom"/>
            <w:hideMark/>
          </w:tcPr>
          <w:p w14:paraId="04C176C1"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KS Ústí n. Labem</w:t>
            </w:r>
          </w:p>
        </w:tc>
        <w:tc>
          <w:tcPr>
            <w:tcW w:w="1715" w:type="dxa"/>
            <w:tcBorders>
              <w:top w:val="nil"/>
              <w:left w:val="nil"/>
              <w:bottom w:val="single" w:sz="4" w:space="0" w:color="auto"/>
              <w:right w:val="nil"/>
            </w:tcBorders>
            <w:shd w:val="clear" w:color="auto" w:fill="auto"/>
            <w:noWrap/>
            <w:vAlign w:val="bottom"/>
            <w:hideMark/>
          </w:tcPr>
          <w:p w14:paraId="0CF583F6" w14:textId="3F5902C5"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55</w:t>
            </w:r>
            <w:r w:rsidR="00DB7553" w:rsidRPr="00A00187">
              <w:rPr>
                <w:rFonts w:eastAsia="Times New Roman"/>
                <w:szCs w:val="24"/>
                <w:lang w:eastAsia="cs-CZ"/>
              </w:rPr>
              <w:t>,</w:t>
            </w:r>
            <w:r w:rsidRPr="00A00187">
              <w:rPr>
                <w:rFonts w:eastAsia="Times New Roman"/>
                <w:szCs w:val="24"/>
                <w:lang w:eastAsia="cs-CZ"/>
              </w:rPr>
              <w:t>83</w:t>
            </w:r>
            <w:r w:rsidR="00CB570A">
              <w:rPr>
                <w:rFonts w:eastAsia="Times New Roman"/>
                <w:szCs w:val="24"/>
                <w:lang w:eastAsia="cs-CZ"/>
              </w:rPr>
              <w:t> %</w:t>
            </w:r>
          </w:p>
        </w:tc>
        <w:tc>
          <w:tcPr>
            <w:tcW w:w="2501" w:type="dxa"/>
            <w:tcBorders>
              <w:top w:val="nil"/>
              <w:left w:val="nil"/>
              <w:bottom w:val="single" w:sz="4" w:space="0" w:color="auto"/>
              <w:right w:val="nil"/>
            </w:tcBorders>
            <w:shd w:val="clear" w:color="auto" w:fill="auto"/>
            <w:noWrap/>
            <w:vAlign w:val="center"/>
            <w:hideMark/>
          </w:tcPr>
          <w:p w14:paraId="41D43089" w14:textId="2B15EA5B"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+6,1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72DC91F" w14:textId="77777777" w:rsidTr="00991849">
        <w:trPr>
          <w:trHeight w:val="315"/>
        </w:trPr>
        <w:tc>
          <w:tcPr>
            <w:tcW w:w="2796" w:type="dxa"/>
            <w:tcBorders>
              <w:top w:val="nil"/>
              <w:left w:val="nil"/>
              <w:bottom w:val="single" w:sz="4" w:space="0" w:color="auto"/>
              <w:right w:val="nil"/>
            </w:tcBorders>
            <w:shd w:val="clear" w:color="auto" w:fill="auto"/>
            <w:noWrap/>
            <w:vAlign w:val="bottom"/>
            <w:hideMark/>
          </w:tcPr>
          <w:p w14:paraId="10E248CA"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KS Hr. Králové</w:t>
            </w:r>
          </w:p>
        </w:tc>
        <w:tc>
          <w:tcPr>
            <w:tcW w:w="1715" w:type="dxa"/>
            <w:tcBorders>
              <w:top w:val="nil"/>
              <w:left w:val="nil"/>
              <w:bottom w:val="single" w:sz="4" w:space="0" w:color="auto"/>
              <w:right w:val="nil"/>
            </w:tcBorders>
            <w:shd w:val="clear" w:color="auto" w:fill="auto"/>
            <w:noWrap/>
            <w:vAlign w:val="bottom"/>
            <w:hideMark/>
          </w:tcPr>
          <w:p w14:paraId="540F1A57" w14:textId="32EC53FE"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30</w:t>
            </w:r>
            <w:r w:rsidR="00DB7553" w:rsidRPr="00A00187">
              <w:rPr>
                <w:rFonts w:eastAsia="Times New Roman"/>
                <w:szCs w:val="24"/>
                <w:lang w:eastAsia="cs-CZ"/>
              </w:rPr>
              <w:t>,</w:t>
            </w:r>
            <w:r w:rsidRPr="00A00187">
              <w:rPr>
                <w:rFonts w:eastAsia="Times New Roman"/>
                <w:szCs w:val="24"/>
                <w:lang w:eastAsia="cs-CZ"/>
              </w:rPr>
              <w:t>93</w:t>
            </w:r>
            <w:r w:rsidR="00CB570A">
              <w:rPr>
                <w:rFonts w:eastAsia="Times New Roman"/>
                <w:szCs w:val="24"/>
                <w:lang w:eastAsia="cs-CZ"/>
              </w:rPr>
              <w:t> %</w:t>
            </w:r>
          </w:p>
        </w:tc>
        <w:tc>
          <w:tcPr>
            <w:tcW w:w="2501" w:type="dxa"/>
            <w:tcBorders>
              <w:top w:val="nil"/>
              <w:left w:val="nil"/>
              <w:bottom w:val="single" w:sz="4" w:space="0" w:color="auto"/>
              <w:right w:val="nil"/>
            </w:tcBorders>
            <w:shd w:val="clear" w:color="auto" w:fill="auto"/>
            <w:noWrap/>
            <w:vAlign w:val="center"/>
            <w:hideMark/>
          </w:tcPr>
          <w:p w14:paraId="627254D8" w14:textId="77670F2B"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+2,7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A3EB04B" w14:textId="77777777" w:rsidTr="00991849">
        <w:trPr>
          <w:trHeight w:val="315"/>
        </w:trPr>
        <w:tc>
          <w:tcPr>
            <w:tcW w:w="2796" w:type="dxa"/>
            <w:tcBorders>
              <w:top w:val="nil"/>
              <w:left w:val="nil"/>
              <w:bottom w:val="single" w:sz="4" w:space="0" w:color="auto"/>
              <w:right w:val="nil"/>
            </w:tcBorders>
            <w:shd w:val="clear" w:color="auto" w:fill="auto"/>
            <w:noWrap/>
            <w:vAlign w:val="bottom"/>
            <w:hideMark/>
          </w:tcPr>
          <w:p w14:paraId="12897E42"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KS Brno</w:t>
            </w:r>
          </w:p>
        </w:tc>
        <w:tc>
          <w:tcPr>
            <w:tcW w:w="1715" w:type="dxa"/>
            <w:tcBorders>
              <w:top w:val="nil"/>
              <w:left w:val="nil"/>
              <w:bottom w:val="single" w:sz="4" w:space="0" w:color="auto"/>
              <w:right w:val="nil"/>
            </w:tcBorders>
            <w:shd w:val="clear" w:color="auto" w:fill="auto"/>
            <w:noWrap/>
            <w:vAlign w:val="bottom"/>
            <w:hideMark/>
          </w:tcPr>
          <w:p w14:paraId="3FBD7534" w14:textId="6A79F5BA"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33</w:t>
            </w:r>
            <w:r w:rsidR="00DB7553" w:rsidRPr="00A00187">
              <w:rPr>
                <w:rFonts w:eastAsia="Times New Roman"/>
                <w:szCs w:val="24"/>
                <w:lang w:eastAsia="cs-CZ"/>
              </w:rPr>
              <w:t>,</w:t>
            </w:r>
            <w:r w:rsidRPr="00A00187">
              <w:rPr>
                <w:rFonts w:eastAsia="Times New Roman"/>
                <w:szCs w:val="24"/>
                <w:lang w:eastAsia="cs-CZ"/>
              </w:rPr>
              <w:t>67</w:t>
            </w:r>
            <w:r w:rsidR="00CB570A">
              <w:rPr>
                <w:rFonts w:eastAsia="Times New Roman"/>
                <w:szCs w:val="24"/>
                <w:lang w:eastAsia="cs-CZ"/>
              </w:rPr>
              <w:t> %</w:t>
            </w:r>
          </w:p>
        </w:tc>
        <w:tc>
          <w:tcPr>
            <w:tcW w:w="2501" w:type="dxa"/>
            <w:tcBorders>
              <w:top w:val="nil"/>
              <w:left w:val="nil"/>
              <w:bottom w:val="single" w:sz="4" w:space="0" w:color="auto"/>
              <w:right w:val="nil"/>
            </w:tcBorders>
            <w:shd w:val="clear" w:color="auto" w:fill="auto"/>
            <w:noWrap/>
            <w:vAlign w:val="center"/>
            <w:hideMark/>
          </w:tcPr>
          <w:p w14:paraId="624633D0" w14:textId="58401B16"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+6,3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735598A" w14:textId="77777777" w:rsidTr="00991849">
        <w:trPr>
          <w:trHeight w:val="330"/>
        </w:trPr>
        <w:tc>
          <w:tcPr>
            <w:tcW w:w="2796" w:type="dxa"/>
            <w:tcBorders>
              <w:top w:val="nil"/>
              <w:left w:val="nil"/>
              <w:bottom w:val="double" w:sz="6" w:space="0" w:color="auto"/>
              <w:right w:val="nil"/>
            </w:tcBorders>
            <w:shd w:val="clear" w:color="auto" w:fill="auto"/>
            <w:noWrap/>
            <w:vAlign w:val="bottom"/>
            <w:hideMark/>
          </w:tcPr>
          <w:p w14:paraId="11FDFF25" w14:textId="77777777" w:rsidR="00991849" w:rsidRPr="00A00187" w:rsidRDefault="00991849" w:rsidP="00991849">
            <w:pPr>
              <w:spacing w:line="240" w:lineRule="auto"/>
              <w:jc w:val="left"/>
              <w:rPr>
                <w:rFonts w:eastAsia="Times New Roman"/>
                <w:szCs w:val="24"/>
                <w:lang w:eastAsia="cs-CZ"/>
              </w:rPr>
            </w:pPr>
            <w:r w:rsidRPr="00A00187">
              <w:rPr>
                <w:rFonts w:eastAsia="Times New Roman"/>
                <w:szCs w:val="24"/>
                <w:lang w:eastAsia="cs-CZ"/>
              </w:rPr>
              <w:t>KS Ostrava</w:t>
            </w:r>
          </w:p>
        </w:tc>
        <w:tc>
          <w:tcPr>
            <w:tcW w:w="1715" w:type="dxa"/>
            <w:tcBorders>
              <w:top w:val="nil"/>
              <w:left w:val="nil"/>
              <w:bottom w:val="double" w:sz="6" w:space="0" w:color="auto"/>
              <w:right w:val="nil"/>
            </w:tcBorders>
            <w:shd w:val="clear" w:color="auto" w:fill="auto"/>
            <w:noWrap/>
            <w:vAlign w:val="bottom"/>
            <w:hideMark/>
          </w:tcPr>
          <w:p w14:paraId="5831F65F" w14:textId="74F44950" w:rsidR="00991849" w:rsidRPr="00A00187" w:rsidRDefault="00991849" w:rsidP="00991849">
            <w:pPr>
              <w:spacing w:line="240" w:lineRule="auto"/>
              <w:jc w:val="center"/>
              <w:rPr>
                <w:rFonts w:eastAsia="Times New Roman"/>
                <w:szCs w:val="24"/>
                <w:lang w:eastAsia="cs-CZ"/>
              </w:rPr>
            </w:pPr>
            <w:r w:rsidRPr="00A00187">
              <w:rPr>
                <w:rFonts w:eastAsia="Times New Roman"/>
                <w:szCs w:val="24"/>
                <w:lang w:eastAsia="cs-CZ"/>
              </w:rPr>
              <w:t>45</w:t>
            </w:r>
            <w:r w:rsidR="00DB7553" w:rsidRPr="00A00187">
              <w:rPr>
                <w:rFonts w:eastAsia="Times New Roman"/>
                <w:szCs w:val="24"/>
                <w:lang w:eastAsia="cs-CZ"/>
              </w:rPr>
              <w:t>,</w:t>
            </w:r>
            <w:r w:rsidRPr="00A00187">
              <w:rPr>
                <w:rFonts w:eastAsia="Times New Roman"/>
                <w:szCs w:val="24"/>
                <w:lang w:eastAsia="cs-CZ"/>
              </w:rPr>
              <w:t>18</w:t>
            </w:r>
            <w:r w:rsidR="00CB570A">
              <w:rPr>
                <w:rFonts w:eastAsia="Times New Roman"/>
                <w:szCs w:val="24"/>
                <w:lang w:eastAsia="cs-CZ"/>
              </w:rPr>
              <w:t> %</w:t>
            </w:r>
          </w:p>
        </w:tc>
        <w:tc>
          <w:tcPr>
            <w:tcW w:w="2501" w:type="dxa"/>
            <w:tcBorders>
              <w:top w:val="nil"/>
              <w:left w:val="nil"/>
              <w:bottom w:val="double" w:sz="6" w:space="0" w:color="auto"/>
              <w:right w:val="nil"/>
            </w:tcBorders>
            <w:shd w:val="clear" w:color="auto" w:fill="auto"/>
            <w:noWrap/>
            <w:vAlign w:val="center"/>
            <w:hideMark/>
          </w:tcPr>
          <w:p w14:paraId="0FC582BE" w14:textId="1A3F305F" w:rsidR="00991849" w:rsidRPr="00A00187" w:rsidRDefault="00991849" w:rsidP="00991849">
            <w:pPr>
              <w:spacing w:line="240" w:lineRule="auto"/>
              <w:jc w:val="center"/>
              <w:rPr>
                <w:rFonts w:eastAsia="Times New Roman"/>
                <w:sz w:val="20"/>
                <w:szCs w:val="20"/>
                <w:lang w:eastAsia="cs-CZ"/>
              </w:rPr>
            </w:pPr>
            <w:r w:rsidRPr="00A00187">
              <w:rPr>
                <w:rFonts w:eastAsia="Times New Roman"/>
                <w:sz w:val="20"/>
                <w:szCs w:val="20"/>
                <w:lang w:eastAsia="cs-CZ"/>
              </w:rPr>
              <w:t xml:space="preserve">+0,0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478F270" w14:textId="77777777" w:rsidTr="00991849">
        <w:trPr>
          <w:trHeight w:val="345"/>
        </w:trPr>
        <w:tc>
          <w:tcPr>
            <w:tcW w:w="2796" w:type="dxa"/>
            <w:tcBorders>
              <w:top w:val="nil"/>
              <w:left w:val="nil"/>
              <w:bottom w:val="double" w:sz="6" w:space="0" w:color="auto"/>
              <w:right w:val="nil"/>
            </w:tcBorders>
            <w:shd w:val="clear" w:color="auto" w:fill="auto"/>
            <w:noWrap/>
            <w:vAlign w:val="bottom"/>
            <w:hideMark/>
          </w:tcPr>
          <w:p w14:paraId="44B8C48C" w14:textId="77777777" w:rsidR="00991849" w:rsidRPr="00A00187" w:rsidRDefault="00991849" w:rsidP="00991849">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715" w:type="dxa"/>
            <w:tcBorders>
              <w:top w:val="nil"/>
              <w:left w:val="nil"/>
              <w:bottom w:val="double" w:sz="6" w:space="0" w:color="auto"/>
              <w:right w:val="nil"/>
            </w:tcBorders>
            <w:shd w:val="clear" w:color="auto" w:fill="auto"/>
            <w:noWrap/>
            <w:vAlign w:val="bottom"/>
            <w:hideMark/>
          </w:tcPr>
          <w:p w14:paraId="7F58F849" w14:textId="49606B02" w:rsidR="00991849" w:rsidRPr="00A00187" w:rsidRDefault="00991849" w:rsidP="00991849">
            <w:pPr>
              <w:spacing w:line="240" w:lineRule="auto"/>
              <w:jc w:val="center"/>
              <w:rPr>
                <w:rFonts w:eastAsia="Times New Roman"/>
                <w:b/>
                <w:bCs/>
                <w:szCs w:val="24"/>
                <w:lang w:eastAsia="cs-CZ"/>
              </w:rPr>
            </w:pPr>
            <w:r w:rsidRPr="00A00187">
              <w:rPr>
                <w:rFonts w:eastAsia="Times New Roman"/>
                <w:b/>
                <w:bCs/>
                <w:szCs w:val="24"/>
                <w:lang w:eastAsia="cs-CZ"/>
              </w:rPr>
              <w:t>44</w:t>
            </w:r>
            <w:r w:rsidR="00DB7553" w:rsidRPr="00A00187">
              <w:rPr>
                <w:rFonts w:eastAsia="Times New Roman"/>
                <w:b/>
                <w:bCs/>
                <w:szCs w:val="24"/>
                <w:lang w:eastAsia="cs-CZ"/>
              </w:rPr>
              <w:t>,</w:t>
            </w:r>
            <w:r w:rsidRPr="00A00187">
              <w:rPr>
                <w:rFonts w:eastAsia="Times New Roman"/>
                <w:b/>
                <w:bCs/>
                <w:szCs w:val="24"/>
                <w:lang w:eastAsia="cs-CZ"/>
              </w:rPr>
              <w:t>07</w:t>
            </w:r>
            <w:r w:rsidR="00CB570A">
              <w:rPr>
                <w:rFonts w:eastAsia="Times New Roman"/>
                <w:b/>
                <w:bCs/>
                <w:szCs w:val="24"/>
                <w:lang w:eastAsia="cs-CZ"/>
              </w:rPr>
              <w:t> %</w:t>
            </w:r>
          </w:p>
        </w:tc>
        <w:tc>
          <w:tcPr>
            <w:tcW w:w="2501" w:type="dxa"/>
            <w:tcBorders>
              <w:top w:val="nil"/>
              <w:left w:val="nil"/>
              <w:bottom w:val="double" w:sz="6" w:space="0" w:color="auto"/>
              <w:right w:val="nil"/>
            </w:tcBorders>
            <w:shd w:val="clear" w:color="auto" w:fill="auto"/>
            <w:noWrap/>
            <w:vAlign w:val="center"/>
            <w:hideMark/>
          </w:tcPr>
          <w:p w14:paraId="133A0906" w14:textId="0642D5EC" w:rsidR="00991849" w:rsidRPr="00A00187" w:rsidRDefault="00991849" w:rsidP="00991849">
            <w:pPr>
              <w:spacing w:line="240" w:lineRule="auto"/>
              <w:jc w:val="center"/>
              <w:rPr>
                <w:rFonts w:eastAsia="Times New Roman"/>
                <w:b/>
                <w:bCs/>
                <w:sz w:val="20"/>
                <w:szCs w:val="20"/>
                <w:lang w:eastAsia="cs-CZ"/>
              </w:rPr>
            </w:pPr>
            <w:r w:rsidRPr="00A00187">
              <w:rPr>
                <w:rFonts w:eastAsia="Times New Roman"/>
                <w:b/>
                <w:bCs/>
                <w:sz w:val="20"/>
                <w:szCs w:val="20"/>
                <w:lang w:eastAsia="cs-CZ"/>
              </w:rPr>
              <w:t xml:space="preserve">+3,4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C1E67" w:rsidRPr="00A00187" w14:paraId="5775C745" w14:textId="77777777" w:rsidTr="00991849">
        <w:trPr>
          <w:trHeight w:val="330"/>
        </w:trPr>
        <w:tc>
          <w:tcPr>
            <w:tcW w:w="2796" w:type="dxa"/>
            <w:tcBorders>
              <w:top w:val="nil"/>
              <w:left w:val="nil"/>
              <w:bottom w:val="nil"/>
              <w:right w:val="nil"/>
            </w:tcBorders>
            <w:shd w:val="clear" w:color="auto" w:fill="auto"/>
            <w:noWrap/>
            <w:vAlign w:val="bottom"/>
            <w:hideMark/>
          </w:tcPr>
          <w:p w14:paraId="1EF98290" w14:textId="77777777" w:rsidR="00991849" w:rsidRPr="00A00187" w:rsidRDefault="00991849" w:rsidP="00991849">
            <w:pPr>
              <w:spacing w:line="240" w:lineRule="auto"/>
              <w:jc w:val="right"/>
              <w:rPr>
                <w:rFonts w:eastAsia="Times New Roman"/>
                <w:b/>
                <w:bCs/>
                <w:sz w:val="20"/>
                <w:szCs w:val="20"/>
                <w:lang w:eastAsia="cs-CZ"/>
              </w:rPr>
            </w:pPr>
          </w:p>
        </w:tc>
        <w:tc>
          <w:tcPr>
            <w:tcW w:w="1715" w:type="dxa"/>
            <w:tcBorders>
              <w:top w:val="nil"/>
              <w:left w:val="nil"/>
              <w:bottom w:val="nil"/>
              <w:right w:val="nil"/>
            </w:tcBorders>
            <w:shd w:val="clear" w:color="auto" w:fill="auto"/>
            <w:noWrap/>
            <w:vAlign w:val="bottom"/>
            <w:hideMark/>
          </w:tcPr>
          <w:p w14:paraId="651299EA" w14:textId="77777777" w:rsidR="00991849" w:rsidRPr="00A00187" w:rsidRDefault="00991849" w:rsidP="00991849">
            <w:pPr>
              <w:spacing w:line="240" w:lineRule="auto"/>
              <w:jc w:val="left"/>
              <w:rPr>
                <w:rFonts w:ascii="Times New Roman" w:eastAsia="Times New Roman" w:hAnsi="Times New Roman"/>
                <w:sz w:val="20"/>
                <w:szCs w:val="20"/>
                <w:lang w:eastAsia="cs-CZ"/>
              </w:rPr>
            </w:pPr>
          </w:p>
        </w:tc>
        <w:tc>
          <w:tcPr>
            <w:tcW w:w="2501" w:type="dxa"/>
            <w:tcBorders>
              <w:top w:val="nil"/>
              <w:left w:val="nil"/>
              <w:bottom w:val="nil"/>
              <w:right w:val="nil"/>
            </w:tcBorders>
            <w:shd w:val="clear" w:color="auto" w:fill="auto"/>
            <w:noWrap/>
            <w:vAlign w:val="bottom"/>
            <w:hideMark/>
          </w:tcPr>
          <w:p w14:paraId="15A78A6A" w14:textId="77777777" w:rsidR="00991849" w:rsidRPr="00A00187" w:rsidRDefault="00991849" w:rsidP="00991849">
            <w:pPr>
              <w:spacing w:line="240" w:lineRule="auto"/>
              <w:jc w:val="left"/>
              <w:rPr>
                <w:rFonts w:ascii="Times New Roman" w:eastAsia="Times New Roman" w:hAnsi="Times New Roman"/>
                <w:sz w:val="20"/>
                <w:szCs w:val="20"/>
                <w:lang w:eastAsia="cs-CZ"/>
              </w:rPr>
            </w:pPr>
          </w:p>
        </w:tc>
      </w:tr>
    </w:tbl>
    <w:p w14:paraId="4AF798E9" w14:textId="77777777" w:rsidR="00CB570A" w:rsidRDefault="00902931" w:rsidP="00875416">
      <w:pPr>
        <w:pStyle w:val="OdstavecASR"/>
      </w:pPr>
      <w:r w:rsidRPr="00A00187">
        <w:t xml:space="preserve">Jak vidíme, celkem za ČR se míra změny rozsudku oproti roku 2020 zvýšila. Nejnižší byla </w:t>
      </w:r>
      <w:r w:rsidR="00875416" w:rsidRPr="00A00187">
        <w:t>ve Východočeském kraji</w:t>
      </w:r>
      <w:r w:rsidRPr="00A00187">
        <w:t xml:space="preserve">, nejvyšší </w:t>
      </w:r>
      <w:r w:rsidR="00875416" w:rsidRPr="00A00187">
        <w:t>zůstává v Severočeském a Západočeském kraji.</w:t>
      </w:r>
    </w:p>
    <w:p w14:paraId="4146A5DF" w14:textId="6D644BE7" w:rsidR="00875416" w:rsidRPr="00A00187" w:rsidRDefault="00875416" w:rsidP="00875416">
      <w:pPr>
        <w:pStyle w:val="OdstavecASR"/>
      </w:pPr>
      <w:r w:rsidRPr="00A00187">
        <w:t xml:space="preserve">Z okresních soudů </w:t>
      </w:r>
      <w:r w:rsidR="00902931" w:rsidRPr="00A00187">
        <w:t xml:space="preserve">má </w:t>
      </w:r>
      <w:r w:rsidRPr="00A00187">
        <w:t xml:space="preserve">nejnižší míru změny rozsudku OS </w:t>
      </w:r>
      <w:r w:rsidR="00E43FA2" w:rsidRPr="00A00187">
        <w:t>Semily, který vykázal míru změny rozsudku 0</w:t>
      </w:r>
      <w:r w:rsidR="00CB570A">
        <w:t> %</w:t>
      </w:r>
      <w:r w:rsidR="003C3F9C" w:rsidRPr="00A00187">
        <w:t>;</w:t>
      </w:r>
      <w:r w:rsidR="00E43FA2" w:rsidRPr="00A00187">
        <w:t xml:space="preserve"> nadřízený soud </w:t>
      </w:r>
      <w:r w:rsidR="003C3F9C" w:rsidRPr="00A00187">
        <w:t xml:space="preserve">tedy </w:t>
      </w:r>
      <w:r w:rsidR="00E43FA2" w:rsidRPr="00A00187">
        <w:t xml:space="preserve">v roce 2021 </w:t>
      </w:r>
      <w:r w:rsidR="00ED3662" w:rsidRPr="00A00187">
        <w:t>nezměnil</w:t>
      </w:r>
      <w:r w:rsidR="00E43FA2" w:rsidRPr="00A00187">
        <w:t xml:space="preserve"> žádný rozsudek. </w:t>
      </w:r>
      <w:r w:rsidR="003C3F9C" w:rsidRPr="00A00187">
        <w:t>Následují</w:t>
      </w:r>
      <w:r w:rsidRPr="00A00187">
        <w:t xml:space="preserve"> </w:t>
      </w:r>
      <w:r w:rsidR="00E43FA2" w:rsidRPr="00A00187">
        <w:t>OS Prostějov</w:t>
      </w:r>
      <w:r w:rsidRPr="00A00187">
        <w:t xml:space="preserve"> (15</w:t>
      </w:r>
      <w:r w:rsidR="00CB570A">
        <w:t> %</w:t>
      </w:r>
      <w:r w:rsidRPr="00A00187">
        <w:t>) a OS </w:t>
      </w:r>
      <w:r w:rsidR="00E43FA2" w:rsidRPr="00A00187">
        <w:t>Pardubice</w:t>
      </w:r>
      <w:r w:rsidRPr="00A00187">
        <w:t xml:space="preserve"> (1</w:t>
      </w:r>
      <w:r w:rsidR="00E43FA2" w:rsidRPr="00A00187">
        <w:t>6</w:t>
      </w:r>
      <w:r w:rsidRPr="00A00187">
        <w:t>,</w:t>
      </w:r>
      <w:r w:rsidR="00E43FA2" w:rsidRPr="00A00187">
        <w:t>13</w:t>
      </w:r>
      <w:r w:rsidR="00CB570A">
        <w:t> %</w:t>
      </w:r>
      <w:r w:rsidRPr="00A00187">
        <w:t xml:space="preserve">). </w:t>
      </w:r>
      <w:r w:rsidR="00ED3662" w:rsidRPr="00A00187">
        <w:t>Na druhém konci se nacházejí OS Tachov (80,27</w:t>
      </w:r>
      <w:r w:rsidR="00CB570A">
        <w:t> %</w:t>
      </w:r>
      <w:r w:rsidR="00ED3662" w:rsidRPr="00A00187">
        <w:t>), OS</w:t>
      </w:r>
      <w:r w:rsidR="007529B9" w:rsidRPr="00A00187">
        <w:t> Litoměřice (75,86</w:t>
      </w:r>
      <w:r w:rsidR="00CB570A">
        <w:t> %</w:t>
      </w:r>
      <w:r w:rsidR="007529B9" w:rsidRPr="00A00187">
        <w:t xml:space="preserve">) </w:t>
      </w:r>
      <w:r w:rsidR="00726EC3" w:rsidRPr="00A00187">
        <w:t>a</w:t>
      </w:r>
      <w:r w:rsidR="00726EC3">
        <w:t> </w:t>
      </w:r>
      <w:r w:rsidR="00ED3662" w:rsidRPr="00A00187">
        <w:t>OS Jablonec nad Nisou (73,52</w:t>
      </w:r>
      <w:r w:rsidR="00CB570A">
        <w:t> %</w:t>
      </w:r>
      <w:r w:rsidR="00ED3662" w:rsidRPr="00A00187">
        <w:t>).</w:t>
      </w:r>
    </w:p>
    <w:p w14:paraId="46655410" w14:textId="6CD794EC" w:rsidR="00D96E87" w:rsidRPr="00A00187" w:rsidRDefault="00D96E87" w:rsidP="00D96E87">
      <w:pPr>
        <w:pStyle w:val="Podnadpis"/>
        <w:rPr>
          <w:color w:val="auto"/>
        </w:rPr>
      </w:pPr>
      <w:bookmarkStart w:id="376" w:name="_Toc515871362"/>
      <w:bookmarkStart w:id="377" w:name="_Toc11135096"/>
      <w:bookmarkStart w:id="378" w:name="_Toc43841410"/>
      <w:bookmarkStart w:id="379" w:name="_Toc75952213"/>
      <w:bookmarkStart w:id="380" w:name="_Toc106106665"/>
      <w:bookmarkStart w:id="381" w:name="_Toc109801989"/>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31</w:t>
      </w:r>
      <w:r w:rsidRPr="00A00187">
        <w:rPr>
          <w:noProof/>
          <w:color w:val="auto"/>
        </w:rPr>
        <w:fldChar w:fldCharType="end"/>
      </w:r>
      <w:r w:rsidRPr="00A00187">
        <w:rPr>
          <w:color w:val="auto"/>
        </w:rPr>
        <w:t>: OS – míra změny rozsudku u jednotlivých soudů v trestním řízení</w:t>
      </w:r>
      <w:bookmarkEnd w:id="376"/>
      <w:bookmarkEnd w:id="377"/>
      <w:bookmarkEnd w:id="378"/>
      <w:bookmarkEnd w:id="379"/>
      <w:bookmarkEnd w:id="380"/>
      <w:bookmarkEnd w:id="381"/>
    </w:p>
    <w:p w14:paraId="19678E4D" w14:textId="76408EAE" w:rsidR="00991849" w:rsidRPr="00A00187" w:rsidRDefault="00F64D11" w:rsidP="00991849">
      <w:pPr>
        <w:pStyle w:val="OdstavecASR"/>
      </w:pPr>
      <w:r w:rsidRPr="00A00187">
        <w:rPr>
          <w:noProof/>
        </w:rPr>
        <w:drawing>
          <wp:anchor distT="0" distB="0" distL="114300" distR="114300" simplePos="0" relativeHeight="251680768" behindDoc="0" locked="0" layoutInCell="1" allowOverlap="1" wp14:anchorId="25AE8F7D" wp14:editId="475D6F38">
            <wp:simplePos x="0" y="0"/>
            <wp:positionH relativeFrom="margin">
              <wp:align>right</wp:align>
            </wp:positionH>
            <wp:positionV relativeFrom="paragraph">
              <wp:posOffset>52070</wp:posOffset>
            </wp:positionV>
            <wp:extent cx="1238400" cy="900000"/>
            <wp:effectExtent l="0" t="0" r="0" b="0"/>
            <wp:wrapNone/>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35BE" w:rsidRPr="00A00187">
        <w:rPr>
          <w:noProof/>
        </w:rPr>
        <w:drawing>
          <wp:inline distT="0" distB="0" distL="0" distR="0" wp14:anchorId="6C59C1D6" wp14:editId="5146D248">
            <wp:extent cx="5759450" cy="3296285"/>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63BCFB00" w14:textId="7382C98E" w:rsidR="00CB441C" w:rsidRPr="00A00187" w:rsidRDefault="00CB441C" w:rsidP="00CB441C">
      <w:pPr>
        <w:pStyle w:val="OdstavecASR"/>
      </w:pPr>
      <w:r w:rsidRPr="00A00187">
        <w:t xml:space="preserve">Nakonec ještě krátce porovnáme rok 2021 s roky předešlými pomocí ukazatele Míra celkové změny rozsudku </w:t>
      </w:r>
      <w:r w:rsidR="0003012E" w:rsidRPr="00A00187">
        <w:t xml:space="preserve">za ČR </w:t>
      </w:r>
      <w:r w:rsidRPr="00A00187">
        <w:t>(nezaměňovat s ukazatelem Míra změny rozsudku, viz definice).</w:t>
      </w:r>
    </w:p>
    <w:p w14:paraId="63F61619" w14:textId="77C29B59" w:rsidR="00CB441C" w:rsidRPr="00A00187" w:rsidRDefault="00CB441C" w:rsidP="00CB441C">
      <w:pPr>
        <w:pStyle w:val="OdstavecASR"/>
        <w:spacing w:after="0"/>
      </w:pPr>
      <w:r w:rsidRPr="00A00187">
        <w:t>2016 = 10,15</w:t>
      </w:r>
      <w:r w:rsidR="00CB570A">
        <w:t> %</w:t>
      </w:r>
      <w:r w:rsidRPr="00A00187">
        <w:tab/>
      </w:r>
      <w:r w:rsidRPr="00A00187">
        <w:tab/>
        <w:t>(25,76</w:t>
      </w:r>
      <w:r w:rsidR="00CB570A">
        <w:t> %</w:t>
      </w:r>
      <w:r w:rsidRPr="00A00187">
        <w:t> × 39,40</w:t>
      </w:r>
      <w:r w:rsidR="00CB570A">
        <w:t> %</w:t>
      </w:r>
      <w:r w:rsidRPr="00A00187">
        <w:t>)</w:t>
      </w:r>
    </w:p>
    <w:p w14:paraId="72BABAE2" w14:textId="7297924A" w:rsidR="00CB441C" w:rsidRPr="00A00187" w:rsidRDefault="00CB441C" w:rsidP="00CB441C">
      <w:pPr>
        <w:pStyle w:val="OdstavecASR"/>
        <w:spacing w:after="0"/>
      </w:pPr>
      <w:r w:rsidRPr="00A00187">
        <w:t>2017 = 10,29</w:t>
      </w:r>
      <w:r w:rsidR="00CB570A">
        <w:t> %</w:t>
      </w:r>
      <w:r w:rsidRPr="00A00187">
        <w:tab/>
      </w:r>
      <w:r w:rsidRPr="00A00187">
        <w:tab/>
        <w:t>(24,39</w:t>
      </w:r>
      <w:r w:rsidR="00CB570A">
        <w:t> %</w:t>
      </w:r>
      <w:r w:rsidRPr="00A00187">
        <w:t> × 42,18</w:t>
      </w:r>
      <w:r w:rsidR="00CB570A">
        <w:t> %</w:t>
      </w:r>
      <w:r w:rsidRPr="00A00187">
        <w:t>)</w:t>
      </w:r>
    </w:p>
    <w:p w14:paraId="00A06F56" w14:textId="495C8218" w:rsidR="00CB441C" w:rsidRPr="00A00187" w:rsidRDefault="00CB441C" w:rsidP="00CB441C">
      <w:pPr>
        <w:pStyle w:val="OdstavecASR"/>
        <w:spacing w:after="0"/>
      </w:pPr>
      <w:r w:rsidRPr="00A00187">
        <w:t>2018 = 10,61</w:t>
      </w:r>
      <w:r w:rsidR="00CB570A">
        <w:t> %</w:t>
      </w:r>
      <w:r w:rsidRPr="00A00187">
        <w:tab/>
      </w:r>
      <w:r w:rsidRPr="00A00187">
        <w:tab/>
        <w:t>(25,13</w:t>
      </w:r>
      <w:r w:rsidR="00CB570A">
        <w:t> %</w:t>
      </w:r>
      <w:r w:rsidRPr="00A00187">
        <w:t> × 42,22</w:t>
      </w:r>
      <w:r w:rsidR="00CB570A">
        <w:t> %</w:t>
      </w:r>
      <w:r w:rsidRPr="00A00187">
        <w:t>)</w:t>
      </w:r>
    </w:p>
    <w:p w14:paraId="25DBD3D7" w14:textId="0C69E969" w:rsidR="00CB441C" w:rsidRPr="00A00187" w:rsidRDefault="00CB441C" w:rsidP="00CB441C">
      <w:pPr>
        <w:pStyle w:val="OdstavecASR"/>
        <w:spacing w:after="0"/>
      </w:pPr>
      <w:r w:rsidRPr="00A00187">
        <w:t>2019 = 9,97</w:t>
      </w:r>
      <w:r w:rsidR="00CB570A">
        <w:t> %</w:t>
      </w:r>
      <w:r w:rsidRPr="00A00187">
        <w:tab/>
      </w:r>
      <w:r w:rsidRPr="00A00187">
        <w:tab/>
      </w:r>
      <w:r w:rsidRPr="00A00187">
        <w:tab/>
        <w:t>(24,62</w:t>
      </w:r>
      <w:r w:rsidR="00CB570A">
        <w:t> %</w:t>
      </w:r>
      <w:r w:rsidRPr="00A00187">
        <w:t> × 40,48</w:t>
      </w:r>
      <w:r w:rsidR="00CB570A">
        <w:t> %</w:t>
      </w:r>
      <w:r w:rsidRPr="00A00187">
        <w:t>)</w:t>
      </w:r>
    </w:p>
    <w:p w14:paraId="7D5AAF47" w14:textId="745A300E" w:rsidR="00CB441C" w:rsidRPr="00A00187" w:rsidRDefault="00CB441C" w:rsidP="00CB441C">
      <w:pPr>
        <w:pStyle w:val="OdstavecASR"/>
        <w:spacing w:after="0"/>
      </w:pPr>
      <w:r w:rsidRPr="00A00187">
        <w:t>2020 = 10,02</w:t>
      </w:r>
      <w:r w:rsidR="00CB570A">
        <w:t> %</w:t>
      </w:r>
      <w:r w:rsidRPr="00A00187">
        <w:tab/>
      </w:r>
      <w:r w:rsidRPr="00A00187">
        <w:tab/>
        <w:t>(24,64</w:t>
      </w:r>
      <w:r w:rsidR="00CB570A">
        <w:t> %</w:t>
      </w:r>
      <w:r w:rsidRPr="00A00187">
        <w:t xml:space="preserve"> × 40,67</w:t>
      </w:r>
      <w:r w:rsidR="00CB570A">
        <w:t> %</w:t>
      </w:r>
      <w:r w:rsidRPr="00A00187">
        <w:t>)</w:t>
      </w:r>
    </w:p>
    <w:p w14:paraId="1DFFA893" w14:textId="6B46FE0E" w:rsidR="00CB441C" w:rsidRPr="00A00187" w:rsidRDefault="00CB441C" w:rsidP="00CB441C">
      <w:pPr>
        <w:pStyle w:val="OdstavecASR"/>
        <w:spacing w:after="0"/>
      </w:pPr>
      <w:r w:rsidRPr="00A00187">
        <w:t>2021 = 10,22</w:t>
      </w:r>
      <w:r w:rsidR="00CB570A">
        <w:t> %</w:t>
      </w:r>
      <w:r w:rsidRPr="00A00187">
        <w:tab/>
      </w:r>
      <w:r w:rsidRPr="00A00187">
        <w:tab/>
        <w:t>(23,18</w:t>
      </w:r>
      <w:r w:rsidR="00CB570A">
        <w:t> %</w:t>
      </w:r>
      <w:r w:rsidRPr="00A00187">
        <w:t xml:space="preserve"> × 44,07</w:t>
      </w:r>
      <w:r w:rsidR="00CB570A">
        <w:t> %</w:t>
      </w:r>
      <w:r w:rsidRPr="00A00187">
        <w:t>)</w:t>
      </w:r>
    </w:p>
    <w:p w14:paraId="1B0329C6" w14:textId="6AE48432" w:rsidR="00CB441C" w:rsidRPr="00A00187" w:rsidRDefault="00CB441C" w:rsidP="00CB441C">
      <w:pPr>
        <w:pStyle w:val="OdstavecASR"/>
      </w:pPr>
      <w:r w:rsidRPr="00A00187">
        <w:t xml:space="preserve">Vidíme tedy, že </w:t>
      </w:r>
      <w:r w:rsidR="007F228A">
        <w:t xml:space="preserve">míra celkové změny rozsudku dlouhodobě kolísá kolem hodnoty 10 %, zatímco </w:t>
      </w:r>
      <w:r w:rsidRPr="00A00187">
        <w:t xml:space="preserve">míra změny rozsudku </w:t>
      </w:r>
      <w:r w:rsidR="00C00BFD" w:rsidRPr="00A00187">
        <w:t>okolo hodnoty 40</w:t>
      </w:r>
      <w:r w:rsidR="00CB570A">
        <w:t> %</w:t>
      </w:r>
      <w:r w:rsidR="00ED104F" w:rsidRPr="00A00187">
        <w:t>.</w:t>
      </w:r>
    </w:p>
    <w:p w14:paraId="10AD61C6" w14:textId="77777777" w:rsidR="00D964DD" w:rsidRPr="00A00187" w:rsidRDefault="00D964DD" w:rsidP="007F73C9">
      <w:pPr>
        <w:pStyle w:val="OdstavecASR"/>
        <w:keepNext/>
        <w:outlineLvl w:val="3"/>
        <w:rPr>
          <w:b/>
          <w:bCs/>
        </w:rPr>
      </w:pPr>
      <w:r w:rsidRPr="00A00187">
        <w:rPr>
          <w:b/>
          <w:bCs/>
        </w:rPr>
        <w:t>Podíl věcí skončených trestním příkazem</w:t>
      </w:r>
    </w:p>
    <w:p w14:paraId="668CA445" w14:textId="3CEFE7C1" w:rsidR="00D964DD" w:rsidRPr="00A00187" w:rsidRDefault="00D964DD" w:rsidP="00D964DD">
      <w:pPr>
        <w:pStyle w:val="OdstavecASR"/>
      </w:pPr>
      <w:r w:rsidRPr="00A00187">
        <w:t xml:space="preserve">Výše uvedená data </w:t>
      </w:r>
      <w:r w:rsidR="0003012E" w:rsidRPr="00A00187">
        <w:t xml:space="preserve">byla </w:t>
      </w:r>
      <w:r w:rsidRPr="00A00187">
        <w:t xml:space="preserve">očištěna o věci skončené trestním příkazem, údaj o využívání tohoto nástroje je </w:t>
      </w:r>
      <w:r w:rsidR="004337E8" w:rsidRPr="00A00187">
        <w:t xml:space="preserve">však </w:t>
      </w:r>
      <w:r w:rsidRPr="00A00187">
        <w:t>významný. Proto je v následujícím grafu uveden podíl věcí, které byly pravomocně skončeny trestním příkazem.</w:t>
      </w:r>
    </w:p>
    <w:p w14:paraId="2F0B5B70" w14:textId="0850AAB1" w:rsidR="00CB570A" w:rsidRDefault="00D964DD" w:rsidP="00D964DD">
      <w:pPr>
        <w:pStyle w:val="OdstavecASR"/>
      </w:pPr>
      <w:r w:rsidRPr="00A00187">
        <w:t xml:space="preserve">Nárůst podílu v roce 2013 je dán tím, že s účinností od 1. 1. 2012 byla posunuta nejvyšší zákonná trestní sazba pro věci, které lze řešit ve zkráceném přípravném řízení, ze tří na pět let. Tyto věci lze rovněž u soudů vyřídit trestním příkazem. Došlo tedy k nárůstu počtu věcí řešených ve zkráceném přípravném řízení a rozšířil se tak okruh věcí, které lze trestním příkazem vyřídit. K nárůstu ve statistikách došlo až v roce 2013 kvůli časovému posunu (četnost využití se zvyšovala postupně, roli hraje také délka řízení u soudů). Po roce 2013 je v řadě vidět klesající tendenci až do roku 2016. To </w:t>
      </w:r>
      <w:r w:rsidR="00C00BFD" w:rsidRPr="00A00187">
        <w:t>znamená</w:t>
      </w:r>
      <w:r w:rsidRPr="00A00187">
        <w:t xml:space="preserve">, že pozorovaný pokles celkové kriminality se </w:t>
      </w:r>
      <w:r w:rsidR="008E6BB4" w:rsidRPr="00A00187">
        <w:t xml:space="preserve">týkal </w:t>
      </w:r>
      <w:r w:rsidRPr="00A00187">
        <w:t>zejména méně závažných věcí, ze kterých se věci řešené trestním příkazem rekrutují</w:t>
      </w:r>
      <w:r w:rsidR="004337E8" w:rsidRPr="00A00187">
        <w:t>;</w:t>
      </w:r>
      <w:r w:rsidRPr="00A00187">
        <w:t xml:space="preserve"> závažnější kriminalita </w:t>
      </w:r>
      <w:r w:rsidR="006B2206" w:rsidRPr="00A00187">
        <w:t xml:space="preserve">pak </w:t>
      </w:r>
      <w:r w:rsidR="00C00BFD" w:rsidRPr="00A00187">
        <w:t xml:space="preserve">pravděpodobně </w:t>
      </w:r>
      <w:r w:rsidR="008E6BB4" w:rsidRPr="00A00187">
        <w:t xml:space="preserve">klesala </w:t>
      </w:r>
      <w:r w:rsidRPr="00A00187">
        <w:t>méně či vůbec. Trend se otočil v roce 2017 a podíl věcí vyřízených trestním příkazem opět začal růst. V roce 2020 vzrost podíl velmi mírně – o </w:t>
      </w:r>
      <w:r w:rsidR="008E6BB4" w:rsidRPr="00A00187">
        <w:t>0,29</w:t>
      </w:r>
      <w:r w:rsidR="000D386B">
        <w:t xml:space="preserve"> </w:t>
      </w:r>
      <w:r w:rsidR="008E6BB4" w:rsidRPr="00A00187">
        <w:t>procentního</w:t>
      </w:r>
      <w:r w:rsidRPr="00A00187">
        <w:t xml:space="preserve"> bodu. To naznačuje, že </w:t>
      </w:r>
      <w:r w:rsidRPr="00A00187">
        <w:lastRenderedPageBreak/>
        <w:t xml:space="preserve">v roce 2020 klesl jak nápad věcí vyřízených trestním příkazem, tak počet věcí vyřízených rozsudkem. V roce 2021 </w:t>
      </w:r>
      <w:r w:rsidR="008E6BB4" w:rsidRPr="00A00187">
        <w:t xml:space="preserve">dále </w:t>
      </w:r>
      <w:r w:rsidRPr="00A00187">
        <w:t xml:space="preserve">klesl podíl věcí vyřízených trestním příkazem </w:t>
      </w:r>
      <w:r w:rsidR="00726EC3" w:rsidRPr="00A00187">
        <w:t>o</w:t>
      </w:r>
      <w:r w:rsidR="00726EC3">
        <w:t> </w:t>
      </w:r>
      <w:r w:rsidR="00726EC3" w:rsidRPr="00A00187">
        <w:t>2</w:t>
      </w:r>
      <w:r w:rsidR="00726EC3">
        <w:t> </w:t>
      </w:r>
      <w:r w:rsidR="009967BD" w:rsidRPr="00A00187">
        <w:t>procentní</w:t>
      </w:r>
      <w:r w:rsidRPr="00A00187">
        <w:t xml:space="preserve"> body</w:t>
      </w:r>
      <w:r w:rsidR="004337E8" w:rsidRPr="00A00187">
        <w:t xml:space="preserve">, </w:t>
      </w:r>
      <w:r w:rsidRPr="00A00187">
        <w:t>tedy na úroveň let 2016 až 2017.</w:t>
      </w:r>
    </w:p>
    <w:p w14:paraId="79069276" w14:textId="43B62E3C" w:rsidR="00D964DD" w:rsidRPr="00A00187" w:rsidRDefault="00D964DD" w:rsidP="00D964DD">
      <w:pPr>
        <w:pStyle w:val="Podnadpis"/>
        <w:rPr>
          <w:color w:val="auto"/>
        </w:rPr>
      </w:pPr>
      <w:bookmarkStart w:id="382" w:name="_Toc43841411"/>
      <w:bookmarkStart w:id="383" w:name="_Toc75952214"/>
      <w:bookmarkStart w:id="384" w:name="_Toc106106666"/>
      <w:bookmarkStart w:id="385" w:name="_Toc109801990"/>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32</w:t>
      </w:r>
      <w:r w:rsidRPr="00A00187">
        <w:rPr>
          <w:noProof/>
          <w:color w:val="auto"/>
        </w:rPr>
        <w:fldChar w:fldCharType="end"/>
      </w:r>
      <w:r w:rsidRPr="00A00187">
        <w:rPr>
          <w:color w:val="auto"/>
        </w:rPr>
        <w:t>: OS – podíl věcí skončených trestním příkazem v letech 2008–20</w:t>
      </w:r>
      <w:bookmarkEnd w:id="382"/>
      <w:r w:rsidRPr="00A00187">
        <w:rPr>
          <w:color w:val="auto"/>
        </w:rPr>
        <w:t>2</w:t>
      </w:r>
      <w:bookmarkEnd w:id="383"/>
      <w:r w:rsidRPr="00A00187">
        <w:rPr>
          <w:color w:val="auto"/>
        </w:rPr>
        <w:t>1</w:t>
      </w:r>
      <w:bookmarkEnd w:id="384"/>
      <w:bookmarkEnd w:id="385"/>
    </w:p>
    <w:p w14:paraId="466517A6" w14:textId="429B9B5F" w:rsidR="00991849" w:rsidRPr="00A00187" w:rsidRDefault="00D964DD" w:rsidP="00BE72AD">
      <w:pPr>
        <w:pStyle w:val="OdstavecASR"/>
        <w:rPr>
          <w:b/>
          <w:bCs/>
        </w:rPr>
      </w:pPr>
      <w:r w:rsidRPr="00A00187">
        <w:rPr>
          <w:b/>
          <w:bCs/>
          <w:noProof/>
        </w:rPr>
        <w:drawing>
          <wp:inline distT="0" distB="0" distL="0" distR="0" wp14:anchorId="352E4B8B" wp14:editId="483F3A3E">
            <wp:extent cx="5029200" cy="3657600"/>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146AEC3" w14:textId="77777777" w:rsidR="008E6BB4" w:rsidRPr="00A00187" w:rsidRDefault="008E6BB4" w:rsidP="00BE72AD">
      <w:pPr>
        <w:pStyle w:val="OdstavecASR"/>
        <w:rPr>
          <w:b/>
          <w:bCs/>
        </w:rPr>
      </w:pPr>
    </w:p>
    <w:p w14:paraId="66A4559D" w14:textId="31A3F19D" w:rsidR="00527829" w:rsidRPr="00A00187" w:rsidRDefault="00527829" w:rsidP="007F73C9">
      <w:pPr>
        <w:pStyle w:val="OdstavecASR"/>
        <w:keepNext/>
        <w:outlineLvl w:val="3"/>
        <w:rPr>
          <w:b/>
          <w:bCs/>
        </w:rPr>
      </w:pPr>
      <w:r w:rsidRPr="00A00187">
        <w:rPr>
          <w:b/>
          <w:bCs/>
        </w:rPr>
        <w:t>Trestné činy dle věkových kategorií</w:t>
      </w:r>
    </w:p>
    <w:p w14:paraId="108EEACA" w14:textId="77777777" w:rsidR="00CB570A" w:rsidRDefault="00527829" w:rsidP="00527829">
      <w:pPr>
        <w:pStyle w:val="OdstavecASR"/>
      </w:pPr>
      <w:r w:rsidRPr="00A00187">
        <w:t>Jako další statistiku v této kapitole uvádíme nejběžnější trestné činy dle věkových kategorií</w:t>
      </w:r>
      <w:r w:rsidR="00ED104F" w:rsidRPr="00A00187">
        <w:t>.</w:t>
      </w:r>
      <w:r w:rsidRPr="00A00187">
        <w:t xml:space="preserve"> Všechna data jsou za rok 2021.</w:t>
      </w:r>
      <w:r w:rsidR="008E6BB4" w:rsidRPr="00A00187">
        <w:t xml:space="preserve"> Podíl v</w:t>
      </w:r>
      <w:r w:rsidR="00CB570A">
        <w:t> %</w:t>
      </w:r>
      <w:r w:rsidR="008E6BB4" w:rsidRPr="00A00187">
        <w:t xml:space="preserve"> je počítán jako podíl z dané věkové skupiny</w:t>
      </w:r>
      <w:r w:rsidR="00ED104F" w:rsidRPr="00A00187">
        <w:t>.</w:t>
      </w:r>
    </w:p>
    <w:p w14:paraId="7D19C05C" w14:textId="004A71B9" w:rsidR="00527829" w:rsidRPr="00A00187" w:rsidRDefault="00527829" w:rsidP="00527829">
      <w:pPr>
        <w:pStyle w:val="Podnadpis"/>
        <w:rPr>
          <w:color w:val="auto"/>
        </w:rPr>
      </w:pPr>
      <w:bookmarkStart w:id="386" w:name="_Toc43931199"/>
      <w:bookmarkStart w:id="387" w:name="_Toc106106787"/>
      <w:bookmarkStart w:id="388" w:name="_Toc109802110"/>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25</w:t>
      </w:r>
      <w:r w:rsidRPr="00A00187">
        <w:rPr>
          <w:color w:val="auto"/>
        </w:rPr>
        <w:fldChar w:fldCharType="end"/>
      </w:r>
      <w:r w:rsidRPr="00A00187">
        <w:rPr>
          <w:color w:val="auto"/>
        </w:rPr>
        <w:t>: OS – nejčastější trestné činy dle věkových skupin</w:t>
      </w:r>
      <w:bookmarkEnd w:id="386"/>
      <w:bookmarkEnd w:id="387"/>
      <w:bookmarkEnd w:id="388"/>
    </w:p>
    <w:tbl>
      <w:tblPr>
        <w:tblW w:w="9214" w:type="dxa"/>
        <w:tblCellMar>
          <w:left w:w="70" w:type="dxa"/>
          <w:right w:w="70" w:type="dxa"/>
        </w:tblCellMar>
        <w:tblLook w:val="04A0" w:firstRow="1" w:lastRow="0" w:firstColumn="1" w:lastColumn="0" w:noHBand="0" w:noVBand="1"/>
      </w:tblPr>
      <w:tblGrid>
        <w:gridCol w:w="1368"/>
        <w:gridCol w:w="1168"/>
        <w:gridCol w:w="1433"/>
        <w:gridCol w:w="1168"/>
        <w:gridCol w:w="1384"/>
        <w:gridCol w:w="1168"/>
        <w:gridCol w:w="1525"/>
      </w:tblGrid>
      <w:tr w:rsidR="00AC1E67" w:rsidRPr="00A00187" w14:paraId="6C9CF0D4" w14:textId="77777777" w:rsidTr="00ED104F">
        <w:trPr>
          <w:trHeight w:val="345"/>
        </w:trPr>
        <w:tc>
          <w:tcPr>
            <w:tcW w:w="1368" w:type="dxa"/>
            <w:tcBorders>
              <w:top w:val="double" w:sz="6" w:space="0" w:color="auto"/>
              <w:left w:val="nil"/>
              <w:bottom w:val="double" w:sz="6" w:space="0" w:color="auto"/>
              <w:right w:val="nil"/>
            </w:tcBorders>
            <w:shd w:val="clear" w:color="auto" w:fill="auto"/>
            <w:noWrap/>
            <w:vAlign w:val="center"/>
            <w:hideMark/>
          </w:tcPr>
          <w:p w14:paraId="0E544EE0" w14:textId="77777777" w:rsidR="00527829" w:rsidRPr="000D386B" w:rsidRDefault="00527829" w:rsidP="009F1FC1">
            <w:pPr>
              <w:spacing w:line="240" w:lineRule="auto"/>
              <w:jc w:val="center"/>
              <w:rPr>
                <w:b/>
              </w:rPr>
            </w:pPr>
            <w:r w:rsidRPr="000D386B">
              <w:rPr>
                <w:b/>
              </w:rPr>
              <w:t>Věk. skupina</w:t>
            </w:r>
          </w:p>
        </w:tc>
        <w:tc>
          <w:tcPr>
            <w:tcW w:w="1168" w:type="dxa"/>
            <w:tcBorders>
              <w:top w:val="double" w:sz="6" w:space="0" w:color="auto"/>
              <w:left w:val="single" w:sz="4" w:space="0" w:color="auto"/>
              <w:bottom w:val="double" w:sz="6" w:space="0" w:color="auto"/>
              <w:right w:val="nil"/>
            </w:tcBorders>
            <w:shd w:val="clear" w:color="auto" w:fill="auto"/>
            <w:noWrap/>
            <w:vAlign w:val="center"/>
            <w:hideMark/>
          </w:tcPr>
          <w:p w14:paraId="53628FD6" w14:textId="77777777" w:rsidR="00527829" w:rsidRPr="000D386B" w:rsidRDefault="00527829" w:rsidP="003B7BFB">
            <w:pPr>
              <w:spacing w:line="240" w:lineRule="auto"/>
              <w:jc w:val="center"/>
              <w:rPr>
                <w:b/>
              </w:rPr>
            </w:pPr>
            <w:r w:rsidRPr="000D386B">
              <w:rPr>
                <w:b/>
              </w:rPr>
              <w:t>Paragraf</w:t>
            </w:r>
          </w:p>
        </w:tc>
        <w:tc>
          <w:tcPr>
            <w:tcW w:w="1433" w:type="dxa"/>
            <w:tcBorders>
              <w:top w:val="double" w:sz="6" w:space="0" w:color="auto"/>
              <w:left w:val="nil"/>
              <w:bottom w:val="double" w:sz="6" w:space="0" w:color="auto"/>
              <w:right w:val="single" w:sz="4" w:space="0" w:color="auto"/>
            </w:tcBorders>
            <w:shd w:val="clear" w:color="auto" w:fill="auto"/>
            <w:noWrap/>
            <w:vAlign w:val="center"/>
            <w:hideMark/>
          </w:tcPr>
          <w:p w14:paraId="0734E1E2" w14:textId="2BAC6B1D" w:rsidR="00527829" w:rsidRPr="000D386B" w:rsidRDefault="00527829" w:rsidP="003B7BFB">
            <w:pPr>
              <w:spacing w:line="240" w:lineRule="auto"/>
              <w:jc w:val="center"/>
              <w:rPr>
                <w:b/>
              </w:rPr>
            </w:pPr>
            <w:r w:rsidRPr="000D386B">
              <w:rPr>
                <w:b/>
              </w:rPr>
              <w:t>Podíl v</w:t>
            </w:r>
            <w:r w:rsidR="00CB570A" w:rsidRPr="000D386B">
              <w:rPr>
                <w:b/>
              </w:rPr>
              <w:t> %</w:t>
            </w:r>
          </w:p>
        </w:tc>
        <w:tc>
          <w:tcPr>
            <w:tcW w:w="1168" w:type="dxa"/>
            <w:tcBorders>
              <w:top w:val="double" w:sz="6" w:space="0" w:color="auto"/>
              <w:left w:val="nil"/>
              <w:bottom w:val="double" w:sz="6" w:space="0" w:color="auto"/>
              <w:right w:val="nil"/>
            </w:tcBorders>
            <w:shd w:val="clear" w:color="auto" w:fill="auto"/>
            <w:noWrap/>
            <w:vAlign w:val="center"/>
            <w:hideMark/>
          </w:tcPr>
          <w:p w14:paraId="12CA461D" w14:textId="77777777" w:rsidR="00527829" w:rsidRPr="000D386B" w:rsidRDefault="00527829" w:rsidP="003B7BFB">
            <w:pPr>
              <w:spacing w:line="240" w:lineRule="auto"/>
              <w:jc w:val="center"/>
              <w:rPr>
                <w:b/>
              </w:rPr>
            </w:pPr>
            <w:r w:rsidRPr="000D386B">
              <w:rPr>
                <w:b/>
              </w:rPr>
              <w:t>Paragraf</w:t>
            </w:r>
          </w:p>
        </w:tc>
        <w:tc>
          <w:tcPr>
            <w:tcW w:w="1384" w:type="dxa"/>
            <w:tcBorders>
              <w:top w:val="double" w:sz="6" w:space="0" w:color="auto"/>
              <w:left w:val="nil"/>
              <w:bottom w:val="double" w:sz="6" w:space="0" w:color="auto"/>
              <w:right w:val="single" w:sz="4" w:space="0" w:color="auto"/>
            </w:tcBorders>
            <w:shd w:val="clear" w:color="auto" w:fill="auto"/>
            <w:noWrap/>
            <w:vAlign w:val="center"/>
            <w:hideMark/>
          </w:tcPr>
          <w:p w14:paraId="74F0840C" w14:textId="66E37007" w:rsidR="00527829" w:rsidRPr="000D386B" w:rsidRDefault="00527829" w:rsidP="003B7BFB">
            <w:pPr>
              <w:spacing w:line="240" w:lineRule="auto"/>
              <w:jc w:val="center"/>
              <w:rPr>
                <w:b/>
              </w:rPr>
            </w:pPr>
            <w:r w:rsidRPr="000D386B">
              <w:rPr>
                <w:b/>
              </w:rPr>
              <w:t>Podíl v</w:t>
            </w:r>
            <w:r w:rsidR="00CB570A" w:rsidRPr="000D386B">
              <w:rPr>
                <w:b/>
              </w:rPr>
              <w:t> %</w:t>
            </w:r>
          </w:p>
        </w:tc>
        <w:tc>
          <w:tcPr>
            <w:tcW w:w="1168" w:type="dxa"/>
            <w:tcBorders>
              <w:top w:val="double" w:sz="6" w:space="0" w:color="auto"/>
              <w:left w:val="nil"/>
              <w:bottom w:val="double" w:sz="6" w:space="0" w:color="auto"/>
              <w:right w:val="nil"/>
            </w:tcBorders>
            <w:shd w:val="clear" w:color="auto" w:fill="auto"/>
            <w:noWrap/>
            <w:vAlign w:val="center"/>
            <w:hideMark/>
          </w:tcPr>
          <w:p w14:paraId="4A06C56F" w14:textId="77777777" w:rsidR="00527829" w:rsidRPr="000D386B" w:rsidRDefault="00527829" w:rsidP="003B7BFB">
            <w:pPr>
              <w:spacing w:line="240" w:lineRule="auto"/>
              <w:jc w:val="center"/>
              <w:rPr>
                <w:b/>
              </w:rPr>
            </w:pPr>
            <w:r w:rsidRPr="000D386B">
              <w:rPr>
                <w:b/>
              </w:rPr>
              <w:t>Paragraf</w:t>
            </w:r>
          </w:p>
        </w:tc>
        <w:tc>
          <w:tcPr>
            <w:tcW w:w="1525" w:type="dxa"/>
            <w:tcBorders>
              <w:top w:val="double" w:sz="6" w:space="0" w:color="auto"/>
              <w:left w:val="nil"/>
              <w:bottom w:val="double" w:sz="6" w:space="0" w:color="auto"/>
              <w:right w:val="nil"/>
            </w:tcBorders>
            <w:shd w:val="clear" w:color="auto" w:fill="auto"/>
            <w:noWrap/>
            <w:vAlign w:val="center"/>
            <w:hideMark/>
          </w:tcPr>
          <w:p w14:paraId="00D0FD95" w14:textId="476B7BC4" w:rsidR="00527829" w:rsidRPr="000D386B" w:rsidRDefault="00527829" w:rsidP="003B7BFB">
            <w:pPr>
              <w:spacing w:line="240" w:lineRule="auto"/>
              <w:jc w:val="center"/>
              <w:rPr>
                <w:b/>
              </w:rPr>
            </w:pPr>
            <w:r w:rsidRPr="000D386B">
              <w:rPr>
                <w:b/>
              </w:rPr>
              <w:t>Podíl v</w:t>
            </w:r>
            <w:r w:rsidR="00CB570A" w:rsidRPr="000D386B">
              <w:rPr>
                <w:b/>
              </w:rPr>
              <w:t> %</w:t>
            </w:r>
          </w:p>
        </w:tc>
      </w:tr>
      <w:tr w:rsidR="00AC1E67" w:rsidRPr="00A00187" w14:paraId="614AE73D" w14:textId="77777777" w:rsidTr="00ED104F">
        <w:trPr>
          <w:trHeight w:val="330"/>
        </w:trPr>
        <w:tc>
          <w:tcPr>
            <w:tcW w:w="1368" w:type="dxa"/>
            <w:tcBorders>
              <w:top w:val="nil"/>
              <w:left w:val="nil"/>
              <w:bottom w:val="single" w:sz="4" w:space="0" w:color="auto"/>
              <w:right w:val="nil"/>
            </w:tcBorders>
            <w:shd w:val="clear" w:color="auto" w:fill="auto"/>
            <w:noWrap/>
            <w:vAlign w:val="bottom"/>
            <w:hideMark/>
          </w:tcPr>
          <w:p w14:paraId="5BCFDB98" w14:textId="77777777" w:rsidR="00527829" w:rsidRPr="000D386B" w:rsidRDefault="00527829" w:rsidP="00527829">
            <w:pPr>
              <w:spacing w:line="240" w:lineRule="auto"/>
              <w:jc w:val="left"/>
              <w:rPr>
                <w:rFonts w:eastAsia="Times New Roman"/>
                <w:szCs w:val="24"/>
                <w:lang w:eastAsia="cs-CZ"/>
              </w:rPr>
            </w:pPr>
            <w:r w:rsidRPr="000D386B">
              <w:rPr>
                <w:rFonts w:eastAsia="Times New Roman"/>
                <w:szCs w:val="24"/>
                <w:lang w:eastAsia="cs-CZ"/>
              </w:rPr>
              <w:t>15 až 24 let</w:t>
            </w:r>
          </w:p>
        </w:tc>
        <w:tc>
          <w:tcPr>
            <w:tcW w:w="1168" w:type="dxa"/>
            <w:tcBorders>
              <w:top w:val="nil"/>
              <w:left w:val="single" w:sz="4" w:space="0" w:color="auto"/>
              <w:bottom w:val="single" w:sz="4" w:space="0" w:color="auto"/>
              <w:right w:val="nil"/>
            </w:tcBorders>
            <w:shd w:val="clear" w:color="auto" w:fill="auto"/>
            <w:noWrap/>
            <w:vAlign w:val="bottom"/>
            <w:hideMark/>
          </w:tcPr>
          <w:p w14:paraId="50282EDC"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205</w:t>
            </w:r>
          </w:p>
        </w:tc>
        <w:tc>
          <w:tcPr>
            <w:tcW w:w="1433" w:type="dxa"/>
            <w:tcBorders>
              <w:top w:val="nil"/>
              <w:left w:val="nil"/>
              <w:bottom w:val="single" w:sz="4" w:space="0" w:color="auto"/>
              <w:right w:val="single" w:sz="4" w:space="0" w:color="auto"/>
            </w:tcBorders>
            <w:shd w:val="clear" w:color="auto" w:fill="auto"/>
            <w:noWrap/>
            <w:vAlign w:val="bottom"/>
            <w:hideMark/>
          </w:tcPr>
          <w:p w14:paraId="309A8331" w14:textId="1C764451"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19,25</w:t>
            </w:r>
          </w:p>
        </w:tc>
        <w:tc>
          <w:tcPr>
            <w:tcW w:w="1168" w:type="dxa"/>
            <w:tcBorders>
              <w:top w:val="nil"/>
              <w:left w:val="nil"/>
              <w:bottom w:val="single" w:sz="4" w:space="0" w:color="auto"/>
              <w:right w:val="nil"/>
            </w:tcBorders>
            <w:shd w:val="clear" w:color="auto" w:fill="auto"/>
            <w:noWrap/>
            <w:vAlign w:val="bottom"/>
            <w:hideMark/>
          </w:tcPr>
          <w:p w14:paraId="32A7BD67"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274</w:t>
            </w:r>
          </w:p>
        </w:tc>
        <w:tc>
          <w:tcPr>
            <w:tcW w:w="1384" w:type="dxa"/>
            <w:tcBorders>
              <w:top w:val="nil"/>
              <w:left w:val="nil"/>
              <w:bottom w:val="single" w:sz="4" w:space="0" w:color="auto"/>
              <w:right w:val="single" w:sz="4" w:space="0" w:color="auto"/>
            </w:tcBorders>
            <w:shd w:val="clear" w:color="auto" w:fill="auto"/>
            <w:noWrap/>
            <w:vAlign w:val="bottom"/>
            <w:hideMark/>
          </w:tcPr>
          <w:p w14:paraId="6819E0A6" w14:textId="08CC08CD"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9,76</w:t>
            </w:r>
          </w:p>
        </w:tc>
        <w:tc>
          <w:tcPr>
            <w:tcW w:w="1168" w:type="dxa"/>
            <w:tcBorders>
              <w:top w:val="nil"/>
              <w:left w:val="nil"/>
              <w:bottom w:val="single" w:sz="4" w:space="0" w:color="auto"/>
              <w:right w:val="nil"/>
            </w:tcBorders>
            <w:shd w:val="clear" w:color="auto" w:fill="auto"/>
            <w:noWrap/>
            <w:vAlign w:val="bottom"/>
            <w:hideMark/>
          </w:tcPr>
          <w:p w14:paraId="43CC1E0A"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358</w:t>
            </w:r>
          </w:p>
        </w:tc>
        <w:tc>
          <w:tcPr>
            <w:tcW w:w="1525" w:type="dxa"/>
            <w:tcBorders>
              <w:top w:val="nil"/>
              <w:left w:val="nil"/>
              <w:bottom w:val="single" w:sz="4" w:space="0" w:color="auto"/>
              <w:right w:val="nil"/>
            </w:tcBorders>
            <w:shd w:val="clear" w:color="auto" w:fill="auto"/>
            <w:noWrap/>
            <w:vAlign w:val="bottom"/>
            <w:hideMark/>
          </w:tcPr>
          <w:p w14:paraId="08A94864" w14:textId="6C21C646"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9,47</w:t>
            </w:r>
          </w:p>
        </w:tc>
      </w:tr>
      <w:tr w:rsidR="00AC1E67" w:rsidRPr="00A00187" w14:paraId="57913755" w14:textId="77777777" w:rsidTr="00ED104F">
        <w:trPr>
          <w:trHeight w:val="315"/>
        </w:trPr>
        <w:tc>
          <w:tcPr>
            <w:tcW w:w="1368" w:type="dxa"/>
            <w:tcBorders>
              <w:top w:val="nil"/>
              <w:left w:val="nil"/>
              <w:bottom w:val="single" w:sz="4" w:space="0" w:color="auto"/>
              <w:right w:val="nil"/>
            </w:tcBorders>
            <w:shd w:val="clear" w:color="auto" w:fill="auto"/>
            <w:noWrap/>
            <w:vAlign w:val="bottom"/>
            <w:hideMark/>
          </w:tcPr>
          <w:p w14:paraId="1195F0DF" w14:textId="77777777" w:rsidR="00527829" w:rsidRPr="000D386B" w:rsidRDefault="00527829" w:rsidP="00527829">
            <w:pPr>
              <w:spacing w:line="240" w:lineRule="auto"/>
              <w:jc w:val="left"/>
              <w:rPr>
                <w:rFonts w:eastAsia="Times New Roman"/>
                <w:szCs w:val="24"/>
                <w:lang w:eastAsia="cs-CZ"/>
              </w:rPr>
            </w:pPr>
            <w:r w:rsidRPr="000D386B">
              <w:rPr>
                <w:rFonts w:eastAsia="Times New Roman"/>
                <w:szCs w:val="24"/>
                <w:lang w:eastAsia="cs-CZ"/>
              </w:rPr>
              <w:t>25 až 34 let</w:t>
            </w:r>
          </w:p>
        </w:tc>
        <w:tc>
          <w:tcPr>
            <w:tcW w:w="1168" w:type="dxa"/>
            <w:tcBorders>
              <w:top w:val="nil"/>
              <w:left w:val="single" w:sz="4" w:space="0" w:color="auto"/>
              <w:bottom w:val="single" w:sz="4" w:space="0" w:color="auto"/>
              <w:right w:val="nil"/>
            </w:tcBorders>
            <w:shd w:val="clear" w:color="auto" w:fill="auto"/>
            <w:noWrap/>
            <w:vAlign w:val="bottom"/>
            <w:hideMark/>
          </w:tcPr>
          <w:p w14:paraId="40464918"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205</w:t>
            </w:r>
          </w:p>
        </w:tc>
        <w:tc>
          <w:tcPr>
            <w:tcW w:w="1433" w:type="dxa"/>
            <w:tcBorders>
              <w:top w:val="nil"/>
              <w:left w:val="nil"/>
              <w:bottom w:val="single" w:sz="4" w:space="0" w:color="auto"/>
              <w:right w:val="single" w:sz="4" w:space="0" w:color="auto"/>
            </w:tcBorders>
            <w:shd w:val="clear" w:color="auto" w:fill="auto"/>
            <w:noWrap/>
            <w:vAlign w:val="bottom"/>
            <w:hideMark/>
          </w:tcPr>
          <w:p w14:paraId="636EEC64" w14:textId="7E2BF049"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18,63</w:t>
            </w:r>
          </w:p>
        </w:tc>
        <w:tc>
          <w:tcPr>
            <w:tcW w:w="1168" w:type="dxa"/>
            <w:tcBorders>
              <w:top w:val="nil"/>
              <w:left w:val="nil"/>
              <w:bottom w:val="single" w:sz="4" w:space="0" w:color="auto"/>
              <w:right w:val="nil"/>
            </w:tcBorders>
            <w:shd w:val="clear" w:color="auto" w:fill="auto"/>
            <w:noWrap/>
            <w:vAlign w:val="bottom"/>
            <w:hideMark/>
          </w:tcPr>
          <w:p w14:paraId="316FADE4"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337</w:t>
            </w:r>
          </w:p>
        </w:tc>
        <w:tc>
          <w:tcPr>
            <w:tcW w:w="1384" w:type="dxa"/>
            <w:tcBorders>
              <w:top w:val="nil"/>
              <w:left w:val="nil"/>
              <w:bottom w:val="single" w:sz="4" w:space="0" w:color="auto"/>
              <w:right w:val="single" w:sz="4" w:space="0" w:color="auto"/>
            </w:tcBorders>
            <w:shd w:val="clear" w:color="auto" w:fill="auto"/>
            <w:noWrap/>
            <w:vAlign w:val="bottom"/>
            <w:hideMark/>
          </w:tcPr>
          <w:p w14:paraId="246EDD72" w14:textId="130FF50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15,12</w:t>
            </w:r>
          </w:p>
        </w:tc>
        <w:tc>
          <w:tcPr>
            <w:tcW w:w="1168" w:type="dxa"/>
            <w:tcBorders>
              <w:top w:val="nil"/>
              <w:left w:val="nil"/>
              <w:bottom w:val="single" w:sz="4" w:space="0" w:color="auto"/>
              <w:right w:val="nil"/>
            </w:tcBorders>
            <w:shd w:val="clear" w:color="auto" w:fill="auto"/>
            <w:noWrap/>
            <w:vAlign w:val="bottom"/>
            <w:hideMark/>
          </w:tcPr>
          <w:p w14:paraId="4C321B2E"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274</w:t>
            </w:r>
          </w:p>
        </w:tc>
        <w:tc>
          <w:tcPr>
            <w:tcW w:w="1525" w:type="dxa"/>
            <w:tcBorders>
              <w:top w:val="nil"/>
              <w:left w:val="nil"/>
              <w:bottom w:val="single" w:sz="4" w:space="0" w:color="auto"/>
              <w:right w:val="nil"/>
            </w:tcBorders>
            <w:shd w:val="clear" w:color="auto" w:fill="auto"/>
            <w:noWrap/>
            <w:vAlign w:val="bottom"/>
            <w:hideMark/>
          </w:tcPr>
          <w:p w14:paraId="39499977" w14:textId="0303395B"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13,22</w:t>
            </w:r>
          </w:p>
        </w:tc>
      </w:tr>
      <w:tr w:rsidR="00AC1E67" w:rsidRPr="00A00187" w14:paraId="04CD6D06" w14:textId="77777777" w:rsidTr="00ED104F">
        <w:trPr>
          <w:trHeight w:val="315"/>
        </w:trPr>
        <w:tc>
          <w:tcPr>
            <w:tcW w:w="1368" w:type="dxa"/>
            <w:tcBorders>
              <w:top w:val="nil"/>
              <w:left w:val="nil"/>
              <w:bottom w:val="single" w:sz="4" w:space="0" w:color="auto"/>
              <w:right w:val="nil"/>
            </w:tcBorders>
            <w:shd w:val="clear" w:color="auto" w:fill="auto"/>
            <w:noWrap/>
            <w:vAlign w:val="bottom"/>
            <w:hideMark/>
          </w:tcPr>
          <w:p w14:paraId="79048E31" w14:textId="77777777" w:rsidR="00527829" w:rsidRPr="000D386B" w:rsidRDefault="00527829" w:rsidP="00527829">
            <w:pPr>
              <w:spacing w:line="240" w:lineRule="auto"/>
              <w:jc w:val="left"/>
              <w:rPr>
                <w:rFonts w:eastAsia="Times New Roman"/>
                <w:szCs w:val="24"/>
                <w:lang w:eastAsia="cs-CZ"/>
              </w:rPr>
            </w:pPr>
            <w:r w:rsidRPr="000D386B">
              <w:rPr>
                <w:rFonts w:eastAsia="Times New Roman"/>
                <w:szCs w:val="24"/>
                <w:lang w:eastAsia="cs-CZ"/>
              </w:rPr>
              <w:t>35 až 44 let</w:t>
            </w:r>
          </w:p>
        </w:tc>
        <w:tc>
          <w:tcPr>
            <w:tcW w:w="1168" w:type="dxa"/>
            <w:tcBorders>
              <w:top w:val="nil"/>
              <w:left w:val="single" w:sz="4" w:space="0" w:color="auto"/>
              <w:bottom w:val="single" w:sz="4" w:space="0" w:color="auto"/>
              <w:right w:val="nil"/>
            </w:tcBorders>
            <w:shd w:val="clear" w:color="auto" w:fill="auto"/>
            <w:noWrap/>
            <w:vAlign w:val="bottom"/>
            <w:hideMark/>
          </w:tcPr>
          <w:p w14:paraId="3ECFF798"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337</w:t>
            </w:r>
          </w:p>
        </w:tc>
        <w:tc>
          <w:tcPr>
            <w:tcW w:w="1433" w:type="dxa"/>
            <w:tcBorders>
              <w:top w:val="nil"/>
              <w:left w:val="nil"/>
              <w:bottom w:val="single" w:sz="4" w:space="0" w:color="auto"/>
              <w:right w:val="single" w:sz="4" w:space="0" w:color="auto"/>
            </w:tcBorders>
            <w:shd w:val="clear" w:color="auto" w:fill="auto"/>
            <w:noWrap/>
            <w:vAlign w:val="bottom"/>
            <w:hideMark/>
          </w:tcPr>
          <w:p w14:paraId="4B5A5D8E" w14:textId="222497AB"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15,48</w:t>
            </w:r>
          </w:p>
        </w:tc>
        <w:tc>
          <w:tcPr>
            <w:tcW w:w="1168" w:type="dxa"/>
            <w:tcBorders>
              <w:top w:val="nil"/>
              <w:left w:val="nil"/>
              <w:bottom w:val="single" w:sz="4" w:space="0" w:color="auto"/>
              <w:right w:val="nil"/>
            </w:tcBorders>
            <w:shd w:val="clear" w:color="auto" w:fill="auto"/>
            <w:noWrap/>
            <w:vAlign w:val="bottom"/>
            <w:hideMark/>
          </w:tcPr>
          <w:p w14:paraId="64C3FA88"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274</w:t>
            </w:r>
          </w:p>
        </w:tc>
        <w:tc>
          <w:tcPr>
            <w:tcW w:w="1384" w:type="dxa"/>
            <w:tcBorders>
              <w:top w:val="nil"/>
              <w:left w:val="nil"/>
              <w:bottom w:val="single" w:sz="4" w:space="0" w:color="auto"/>
              <w:right w:val="single" w:sz="4" w:space="0" w:color="auto"/>
            </w:tcBorders>
            <w:shd w:val="clear" w:color="auto" w:fill="auto"/>
            <w:noWrap/>
            <w:vAlign w:val="bottom"/>
            <w:hideMark/>
          </w:tcPr>
          <w:p w14:paraId="4D6F2D77" w14:textId="2903D6CB"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14,55</w:t>
            </w:r>
          </w:p>
        </w:tc>
        <w:tc>
          <w:tcPr>
            <w:tcW w:w="1168" w:type="dxa"/>
            <w:tcBorders>
              <w:top w:val="nil"/>
              <w:left w:val="nil"/>
              <w:bottom w:val="single" w:sz="4" w:space="0" w:color="auto"/>
              <w:right w:val="nil"/>
            </w:tcBorders>
            <w:shd w:val="clear" w:color="auto" w:fill="auto"/>
            <w:noWrap/>
            <w:vAlign w:val="bottom"/>
            <w:hideMark/>
          </w:tcPr>
          <w:p w14:paraId="3D3003F3"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205</w:t>
            </w:r>
          </w:p>
        </w:tc>
        <w:tc>
          <w:tcPr>
            <w:tcW w:w="1525" w:type="dxa"/>
            <w:tcBorders>
              <w:top w:val="nil"/>
              <w:left w:val="nil"/>
              <w:bottom w:val="single" w:sz="4" w:space="0" w:color="auto"/>
              <w:right w:val="nil"/>
            </w:tcBorders>
            <w:shd w:val="clear" w:color="auto" w:fill="auto"/>
            <w:noWrap/>
            <w:vAlign w:val="bottom"/>
            <w:hideMark/>
          </w:tcPr>
          <w:p w14:paraId="76145352" w14:textId="13F5DE66"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14,33</w:t>
            </w:r>
          </w:p>
        </w:tc>
      </w:tr>
      <w:tr w:rsidR="00AC1E67" w:rsidRPr="00A00187" w14:paraId="5FC6EABA" w14:textId="77777777" w:rsidTr="00ED104F">
        <w:trPr>
          <w:trHeight w:val="315"/>
        </w:trPr>
        <w:tc>
          <w:tcPr>
            <w:tcW w:w="1368" w:type="dxa"/>
            <w:tcBorders>
              <w:top w:val="nil"/>
              <w:left w:val="nil"/>
              <w:bottom w:val="single" w:sz="4" w:space="0" w:color="auto"/>
              <w:right w:val="nil"/>
            </w:tcBorders>
            <w:shd w:val="clear" w:color="auto" w:fill="auto"/>
            <w:noWrap/>
            <w:vAlign w:val="bottom"/>
            <w:hideMark/>
          </w:tcPr>
          <w:p w14:paraId="57DC38F3" w14:textId="77777777" w:rsidR="00527829" w:rsidRPr="000D386B" w:rsidRDefault="00527829" w:rsidP="00527829">
            <w:pPr>
              <w:spacing w:line="240" w:lineRule="auto"/>
              <w:jc w:val="left"/>
              <w:rPr>
                <w:rFonts w:eastAsia="Times New Roman"/>
                <w:szCs w:val="24"/>
                <w:lang w:eastAsia="cs-CZ"/>
              </w:rPr>
            </w:pPr>
            <w:r w:rsidRPr="000D386B">
              <w:rPr>
                <w:rFonts w:eastAsia="Times New Roman"/>
                <w:szCs w:val="24"/>
                <w:lang w:eastAsia="cs-CZ"/>
              </w:rPr>
              <w:t>45 až 54 let</w:t>
            </w:r>
          </w:p>
        </w:tc>
        <w:tc>
          <w:tcPr>
            <w:tcW w:w="1168" w:type="dxa"/>
            <w:tcBorders>
              <w:top w:val="nil"/>
              <w:left w:val="single" w:sz="4" w:space="0" w:color="auto"/>
              <w:bottom w:val="single" w:sz="4" w:space="0" w:color="auto"/>
              <w:right w:val="nil"/>
            </w:tcBorders>
            <w:shd w:val="clear" w:color="auto" w:fill="auto"/>
            <w:noWrap/>
            <w:vAlign w:val="bottom"/>
            <w:hideMark/>
          </w:tcPr>
          <w:p w14:paraId="36819DD7"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274</w:t>
            </w:r>
          </w:p>
        </w:tc>
        <w:tc>
          <w:tcPr>
            <w:tcW w:w="1433" w:type="dxa"/>
            <w:tcBorders>
              <w:top w:val="nil"/>
              <w:left w:val="nil"/>
              <w:bottom w:val="single" w:sz="4" w:space="0" w:color="auto"/>
              <w:right w:val="single" w:sz="4" w:space="0" w:color="auto"/>
            </w:tcBorders>
            <w:shd w:val="clear" w:color="auto" w:fill="auto"/>
            <w:noWrap/>
            <w:vAlign w:val="bottom"/>
            <w:hideMark/>
          </w:tcPr>
          <w:p w14:paraId="25911999" w14:textId="6FB900A9"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18,61</w:t>
            </w:r>
          </w:p>
        </w:tc>
        <w:tc>
          <w:tcPr>
            <w:tcW w:w="1168" w:type="dxa"/>
            <w:tcBorders>
              <w:top w:val="nil"/>
              <w:left w:val="nil"/>
              <w:bottom w:val="single" w:sz="4" w:space="0" w:color="auto"/>
              <w:right w:val="nil"/>
            </w:tcBorders>
            <w:shd w:val="clear" w:color="auto" w:fill="auto"/>
            <w:noWrap/>
            <w:vAlign w:val="bottom"/>
            <w:hideMark/>
          </w:tcPr>
          <w:p w14:paraId="4A8FC9EA"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337</w:t>
            </w:r>
          </w:p>
        </w:tc>
        <w:tc>
          <w:tcPr>
            <w:tcW w:w="1384" w:type="dxa"/>
            <w:tcBorders>
              <w:top w:val="nil"/>
              <w:left w:val="nil"/>
              <w:bottom w:val="single" w:sz="4" w:space="0" w:color="auto"/>
              <w:right w:val="single" w:sz="4" w:space="0" w:color="auto"/>
            </w:tcBorders>
            <w:shd w:val="clear" w:color="auto" w:fill="auto"/>
            <w:noWrap/>
            <w:vAlign w:val="bottom"/>
            <w:hideMark/>
          </w:tcPr>
          <w:p w14:paraId="0941ECDA" w14:textId="73C5BBCB"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14,22</w:t>
            </w:r>
          </w:p>
        </w:tc>
        <w:tc>
          <w:tcPr>
            <w:tcW w:w="1168" w:type="dxa"/>
            <w:tcBorders>
              <w:top w:val="nil"/>
              <w:left w:val="nil"/>
              <w:bottom w:val="single" w:sz="4" w:space="0" w:color="auto"/>
              <w:right w:val="nil"/>
            </w:tcBorders>
            <w:shd w:val="clear" w:color="auto" w:fill="auto"/>
            <w:noWrap/>
            <w:vAlign w:val="bottom"/>
            <w:hideMark/>
          </w:tcPr>
          <w:p w14:paraId="41282EAD"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205</w:t>
            </w:r>
          </w:p>
        </w:tc>
        <w:tc>
          <w:tcPr>
            <w:tcW w:w="1525" w:type="dxa"/>
            <w:tcBorders>
              <w:top w:val="nil"/>
              <w:left w:val="nil"/>
              <w:bottom w:val="single" w:sz="4" w:space="0" w:color="auto"/>
              <w:right w:val="nil"/>
            </w:tcBorders>
            <w:shd w:val="clear" w:color="auto" w:fill="auto"/>
            <w:noWrap/>
            <w:vAlign w:val="bottom"/>
            <w:hideMark/>
          </w:tcPr>
          <w:p w14:paraId="3D9387A0" w14:textId="522ACDD2"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10,58</w:t>
            </w:r>
          </w:p>
        </w:tc>
      </w:tr>
      <w:tr w:rsidR="00AC1E67" w:rsidRPr="00A00187" w14:paraId="6B7A7A3D" w14:textId="77777777" w:rsidTr="00ED104F">
        <w:trPr>
          <w:trHeight w:val="315"/>
        </w:trPr>
        <w:tc>
          <w:tcPr>
            <w:tcW w:w="1368" w:type="dxa"/>
            <w:tcBorders>
              <w:top w:val="nil"/>
              <w:left w:val="nil"/>
              <w:bottom w:val="single" w:sz="4" w:space="0" w:color="auto"/>
              <w:right w:val="nil"/>
            </w:tcBorders>
            <w:shd w:val="clear" w:color="auto" w:fill="auto"/>
            <w:noWrap/>
            <w:vAlign w:val="bottom"/>
            <w:hideMark/>
          </w:tcPr>
          <w:p w14:paraId="6D27C719" w14:textId="77777777" w:rsidR="00527829" w:rsidRPr="000D386B" w:rsidRDefault="00527829" w:rsidP="00527829">
            <w:pPr>
              <w:spacing w:line="240" w:lineRule="auto"/>
              <w:jc w:val="left"/>
              <w:rPr>
                <w:rFonts w:eastAsia="Times New Roman"/>
                <w:szCs w:val="24"/>
                <w:lang w:eastAsia="cs-CZ"/>
              </w:rPr>
            </w:pPr>
            <w:r w:rsidRPr="000D386B">
              <w:rPr>
                <w:rFonts w:eastAsia="Times New Roman"/>
                <w:szCs w:val="24"/>
                <w:lang w:eastAsia="cs-CZ"/>
              </w:rPr>
              <w:t>55 až 64 let</w:t>
            </w:r>
          </w:p>
        </w:tc>
        <w:tc>
          <w:tcPr>
            <w:tcW w:w="1168" w:type="dxa"/>
            <w:tcBorders>
              <w:top w:val="nil"/>
              <w:left w:val="single" w:sz="4" w:space="0" w:color="auto"/>
              <w:bottom w:val="single" w:sz="4" w:space="0" w:color="auto"/>
              <w:right w:val="nil"/>
            </w:tcBorders>
            <w:shd w:val="clear" w:color="auto" w:fill="auto"/>
            <w:noWrap/>
            <w:vAlign w:val="bottom"/>
            <w:hideMark/>
          </w:tcPr>
          <w:p w14:paraId="2A0DE8A5"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274</w:t>
            </w:r>
          </w:p>
        </w:tc>
        <w:tc>
          <w:tcPr>
            <w:tcW w:w="1433" w:type="dxa"/>
            <w:tcBorders>
              <w:top w:val="nil"/>
              <w:left w:val="nil"/>
              <w:bottom w:val="single" w:sz="4" w:space="0" w:color="auto"/>
              <w:right w:val="single" w:sz="4" w:space="0" w:color="auto"/>
            </w:tcBorders>
            <w:shd w:val="clear" w:color="auto" w:fill="auto"/>
            <w:noWrap/>
            <w:vAlign w:val="bottom"/>
            <w:hideMark/>
          </w:tcPr>
          <w:p w14:paraId="72A2BE68" w14:textId="1D9C2A8D"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24,16</w:t>
            </w:r>
          </w:p>
        </w:tc>
        <w:tc>
          <w:tcPr>
            <w:tcW w:w="1168" w:type="dxa"/>
            <w:tcBorders>
              <w:top w:val="nil"/>
              <w:left w:val="nil"/>
              <w:bottom w:val="single" w:sz="4" w:space="0" w:color="auto"/>
              <w:right w:val="nil"/>
            </w:tcBorders>
            <w:shd w:val="clear" w:color="auto" w:fill="auto"/>
            <w:noWrap/>
            <w:vAlign w:val="bottom"/>
            <w:hideMark/>
          </w:tcPr>
          <w:p w14:paraId="686F8C06"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337</w:t>
            </w:r>
          </w:p>
        </w:tc>
        <w:tc>
          <w:tcPr>
            <w:tcW w:w="1384" w:type="dxa"/>
            <w:tcBorders>
              <w:top w:val="nil"/>
              <w:left w:val="nil"/>
              <w:bottom w:val="single" w:sz="4" w:space="0" w:color="auto"/>
              <w:right w:val="single" w:sz="4" w:space="0" w:color="auto"/>
            </w:tcBorders>
            <w:shd w:val="clear" w:color="auto" w:fill="auto"/>
            <w:noWrap/>
            <w:vAlign w:val="bottom"/>
            <w:hideMark/>
          </w:tcPr>
          <w:p w14:paraId="1A5B9FEB" w14:textId="5FA4DEE0"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13,60</w:t>
            </w:r>
          </w:p>
        </w:tc>
        <w:tc>
          <w:tcPr>
            <w:tcW w:w="1168" w:type="dxa"/>
            <w:tcBorders>
              <w:top w:val="nil"/>
              <w:left w:val="nil"/>
              <w:bottom w:val="single" w:sz="4" w:space="0" w:color="auto"/>
              <w:right w:val="nil"/>
            </w:tcBorders>
            <w:shd w:val="clear" w:color="auto" w:fill="auto"/>
            <w:noWrap/>
            <w:vAlign w:val="bottom"/>
            <w:hideMark/>
          </w:tcPr>
          <w:p w14:paraId="4812B6C3"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205</w:t>
            </w:r>
          </w:p>
        </w:tc>
        <w:tc>
          <w:tcPr>
            <w:tcW w:w="1525" w:type="dxa"/>
            <w:tcBorders>
              <w:top w:val="nil"/>
              <w:left w:val="nil"/>
              <w:bottom w:val="single" w:sz="4" w:space="0" w:color="auto"/>
              <w:right w:val="nil"/>
            </w:tcBorders>
            <w:shd w:val="clear" w:color="auto" w:fill="auto"/>
            <w:noWrap/>
            <w:vAlign w:val="bottom"/>
            <w:hideMark/>
          </w:tcPr>
          <w:p w14:paraId="10FA401E" w14:textId="52824D43"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8,62</w:t>
            </w:r>
          </w:p>
        </w:tc>
      </w:tr>
      <w:tr w:rsidR="00AC1E67" w:rsidRPr="00A00187" w14:paraId="331CB3BA" w14:textId="77777777" w:rsidTr="00ED104F">
        <w:trPr>
          <w:trHeight w:val="315"/>
        </w:trPr>
        <w:tc>
          <w:tcPr>
            <w:tcW w:w="1368" w:type="dxa"/>
            <w:tcBorders>
              <w:top w:val="nil"/>
              <w:left w:val="nil"/>
              <w:bottom w:val="single" w:sz="4" w:space="0" w:color="auto"/>
              <w:right w:val="nil"/>
            </w:tcBorders>
            <w:shd w:val="clear" w:color="auto" w:fill="auto"/>
            <w:noWrap/>
            <w:vAlign w:val="bottom"/>
            <w:hideMark/>
          </w:tcPr>
          <w:p w14:paraId="54B070F7" w14:textId="77777777" w:rsidR="00527829" w:rsidRPr="000D386B" w:rsidRDefault="00527829" w:rsidP="00527829">
            <w:pPr>
              <w:spacing w:line="240" w:lineRule="auto"/>
              <w:jc w:val="left"/>
              <w:rPr>
                <w:rFonts w:eastAsia="Times New Roman"/>
                <w:szCs w:val="24"/>
                <w:lang w:eastAsia="cs-CZ"/>
              </w:rPr>
            </w:pPr>
            <w:r w:rsidRPr="000D386B">
              <w:rPr>
                <w:rFonts w:eastAsia="Times New Roman"/>
                <w:szCs w:val="24"/>
                <w:lang w:eastAsia="cs-CZ"/>
              </w:rPr>
              <w:t>65 až 74 let</w:t>
            </w:r>
          </w:p>
        </w:tc>
        <w:tc>
          <w:tcPr>
            <w:tcW w:w="1168" w:type="dxa"/>
            <w:tcBorders>
              <w:top w:val="nil"/>
              <w:left w:val="single" w:sz="4" w:space="0" w:color="auto"/>
              <w:bottom w:val="single" w:sz="4" w:space="0" w:color="auto"/>
              <w:right w:val="nil"/>
            </w:tcBorders>
            <w:shd w:val="clear" w:color="auto" w:fill="auto"/>
            <w:noWrap/>
            <w:vAlign w:val="bottom"/>
            <w:hideMark/>
          </w:tcPr>
          <w:p w14:paraId="0FEAA8D9"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274</w:t>
            </w:r>
          </w:p>
        </w:tc>
        <w:tc>
          <w:tcPr>
            <w:tcW w:w="1433" w:type="dxa"/>
            <w:tcBorders>
              <w:top w:val="nil"/>
              <w:left w:val="nil"/>
              <w:bottom w:val="single" w:sz="4" w:space="0" w:color="auto"/>
              <w:right w:val="single" w:sz="4" w:space="0" w:color="auto"/>
            </w:tcBorders>
            <w:shd w:val="clear" w:color="auto" w:fill="auto"/>
            <w:noWrap/>
            <w:vAlign w:val="bottom"/>
            <w:hideMark/>
          </w:tcPr>
          <w:p w14:paraId="385C3CA3" w14:textId="4791D1CE"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23,04</w:t>
            </w:r>
          </w:p>
        </w:tc>
        <w:tc>
          <w:tcPr>
            <w:tcW w:w="1168" w:type="dxa"/>
            <w:tcBorders>
              <w:top w:val="nil"/>
              <w:left w:val="nil"/>
              <w:bottom w:val="single" w:sz="4" w:space="0" w:color="auto"/>
              <w:right w:val="nil"/>
            </w:tcBorders>
            <w:shd w:val="clear" w:color="auto" w:fill="auto"/>
            <w:noWrap/>
            <w:vAlign w:val="bottom"/>
            <w:hideMark/>
          </w:tcPr>
          <w:p w14:paraId="458F0EB5"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337</w:t>
            </w:r>
          </w:p>
        </w:tc>
        <w:tc>
          <w:tcPr>
            <w:tcW w:w="1384" w:type="dxa"/>
            <w:tcBorders>
              <w:top w:val="nil"/>
              <w:left w:val="nil"/>
              <w:bottom w:val="single" w:sz="4" w:space="0" w:color="auto"/>
              <w:right w:val="single" w:sz="4" w:space="0" w:color="auto"/>
            </w:tcBorders>
            <w:shd w:val="clear" w:color="auto" w:fill="auto"/>
            <w:noWrap/>
            <w:vAlign w:val="bottom"/>
            <w:hideMark/>
          </w:tcPr>
          <w:p w14:paraId="1C341943" w14:textId="3D7942A9"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11,82</w:t>
            </w:r>
          </w:p>
        </w:tc>
        <w:tc>
          <w:tcPr>
            <w:tcW w:w="1168" w:type="dxa"/>
            <w:tcBorders>
              <w:top w:val="nil"/>
              <w:left w:val="nil"/>
              <w:bottom w:val="single" w:sz="4" w:space="0" w:color="auto"/>
              <w:right w:val="nil"/>
            </w:tcBorders>
            <w:shd w:val="clear" w:color="auto" w:fill="auto"/>
            <w:noWrap/>
            <w:vAlign w:val="bottom"/>
            <w:hideMark/>
          </w:tcPr>
          <w:p w14:paraId="15B9DB36"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147</w:t>
            </w:r>
          </w:p>
        </w:tc>
        <w:tc>
          <w:tcPr>
            <w:tcW w:w="1525" w:type="dxa"/>
            <w:tcBorders>
              <w:top w:val="nil"/>
              <w:left w:val="nil"/>
              <w:bottom w:val="single" w:sz="4" w:space="0" w:color="auto"/>
              <w:right w:val="nil"/>
            </w:tcBorders>
            <w:shd w:val="clear" w:color="auto" w:fill="auto"/>
            <w:noWrap/>
            <w:vAlign w:val="bottom"/>
            <w:hideMark/>
          </w:tcPr>
          <w:p w14:paraId="161B5F1E" w14:textId="29EA41F9"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8,44</w:t>
            </w:r>
          </w:p>
        </w:tc>
      </w:tr>
      <w:tr w:rsidR="00AC1E67" w:rsidRPr="00A00187" w14:paraId="3184F98F" w14:textId="77777777" w:rsidTr="00ED104F">
        <w:trPr>
          <w:trHeight w:val="330"/>
        </w:trPr>
        <w:tc>
          <w:tcPr>
            <w:tcW w:w="1368" w:type="dxa"/>
            <w:tcBorders>
              <w:top w:val="nil"/>
              <w:left w:val="nil"/>
              <w:bottom w:val="double" w:sz="6" w:space="0" w:color="auto"/>
              <w:right w:val="nil"/>
            </w:tcBorders>
            <w:shd w:val="clear" w:color="auto" w:fill="auto"/>
            <w:noWrap/>
            <w:vAlign w:val="bottom"/>
            <w:hideMark/>
          </w:tcPr>
          <w:p w14:paraId="6F27B864" w14:textId="2707F2F2" w:rsidR="00527829" w:rsidRPr="000D386B" w:rsidRDefault="00527829" w:rsidP="00527829">
            <w:pPr>
              <w:spacing w:line="240" w:lineRule="auto"/>
              <w:jc w:val="left"/>
              <w:rPr>
                <w:rFonts w:eastAsia="Times New Roman"/>
                <w:szCs w:val="24"/>
                <w:lang w:eastAsia="cs-CZ"/>
              </w:rPr>
            </w:pPr>
            <w:r w:rsidRPr="000D386B">
              <w:rPr>
                <w:rFonts w:eastAsia="Times New Roman"/>
                <w:szCs w:val="24"/>
                <w:lang w:eastAsia="cs-CZ"/>
              </w:rPr>
              <w:t xml:space="preserve">75 </w:t>
            </w:r>
            <w:r w:rsidR="00726EC3" w:rsidRPr="000D386B">
              <w:rPr>
                <w:rFonts w:eastAsia="Times New Roman"/>
                <w:szCs w:val="24"/>
                <w:lang w:eastAsia="cs-CZ"/>
              </w:rPr>
              <w:t>a </w:t>
            </w:r>
            <w:r w:rsidRPr="000D386B">
              <w:rPr>
                <w:rFonts w:eastAsia="Times New Roman"/>
                <w:szCs w:val="24"/>
                <w:lang w:eastAsia="cs-CZ"/>
              </w:rPr>
              <w:t>více let</w:t>
            </w:r>
          </w:p>
        </w:tc>
        <w:tc>
          <w:tcPr>
            <w:tcW w:w="1168" w:type="dxa"/>
            <w:tcBorders>
              <w:top w:val="nil"/>
              <w:left w:val="single" w:sz="4" w:space="0" w:color="auto"/>
              <w:bottom w:val="double" w:sz="6" w:space="0" w:color="auto"/>
              <w:right w:val="nil"/>
            </w:tcBorders>
            <w:shd w:val="clear" w:color="auto" w:fill="auto"/>
            <w:noWrap/>
            <w:vAlign w:val="bottom"/>
            <w:hideMark/>
          </w:tcPr>
          <w:p w14:paraId="61D9BBA7"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148</w:t>
            </w:r>
          </w:p>
        </w:tc>
        <w:tc>
          <w:tcPr>
            <w:tcW w:w="1433" w:type="dxa"/>
            <w:tcBorders>
              <w:top w:val="nil"/>
              <w:left w:val="nil"/>
              <w:bottom w:val="double" w:sz="6" w:space="0" w:color="auto"/>
              <w:right w:val="single" w:sz="4" w:space="0" w:color="auto"/>
            </w:tcBorders>
            <w:shd w:val="clear" w:color="auto" w:fill="auto"/>
            <w:noWrap/>
            <w:vAlign w:val="bottom"/>
            <w:hideMark/>
          </w:tcPr>
          <w:p w14:paraId="7900E216" w14:textId="43F9B403"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16,99</w:t>
            </w:r>
          </w:p>
        </w:tc>
        <w:tc>
          <w:tcPr>
            <w:tcW w:w="1168" w:type="dxa"/>
            <w:tcBorders>
              <w:top w:val="nil"/>
              <w:left w:val="nil"/>
              <w:bottom w:val="double" w:sz="6" w:space="0" w:color="auto"/>
              <w:right w:val="nil"/>
            </w:tcBorders>
            <w:shd w:val="clear" w:color="auto" w:fill="auto"/>
            <w:noWrap/>
            <w:vAlign w:val="bottom"/>
            <w:hideMark/>
          </w:tcPr>
          <w:p w14:paraId="31EE5FD4"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337</w:t>
            </w:r>
          </w:p>
        </w:tc>
        <w:tc>
          <w:tcPr>
            <w:tcW w:w="1384" w:type="dxa"/>
            <w:tcBorders>
              <w:top w:val="nil"/>
              <w:left w:val="nil"/>
              <w:bottom w:val="double" w:sz="6" w:space="0" w:color="auto"/>
              <w:right w:val="single" w:sz="4" w:space="0" w:color="auto"/>
            </w:tcBorders>
            <w:shd w:val="clear" w:color="auto" w:fill="auto"/>
            <w:noWrap/>
            <w:vAlign w:val="bottom"/>
            <w:hideMark/>
          </w:tcPr>
          <w:p w14:paraId="20DF08FB" w14:textId="6D002EFA"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16,99</w:t>
            </w:r>
          </w:p>
        </w:tc>
        <w:tc>
          <w:tcPr>
            <w:tcW w:w="1168" w:type="dxa"/>
            <w:tcBorders>
              <w:top w:val="nil"/>
              <w:left w:val="nil"/>
              <w:bottom w:val="double" w:sz="6" w:space="0" w:color="auto"/>
              <w:right w:val="nil"/>
            </w:tcBorders>
            <w:shd w:val="clear" w:color="auto" w:fill="auto"/>
            <w:noWrap/>
            <w:vAlign w:val="bottom"/>
            <w:hideMark/>
          </w:tcPr>
          <w:p w14:paraId="27684B2B" w14:textId="77777777"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147</w:t>
            </w:r>
          </w:p>
        </w:tc>
        <w:tc>
          <w:tcPr>
            <w:tcW w:w="1525" w:type="dxa"/>
            <w:tcBorders>
              <w:top w:val="nil"/>
              <w:left w:val="nil"/>
              <w:bottom w:val="double" w:sz="6" w:space="0" w:color="auto"/>
              <w:right w:val="nil"/>
            </w:tcBorders>
            <w:shd w:val="clear" w:color="auto" w:fill="auto"/>
            <w:noWrap/>
            <w:vAlign w:val="bottom"/>
            <w:hideMark/>
          </w:tcPr>
          <w:p w14:paraId="67187D1F" w14:textId="7F6CBBDC" w:rsidR="00527829" w:rsidRPr="000D386B" w:rsidRDefault="00527829" w:rsidP="00527829">
            <w:pPr>
              <w:spacing w:line="240" w:lineRule="auto"/>
              <w:jc w:val="center"/>
              <w:rPr>
                <w:rFonts w:eastAsia="Times New Roman"/>
                <w:szCs w:val="24"/>
                <w:lang w:eastAsia="cs-CZ"/>
              </w:rPr>
            </w:pPr>
            <w:r w:rsidRPr="000D386B">
              <w:rPr>
                <w:rFonts w:eastAsia="Times New Roman"/>
                <w:szCs w:val="24"/>
                <w:lang w:eastAsia="cs-CZ"/>
              </w:rPr>
              <w:t>16,34</w:t>
            </w:r>
          </w:p>
        </w:tc>
      </w:tr>
      <w:tr w:rsidR="00AC1E67" w:rsidRPr="00A00187" w14:paraId="3A0DD3AC" w14:textId="77777777" w:rsidTr="009F1FC1">
        <w:trPr>
          <w:trHeight w:val="330"/>
        </w:trPr>
        <w:tc>
          <w:tcPr>
            <w:tcW w:w="1368" w:type="dxa"/>
            <w:tcBorders>
              <w:top w:val="nil"/>
              <w:left w:val="nil"/>
              <w:bottom w:val="nil"/>
              <w:right w:val="nil"/>
            </w:tcBorders>
            <w:shd w:val="clear" w:color="auto" w:fill="auto"/>
            <w:noWrap/>
            <w:vAlign w:val="bottom"/>
            <w:hideMark/>
          </w:tcPr>
          <w:p w14:paraId="5566C0FC" w14:textId="77777777" w:rsidR="00527829" w:rsidRPr="000D386B" w:rsidRDefault="00527829" w:rsidP="00527829">
            <w:pPr>
              <w:spacing w:line="240" w:lineRule="auto"/>
              <w:jc w:val="center"/>
              <w:rPr>
                <w:rFonts w:eastAsia="Times New Roman"/>
                <w:szCs w:val="24"/>
                <w:lang w:eastAsia="cs-CZ"/>
              </w:rPr>
            </w:pPr>
          </w:p>
        </w:tc>
        <w:tc>
          <w:tcPr>
            <w:tcW w:w="1168" w:type="dxa"/>
            <w:tcBorders>
              <w:top w:val="nil"/>
              <w:left w:val="nil"/>
              <w:bottom w:val="nil"/>
              <w:right w:val="nil"/>
            </w:tcBorders>
            <w:shd w:val="clear" w:color="auto" w:fill="auto"/>
            <w:noWrap/>
            <w:vAlign w:val="bottom"/>
            <w:hideMark/>
          </w:tcPr>
          <w:p w14:paraId="62065BD0" w14:textId="77777777" w:rsidR="00527829" w:rsidRPr="000D386B" w:rsidRDefault="00527829" w:rsidP="00527829">
            <w:pPr>
              <w:spacing w:line="240" w:lineRule="auto"/>
              <w:jc w:val="left"/>
              <w:rPr>
                <w:rFonts w:eastAsia="Times New Roman"/>
                <w:sz w:val="20"/>
                <w:szCs w:val="20"/>
                <w:lang w:eastAsia="cs-CZ"/>
              </w:rPr>
            </w:pPr>
          </w:p>
        </w:tc>
        <w:tc>
          <w:tcPr>
            <w:tcW w:w="1433" w:type="dxa"/>
            <w:tcBorders>
              <w:top w:val="nil"/>
              <w:left w:val="nil"/>
              <w:bottom w:val="nil"/>
              <w:right w:val="nil"/>
            </w:tcBorders>
            <w:shd w:val="clear" w:color="auto" w:fill="auto"/>
            <w:noWrap/>
            <w:vAlign w:val="bottom"/>
            <w:hideMark/>
          </w:tcPr>
          <w:p w14:paraId="28FD135B" w14:textId="77777777" w:rsidR="00527829" w:rsidRPr="000D386B" w:rsidRDefault="00527829" w:rsidP="00527829">
            <w:pPr>
              <w:spacing w:line="240" w:lineRule="auto"/>
              <w:jc w:val="left"/>
              <w:rPr>
                <w:rFonts w:eastAsia="Times New Roman"/>
                <w:sz w:val="20"/>
                <w:szCs w:val="20"/>
                <w:lang w:eastAsia="cs-CZ"/>
              </w:rPr>
            </w:pPr>
          </w:p>
        </w:tc>
        <w:tc>
          <w:tcPr>
            <w:tcW w:w="1168" w:type="dxa"/>
            <w:tcBorders>
              <w:top w:val="nil"/>
              <w:left w:val="nil"/>
              <w:bottom w:val="nil"/>
              <w:right w:val="nil"/>
            </w:tcBorders>
            <w:shd w:val="clear" w:color="auto" w:fill="auto"/>
            <w:noWrap/>
            <w:vAlign w:val="bottom"/>
            <w:hideMark/>
          </w:tcPr>
          <w:p w14:paraId="0FDC46E7" w14:textId="77777777" w:rsidR="00527829" w:rsidRPr="000D386B" w:rsidRDefault="00527829" w:rsidP="00527829">
            <w:pPr>
              <w:spacing w:line="240" w:lineRule="auto"/>
              <w:jc w:val="left"/>
              <w:rPr>
                <w:rFonts w:eastAsia="Times New Roman"/>
                <w:sz w:val="20"/>
                <w:szCs w:val="20"/>
                <w:lang w:eastAsia="cs-CZ"/>
              </w:rPr>
            </w:pPr>
          </w:p>
        </w:tc>
        <w:tc>
          <w:tcPr>
            <w:tcW w:w="1384" w:type="dxa"/>
            <w:tcBorders>
              <w:top w:val="nil"/>
              <w:left w:val="nil"/>
              <w:bottom w:val="nil"/>
              <w:right w:val="nil"/>
            </w:tcBorders>
            <w:shd w:val="clear" w:color="auto" w:fill="auto"/>
            <w:noWrap/>
            <w:vAlign w:val="bottom"/>
            <w:hideMark/>
          </w:tcPr>
          <w:p w14:paraId="1098D247" w14:textId="77777777" w:rsidR="00527829" w:rsidRPr="000D386B" w:rsidRDefault="00527829" w:rsidP="00527829">
            <w:pPr>
              <w:spacing w:line="240" w:lineRule="auto"/>
              <w:jc w:val="left"/>
              <w:rPr>
                <w:rFonts w:eastAsia="Times New Roman"/>
                <w:sz w:val="20"/>
                <w:szCs w:val="20"/>
                <w:lang w:eastAsia="cs-CZ"/>
              </w:rPr>
            </w:pPr>
          </w:p>
        </w:tc>
        <w:tc>
          <w:tcPr>
            <w:tcW w:w="1168" w:type="dxa"/>
            <w:tcBorders>
              <w:top w:val="nil"/>
              <w:left w:val="nil"/>
              <w:bottom w:val="nil"/>
              <w:right w:val="nil"/>
            </w:tcBorders>
            <w:shd w:val="clear" w:color="auto" w:fill="auto"/>
            <w:noWrap/>
            <w:vAlign w:val="bottom"/>
            <w:hideMark/>
          </w:tcPr>
          <w:p w14:paraId="51C7B6C6" w14:textId="77777777" w:rsidR="00527829" w:rsidRPr="000D386B" w:rsidRDefault="00527829" w:rsidP="00527829">
            <w:pPr>
              <w:spacing w:line="240" w:lineRule="auto"/>
              <w:jc w:val="left"/>
              <w:rPr>
                <w:rFonts w:eastAsia="Times New Roman"/>
                <w:sz w:val="20"/>
                <w:szCs w:val="20"/>
                <w:lang w:eastAsia="cs-CZ"/>
              </w:rPr>
            </w:pPr>
          </w:p>
        </w:tc>
        <w:tc>
          <w:tcPr>
            <w:tcW w:w="1525" w:type="dxa"/>
            <w:tcBorders>
              <w:top w:val="nil"/>
              <w:left w:val="nil"/>
              <w:bottom w:val="nil"/>
              <w:right w:val="nil"/>
            </w:tcBorders>
            <w:shd w:val="clear" w:color="auto" w:fill="auto"/>
            <w:noWrap/>
            <w:vAlign w:val="bottom"/>
            <w:hideMark/>
          </w:tcPr>
          <w:p w14:paraId="75BBA09E" w14:textId="77777777" w:rsidR="00527829" w:rsidRPr="000D386B" w:rsidRDefault="00527829" w:rsidP="00527829">
            <w:pPr>
              <w:spacing w:line="240" w:lineRule="auto"/>
              <w:jc w:val="left"/>
              <w:rPr>
                <w:rFonts w:eastAsia="Times New Roman"/>
                <w:sz w:val="20"/>
                <w:szCs w:val="20"/>
                <w:lang w:eastAsia="cs-CZ"/>
              </w:rPr>
            </w:pPr>
          </w:p>
        </w:tc>
      </w:tr>
    </w:tbl>
    <w:p w14:paraId="7488D078" w14:textId="3D302019" w:rsidR="00CB570A" w:rsidRDefault="00726EC3" w:rsidP="00527829">
      <w:pPr>
        <w:pStyle w:val="OdstavecASR"/>
      </w:pPr>
      <w:r w:rsidRPr="00A00187">
        <w:t>V</w:t>
      </w:r>
      <w:r>
        <w:t> </w:t>
      </w:r>
      <w:r w:rsidR="00527829" w:rsidRPr="00A00187">
        <w:t xml:space="preserve">tabulce se převážně vyskytují tři zdaleka nejběžnější trestné činy: </w:t>
      </w:r>
      <w:r w:rsidR="00527829" w:rsidRPr="00A00187">
        <w:rPr>
          <w:i/>
        </w:rPr>
        <w:t>krádež</w:t>
      </w:r>
      <w:r w:rsidR="00527829" w:rsidRPr="00A00187">
        <w:t xml:space="preserve"> (§ 205 trestního zákoníku), </w:t>
      </w:r>
      <w:r w:rsidR="00527829" w:rsidRPr="00A00187">
        <w:rPr>
          <w:i/>
        </w:rPr>
        <w:t>ohrožení pod vlivem návykové látky</w:t>
      </w:r>
      <w:r w:rsidR="00527829" w:rsidRPr="00A00187">
        <w:t xml:space="preserve"> (§ 274 trestního zákoníku) </w:t>
      </w:r>
      <w:r w:rsidRPr="00A00187">
        <w:t>a</w:t>
      </w:r>
      <w:r>
        <w:t> </w:t>
      </w:r>
      <w:r w:rsidR="00527829" w:rsidRPr="00A00187">
        <w:rPr>
          <w:i/>
        </w:rPr>
        <w:t xml:space="preserve">maření výkonu úředního rozhodnutí </w:t>
      </w:r>
      <w:r w:rsidRPr="00A00187">
        <w:rPr>
          <w:i/>
        </w:rPr>
        <w:t>a</w:t>
      </w:r>
      <w:r>
        <w:rPr>
          <w:i/>
        </w:rPr>
        <w:t> </w:t>
      </w:r>
      <w:r w:rsidR="00527829" w:rsidRPr="00A00187">
        <w:rPr>
          <w:i/>
        </w:rPr>
        <w:t>vykázání</w:t>
      </w:r>
      <w:r w:rsidR="00527829" w:rsidRPr="00A00187">
        <w:t xml:space="preserve"> (§</w:t>
      </w:r>
      <w:r w:rsidR="00641DB9">
        <w:t> </w:t>
      </w:r>
      <w:r w:rsidR="00527829" w:rsidRPr="00A00187">
        <w:t xml:space="preserve">337 trestního zákoníku). </w:t>
      </w:r>
      <w:r w:rsidR="004337E8" w:rsidRPr="00A00187">
        <w:t>I</w:t>
      </w:r>
      <w:r w:rsidR="00641DB9">
        <w:t> </w:t>
      </w:r>
      <w:r w:rsidR="004337E8" w:rsidRPr="00A00187">
        <w:t>tento</w:t>
      </w:r>
      <w:r w:rsidR="00527829" w:rsidRPr="00A00187">
        <w:t xml:space="preserve"> jednoduchý pohled </w:t>
      </w:r>
      <w:r w:rsidR="004337E8" w:rsidRPr="00A00187">
        <w:t xml:space="preserve">nabízí několik </w:t>
      </w:r>
      <w:r w:rsidR="00527829" w:rsidRPr="00A00187">
        <w:t xml:space="preserve">zajímavých </w:t>
      </w:r>
      <w:r w:rsidR="004337E8" w:rsidRPr="00A00187">
        <w:t>závěrů</w:t>
      </w:r>
      <w:r w:rsidR="00527829" w:rsidRPr="00A00187">
        <w:t>:</w:t>
      </w:r>
    </w:p>
    <w:p w14:paraId="3583F1C6" w14:textId="55D2014D" w:rsidR="00527829" w:rsidRPr="00A00187" w:rsidRDefault="00527829" w:rsidP="00814225">
      <w:pPr>
        <w:pStyle w:val="OdstavecASR"/>
        <w:numPr>
          <w:ilvl w:val="0"/>
          <w:numId w:val="31"/>
        </w:numPr>
      </w:pPr>
      <w:r w:rsidRPr="00A00187">
        <w:lastRenderedPageBreak/>
        <w:t xml:space="preserve">Trestný čin </w:t>
      </w:r>
      <w:r w:rsidRPr="00A00187">
        <w:rPr>
          <w:i/>
        </w:rPr>
        <w:t>krádeže</w:t>
      </w:r>
      <w:r w:rsidRPr="00A00187">
        <w:t xml:space="preserve"> převládá u mladších věkových skupin, později ho „nahradí“ jiné trestné činy.</w:t>
      </w:r>
    </w:p>
    <w:p w14:paraId="02BDE553" w14:textId="47F24738" w:rsidR="00527829" w:rsidRPr="00A00187" w:rsidRDefault="00527829" w:rsidP="00527829">
      <w:pPr>
        <w:pStyle w:val="OdstavecASR"/>
        <w:numPr>
          <w:ilvl w:val="0"/>
          <w:numId w:val="17"/>
        </w:numPr>
      </w:pPr>
      <w:r w:rsidRPr="00A00187">
        <w:t>Zajímavý je výskyt trestn</w:t>
      </w:r>
      <w:r w:rsidR="00814225" w:rsidRPr="00A00187">
        <w:t>ých</w:t>
      </w:r>
      <w:r w:rsidRPr="00A00187">
        <w:t xml:space="preserve"> čin</w:t>
      </w:r>
      <w:r w:rsidR="00814225" w:rsidRPr="00A00187">
        <w:t xml:space="preserve">ů </w:t>
      </w:r>
      <w:r w:rsidR="00814225" w:rsidRPr="00A00187">
        <w:rPr>
          <w:i/>
        </w:rPr>
        <w:t xml:space="preserve">ublížení na zdraví z nedbalosti </w:t>
      </w:r>
      <w:r w:rsidR="00814225" w:rsidRPr="00A00187">
        <w:t>(§ 148 trestního zákoníku) a </w:t>
      </w:r>
      <w:r w:rsidRPr="00A00187">
        <w:rPr>
          <w:i/>
        </w:rPr>
        <w:t>těžké ublížení na zdraví z nedbalosti</w:t>
      </w:r>
      <w:r w:rsidRPr="00A00187">
        <w:t xml:space="preserve"> (§ 147 trestního zákoníku) </w:t>
      </w:r>
      <w:r w:rsidR="00726EC3" w:rsidRPr="00A00187">
        <w:t>u</w:t>
      </w:r>
      <w:r w:rsidR="00726EC3">
        <w:t> </w:t>
      </w:r>
      <w:r w:rsidRPr="00A00187">
        <w:t>osob nad 65</w:t>
      </w:r>
      <w:r w:rsidR="00641DB9">
        <w:t> </w:t>
      </w:r>
      <w:r w:rsidRPr="00A00187">
        <w:t>let. Úmyslná trestná činnost už v tomto věku klesá, naopak stoupá relativní počet nehod</w:t>
      </w:r>
      <w:r w:rsidR="00ED104F" w:rsidRPr="00A00187">
        <w:t xml:space="preserve">. </w:t>
      </w:r>
      <w:r w:rsidRPr="00A00187">
        <w:t xml:space="preserve">Počet pozorování je ale </w:t>
      </w:r>
      <w:r w:rsidR="00726EC3" w:rsidRPr="00A00187">
        <w:t>u</w:t>
      </w:r>
      <w:r w:rsidR="00726EC3">
        <w:t> </w:t>
      </w:r>
      <w:r w:rsidRPr="00A00187">
        <w:t xml:space="preserve">těchto věkových skupin </w:t>
      </w:r>
      <w:r w:rsidR="005E2056" w:rsidRPr="00A00187">
        <w:t xml:space="preserve">již </w:t>
      </w:r>
      <w:r w:rsidRPr="00A00187">
        <w:t>poměrně malý.</w:t>
      </w:r>
    </w:p>
    <w:p w14:paraId="3E39F369" w14:textId="2E62B0D5" w:rsidR="00CB570A" w:rsidRDefault="00814225" w:rsidP="00527829">
      <w:pPr>
        <w:pStyle w:val="OdstavecASR"/>
        <w:numPr>
          <w:ilvl w:val="0"/>
          <w:numId w:val="17"/>
        </w:numPr>
      </w:pPr>
      <w:r w:rsidRPr="00A00187">
        <w:t>Obdobná data jsme publikovali ji</w:t>
      </w:r>
      <w:r w:rsidR="006B2206" w:rsidRPr="00A00187">
        <w:t>ž</w:t>
      </w:r>
      <w:r w:rsidRPr="00A00187">
        <w:t xml:space="preserve"> ve statistické zprávě za rok 2019. Mezi rok</w:t>
      </w:r>
      <w:r w:rsidR="006B2206" w:rsidRPr="00A00187">
        <w:t>y</w:t>
      </w:r>
      <w:r w:rsidRPr="00A00187">
        <w:t xml:space="preserve"> nedošlo k mnoh</w:t>
      </w:r>
      <w:r w:rsidR="004337E8" w:rsidRPr="00A00187">
        <w:t>a</w:t>
      </w:r>
      <w:r w:rsidRPr="00A00187">
        <w:t xml:space="preserve"> změnám</w:t>
      </w:r>
      <w:r w:rsidR="004337E8" w:rsidRPr="00A00187">
        <w:t>, j</w:t>
      </w:r>
      <w:r w:rsidRPr="00A00187">
        <w:t xml:space="preserve">edna ale zaujme – pokles podílu krádeží (§ 205 trestního zákoníku). Především </w:t>
      </w:r>
      <w:r w:rsidR="00726EC3" w:rsidRPr="00A00187">
        <w:t>u</w:t>
      </w:r>
      <w:r w:rsidR="00726EC3">
        <w:t> </w:t>
      </w:r>
      <w:r w:rsidRPr="00A00187">
        <w:t xml:space="preserve">mladších věkových kategorií se jedná </w:t>
      </w:r>
      <w:r w:rsidR="00726EC3" w:rsidRPr="00A00187">
        <w:t>o</w:t>
      </w:r>
      <w:r w:rsidR="00726EC3">
        <w:t> </w:t>
      </w:r>
      <w:r w:rsidRPr="00A00187">
        <w:t xml:space="preserve">pokles až </w:t>
      </w:r>
      <w:r w:rsidR="005E2056" w:rsidRPr="00A00187">
        <w:t>o</w:t>
      </w:r>
      <w:r w:rsidR="004337E8" w:rsidRPr="00A00187">
        <w:t> </w:t>
      </w:r>
      <w:r w:rsidR="00726EC3" w:rsidRPr="00A00187">
        <w:t>5</w:t>
      </w:r>
      <w:r w:rsidR="00726EC3">
        <w:t> </w:t>
      </w:r>
      <w:r w:rsidR="005E2056" w:rsidRPr="00A00187">
        <w:t>procentních</w:t>
      </w:r>
      <w:r w:rsidRPr="00A00187">
        <w:t xml:space="preserve"> bodů. Tento jev lze připsat pandemii COVID-19. K páchání této trestné činnosti </w:t>
      </w:r>
      <w:r w:rsidR="005E2056" w:rsidRPr="00A00187">
        <w:t xml:space="preserve">pravděpodobně </w:t>
      </w:r>
      <w:r w:rsidRPr="00A00187">
        <w:t xml:space="preserve">bylo mnohem méně příležitostí. </w:t>
      </w:r>
      <w:r w:rsidR="00B6020E" w:rsidRPr="00A00187">
        <w:t xml:space="preserve">Alternativně, </w:t>
      </w:r>
      <w:r w:rsidR="00726EC3" w:rsidRPr="00A00187">
        <w:t>v</w:t>
      </w:r>
      <w:r w:rsidR="00726EC3">
        <w:t> </w:t>
      </w:r>
      <w:r w:rsidR="00B6020E" w:rsidRPr="00A00187">
        <w:t>mezidobí se na dvojnásobek zvedl práh výše škody pro kvalifikaci nejen krádeže jako trestného činu (</w:t>
      </w:r>
      <w:r w:rsidR="00726EC3" w:rsidRPr="00A00187">
        <w:t>z</w:t>
      </w:r>
      <w:r w:rsidR="00726EC3">
        <w:t> </w:t>
      </w:r>
      <w:r w:rsidR="00B6020E" w:rsidRPr="00A00187">
        <w:t xml:space="preserve">5 na 10 tisíc Kč). Například tedy krádež běžného mobilního telefonu </w:t>
      </w:r>
      <w:proofErr w:type="spellStart"/>
      <w:r w:rsidR="00B6020E" w:rsidRPr="00A00187">
        <w:t>prvopachatelem</w:t>
      </w:r>
      <w:proofErr w:type="spellEnd"/>
      <w:r w:rsidR="00B6020E" w:rsidRPr="00A00187">
        <w:t xml:space="preserve"> se tak stala přestupkem.</w:t>
      </w:r>
    </w:p>
    <w:p w14:paraId="31F55761" w14:textId="3FB28235" w:rsidR="00814225" w:rsidRPr="000D386B" w:rsidRDefault="00814225" w:rsidP="007F73C9">
      <w:pPr>
        <w:pStyle w:val="OdstavecASR"/>
        <w:keepNext/>
        <w:outlineLvl w:val="3"/>
        <w:rPr>
          <w:b/>
          <w:bCs/>
        </w:rPr>
      </w:pPr>
      <w:r w:rsidRPr="000D386B">
        <w:rPr>
          <w:b/>
          <w:bCs/>
        </w:rPr>
        <w:t>Peněžité tresty</w:t>
      </w:r>
    </w:p>
    <w:p w14:paraId="2C25FE74" w14:textId="2CE8F366" w:rsidR="00814225" w:rsidRPr="00A00187" w:rsidRDefault="00814225" w:rsidP="00814225">
      <w:pPr>
        <w:pStyle w:val="OdstavecASR"/>
      </w:pPr>
      <w:r w:rsidRPr="00A00187">
        <w:t>Stejně jako v předchozí</w:t>
      </w:r>
      <w:r w:rsidR="00C26BD4" w:rsidRPr="00A00187">
        <w:t>ch</w:t>
      </w:r>
      <w:r w:rsidRPr="00A00187">
        <w:t xml:space="preserve"> zpráv</w:t>
      </w:r>
      <w:r w:rsidR="00C26BD4" w:rsidRPr="00A00187">
        <w:t>ách</w:t>
      </w:r>
      <w:r w:rsidRPr="00A00187">
        <w:t xml:space="preserve"> se </w:t>
      </w:r>
      <w:r w:rsidR="004337E8" w:rsidRPr="00A00187">
        <w:t>na závěr zaměříme</w:t>
      </w:r>
      <w:r w:rsidRPr="00A00187">
        <w:t xml:space="preserve"> na ukládání peněžitých trestů. Níže uvedená data jsou získána ze statistických listů a týkají se odsouzených osob. Souhrnné a úhrnné tresty tak nejsou započteny. Data se vztahují ke všem případům, kdy byl uložen peněžitý trest, tedy jak k těm, kdy byl trest uložen jako hlavní sankce, tak k případům, kdy byl trest uložen jako další sankce, například vedle trestu odnětí svobody.</w:t>
      </w:r>
    </w:p>
    <w:p w14:paraId="55293057" w14:textId="65FD1DCF" w:rsidR="00AA072B" w:rsidRPr="00A00187" w:rsidRDefault="00AA072B" w:rsidP="00AA072B">
      <w:pPr>
        <w:pStyle w:val="OdstavecASR"/>
      </w:pPr>
      <w:r w:rsidRPr="00A00187">
        <w:t xml:space="preserve">Tento statistický údaj je </w:t>
      </w:r>
      <w:r w:rsidR="004337E8" w:rsidRPr="00A00187">
        <w:t>sledován</w:t>
      </w:r>
      <w:r w:rsidRPr="00A00187">
        <w:t xml:space="preserve"> s ohledem na snahu vlády, Ministerstva spravedlnosti, Nejvyššího soudu a Nejvyššího státního zastupitelství o zvýšení počtu ukládaných peněžitých trestů jak prostřednictvím legislativních opatření, tak apelem nejen na soudy, ale i na státní zastupitelství, policejní orgány a Probační a mediační službu. V počtu (a podílu na celkovém počtu odsouzených osob) uložených peněžitých trestů totiž ČR výrazně zaostává za okolními státy. Zdá se tedy vhodné sledovat, zda přijatá opatření opravdu vedou ke zvýšení počtu uložených peněžitých trestů. Nejedná se nicméně o podrobnou analýzu, která by přesahovala plánovaný rozsah zprávy.</w:t>
      </w:r>
    </w:p>
    <w:p w14:paraId="28305D56" w14:textId="32312F4E" w:rsidR="00AA072B" w:rsidRPr="00A00187" w:rsidRDefault="00AA072B" w:rsidP="00AA072B">
      <w:pPr>
        <w:pStyle w:val="OdstavecASR"/>
      </w:pPr>
      <w:r w:rsidRPr="00A00187">
        <w:t>V prvním grafu je uvedena celková částka peněžitých trestů uložených odsouzeným osobám u okresních soudů. Suma uložených trestů od roku 2009 klesala až na částku 85 014 000 Kč. Následně došlo k přijetí výše uvedených opatření a částka začala velmi rychle růst. Skokově vzrostla především mezi lety 2017 a 2018. V roce 2019 byla celková suma uložených peněžitých trestů 252 592 000 Kč, tedy téměř trojnásobek částky v roce 2015.</w:t>
      </w:r>
    </w:p>
    <w:p w14:paraId="2341066F" w14:textId="032A6B74" w:rsidR="00CB570A" w:rsidRDefault="004337E8" w:rsidP="00AA072B">
      <w:pPr>
        <w:pStyle w:val="OdstavecASR"/>
      </w:pPr>
      <w:r w:rsidRPr="00A00187">
        <w:t>V</w:t>
      </w:r>
      <w:r w:rsidR="00AA072B" w:rsidRPr="00A00187">
        <w:t> roce 2020 celková hodnota uložených peněžitých trestů vzrostla (celkem výrazně</w:t>
      </w:r>
      <w:r w:rsidRPr="00A00187">
        <w:t>,</w:t>
      </w:r>
      <w:r w:rsidR="00AA072B" w:rsidRPr="00A00187">
        <w:t xml:space="preserve"> asi o 19</w:t>
      </w:r>
      <w:r w:rsidR="00CB570A">
        <w:t> %</w:t>
      </w:r>
      <w:r w:rsidR="00AA072B" w:rsidRPr="00A00187">
        <w:t>)</w:t>
      </w:r>
      <w:r w:rsidRPr="00A00187">
        <w:t>, a</w:t>
      </w:r>
      <w:r w:rsidR="00951AD7" w:rsidRPr="00A00187">
        <w:t> </w:t>
      </w:r>
      <w:r w:rsidRPr="00A00187">
        <w:t>to</w:t>
      </w:r>
      <w:r w:rsidR="00AA072B" w:rsidRPr="00A00187">
        <w:t xml:space="preserve"> i přes pokles v počtu věcí. To je dáno jak výše diskutovanými faktory, tak především nouzovým stavem na území ČR, kdy </w:t>
      </w:r>
      <w:r w:rsidRPr="00A00187">
        <w:t xml:space="preserve">byly </w:t>
      </w:r>
      <w:r w:rsidR="00AA072B" w:rsidRPr="00A00187">
        <w:t xml:space="preserve">ukládány vyšší tresty včetně peněžitých, </w:t>
      </w:r>
      <w:r w:rsidRPr="00A00187">
        <w:t xml:space="preserve">jak </w:t>
      </w:r>
      <w:r w:rsidR="00AA072B" w:rsidRPr="00A00187">
        <w:t>dokládá graf níže.</w:t>
      </w:r>
      <w:r w:rsidR="00506709" w:rsidRPr="00A00187">
        <w:t xml:space="preserve"> </w:t>
      </w:r>
      <w:r w:rsidR="00AA072B" w:rsidRPr="00A00187">
        <w:t xml:space="preserve">V roce 2021 vidíme další signifikantní nárůst na 376 708 000 Kč. </w:t>
      </w:r>
      <w:bookmarkStart w:id="389" w:name="_Hlk104291512"/>
      <w:r w:rsidR="00AA072B" w:rsidRPr="00A00187">
        <w:t xml:space="preserve">Částka </w:t>
      </w:r>
      <w:r w:rsidR="00506709" w:rsidRPr="00A00187">
        <w:t xml:space="preserve">peněžitých trestů </w:t>
      </w:r>
      <w:r w:rsidR="00AA072B" w:rsidRPr="00A00187">
        <w:t xml:space="preserve">uložená okresními soudy tedy oproti roku 2015 narostla asi </w:t>
      </w:r>
      <w:r w:rsidR="00726EC3" w:rsidRPr="00A00187">
        <w:t>o</w:t>
      </w:r>
      <w:r w:rsidR="00726EC3">
        <w:t> </w:t>
      </w:r>
      <w:r w:rsidR="00AA072B" w:rsidRPr="00A00187">
        <w:t>350</w:t>
      </w:r>
      <w:r w:rsidR="00CB570A">
        <w:t> %</w:t>
      </w:r>
      <w:r w:rsidR="00AA072B" w:rsidRPr="00A00187">
        <w:t>.</w:t>
      </w:r>
    </w:p>
    <w:p w14:paraId="62797D03" w14:textId="68AAF9D8" w:rsidR="00AA072B" w:rsidRPr="00A00187" w:rsidRDefault="00AA072B" w:rsidP="00AA072B">
      <w:pPr>
        <w:pStyle w:val="Podnadpis"/>
        <w:rPr>
          <w:color w:val="auto"/>
        </w:rPr>
      </w:pPr>
      <w:bookmarkStart w:id="390" w:name="_Toc43841413"/>
      <w:bookmarkStart w:id="391" w:name="_Toc75952215"/>
      <w:bookmarkStart w:id="392" w:name="_Toc106106667"/>
      <w:bookmarkStart w:id="393" w:name="_Toc109801991"/>
      <w:bookmarkEnd w:id="389"/>
      <w:r w:rsidRPr="00A00187">
        <w:rPr>
          <w:color w:val="auto"/>
        </w:rPr>
        <w:lastRenderedPageBreak/>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33</w:t>
      </w:r>
      <w:r w:rsidRPr="00A00187">
        <w:rPr>
          <w:noProof/>
          <w:color w:val="auto"/>
        </w:rPr>
        <w:fldChar w:fldCharType="end"/>
      </w:r>
      <w:r w:rsidRPr="00A00187">
        <w:rPr>
          <w:color w:val="auto"/>
        </w:rPr>
        <w:t>: OS – suma uložených peněžitých trestů</w:t>
      </w:r>
      <w:bookmarkEnd w:id="390"/>
      <w:bookmarkEnd w:id="391"/>
      <w:bookmarkEnd w:id="392"/>
      <w:bookmarkEnd w:id="393"/>
    </w:p>
    <w:p w14:paraId="5DD7917D" w14:textId="7AB36E34" w:rsidR="00814225" w:rsidRPr="00A00187" w:rsidRDefault="00AA072B" w:rsidP="00506709">
      <w:pPr>
        <w:pStyle w:val="OdstavecASR"/>
      </w:pPr>
      <w:r w:rsidRPr="00A00187">
        <w:rPr>
          <w:noProof/>
        </w:rPr>
        <w:drawing>
          <wp:inline distT="0" distB="0" distL="0" distR="0" wp14:anchorId="0544E2C5" wp14:editId="32F426B5">
            <wp:extent cx="5029200" cy="3657600"/>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A8DC869" w14:textId="34B04407" w:rsidR="00506709" w:rsidRPr="00A00187" w:rsidRDefault="00506709" w:rsidP="00506709">
      <w:pPr>
        <w:pStyle w:val="OdstavecASR"/>
      </w:pPr>
      <w:r w:rsidRPr="00A00187">
        <w:t>Při pohledu na další časovou řadu lze nejprve konstatovat, že v letech 2012 až 2019 byla průměrná výše peněžitých trestů v nominálních hodnotách stále přibližně stejná a výrazně se neměnila. Téměř celý růst v celkové částce uložených trestů byl tedy způsoben nárůstem počtu uložených peněžitých trestů. V roce 2020 ale narostla průměrná výše uložených trestů na 31 000 Kč, tedy o více než 5 000 Kč (o 20</w:t>
      </w:r>
      <w:r w:rsidR="00CB570A">
        <w:t> %</w:t>
      </w:r>
      <w:r w:rsidRPr="00A00187">
        <w:t>). To zřejmě souvisí s vyhlášeným nouzovým stavem na území ČR. Tato zpráva se však dále problematikou trestání během nouzového stavu nezabývá.</w:t>
      </w:r>
    </w:p>
    <w:p w14:paraId="68506D77" w14:textId="38A9EEC5" w:rsidR="00506709" w:rsidRPr="00A00187" w:rsidRDefault="00506709" w:rsidP="00506709">
      <w:pPr>
        <w:pStyle w:val="OdstavecASR"/>
      </w:pPr>
      <w:r w:rsidRPr="00A00187">
        <w:t xml:space="preserve">V roce 2021 došlo k dalšímu nárůstu průměrné výše uložených peněžitých trestů </w:t>
      </w:r>
      <w:r w:rsidR="00726EC3" w:rsidRPr="00A00187">
        <w:t>i</w:t>
      </w:r>
      <w:r w:rsidR="00726EC3">
        <w:t> </w:t>
      </w:r>
      <w:r w:rsidRPr="00A00187">
        <w:t xml:space="preserve">jejich počtu. Nárůst nyní tedy lze spíše připsat výše diskutované snaze vlády, Ministerstva spravedlnosti, Nejvyššího soudu a Nejvyššího státního zastupitelství. Počet dnů, kdy byla ČR v nouzovém stavu byl </w:t>
      </w:r>
      <w:r w:rsidR="00A627FC" w:rsidRPr="00A00187">
        <w:t xml:space="preserve">totiž </w:t>
      </w:r>
      <w:r w:rsidRPr="00A00187">
        <w:t>v roce 2021 nižší, než v roce 2020.</w:t>
      </w:r>
      <w:r w:rsidR="00C47ABD" w:rsidRPr="00A00187">
        <w:t xml:space="preserve"> Rovněž je třeba poznamenat, že se </w:t>
      </w:r>
      <w:r w:rsidR="00726EC3" w:rsidRPr="00A00187">
        <w:t>v</w:t>
      </w:r>
      <w:r w:rsidR="00726EC3">
        <w:t> </w:t>
      </w:r>
      <w:r w:rsidR="00C47ABD" w:rsidRPr="00A00187">
        <w:t xml:space="preserve">mezidobí vyvinula judikatura </w:t>
      </w:r>
      <w:r w:rsidR="00726EC3" w:rsidRPr="00A00187">
        <w:t>i</w:t>
      </w:r>
      <w:r w:rsidR="00726EC3">
        <w:t> </w:t>
      </w:r>
      <w:r w:rsidR="00C47ABD" w:rsidRPr="00A00187">
        <w:t xml:space="preserve">se zavedla speciální úprava </w:t>
      </w:r>
      <w:r w:rsidR="00726EC3" w:rsidRPr="00A00187">
        <w:t>v</w:t>
      </w:r>
      <w:r w:rsidR="00726EC3">
        <w:t> </w:t>
      </w:r>
      <w:r w:rsidR="00C47ABD" w:rsidRPr="00A00187">
        <w:t>pandemickém zákonu</w:t>
      </w:r>
      <w:r w:rsidR="00B2427B">
        <w:t>,</w:t>
      </w:r>
      <w:r w:rsidR="00C47ABD" w:rsidRPr="00A00187">
        <w:t xml:space="preserve"> která říká, že přísnější sazba se užije pouze </w:t>
      </w:r>
      <w:r w:rsidR="00726EC3" w:rsidRPr="00A00187">
        <w:t>u</w:t>
      </w:r>
      <w:r w:rsidR="00726EC3">
        <w:t> </w:t>
      </w:r>
      <w:r w:rsidR="00C47ABD" w:rsidRPr="00A00187">
        <w:t xml:space="preserve">trestných činů spáchaných </w:t>
      </w:r>
      <w:r w:rsidR="00726EC3" w:rsidRPr="00A00187">
        <w:t>v</w:t>
      </w:r>
      <w:r w:rsidR="00726EC3">
        <w:t> </w:t>
      </w:r>
      <w:r w:rsidR="00C47ABD" w:rsidRPr="00A00187">
        <w:t>souvislosti se zvládáním pandemie.</w:t>
      </w:r>
    </w:p>
    <w:p w14:paraId="6B59619E" w14:textId="0F3EF27C" w:rsidR="004B61EF" w:rsidRPr="00A00187" w:rsidRDefault="004B61EF" w:rsidP="00506709">
      <w:pPr>
        <w:pStyle w:val="OdstavecASR"/>
      </w:pPr>
      <w:r w:rsidRPr="00A00187">
        <w:t>Zajímav</w:t>
      </w:r>
      <w:r w:rsidR="00A627FC" w:rsidRPr="00A00187">
        <w:t>é jsou rovněž nejčastěji ukládané částky peněžitých</w:t>
      </w:r>
      <w:r w:rsidR="004D1190" w:rsidRPr="00A00187">
        <w:t xml:space="preserve"> trestů</w:t>
      </w:r>
      <w:r w:rsidRPr="00A00187">
        <w:t xml:space="preserve">. Soudy celkem pochopitelně ukládají velmi často „kulaté“ částky. Tresty ve výši 30 000 Kč, 20 000 Kč, 25 000 Kč, 15 000 Kč </w:t>
      </w:r>
      <w:r w:rsidR="00726EC3" w:rsidRPr="00A00187">
        <w:t>a</w:t>
      </w:r>
      <w:r w:rsidR="00726EC3">
        <w:t> </w:t>
      </w:r>
      <w:r w:rsidRPr="00A00187">
        <w:t>10 000 Kč tvořily dohromady více</w:t>
      </w:r>
      <w:r w:rsidR="004F061D" w:rsidRPr="00A00187">
        <w:t xml:space="preserve"> </w:t>
      </w:r>
      <w:r w:rsidRPr="00A00187">
        <w:t xml:space="preserve">než </w:t>
      </w:r>
      <w:r w:rsidR="00B6020E" w:rsidRPr="00A00187">
        <w:t>polovinu</w:t>
      </w:r>
      <w:r w:rsidRPr="00A00187">
        <w:t xml:space="preserve"> uložených trestů.</w:t>
      </w:r>
    </w:p>
    <w:p w14:paraId="34024FEA" w14:textId="46C67200" w:rsidR="00506709" w:rsidRPr="00A00187" w:rsidRDefault="00506709" w:rsidP="00506709">
      <w:pPr>
        <w:pStyle w:val="OdstavecASR"/>
      </w:pPr>
    </w:p>
    <w:p w14:paraId="46105200" w14:textId="77777777" w:rsidR="00506709" w:rsidRPr="00A00187" w:rsidRDefault="00506709" w:rsidP="00506709">
      <w:pPr>
        <w:pStyle w:val="OdstavecASR"/>
      </w:pPr>
    </w:p>
    <w:p w14:paraId="3D477DD7" w14:textId="77777777" w:rsidR="00506709" w:rsidRPr="00A00187" w:rsidRDefault="00506709">
      <w:pPr>
        <w:spacing w:after="160" w:line="259" w:lineRule="auto"/>
        <w:jc w:val="left"/>
        <w:rPr>
          <w:rFonts w:eastAsia="Times New Roman"/>
          <w:b/>
          <w:iCs/>
          <w:spacing w:val="15"/>
          <w:szCs w:val="24"/>
        </w:rPr>
      </w:pPr>
      <w:bookmarkStart w:id="394" w:name="_Toc43841414"/>
      <w:bookmarkStart w:id="395" w:name="_Toc75952216"/>
      <w:r w:rsidRPr="00A00187">
        <w:br w:type="page"/>
      </w:r>
    </w:p>
    <w:p w14:paraId="096A02C6" w14:textId="3AA363BA" w:rsidR="00506709" w:rsidRPr="00A00187" w:rsidRDefault="00506709" w:rsidP="00506709">
      <w:pPr>
        <w:pStyle w:val="Podnadpis"/>
        <w:rPr>
          <w:color w:val="auto"/>
        </w:rPr>
      </w:pPr>
      <w:bookmarkStart w:id="396" w:name="_Toc106106668"/>
      <w:bookmarkStart w:id="397" w:name="_Toc109801992"/>
      <w:r w:rsidRPr="00A00187">
        <w:rPr>
          <w:color w:val="auto"/>
        </w:rPr>
        <w:lastRenderedPageBreak/>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34</w:t>
      </w:r>
      <w:r w:rsidRPr="00A00187">
        <w:rPr>
          <w:noProof/>
          <w:color w:val="auto"/>
        </w:rPr>
        <w:fldChar w:fldCharType="end"/>
      </w:r>
      <w:r w:rsidRPr="00A00187">
        <w:rPr>
          <w:color w:val="auto"/>
        </w:rPr>
        <w:t>: OS – počet a průměrná výše uložených peněžitých trestů</w:t>
      </w:r>
      <w:bookmarkEnd w:id="394"/>
      <w:bookmarkEnd w:id="395"/>
      <w:bookmarkEnd w:id="396"/>
      <w:bookmarkEnd w:id="397"/>
    </w:p>
    <w:p w14:paraId="0FAE8AF6" w14:textId="63A4043D" w:rsidR="00506709" w:rsidRPr="00A00187" w:rsidRDefault="00506709" w:rsidP="00506709">
      <w:pPr>
        <w:pStyle w:val="OdstavecASR"/>
      </w:pPr>
      <w:r w:rsidRPr="00A00187">
        <w:rPr>
          <w:noProof/>
        </w:rPr>
        <w:drawing>
          <wp:inline distT="0" distB="0" distL="0" distR="0" wp14:anchorId="109CCFE1" wp14:editId="33A88B0C">
            <wp:extent cx="5029200" cy="3657600"/>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B35CD18" w14:textId="5F851D9D" w:rsidR="004B61EF" w:rsidRPr="00A00187" w:rsidRDefault="004B61EF" w:rsidP="004B61EF">
      <w:pPr>
        <w:pStyle w:val="OdstavecASR"/>
      </w:pPr>
      <w:r w:rsidRPr="00A00187">
        <w:t>Výše uvedené údaje se týkají pouze ukládání peněžitých trestů. Druhou stranou mince je otázka, zda je peněžitý trest splněn, nebo zda v důsledku jeho neplnění (tedy neplacení</w:t>
      </w:r>
      <w:r w:rsidR="00443F7D" w:rsidRPr="00A00187">
        <w:t>,</w:t>
      </w:r>
      <w:r w:rsidRPr="00A00187">
        <w:t xml:space="preserve"> byť jen zčásti) musí soud rozhodnout o tzv. přeměně na trest jiný. V následující tabulce se tedy ještě krátce podíváme na pravomocné přeměny peněžitých trestů v jiný trest.</w:t>
      </w:r>
    </w:p>
    <w:p w14:paraId="4A09D8FA" w14:textId="77777777" w:rsidR="004B61EF" w:rsidRPr="00A00187" w:rsidRDefault="004B61EF" w:rsidP="004B61EF">
      <w:pPr>
        <w:pStyle w:val="OdstavecASR"/>
      </w:pPr>
      <w:r w:rsidRPr="00A00187">
        <w:t>V této souvislosti uvádíme, že od roku 2013 novelou provedenou zákonem č. 390/2012 Sb. přibyly k běžnému nařízení výkonu náhradního trestu odnětí svobody</w:t>
      </w:r>
      <w:r w:rsidRPr="00A00187">
        <w:rPr>
          <w:rStyle w:val="Znakapoznpodarou"/>
        </w:rPr>
        <w:footnoteReference w:id="9"/>
      </w:r>
      <w:r w:rsidRPr="00A00187">
        <w:t xml:space="preserve"> (NEPO) další dvě alternativní přeměny, a to v trest domácího vězení (DV) nebo v trest obecně prospěšných prací (OPP). V roce 2020 došlo v této oblasti opět k úpravě, a to novelou provedenou zákonem č. 333/2020 Sb., která zrušila při ukládání peněžitého trestu povinnost stanovit náhradní trest odnětí svobody a naproti tomu zavedla pevný přepočet nevykonaných peněžitých trestů nebo jejich zbytků v trest odnětí svobody. Tato novela nabyla účinnosti 1. října 2020.</w:t>
      </w:r>
    </w:p>
    <w:p w14:paraId="2732C68D" w14:textId="77777777" w:rsidR="004B61EF" w:rsidRPr="00A00187" w:rsidRDefault="004B61EF">
      <w:pPr>
        <w:spacing w:after="160" w:line="259" w:lineRule="auto"/>
        <w:jc w:val="left"/>
      </w:pPr>
      <w:r w:rsidRPr="00A00187">
        <w:br w:type="page"/>
      </w:r>
    </w:p>
    <w:p w14:paraId="61F7D0DC" w14:textId="09E29C66" w:rsidR="004B61EF" w:rsidRPr="00A00187" w:rsidRDefault="004B61EF" w:rsidP="004B61EF">
      <w:pPr>
        <w:pStyle w:val="Podnadpis"/>
        <w:rPr>
          <w:color w:val="auto"/>
        </w:rPr>
      </w:pPr>
      <w:bookmarkStart w:id="398" w:name="_Toc75952331"/>
      <w:bookmarkStart w:id="399" w:name="_Toc106106788"/>
      <w:bookmarkStart w:id="400" w:name="_Toc109802111"/>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26</w:t>
      </w:r>
      <w:r w:rsidRPr="00A00187">
        <w:rPr>
          <w:color w:val="auto"/>
        </w:rPr>
        <w:fldChar w:fldCharType="end"/>
      </w:r>
      <w:r w:rsidRPr="00A00187">
        <w:rPr>
          <w:color w:val="auto"/>
        </w:rPr>
        <w:t>: OS – pravomocné přeměny peněžitého trestu v jiný trest</w:t>
      </w:r>
      <w:bookmarkEnd w:id="398"/>
      <w:bookmarkEnd w:id="399"/>
      <w:bookmarkEnd w:id="400"/>
    </w:p>
    <w:tbl>
      <w:tblPr>
        <w:tblW w:w="5432" w:type="dxa"/>
        <w:tblCellMar>
          <w:left w:w="70" w:type="dxa"/>
          <w:right w:w="70" w:type="dxa"/>
        </w:tblCellMar>
        <w:tblLook w:val="04A0" w:firstRow="1" w:lastRow="0" w:firstColumn="1" w:lastColumn="0" w:noHBand="0" w:noVBand="1"/>
      </w:tblPr>
      <w:tblGrid>
        <w:gridCol w:w="1096"/>
        <w:gridCol w:w="1326"/>
        <w:gridCol w:w="649"/>
        <w:gridCol w:w="906"/>
        <w:gridCol w:w="1455"/>
      </w:tblGrid>
      <w:tr w:rsidR="00AC1E67" w:rsidRPr="00A00187" w14:paraId="1DE3EDC2" w14:textId="77777777" w:rsidTr="004B61EF">
        <w:trPr>
          <w:trHeight w:val="330"/>
        </w:trPr>
        <w:tc>
          <w:tcPr>
            <w:tcW w:w="1096" w:type="dxa"/>
            <w:vMerge w:val="restart"/>
            <w:tcBorders>
              <w:top w:val="double" w:sz="6" w:space="0" w:color="auto"/>
              <w:left w:val="nil"/>
              <w:bottom w:val="double" w:sz="6" w:space="0" w:color="000000"/>
              <w:right w:val="nil"/>
            </w:tcBorders>
            <w:shd w:val="clear" w:color="auto" w:fill="auto"/>
            <w:noWrap/>
            <w:vAlign w:val="center"/>
            <w:hideMark/>
          </w:tcPr>
          <w:p w14:paraId="4D5066CD" w14:textId="77777777" w:rsidR="004B61EF" w:rsidRPr="00A00187" w:rsidRDefault="004B61EF" w:rsidP="004B61EF">
            <w:pPr>
              <w:spacing w:line="240" w:lineRule="auto"/>
              <w:jc w:val="center"/>
              <w:rPr>
                <w:rFonts w:eastAsia="Times New Roman"/>
                <w:b/>
                <w:bCs/>
                <w:szCs w:val="24"/>
                <w:lang w:eastAsia="cs-CZ"/>
              </w:rPr>
            </w:pPr>
            <w:r w:rsidRPr="00A00187">
              <w:rPr>
                <w:rFonts w:eastAsia="Times New Roman"/>
                <w:b/>
                <w:bCs/>
                <w:szCs w:val="24"/>
                <w:lang w:eastAsia="cs-CZ"/>
              </w:rPr>
              <w:t>Rok</w:t>
            </w:r>
          </w:p>
        </w:tc>
        <w:tc>
          <w:tcPr>
            <w:tcW w:w="4336" w:type="dxa"/>
            <w:gridSpan w:val="4"/>
            <w:tcBorders>
              <w:top w:val="double" w:sz="6" w:space="0" w:color="auto"/>
              <w:left w:val="nil"/>
              <w:bottom w:val="nil"/>
              <w:right w:val="nil"/>
            </w:tcBorders>
            <w:shd w:val="clear" w:color="auto" w:fill="auto"/>
            <w:noWrap/>
            <w:vAlign w:val="center"/>
            <w:hideMark/>
          </w:tcPr>
          <w:p w14:paraId="2084B36C" w14:textId="77777777" w:rsidR="004B61EF" w:rsidRPr="00A00187" w:rsidRDefault="004B61EF" w:rsidP="004B61EF">
            <w:pPr>
              <w:spacing w:line="240" w:lineRule="auto"/>
              <w:jc w:val="center"/>
              <w:rPr>
                <w:rFonts w:eastAsia="Times New Roman"/>
                <w:b/>
                <w:bCs/>
                <w:szCs w:val="24"/>
                <w:lang w:eastAsia="cs-CZ"/>
              </w:rPr>
            </w:pPr>
            <w:r w:rsidRPr="00A00187">
              <w:rPr>
                <w:rFonts w:eastAsia="Times New Roman"/>
                <w:b/>
                <w:bCs/>
                <w:szCs w:val="24"/>
                <w:lang w:eastAsia="cs-CZ"/>
              </w:rPr>
              <w:t>Pravomocná přeměna v</w:t>
            </w:r>
          </w:p>
        </w:tc>
      </w:tr>
      <w:tr w:rsidR="00AC1E67" w:rsidRPr="00A00187" w14:paraId="2EE7435C" w14:textId="77777777" w:rsidTr="004B61EF">
        <w:trPr>
          <w:trHeight w:val="330"/>
        </w:trPr>
        <w:tc>
          <w:tcPr>
            <w:tcW w:w="1096" w:type="dxa"/>
            <w:vMerge/>
            <w:tcBorders>
              <w:top w:val="double" w:sz="6" w:space="0" w:color="auto"/>
              <w:left w:val="nil"/>
              <w:bottom w:val="double" w:sz="6" w:space="0" w:color="000000"/>
              <w:right w:val="nil"/>
            </w:tcBorders>
            <w:vAlign w:val="center"/>
            <w:hideMark/>
          </w:tcPr>
          <w:p w14:paraId="4C24F5CE" w14:textId="77777777" w:rsidR="004B61EF" w:rsidRPr="00A00187" w:rsidRDefault="004B61EF" w:rsidP="004B61EF">
            <w:pPr>
              <w:spacing w:line="240" w:lineRule="auto"/>
              <w:jc w:val="left"/>
              <w:rPr>
                <w:rFonts w:eastAsia="Times New Roman"/>
                <w:b/>
                <w:bCs/>
                <w:szCs w:val="24"/>
                <w:lang w:eastAsia="cs-CZ"/>
              </w:rPr>
            </w:pPr>
          </w:p>
        </w:tc>
        <w:tc>
          <w:tcPr>
            <w:tcW w:w="1326" w:type="dxa"/>
            <w:tcBorders>
              <w:top w:val="nil"/>
              <w:left w:val="nil"/>
              <w:bottom w:val="double" w:sz="6" w:space="0" w:color="auto"/>
              <w:right w:val="nil"/>
            </w:tcBorders>
            <w:shd w:val="clear" w:color="auto" w:fill="auto"/>
            <w:noWrap/>
            <w:vAlign w:val="center"/>
            <w:hideMark/>
          </w:tcPr>
          <w:p w14:paraId="40F6C0DE" w14:textId="77777777" w:rsidR="004B61EF" w:rsidRPr="00A00187" w:rsidRDefault="004B61EF" w:rsidP="004B61EF">
            <w:pPr>
              <w:spacing w:line="240" w:lineRule="auto"/>
              <w:jc w:val="center"/>
              <w:rPr>
                <w:rFonts w:eastAsia="Times New Roman"/>
                <w:b/>
                <w:bCs/>
                <w:szCs w:val="24"/>
                <w:lang w:eastAsia="cs-CZ"/>
              </w:rPr>
            </w:pPr>
            <w:r w:rsidRPr="00A00187">
              <w:rPr>
                <w:rFonts w:eastAsia="Times New Roman"/>
                <w:b/>
                <w:bCs/>
                <w:szCs w:val="24"/>
                <w:lang w:eastAsia="cs-CZ"/>
              </w:rPr>
              <w:t>NEPO</w:t>
            </w:r>
          </w:p>
        </w:tc>
        <w:tc>
          <w:tcPr>
            <w:tcW w:w="649" w:type="dxa"/>
            <w:tcBorders>
              <w:top w:val="nil"/>
              <w:left w:val="nil"/>
              <w:bottom w:val="double" w:sz="6" w:space="0" w:color="auto"/>
              <w:right w:val="nil"/>
            </w:tcBorders>
            <w:shd w:val="clear" w:color="auto" w:fill="auto"/>
            <w:noWrap/>
            <w:vAlign w:val="center"/>
            <w:hideMark/>
          </w:tcPr>
          <w:p w14:paraId="5551E71A" w14:textId="77777777" w:rsidR="004B61EF" w:rsidRPr="00A00187" w:rsidRDefault="004B61EF" w:rsidP="004B61EF">
            <w:pPr>
              <w:spacing w:line="240" w:lineRule="auto"/>
              <w:jc w:val="center"/>
              <w:rPr>
                <w:rFonts w:eastAsia="Times New Roman"/>
                <w:b/>
                <w:bCs/>
                <w:szCs w:val="24"/>
                <w:lang w:eastAsia="cs-CZ"/>
              </w:rPr>
            </w:pPr>
            <w:r w:rsidRPr="00A00187">
              <w:rPr>
                <w:rFonts w:eastAsia="Times New Roman"/>
                <w:b/>
                <w:bCs/>
                <w:szCs w:val="24"/>
                <w:lang w:eastAsia="cs-CZ"/>
              </w:rPr>
              <w:t>DV</w:t>
            </w:r>
          </w:p>
        </w:tc>
        <w:tc>
          <w:tcPr>
            <w:tcW w:w="906" w:type="dxa"/>
            <w:tcBorders>
              <w:top w:val="nil"/>
              <w:left w:val="nil"/>
              <w:bottom w:val="double" w:sz="6" w:space="0" w:color="auto"/>
              <w:right w:val="nil"/>
            </w:tcBorders>
            <w:shd w:val="clear" w:color="auto" w:fill="auto"/>
            <w:noWrap/>
            <w:vAlign w:val="center"/>
            <w:hideMark/>
          </w:tcPr>
          <w:p w14:paraId="421BC436" w14:textId="77777777" w:rsidR="004B61EF" w:rsidRPr="00A00187" w:rsidRDefault="004B61EF" w:rsidP="004B61EF">
            <w:pPr>
              <w:spacing w:line="240" w:lineRule="auto"/>
              <w:jc w:val="center"/>
              <w:rPr>
                <w:rFonts w:eastAsia="Times New Roman"/>
                <w:b/>
                <w:bCs/>
                <w:szCs w:val="24"/>
                <w:lang w:eastAsia="cs-CZ"/>
              </w:rPr>
            </w:pPr>
            <w:r w:rsidRPr="00A00187">
              <w:rPr>
                <w:rFonts w:eastAsia="Times New Roman"/>
                <w:b/>
                <w:bCs/>
                <w:szCs w:val="24"/>
                <w:lang w:eastAsia="cs-CZ"/>
              </w:rPr>
              <w:t>OPP</w:t>
            </w:r>
          </w:p>
        </w:tc>
        <w:tc>
          <w:tcPr>
            <w:tcW w:w="1455" w:type="dxa"/>
            <w:tcBorders>
              <w:top w:val="nil"/>
              <w:left w:val="nil"/>
              <w:bottom w:val="double" w:sz="6" w:space="0" w:color="auto"/>
              <w:right w:val="nil"/>
            </w:tcBorders>
            <w:shd w:val="clear" w:color="auto" w:fill="auto"/>
            <w:noWrap/>
            <w:vAlign w:val="center"/>
            <w:hideMark/>
          </w:tcPr>
          <w:p w14:paraId="3E431772" w14:textId="77777777" w:rsidR="004B61EF" w:rsidRPr="00A00187" w:rsidRDefault="004B61EF" w:rsidP="004B61EF">
            <w:pPr>
              <w:spacing w:line="240" w:lineRule="auto"/>
              <w:jc w:val="center"/>
              <w:rPr>
                <w:rFonts w:eastAsia="Times New Roman"/>
                <w:b/>
                <w:bCs/>
                <w:szCs w:val="24"/>
                <w:lang w:eastAsia="cs-CZ"/>
              </w:rPr>
            </w:pPr>
            <w:r w:rsidRPr="00A00187">
              <w:rPr>
                <w:rFonts w:eastAsia="Times New Roman"/>
                <w:b/>
                <w:bCs/>
                <w:szCs w:val="24"/>
                <w:lang w:eastAsia="cs-CZ"/>
              </w:rPr>
              <w:t>Celkem</w:t>
            </w:r>
          </w:p>
        </w:tc>
      </w:tr>
      <w:tr w:rsidR="00AC1E67" w:rsidRPr="00A00187" w14:paraId="42A0DB7B" w14:textId="77777777" w:rsidTr="004B61EF">
        <w:trPr>
          <w:trHeight w:val="330"/>
        </w:trPr>
        <w:tc>
          <w:tcPr>
            <w:tcW w:w="1096" w:type="dxa"/>
            <w:tcBorders>
              <w:top w:val="nil"/>
              <w:left w:val="nil"/>
              <w:bottom w:val="single" w:sz="4" w:space="0" w:color="auto"/>
              <w:right w:val="nil"/>
            </w:tcBorders>
            <w:shd w:val="clear" w:color="auto" w:fill="auto"/>
            <w:noWrap/>
            <w:vAlign w:val="center"/>
            <w:hideMark/>
          </w:tcPr>
          <w:p w14:paraId="790FFD2E"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2008</w:t>
            </w:r>
          </w:p>
        </w:tc>
        <w:tc>
          <w:tcPr>
            <w:tcW w:w="1326" w:type="dxa"/>
            <w:tcBorders>
              <w:top w:val="nil"/>
              <w:left w:val="nil"/>
              <w:bottom w:val="single" w:sz="4" w:space="0" w:color="auto"/>
              <w:right w:val="nil"/>
            </w:tcBorders>
            <w:shd w:val="clear" w:color="auto" w:fill="auto"/>
            <w:noWrap/>
            <w:vAlign w:val="center"/>
            <w:hideMark/>
          </w:tcPr>
          <w:p w14:paraId="7570C8F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697</w:t>
            </w:r>
          </w:p>
        </w:tc>
        <w:tc>
          <w:tcPr>
            <w:tcW w:w="649" w:type="dxa"/>
            <w:tcBorders>
              <w:top w:val="nil"/>
              <w:left w:val="nil"/>
              <w:bottom w:val="single" w:sz="4" w:space="0" w:color="auto"/>
              <w:right w:val="nil"/>
            </w:tcBorders>
            <w:shd w:val="clear" w:color="auto" w:fill="auto"/>
            <w:noWrap/>
            <w:vAlign w:val="center"/>
            <w:hideMark/>
          </w:tcPr>
          <w:p w14:paraId="02DAA44B"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906" w:type="dxa"/>
            <w:tcBorders>
              <w:top w:val="nil"/>
              <w:left w:val="nil"/>
              <w:bottom w:val="single" w:sz="4" w:space="0" w:color="auto"/>
              <w:right w:val="nil"/>
            </w:tcBorders>
            <w:shd w:val="clear" w:color="auto" w:fill="auto"/>
            <w:noWrap/>
            <w:vAlign w:val="center"/>
            <w:hideMark/>
          </w:tcPr>
          <w:p w14:paraId="18DD8EC4"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1455" w:type="dxa"/>
            <w:tcBorders>
              <w:top w:val="nil"/>
              <w:left w:val="nil"/>
              <w:bottom w:val="single" w:sz="4" w:space="0" w:color="auto"/>
              <w:right w:val="nil"/>
            </w:tcBorders>
            <w:shd w:val="clear" w:color="auto" w:fill="auto"/>
            <w:noWrap/>
            <w:vAlign w:val="center"/>
            <w:hideMark/>
          </w:tcPr>
          <w:p w14:paraId="06BAAD8E"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697</w:t>
            </w:r>
          </w:p>
        </w:tc>
      </w:tr>
      <w:tr w:rsidR="00AC1E67" w:rsidRPr="00A00187" w14:paraId="5F2B0D19"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3010CEAF"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2009</w:t>
            </w:r>
          </w:p>
        </w:tc>
        <w:tc>
          <w:tcPr>
            <w:tcW w:w="1326" w:type="dxa"/>
            <w:tcBorders>
              <w:top w:val="nil"/>
              <w:left w:val="nil"/>
              <w:bottom w:val="single" w:sz="4" w:space="0" w:color="auto"/>
              <w:right w:val="nil"/>
            </w:tcBorders>
            <w:shd w:val="clear" w:color="auto" w:fill="auto"/>
            <w:noWrap/>
            <w:vAlign w:val="center"/>
            <w:hideMark/>
          </w:tcPr>
          <w:p w14:paraId="0FD5D09E"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903</w:t>
            </w:r>
          </w:p>
        </w:tc>
        <w:tc>
          <w:tcPr>
            <w:tcW w:w="649" w:type="dxa"/>
            <w:tcBorders>
              <w:top w:val="nil"/>
              <w:left w:val="nil"/>
              <w:bottom w:val="single" w:sz="4" w:space="0" w:color="auto"/>
              <w:right w:val="nil"/>
            </w:tcBorders>
            <w:shd w:val="clear" w:color="auto" w:fill="auto"/>
            <w:noWrap/>
            <w:vAlign w:val="center"/>
            <w:hideMark/>
          </w:tcPr>
          <w:p w14:paraId="18B0E3FD"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906" w:type="dxa"/>
            <w:tcBorders>
              <w:top w:val="nil"/>
              <w:left w:val="nil"/>
              <w:bottom w:val="single" w:sz="4" w:space="0" w:color="auto"/>
              <w:right w:val="nil"/>
            </w:tcBorders>
            <w:shd w:val="clear" w:color="auto" w:fill="auto"/>
            <w:noWrap/>
            <w:vAlign w:val="center"/>
            <w:hideMark/>
          </w:tcPr>
          <w:p w14:paraId="5527294A"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1455" w:type="dxa"/>
            <w:tcBorders>
              <w:top w:val="nil"/>
              <w:left w:val="nil"/>
              <w:bottom w:val="single" w:sz="4" w:space="0" w:color="auto"/>
              <w:right w:val="nil"/>
            </w:tcBorders>
            <w:shd w:val="clear" w:color="auto" w:fill="auto"/>
            <w:noWrap/>
            <w:vAlign w:val="center"/>
            <w:hideMark/>
          </w:tcPr>
          <w:p w14:paraId="5A67E78E"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903</w:t>
            </w:r>
          </w:p>
        </w:tc>
      </w:tr>
      <w:tr w:rsidR="00AC1E67" w:rsidRPr="00A00187" w14:paraId="157B9048"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11A2621C"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2010</w:t>
            </w:r>
          </w:p>
        </w:tc>
        <w:tc>
          <w:tcPr>
            <w:tcW w:w="1326" w:type="dxa"/>
            <w:tcBorders>
              <w:top w:val="nil"/>
              <w:left w:val="nil"/>
              <w:bottom w:val="single" w:sz="4" w:space="0" w:color="auto"/>
              <w:right w:val="nil"/>
            </w:tcBorders>
            <w:shd w:val="clear" w:color="auto" w:fill="auto"/>
            <w:noWrap/>
            <w:vAlign w:val="center"/>
            <w:hideMark/>
          </w:tcPr>
          <w:p w14:paraId="1D9A8079"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317</w:t>
            </w:r>
          </w:p>
        </w:tc>
        <w:tc>
          <w:tcPr>
            <w:tcW w:w="649" w:type="dxa"/>
            <w:tcBorders>
              <w:top w:val="nil"/>
              <w:left w:val="nil"/>
              <w:bottom w:val="single" w:sz="4" w:space="0" w:color="auto"/>
              <w:right w:val="nil"/>
            </w:tcBorders>
            <w:shd w:val="clear" w:color="auto" w:fill="auto"/>
            <w:noWrap/>
            <w:vAlign w:val="center"/>
            <w:hideMark/>
          </w:tcPr>
          <w:p w14:paraId="4B3F738E"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906" w:type="dxa"/>
            <w:tcBorders>
              <w:top w:val="nil"/>
              <w:left w:val="nil"/>
              <w:bottom w:val="single" w:sz="4" w:space="0" w:color="auto"/>
              <w:right w:val="nil"/>
            </w:tcBorders>
            <w:shd w:val="clear" w:color="auto" w:fill="auto"/>
            <w:noWrap/>
            <w:vAlign w:val="center"/>
            <w:hideMark/>
          </w:tcPr>
          <w:p w14:paraId="5C40E101"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1455" w:type="dxa"/>
            <w:tcBorders>
              <w:top w:val="nil"/>
              <w:left w:val="nil"/>
              <w:bottom w:val="single" w:sz="4" w:space="0" w:color="auto"/>
              <w:right w:val="nil"/>
            </w:tcBorders>
            <w:shd w:val="clear" w:color="auto" w:fill="auto"/>
            <w:noWrap/>
            <w:vAlign w:val="center"/>
            <w:hideMark/>
          </w:tcPr>
          <w:p w14:paraId="4004DC13"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317</w:t>
            </w:r>
          </w:p>
        </w:tc>
      </w:tr>
      <w:tr w:rsidR="00AC1E67" w:rsidRPr="00A00187" w14:paraId="3A377508"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405AE9A8"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2011</w:t>
            </w:r>
          </w:p>
        </w:tc>
        <w:tc>
          <w:tcPr>
            <w:tcW w:w="1326" w:type="dxa"/>
            <w:tcBorders>
              <w:top w:val="nil"/>
              <w:left w:val="nil"/>
              <w:bottom w:val="single" w:sz="4" w:space="0" w:color="auto"/>
              <w:right w:val="nil"/>
            </w:tcBorders>
            <w:shd w:val="clear" w:color="auto" w:fill="auto"/>
            <w:noWrap/>
            <w:vAlign w:val="center"/>
            <w:hideMark/>
          </w:tcPr>
          <w:p w14:paraId="7AC2A12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166</w:t>
            </w:r>
          </w:p>
        </w:tc>
        <w:tc>
          <w:tcPr>
            <w:tcW w:w="649" w:type="dxa"/>
            <w:tcBorders>
              <w:top w:val="nil"/>
              <w:left w:val="nil"/>
              <w:bottom w:val="single" w:sz="4" w:space="0" w:color="auto"/>
              <w:right w:val="nil"/>
            </w:tcBorders>
            <w:shd w:val="clear" w:color="auto" w:fill="auto"/>
            <w:noWrap/>
            <w:vAlign w:val="center"/>
            <w:hideMark/>
          </w:tcPr>
          <w:p w14:paraId="17AD4E2E"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906" w:type="dxa"/>
            <w:tcBorders>
              <w:top w:val="nil"/>
              <w:left w:val="nil"/>
              <w:bottom w:val="single" w:sz="4" w:space="0" w:color="auto"/>
              <w:right w:val="nil"/>
            </w:tcBorders>
            <w:shd w:val="clear" w:color="auto" w:fill="auto"/>
            <w:noWrap/>
            <w:vAlign w:val="center"/>
            <w:hideMark/>
          </w:tcPr>
          <w:p w14:paraId="6E9CFBAC"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1455" w:type="dxa"/>
            <w:tcBorders>
              <w:top w:val="nil"/>
              <w:left w:val="nil"/>
              <w:bottom w:val="single" w:sz="4" w:space="0" w:color="auto"/>
              <w:right w:val="nil"/>
            </w:tcBorders>
            <w:shd w:val="clear" w:color="auto" w:fill="auto"/>
            <w:noWrap/>
            <w:vAlign w:val="center"/>
            <w:hideMark/>
          </w:tcPr>
          <w:p w14:paraId="176FE1D5"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166</w:t>
            </w:r>
          </w:p>
        </w:tc>
      </w:tr>
      <w:tr w:rsidR="00AC1E67" w:rsidRPr="00A00187" w14:paraId="0F72DEA0"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7C9186C6"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2012</w:t>
            </w:r>
          </w:p>
        </w:tc>
        <w:tc>
          <w:tcPr>
            <w:tcW w:w="1326" w:type="dxa"/>
            <w:tcBorders>
              <w:top w:val="nil"/>
              <w:left w:val="nil"/>
              <w:bottom w:val="single" w:sz="4" w:space="0" w:color="auto"/>
              <w:right w:val="nil"/>
            </w:tcBorders>
            <w:shd w:val="clear" w:color="auto" w:fill="auto"/>
            <w:noWrap/>
            <w:vAlign w:val="center"/>
            <w:hideMark/>
          </w:tcPr>
          <w:p w14:paraId="75EC5615"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111</w:t>
            </w:r>
          </w:p>
        </w:tc>
        <w:tc>
          <w:tcPr>
            <w:tcW w:w="649" w:type="dxa"/>
            <w:tcBorders>
              <w:top w:val="nil"/>
              <w:left w:val="nil"/>
              <w:bottom w:val="single" w:sz="4" w:space="0" w:color="auto"/>
              <w:right w:val="nil"/>
            </w:tcBorders>
            <w:shd w:val="clear" w:color="auto" w:fill="auto"/>
            <w:noWrap/>
            <w:vAlign w:val="center"/>
            <w:hideMark/>
          </w:tcPr>
          <w:p w14:paraId="06AF6316"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906" w:type="dxa"/>
            <w:tcBorders>
              <w:top w:val="nil"/>
              <w:left w:val="nil"/>
              <w:bottom w:val="single" w:sz="4" w:space="0" w:color="auto"/>
              <w:right w:val="nil"/>
            </w:tcBorders>
            <w:shd w:val="clear" w:color="auto" w:fill="auto"/>
            <w:noWrap/>
            <w:vAlign w:val="center"/>
            <w:hideMark/>
          </w:tcPr>
          <w:p w14:paraId="1178F56C"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w:t>
            </w:r>
          </w:p>
        </w:tc>
        <w:tc>
          <w:tcPr>
            <w:tcW w:w="1455" w:type="dxa"/>
            <w:tcBorders>
              <w:top w:val="nil"/>
              <w:left w:val="nil"/>
              <w:bottom w:val="single" w:sz="4" w:space="0" w:color="auto"/>
              <w:right w:val="nil"/>
            </w:tcBorders>
            <w:shd w:val="clear" w:color="auto" w:fill="auto"/>
            <w:noWrap/>
            <w:vAlign w:val="center"/>
            <w:hideMark/>
          </w:tcPr>
          <w:p w14:paraId="686BED13"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111</w:t>
            </w:r>
          </w:p>
        </w:tc>
      </w:tr>
      <w:tr w:rsidR="00AC1E67" w:rsidRPr="00A00187" w14:paraId="5DB674B9"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44D3691B"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2013</w:t>
            </w:r>
          </w:p>
        </w:tc>
        <w:tc>
          <w:tcPr>
            <w:tcW w:w="1326" w:type="dxa"/>
            <w:tcBorders>
              <w:top w:val="nil"/>
              <w:left w:val="nil"/>
              <w:bottom w:val="single" w:sz="4" w:space="0" w:color="auto"/>
              <w:right w:val="nil"/>
            </w:tcBorders>
            <w:shd w:val="clear" w:color="auto" w:fill="auto"/>
            <w:noWrap/>
            <w:vAlign w:val="center"/>
            <w:hideMark/>
          </w:tcPr>
          <w:p w14:paraId="7D74077F"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77</w:t>
            </w:r>
          </w:p>
        </w:tc>
        <w:tc>
          <w:tcPr>
            <w:tcW w:w="649" w:type="dxa"/>
            <w:tcBorders>
              <w:top w:val="nil"/>
              <w:left w:val="nil"/>
              <w:bottom w:val="single" w:sz="4" w:space="0" w:color="auto"/>
              <w:right w:val="nil"/>
            </w:tcBorders>
            <w:shd w:val="clear" w:color="auto" w:fill="auto"/>
            <w:noWrap/>
            <w:vAlign w:val="center"/>
            <w:hideMark/>
          </w:tcPr>
          <w:p w14:paraId="67509968"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5</w:t>
            </w:r>
          </w:p>
        </w:tc>
        <w:tc>
          <w:tcPr>
            <w:tcW w:w="906" w:type="dxa"/>
            <w:tcBorders>
              <w:top w:val="nil"/>
              <w:left w:val="nil"/>
              <w:bottom w:val="single" w:sz="4" w:space="0" w:color="auto"/>
              <w:right w:val="nil"/>
            </w:tcBorders>
            <w:shd w:val="clear" w:color="auto" w:fill="auto"/>
            <w:noWrap/>
            <w:vAlign w:val="center"/>
            <w:hideMark/>
          </w:tcPr>
          <w:p w14:paraId="1A1A17CE"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83</w:t>
            </w:r>
          </w:p>
        </w:tc>
        <w:tc>
          <w:tcPr>
            <w:tcW w:w="1455" w:type="dxa"/>
            <w:tcBorders>
              <w:top w:val="nil"/>
              <w:left w:val="nil"/>
              <w:bottom w:val="single" w:sz="4" w:space="0" w:color="auto"/>
              <w:right w:val="nil"/>
            </w:tcBorders>
            <w:shd w:val="clear" w:color="auto" w:fill="auto"/>
            <w:noWrap/>
            <w:vAlign w:val="center"/>
            <w:hideMark/>
          </w:tcPr>
          <w:p w14:paraId="760FF853"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165</w:t>
            </w:r>
          </w:p>
        </w:tc>
      </w:tr>
      <w:tr w:rsidR="00AC1E67" w:rsidRPr="00A00187" w14:paraId="4DE6A350"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3BA8BEB0"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2014</w:t>
            </w:r>
          </w:p>
        </w:tc>
        <w:tc>
          <w:tcPr>
            <w:tcW w:w="1326" w:type="dxa"/>
            <w:tcBorders>
              <w:top w:val="nil"/>
              <w:left w:val="nil"/>
              <w:bottom w:val="single" w:sz="4" w:space="0" w:color="auto"/>
              <w:right w:val="nil"/>
            </w:tcBorders>
            <w:shd w:val="clear" w:color="auto" w:fill="auto"/>
            <w:noWrap/>
            <w:vAlign w:val="center"/>
            <w:hideMark/>
          </w:tcPr>
          <w:p w14:paraId="53A84BD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82</w:t>
            </w:r>
          </w:p>
        </w:tc>
        <w:tc>
          <w:tcPr>
            <w:tcW w:w="649" w:type="dxa"/>
            <w:tcBorders>
              <w:top w:val="nil"/>
              <w:left w:val="nil"/>
              <w:bottom w:val="single" w:sz="4" w:space="0" w:color="auto"/>
              <w:right w:val="nil"/>
            </w:tcBorders>
            <w:shd w:val="clear" w:color="auto" w:fill="auto"/>
            <w:noWrap/>
            <w:vAlign w:val="center"/>
            <w:hideMark/>
          </w:tcPr>
          <w:p w14:paraId="7A725224"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w:t>
            </w:r>
          </w:p>
        </w:tc>
        <w:tc>
          <w:tcPr>
            <w:tcW w:w="906" w:type="dxa"/>
            <w:tcBorders>
              <w:top w:val="nil"/>
              <w:left w:val="nil"/>
              <w:bottom w:val="single" w:sz="4" w:space="0" w:color="auto"/>
              <w:right w:val="nil"/>
            </w:tcBorders>
            <w:shd w:val="clear" w:color="auto" w:fill="auto"/>
            <w:noWrap/>
            <w:vAlign w:val="center"/>
            <w:hideMark/>
          </w:tcPr>
          <w:p w14:paraId="0EC62385"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88</w:t>
            </w:r>
          </w:p>
        </w:tc>
        <w:tc>
          <w:tcPr>
            <w:tcW w:w="1455" w:type="dxa"/>
            <w:tcBorders>
              <w:top w:val="nil"/>
              <w:left w:val="nil"/>
              <w:bottom w:val="single" w:sz="4" w:space="0" w:color="auto"/>
              <w:right w:val="nil"/>
            </w:tcBorders>
            <w:shd w:val="clear" w:color="auto" w:fill="auto"/>
            <w:noWrap/>
            <w:vAlign w:val="center"/>
            <w:hideMark/>
          </w:tcPr>
          <w:p w14:paraId="624D6348"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171</w:t>
            </w:r>
          </w:p>
        </w:tc>
      </w:tr>
      <w:tr w:rsidR="00AC1E67" w:rsidRPr="00A00187" w14:paraId="3DC1AC4B"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24140BF5"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2015</w:t>
            </w:r>
          </w:p>
        </w:tc>
        <w:tc>
          <w:tcPr>
            <w:tcW w:w="1326" w:type="dxa"/>
            <w:tcBorders>
              <w:top w:val="nil"/>
              <w:left w:val="nil"/>
              <w:bottom w:val="single" w:sz="4" w:space="0" w:color="auto"/>
              <w:right w:val="nil"/>
            </w:tcBorders>
            <w:shd w:val="clear" w:color="auto" w:fill="auto"/>
            <w:noWrap/>
            <w:vAlign w:val="center"/>
            <w:hideMark/>
          </w:tcPr>
          <w:p w14:paraId="301B6BF4"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69</w:t>
            </w:r>
          </w:p>
        </w:tc>
        <w:tc>
          <w:tcPr>
            <w:tcW w:w="649" w:type="dxa"/>
            <w:tcBorders>
              <w:top w:val="nil"/>
              <w:left w:val="nil"/>
              <w:bottom w:val="single" w:sz="4" w:space="0" w:color="auto"/>
              <w:right w:val="nil"/>
            </w:tcBorders>
            <w:shd w:val="clear" w:color="auto" w:fill="auto"/>
            <w:noWrap/>
            <w:vAlign w:val="center"/>
            <w:hideMark/>
          </w:tcPr>
          <w:p w14:paraId="2709411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w:t>
            </w:r>
          </w:p>
        </w:tc>
        <w:tc>
          <w:tcPr>
            <w:tcW w:w="906" w:type="dxa"/>
            <w:tcBorders>
              <w:top w:val="nil"/>
              <w:left w:val="nil"/>
              <w:bottom w:val="single" w:sz="4" w:space="0" w:color="auto"/>
              <w:right w:val="nil"/>
            </w:tcBorders>
            <w:shd w:val="clear" w:color="auto" w:fill="auto"/>
            <w:noWrap/>
            <w:vAlign w:val="center"/>
            <w:hideMark/>
          </w:tcPr>
          <w:p w14:paraId="2912D3D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49</w:t>
            </w:r>
          </w:p>
        </w:tc>
        <w:tc>
          <w:tcPr>
            <w:tcW w:w="1455" w:type="dxa"/>
            <w:tcBorders>
              <w:top w:val="nil"/>
              <w:left w:val="nil"/>
              <w:bottom w:val="single" w:sz="4" w:space="0" w:color="auto"/>
              <w:right w:val="nil"/>
            </w:tcBorders>
            <w:shd w:val="clear" w:color="auto" w:fill="auto"/>
            <w:noWrap/>
            <w:vAlign w:val="center"/>
            <w:hideMark/>
          </w:tcPr>
          <w:p w14:paraId="5255B9B1"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119</w:t>
            </w:r>
          </w:p>
        </w:tc>
      </w:tr>
      <w:tr w:rsidR="00AC1E67" w:rsidRPr="00A00187" w14:paraId="38A7C87D"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49FB8FCA"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2016</w:t>
            </w:r>
          </w:p>
        </w:tc>
        <w:tc>
          <w:tcPr>
            <w:tcW w:w="1326" w:type="dxa"/>
            <w:tcBorders>
              <w:top w:val="nil"/>
              <w:left w:val="nil"/>
              <w:bottom w:val="single" w:sz="4" w:space="0" w:color="auto"/>
              <w:right w:val="nil"/>
            </w:tcBorders>
            <w:shd w:val="clear" w:color="auto" w:fill="auto"/>
            <w:noWrap/>
            <w:vAlign w:val="center"/>
            <w:hideMark/>
          </w:tcPr>
          <w:p w14:paraId="52C80A5B"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75</w:t>
            </w:r>
          </w:p>
        </w:tc>
        <w:tc>
          <w:tcPr>
            <w:tcW w:w="649" w:type="dxa"/>
            <w:tcBorders>
              <w:top w:val="nil"/>
              <w:left w:val="nil"/>
              <w:bottom w:val="single" w:sz="4" w:space="0" w:color="auto"/>
              <w:right w:val="nil"/>
            </w:tcBorders>
            <w:shd w:val="clear" w:color="auto" w:fill="auto"/>
            <w:noWrap/>
            <w:vAlign w:val="center"/>
            <w:hideMark/>
          </w:tcPr>
          <w:p w14:paraId="5F4213F5"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w:t>
            </w:r>
          </w:p>
        </w:tc>
        <w:tc>
          <w:tcPr>
            <w:tcW w:w="906" w:type="dxa"/>
            <w:tcBorders>
              <w:top w:val="nil"/>
              <w:left w:val="nil"/>
              <w:bottom w:val="single" w:sz="4" w:space="0" w:color="auto"/>
              <w:right w:val="nil"/>
            </w:tcBorders>
            <w:shd w:val="clear" w:color="auto" w:fill="auto"/>
            <w:noWrap/>
            <w:vAlign w:val="center"/>
            <w:hideMark/>
          </w:tcPr>
          <w:p w14:paraId="0504821D"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44</w:t>
            </w:r>
          </w:p>
        </w:tc>
        <w:tc>
          <w:tcPr>
            <w:tcW w:w="1455" w:type="dxa"/>
            <w:tcBorders>
              <w:top w:val="nil"/>
              <w:left w:val="nil"/>
              <w:bottom w:val="single" w:sz="4" w:space="0" w:color="auto"/>
              <w:right w:val="nil"/>
            </w:tcBorders>
            <w:shd w:val="clear" w:color="auto" w:fill="auto"/>
            <w:noWrap/>
            <w:vAlign w:val="center"/>
            <w:hideMark/>
          </w:tcPr>
          <w:p w14:paraId="1900396D"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121</w:t>
            </w:r>
          </w:p>
        </w:tc>
      </w:tr>
      <w:tr w:rsidR="00AC1E67" w:rsidRPr="00A00187" w14:paraId="36C75D92"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17C33E9A"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2017</w:t>
            </w:r>
          </w:p>
        </w:tc>
        <w:tc>
          <w:tcPr>
            <w:tcW w:w="1326" w:type="dxa"/>
            <w:tcBorders>
              <w:top w:val="nil"/>
              <w:left w:val="nil"/>
              <w:bottom w:val="single" w:sz="4" w:space="0" w:color="auto"/>
              <w:right w:val="nil"/>
            </w:tcBorders>
            <w:shd w:val="clear" w:color="auto" w:fill="auto"/>
            <w:noWrap/>
            <w:vAlign w:val="center"/>
            <w:hideMark/>
          </w:tcPr>
          <w:p w14:paraId="38454F98"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70</w:t>
            </w:r>
          </w:p>
        </w:tc>
        <w:tc>
          <w:tcPr>
            <w:tcW w:w="649" w:type="dxa"/>
            <w:tcBorders>
              <w:top w:val="nil"/>
              <w:left w:val="nil"/>
              <w:bottom w:val="single" w:sz="4" w:space="0" w:color="auto"/>
              <w:right w:val="nil"/>
            </w:tcBorders>
            <w:shd w:val="clear" w:color="auto" w:fill="auto"/>
            <w:noWrap/>
            <w:vAlign w:val="center"/>
            <w:hideMark/>
          </w:tcPr>
          <w:p w14:paraId="560B5628"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0</w:t>
            </w:r>
          </w:p>
        </w:tc>
        <w:tc>
          <w:tcPr>
            <w:tcW w:w="906" w:type="dxa"/>
            <w:tcBorders>
              <w:top w:val="nil"/>
              <w:left w:val="nil"/>
              <w:bottom w:val="single" w:sz="4" w:space="0" w:color="auto"/>
              <w:right w:val="nil"/>
            </w:tcBorders>
            <w:shd w:val="clear" w:color="auto" w:fill="auto"/>
            <w:noWrap/>
            <w:vAlign w:val="center"/>
            <w:hideMark/>
          </w:tcPr>
          <w:p w14:paraId="0BF51181"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61</w:t>
            </w:r>
          </w:p>
        </w:tc>
        <w:tc>
          <w:tcPr>
            <w:tcW w:w="1455" w:type="dxa"/>
            <w:tcBorders>
              <w:top w:val="nil"/>
              <w:left w:val="nil"/>
              <w:bottom w:val="single" w:sz="4" w:space="0" w:color="auto"/>
              <w:right w:val="nil"/>
            </w:tcBorders>
            <w:shd w:val="clear" w:color="auto" w:fill="auto"/>
            <w:noWrap/>
            <w:vAlign w:val="center"/>
            <w:hideMark/>
          </w:tcPr>
          <w:p w14:paraId="53AD349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131</w:t>
            </w:r>
          </w:p>
        </w:tc>
      </w:tr>
      <w:tr w:rsidR="00AC1E67" w:rsidRPr="00A00187" w14:paraId="567EA54F"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195D864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2018</w:t>
            </w:r>
          </w:p>
        </w:tc>
        <w:tc>
          <w:tcPr>
            <w:tcW w:w="1326" w:type="dxa"/>
            <w:tcBorders>
              <w:top w:val="nil"/>
              <w:left w:val="nil"/>
              <w:bottom w:val="single" w:sz="4" w:space="0" w:color="auto"/>
              <w:right w:val="nil"/>
            </w:tcBorders>
            <w:shd w:val="clear" w:color="auto" w:fill="auto"/>
            <w:noWrap/>
            <w:vAlign w:val="center"/>
            <w:hideMark/>
          </w:tcPr>
          <w:p w14:paraId="33F51C46"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105</w:t>
            </w:r>
          </w:p>
        </w:tc>
        <w:tc>
          <w:tcPr>
            <w:tcW w:w="649" w:type="dxa"/>
            <w:tcBorders>
              <w:top w:val="nil"/>
              <w:left w:val="nil"/>
              <w:bottom w:val="single" w:sz="4" w:space="0" w:color="auto"/>
              <w:right w:val="nil"/>
            </w:tcBorders>
            <w:shd w:val="clear" w:color="auto" w:fill="auto"/>
            <w:noWrap/>
            <w:vAlign w:val="center"/>
            <w:hideMark/>
          </w:tcPr>
          <w:p w14:paraId="5D4A7209"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w:t>
            </w:r>
          </w:p>
        </w:tc>
        <w:tc>
          <w:tcPr>
            <w:tcW w:w="906" w:type="dxa"/>
            <w:tcBorders>
              <w:top w:val="nil"/>
              <w:left w:val="nil"/>
              <w:bottom w:val="single" w:sz="4" w:space="0" w:color="auto"/>
              <w:right w:val="nil"/>
            </w:tcBorders>
            <w:shd w:val="clear" w:color="auto" w:fill="auto"/>
            <w:noWrap/>
            <w:vAlign w:val="center"/>
            <w:hideMark/>
          </w:tcPr>
          <w:p w14:paraId="0C059D7D"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76</w:t>
            </w:r>
          </w:p>
        </w:tc>
        <w:tc>
          <w:tcPr>
            <w:tcW w:w="1455" w:type="dxa"/>
            <w:tcBorders>
              <w:top w:val="nil"/>
              <w:left w:val="nil"/>
              <w:bottom w:val="single" w:sz="4" w:space="0" w:color="auto"/>
              <w:right w:val="nil"/>
            </w:tcBorders>
            <w:shd w:val="clear" w:color="auto" w:fill="auto"/>
            <w:noWrap/>
            <w:vAlign w:val="center"/>
            <w:hideMark/>
          </w:tcPr>
          <w:p w14:paraId="4E776C32"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182</w:t>
            </w:r>
          </w:p>
        </w:tc>
      </w:tr>
      <w:tr w:rsidR="00AC1E67" w:rsidRPr="00A00187" w14:paraId="36B46FC4"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5398BE29"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2019</w:t>
            </w:r>
          </w:p>
        </w:tc>
        <w:tc>
          <w:tcPr>
            <w:tcW w:w="1326" w:type="dxa"/>
            <w:tcBorders>
              <w:top w:val="nil"/>
              <w:left w:val="nil"/>
              <w:bottom w:val="single" w:sz="4" w:space="0" w:color="auto"/>
              <w:right w:val="nil"/>
            </w:tcBorders>
            <w:shd w:val="clear" w:color="auto" w:fill="auto"/>
            <w:noWrap/>
            <w:vAlign w:val="center"/>
            <w:hideMark/>
          </w:tcPr>
          <w:p w14:paraId="25C40B6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147</w:t>
            </w:r>
          </w:p>
        </w:tc>
        <w:tc>
          <w:tcPr>
            <w:tcW w:w="649" w:type="dxa"/>
            <w:tcBorders>
              <w:top w:val="nil"/>
              <w:left w:val="nil"/>
              <w:bottom w:val="single" w:sz="4" w:space="0" w:color="auto"/>
              <w:right w:val="nil"/>
            </w:tcBorders>
            <w:shd w:val="clear" w:color="auto" w:fill="auto"/>
            <w:noWrap/>
            <w:vAlign w:val="center"/>
            <w:hideMark/>
          </w:tcPr>
          <w:p w14:paraId="6CF64675"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w:t>
            </w:r>
          </w:p>
        </w:tc>
        <w:tc>
          <w:tcPr>
            <w:tcW w:w="906" w:type="dxa"/>
            <w:tcBorders>
              <w:top w:val="nil"/>
              <w:left w:val="nil"/>
              <w:bottom w:val="single" w:sz="4" w:space="0" w:color="auto"/>
              <w:right w:val="nil"/>
            </w:tcBorders>
            <w:shd w:val="clear" w:color="auto" w:fill="auto"/>
            <w:noWrap/>
            <w:vAlign w:val="center"/>
            <w:hideMark/>
          </w:tcPr>
          <w:p w14:paraId="3EF9E0C1"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88</w:t>
            </w:r>
          </w:p>
        </w:tc>
        <w:tc>
          <w:tcPr>
            <w:tcW w:w="1455" w:type="dxa"/>
            <w:tcBorders>
              <w:top w:val="nil"/>
              <w:left w:val="nil"/>
              <w:bottom w:val="single" w:sz="4" w:space="0" w:color="auto"/>
              <w:right w:val="nil"/>
            </w:tcBorders>
            <w:shd w:val="clear" w:color="auto" w:fill="auto"/>
            <w:noWrap/>
            <w:vAlign w:val="center"/>
            <w:hideMark/>
          </w:tcPr>
          <w:p w14:paraId="13301579"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236</w:t>
            </w:r>
          </w:p>
        </w:tc>
      </w:tr>
      <w:tr w:rsidR="00AC1E67" w:rsidRPr="00A00187" w14:paraId="5520FB56" w14:textId="77777777" w:rsidTr="004B61EF">
        <w:trPr>
          <w:trHeight w:val="315"/>
        </w:trPr>
        <w:tc>
          <w:tcPr>
            <w:tcW w:w="1096" w:type="dxa"/>
            <w:tcBorders>
              <w:top w:val="nil"/>
              <w:left w:val="nil"/>
              <w:bottom w:val="single" w:sz="4" w:space="0" w:color="auto"/>
              <w:right w:val="nil"/>
            </w:tcBorders>
            <w:shd w:val="clear" w:color="auto" w:fill="auto"/>
            <w:noWrap/>
            <w:vAlign w:val="center"/>
            <w:hideMark/>
          </w:tcPr>
          <w:p w14:paraId="43307D82"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2020</w:t>
            </w:r>
          </w:p>
        </w:tc>
        <w:tc>
          <w:tcPr>
            <w:tcW w:w="1326" w:type="dxa"/>
            <w:tcBorders>
              <w:top w:val="nil"/>
              <w:left w:val="nil"/>
              <w:bottom w:val="single" w:sz="4" w:space="0" w:color="auto"/>
              <w:right w:val="nil"/>
            </w:tcBorders>
            <w:shd w:val="clear" w:color="auto" w:fill="auto"/>
            <w:noWrap/>
            <w:vAlign w:val="center"/>
            <w:hideMark/>
          </w:tcPr>
          <w:p w14:paraId="364BACC2"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139</w:t>
            </w:r>
          </w:p>
        </w:tc>
        <w:tc>
          <w:tcPr>
            <w:tcW w:w="649" w:type="dxa"/>
            <w:tcBorders>
              <w:top w:val="nil"/>
              <w:left w:val="nil"/>
              <w:bottom w:val="single" w:sz="4" w:space="0" w:color="auto"/>
              <w:right w:val="nil"/>
            </w:tcBorders>
            <w:shd w:val="clear" w:color="auto" w:fill="auto"/>
            <w:noWrap/>
            <w:vAlign w:val="center"/>
            <w:hideMark/>
          </w:tcPr>
          <w:p w14:paraId="102F61BA"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0</w:t>
            </w:r>
          </w:p>
        </w:tc>
        <w:tc>
          <w:tcPr>
            <w:tcW w:w="906" w:type="dxa"/>
            <w:tcBorders>
              <w:top w:val="nil"/>
              <w:left w:val="nil"/>
              <w:bottom w:val="single" w:sz="4" w:space="0" w:color="auto"/>
              <w:right w:val="nil"/>
            </w:tcBorders>
            <w:shd w:val="clear" w:color="auto" w:fill="auto"/>
            <w:noWrap/>
            <w:vAlign w:val="center"/>
            <w:hideMark/>
          </w:tcPr>
          <w:p w14:paraId="04C4C87B"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94</w:t>
            </w:r>
          </w:p>
        </w:tc>
        <w:tc>
          <w:tcPr>
            <w:tcW w:w="1455" w:type="dxa"/>
            <w:tcBorders>
              <w:top w:val="nil"/>
              <w:left w:val="nil"/>
              <w:bottom w:val="single" w:sz="4" w:space="0" w:color="auto"/>
              <w:right w:val="nil"/>
            </w:tcBorders>
            <w:shd w:val="clear" w:color="auto" w:fill="auto"/>
            <w:noWrap/>
            <w:vAlign w:val="center"/>
            <w:hideMark/>
          </w:tcPr>
          <w:p w14:paraId="0C4BDB19"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233</w:t>
            </w:r>
          </w:p>
        </w:tc>
      </w:tr>
      <w:tr w:rsidR="00AC1E67" w:rsidRPr="00A00187" w14:paraId="2F79B2CC" w14:textId="77777777" w:rsidTr="004B61EF">
        <w:trPr>
          <w:trHeight w:val="330"/>
        </w:trPr>
        <w:tc>
          <w:tcPr>
            <w:tcW w:w="1096" w:type="dxa"/>
            <w:tcBorders>
              <w:top w:val="nil"/>
              <w:left w:val="nil"/>
              <w:bottom w:val="double" w:sz="6" w:space="0" w:color="auto"/>
              <w:right w:val="nil"/>
            </w:tcBorders>
            <w:shd w:val="clear" w:color="auto" w:fill="auto"/>
            <w:noWrap/>
            <w:vAlign w:val="bottom"/>
            <w:hideMark/>
          </w:tcPr>
          <w:p w14:paraId="6D57075A"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2021</w:t>
            </w:r>
          </w:p>
        </w:tc>
        <w:tc>
          <w:tcPr>
            <w:tcW w:w="1326" w:type="dxa"/>
            <w:tcBorders>
              <w:top w:val="nil"/>
              <w:left w:val="nil"/>
              <w:bottom w:val="double" w:sz="6" w:space="0" w:color="auto"/>
              <w:right w:val="nil"/>
            </w:tcBorders>
            <w:shd w:val="clear" w:color="auto" w:fill="auto"/>
            <w:noWrap/>
            <w:vAlign w:val="bottom"/>
            <w:hideMark/>
          </w:tcPr>
          <w:p w14:paraId="3EC2043A"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222</w:t>
            </w:r>
          </w:p>
        </w:tc>
        <w:tc>
          <w:tcPr>
            <w:tcW w:w="649" w:type="dxa"/>
            <w:tcBorders>
              <w:top w:val="nil"/>
              <w:left w:val="nil"/>
              <w:bottom w:val="double" w:sz="6" w:space="0" w:color="auto"/>
              <w:right w:val="nil"/>
            </w:tcBorders>
            <w:shd w:val="clear" w:color="auto" w:fill="auto"/>
            <w:noWrap/>
            <w:vAlign w:val="bottom"/>
            <w:hideMark/>
          </w:tcPr>
          <w:p w14:paraId="3428FAB7"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0</w:t>
            </w:r>
          </w:p>
        </w:tc>
        <w:tc>
          <w:tcPr>
            <w:tcW w:w="906" w:type="dxa"/>
            <w:tcBorders>
              <w:top w:val="nil"/>
              <w:left w:val="nil"/>
              <w:bottom w:val="double" w:sz="6" w:space="0" w:color="auto"/>
              <w:right w:val="nil"/>
            </w:tcBorders>
            <w:shd w:val="clear" w:color="auto" w:fill="auto"/>
            <w:noWrap/>
            <w:vAlign w:val="bottom"/>
            <w:hideMark/>
          </w:tcPr>
          <w:p w14:paraId="23270990"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24</w:t>
            </w:r>
          </w:p>
        </w:tc>
        <w:tc>
          <w:tcPr>
            <w:tcW w:w="1455" w:type="dxa"/>
            <w:tcBorders>
              <w:top w:val="nil"/>
              <w:left w:val="nil"/>
              <w:bottom w:val="double" w:sz="6" w:space="0" w:color="auto"/>
              <w:right w:val="nil"/>
            </w:tcBorders>
            <w:shd w:val="clear" w:color="auto" w:fill="auto"/>
            <w:noWrap/>
            <w:vAlign w:val="bottom"/>
            <w:hideMark/>
          </w:tcPr>
          <w:p w14:paraId="2BA68CF1" w14:textId="77777777" w:rsidR="004B61EF" w:rsidRPr="00A00187" w:rsidRDefault="004B61EF" w:rsidP="004B61EF">
            <w:pPr>
              <w:spacing w:line="240" w:lineRule="auto"/>
              <w:jc w:val="center"/>
              <w:rPr>
                <w:rFonts w:eastAsia="Times New Roman"/>
                <w:szCs w:val="24"/>
                <w:lang w:eastAsia="cs-CZ"/>
              </w:rPr>
            </w:pPr>
            <w:r w:rsidRPr="00A00187">
              <w:rPr>
                <w:rFonts w:eastAsia="Times New Roman"/>
                <w:szCs w:val="24"/>
                <w:lang w:eastAsia="cs-CZ"/>
              </w:rPr>
              <w:t>246</w:t>
            </w:r>
          </w:p>
        </w:tc>
      </w:tr>
      <w:tr w:rsidR="00AC1E67" w:rsidRPr="00A00187" w14:paraId="2FC40A3B" w14:textId="77777777" w:rsidTr="004B61EF">
        <w:trPr>
          <w:trHeight w:val="330"/>
        </w:trPr>
        <w:tc>
          <w:tcPr>
            <w:tcW w:w="1096" w:type="dxa"/>
            <w:tcBorders>
              <w:top w:val="nil"/>
              <w:left w:val="nil"/>
              <w:bottom w:val="nil"/>
              <w:right w:val="nil"/>
            </w:tcBorders>
            <w:shd w:val="clear" w:color="auto" w:fill="auto"/>
            <w:noWrap/>
            <w:vAlign w:val="bottom"/>
            <w:hideMark/>
          </w:tcPr>
          <w:p w14:paraId="6ACD0D41" w14:textId="77777777" w:rsidR="004B61EF" w:rsidRPr="00A00187" w:rsidRDefault="004B61EF" w:rsidP="004B61EF">
            <w:pPr>
              <w:spacing w:line="240" w:lineRule="auto"/>
              <w:jc w:val="center"/>
              <w:rPr>
                <w:rFonts w:eastAsia="Times New Roman"/>
                <w:szCs w:val="24"/>
                <w:lang w:eastAsia="cs-CZ"/>
              </w:rPr>
            </w:pPr>
          </w:p>
        </w:tc>
        <w:tc>
          <w:tcPr>
            <w:tcW w:w="1326" w:type="dxa"/>
            <w:tcBorders>
              <w:top w:val="nil"/>
              <w:left w:val="nil"/>
              <w:bottom w:val="nil"/>
              <w:right w:val="nil"/>
            </w:tcBorders>
            <w:shd w:val="clear" w:color="auto" w:fill="auto"/>
            <w:noWrap/>
            <w:vAlign w:val="bottom"/>
            <w:hideMark/>
          </w:tcPr>
          <w:p w14:paraId="57826BF3" w14:textId="77777777" w:rsidR="004B61EF" w:rsidRPr="00A00187" w:rsidRDefault="004B61EF" w:rsidP="004B61EF">
            <w:pPr>
              <w:spacing w:line="240" w:lineRule="auto"/>
              <w:jc w:val="left"/>
              <w:rPr>
                <w:rFonts w:ascii="Times New Roman" w:eastAsia="Times New Roman" w:hAnsi="Times New Roman"/>
                <w:sz w:val="20"/>
                <w:szCs w:val="20"/>
                <w:lang w:eastAsia="cs-CZ"/>
              </w:rPr>
            </w:pPr>
          </w:p>
        </w:tc>
        <w:tc>
          <w:tcPr>
            <w:tcW w:w="649" w:type="dxa"/>
            <w:tcBorders>
              <w:top w:val="nil"/>
              <w:left w:val="nil"/>
              <w:bottom w:val="nil"/>
              <w:right w:val="nil"/>
            </w:tcBorders>
            <w:shd w:val="clear" w:color="auto" w:fill="auto"/>
            <w:noWrap/>
            <w:vAlign w:val="bottom"/>
            <w:hideMark/>
          </w:tcPr>
          <w:p w14:paraId="41743480" w14:textId="77777777" w:rsidR="004B61EF" w:rsidRPr="00A00187" w:rsidRDefault="004B61EF" w:rsidP="004B61EF">
            <w:pPr>
              <w:spacing w:line="240" w:lineRule="auto"/>
              <w:jc w:val="left"/>
              <w:rPr>
                <w:rFonts w:ascii="Times New Roman" w:eastAsia="Times New Roman" w:hAnsi="Times New Roman"/>
                <w:sz w:val="20"/>
                <w:szCs w:val="20"/>
                <w:lang w:eastAsia="cs-CZ"/>
              </w:rPr>
            </w:pPr>
          </w:p>
        </w:tc>
        <w:tc>
          <w:tcPr>
            <w:tcW w:w="906" w:type="dxa"/>
            <w:tcBorders>
              <w:top w:val="nil"/>
              <w:left w:val="nil"/>
              <w:bottom w:val="nil"/>
              <w:right w:val="nil"/>
            </w:tcBorders>
            <w:shd w:val="clear" w:color="auto" w:fill="auto"/>
            <w:noWrap/>
            <w:vAlign w:val="bottom"/>
            <w:hideMark/>
          </w:tcPr>
          <w:p w14:paraId="220EE992" w14:textId="77777777" w:rsidR="004B61EF" w:rsidRPr="00A00187" w:rsidRDefault="004B61EF" w:rsidP="004B61EF">
            <w:pPr>
              <w:spacing w:line="240" w:lineRule="auto"/>
              <w:jc w:val="left"/>
              <w:rPr>
                <w:rFonts w:ascii="Times New Roman" w:eastAsia="Times New Roman" w:hAnsi="Times New Roman"/>
                <w:sz w:val="20"/>
                <w:szCs w:val="20"/>
                <w:lang w:eastAsia="cs-CZ"/>
              </w:rPr>
            </w:pPr>
          </w:p>
        </w:tc>
        <w:tc>
          <w:tcPr>
            <w:tcW w:w="1455" w:type="dxa"/>
            <w:tcBorders>
              <w:top w:val="nil"/>
              <w:left w:val="nil"/>
              <w:bottom w:val="nil"/>
              <w:right w:val="nil"/>
            </w:tcBorders>
            <w:shd w:val="clear" w:color="auto" w:fill="auto"/>
            <w:noWrap/>
            <w:vAlign w:val="bottom"/>
            <w:hideMark/>
          </w:tcPr>
          <w:p w14:paraId="31233C10" w14:textId="77777777" w:rsidR="004B61EF" w:rsidRPr="00A00187" w:rsidRDefault="004B61EF" w:rsidP="004B61EF">
            <w:pPr>
              <w:spacing w:line="240" w:lineRule="auto"/>
              <w:jc w:val="left"/>
              <w:rPr>
                <w:rFonts w:ascii="Times New Roman" w:eastAsia="Times New Roman" w:hAnsi="Times New Roman"/>
                <w:sz w:val="20"/>
                <w:szCs w:val="20"/>
                <w:lang w:eastAsia="cs-CZ"/>
              </w:rPr>
            </w:pPr>
          </w:p>
        </w:tc>
      </w:tr>
    </w:tbl>
    <w:p w14:paraId="2C6B3D70" w14:textId="77777777" w:rsidR="00541EA8" w:rsidRPr="00A00187" w:rsidRDefault="00541EA8" w:rsidP="00541EA8">
      <w:pPr>
        <w:pStyle w:val="OdstavecASR"/>
      </w:pPr>
      <w:r w:rsidRPr="00A00187">
        <w:t>Z tabulky vyplývají zajímavé skutečnosti:</w:t>
      </w:r>
    </w:p>
    <w:p w14:paraId="2920B9FF" w14:textId="77777777" w:rsidR="00541EA8" w:rsidRPr="00A00187" w:rsidRDefault="00541EA8" w:rsidP="00541EA8">
      <w:pPr>
        <w:pStyle w:val="OdstavecASR"/>
        <w:numPr>
          <w:ilvl w:val="0"/>
          <w:numId w:val="17"/>
        </w:numPr>
      </w:pPr>
      <w:r w:rsidRPr="00A00187">
        <w:t>Rok 2009 představuje nejvyšší počet přeměn, resp. nařízení výkonu náhradního trestu odnětí svobody (NEPO). Následně až do roku 2015 počet těchto přeměn významně klesl na nejnižší stav. To zcela koresponduje s poklesem počtu ukládaných peněžitých trestů.</w:t>
      </w:r>
    </w:p>
    <w:p w14:paraId="678C29FA" w14:textId="7E00DDFF" w:rsidR="00541EA8" w:rsidRPr="00A00187" w:rsidRDefault="00541EA8" w:rsidP="00541EA8">
      <w:pPr>
        <w:pStyle w:val="OdstavecASR"/>
        <w:numPr>
          <w:ilvl w:val="0"/>
          <w:numId w:val="17"/>
        </w:numPr>
      </w:pPr>
      <w:r w:rsidRPr="00A00187">
        <w:t>Z nových alternativních přeměn od roku 2013 se místo nařízení náhradního trestu odnětí svobody velmi často, v prvních dvou letech dokonce více, využívá přeměna v trest obecně prospěšných prací</w:t>
      </w:r>
      <w:r w:rsidR="00A627FC" w:rsidRPr="00A00187">
        <w:t>; důvodem jsou podle všeho</w:t>
      </w:r>
      <w:r w:rsidRPr="00A00187">
        <w:t xml:space="preserve"> nejen diametrální rozdíl</w:t>
      </w:r>
      <w:r w:rsidR="00A627FC" w:rsidRPr="00A00187">
        <w:t>y</w:t>
      </w:r>
      <w:r w:rsidRPr="00A00187">
        <w:t xml:space="preserve"> v nákladech státu na výkon těchto trestů, ale i menší zásah do </w:t>
      </w:r>
      <w:r w:rsidR="00A627FC" w:rsidRPr="00A00187">
        <w:t xml:space="preserve">základních práv </w:t>
      </w:r>
      <w:r w:rsidR="00726EC3" w:rsidRPr="00A00187">
        <w:t>a</w:t>
      </w:r>
      <w:r w:rsidR="00726EC3">
        <w:t> </w:t>
      </w:r>
      <w:r w:rsidRPr="00A00187">
        <w:t>svobod.</w:t>
      </w:r>
    </w:p>
    <w:p w14:paraId="07333A75" w14:textId="1413EC30" w:rsidR="00541EA8" w:rsidRPr="00A00187" w:rsidRDefault="00541EA8" w:rsidP="00541EA8">
      <w:pPr>
        <w:pStyle w:val="OdstavecASR"/>
        <w:numPr>
          <w:ilvl w:val="0"/>
          <w:numId w:val="17"/>
        </w:numPr>
      </w:pPr>
      <w:r w:rsidRPr="00A00187">
        <w:t>Počet přeměn v trest odnětí svobody, resp. nařízení výkonu náhradního trestu odnětí svobody</w:t>
      </w:r>
      <w:r w:rsidR="00443F7D" w:rsidRPr="00A00187">
        <w:t>,</w:t>
      </w:r>
      <w:r w:rsidRPr="00A00187">
        <w:t xml:space="preserve"> a zčásti i přeměn v trest obecně prospěšných prací</w:t>
      </w:r>
      <w:r w:rsidR="00A627FC" w:rsidRPr="00A00187">
        <w:t>,</w:t>
      </w:r>
      <w:r w:rsidRPr="00A00187">
        <w:t xml:space="preserve"> sice od roku 2018 do roku 2020 </w:t>
      </w:r>
      <w:r w:rsidR="00D565A6" w:rsidRPr="00A00187">
        <w:t>opět narůstal</w:t>
      </w:r>
      <w:r w:rsidRPr="00A00187">
        <w:t xml:space="preserve">, ale </w:t>
      </w:r>
      <w:r w:rsidR="00A627FC" w:rsidRPr="00A00187">
        <w:t>ne</w:t>
      </w:r>
      <w:r w:rsidRPr="00A00187">
        <w:t xml:space="preserve"> tak rychle jako počet uložených trestů a nedosáhl ani úrovně před rokem 2010.</w:t>
      </w:r>
    </w:p>
    <w:p w14:paraId="560CBD9D" w14:textId="08751F44" w:rsidR="00541EA8" w:rsidRPr="00A00187" w:rsidRDefault="00541EA8" w:rsidP="00541EA8">
      <w:pPr>
        <w:pStyle w:val="OdstavecASR"/>
        <w:numPr>
          <w:ilvl w:val="0"/>
          <w:numId w:val="17"/>
        </w:numPr>
      </w:pPr>
      <w:r w:rsidRPr="00A00187">
        <w:t xml:space="preserve">V roce 2021 se zřejmě projevila výše zmíněná novela, protože došlo ke značnému </w:t>
      </w:r>
      <w:r w:rsidR="00A627FC" w:rsidRPr="00A00187">
        <w:t>ná</w:t>
      </w:r>
      <w:r w:rsidRPr="00A00187">
        <w:t>růstu přeměn v</w:t>
      </w:r>
      <w:r w:rsidR="00E263AE" w:rsidRPr="00A00187">
        <w:t> </w:t>
      </w:r>
      <w:r w:rsidRPr="00A00187">
        <w:t>NEPO</w:t>
      </w:r>
      <w:r w:rsidR="00E263AE" w:rsidRPr="00A00187">
        <w:t>, kter</w:t>
      </w:r>
      <w:r w:rsidR="009717FA" w:rsidRPr="00A00187">
        <w:t>é</w:t>
      </w:r>
      <w:r w:rsidR="00E263AE" w:rsidRPr="00A00187">
        <w:t xml:space="preserve"> opět naprosto dominuj</w:t>
      </w:r>
      <w:r w:rsidR="009717FA" w:rsidRPr="00A00187">
        <w:t>í</w:t>
      </w:r>
      <w:r w:rsidR="00FC4D80" w:rsidRPr="00A00187">
        <w:t xml:space="preserve">, protože </w:t>
      </w:r>
      <w:r w:rsidRPr="00A00187">
        <w:t>došlo k obdobnému poklesu přeměn v OPP. Celkový počet přeměn je ale podobný jako v roce 2020</w:t>
      </w:r>
      <w:r w:rsidR="00900E05" w:rsidRPr="00A00187">
        <w:t>.</w:t>
      </w:r>
    </w:p>
    <w:p w14:paraId="6D514138" w14:textId="2C156F5E" w:rsidR="00541EA8" w:rsidRPr="00A00187" w:rsidRDefault="00541EA8" w:rsidP="00541EA8">
      <w:pPr>
        <w:pStyle w:val="OdstavecASR"/>
      </w:pPr>
      <w:r w:rsidRPr="00A00187">
        <w:t>Lze tak konstatovat, že iniciativa přinesla častější ukládání peněžitých trestů</w:t>
      </w:r>
      <w:r w:rsidR="00A627FC" w:rsidRPr="00A00187">
        <w:t xml:space="preserve">, přičemž doposud </w:t>
      </w:r>
      <w:r w:rsidRPr="00A00187">
        <w:t>ve stejném poměru nevzrostly přeměny peněžitého trestu v jiný trest. Situaci je nicméně nutné dále monitorovat s ohledem na prodlení mezi nesplněním uloženého peněžitého trestu a okamžikem, kdy soud z tohoto důvodu přistoupí k případné přeměně trestu.</w:t>
      </w:r>
    </w:p>
    <w:p w14:paraId="3184E5C7" w14:textId="77777777" w:rsidR="00541EA8" w:rsidRPr="00A00187" w:rsidRDefault="00541EA8" w:rsidP="007F73C9">
      <w:pPr>
        <w:pStyle w:val="OdstavecASR"/>
        <w:keepNext/>
        <w:outlineLvl w:val="3"/>
        <w:rPr>
          <w:b/>
          <w:bCs/>
        </w:rPr>
      </w:pPr>
      <w:r w:rsidRPr="00A00187">
        <w:rPr>
          <w:b/>
          <w:bCs/>
        </w:rPr>
        <w:t>Míra odsouzení</w:t>
      </w:r>
    </w:p>
    <w:p w14:paraId="526FC468" w14:textId="76D1D549" w:rsidR="00541EA8" w:rsidRPr="00A00187" w:rsidRDefault="00541EA8" w:rsidP="00541EA8">
      <w:pPr>
        <w:pStyle w:val="OdstavecASR"/>
      </w:pPr>
      <w:r w:rsidRPr="00A00187">
        <w:t>Jako míru odsouzení označujeme v této zprávě podíl</w:t>
      </w:r>
      <w:r w:rsidR="008F1D63" w:rsidRPr="00A00187">
        <w:t xml:space="preserve"> o</w:t>
      </w:r>
      <w:r w:rsidRPr="00A00187">
        <w:t xml:space="preserve">dsouzených na počtu obžalovaných. V zásadě tedy udává, jaká je šance, že obžalovaný bude odsouzen. To, zda bude obžalovaný </w:t>
      </w:r>
      <w:r w:rsidRPr="00A00187">
        <w:lastRenderedPageBreak/>
        <w:t>odsouzen, samozřejmě závisí na mnoha faktorech, které především plynou z okolností samotného případu. Zde je uveden pouze procentuální podíl odsouzených. Vzhledem k tomu, že trestní řízení u soudu může skončit</w:t>
      </w:r>
      <w:r w:rsidR="00BA0A64" w:rsidRPr="00A00187">
        <w:t xml:space="preserve"> různými způsoby</w:t>
      </w:r>
      <w:r w:rsidRPr="00A00187">
        <w:t>, je třeba definovat, co započteme jako odsouzenou osobu a co jako neodsouzenou osobu. Jako neodsouzenou osobu počítáme osobu, která byla zproštěna, a dále osobu, proti níž bylo řízení zastaveno a nebylo jí uloženo ani žádné ochranné opatření. Jako osobu</w:t>
      </w:r>
      <w:r w:rsidR="009011A2" w:rsidRPr="00A00187">
        <w:t xml:space="preserve"> </w:t>
      </w:r>
      <w:r w:rsidRPr="00A00187">
        <w:t>odsouzenou samozřejmě počítáme odsouzené osoby a dále osoby, kterým byl uložen souhrnný či společný trest. Ostatní výsledky řízení nejsou ve statistice započítány.</w:t>
      </w:r>
    </w:p>
    <w:p w14:paraId="7D78AD61" w14:textId="21E69CDC" w:rsidR="00FF2FE9" w:rsidRPr="00A00187" w:rsidRDefault="00FF2FE9" w:rsidP="00FF2FE9">
      <w:pPr>
        <w:pStyle w:val="Podnadpis"/>
        <w:rPr>
          <w:color w:val="auto"/>
        </w:rPr>
      </w:pPr>
      <w:bookmarkStart w:id="401" w:name="_Toc75952217"/>
      <w:bookmarkStart w:id="402" w:name="_Toc106106669"/>
      <w:bookmarkStart w:id="403" w:name="_Toc109801993"/>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35</w:t>
      </w:r>
      <w:r w:rsidRPr="00A00187">
        <w:rPr>
          <w:noProof/>
          <w:color w:val="auto"/>
        </w:rPr>
        <w:fldChar w:fldCharType="end"/>
      </w:r>
      <w:r w:rsidRPr="00A00187">
        <w:rPr>
          <w:color w:val="auto"/>
        </w:rPr>
        <w:t>: OS – míra odsouzení v letech 2008 až 202</w:t>
      </w:r>
      <w:bookmarkEnd w:id="401"/>
      <w:r w:rsidRPr="00A00187">
        <w:rPr>
          <w:color w:val="auto"/>
        </w:rPr>
        <w:t>1</w:t>
      </w:r>
      <w:bookmarkEnd w:id="402"/>
      <w:bookmarkEnd w:id="403"/>
    </w:p>
    <w:p w14:paraId="2975DD06" w14:textId="58B1D6FD" w:rsidR="00541EA8" w:rsidRPr="00A00187" w:rsidRDefault="00FF2FE9" w:rsidP="00541EA8">
      <w:pPr>
        <w:pStyle w:val="OdstavecASR"/>
      </w:pPr>
      <w:r w:rsidRPr="00A00187">
        <w:rPr>
          <w:noProof/>
        </w:rPr>
        <w:drawing>
          <wp:inline distT="0" distB="0" distL="0" distR="0" wp14:anchorId="21632CBD" wp14:editId="6AA38DE3">
            <wp:extent cx="5029200" cy="3657600"/>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DF6AD82" w14:textId="77777777" w:rsidR="00FF2FE9" w:rsidRPr="00A00187" w:rsidRDefault="00FF2FE9" w:rsidP="00FF2FE9">
      <w:pPr>
        <w:pStyle w:val="OdstavecASR"/>
      </w:pPr>
      <w:r w:rsidRPr="00A00187">
        <w:t xml:space="preserve">V grafu vidíme zajímavý trend – míra odsouzení postupem času pomalu, ale jistě </w:t>
      </w:r>
      <w:r w:rsidR="009F5268" w:rsidRPr="00A00187">
        <w:t>roste</w:t>
      </w:r>
      <w:r w:rsidRPr="00A00187">
        <w:t>. Od roku 2008 vzrostla o </w:t>
      </w:r>
      <w:r w:rsidR="00CC2701" w:rsidRPr="00A00187">
        <w:t>téměř 5 procentních bodů</w:t>
      </w:r>
      <w:r w:rsidRPr="00A00187">
        <w:t>.</w:t>
      </w:r>
      <w:r w:rsidR="00CC2701" w:rsidRPr="00A00187">
        <w:t xml:space="preserve"> Růst v roce 2021 může souviset se zvýšen</w:t>
      </w:r>
      <w:r w:rsidR="00C47ABD" w:rsidRPr="00A00187">
        <w:t xml:space="preserve">ou mírou </w:t>
      </w:r>
      <w:r w:rsidR="00CC2701" w:rsidRPr="00A00187">
        <w:t xml:space="preserve">uzavíráním dohod </w:t>
      </w:r>
      <w:r w:rsidR="00726EC3" w:rsidRPr="00A00187">
        <w:t>o</w:t>
      </w:r>
      <w:r w:rsidR="00726EC3">
        <w:t> </w:t>
      </w:r>
      <w:r w:rsidR="00CC2701" w:rsidRPr="00A00187">
        <w:t xml:space="preserve">vině </w:t>
      </w:r>
      <w:r w:rsidR="00726EC3" w:rsidRPr="00A00187">
        <w:t>a</w:t>
      </w:r>
      <w:r w:rsidR="00726EC3">
        <w:t> </w:t>
      </w:r>
      <w:r w:rsidR="00CC2701" w:rsidRPr="00A00187">
        <w:t>trestu.</w:t>
      </w:r>
    </w:p>
    <w:p w14:paraId="3AF398CD" w14:textId="77777777" w:rsidR="00FF2FE9" w:rsidRPr="00A00187" w:rsidRDefault="00FF2FE9" w:rsidP="00541EA8">
      <w:pPr>
        <w:pStyle w:val="OdstavecASR"/>
      </w:pPr>
    </w:p>
    <w:p w14:paraId="2C9C9101" w14:textId="77777777" w:rsidR="009011A2" w:rsidRPr="00A00187" w:rsidRDefault="009011A2">
      <w:pPr>
        <w:spacing w:after="160" w:line="259" w:lineRule="auto"/>
        <w:jc w:val="left"/>
        <w:rPr>
          <w:rFonts w:eastAsia="Times New Roman"/>
          <w:b/>
          <w:iCs/>
          <w:spacing w:val="15"/>
          <w:szCs w:val="24"/>
        </w:rPr>
      </w:pPr>
      <w:bookmarkStart w:id="404" w:name="_Toc75952332"/>
      <w:r w:rsidRPr="00A00187">
        <w:br w:type="page"/>
      </w:r>
    </w:p>
    <w:p w14:paraId="092591A4" w14:textId="7190F15F" w:rsidR="00FF2FE9" w:rsidRPr="00A00187" w:rsidRDefault="00FF2FE9" w:rsidP="00FF2FE9">
      <w:pPr>
        <w:pStyle w:val="Podnadpis"/>
        <w:rPr>
          <w:color w:val="auto"/>
        </w:rPr>
      </w:pPr>
      <w:bookmarkStart w:id="405" w:name="_Toc106106789"/>
      <w:bookmarkStart w:id="406" w:name="_Toc109802112"/>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27</w:t>
      </w:r>
      <w:r w:rsidRPr="00A00187">
        <w:rPr>
          <w:color w:val="auto"/>
        </w:rPr>
        <w:fldChar w:fldCharType="end"/>
      </w:r>
      <w:r w:rsidRPr="00A00187">
        <w:rPr>
          <w:color w:val="auto"/>
        </w:rPr>
        <w:t>: OS – míra odsouzení dle krajů</w:t>
      </w:r>
      <w:bookmarkEnd w:id="404"/>
      <w:bookmarkEnd w:id="405"/>
      <w:bookmarkEnd w:id="406"/>
    </w:p>
    <w:tbl>
      <w:tblPr>
        <w:tblW w:w="6332" w:type="dxa"/>
        <w:tblCellMar>
          <w:left w:w="70" w:type="dxa"/>
          <w:right w:w="70" w:type="dxa"/>
        </w:tblCellMar>
        <w:tblLook w:val="04A0" w:firstRow="1" w:lastRow="0" w:firstColumn="1" w:lastColumn="0" w:noHBand="0" w:noVBand="1"/>
      </w:tblPr>
      <w:tblGrid>
        <w:gridCol w:w="2796"/>
        <w:gridCol w:w="1439"/>
        <w:gridCol w:w="2097"/>
      </w:tblGrid>
      <w:tr w:rsidR="00AC1E67" w:rsidRPr="00A00187" w14:paraId="51846E6A" w14:textId="77777777" w:rsidTr="00CC2701">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6173FFE1" w14:textId="77777777" w:rsidR="00CC2701" w:rsidRPr="00A00187" w:rsidRDefault="00CC2701" w:rsidP="00CC2701">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536" w:type="dxa"/>
            <w:gridSpan w:val="2"/>
            <w:tcBorders>
              <w:top w:val="double" w:sz="6" w:space="0" w:color="auto"/>
              <w:left w:val="nil"/>
              <w:bottom w:val="double" w:sz="6" w:space="0" w:color="auto"/>
              <w:right w:val="nil"/>
            </w:tcBorders>
            <w:shd w:val="clear" w:color="auto" w:fill="auto"/>
            <w:noWrap/>
            <w:vAlign w:val="center"/>
            <w:hideMark/>
          </w:tcPr>
          <w:p w14:paraId="3A2C534C" w14:textId="393F11CC" w:rsidR="00CC2701" w:rsidRPr="00A00187" w:rsidRDefault="00CC2701" w:rsidP="00CC2701">
            <w:pPr>
              <w:spacing w:line="240" w:lineRule="auto"/>
              <w:jc w:val="center"/>
              <w:rPr>
                <w:rFonts w:eastAsia="Times New Roman"/>
                <w:b/>
                <w:bCs/>
                <w:szCs w:val="24"/>
                <w:lang w:eastAsia="cs-CZ"/>
              </w:rPr>
            </w:pPr>
            <w:r w:rsidRPr="00A00187">
              <w:rPr>
                <w:rFonts w:eastAsia="Times New Roman"/>
                <w:b/>
                <w:bCs/>
                <w:szCs w:val="24"/>
                <w:lang w:eastAsia="cs-CZ"/>
              </w:rPr>
              <w:t>Míra odsouzení (v</w:t>
            </w:r>
            <w:r w:rsidR="00CB570A">
              <w:rPr>
                <w:rFonts w:eastAsia="Times New Roman"/>
                <w:b/>
                <w:bCs/>
                <w:szCs w:val="24"/>
                <w:lang w:eastAsia="cs-CZ"/>
              </w:rPr>
              <w:t> %</w:t>
            </w:r>
            <w:r w:rsidRPr="00A00187">
              <w:rPr>
                <w:rFonts w:eastAsia="Times New Roman"/>
                <w:b/>
                <w:bCs/>
                <w:szCs w:val="24"/>
                <w:lang w:eastAsia="cs-CZ"/>
              </w:rPr>
              <w:t xml:space="preserve">) </w:t>
            </w:r>
          </w:p>
        </w:tc>
      </w:tr>
      <w:tr w:rsidR="00AC1E67" w:rsidRPr="00A00187" w14:paraId="734479A8" w14:textId="77777777" w:rsidTr="00CC2701">
        <w:trPr>
          <w:trHeight w:val="330"/>
        </w:trPr>
        <w:tc>
          <w:tcPr>
            <w:tcW w:w="2796" w:type="dxa"/>
            <w:tcBorders>
              <w:top w:val="nil"/>
              <w:left w:val="nil"/>
              <w:bottom w:val="single" w:sz="4" w:space="0" w:color="auto"/>
              <w:right w:val="nil"/>
            </w:tcBorders>
            <w:shd w:val="clear" w:color="auto" w:fill="auto"/>
            <w:noWrap/>
            <w:vAlign w:val="bottom"/>
            <w:hideMark/>
          </w:tcPr>
          <w:p w14:paraId="608CB03F"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MS Praha</w:t>
            </w:r>
          </w:p>
        </w:tc>
        <w:tc>
          <w:tcPr>
            <w:tcW w:w="1439" w:type="dxa"/>
            <w:tcBorders>
              <w:top w:val="nil"/>
              <w:left w:val="nil"/>
              <w:bottom w:val="single" w:sz="4" w:space="0" w:color="auto"/>
              <w:right w:val="nil"/>
            </w:tcBorders>
            <w:shd w:val="clear" w:color="auto" w:fill="auto"/>
            <w:noWrap/>
            <w:vAlign w:val="bottom"/>
            <w:hideMark/>
          </w:tcPr>
          <w:p w14:paraId="105255A1" w14:textId="540A1586"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91</w:t>
            </w:r>
            <w:r w:rsidR="00726EC3">
              <w:rPr>
                <w:rFonts w:eastAsia="Times New Roman"/>
                <w:szCs w:val="24"/>
                <w:lang w:eastAsia="cs-CZ"/>
              </w:rPr>
              <w:t>,</w:t>
            </w:r>
            <w:r w:rsidRPr="00A00187">
              <w:rPr>
                <w:rFonts w:eastAsia="Times New Roman"/>
                <w:szCs w:val="24"/>
                <w:lang w:eastAsia="cs-CZ"/>
              </w:rPr>
              <w:t>71</w:t>
            </w:r>
          </w:p>
        </w:tc>
        <w:tc>
          <w:tcPr>
            <w:tcW w:w="2097" w:type="dxa"/>
            <w:tcBorders>
              <w:top w:val="nil"/>
              <w:left w:val="nil"/>
              <w:bottom w:val="single" w:sz="4" w:space="0" w:color="auto"/>
              <w:right w:val="nil"/>
            </w:tcBorders>
            <w:shd w:val="clear" w:color="auto" w:fill="auto"/>
            <w:noWrap/>
            <w:vAlign w:val="center"/>
            <w:hideMark/>
          </w:tcPr>
          <w:p w14:paraId="41ABB4D0" w14:textId="4908EAF5"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+0</w:t>
            </w:r>
            <w:r w:rsidR="00726EC3">
              <w:rPr>
                <w:rFonts w:eastAsia="Times New Roman"/>
                <w:sz w:val="20"/>
                <w:szCs w:val="20"/>
                <w:lang w:eastAsia="cs-CZ"/>
              </w:rPr>
              <w:t>,</w:t>
            </w:r>
            <w:r w:rsidRPr="00A00187">
              <w:rPr>
                <w:rFonts w:eastAsia="Times New Roman"/>
                <w:sz w:val="20"/>
                <w:szCs w:val="20"/>
                <w:lang w:eastAsia="cs-CZ"/>
              </w:rPr>
              <w:t xml:space="preserve">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693C5E6" w14:textId="77777777" w:rsidTr="00CC2701">
        <w:trPr>
          <w:trHeight w:val="315"/>
        </w:trPr>
        <w:tc>
          <w:tcPr>
            <w:tcW w:w="2796" w:type="dxa"/>
            <w:tcBorders>
              <w:top w:val="nil"/>
              <w:left w:val="nil"/>
              <w:bottom w:val="single" w:sz="4" w:space="0" w:color="auto"/>
              <w:right w:val="nil"/>
            </w:tcBorders>
            <w:shd w:val="clear" w:color="auto" w:fill="auto"/>
            <w:noWrap/>
            <w:vAlign w:val="bottom"/>
            <w:hideMark/>
          </w:tcPr>
          <w:p w14:paraId="24FC2A07"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KS Praha</w:t>
            </w:r>
          </w:p>
        </w:tc>
        <w:tc>
          <w:tcPr>
            <w:tcW w:w="1439" w:type="dxa"/>
            <w:tcBorders>
              <w:top w:val="nil"/>
              <w:left w:val="nil"/>
              <w:bottom w:val="single" w:sz="4" w:space="0" w:color="auto"/>
              <w:right w:val="nil"/>
            </w:tcBorders>
            <w:shd w:val="clear" w:color="auto" w:fill="auto"/>
            <w:noWrap/>
            <w:vAlign w:val="bottom"/>
            <w:hideMark/>
          </w:tcPr>
          <w:p w14:paraId="78E51C17" w14:textId="730A4526"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94</w:t>
            </w:r>
            <w:r w:rsidR="00726EC3">
              <w:rPr>
                <w:rFonts w:eastAsia="Times New Roman"/>
                <w:szCs w:val="24"/>
                <w:lang w:eastAsia="cs-CZ"/>
              </w:rPr>
              <w:t>,</w:t>
            </w:r>
            <w:r w:rsidRPr="00A00187">
              <w:rPr>
                <w:rFonts w:eastAsia="Times New Roman"/>
                <w:szCs w:val="24"/>
                <w:lang w:eastAsia="cs-CZ"/>
              </w:rPr>
              <w:t>79</w:t>
            </w:r>
          </w:p>
        </w:tc>
        <w:tc>
          <w:tcPr>
            <w:tcW w:w="2097" w:type="dxa"/>
            <w:tcBorders>
              <w:top w:val="nil"/>
              <w:left w:val="nil"/>
              <w:bottom w:val="single" w:sz="4" w:space="0" w:color="auto"/>
              <w:right w:val="nil"/>
            </w:tcBorders>
            <w:shd w:val="clear" w:color="auto" w:fill="auto"/>
            <w:noWrap/>
            <w:vAlign w:val="center"/>
            <w:hideMark/>
          </w:tcPr>
          <w:p w14:paraId="08739E7D" w14:textId="060E8C5A"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+1</w:t>
            </w:r>
            <w:r w:rsidR="00726EC3">
              <w:rPr>
                <w:rFonts w:eastAsia="Times New Roman"/>
                <w:sz w:val="20"/>
                <w:szCs w:val="20"/>
                <w:lang w:eastAsia="cs-CZ"/>
              </w:rPr>
              <w:t>,</w:t>
            </w:r>
            <w:r w:rsidRPr="00A00187">
              <w:rPr>
                <w:rFonts w:eastAsia="Times New Roman"/>
                <w:sz w:val="20"/>
                <w:szCs w:val="20"/>
                <w:lang w:eastAsia="cs-CZ"/>
              </w:rPr>
              <w:t xml:space="preserve">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1E70F17" w14:textId="77777777" w:rsidTr="00CC2701">
        <w:trPr>
          <w:trHeight w:val="315"/>
        </w:trPr>
        <w:tc>
          <w:tcPr>
            <w:tcW w:w="2796" w:type="dxa"/>
            <w:tcBorders>
              <w:top w:val="nil"/>
              <w:left w:val="nil"/>
              <w:bottom w:val="single" w:sz="4" w:space="0" w:color="auto"/>
              <w:right w:val="nil"/>
            </w:tcBorders>
            <w:shd w:val="clear" w:color="auto" w:fill="auto"/>
            <w:noWrap/>
            <w:vAlign w:val="bottom"/>
            <w:hideMark/>
          </w:tcPr>
          <w:p w14:paraId="7E1BF400"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KS Č. Budějovice</w:t>
            </w:r>
          </w:p>
        </w:tc>
        <w:tc>
          <w:tcPr>
            <w:tcW w:w="1439" w:type="dxa"/>
            <w:tcBorders>
              <w:top w:val="nil"/>
              <w:left w:val="nil"/>
              <w:bottom w:val="single" w:sz="4" w:space="0" w:color="auto"/>
              <w:right w:val="nil"/>
            </w:tcBorders>
            <w:shd w:val="clear" w:color="auto" w:fill="auto"/>
            <w:noWrap/>
            <w:vAlign w:val="bottom"/>
            <w:hideMark/>
          </w:tcPr>
          <w:p w14:paraId="116C8FFA" w14:textId="175C76E6"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90</w:t>
            </w:r>
            <w:r w:rsidR="00726EC3">
              <w:rPr>
                <w:rFonts w:eastAsia="Times New Roman"/>
                <w:szCs w:val="24"/>
                <w:lang w:eastAsia="cs-CZ"/>
              </w:rPr>
              <w:t>,</w:t>
            </w:r>
            <w:r w:rsidRPr="00A00187">
              <w:rPr>
                <w:rFonts w:eastAsia="Times New Roman"/>
                <w:szCs w:val="24"/>
                <w:lang w:eastAsia="cs-CZ"/>
              </w:rPr>
              <w:t>44</w:t>
            </w:r>
          </w:p>
        </w:tc>
        <w:tc>
          <w:tcPr>
            <w:tcW w:w="2097" w:type="dxa"/>
            <w:tcBorders>
              <w:top w:val="nil"/>
              <w:left w:val="nil"/>
              <w:bottom w:val="single" w:sz="4" w:space="0" w:color="auto"/>
              <w:right w:val="nil"/>
            </w:tcBorders>
            <w:shd w:val="clear" w:color="auto" w:fill="auto"/>
            <w:noWrap/>
            <w:vAlign w:val="center"/>
            <w:hideMark/>
          </w:tcPr>
          <w:p w14:paraId="0CDC138F" w14:textId="7D6259E8"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-0</w:t>
            </w:r>
            <w:r w:rsidR="00726EC3">
              <w:rPr>
                <w:rFonts w:eastAsia="Times New Roman"/>
                <w:sz w:val="20"/>
                <w:szCs w:val="20"/>
                <w:lang w:eastAsia="cs-CZ"/>
              </w:rPr>
              <w:t>,</w:t>
            </w:r>
            <w:r w:rsidRPr="00A00187">
              <w:rPr>
                <w:rFonts w:eastAsia="Times New Roman"/>
                <w:sz w:val="20"/>
                <w:szCs w:val="20"/>
                <w:lang w:eastAsia="cs-CZ"/>
              </w:rPr>
              <w:t xml:space="preserve">1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4AA7546B" w14:textId="77777777" w:rsidTr="00CC2701">
        <w:trPr>
          <w:trHeight w:val="315"/>
        </w:trPr>
        <w:tc>
          <w:tcPr>
            <w:tcW w:w="2796" w:type="dxa"/>
            <w:tcBorders>
              <w:top w:val="nil"/>
              <w:left w:val="nil"/>
              <w:bottom w:val="single" w:sz="4" w:space="0" w:color="auto"/>
              <w:right w:val="nil"/>
            </w:tcBorders>
            <w:shd w:val="clear" w:color="auto" w:fill="auto"/>
            <w:noWrap/>
            <w:vAlign w:val="bottom"/>
            <w:hideMark/>
          </w:tcPr>
          <w:p w14:paraId="483AE3C2"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KS Plzeň</w:t>
            </w:r>
          </w:p>
        </w:tc>
        <w:tc>
          <w:tcPr>
            <w:tcW w:w="1439" w:type="dxa"/>
            <w:tcBorders>
              <w:top w:val="nil"/>
              <w:left w:val="nil"/>
              <w:bottom w:val="single" w:sz="4" w:space="0" w:color="auto"/>
              <w:right w:val="nil"/>
            </w:tcBorders>
            <w:shd w:val="clear" w:color="auto" w:fill="auto"/>
            <w:noWrap/>
            <w:vAlign w:val="bottom"/>
            <w:hideMark/>
          </w:tcPr>
          <w:p w14:paraId="164073CD" w14:textId="1F3555FF"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93</w:t>
            </w:r>
            <w:r w:rsidR="00726EC3">
              <w:rPr>
                <w:rFonts w:eastAsia="Times New Roman"/>
                <w:szCs w:val="24"/>
                <w:lang w:eastAsia="cs-CZ"/>
              </w:rPr>
              <w:t>,</w:t>
            </w:r>
            <w:r w:rsidRPr="00A00187">
              <w:rPr>
                <w:rFonts w:eastAsia="Times New Roman"/>
                <w:szCs w:val="24"/>
                <w:lang w:eastAsia="cs-CZ"/>
              </w:rPr>
              <w:t>59</w:t>
            </w:r>
          </w:p>
        </w:tc>
        <w:tc>
          <w:tcPr>
            <w:tcW w:w="2097" w:type="dxa"/>
            <w:tcBorders>
              <w:top w:val="nil"/>
              <w:left w:val="nil"/>
              <w:bottom w:val="single" w:sz="4" w:space="0" w:color="auto"/>
              <w:right w:val="nil"/>
            </w:tcBorders>
            <w:shd w:val="clear" w:color="auto" w:fill="auto"/>
            <w:noWrap/>
            <w:vAlign w:val="center"/>
            <w:hideMark/>
          </w:tcPr>
          <w:p w14:paraId="41A74FA5" w14:textId="1EAD05CD"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+0</w:t>
            </w:r>
            <w:r w:rsidR="00726EC3">
              <w:rPr>
                <w:rFonts w:eastAsia="Times New Roman"/>
                <w:sz w:val="20"/>
                <w:szCs w:val="20"/>
                <w:lang w:eastAsia="cs-CZ"/>
              </w:rPr>
              <w:t>,</w:t>
            </w:r>
            <w:r w:rsidRPr="00A00187">
              <w:rPr>
                <w:rFonts w:eastAsia="Times New Roman"/>
                <w:sz w:val="20"/>
                <w:szCs w:val="20"/>
                <w:lang w:eastAsia="cs-CZ"/>
              </w:rPr>
              <w:t xml:space="preserve">6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13B8AD24" w14:textId="77777777" w:rsidTr="00CC2701">
        <w:trPr>
          <w:trHeight w:val="315"/>
        </w:trPr>
        <w:tc>
          <w:tcPr>
            <w:tcW w:w="2796" w:type="dxa"/>
            <w:tcBorders>
              <w:top w:val="nil"/>
              <w:left w:val="nil"/>
              <w:bottom w:val="single" w:sz="4" w:space="0" w:color="auto"/>
              <w:right w:val="nil"/>
            </w:tcBorders>
            <w:shd w:val="clear" w:color="auto" w:fill="auto"/>
            <w:noWrap/>
            <w:vAlign w:val="bottom"/>
            <w:hideMark/>
          </w:tcPr>
          <w:p w14:paraId="105E60CB"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KS Ústí n. Labem</w:t>
            </w:r>
          </w:p>
        </w:tc>
        <w:tc>
          <w:tcPr>
            <w:tcW w:w="1439" w:type="dxa"/>
            <w:tcBorders>
              <w:top w:val="nil"/>
              <w:left w:val="nil"/>
              <w:bottom w:val="single" w:sz="4" w:space="0" w:color="auto"/>
              <w:right w:val="nil"/>
            </w:tcBorders>
            <w:shd w:val="clear" w:color="auto" w:fill="auto"/>
            <w:noWrap/>
            <w:vAlign w:val="bottom"/>
            <w:hideMark/>
          </w:tcPr>
          <w:p w14:paraId="0FB41002" w14:textId="58A7954A"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91</w:t>
            </w:r>
            <w:r w:rsidR="00726EC3">
              <w:rPr>
                <w:rFonts w:eastAsia="Times New Roman"/>
                <w:szCs w:val="24"/>
                <w:lang w:eastAsia="cs-CZ"/>
              </w:rPr>
              <w:t>,</w:t>
            </w:r>
            <w:r w:rsidRPr="00A00187">
              <w:rPr>
                <w:rFonts w:eastAsia="Times New Roman"/>
                <w:szCs w:val="24"/>
                <w:lang w:eastAsia="cs-CZ"/>
              </w:rPr>
              <w:t>24</w:t>
            </w:r>
          </w:p>
        </w:tc>
        <w:tc>
          <w:tcPr>
            <w:tcW w:w="2097" w:type="dxa"/>
            <w:tcBorders>
              <w:top w:val="nil"/>
              <w:left w:val="nil"/>
              <w:bottom w:val="single" w:sz="4" w:space="0" w:color="auto"/>
              <w:right w:val="nil"/>
            </w:tcBorders>
            <w:shd w:val="clear" w:color="auto" w:fill="auto"/>
            <w:noWrap/>
            <w:vAlign w:val="center"/>
            <w:hideMark/>
          </w:tcPr>
          <w:p w14:paraId="09D6E26A" w14:textId="687A168E"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+0</w:t>
            </w:r>
            <w:r w:rsidR="00726EC3">
              <w:rPr>
                <w:rFonts w:eastAsia="Times New Roman"/>
                <w:sz w:val="20"/>
                <w:szCs w:val="20"/>
                <w:lang w:eastAsia="cs-CZ"/>
              </w:rPr>
              <w:t>,</w:t>
            </w:r>
            <w:r w:rsidRPr="00A00187">
              <w:rPr>
                <w:rFonts w:eastAsia="Times New Roman"/>
                <w:sz w:val="20"/>
                <w:szCs w:val="20"/>
                <w:lang w:eastAsia="cs-CZ"/>
              </w:rPr>
              <w:t xml:space="preserve">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A8A6769" w14:textId="77777777" w:rsidTr="00CC2701">
        <w:trPr>
          <w:trHeight w:val="315"/>
        </w:trPr>
        <w:tc>
          <w:tcPr>
            <w:tcW w:w="2796" w:type="dxa"/>
            <w:tcBorders>
              <w:top w:val="nil"/>
              <w:left w:val="nil"/>
              <w:bottom w:val="single" w:sz="4" w:space="0" w:color="auto"/>
              <w:right w:val="nil"/>
            </w:tcBorders>
            <w:shd w:val="clear" w:color="auto" w:fill="auto"/>
            <w:noWrap/>
            <w:vAlign w:val="bottom"/>
            <w:hideMark/>
          </w:tcPr>
          <w:p w14:paraId="2ED6ED22"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KS Hr. Králové</w:t>
            </w:r>
          </w:p>
        </w:tc>
        <w:tc>
          <w:tcPr>
            <w:tcW w:w="1439" w:type="dxa"/>
            <w:tcBorders>
              <w:top w:val="nil"/>
              <w:left w:val="nil"/>
              <w:bottom w:val="single" w:sz="4" w:space="0" w:color="auto"/>
              <w:right w:val="nil"/>
            </w:tcBorders>
            <w:shd w:val="clear" w:color="auto" w:fill="auto"/>
            <w:noWrap/>
            <w:vAlign w:val="bottom"/>
            <w:hideMark/>
          </w:tcPr>
          <w:p w14:paraId="06540DE4" w14:textId="029F1A66"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93</w:t>
            </w:r>
            <w:r w:rsidR="00726EC3">
              <w:rPr>
                <w:rFonts w:eastAsia="Times New Roman"/>
                <w:szCs w:val="24"/>
                <w:lang w:eastAsia="cs-CZ"/>
              </w:rPr>
              <w:t>,</w:t>
            </w:r>
            <w:r w:rsidRPr="00A00187">
              <w:rPr>
                <w:rFonts w:eastAsia="Times New Roman"/>
                <w:szCs w:val="24"/>
                <w:lang w:eastAsia="cs-CZ"/>
              </w:rPr>
              <w:t>37</w:t>
            </w:r>
          </w:p>
        </w:tc>
        <w:tc>
          <w:tcPr>
            <w:tcW w:w="2097" w:type="dxa"/>
            <w:tcBorders>
              <w:top w:val="nil"/>
              <w:left w:val="nil"/>
              <w:bottom w:val="single" w:sz="4" w:space="0" w:color="auto"/>
              <w:right w:val="nil"/>
            </w:tcBorders>
            <w:shd w:val="clear" w:color="auto" w:fill="auto"/>
            <w:noWrap/>
            <w:vAlign w:val="center"/>
            <w:hideMark/>
          </w:tcPr>
          <w:p w14:paraId="61A5A3D1" w14:textId="001CDD67"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-1</w:t>
            </w:r>
            <w:r w:rsidR="00726EC3">
              <w:rPr>
                <w:rFonts w:eastAsia="Times New Roman"/>
                <w:sz w:val="20"/>
                <w:szCs w:val="20"/>
                <w:lang w:eastAsia="cs-CZ"/>
              </w:rPr>
              <w:t>,</w:t>
            </w:r>
            <w:r w:rsidRPr="00A00187">
              <w:rPr>
                <w:rFonts w:eastAsia="Times New Roman"/>
                <w:sz w:val="20"/>
                <w:szCs w:val="20"/>
                <w:lang w:eastAsia="cs-CZ"/>
              </w:rPr>
              <w:t xml:space="preserve">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E7FF597" w14:textId="77777777" w:rsidTr="00CC2701">
        <w:trPr>
          <w:trHeight w:val="315"/>
        </w:trPr>
        <w:tc>
          <w:tcPr>
            <w:tcW w:w="2796" w:type="dxa"/>
            <w:tcBorders>
              <w:top w:val="nil"/>
              <w:left w:val="nil"/>
              <w:bottom w:val="single" w:sz="4" w:space="0" w:color="auto"/>
              <w:right w:val="nil"/>
            </w:tcBorders>
            <w:shd w:val="clear" w:color="auto" w:fill="auto"/>
            <w:noWrap/>
            <w:vAlign w:val="bottom"/>
            <w:hideMark/>
          </w:tcPr>
          <w:p w14:paraId="1AAE02DC"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KS Brno</w:t>
            </w:r>
          </w:p>
        </w:tc>
        <w:tc>
          <w:tcPr>
            <w:tcW w:w="1439" w:type="dxa"/>
            <w:tcBorders>
              <w:top w:val="nil"/>
              <w:left w:val="nil"/>
              <w:bottom w:val="single" w:sz="4" w:space="0" w:color="auto"/>
              <w:right w:val="nil"/>
            </w:tcBorders>
            <w:shd w:val="clear" w:color="auto" w:fill="auto"/>
            <w:noWrap/>
            <w:vAlign w:val="bottom"/>
            <w:hideMark/>
          </w:tcPr>
          <w:p w14:paraId="20B071FD" w14:textId="03EB8A73"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92</w:t>
            </w:r>
            <w:r w:rsidR="00726EC3">
              <w:rPr>
                <w:rFonts w:eastAsia="Times New Roman"/>
                <w:szCs w:val="24"/>
                <w:lang w:eastAsia="cs-CZ"/>
              </w:rPr>
              <w:t>,</w:t>
            </w:r>
            <w:r w:rsidRPr="00A00187">
              <w:rPr>
                <w:rFonts w:eastAsia="Times New Roman"/>
                <w:szCs w:val="24"/>
                <w:lang w:eastAsia="cs-CZ"/>
              </w:rPr>
              <w:t>57</w:t>
            </w:r>
          </w:p>
        </w:tc>
        <w:tc>
          <w:tcPr>
            <w:tcW w:w="2097" w:type="dxa"/>
            <w:tcBorders>
              <w:top w:val="nil"/>
              <w:left w:val="nil"/>
              <w:bottom w:val="single" w:sz="4" w:space="0" w:color="auto"/>
              <w:right w:val="nil"/>
            </w:tcBorders>
            <w:shd w:val="clear" w:color="auto" w:fill="auto"/>
            <w:noWrap/>
            <w:vAlign w:val="center"/>
            <w:hideMark/>
          </w:tcPr>
          <w:p w14:paraId="2C11B600" w14:textId="0413D408"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+0</w:t>
            </w:r>
            <w:r w:rsidR="00726EC3">
              <w:rPr>
                <w:rFonts w:eastAsia="Times New Roman"/>
                <w:sz w:val="20"/>
                <w:szCs w:val="20"/>
                <w:lang w:eastAsia="cs-CZ"/>
              </w:rPr>
              <w:t>,</w:t>
            </w:r>
            <w:r w:rsidRPr="00A00187">
              <w:rPr>
                <w:rFonts w:eastAsia="Times New Roman"/>
                <w:sz w:val="20"/>
                <w:szCs w:val="20"/>
                <w:lang w:eastAsia="cs-CZ"/>
              </w:rPr>
              <w:t xml:space="preserve">5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B0BE927" w14:textId="77777777" w:rsidTr="00CC2701">
        <w:trPr>
          <w:trHeight w:val="330"/>
        </w:trPr>
        <w:tc>
          <w:tcPr>
            <w:tcW w:w="2796" w:type="dxa"/>
            <w:tcBorders>
              <w:top w:val="nil"/>
              <w:left w:val="nil"/>
              <w:bottom w:val="double" w:sz="6" w:space="0" w:color="auto"/>
              <w:right w:val="nil"/>
            </w:tcBorders>
            <w:shd w:val="clear" w:color="auto" w:fill="auto"/>
            <w:noWrap/>
            <w:vAlign w:val="bottom"/>
            <w:hideMark/>
          </w:tcPr>
          <w:p w14:paraId="4DFD88A8" w14:textId="77777777" w:rsidR="00CC2701" w:rsidRPr="00A00187" w:rsidRDefault="00CC2701" w:rsidP="00CC2701">
            <w:pPr>
              <w:spacing w:line="240" w:lineRule="auto"/>
              <w:jc w:val="left"/>
              <w:rPr>
                <w:rFonts w:eastAsia="Times New Roman"/>
                <w:szCs w:val="24"/>
                <w:lang w:eastAsia="cs-CZ"/>
              </w:rPr>
            </w:pPr>
            <w:r w:rsidRPr="00A00187">
              <w:rPr>
                <w:rFonts w:eastAsia="Times New Roman"/>
                <w:szCs w:val="24"/>
                <w:lang w:eastAsia="cs-CZ"/>
              </w:rPr>
              <w:t>KS Ostrava</w:t>
            </w:r>
          </w:p>
        </w:tc>
        <w:tc>
          <w:tcPr>
            <w:tcW w:w="1439" w:type="dxa"/>
            <w:tcBorders>
              <w:top w:val="nil"/>
              <w:left w:val="nil"/>
              <w:bottom w:val="double" w:sz="6" w:space="0" w:color="auto"/>
              <w:right w:val="nil"/>
            </w:tcBorders>
            <w:shd w:val="clear" w:color="auto" w:fill="auto"/>
            <w:noWrap/>
            <w:vAlign w:val="bottom"/>
            <w:hideMark/>
          </w:tcPr>
          <w:p w14:paraId="127076F7" w14:textId="56FF483D" w:rsidR="00CC2701" w:rsidRPr="00A00187" w:rsidRDefault="00CC2701" w:rsidP="00CC2701">
            <w:pPr>
              <w:spacing w:line="240" w:lineRule="auto"/>
              <w:jc w:val="center"/>
              <w:rPr>
                <w:rFonts w:eastAsia="Times New Roman"/>
                <w:szCs w:val="24"/>
                <w:lang w:eastAsia="cs-CZ"/>
              </w:rPr>
            </w:pPr>
            <w:r w:rsidRPr="00A00187">
              <w:rPr>
                <w:rFonts w:eastAsia="Times New Roman"/>
                <w:szCs w:val="24"/>
                <w:lang w:eastAsia="cs-CZ"/>
              </w:rPr>
              <w:t>94</w:t>
            </w:r>
            <w:r w:rsidR="00726EC3">
              <w:rPr>
                <w:rFonts w:eastAsia="Times New Roman"/>
                <w:szCs w:val="24"/>
                <w:lang w:eastAsia="cs-CZ"/>
              </w:rPr>
              <w:t>,</w:t>
            </w:r>
            <w:r w:rsidRPr="00A00187">
              <w:rPr>
                <w:rFonts w:eastAsia="Times New Roman"/>
                <w:szCs w:val="24"/>
                <w:lang w:eastAsia="cs-CZ"/>
              </w:rPr>
              <w:t>35</w:t>
            </w:r>
          </w:p>
        </w:tc>
        <w:tc>
          <w:tcPr>
            <w:tcW w:w="2097" w:type="dxa"/>
            <w:tcBorders>
              <w:top w:val="nil"/>
              <w:left w:val="nil"/>
              <w:bottom w:val="double" w:sz="6" w:space="0" w:color="auto"/>
              <w:right w:val="nil"/>
            </w:tcBorders>
            <w:shd w:val="clear" w:color="auto" w:fill="auto"/>
            <w:noWrap/>
            <w:vAlign w:val="center"/>
            <w:hideMark/>
          </w:tcPr>
          <w:p w14:paraId="7F90A4B6" w14:textId="422F9CBA" w:rsidR="00CC2701" w:rsidRPr="00A00187" w:rsidRDefault="00CC2701" w:rsidP="00951AD7">
            <w:pPr>
              <w:spacing w:line="240" w:lineRule="auto"/>
              <w:jc w:val="center"/>
              <w:rPr>
                <w:rFonts w:eastAsia="Times New Roman"/>
                <w:sz w:val="20"/>
                <w:szCs w:val="20"/>
                <w:lang w:eastAsia="cs-CZ"/>
              </w:rPr>
            </w:pPr>
            <w:r w:rsidRPr="00A00187">
              <w:rPr>
                <w:rFonts w:eastAsia="Times New Roman"/>
                <w:sz w:val="20"/>
                <w:szCs w:val="20"/>
                <w:lang w:eastAsia="cs-CZ"/>
              </w:rPr>
              <w:t>+0</w:t>
            </w:r>
            <w:r w:rsidR="00726EC3">
              <w:rPr>
                <w:rFonts w:eastAsia="Times New Roman"/>
                <w:sz w:val="20"/>
                <w:szCs w:val="20"/>
                <w:lang w:eastAsia="cs-CZ"/>
              </w:rPr>
              <w:t>,</w:t>
            </w:r>
            <w:r w:rsidRPr="00A00187">
              <w:rPr>
                <w:rFonts w:eastAsia="Times New Roman"/>
                <w:sz w:val="20"/>
                <w:szCs w:val="20"/>
                <w:lang w:eastAsia="cs-CZ"/>
              </w:rPr>
              <w:t xml:space="preserve">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F11D6CB" w14:textId="77777777" w:rsidTr="00CC2701">
        <w:trPr>
          <w:trHeight w:val="345"/>
        </w:trPr>
        <w:tc>
          <w:tcPr>
            <w:tcW w:w="2796" w:type="dxa"/>
            <w:tcBorders>
              <w:top w:val="nil"/>
              <w:left w:val="nil"/>
              <w:bottom w:val="double" w:sz="6" w:space="0" w:color="auto"/>
              <w:right w:val="nil"/>
            </w:tcBorders>
            <w:shd w:val="clear" w:color="auto" w:fill="auto"/>
            <w:noWrap/>
            <w:vAlign w:val="bottom"/>
            <w:hideMark/>
          </w:tcPr>
          <w:p w14:paraId="42FC73EE" w14:textId="77777777" w:rsidR="00CC2701" w:rsidRPr="00A00187" w:rsidRDefault="00CC2701" w:rsidP="00CC2701">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439" w:type="dxa"/>
            <w:tcBorders>
              <w:top w:val="nil"/>
              <w:left w:val="nil"/>
              <w:bottom w:val="double" w:sz="6" w:space="0" w:color="auto"/>
              <w:right w:val="nil"/>
            </w:tcBorders>
            <w:shd w:val="clear" w:color="auto" w:fill="auto"/>
            <w:noWrap/>
            <w:vAlign w:val="bottom"/>
            <w:hideMark/>
          </w:tcPr>
          <w:p w14:paraId="69F8478D" w14:textId="3649C92C" w:rsidR="00CC2701" w:rsidRPr="00A00187" w:rsidRDefault="00CC2701" w:rsidP="00CC2701">
            <w:pPr>
              <w:spacing w:line="240" w:lineRule="auto"/>
              <w:jc w:val="center"/>
              <w:rPr>
                <w:rFonts w:eastAsia="Times New Roman"/>
                <w:b/>
                <w:bCs/>
                <w:szCs w:val="24"/>
                <w:lang w:eastAsia="cs-CZ"/>
              </w:rPr>
            </w:pPr>
            <w:r w:rsidRPr="00A00187">
              <w:rPr>
                <w:rFonts w:eastAsia="Times New Roman"/>
                <w:b/>
                <w:bCs/>
                <w:szCs w:val="24"/>
                <w:lang w:eastAsia="cs-CZ"/>
              </w:rPr>
              <w:t>92</w:t>
            </w:r>
            <w:r w:rsidR="00726EC3">
              <w:rPr>
                <w:rFonts w:eastAsia="Times New Roman"/>
                <w:b/>
                <w:bCs/>
                <w:szCs w:val="24"/>
                <w:lang w:eastAsia="cs-CZ"/>
              </w:rPr>
              <w:t>,</w:t>
            </w:r>
            <w:r w:rsidRPr="00A00187">
              <w:rPr>
                <w:rFonts w:eastAsia="Times New Roman"/>
                <w:b/>
                <w:bCs/>
                <w:szCs w:val="24"/>
                <w:lang w:eastAsia="cs-CZ"/>
              </w:rPr>
              <w:t>84</w:t>
            </w:r>
          </w:p>
        </w:tc>
        <w:tc>
          <w:tcPr>
            <w:tcW w:w="2097" w:type="dxa"/>
            <w:tcBorders>
              <w:top w:val="nil"/>
              <w:left w:val="nil"/>
              <w:bottom w:val="double" w:sz="6" w:space="0" w:color="auto"/>
              <w:right w:val="nil"/>
            </w:tcBorders>
            <w:shd w:val="clear" w:color="auto" w:fill="auto"/>
            <w:noWrap/>
            <w:vAlign w:val="center"/>
            <w:hideMark/>
          </w:tcPr>
          <w:p w14:paraId="74DDE11C" w14:textId="604B7CE1" w:rsidR="00CC2701" w:rsidRPr="00A00187" w:rsidRDefault="00CC2701" w:rsidP="00951AD7">
            <w:pPr>
              <w:spacing w:line="240" w:lineRule="auto"/>
              <w:jc w:val="center"/>
              <w:rPr>
                <w:rFonts w:eastAsia="Times New Roman"/>
                <w:b/>
                <w:bCs/>
                <w:sz w:val="20"/>
                <w:szCs w:val="20"/>
                <w:lang w:eastAsia="cs-CZ"/>
              </w:rPr>
            </w:pPr>
            <w:r w:rsidRPr="00A00187">
              <w:rPr>
                <w:rFonts w:eastAsia="Times New Roman"/>
                <w:b/>
                <w:bCs/>
                <w:sz w:val="20"/>
                <w:szCs w:val="20"/>
                <w:lang w:eastAsia="cs-CZ"/>
              </w:rPr>
              <w:t>+0</w:t>
            </w:r>
            <w:r w:rsidR="00726EC3">
              <w:rPr>
                <w:rFonts w:eastAsia="Times New Roman"/>
                <w:b/>
                <w:bCs/>
                <w:sz w:val="20"/>
                <w:szCs w:val="20"/>
                <w:lang w:eastAsia="cs-CZ"/>
              </w:rPr>
              <w:t>,</w:t>
            </w:r>
            <w:r w:rsidRPr="00A00187">
              <w:rPr>
                <w:rFonts w:eastAsia="Times New Roman"/>
                <w:b/>
                <w:bCs/>
                <w:sz w:val="20"/>
                <w:szCs w:val="20"/>
                <w:lang w:eastAsia="cs-CZ"/>
              </w:rPr>
              <w:t xml:space="preserve">5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bl>
    <w:p w14:paraId="05599122" w14:textId="77777777" w:rsidR="00B2427B" w:rsidRDefault="00B2427B" w:rsidP="00506709"/>
    <w:p w14:paraId="44A82157" w14:textId="69F8B58B" w:rsidR="00CC2701" w:rsidRPr="00A00187" w:rsidRDefault="00CC2701" w:rsidP="00506709">
      <w:r w:rsidRPr="00A00187">
        <w:t xml:space="preserve">Vidíme, že výsledky jsou poměrně vyrovnané, ale určité rozdíly existují. </w:t>
      </w:r>
      <w:r w:rsidR="00E761D4" w:rsidRPr="00A00187">
        <w:t>Nejvyšší</w:t>
      </w:r>
      <w:r w:rsidRPr="00A00187">
        <w:t xml:space="preserve"> míru odsouzení mají soudy ve Středočeském kraji, nejnižší v kraji Jihočeském. Rovněž meziroční změny jsou malé. Všechny soudy mají míry odsouzení přes 90</w:t>
      </w:r>
      <w:r w:rsidR="00CB570A">
        <w:t> %</w:t>
      </w:r>
      <w:r w:rsidRPr="00A00187">
        <w:t>, což znamená, že 9 z 10 osob před soudem jsou shledány vinnými a odsouzeny.</w:t>
      </w:r>
    </w:p>
    <w:p w14:paraId="61D3812C" w14:textId="02EFCD6B" w:rsidR="00506709" w:rsidRPr="00A00187" w:rsidRDefault="009716CA" w:rsidP="00506709">
      <w:r w:rsidRPr="00A00187">
        <w:br w:type="page"/>
      </w:r>
    </w:p>
    <w:p w14:paraId="2D1E38CA" w14:textId="7AE471A6" w:rsidR="008430BD" w:rsidRPr="00A00187" w:rsidRDefault="008430BD" w:rsidP="008430BD">
      <w:pPr>
        <w:pStyle w:val="Nadpis2"/>
        <w:numPr>
          <w:ilvl w:val="1"/>
          <w:numId w:val="1"/>
        </w:numPr>
        <w:spacing w:before="120"/>
        <w:rPr>
          <w:color w:val="auto"/>
        </w:rPr>
      </w:pPr>
      <w:bookmarkStart w:id="407" w:name="_Ref511307913"/>
      <w:bookmarkStart w:id="408" w:name="_Toc515871236"/>
      <w:bookmarkStart w:id="409" w:name="_Toc106092733"/>
      <w:bookmarkStart w:id="410" w:name="_Toc109801349"/>
      <w:r w:rsidRPr="00A00187">
        <w:rPr>
          <w:color w:val="auto"/>
        </w:rPr>
        <w:lastRenderedPageBreak/>
        <w:t>Opatrovnická agenda</w:t>
      </w:r>
      <w:bookmarkEnd w:id="407"/>
      <w:bookmarkEnd w:id="408"/>
      <w:bookmarkEnd w:id="409"/>
      <w:bookmarkEnd w:id="410"/>
    </w:p>
    <w:p w14:paraId="0A3D0DF1" w14:textId="2057D244" w:rsidR="002E4D0F" w:rsidRPr="00A00187" w:rsidRDefault="002E4D0F" w:rsidP="002E4D0F">
      <w:pPr>
        <w:pStyle w:val="OdstavecASR"/>
      </w:pPr>
      <w:r w:rsidRPr="00A00187">
        <w:t>Z hlediska statistického vykazování je sledování opatrovnické agendy nejjednodušší. Ve statistickém pozorování ve výkazech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apod., tedy věci vedené v rejstříku P a </w:t>
      </w:r>
      <w:proofErr w:type="spellStart"/>
      <w:r w:rsidRPr="00A00187">
        <w:t>Nc</w:t>
      </w:r>
      <w:proofErr w:type="spellEnd"/>
      <w:r w:rsidRPr="00A00187">
        <w:t>.</w:t>
      </w:r>
    </w:p>
    <w:p w14:paraId="643AB993" w14:textId="5F90CC2B" w:rsidR="008430BD" w:rsidRPr="00A00187" w:rsidRDefault="008430BD" w:rsidP="008430BD">
      <w:pPr>
        <w:pStyle w:val="Nadpis3"/>
        <w:numPr>
          <w:ilvl w:val="2"/>
          <w:numId w:val="1"/>
        </w:numPr>
        <w:rPr>
          <w:color w:val="auto"/>
        </w:rPr>
      </w:pPr>
      <w:bookmarkStart w:id="411" w:name="_Toc515871237"/>
      <w:bookmarkStart w:id="412" w:name="_Toc106092734"/>
      <w:bookmarkStart w:id="413" w:name="_Toc109801350"/>
      <w:r w:rsidRPr="00A00187">
        <w:rPr>
          <w:color w:val="auto"/>
        </w:rPr>
        <w:t>Délka řízení</w:t>
      </w:r>
      <w:bookmarkEnd w:id="411"/>
      <w:bookmarkEnd w:id="412"/>
      <w:bookmarkEnd w:id="413"/>
    </w:p>
    <w:p w14:paraId="0091F105" w14:textId="77777777" w:rsidR="00D2172D" w:rsidRPr="00A00187" w:rsidRDefault="00D2172D" w:rsidP="00D2172D">
      <w:pPr>
        <w:pStyle w:val="OdstavecASR"/>
      </w:pPr>
      <w:r w:rsidRPr="00A00187">
        <w:t>Platí stejné poznámky jako u civilního řízení. Délku řízení tedy zjišťujeme ze statistických listů a uvádíme v kalendářních dnech ode dne nápadu do dne konečného vyřízení soudem I. stupně. Statistiky týkající se délky řízení jsou v této agendě dostupné až od roku 2009.</w:t>
      </w:r>
    </w:p>
    <w:p w14:paraId="79D8059C" w14:textId="056D9AFE" w:rsidR="00D2172D" w:rsidRPr="00A00187" w:rsidRDefault="00D2172D" w:rsidP="00D2172D">
      <w:pPr>
        <w:pStyle w:val="Podnadpis"/>
        <w:numPr>
          <w:ilvl w:val="0"/>
          <w:numId w:val="0"/>
        </w:numPr>
        <w:rPr>
          <w:color w:val="auto"/>
        </w:rPr>
      </w:pPr>
      <w:bookmarkStart w:id="414" w:name="_Toc515871365"/>
      <w:bookmarkStart w:id="415" w:name="_Toc11135097"/>
      <w:bookmarkStart w:id="416" w:name="_Toc43841415"/>
      <w:bookmarkStart w:id="417" w:name="_Toc75952218"/>
      <w:bookmarkStart w:id="418" w:name="_Toc106106670"/>
      <w:bookmarkStart w:id="419" w:name="_Toc109801994"/>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36</w:t>
      </w:r>
      <w:r w:rsidRPr="00A00187">
        <w:rPr>
          <w:noProof/>
          <w:color w:val="auto"/>
        </w:rPr>
        <w:fldChar w:fldCharType="end"/>
      </w:r>
      <w:r w:rsidRPr="00A00187">
        <w:rPr>
          <w:color w:val="auto"/>
        </w:rPr>
        <w:t>: OS – délka řízení v opatrovnické agendě v letech 2010–20</w:t>
      </w:r>
      <w:bookmarkEnd w:id="414"/>
      <w:bookmarkEnd w:id="415"/>
      <w:bookmarkEnd w:id="416"/>
      <w:r w:rsidR="009011A2" w:rsidRPr="00A00187">
        <w:rPr>
          <w:color w:val="auto"/>
        </w:rPr>
        <w:t>21</w:t>
      </w:r>
      <w:bookmarkEnd w:id="417"/>
      <w:bookmarkEnd w:id="418"/>
      <w:bookmarkEnd w:id="419"/>
    </w:p>
    <w:p w14:paraId="50F57CF7" w14:textId="5182389E" w:rsidR="00D2172D" w:rsidRPr="00A00187" w:rsidRDefault="00D2172D" w:rsidP="00D2172D">
      <w:r w:rsidRPr="00A00187">
        <w:rPr>
          <w:noProof/>
        </w:rPr>
        <w:drawing>
          <wp:inline distT="0" distB="0" distL="0" distR="0" wp14:anchorId="3AC42A4A" wp14:editId="02535220">
            <wp:extent cx="5029200" cy="365760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60067A" w14:textId="77777777" w:rsidR="00D2172D" w:rsidRPr="00A00187" w:rsidRDefault="00D2172D" w:rsidP="00D2172D">
      <w:pPr>
        <w:pStyle w:val="OdstavecASR"/>
      </w:pPr>
    </w:p>
    <w:p w14:paraId="13C61569" w14:textId="31F47E86" w:rsidR="00D2172D" w:rsidRPr="00A00187" w:rsidRDefault="00D2172D" w:rsidP="00D2172D">
      <w:pPr>
        <w:pStyle w:val="OdstavecASR"/>
      </w:pPr>
      <w:r w:rsidRPr="00A00187">
        <w:t>Délka řízení byla až do roku 2015 velmi stabilní, v letech 2015 a 2016 došlo k náhlému nárůstu následovanému tříletým poklesem. Příčinu zmíněného nárůstu můžeme spatřovat především v nabytí účinnosti zákona č. 89/2012 Sb., občanský zákoník (o. z.), podle kterého bylo třeba do tří let přezkoumat všechny osoby</w:t>
      </w:r>
      <w:r w:rsidR="00FD6C98" w:rsidRPr="00A00187">
        <w:t>, jež byly v</w:t>
      </w:r>
      <w:r w:rsidR="00687253" w:rsidRPr="00A00187">
        <w:t xml:space="preserve"> předchozí </w:t>
      </w:r>
      <w:r w:rsidR="00FD6C98" w:rsidRPr="00A00187">
        <w:t>době p</w:t>
      </w:r>
      <w:r w:rsidR="00687253" w:rsidRPr="00A00187">
        <w:t>ravomocně</w:t>
      </w:r>
      <w:r w:rsidR="00FD6C98" w:rsidRPr="00A00187">
        <w:t xml:space="preserve"> zbaveny či omezeny ve</w:t>
      </w:r>
      <w:r w:rsidR="00687253" w:rsidRPr="00A00187">
        <w:t> </w:t>
      </w:r>
      <w:r w:rsidR="00FD6C98" w:rsidRPr="00A00187">
        <w:t>způsobilosti k právním úkonům</w:t>
      </w:r>
      <w:r w:rsidRPr="00A00187">
        <w:t xml:space="preserve">. Přibyly i další druhy rozhodování (podpůrná opatření při narušení schopnosti zletilého právně jednat apod.). Došlo tak k velkému rozšíření obsahu opatrovnické agendy soudů, jak ukazuje další podkapitola. Pokles délky řízení v letech 2017–2019 byl pravděpodobně ovlivněn zejména přijetím novely o. z. provedené zákonem č. 460/2016 Sb., která </w:t>
      </w:r>
      <w:r w:rsidR="00082738" w:rsidRPr="00A00187">
        <w:t xml:space="preserve">přezkum </w:t>
      </w:r>
      <w:r w:rsidRPr="00A00187">
        <w:t>prodlužuje na 5 let (§ 59 o. z.).</w:t>
      </w:r>
    </w:p>
    <w:p w14:paraId="313015CB" w14:textId="77777777" w:rsidR="00D2172D" w:rsidRPr="00A00187" w:rsidRDefault="00D2172D" w:rsidP="00D2172D">
      <w:pPr>
        <w:pStyle w:val="OdstavecASR"/>
      </w:pPr>
      <w:r w:rsidRPr="00A00187">
        <w:t xml:space="preserve">Také je třeba upozornit, že touto novelou zákona o zvláštních řízeních soudních, tj. zákonem č. 460/2016 Sb., došlo k možnosti upustit od provedení nového znaleckého posudku a výslechu znalce v případě, že je vedeno přezkumné řízení o svéprávnosti člověka a je zjevné, že stav </w:t>
      </w:r>
      <w:r w:rsidRPr="00A00187">
        <w:lastRenderedPageBreak/>
        <w:t>posuzovaného se oproti rozhodnutí o omezení svéprávnosti či poslednímu rozhodnutí o prodloužení nezměnil. V takovém případě je znalecký posudek třeba nahradit jiným důkazem, zejména písemnou zprávou ošetřujícího lékaře ve spojení s naposledy vypracovaným znaleckým posudkem (§ 38 odst. 4 zákona o zvláštních řízeních soudních).</w:t>
      </w:r>
    </w:p>
    <w:p w14:paraId="1CC0CC83" w14:textId="775D1C6D" w:rsidR="00D2172D" w:rsidRPr="00A00187" w:rsidRDefault="00D2172D" w:rsidP="00D2172D">
      <w:pPr>
        <w:pStyle w:val="OdstavecASR"/>
      </w:pPr>
      <w:r w:rsidRPr="00A00187">
        <w:t xml:space="preserve">Podle zkušeností soudů nová agenda samozřejmě představovala dodatečnou zátěž. Hlavní problém ale </w:t>
      </w:r>
      <w:r w:rsidR="00CB4C1B" w:rsidRPr="00A00187">
        <w:t>spočíval</w:t>
      </w:r>
      <w:r w:rsidRPr="00A00187">
        <w:t xml:space="preserve"> ve vyhotovování znaleckých posudků potřebných pro přezkum svéprávnosti. Znalci byli natolik zahlceni, že odmítali zpracovávat nové věci do doby, než zpracovali ty, které jim byly přiděleny dříve. Na znalecké posudky soudy čekaly šest měsíců, někdy i déle. To se samozřejmě promítlo do celkové délky řízení. Jak bylo zmíněno již dříve, reálné změny ve</w:t>
      </w:r>
      <w:r w:rsidR="00DF4353" w:rsidRPr="00A00187">
        <w:t> </w:t>
      </w:r>
      <w:r w:rsidRPr="00A00187">
        <w:t>vyřizování agendy se do délky řízení promítají s určitým zpožděním. Nárůst v délce řízení je tedy patrný až v roce 2015 a 2016 a následuje pokles v letech 2017 a 2018. V roce 2019 pokles pokračoval a délky řízení se již prakticky vrátily na úroveň před účinností o. z. Klesl především percentil 90 a průměr, což znamená, že relativně klesl počet věcí, které nejsou vyřízeny dlouhou dobu.</w:t>
      </w:r>
    </w:p>
    <w:p w14:paraId="63B864B2" w14:textId="26225FC0" w:rsidR="00D2172D" w:rsidRPr="00A00187" w:rsidRDefault="00D2172D" w:rsidP="00D2172D">
      <w:pPr>
        <w:pStyle w:val="OdstavecASR"/>
      </w:pPr>
      <w:r w:rsidRPr="00A00187">
        <w:t xml:space="preserve">Délky řízení byly ovlivněny </w:t>
      </w:r>
      <w:r w:rsidR="00DF4353" w:rsidRPr="00A00187">
        <w:t xml:space="preserve">také </w:t>
      </w:r>
      <w:r w:rsidRPr="00A00187">
        <w:t>skutečností, že v letech 2016 až 2018 převýšil počet vyřízených věcí počet věcí příchozích. Zdá se tedy, že výše popsané problémy v agendě, které nastaly po nabytí účinnosti o. z., se částečně podařilo vyřešit. Dílčí vliv může plynout i z opatření některých soudů k posílení opatrovnických oddělení.</w:t>
      </w:r>
    </w:p>
    <w:p w14:paraId="18789436" w14:textId="77777777" w:rsidR="00CB570A" w:rsidRDefault="00D2172D" w:rsidP="00D2172D">
      <w:pPr>
        <w:pStyle w:val="OdstavecASR"/>
      </w:pPr>
      <w:r w:rsidRPr="00A00187">
        <w:t>V roce 2020 opět došlo k mírnému růstu v délkách řízení, což opět teoreticky může souviset s pandemií COVID</w:t>
      </w:r>
      <w:r w:rsidRPr="00A00187">
        <w:noBreakHyphen/>
        <w:t>19, která činnost soudů zkomplikovala. Tuto teorii podporuje fakt, že medián vzrostl ve všech krajích a téměř ve všech krajích s výjimkou Severočeského vzrostl i percentil 90 a průměr.</w:t>
      </w:r>
    </w:p>
    <w:p w14:paraId="31F7E323" w14:textId="52561D37" w:rsidR="00CB570A" w:rsidRDefault="00082738" w:rsidP="00D2172D">
      <w:r w:rsidRPr="00A00187">
        <w:t xml:space="preserve">V roce 2021 </w:t>
      </w:r>
      <w:r w:rsidR="00DF4353" w:rsidRPr="00A00187">
        <w:t>však</w:t>
      </w:r>
      <w:r w:rsidRPr="00A00187">
        <w:t xml:space="preserve"> </w:t>
      </w:r>
      <w:r w:rsidR="003809B3" w:rsidRPr="00A00187">
        <w:t xml:space="preserve">průměr stagnoval, percentil 90 narostl </w:t>
      </w:r>
      <w:r w:rsidR="00726EC3" w:rsidRPr="00A00187">
        <w:t>a</w:t>
      </w:r>
      <w:r w:rsidR="00726EC3">
        <w:t> </w:t>
      </w:r>
      <w:r w:rsidR="003809B3" w:rsidRPr="00A00187">
        <w:t>medián mírně klesl na úroveň v letech 2017 až 2019.</w:t>
      </w:r>
      <w:r w:rsidR="000E0C47" w:rsidRPr="00A00187">
        <w:t xml:space="preserve"> </w:t>
      </w:r>
      <w:r w:rsidR="0053638C" w:rsidRPr="00A00187">
        <w:t>Mírný pokles medián</w:t>
      </w:r>
      <w:r w:rsidR="00CA7A07" w:rsidRPr="00A00187">
        <w:t>u</w:t>
      </w:r>
      <w:r w:rsidR="006D51E7" w:rsidRPr="00A00187">
        <w:t xml:space="preserve"> </w:t>
      </w:r>
      <w:r w:rsidR="0053638C" w:rsidRPr="00A00187">
        <w:t xml:space="preserve">by stejně jako </w:t>
      </w:r>
      <w:r w:rsidR="00726EC3" w:rsidRPr="00A00187">
        <w:t>u</w:t>
      </w:r>
      <w:r w:rsidR="00726EC3">
        <w:t> </w:t>
      </w:r>
      <w:r w:rsidR="0053638C" w:rsidRPr="00A00187">
        <w:t xml:space="preserve">civilního řízení mohl ukazovat, že se </w:t>
      </w:r>
      <w:r w:rsidR="00726EC3" w:rsidRPr="00A00187">
        <w:t>i</w:t>
      </w:r>
      <w:r w:rsidR="00726EC3">
        <w:t> </w:t>
      </w:r>
      <w:r w:rsidR="0053638C" w:rsidRPr="00A00187">
        <w:t>přes pokračující pandemii vrátil</w:t>
      </w:r>
      <w:r w:rsidR="00CA7A07" w:rsidRPr="00A00187">
        <w:t>y</w:t>
      </w:r>
      <w:r w:rsidR="0053638C" w:rsidRPr="00A00187">
        <w:t xml:space="preserve"> k běžnému fungování. </w:t>
      </w:r>
      <w:r w:rsidR="002A7D5F" w:rsidRPr="00A00187">
        <w:t xml:space="preserve">Je opět ale třeba na uvedené nahlížet </w:t>
      </w:r>
      <w:r w:rsidR="00726EC3" w:rsidRPr="00A00187">
        <w:t>v</w:t>
      </w:r>
      <w:r w:rsidR="00726EC3">
        <w:t> </w:t>
      </w:r>
      <w:r w:rsidR="002A7D5F" w:rsidRPr="00A00187">
        <w:t>kontextu</w:t>
      </w:r>
      <w:r w:rsidR="007529B9" w:rsidRPr="00A00187">
        <w:t xml:space="preserve"> </w:t>
      </w:r>
      <w:r w:rsidR="0053638C" w:rsidRPr="00A00187">
        <w:t>vývoj</w:t>
      </w:r>
      <w:r w:rsidR="002A7D5F" w:rsidRPr="00A00187">
        <w:t>e</w:t>
      </w:r>
      <w:r w:rsidR="00DF4353" w:rsidRPr="00A00187">
        <w:t> </w:t>
      </w:r>
      <w:r w:rsidR="0053638C" w:rsidRPr="00A00187">
        <w:t xml:space="preserve">nápadu, počtu vyřízených </w:t>
      </w:r>
      <w:r w:rsidR="00726EC3" w:rsidRPr="00A00187">
        <w:t>a</w:t>
      </w:r>
      <w:r w:rsidR="00726EC3">
        <w:t> </w:t>
      </w:r>
      <w:r w:rsidR="0053638C" w:rsidRPr="00A00187">
        <w:t>nevyřízených věcí.</w:t>
      </w:r>
    </w:p>
    <w:p w14:paraId="0673D15A" w14:textId="64DA9E4D" w:rsidR="003809B3" w:rsidRPr="00A00187" w:rsidRDefault="003809B3">
      <w:pPr>
        <w:spacing w:after="160" w:line="259" w:lineRule="auto"/>
        <w:jc w:val="left"/>
      </w:pPr>
      <w:r w:rsidRPr="00A00187">
        <w:br w:type="page"/>
      </w:r>
    </w:p>
    <w:p w14:paraId="553B51F4" w14:textId="3FDA291B" w:rsidR="003809B3" w:rsidRPr="00A00187" w:rsidRDefault="003809B3" w:rsidP="003809B3">
      <w:pPr>
        <w:pStyle w:val="Podnadpis"/>
        <w:rPr>
          <w:color w:val="auto"/>
        </w:rPr>
      </w:pPr>
      <w:bookmarkStart w:id="420" w:name="_Toc515871460"/>
      <w:bookmarkStart w:id="421" w:name="_Toc11133228"/>
      <w:bookmarkStart w:id="422" w:name="_Toc43931201"/>
      <w:bookmarkStart w:id="423" w:name="_Toc75952333"/>
      <w:bookmarkStart w:id="424" w:name="_Toc106106790"/>
      <w:bookmarkStart w:id="425" w:name="_Toc109802113"/>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28</w:t>
      </w:r>
      <w:r w:rsidRPr="00A00187">
        <w:rPr>
          <w:noProof/>
          <w:color w:val="auto"/>
        </w:rPr>
        <w:fldChar w:fldCharType="end"/>
      </w:r>
      <w:r w:rsidRPr="00A00187">
        <w:rPr>
          <w:color w:val="auto"/>
        </w:rPr>
        <w:t>: OS – délky řízení v opatrovnické agendě dle krajů</w:t>
      </w:r>
      <w:bookmarkEnd w:id="420"/>
      <w:bookmarkEnd w:id="421"/>
      <w:bookmarkEnd w:id="422"/>
      <w:bookmarkEnd w:id="423"/>
      <w:bookmarkEnd w:id="424"/>
      <w:bookmarkEnd w:id="425"/>
    </w:p>
    <w:tbl>
      <w:tblPr>
        <w:tblW w:w="7552" w:type="dxa"/>
        <w:tblCellMar>
          <w:left w:w="70" w:type="dxa"/>
          <w:right w:w="70" w:type="dxa"/>
        </w:tblCellMar>
        <w:tblLook w:val="04A0" w:firstRow="1" w:lastRow="0" w:firstColumn="1" w:lastColumn="0" w:noHBand="0" w:noVBand="1"/>
      </w:tblPr>
      <w:tblGrid>
        <w:gridCol w:w="2496"/>
        <w:gridCol w:w="702"/>
        <w:gridCol w:w="928"/>
        <w:gridCol w:w="478"/>
        <w:gridCol w:w="1123"/>
        <w:gridCol w:w="712"/>
        <w:gridCol w:w="1113"/>
      </w:tblGrid>
      <w:tr w:rsidR="00AC1E67" w:rsidRPr="00A00187" w14:paraId="4BF9362F" w14:textId="77777777" w:rsidTr="003809B3">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4198559F"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5056" w:type="dxa"/>
            <w:gridSpan w:val="6"/>
            <w:tcBorders>
              <w:top w:val="double" w:sz="6" w:space="0" w:color="auto"/>
              <w:left w:val="nil"/>
              <w:bottom w:val="nil"/>
              <w:right w:val="nil"/>
            </w:tcBorders>
            <w:shd w:val="clear" w:color="auto" w:fill="auto"/>
            <w:noWrap/>
            <w:vAlign w:val="center"/>
            <w:hideMark/>
          </w:tcPr>
          <w:p w14:paraId="0C1991C0"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1D989BC6" w14:textId="77777777" w:rsidTr="003809B3">
        <w:trPr>
          <w:trHeight w:val="330"/>
        </w:trPr>
        <w:tc>
          <w:tcPr>
            <w:tcW w:w="2496" w:type="dxa"/>
            <w:vMerge/>
            <w:tcBorders>
              <w:top w:val="double" w:sz="6" w:space="0" w:color="auto"/>
              <w:left w:val="nil"/>
              <w:bottom w:val="double" w:sz="6" w:space="0" w:color="000000"/>
              <w:right w:val="nil"/>
            </w:tcBorders>
            <w:vAlign w:val="center"/>
            <w:hideMark/>
          </w:tcPr>
          <w:p w14:paraId="32A09532" w14:textId="77777777" w:rsidR="003809B3" w:rsidRPr="00A00187" w:rsidRDefault="003809B3" w:rsidP="003809B3">
            <w:pPr>
              <w:spacing w:line="240" w:lineRule="auto"/>
              <w:jc w:val="left"/>
              <w:rPr>
                <w:rFonts w:eastAsia="Times New Roman"/>
                <w:b/>
                <w:bCs/>
                <w:szCs w:val="24"/>
                <w:lang w:eastAsia="cs-CZ"/>
              </w:rPr>
            </w:pPr>
          </w:p>
        </w:tc>
        <w:tc>
          <w:tcPr>
            <w:tcW w:w="1630" w:type="dxa"/>
            <w:gridSpan w:val="2"/>
            <w:tcBorders>
              <w:top w:val="nil"/>
              <w:left w:val="nil"/>
              <w:bottom w:val="double" w:sz="6" w:space="0" w:color="auto"/>
              <w:right w:val="nil"/>
            </w:tcBorders>
            <w:shd w:val="clear" w:color="auto" w:fill="auto"/>
            <w:noWrap/>
            <w:vAlign w:val="center"/>
            <w:hideMark/>
          </w:tcPr>
          <w:p w14:paraId="55887D20"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160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03505EB"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1825" w:type="dxa"/>
            <w:gridSpan w:val="2"/>
            <w:tcBorders>
              <w:top w:val="nil"/>
              <w:left w:val="nil"/>
              <w:bottom w:val="double" w:sz="6" w:space="0" w:color="auto"/>
              <w:right w:val="nil"/>
            </w:tcBorders>
            <w:shd w:val="clear" w:color="auto" w:fill="auto"/>
            <w:noWrap/>
            <w:vAlign w:val="center"/>
            <w:hideMark/>
          </w:tcPr>
          <w:p w14:paraId="3D310BA5"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64CDD23A" w14:textId="77777777" w:rsidTr="003809B3">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029CC4D0"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MS Praha</w:t>
            </w:r>
          </w:p>
        </w:tc>
        <w:tc>
          <w:tcPr>
            <w:tcW w:w="702" w:type="dxa"/>
            <w:tcBorders>
              <w:top w:val="single" w:sz="4" w:space="0" w:color="auto"/>
              <w:left w:val="nil"/>
              <w:bottom w:val="single" w:sz="4" w:space="0" w:color="auto"/>
              <w:right w:val="nil"/>
            </w:tcBorders>
            <w:shd w:val="clear" w:color="auto" w:fill="auto"/>
            <w:noWrap/>
            <w:vAlign w:val="bottom"/>
            <w:hideMark/>
          </w:tcPr>
          <w:p w14:paraId="533716C9"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163</w:t>
            </w:r>
          </w:p>
        </w:tc>
        <w:tc>
          <w:tcPr>
            <w:tcW w:w="928" w:type="dxa"/>
            <w:tcBorders>
              <w:top w:val="single" w:sz="4" w:space="0" w:color="auto"/>
              <w:left w:val="nil"/>
              <w:bottom w:val="single" w:sz="4" w:space="0" w:color="auto"/>
              <w:right w:val="nil"/>
            </w:tcBorders>
            <w:shd w:val="clear" w:color="auto" w:fill="auto"/>
            <w:noWrap/>
            <w:vAlign w:val="center"/>
            <w:hideMark/>
          </w:tcPr>
          <w:p w14:paraId="0371F1D8" w14:textId="09372BD1"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478" w:type="dxa"/>
            <w:tcBorders>
              <w:top w:val="nil"/>
              <w:left w:val="single" w:sz="4" w:space="0" w:color="auto"/>
              <w:bottom w:val="single" w:sz="4" w:space="0" w:color="auto"/>
              <w:right w:val="nil"/>
            </w:tcBorders>
            <w:shd w:val="clear" w:color="auto" w:fill="auto"/>
            <w:noWrap/>
            <w:vAlign w:val="bottom"/>
            <w:hideMark/>
          </w:tcPr>
          <w:p w14:paraId="4557A743"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98</w:t>
            </w:r>
          </w:p>
        </w:tc>
        <w:tc>
          <w:tcPr>
            <w:tcW w:w="1123" w:type="dxa"/>
            <w:tcBorders>
              <w:top w:val="nil"/>
              <w:left w:val="nil"/>
              <w:bottom w:val="single" w:sz="4" w:space="0" w:color="auto"/>
              <w:right w:val="single" w:sz="4" w:space="0" w:color="auto"/>
            </w:tcBorders>
            <w:shd w:val="clear" w:color="auto" w:fill="auto"/>
            <w:noWrap/>
            <w:vAlign w:val="center"/>
            <w:hideMark/>
          </w:tcPr>
          <w:p w14:paraId="4EB88D3B" w14:textId="0CF3AB99"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712" w:type="dxa"/>
            <w:tcBorders>
              <w:top w:val="single" w:sz="4" w:space="0" w:color="auto"/>
              <w:left w:val="nil"/>
              <w:bottom w:val="single" w:sz="4" w:space="0" w:color="auto"/>
              <w:right w:val="nil"/>
            </w:tcBorders>
            <w:shd w:val="clear" w:color="auto" w:fill="auto"/>
            <w:noWrap/>
            <w:vAlign w:val="bottom"/>
            <w:hideMark/>
          </w:tcPr>
          <w:p w14:paraId="190EECBF"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369</w:t>
            </w:r>
          </w:p>
        </w:tc>
        <w:tc>
          <w:tcPr>
            <w:tcW w:w="1113" w:type="dxa"/>
            <w:tcBorders>
              <w:top w:val="single" w:sz="4" w:space="0" w:color="auto"/>
              <w:left w:val="nil"/>
              <w:bottom w:val="single" w:sz="4" w:space="0" w:color="auto"/>
              <w:right w:val="nil"/>
            </w:tcBorders>
            <w:shd w:val="clear" w:color="auto" w:fill="auto"/>
            <w:noWrap/>
            <w:vAlign w:val="center"/>
            <w:hideMark/>
          </w:tcPr>
          <w:p w14:paraId="6C9D2CD5" w14:textId="649F6654"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1A107DF8" w14:textId="77777777" w:rsidTr="003809B3">
        <w:trPr>
          <w:trHeight w:val="315"/>
        </w:trPr>
        <w:tc>
          <w:tcPr>
            <w:tcW w:w="2496" w:type="dxa"/>
            <w:tcBorders>
              <w:top w:val="nil"/>
              <w:left w:val="nil"/>
              <w:bottom w:val="single" w:sz="4" w:space="0" w:color="auto"/>
              <w:right w:val="nil"/>
            </w:tcBorders>
            <w:shd w:val="clear" w:color="auto" w:fill="auto"/>
            <w:noWrap/>
            <w:vAlign w:val="bottom"/>
            <w:hideMark/>
          </w:tcPr>
          <w:p w14:paraId="4706D5CF"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KS Praha</w:t>
            </w:r>
          </w:p>
        </w:tc>
        <w:tc>
          <w:tcPr>
            <w:tcW w:w="702" w:type="dxa"/>
            <w:tcBorders>
              <w:top w:val="nil"/>
              <w:left w:val="nil"/>
              <w:bottom w:val="single" w:sz="4" w:space="0" w:color="auto"/>
              <w:right w:val="nil"/>
            </w:tcBorders>
            <w:shd w:val="clear" w:color="auto" w:fill="auto"/>
            <w:noWrap/>
            <w:vAlign w:val="bottom"/>
            <w:hideMark/>
          </w:tcPr>
          <w:p w14:paraId="6C453EC3"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105</w:t>
            </w:r>
          </w:p>
        </w:tc>
        <w:tc>
          <w:tcPr>
            <w:tcW w:w="928" w:type="dxa"/>
            <w:tcBorders>
              <w:top w:val="nil"/>
              <w:left w:val="nil"/>
              <w:bottom w:val="single" w:sz="4" w:space="0" w:color="auto"/>
              <w:right w:val="nil"/>
            </w:tcBorders>
            <w:shd w:val="clear" w:color="auto" w:fill="auto"/>
            <w:noWrap/>
            <w:vAlign w:val="center"/>
            <w:hideMark/>
          </w:tcPr>
          <w:p w14:paraId="3785B381" w14:textId="06EE1262"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478" w:type="dxa"/>
            <w:tcBorders>
              <w:top w:val="nil"/>
              <w:left w:val="single" w:sz="4" w:space="0" w:color="auto"/>
              <w:bottom w:val="single" w:sz="4" w:space="0" w:color="auto"/>
              <w:right w:val="nil"/>
            </w:tcBorders>
            <w:shd w:val="clear" w:color="auto" w:fill="auto"/>
            <w:noWrap/>
            <w:vAlign w:val="bottom"/>
            <w:hideMark/>
          </w:tcPr>
          <w:p w14:paraId="1F442EA9"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62</w:t>
            </w:r>
          </w:p>
        </w:tc>
        <w:tc>
          <w:tcPr>
            <w:tcW w:w="1123" w:type="dxa"/>
            <w:tcBorders>
              <w:top w:val="nil"/>
              <w:left w:val="nil"/>
              <w:bottom w:val="single" w:sz="4" w:space="0" w:color="auto"/>
              <w:right w:val="single" w:sz="4" w:space="0" w:color="auto"/>
            </w:tcBorders>
            <w:shd w:val="clear" w:color="auto" w:fill="auto"/>
            <w:noWrap/>
            <w:vAlign w:val="center"/>
            <w:hideMark/>
          </w:tcPr>
          <w:p w14:paraId="15BED839" w14:textId="29A28AA4"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14:paraId="5579B97B"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248</w:t>
            </w:r>
          </w:p>
        </w:tc>
        <w:tc>
          <w:tcPr>
            <w:tcW w:w="1113" w:type="dxa"/>
            <w:tcBorders>
              <w:top w:val="nil"/>
              <w:left w:val="nil"/>
              <w:bottom w:val="single" w:sz="4" w:space="0" w:color="auto"/>
              <w:right w:val="nil"/>
            </w:tcBorders>
            <w:shd w:val="clear" w:color="auto" w:fill="auto"/>
            <w:noWrap/>
            <w:vAlign w:val="center"/>
            <w:hideMark/>
          </w:tcPr>
          <w:p w14:paraId="39CD750E" w14:textId="2C584E10"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r>
      <w:tr w:rsidR="00AC1E67" w:rsidRPr="00A00187" w14:paraId="753BCD40" w14:textId="77777777" w:rsidTr="003809B3">
        <w:trPr>
          <w:trHeight w:val="315"/>
        </w:trPr>
        <w:tc>
          <w:tcPr>
            <w:tcW w:w="2496" w:type="dxa"/>
            <w:tcBorders>
              <w:top w:val="nil"/>
              <w:left w:val="nil"/>
              <w:bottom w:val="single" w:sz="4" w:space="0" w:color="auto"/>
              <w:right w:val="nil"/>
            </w:tcBorders>
            <w:shd w:val="clear" w:color="auto" w:fill="auto"/>
            <w:noWrap/>
            <w:vAlign w:val="bottom"/>
            <w:hideMark/>
          </w:tcPr>
          <w:p w14:paraId="05BD4B72"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KS Č. Budějovice</w:t>
            </w:r>
          </w:p>
        </w:tc>
        <w:tc>
          <w:tcPr>
            <w:tcW w:w="702" w:type="dxa"/>
            <w:tcBorders>
              <w:top w:val="nil"/>
              <w:left w:val="nil"/>
              <w:bottom w:val="single" w:sz="4" w:space="0" w:color="auto"/>
              <w:right w:val="nil"/>
            </w:tcBorders>
            <w:shd w:val="clear" w:color="auto" w:fill="auto"/>
            <w:noWrap/>
            <w:vAlign w:val="bottom"/>
            <w:hideMark/>
          </w:tcPr>
          <w:p w14:paraId="4A03F84E"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89</w:t>
            </w:r>
          </w:p>
        </w:tc>
        <w:tc>
          <w:tcPr>
            <w:tcW w:w="928" w:type="dxa"/>
            <w:tcBorders>
              <w:top w:val="nil"/>
              <w:left w:val="nil"/>
              <w:bottom w:val="single" w:sz="4" w:space="0" w:color="auto"/>
              <w:right w:val="nil"/>
            </w:tcBorders>
            <w:shd w:val="clear" w:color="auto" w:fill="auto"/>
            <w:noWrap/>
            <w:vAlign w:val="center"/>
            <w:hideMark/>
          </w:tcPr>
          <w:p w14:paraId="1559A267" w14:textId="649C5FE1"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478" w:type="dxa"/>
            <w:tcBorders>
              <w:top w:val="nil"/>
              <w:left w:val="single" w:sz="4" w:space="0" w:color="auto"/>
              <w:bottom w:val="single" w:sz="4" w:space="0" w:color="auto"/>
              <w:right w:val="nil"/>
            </w:tcBorders>
            <w:shd w:val="clear" w:color="auto" w:fill="auto"/>
            <w:noWrap/>
            <w:vAlign w:val="bottom"/>
            <w:hideMark/>
          </w:tcPr>
          <w:p w14:paraId="2AB809A2"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56</w:t>
            </w:r>
          </w:p>
        </w:tc>
        <w:tc>
          <w:tcPr>
            <w:tcW w:w="1123" w:type="dxa"/>
            <w:tcBorders>
              <w:top w:val="nil"/>
              <w:left w:val="nil"/>
              <w:bottom w:val="single" w:sz="4" w:space="0" w:color="auto"/>
              <w:right w:val="single" w:sz="4" w:space="0" w:color="auto"/>
            </w:tcBorders>
            <w:shd w:val="clear" w:color="auto" w:fill="auto"/>
            <w:noWrap/>
            <w:vAlign w:val="center"/>
            <w:hideMark/>
          </w:tcPr>
          <w:p w14:paraId="715658E0" w14:textId="367D4370"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14:paraId="189C7F17"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202</w:t>
            </w:r>
          </w:p>
        </w:tc>
        <w:tc>
          <w:tcPr>
            <w:tcW w:w="1113" w:type="dxa"/>
            <w:tcBorders>
              <w:top w:val="nil"/>
              <w:left w:val="nil"/>
              <w:bottom w:val="single" w:sz="4" w:space="0" w:color="auto"/>
              <w:right w:val="nil"/>
            </w:tcBorders>
            <w:shd w:val="clear" w:color="auto" w:fill="auto"/>
            <w:noWrap/>
            <w:vAlign w:val="center"/>
            <w:hideMark/>
          </w:tcPr>
          <w:p w14:paraId="46C4569E" w14:textId="1AB0427E"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362B1450" w14:textId="77777777" w:rsidTr="003809B3">
        <w:trPr>
          <w:trHeight w:val="315"/>
        </w:trPr>
        <w:tc>
          <w:tcPr>
            <w:tcW w:w="2496" w:type="dxa"/>
            <w:tcBorders>
              <w:top w:val="nil"/>
              <w:left w:val="nil"/>
              <w:bottom w:val="single" w:sz="4" w:space="0" w:color="auto"/>
              <w:right w:val="nil"/>
            </w:tcBorders>
            <w:shd w:val="clear" w:color="auto" w:fill="auto"/>
            <w:noWrap/>
            <w:vAlign w:val="bottom"/>
            <w:hideMark/>
          </w:tcPr>
          <w:p w14:paraId="123E18FF"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KS Plzeň</w:t>
            </w:r>
          </w:p>
        </w:tc>
        <w:tc>
          <w:tcPr>
            <w:tcW w:w="702" w:type="dxa"/>
            <w:tcBorders>
              <w:top w:val="nil"/>
              <w:left w:val="nil"/>
              <w:bottom w:val="single" w:sz="4" w:space="0" w:color="auto"/>
              <w:right w:val="nil"/>
            </w:tcBorders>
            <w:shd w:val="clear" w:color="auto" w:fill="auto"/>
            <w:noWrap/>
            <w:vAlign w:val="bottom"/>
            <w:hideMark/>
          </w:tcPr>
          <w:p w14:paraId="7351B524"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120</w:t>
            </w:r>
          </w:p>
        </w:tc>
        <w:tc>
          <w:tcPr>
            <w:tcW w:w="928" w:type="dxa"/>
            <w:tcBorders>
              <w:top w:val="nil"/>
              <w:left w:val="nil"/>
              <w:bottom w:val="single" w:sz="4" w:space="0" w:color="auto"/>
              <w:right w:val="nil"/>
            </w:tcBorders>
            <w:shd w:val="clear" w:color="auto" w:fill="auto"/>
            <w:noWrap/>
            <w:vAlign w:val="center"/>
            <w:hideMark/>
          </w:tcPr>
          <w:p w14:paraId="209F235C" w14:textId="7C6EB204"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478" w:type="dxa"/>
            <w:tcBorders>
              <w:top w:val="nil"/>
              <w:left w:val="single" w:sz="4" w:space="0" w:color="auto"/>
              <w:bottom w:val="single" w:sz="4" w:space="0" w:color="auto"/>
              <w:right w:val="nil"/>
            </w:tcBorders>
            <w:shd w:val="clear" w:color="auto" w:fill="auto"/>
            <w:noWrap/>
            <w:vAlign w:val="bottom"/>
            <w:hideMark/>
          </w:tcPr>
          <w:p w14:paraId="141C4EE0"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73</w:t>
            </w:r>
          </w:p>
        </w:tc>
        <w:tc>
          <w:tcPr>
            <w:tcW w:w="1123" w:type="dxa"/>
            <w:tcBorders>
              <w:top w:val="nil"/>
              <w:left w:val="nil"/>
              <w:bottom w:val="single" w:sz="4" w:space="0" w:color="auto"/>
              <w:right w:val="single" w:sz="4" w:space="0" w:color="auto"/>
            </w:tcBorders>
            <w:shd w:val="clear" w:color="auto" w:fill="auto"/>
            <w:noWrap/>
            <w:vAlign w:val="center"/>
            <w:hideMark/>
          </w:tcPr>
          <w:p w14:paraId="1D0AA1AC" w14:textId="2F34495D"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14:paraId="3BE90319"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265</w:t>
            </w:r>
          </w:p>
        </w:tc>
        <w:tc>
          <w:tcPr>
            <w:tcW w:w="1113" w:type="dxa"/>
            <w:tcBorders>
              <w:top w:val="nil"/>
              <w:left w:val="nil"/>
              <w:bottom w:val="single" w:sz="4" w:space="0" w:color="auto"/>
              <w:right w:val="nil"/>
            </w:tcBorders>
            <w:shd w:val="clear" w:color="auto" w:fill="auto"/>
            <w:noWrap/>
            <w:vAlign w:val="center"/>
            <w:hideMark/>
          </w:tcPr>
          <w:p w14:paraId="7528B816" w14:textId="0DD64B3E"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r>
      <w:tr w:rsidR="00AC1E67" w:rsidRPr="00A00187" w14:paraId="273A17A8" w14:textId="77777777" w:rsidTr="003809B3">
        <w:trPr>
          <w:trHeight w:val="315"/>
        </w:trPr>
        <w:tc>
          <w:tcPr>
            <w:tcW w:w="2496" w:type="dxa"/>
            <w:tcBorders>
              <w:top w:val="nil"/>
              <w:left w:val="nil"/>
              <w:bottom w:val="single" w:sz="4" w:space="0" w:color="auto"/>
              <w:right w:val="nil"/>
            </w:tcBorders>
            <w:shd w:val="clear" w:color="auto" w:fill="auto"/>
            <w:noWrap/>
            <w:vAlign w:val="bottom"/>
            <w:hideMark/>
          </w:tcPr>
          <w:p w14:paraId="2DB6FF54"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KS Ústí n. Labem</w:t>
            </w:r>
          </w:p>
        </w:tc>
        <w:tc>
          <w:tcPr>
            <w:tcW w:w="702" w:type="dxa"/>
            <w:tcBorders>
              <w:top w:val="nil"/>
              <w:left w:val="nil"/>
              <w:bottom w:val="single" w:sz="4" w:space="0" w:color="auto"/>
              <w:right w:val="nil"/>
            </w:tcBorders>
            <w:shd w:val="clear" w:color="auto" w:fill="auto"/>
            <w:noWrap/>
            <w:vAlign w:val="bottom"/>
            <w:hideMark/>
          </w:tcPr>
          <w:p w14:paraId="606E112E"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144</w:t>
            </w:r>
          </w:p>
        </w:tc>
        <w:tc>
          <w:tcPr>
            <w:tcW w:w="928" w:type="dxa"/>
            <w:tcBorders>
              <w:top w:val="nil"/>
              <w:left w:val="nil"/>
              <w:bottom w:val="single" w:sz="4" w:space="0" w:color="auto"/>
              <w:right w:val="nil"/>
            </w:tcBorders>
            <w:shd w:val="clear" w:color="auto" w:fill="auto"/>
            <w:noWrap/>
            <w:vAlign w:val="center"/>
            <w:hideMark/>
          </w:tcPr>
          <w:p w14:paraId="7995FF7A" w14:textId="3C63E5EC"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478" w:type="dxa"/>
            <w:tcBorders>
              <w:top w:val="nil"/>
              <w:left w:val="single" w:sz="4" w:space="0" w:color="auto"/>
              <w:bottom w:val="single" w:sz="4" w:space="0" w:color="auto"/>
              <w:right w:val="nil"/>
            </w:tcBorders>
            <w:shd w:val="clear" w:color="auto" w:fill="auto"/>
            <w:noWrap/>
            <w:vAlign w:val="bottom"/>
            <w:hideMark/>
          </w:tcPr>
          <w:p w14:paraId="0A76EF7F"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90</w:t>
            </w:r>
          </w:p>
        </w:tc>
        <w:tc>
          <w:tcPr>
            <w:tcW w:w="1123" w:type="dxa"/>
            <w:tcBorders>
              <w:top w:val="nil"/>
              <w:left w:val="nil"/>
              <w:bottom w:val="single" w:sz="4" w:space="0" w:color="auto"/>
              <w:right w:val="single" w:sz="4" w:space="0" w:color="auto"/>
            </w:tcBorders>
            <w:shd w:val="clear" w:color="auto" w:fill="auto"/>
            <w:noWrap/>
            <w:vAlign w:val="center"/>
            <w:hideMark/>
          </w:tcPr>
          <w:p w14:paraId="0FCE9E80" w14:textId="2B3F0AD5"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14:paraId="04A3534B"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316</w:t>
            </w:r>
          </w:p>
        </w:tc>
        <w:tc>
          <w:tcPr>
            <w:tcW w:w="1113" w:type="dxa"/>
            <w:tcBorders>
              <w:top w:val="nil"/>
              <w:left w:val="nil"/>
              <w:bottom w:val="single" w:sz="4" w:space="0" w:color="auto"/>
              <w:right w:val="nil"/>
            </w:tcBorders>
            <w:shd w:val="clear" w:color="auto" w:fill="auto"/>
            <w:noWrap/>
            <w:vAlign w:val="center"/>
            <w:hideMark/>
          </w:tcPr>
          <w:p w14:paraId="08BF1FF8" w14:textId="11A9015A"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6C3CE2A7" w14:textId="77777777" w:rsidTr="003809B3">
        <w:trPr>
          <w:trHeight w:val="315"/>
        </w:trPr>
        <w:tc>
          <w:tcPr>
            <w:tcW w:w="2496" w:type="dxa"/>
            <w:tcBorders>
              <w:top w:val="nil"/>
              <w:left w:val="nil"/>
              <w:bottom w:val="single" w:sz="4" w:space="0" w:color="auto"/>
              <w:right w:val="nil"/>
            </w:tcBorders>
            <w:shd w:val="clear" w:color="auto" w:fill="auto"/>
            <w:noWrap/>
            <w:vAlign w:val="bottom"/>
            <w:hideMark/>
          </w:tcPr>
          <w:p w14:paraId="7AAA4219"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KS Hr. Králové</w:t>
            </w:r>
          </w:p>
        </w:tc>
        <w:tc>
          <w:tcPr>
            <w:tcW w:w="702" w:type="dxa"/>
            <w:tcBorders>
              <w:top w:val="nil"/>
              <w:left w:val="nil"/>
              <w:bottom w:val="single" w:sz="4" w:space="0" w:color="auto"/>
              <w:right w:val="nil"/>
            </w:tcBorders>
            <w:shd w:val="clear" w:color="auto" w:fill="auto"/>
            <w:noWrap/>
            <w:vAlign w:val="bottom"/>
            <w:hideMark/>
          </w:tcPr>
          <w:p w14:paraId="70B6B084"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122</w:t>
            </w:r>
          </w:p>
        </w:tc>
        <w:tc>
          <w:tcPr>
            <w:tcW w:w="928" w:type="dxa"/>
            <w:tcBorders>
              <w:top w:val="nil"/>
              <w:left w:val="nil"/>
              <w:bottom w:val="single" w:sz="4" w:space="0" w:color="auto"/>
              <w:right w:val="nil"/>
            </w:tcBorders>
            <w:shd w:val="clear" w:color="auto" w:fill="auto"/>
            <w:noWrap/>
            <w:vAlign w:val="center"/>
            <w:hideMark/>
          </w:tcPr>
          <w:p w14:paraId="2B9EA679" w14:textId="383FAD01"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478" w:type="dxa"/>
            <w:tcBorders>
              <w:top w:val="nil"/>
              <w:left w:val="single" w:sz="4" w:space="0" w:color="auto"/>
              <w:bottom w:val="single" w:sz="4" w:space="0" w:color="auto"/>
              <w:right w:val="nil"/>
            </w:tcBorders>
            <w:shd w:val="clear" w:color="auto" w:fill="auto"/>
            <w:noWrap/>
            <w:vAlign w:val="bottom"/>
            <w:hideMark/>
          </w:tcPr>
          <w:p w14:paraId="006546CE"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67</w:t>
            </w:r>
          </w:p>
        </w:tc>
        <w:tc>
          <w:tcPr>
            <w:tcW w:w="1123" w:type="dxa"/>
            <w:tcBorders>
              <w:top w:val="nil"/>
              <w:left w:val="nil"/>
              <w:bottom w:val="single" w:sz="4" w:space="0" w:color="auto"/>
              <w:right w:val="single" w:sz="4" w:space="0" w:color="auto"/>
            </w:tcBorders>
            <w:shd w:val="clear" w:color="auto" w:fill="auto"/>
            <w:noWrap/>
            <w:vAlign w:val="center"/>
            <w:hideMark/>
          </w:tcPr>
          <w:p w14:paraId="4859EDF4" w14:textId="1A1E4D3E"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14:paraId="3D0A8E6C"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282</w:t>
            </w:r>
          </w:p>
        </w:tc>
        <w:tc>
          <w:tcPr>
            <w:tcW w:w="1113" w:type="dxa"/>
            <w:tcBorders>
              <w:top w:val="nil"/>
              <w:left w:val="nil"/>
              <w:bottom w:val="single" w:sz="4" w:space="0" w:color="auto"/>
              <w:right w:val="nil"/>
            </w:tcBorders>
            <w:shd w:val="clear" w:color="auto" w:fill="auto"/>
            <w:noWrap/>
            <w:vAlign w:val="center"/>
            <w:hideMark/>
          </w:tcPr>
          <w:p w14:paraId="590692DC" w14:textId="093F0E3A"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64137B15" w14:textId="77777777" w:rsidTr="003809B3">
        <w:trPr>
          <w:trHeight w:val="315"/>
        </w:trPr>
        <w:tc>
          <w:tcPr>
            <w:tcW w:w="2496" w:type="dxa"/>
            <w:tcBorders>
              <w:top w:val="nil"/>
              <w:left w:val="nil"/>
              <w:bottom w:val="single" w:sz="4" w:space="0" w:color="auto"/>
              <w:right w:val="nil"/>
            </w:tcBorders>
            <w:shd w:val="clear" w:color="auto" w:fill="auto"/>
            <w:noWrap/>
            <w:vAlign w:val="bottom"/>
            <w:hideMark/>
          </w:tcPr>
          <w:p w14:paraId="76D00D9C"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KS Brno</w:t>
            </w:r>
          </w:p>
        </w:tc>
        <w:tc>
          <w:tcPr>
            <w:tcW w:w="702" w:type="dxa"/>
            <w:tcBorders>
              <w:top w:val="nil"/>
              <w:left w:val="nil"/>
              <w:bottom w:val="single" w:sz="4" w:space="0" w:color="auto"/>
              <w:right w:val="nil"/>
            </w:tcBorders>
            <w:shd w:val="clear" w:color="auto" w:fill="auto"/>
            <w:noWrap/>
            <w:vAlign w:val="bottom"/>
            <w:hideMark/>
          </w:tcPr>
          <w:p w14:paraId="26A71E12"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141</w:t>
            </w:r>
          </w:p>
        </w:tc>
        <w:tc>
          <w:tcPr>
            <w:tcW w:w="928" w:type="dxa"/>
            <w:tcBorders>
              <w:top w:val="nil"/>
              <w:left w:val="nil"/>
              <w:bottom w:val="single" w:sz="4" w:space="0" w:color="auto"/>
              <w:right w:val="nil"/>
            </w:tcBorders>
            <w:shd w:val="clear" w:color="auto" w:fill="auto"/>
            <w:noWrap/>
            <w:vAlign w:val="center"/>
            <w:hideMark/>
          </w:tcPr>
          <w:p w14:paraId="743970E0" w14:textId="622F4C2A"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478" w:type="dxa"/>
            <w:tcBorders>
              <w:top w:val="nil"/>
              <w:left w:val="single" w:sz="4" w:space="0" w:color="auto"/>
              <w:bottom w:val="single" w:sz="4" w:space="0" w:color="auto"/>
              <w:right w:val="nil"/>
            </w:tcBorders>
            <w:shd w:val="clear" w:color="auto" w:fill="auto"/>
            <w:noWrap/>
            <w:vAlign w:val="bottom"/>
            <w:hideMark/>
          </w:tcPr>
          <w:p w14:paraId="5AAC477F"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89</w:t>
            </w:r>
          </w:p>
        </w:tc>
        <w:tc>
          <w:tcPr>
            <w:tcW w:w="1123" w:type="dxa"/>
            <w:tcBorders>
              <w:top w:val="nil"/>
              <w:left w:val="nil"/>
              <w:bottom w:val="single" w:sz="4" w:space="0" w:color="auto"/>
              <w:right w:val="single" w:sz="4" w:space="0" w:color="auto"/>
            </w:tcBorders>
            <w:shd w:val="clear" w:color="auto" w:fill="auto"/>
            <w:noWrap/>
            <w:vAlign w:val="center"/>
            <w:hideMark/>
          </w:tcPr>
          <w:p w14:paraId="1E3FB25F" w14:textId="02FA7D22"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14:paraId="0CAABB2F"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318</w:t>
            </w:r>
          </w:p>
        </w:tc>
        <w:tc>
          <w:tcPr>
            <w:tcW w:w="1113" w:type="dxa"/>
            <w:tcBorders>
              <w:top w:val="nil"/>
              <w:left w:val="nil"/>
              <w:bottom w:val="single" w:sz="4" w:space="0" w:color="auto"/>
              <w:right w:val="nil"/>
            </w:tcBorders>
            <w:shd w:val="clear" w:color="auto" w:fill="auto"/>
            <w:noWrap/>
            <w:vAlign w:val="center"/>
            <w:hideMark/>
          </w:tcPr>
          <w:p w14:paraId="0CDBB74B" w14:textId="1A6A5555"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r>
      <w:tr w:rsidR="00AC1E67" w:rsidRPr="00A00187" w14:paraId="1DE06012" w14:textId="77777777" w:rsidTr="003809B3">
        <w:trPr>
          <w:trHeight w:val="330"/>
        </w:trPr>
        <w:tc>
          <w:tcPr>
            <w:tcW w:w="2496" w:type="dxa"/>
            <w:tcBorders>
              <w:top w:val="nil"/>
              <w:left w:val="nil"/>
              <w:bottom w:val="double" w:sz="6" w:space="0" w:color="auto"/>
              <w:right w:val="nil"/>
            </w:tcBorders>
            <w:shd w:val="clear" w:color="auto" w:fill="auto"/>
            <w:noWrap/>
            <w:vAlign w:val="bottom"/>
            <w:hideMark/>
          </w:tcPr>
          <w:p w14:paraId="5A65AF5E" w14:textId="77777777" w:rsidR="003809B3" w:rsidRPr="00A00187" w:rsidRDefault="003809B3" w:rsidP="003809B3">
            <w:pPr>
              <w:spacing w:line="240" w:lineRule="auto"/>
              <w:jc w:val="left"/>
              <w:rPr>
                <w:rFonts w:eastAsia="Times New Roman"/>
                <w:szCs w:val="24"/>
                <w:lang w:eastAsia="cs-CZ"/>
              </w:rPr>
            </w:pPr>
            <w:r w:rsidRPr="00A00187">
              <w:rPr>
                <w:rFonts w:eastAsia="Times New Roman"/>
                <w:szCs w:val="24"/>
                <w:lang w:eastAsia="cs-CZ"/>
              </w:rPr>
              <w:t>KS Ostrava</w:t>
            </w:r>
          </w:p>
        </w:tc>
        <w:tc>
          <w:tcPr>
            <w:tcW w:w="702" w:type="dxa"/>
            <w:tcBorders>
              <w:top w:val="nil"/>
              <w:left w:val="nil"/>
              <w:bottom w:val="double" w:sz="6" w:space="0" w:color="auto"/>
              <w:right w:val="nil"/>
            </w:tcBorders>
            <w:shd w:val="clear" w:color="auto" w:fill="auto"/>
            <w:noWrap/>
            <w:vAlign w:val="bottom"/>
            <w:hideMark/>
          </w:tcPr>
          <w:p w14:paraId="0A0581B8"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140</w:t>
            </w:r>
          </w:p>
        </w:tc>
        <w:tc>
          <w:tcPr>
            <w:tcW w:w="928" w:type="dxa"/>
            <w:tcBorders>
              <w:top w:val="nil"/>
              <w:left w:val="nil"/>
              <w:bottom w:val="double" w:sz="6" w:space="0" w:color="auto"/>
              <w:right w:val="nil"/>
            </w:tcBorders>
            <w:shd w:val="clear" w:color="auto" w:fill="auto"/>
            <w:noWrap/>
            <w:vAlign w:val="center"/>
            <w:hideMark/>
          </w:tcPr>
          <w:p w14:paraId="104E17C9" w14:textId="6754D244"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478" w:type="dxa"/>
            <w:tcBorders>
              <w:top w:val="nil"/>
              <w:left w:val="single" w:sz="4" w:space="0" w:color="auto"/>
              <w:bottom w:val="double" w:sz="6" w:space="0" w:color="auto"/>
              <w:right w:val="nil"/>
            </w:tcBorders>
            <w:shd w:val="clear" w:color="auto" w:fill="auto"/>
            <w:noWrap/>
            <w:vAlign w:val="bottom"/>
            <w:hideMark/>
          </w:tcPr>
          <w:p w14:paraId="1EF32661"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97</w:t>
            </w:r>
          </w:p>
        </w:tc>
        <w:tc>
          <w:tcPr>
            <w:tcW w:w="1123" w:type="dxa"/>
            <w:tcBorders>
              <w:top w:val="nil"/>
              <w:left w:val="nil"/>
              <w:bottom w:val="double" w:sz="6" w:space="0" w:color="auto"/>
              <w:right w:val="single" w:sz="4" w:space="0" w:color="auto"/>
            </w:tcBorders>
            <w:shd w:val="clear" w:color="auto" w:fill="auto"/>
            <w:noWrap/>
            <w:vAlign w:val="center"/>
            <w:hideMark/>
          </w:tcPr>
          <w:p w14:paraId="71141F18" w14:textId="4FE0C4AA"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712" w:type="dxa"/>
            <w:tcBorders>
              <w:top w:val="nil"/>
              <w:left w:val="nil"/>
              <w:bottom w:val="double" w:sz="6" w:space="0" w:color="auto"/>
              <w:right w:val="nil"/>
            </w:tcBorders>
            <w:shd w:val="clear" w:color="auto" w:fill="auto"/>
            <w:noWrap/>
            <w:vAlign w:val="bottom"/>
            <w:hideMark/>
          </w:tcPr>
          <w:p w14:paraId="2BF9BCFA" w14:textId="77777777" w:rsidR="003809B3" w:rsidRPr="00A00187" w:rsidRDefault="003809B3" w:rsidP="003809B3">
            <w:pPr>
              <w:spacing w:line="240" w:lineRule="auto"/>
              <w:jc w:val="center"/>
              <w:rPr>
                <w:rFonts w:eastAsia="Times New Roman"/>
                <w:szCs w:val="24"/>
                <w:lang w:eastAsia="cs-CZ"/>
              </w:rPr>
            </w:pPr>
            <w:r w:rsidRPr="00A00187">
              <w:rPr>
                <w:rFonts w:eastAsia="Times New Roman"/>
                <w:szCs w:val="24"/>
                <w:lang w:eastAsia="cs-CZ"/>
              </w:rPr>
              <w:t>297</w:t>
            </w:r>
          </w:p>
        </w:tc>
        <w:tc>
          <w:tcPr>
            <w:tcW w:w="1113" w:type="dxa"/>
            <w:tcBorders>
              <w:top w:val="nil"/>
              <w:left w:val="nil"/>
              <w:bottom w:val="double" w:sz="6" w:space="0" w:color="auto"/>
              <w:right w:val="nil"/>
            </w:tcBorders>
            <w:shd w:val="clear" w:color="auto" w:fill="auto"/>
            <w:noWrap/>
            <w:vAlign w:val="center"/>
            <w:hideMark/>
          </w:tcPr>
          <w:p w14:paraId="26D393F8" w14:textId="0B9E551F" w:rsidR="003809B3" w:rsidRPr="00A00187" w:rsidRDefault="003809B3" w:rsidP="003809B3">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6A815B6A" w14:textId="77777777" w:rsidTr="003809B3">
        <w:trPr>
          <w:trHeight w:val="345"/>
        </w:trPr>
        <w:tc>
          <w:tcPr>
            <w:tcW w:w="2496" w:type="dxa"/>
            <w:tcBorders>
              <w:top w:val="nil"/>
              <w:left w:val="nil"/>
              <w:bottom w:val="double" w:sz="6" w:space="0" w:color="auto"/>
              <w:right w:val="nil"/>
            </w:tcBorders>
            <w:shd w:val="clear" w:color="auto" w:fill="auto"/>
            <w:noWrap/>
            <w:vAlign w:val="bottom"/>
            <w:hideMark/>
          </w:tcPr>
          <w:p w14:paraId="43D25740" w14:textId="77777777" w:rsidR="003809B3" w:rsidRPr="00A00187" w:rsidRDefault="003809B3" w:rsidP="003809B3">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702" w:type="dxa"/>
            <w:tcBorders>
              <w:top w:val="nil"/>
              <w:left w:val="nil"/>
              <w:bottom w:val="double" w:sz="6" w:space="0" w:color="auto"/>
              <w:right w:val="nil"/>
            </w:tcBorders>
            <w:shd w:val="clear" w:color="auto" w:fill="auto"/>
            <w:noWrap/>
            <w:vAlign w:val="bottom"/>
            <w:hideMark/>
          </w:tcPr>
          <w:p w14:paraId="7769FB61"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131</w:t>
            </w:r>
          </w:p>
        </w:tc>
        <w:tc>
          <w:tcPr>
            <w:tcW w:w="928" w:type="dxa"/>
            <w:tcBorders>
              <w:top w:val="nil"/>
              <w:left w:val="nil"/>
              <w:bottom w:val="double" w:sz="6" w:space="0" w:color="auto"/>
              <w:right w:val="nil"/>
            </w:tcBorders>
            <w:shd w:val="clear" w:color="auto" w:fill="auto"/>
            <w:noWrap/>
            <w:vAlign w:val="center"/>
            <w:hideMark/>
          </w:tcPr>
          <w:p w14:paraId="37DD9CDE" w14:textId="72AED84B" w:rsidR="003809B3" w:rsidRPr="00A00187" w:rsidRDefault="003809B3" w:rsidP="003809B3">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478" w:type="dxa"/>
            <w:tcBorders>
              <w:top w:val="nil"/>
              <w:left w:val="single" w:sz="4" w:space="0" w:color="auto"/>
              <w:bottom w:val="double" w:sz="6" w:space="0" w:color="auto"/>
              <w:right w:val="nil"/>
            </w:tcBorders>
            <w:shd w:val="clear" w:color="auto" w:fill="auto"/>
            <w:noWrap/>
            <w:vAlign w:val="bottom"/>
            <w:hideMark/>
          </w:tcPr>
          <w:p w14:paraId="4BD7C864"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81</w:t>
            </w:r>
          </w:p>
        </w:tc>
        <w:tc>
          <w:tcPr>
            <w:tcW w:w="1123" w:type="dxa"/>
            <w:tcBorders>
              <w:top w:val="nil"/>
              <w:left w:val="nil"/>
              <w:bottom w:val="double" w:sz="6" w:space="0" w:color="auto"/>
              <w:right w:val="single" w:sz="4" w:space="0" w:color="auto"/>
            </w:tcBorders>
            <w:shd w:val="clear" w:color="auto" w:fill="auto"/>
            <w:noWrap/>
            <w:vAlign w:val="center"/>
            <w:hideMark/>
          </w:tcPr>
          <w:p w14:paraId="302F72B4" w14:textId="557785FD" w:rsidR="003809B3" w:rsidRPr="00A00187" w:rsidRDefault="003809B3" w:rsidP="003809B3">
            <w:pPr>
              <w:spacing w:line="240" w:lineRule="auto"/>
              <w:jc w:val="center"/>
              <w:rPr>
                <w:rFonts w:eastAsia="Times New Roman"/>
                <w:b/>
                <w:bCs/>
                <w:sz w:val="20"/>
                <w:szCs w:val="20"/>
                <w:lang w:eastAsia="cs-CZ"/>
              </w:rPr>
            </w:pPr>
            <w:r w:rsidRPr="00A00187">
              <w:rPr>
                <w:rFonts w:eastAsia="Times New Roman"/>
                <w:b/>
                <w:bCs/>
                <w:sz w:val="20"/>
                <w:szCs w:val="20"/>
                <w:lang w:eastAsia="cs-CZ"/>
              </w:rPr>
              <w:t>-10</w:t>
            </w:r>
            <w:r w:rsidR="00CB570A">
              <w:rPr>
                <w:rFonts w:eastAsia="Times New Roman"/>
                <w:b/>
                <w:bCs/>
                <w:sz w:val="20"/>
                <w:szCs w:val="20"/>
                <w:lang w:eastAsia="cs-CZ"/>
              </w:rPr>
              <w:t> %</w:t>
            </w:r>
          </w:p>
        </w:tc>
        <w:tc>
          <w:tcPr>
            <w:tcW w:w="712" w:type="dxa"/>
            <w:tcBorders>
              <w:top w:val="nil"/>
              <w:left w:val="nil"/>
              <w:bottom w:val="double" w:sz="6" w:space="0" w:color="auto"/>
              <w:right w:val="nil"/>
            </w:tcBorders>
            <w:shd w:val="clear" w:color="auto" w:fill="auto"/>
            <w:noWrap/>
            <w:vAlign w:val="bottom"/>
            <w:hideMark/>
          </w:tcPr>
          <w:p w14:paraId="27503D15" w14:textId="77777777" w:rsidR="003809B3" w:rsidRPr="00A00187" w:rsidRDefault="003809B3" w:rsidP="003809B3">
            <w:pPr>
              <w:spacing w:line="240" w:lineRule="auto"/>
              <w:jc w:val="center"/>
              <w:rPr>
                <w:rFonts w:eastAsia="Times New Roman"/>
                <w:b/>
                <w:bCs/>
                <w:szCs w:val="24"/>
                <w:lang w:eastAsia="cs-CZ"/>
              </w:rPr>
            </w:pPr>
            <w:r w:rsidRPr="00A00187">
              <w:rPr>
                <w:rFonts w:eastAsia="Times New Roman"/>
                <w:b/>
                <w:bCs/>
                <w:szCs w:val="24"/>
                <w:lang w:eastAsia="cs-CZ"/>
              </w:rPr>
              <w:t>294</w:t>
            </w:r>
          </w:p>
        </w:tc>
        <w:tc>
          <w:tcPr>
            <w:tcW w:w="1113" w:type="dxa"/>
            <w:tcBorders>
              <w:top w:val="nil"/>
              <w:left w:val="nil"/>
              <w:bottom w:val="double" w:sz="6" w:space="0" w:color="auto"/>
              <w:right w:val="nil"/>
            </w:tcBorders>
            <w:shd w:val="clear" w:color="auto" w:fill="auto"/>
            <w:noWrap/>
            <w:vAlign w:val="center"/>
            <w:hideMark/>
          </w:tcPr>
          <w:p w14:paraId="4C44125D" w14:textId="190AB61F" w:rsidR="003809B3" w:rsidRPr="00A00187" w:rsidRDefault="003809B3" w:rsidP="003809B3">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r>
      <w:tr w:rsidR="00AC1E67" w:rsidRPr="00A00187" w14:paraId="28B2F9EF" w14:textId="77777777" w:rsidTr="003809B3">
        <w:trPr>
          <w:trHeight w:val="330"/>
        </w:trPr>
        <w:tc>
          <w:tcPr>
            <w:tcW w:w="2496" w:type="dxa"/>
            <w:tcBorders>
              <w:top w:val="nil"/>
              <w:left w:val="nil"/>
              <w:bottom w:val="nil"/>
              <w:right w:val="nil"/>
            </w:tcBorders>
            <w:shd w:val="clear" w:color="auto" w:fill="auto"/>
            <w:noWrap/>
            <w:vAlign w:val="bottom"/>
            <w:hideMark/>
          </w:tcPr>
          <w:p w14:paraId="7F9CE558" w14:textId="77777777" w:rsidR="003809B3" w:rsidRPr="00A00187" w:rsidRDefault="003809B3" w:rsidP="003809B3">
            <w:pPr>
              <w:spacing w:line="240" w:lineRule="auto"/>
              <w:jc w:val="right"/>
              <w:rPr>
                <w:rFonts w:eastAsia="Times New Roman"/>
                <w:b/>
                <w:bCs/>
                <w:sz w:val="20"/>
                <w:szCs w:val="20"/>
                <w:lang w:eastAsia="cs-CZ"/>
              </w:rPr>
            </w:pPr>
          </w:p>
        </w:tc>
        <w:tc>
          <w:tcPr>
            <w:tcW w:w="702" w:type="dxa"/>
            <w:tcBorders>
              <w:top w:val="nil"/>
              <w:left w:val="nil"/>
              <w:bottom w:val="nil"/>
              <w:right w:val="nil"/>
            </w:tcBorders>
            <w:shd w:val="clear" w:color="auto" w:fill="auto"/>
            <w:noWrap/>
            <w:vAlign w:val="bottom"/>
            <w:hideMark/>
          </w:tcPr>
          <w:p w14:paraId="41175A21" w14:textId="77777777" w:rsidR="003809B3" w:rsidRPr="00A00187" w:rsidRDefault="003809B3" w:rsidP="003809B3">
            <w:pPr>
              <w:spacing w:line="240" w:lineRule="auto"/>
              <w:jc w:val="left"/>
              <w:rPr>
                <w:rFonts w:ascii="Times New Roman" w:eastAsia="Times New Roman" w:hAnsi="Times New Roman"/>
                <w:sz w:val="20"/>
                <w:szCs w:val="20"/>
                <w:lang w:eastAsia="cs-CZ"/>
              </w:rPr>
            </w:pPr>
          </w:p>
        </w:tc>
        <w:tc>
          <w:tcPr>
            <w:tcW w:w="928" w:type="dxa"/>
            <w:tcBorders>
              <w:top w:val="nil"/>
              <w:left w:val="nil"/>
              <w:bottom w:val="nil"/>
              <w:right w:val="nil"/>
            </w:tcBorders>
            <w:shd w:val="clear" w:color="auto" w:fill="auto"/>
            <w:noWrap/>
            <w:vAlign w:val="bottom"/>
            <w:hideMark/>
          </w:tcPr>
          <w:p w14:paraId="37E972E3" w14:textId="77777777" w:rsidR="003809B3" w:rsidRPr="00A00187" w:rsidRDefault="003809B3" w:rsidP="003809B3">
            <w:pPr>
              <w:spacing w:line="240" w:lineRule="auto"/>
              <w:jc w:val="left"/>
              <w:rPr>
                <w:rFonts w:ascii="Times New Roman" w:eastAsia="Times New Roman" w:hAnsi="Times New Roman"/>
                <w:sz w:val="20"/>
                <w:szCs w:val="20"/>
                <w:lang w:eastAsia="cs-CZ"/>
              </w:rPr>
            </w:pPr>
          </w:p>
        </w:tc>
        <w:tc>
          <w:tcPr>
            <w:tcW w:w="478" w:type="dxa"/>
            <w:tcBorders>
              <w:top w:val="nil"/>
              <w:left w:val="nil"/>
              <w:bottom w:val="nil"/>
              <w:right w:val="nil"/>
            </w:tcBorders>
            <w:shd w:val="clear" w:color="auto" w:fill="auto"/>
            <w:noWrap/>
            <w:vAlign w:val="bottom"/>
            <w:hideMark/>
          </w:tcPr>
          <w:p w14:paraId="11E95292" w14:textId="77777777" w:rsidR="003809B3" w:rsidRPr="00A00187" w:rsidRDefault="003809B3" w:rsidP="003809B3">
            <w:pPr>
              <w:spacing w:line="240" w:lineRule="auto"/>
              <w:jc w:val="left"/>
              <w:rPr>
                <w:rFonts w:ascii="Times New Roman" w:eastAsia="Times New Roman" w:hAnsi="Times New Roman"/>
                <w:sz w:val="20"/>
                <w:szCs w:val="20"/>
                <w:lang w:eastAsia="cs-CZ"/>
              </w:rPr>
            </w:pPr>
          </w:p>
        </w:tc>
        <w:tc>
          <w:tcPr>
            <w:tcW w:w="1123" w:type="dxa"/>
            <w:tcBorders>
              <w:top w:val="nil"/>
              <w:left w:val="nil"/>
              <w:bottom w:val="nil"/>
              <w:right w:val="nil"/>
            </w:tcBorders>
            <w:shd w:val="clear" w:color="auto" w:fill="auto"/>
            <w:noWrap/>
            <w:vAlign w:val="bottom"/>
            <w:hideMark/>
          </w:tcPr>
          <w:p w14:paraId="3F11784A" w14:textId="77777777" w:rsidR="003809B3" w:rsidRPr="00A00187" w:rsidRDefault="003809B3" w:rsidP="003809B3">
            <w:pPr>
              <w:spacing w:line="240" w:lineRule="auto"/>
              <w:jc w:val="left"/>
              <w:rPr>
                <w:rFonts w:ascii="Times New Roman" w:eastAsia="Times New Roman" w:hAnsi="Times New Roman"/>
                <w:sz w:val="20"/>
                <w:szCs w:val="20"/>
                <w:lang w:eastAsia="cs-CZ"/>
              </w:rPr>
            </w:pPr>
          </w:p>
        </w:tc>
        <w:tc>
          <w:tcPr>
            <w:tcW w:w="712" w:type="dxa"/>
            <w:tcBorders>
              <w:top w:val="nil"/>
              <w:left w:val="nil"/>
              <w:bottom w:val="nil"/>
              <w:right w:val="nil"/>
            </w:tcBorders>
            <w:shd w:val="clear" w:color="auto" w:fill="auto"/>
            <w:noWrap/>
            <w:vAlign w:val="bottom"/>
            <w:hideMark/>
          </w:tcPr>
          <w:p w14:paraId="1C409324" w14:textId="77777777" w:rsidR="003809B3" w:rsidRPr="00A00187" w:rsidRDefault="003809B3" w:rsidP="003809B3">
            <w:pPr>
              <w:spacing w:line="240" w:lineRule="auto"/>
              <w:jc w:val="left"/>
              <w:rPr>
                <w:rFonts w:ascii="Times New Roman" w:eastAsia="Times New Roman" w:hAnsi="Times New Roman"/>
                <w:sz w:val="20"/>
                <w:szCs w:val="20"/>
                <w:lang w:eastAsia="cs-CZ"/>
              </w:rPr>
            </w:pPr>
          </w:p>
        </w:tc>
        <w:tc>
          <w:tcPr>
            <w:tcW w:w="1113" w:type="dxa"/>
            <w:tcBorders>
              <w:top w:val="nil"/>
              <w:left w:val="nil"/>
              <w:bottom w:val="nil"/>
              <w:right w:val="nil"/>
            </w:tcBorders>
            <w:shd w:val="clear" w:color="auto" w:fill="auto"/>
            <w:noWrap/>
            <w:vAlign w:val="bottom"/>
            <w:hideMark/>
          </w:tcPr>
          <w:p w14:paraId="745980E6" w14:textId="77777777" w:rsidR="003809B3" w:rsidRPr="00A00187" w:rsidRDefault="003809B3" w:rsidP="003809B3">
            <w:pPr>
              <w:spacing w:line="240" w:lineRule="auto"/>
              <w:jc w:val="left"/>
              <w:rPr>
                <w:rFonts w:ascii="Times New Roman" w:eastAsia="Times New Roman" w:hAnsi="Times New Roman"/>
                <w:sz w:val="20"/>
                <w:szCs w:val="20"/>
                <w:lang w:eastAsia="cs-CZ"/>
              </w:rPr>
            </w:pPr>
          </w:p>
        </w:tc>
      </w:tr>
    </w:tbl>
    <w:p w14:paraId="64ED946A" w14:textId="339C9F80" w:rsidR="0053638C" w:rsidRPr="00A00187" w:rsidRDefault="0053638C" w:rsidP="0053638C">
      <w:pPr>
        <w:pStyle w:val="OdstavecASR"/>
      </w:pPr>
      <w:r w:rsidRPr="00A00187">
        <w:t>Z tabulky a kartogramu vyplývá, že situace v opatrovnické agendě je podobná</w:t>
      </w:r>
      <w:r w:rsidR="007529B9" w:rsidRPr="00A00187">
        <w:t>,</w:t>
      </w:r>
      <w:r w:rsidRPr="00A00187">
        <w:t xml:space="preserve"> ale ne stejná jako v agendě občanskoprávní. Nejvyšší délky řízení </w:t>
      </w:r>
      <w:r w:rsidR="007529B9" w:rsidRPr="00A00187">
        <w:t>v posledních letech</w:t>
      </w:r>
      <w:r w:rsidRPr="00A00187">
        <w:t xml:space="preserve"> vykazuj</w:t>
      </w:r>
      <w:r w:rsidR="007529B9" w:rsidRPr="00A00187">
        <w:t>e</w:t>
      </w:r>
      <w:r w:rsidRPr="00A00187">
        <w:t xml:space="preserve"> </w:t>
      </w:r>
      <w:r w:rsidR="007529B9" w:rsidRPr="00A00187">
        <w:t>MS</w:t>
      </w:r>
      <w:r w:rsidR="006D51E7" w:rsidRPr="00A00187">
        <w:t xml:space="preserve"> </w:t>
      </w:r>
      <w:r w:rsidRPr="00A00187">
        <w:t>Praha</w:t>
      </w:r>
      <w:r w:rsidR="007529B9" w:rsidRPr="00A00187">
        <w:t xml:space="preserve">, zatímco dříve šlo </w:t>
      </w:r>
      <w:r w:rsidR="00726EC3" w:rsidRPr="00A00187">
        <w:t>o</w:t>
      </w:r>
      <w:r w:rsidR="00726EC3">
        <w:t> </w:t>
      </w:r>
      <w:r w:rsidRPr="00A00187">
        <w:t xml:space="preserve">soudy v Severočeském a Jihomoravském kraji. </w:t>
      </w:r>
      <w:r w:rsidR="00726EC3" w:rsidRPr="00A00187">
        <w:t>U</w:t>
      </w:r>
      <w:r w:rsidR="00726EC3">
        <w:t> </w:t>
      </w:r>
      <w:r w:rsidR="007529B9" w:rsidRPr="00A00187">
        <w:t xml:space="preserve">těch ale </w:t>
      </w:r>
      <w:r w:rsidRPr="00A00187">
        <w:t xml:space="preserve">postupně klesala délka řízení </w:t>
      </w:r>
      <w:r w:rsidR="00726EC3" w:rsidRPr="00A00187">
        <w:t>a</w:t>
      </w:r>
      <w:r w:rsidR="00726EC3">
        <w:t> </w:t>
      </w:r>
      <w:r w:rsidRPr="00A00187">
        <w:t xml:space="preserve">v roce 2019 Prahu vlastně „dohnaly“. Obdobné délky řízení </w:t>
      </w:r>
      <w:r w:rsidR="007529B9" w:rsidRPr="00A00187">
        <w:t xml:space="preserve">jako severočeské </w:t>
      </w:r>
      <w:r w:rsidR="00726EC3" w:rsidRPr="00A00187">
        <w:t>a</w:t>
      </w:r>
      <w:r w:rsidR="00726EC3">
        <w:t> </w:t>
      </w:r>
      <w:r w:rsidR="007529B9" w:rsidRPr="00A00187">
        <w:t xml:space="preserve">jihomoravské soudy vykazují </w:t>
      </w:r>
      <w:r w:rsidR="00726EC3" w:rsidRPr="00A00187">
        <w:t>i</w:t>
      </w:r>
      <w:r w:rsidR="00726EC3">
        <w:t> </w:t>
      </w:r>
      <w:r w:rsidRPr="00A00187">
        <w:t>soudy v</w:t>
      </w:r>
      <w:r w:rsidR="007529B9" w:rsidRPr="00A00187">
        <w:t xml:space="preserve"> Severomoravském </w:t>
      </w:r>
      <w:r w:rsidRPr="00A00187">
        <w:t xml:space="preserve">kraji. Celkově lze ale </w:t>
      </w:r>
      <w:r w:rsidR="00900E05" w:rsidRPr="00A00187">
        <w:t>konstatovat</w:t>
      </w:r>
      <w:r w:rsidRPr="00A00187">
        <w:t>, že mezi kraji nejsou nyní příliš velké rozdíly</w:t>
      </w:r>
      <w:r w:rsidR="007529B9" w:rsidRPr="00A00187">
        <w:t>, ovšem</w:t>
      </w:r>
      <w:r w:rsidRPr="00A00187">
        <w:t xml:space="preserve"> s výjimkou Jihočeského kraje, kde jsou délky řízení výrazně nižší. Délky v opatrovnických řízeních jsou oproti civilnímu řízení přibližně poloviční.</w:t>
      </w:r>
    </w:p>
    <w:p w14:paraId="34A7AAC6" w14:textId="1360A8EC" w:rsidR="006B68DF" w:rsidRPr="00A00187" w:rsidRDefault="006B68DF" w:rsidP="006B68DF">
      <w:pPr>
        <w:pStyle w:val="Podnadpis"/>
        <w:rPr>
          <w:color w:val="auto"/>
        </w:rPr>
      </w:pPr>
      <w:bookmarkStart w:id="426" w:name="_Toc75952219"/>
      <w:bookmarkStart w:id="427" w:name="_Toc106106671"/>
      <w:bookmarkStart w:id="428" w:name="_Toc109801995"/>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37</w:t>
      </w:r>
      <w:r w:rsidRPr="00A00187">
        <w:rPr>
          <w:noProof/>
          <w:color w:val="auto"/>
        </w:rPr>
        <w:fldChar w:fldCharType="end"/>
      </w:r>
      <w:r w:rsidRPr="00A00187">
        <w:rPr>
          <w:color w:val="auto"/>
        </w:rPr>
        <w:t>: OS – mediánové délky opatrovnického řízení u jednotlivých soudů</w:t>
      </w:r>
      <w:bookmarkEnd w:id="426"/>
      <w:bookmarkEnd w:id="427"/>
      <w:bookmarkEnd w:id="428"/>
    </w:p>
    <w:p w14:paraId="07DBD603" w14:textId="1DB4ED21" w:rsidR="00D2172D" w:rsidRPr="00A00187" w:rsidRDefault="00812413" w:rsidP="00D2172D">
      <w:r w:rsidRPr="00A00187">
        <w:rPr>
          <w:noProof/>
        </w:rPr>
        <w:drawing>
          <wp:anchor distT="0" distB="0" distL="114300" distR="114300" simplePos="0" relativeHeight="251682816" behindDoc="0" locked="0" layoutInCell="1" allowOverlap="1" wp14:anchorId="6AEF721F" wp14:editId="08A91F37">
            <wp:simplePos x="0" y="0"/>
            <wp:positionH relativeFrom="margin">
              <wp:align>right</wp:align>
            </wp:positionH>
            <wp:positionV relativeFrom="paragraph">
              <wp:posOffset>8890</wp:posOffset>
            </wp:positionV>
            <wp:extent cx="1238400" cy="900000"/>
            <wp:effectExtent l="0" t="0" r="0" b="0"/>
            <wp:wrapNone/>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anchor>
        </w:drawing>
      </w:r>
      <w:r w:rsidR="00DE55B0" w:rsidRPr="00A00187">
        <w:rPr>
          <w:noProof/>
        </w:rPr>
        <w:drawing>
          <wp:inline distT="0" distB="0" distL="0" distR="0" wp14:anchorId="33AB57BD" wp14:editId="5AA302F7">
            <wp:extent cx="5759450" cy="3296285"/>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605B41C4" w14:textId="6DCC518F" w:rsidR="00DE55B0" w:rsidRPr="00A00187" w:rsidRDefault="00DE55B0" w:rsidP="00DE55B0">
      <w:pPr>
        <w:pStyle w:val="OdstavecASR"/>
      </w:pPr>
      <w:r w:rsidRPr="00A00187">
        <w:t>Nejrychleji vyřizovaly opatrovnickou agendu v roce 202</w:t>
      </w:r>
      <w:r w:rsidR="006D51E7" w:rsidRPr="00A00187">
        <w:t>1</w:t>
      </w:r>
      <w:r w:rsidRPr="00A00187">
        <w:t xml:space="preserve"> OS Svitavy (mediánová délka řízení 3</w:t>
      </w:r>
      <w:r w:rsidR="006D51E7" w:rsidRPr="00A00187">
        <w:t>4</w:t>
      </w:r>
      <w:r w:rsidRPr="00A00187">
        <w:t> dnů), OS Strakonice (</w:t>
      </w:r>
      <w:r w:rsidR="006D51E7" w:rsidRPr="00A00187">
        <w:t>40</w:t>
      </w:r>
      <w:r w:rsidRPr="00A00187">
        <w:t xml:space="preserve"> dnů) a OS Kutná Hora (4</w:t>
      </w:r>
      <w:r w:rsidR="006D51E7" w:rsidRPr="00A00187">
        <w:t>1</w:t>
      </w:r>
      <w:r w:rsidRPr="00A00187">
        <w:t xml:space="preserve"> dnů). Naopak nejpomalejší je OS pro Prahu</w:t>
      </w:r>
      <w:r w:rsidR="00B2427B">
        <w:t> </w:t>
      </w:r>
      <w:r w:rsidRPr="00A00187">
        <w:t>1, kde je mediánová délka řízení 180 dnů, což je pokles oproti roku 20</w:t>
      </w:r>
      <w:r w:rsidR="006D51E7" w:rsidRPr="00A00187">
        <w:t>20</w:t>
      </w:r>
      <w:r w:rsidRPr="00A00187">
        <w:t xml:space="preserve"> o 48 dnů; soud ovšem vyřizuje malé množství opatrovnických věcí. Následují OS Louny (155 dnů) a OS Vyškov (141 dnů).</w:t>
      </w:r>
    </w:p>
    <w:p w14:paraId="085BC09F" w14:textId="239D166A" w:rsidR="00812413" w:rsidRPr="00A00187" w:rsidRDefault="00812413" w:rsidP="00812413">
      <w:pPr>
        <w:pStyle w:val="Podnadpis"/>
        <w:rPr>
          <w:color w:val="auto"/>
        </w:rPr>
      </w:pPr>
      <w:bookmarkStart w:id="429" w:name="_Toc11135099"/>
      <w:bookmarkStart w:id="430" w:name="_Toc43841417"/>
      <w:bookmarkStart w:id="431" w:name="_Toc75952220"/>
      <w:bookmarkStart w:id="432" w:name="_Toc106106672"/>
      <w:bookmarkStart w:id="433" w:name="_Toc109801996"/>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38</w:t>
      </w:r>
      <w:r w:rsidRPr="00A00187">
        <w:rPr>
          <w:noProof/>
          <w:color w:val="auto"/>
        </w:rPr>
        <w:fldChar w:fldCharType="end"/>
      </w:r>
      <w:r w:rsidRPr="00A00187">
        <w:rPr>
          <w:color w:val="auto"/>
        </w:rPr>
        <w:t>: OS – krabicové grafy, mediánové délky opatrovnického řízení</w:t>
      </w:r>
      <w:bookmarkEnd w:id="429"/>
      <w:bookmarkEnd w:id="430"/>
      <w:bookmarkEnd w:id="431"/>
      <w:bookmarkEnd w:id="432"/>
      <w:bookmarkEnd w:id="433"/>
    </w:p>
    <w:p w14:paraId="6E12BFF6" w14:textId="297C3872" w:rsidR="00DE55B0" w:rsidRPr="00A00187" w:rsidRDefault="00812413" w:rsidP="00D2172D">
      <w:r w:rsidRPr="00A00187">
        <w:rPr>
          <w:noProof/>
        </w:rPr>
        <w:drawing>
          <wp:inline distT="0" distB="0" distL="0" distR="0" wp14:anchorId="1B8E6498" wp14:editId="528A94D3">
            <wp:extent cx="5029200" cy="3657600"/>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CFB3B58" w14:textId="1D8E466E" w:rsidR="00D2172D" w:rsidRPr="00A00187" w:rsidRDefault="00D2172D" w:rsidP="00D2172D"/>
    <w:p w14:paraId="57E42072" w14:textId="77CEB3B6" w:rsidR="00812413" w:rsidRPr="00A00187" w:rsidRDefault="00812413" w:rsidP="00812413">
      <w:pPr>
        <w:pStyle w:val="OdstavecASR"/>
      </w:pPr>
      <w:r w:rsidRPr="00A00187">
        <w:t xml:space="preserve">Z krabicových grafů vidíme, že v rozdílech mezi soudy nedocházelo v průběhu let k žádným větším změnám. OS Chomutov (vždy nejvíce odlehlá hodnota) se v letech 2009 až 2013 dařilo postupně snižovat délku řízení. Občanský zákoník tento trend ale zvrátil a délka řízení v Chomutově v letech 2015 a 2016 opět rychle narůstala, až se v roce 2018 zařadil po bok ostatních OS. Od roku 2019 </w:t>
      </w:r>
      <w:r w:rsidR="007529B9" w:rsidRPr="00A00187">
        <w:t>se na grafu nachází</w:t>
      </w:r>
      <w:r w:rsidRPr="00A00187">
        <w:t xml:space="preserve"> již jen jediná odlehlá hodnota – OS pro Prahu 1. Ta se střídavě přibližuje či oddaluje od boxu. Nemalé změny v délce řízení </w:t>
      </w:r>
      <w:r w:rsidR="00726EC3" w:rsidRPr="00A00187">
        <w:t>u</w:t>
      </w:r>
      <w:r w:rsidR="00726EC3">
        <w:t> </w:t>
      </w:r>
      <w:r w:rsidRPr="00A00187">
        <w:t xml:space="preserve">tohoto soudu plynou </w:t>
      </w:r>
      <w:r w:rsidR="007529B9" w:rsidRPr="00A00187">
        <w:t xml:space="preserve">mimo jiné </w:t>
      </w:r>
      <w:r w:rsidRPr="00A00187">
        <w:t>z</w:t>
      </w:r>
      <w:r w:rsidR="00900E05" w:rsidRPr="00A00187">
        <w:t xml:space="preserve"> nízkého </w:t>
      </w:r>
      <w:r w:rsidRPr="00A00187">
        <w:t>počtu pozorování.</w:t>
      </w:r>
    </w:p>
    <w:p w14:paraId="772D9216" w14:textId="79BE8B2B" w:rsidR="00030140" w:rsidRPr="00A00187" w:rsidRDefault="00030140" w:rsidP="00812413">
      <w:pPr>
        <w:pStyle w:val="OdstavecASR"/>
      </w:pPr>
      <w:r w:rsidRPr="00A00187">
        <w:t>Nakonec se ještě na délku řízení podíváme v</w:t>
      </w:r>
      <w:r w:rsidR="007529B9" w:rsidRPr="00A00187">
        <w:t> </w:t>
      </w:r>
      <w:r w:rsidRPr="00A00187">
        <w:t>histogramu</w:t>
      </w:r>
      <w:r w:rsidR="007529B9" w:rsidRPr="00A00187">
        <w:t xml:space="preserve">, který ukazuje </w:t>
      </w:r>
      <w:r w:rsidRPr="00A00187">
        <w:t>například následující:</w:t>
      </w:r>
    </w:p>
    <w:p w14:paraId="29FEA5B0" w14:textId="1DEDE2D0" w:rsidR="00030140" w:rsidRPr="00A00187" w:rsidRDefault="00030140" w:rsidP="000F1418">
      <w:pPr>
        <w:pStyle w:val="OdstavecASR"/>
        <w:numPr>
          <w:ilvl w:val="0"/>
          <w:numId w:val="35"/>
        </w:numPr>
      </w:pPr>
      <w:r w:rsidRPr="00A00187">
        <w:t>Graf potvrzuje to, co již vidíme z předchozích dat – opatrovnické řízení je výrazně rychlejší než řízení civilní.</w:t>
      </w:r>
    </w:p>
    <w:p w14:paraId="1F3E70E9" w14:textId="62A87BA9" w:rsidR="00030140" w:rsidRPr="00A00187" w:rsidRDefault="00030140" w:rsidP="003B7BFB">
      <w:pPr>
        <w:pStyle w:val="OdstavecASR"/>
        <w:numPr>
          <w:ilvl w:val="0"/>
          <w:numId w:val="35"/>
        </w:numPr>
      </w:pPr>
      <w:r w:rsidRPr="00A00187">
        <w:t>Více než 30</w:t>
      </w:r>
      <w:r w:rsidR="00CB570A">
        <w:t> %</w:t>
      </w:r>
      <w:r w:rsidRPr="00A00187">
        <w:t xml:space="preserve"> věcí je vyřízeno za 20 až 40 dnů</w:t>
      </w:r>
    </w:p>
    <w:p w14:paraId="6892C093" w14:textId="45B8E1EB" w:rsidR="00030140" w:rsidRPr="00A00187" w:rsidRDefault="00030140" w:rsidP="003B7BFB">
      <w:pPr>
        <w:pStyle w:val="OdstavecASR"/>
        <w:numPr>
          <w:ilvl w:val="0"/>
          <w:numId w:val="35"/>
        </w:numPr>
      </w:pPr>
      <w:r w:rsidRPr="00A00187">
        <w:t>Pouze málo přes 5</w:t>
      </w:r>
      <w:r w:rsidR="00CB570A">
        <w:t> %</w:t>
      </w:r>
      <w:r w:rsidRPr="00A00187">
        <w:t xml:space="preserve"> věcí trvá déle než 400 dnů</w:t>
      </w:r>
    </w:p>
    <w:p w14:paraId="78A3CF43" w14:textId="3F1527D2" w:rsidR="00030140" w:rsidRPr="00A00187" w:rsidRDefault="00030140" w:rsidP="00030140">
      <w:pPr>
        <w:pStyle w:val="Podnadpis"/>
        <w:rPr>
          <w:color w:val="auto"/>
        </w:rPr>
      </w:pPr>
      <w:bookmarkStart w:id="434" w:name="_Toc106106673"/>
      <w:bookmarkStart w:id="435" w:name="_Toc109801997"/>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39</w:t>
      </w:r>
      <w:r w:rsidRPr="00A00187">
        <w:rPr>
          <w:noProof/>
          <w:color w:val="auto"/>
        </w:rPr>
        <w:fldChar w:fldCharType="end"/>
      </w:r>
      <w:r w:rsidRPr="00A00187">
        <w:rPr>
          <w:color w:val="auto"/>
        </w:rPr>
        <w:t>: OS – krabicové grafy, mediánové délky opatrovnického řízení</w:t>
      </w:r>
      <w:bookmarkEnd w:id="434"/>
      <w:bookmarkEnd w:id="435"/>
    </w:p>
    <w:p w14:paraId="16019183" w14:textId="781F439F" w:rsidR="00030140" w:rsidRPr="00A00187" w:rsidRDefault="00030140" w:rsidP="00812413">
      <w:pPr>
        <w:pStyle w:val="OdstavecASR"/>
      </w:pPr>
      <w:r w:rsidRPr="00A00187">
        <w:rPr>
          <w:noProof/>
        </w:rPr>
        <w:drawing>
          <wp:inline distT="0" distB="0" distL="0" distR="0" wp14:anchorId="2266E38C" wp14:editId="6FADC303">
            <wp:extent cx="5025390" cy="3657600"/>
            <wp:effectExtent l="0" t="0" r="381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0F7FD4F" w14:textId="2E6DF8C5" w:rsidR="00030140" w:rsidRPr="00A00187" w:rsidRDefault="00030140" w:rsidP="00812413">
      <w:pPr>
        <w:pStyle w:val="OdstavecASR"/>
        <w:rPr>
          <w:lang w:val="en-GB"/>
        </w:rPr>
      </w:pPr>
    </w:p>
    <w:p w14:paraId="35C6DB49" w14:textId="745CB587" w:rsidR="0003032A" w:rsidRPr="00A00187" w:rsidRDefault="008430BD" w:rsidP="0003032A">
      <w:pPr>
        <w:pStyle w:val="Nadpis3"/>
        <w:keepNext w:val="0"/>
        <w:keepLines w:val="0"/>
        <w:numPr>
          <w:ilvl w:val="2"/>
          <w:numId w:val="1"/>
        </w:numPr>
        <w:rPr>
          <w:color w:val="auto"/>
        </w:rPr>
      </w:pPr>
      <w:bookmarkStart w:id="436" w:name="_Toc106092735"/>
      <w:bookmarkStart w:id="437" w:name="_Toc106092736"/>
      <w:bookmarkStart w:id="438" w:name="_Toc106092737"/>
      <w:bookmarkStart w:id="439" w:name="_Toc106092738"/>
      <w:bookmarkStart w:id="440" w:name="_Ref515022661"/>
      <w:bookmarkStart w:id="441" w:name="_Toc515871238"/>
      <w:bookmarkStart w:id="442" w:name="_Toc106092739"/>
      <w:bookmarkStart w:id="443" w:name="_Toc109801351"/>
      <w:bookmarkEnd w:id="436"/>
      <w:bookmarkEnd w:id="437"/>
      <w:bookmarkEnd w:id="438"/>
      <w:bookmarkEnd w:id="439"/>
      <w:r w:rsidRPr="00A00187">
        <w:rPr>
          <w:color w:val="auto"/>
        </w:rPr>
        <w:t>Vyřizování věcí</w:t>
      </w:r>
      <w:bookmarkEnd w:id="440"/>
      <w:bookmarkEnd w:id="441"/>
      <w:bookmarkEnd w:id="442"/>
      <w:bookmarkEnd w:id="443"/>
    </w:p>
    <w:p w14:paraId="32163172" w14:textId="3A6AB2E0" w:rsidR="0003032A" w:rsidRPr="00A00187" w:rsidRDefault="0003032A" w:rsidP="0003032A">
      <w:pPr>
        <w:pStyle w:val="OdstavecASR"/>
      </w:pPr>
      <w:r w:rsidRPr="00A00187">
        <w:t>Z grafu níže je zřejmý výše zmíněný dopad občanského zákoníku. V počtu napadlých věcí se samozřejmě projevil již v roce 2014. Vidíme, že nárůst počtu napadlých věcí byl opravdu velmi významný – více než 40</w:t>
      </w:r>
      <w:r w:rsidR="00CB570A">
        <w:t> %</w:t>
      </w:r>
      <w:r w:rsidRPr="00A00187">
        <w:t>. Soudy byly schopny částečně reagovat a značně se zvýšil počet vyřízených věcí. Nárůst v počtu napadlých věcí byl ale v</w:t>
      </w:r>
      <w:r w:rsidR="00F84A5D" w:rsidRPr="00A00187">
        <w:t>yšší</w:t>
      </w:r>
      <w:r w:rsidRPr="00A00187">
        <w:t xml:space="preserve"> než počet vyřízených věcí a počet nevyřízených věcí tak začal růst. Počet napadlých věcí poklesl až v roce 2016 a v roce 2017. To je zřejmě způsobeno hlavně tím, že všechny přezkumy svéprávnosti byly zahájeny v letech 2014 a 2015. Soudům se podařilo v roce 2016 udržet počet vyřízených věcí na úrovni z roku 2015 a také v roce 2017 udržet počet vyřízených věcí nad nápadem. Díky tomu počet nevyřízených věcí klesal. Soudům pomohlo prodloužení lhůty na přezkum svéprávnosti pro určité případy ze tří na pět let vyplývající z novely o. z. přijaté na konci roku 2016. Nicméně je třeba uvést, že počet osob (tedy celkový rozsah agendy přezkumů svéprávnosti) je jen cca 36 tisíc, což znamená, že se na nárůstu nápadu podílí jen asi jednou čtvrtinou, zbytek jsou další nové agendy zavedené o. z. Tyto nové agendy také stojí za růstem nápadu v letech 2018 a 2019, protože, jak již bylo konstatováno, všechny přezkumy svéprávnosti byly zahájeny již v letech 2014 a 2015.</w:t>
      </w:r>
    </w:p>
    <w:p w14:paraId="1873ACAC" w14:textId="7D30A6B5" w:rsidR="0003032A" w:rsidRPr="00A00187" w:rsidRDefault="0003032A" w:rsidP="0003032A">
      <w:pPr>
        <w:pStyle w:val="OdstavecASR"/>
      </w:pPr>
      <w:r w:rsidRPr="00A00187">
        <w:t xml:space="preserve">V roce 2019 mírně </w:t>
      </w:r>
      <w:r w:rsidR="00F84A5D" w:rsidRPr="00A00187">
        <w:t>vz</w:t>
      </w:r>
      <w:r w:rsidRPr="00A00187">
        <w:t xml:space="preserve">rostl nápad a soudy vyřídily méně věcí, než </w:t>
      </w:r>
      <w:r w:rsidR="00F84A5D" w:rsidRPr="00A00187">
        <w:t>kolik napadlo.</w:t>
      </w:r>
      <w:r w:rsidRPr="00A00187">
        <w:t xml:space="preserve"> </w:t>
      </w:r>
      <w:r w:rsidR="00F84A5D" w:rsidRPr="00A00187">
        <w:t>R</w:t>
      </w:r>
      <w:r w:rsidRPr="00A00187">
        <w:t xml:space="preserve">ozdíl byl </w:t>
      </w:r>
      <w:r w:rsidR="00F84A5D" w:rsidRPr="00A00187">
        <w:t xml:space="preserve">ale </w:t>
      </w:r>
      <w:r w:rsidRPr="00A00187">
        <w:t>malý – míra vyřizování byla 99</w:t>
      </w:r>
      <w:r w:rsidR="00CB570A">
        <w:t> %</w:t>
      </w:r>
      <w:r w:rsidRPr="00A00187">
        <w:t xml:space="preserve">. V roce 2020 vidíme stejně jako u ostatních agend značný pokles v počtu příchozích věcí. Dopad pandemie na funkčnost soudů </w:t>
      </w:r>
      <w:r w:rsidR="00F84A5D" w:rsidRPr="00A00187">
        <w:t>se</w:t>
      </w:r>
      <w:r w:rsidR="00894BDD" w:rsidRPr="00A00187">
        <w:t xml:space="preserve"> </w:t>
      </w:r>
      <w:r w:rsidR="00007029" w:rsidRPr="00A00187">
        <w:t xml:space="preserve">v roce 2020 </w:t>
      </w:r>
      <w:r w:rsidRPr="00A00187">
        <w:t>tedy v opatrovnické agendě</w:t>
      </w:r>
      <w:r w:rsidR="00F84A5D" w:rsidRPr="00A00187">
        <w:t xml:space="preserve"> příliš neprojevil</w:t>
      </w:r>
      <w:r w:rsidRPr="00A00187">
        <w:t>. Soudy vyřídily více věcí, než</w:t>
      </w:r>
      <w:r w:rsidR="00F84A5D" w:rsidRPr="00A00187">
        <w:t xml:space="preserve"> kolik napadlo</w:t>
      </w:r>
      <w:r w:rsidR="00894BDD" w:rsidRPr="00A00187">
        <w:t xml:space="preserve"> </w:t>
      </w:r>
      <w:r w:rsidR="00B1399F" w:rsidRPr="00A00187">
        <w:t>(v důsledku pandemie COVID</w:t>
      </w:r>
      <w:r w:rsidR="00B1399F" w:rsidRPr="00A00187">
        <w:noBreakHyphen/>
        <w:t>19 se nápad výrazně snížil)</w:t>
      </w:r>
      <w:r w:rsidRPr="00A00187">
        <w:t>, i když jim to v průměru mohlo trvat o něco déle.</w:t>
      </w:r>
      <w:r w:rsidR="00894BDD" w:rsidRPr="00A00187">
        <w:t xml:space="preserve"> </w:t>
      </w:r>
      <w:r w:rsidRPr="00A00187">
        <w:t xml:space="preserve">V roce 2021 zůstal počet příchozích věcí na úrovni roku 2020, což </w:t>
      </w:r>
      <w:r w:rsidR="00E82CE3" w:rsidRPr="00A00187">
        <w:t xml:space="preserve">zřejmě </w:t>
      </w:r>
      <w:r w:rsidRPr="00A00187">
        <w:t xml:space="preserve">opět ukazuje na vliv pandemie. </w:t>
      </w:r>
      <w:r w:rsidRPr="00A00187">
        <w:lastRenderedPageBreak/>
        <w:t>Soudům (</w:t>
      </w:r>
      <w:r w:rsidR="00726EC3" w:rsidRPr="00A00187">
        <w:t>a</w:t>
      </w:r>
      <w:r w:rsidR="00726EC3">
        <w:t> </w:t>
      </w:r>
      <w:r w:rsidRPr="00A00187">
        <w:t xml:space="preserve">to ve všech krajích) se podařilo vyřídit více věcí, než přišlo. Počet nevyřízených věcí tedy opět klesl </w:t>
      </w:r>
      <w:r w:rsidR="00726EC3" w:rsidRPr="00A00187">
        <w:t>a</w:t>
      </w:r>
      <w:r w:rsidR="00726EC3">
        <w:t> </w:t>
      </w:r>
      <w:r w:rsidR="00007029" w:rsidRPr="00A00187">
        <w:t xml:space="preserve">přiblížil se </w:t>
      </w:r>
      <w:r w:rsidR="00726EC3" w:rsidRPr="00A00187">
        <w:t>k</w:t>
      </w:r>
      <w:r w:rsidR="00726EC3">
        <w:t> </w:t>
      </w:r>
      <w:r w:rsidRPr="00A00187">
        <w:t xml:space="preserve">hodnotám před </w:t>
      </w:r>
      <w:r w:rsidR="00C47ABD" w:rsidRPr="00A00187">
        <w:t>vstupem občanského zákoníku v </w:t>
      </w:r>
      <w:r w:rsidR="009717FA" w:rsidRPr="00A00187">
        <w:t>účinnosti</w:t>
      </w:r>
      <w:r w:rsidR="00C47ABD" w:rsidRPr="00A00187">
        <w:rPr>
          <w:rStyle w:val="Odkaznakoment"/>
        </w:rPr>
        <w:t>.</w:t>
      </w:r>
    </w:p>
    <w:p w14:paraId="28B3F630" w14:textId="3DD40DD2" w:rsidR="0003032A" w:rsidRPr="00A00187" w:rsidRDefault="0003032A" w:rsidP="0003032A">
      <w:pPr>
        <w:pStyle w:val="Podnadpis"/>
        <w:rPr>
          <w:color w:val="auto"/>
        </w:rPr>
      </w:pPr>
      <w:bookmarkStart w:id="444" w:name="_Toc515871368"/>
      <w:bookmarkStart w:id="445" w:name="_Toc11135100"/>
      <w:bookmarkStart w:id="446" w:name="_Toc43841418"/>
      <w:bookmarkStart w:id="447" w:name="_Toc75952221"/>
      <w:bookmarkStart w:id="448" w:name="_Toc106106674"/>
      <w:bookmarkStart w:id="449" w:name="_Toc10980199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40</w:t>
      </w:r>
      <w:r w:rsidRPr="00A00187">
        <w:rPr>
          <w:noProof/>
          <w:color w:val="auto"/>
        </w:rPr>
        <w:fldChar w:fldCharType="end"/>
      </w:r>
      <w:r w:rsidRPr="00A00187">
        <w:rPr>
          <w:color w:val="auto"/>
        </w:rPr>
        <w:t>: OS – vyřizování věcí v opatrovnické agendě v letech 2008–</w:t>
      </w:r>
      <w:bookmarkEnd w:id="444"/>
      <w:r w:rsidRPr="00A00187">
        <w:rPr>
          <w:color w:val="auto"/>
        </w:rPr>
        <w:t>20</w:t>
      </w:r>
      <w:bookmarkEnd w:id="445"/>
      <w:bookmarkEnd w:id="446"/>
      <w:r w:rsidRPr="00A00187">
        <w:rPr>
          <w:color w:val="auto"/>
        </w:rPr>
        <w:t>2</w:t>
      </w:r>
      <w:bookmarkEnd w:id="447"/>
      <w:r w:rsidRPr="00A00187">
        <w:rPr>
          <w:color w:val="auto"/>
        </w:rPr>
        <w:t>1</w:t>
      </w:r>
      <w:bookmarkEnd w:id="448"/>
      <w:bookmarkEnd w:id="449"/>
    </w:p>
    <w:p w14:paraId="2B03AC48" w14:textId="169A6603" w:rsidR="0003032A" w:rsidRPr="00A00187" w:rsidRDefault="0003032A" w:rsidP="0003032A">
      <w:r w:rsidRPr="00A00187">
        <w:rPr>
          <w:noProof/>
        </w:rPr>
        <w:drawing>
          <wp:inline distT="0" distB="0" distL="0" distR="0" wp14:anchorId="334A646B" wp14:editId="69105A82">
            <wp:extent cx="5029200" cy="365760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484C18" w14:textId="7855B9F0" w:rsidR="0003032A" w:rsidRPr="00A00187" w:rsidRDefault="0003032A" w:rsidP="0003032A"/>
    <w:p w14:paraId="5AA20B6F" w14:textId="13B1D62F" w:rsidR="0003032A" w:rsidRPr="00A00187" w:rsidRDefault="0003032A" w:rsidP="0003032A">
      <w:pPr>
        <w:pStyle w:val="Podnadpis"/>
        <w:rPr>
          <w:color w:val="auto"/>
        </w:rPr>
      </w:pPr>
      <w:bookmarkStart w:id="450" w:name="_Toc11133229"/>
      <w:bookmarkStart w:id="451" w:name="_Toc43931202"/>
      <w:bookmarkStart w:id="452" w:name="_Toc75952334"/>
      <w:bookmarkStart w:id="453" w:name="_Toc106106791"/>
      <w:bookmarkStart w:id="454" w:name="_Toc109802114"/>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29</w:t>
      </w:r>
      <w:r w:rsidRPr="00A00187">
        <w:rPr>
          <w:noProof/>
          <w:color w:val="auto"/>
        </w:rPr>
        <w:fldChar w:fldCharType="end"/>
      </w:r>
      <w:r w:rsidRPr="00A00187">
        <w:rPr>
          <w:color w:val="auto"/>
        </w:rPr>
        <w:t>: OS – vyřizování opatrovnických věcí dle krajů</w:t>
      </w:r>
      <w:bookmarkEnd w:id="450"/>
      <w:bookmarkEnd w:id="451"/>
      <w:bookmarkEnd w:id="452"/>
      <w:bookmarkEnd w:id="453"/>
      <w:bookmarkEnd w:id="454"/>
    </w:p>
    <w:tbl>
      <w:tblPr>
        <w:tblW w:w="9140" w:type="dxa"/>
        <w:tblCellMar>
          <w:left w:w="70" w:type="dxa"/>
          <w:right w:w="70" w:type="dxa"/>
        </w:tblCellMar>
        <w:tblLook w:val="04A0" w:firstRow="1" w:lastRow="0" w:firstColumn="1" w:lastColumn="0" w:noHBand="0" w:noVBand="1"/>
      </w:tblPr>
      <w:tblGrid>
        <w:gridCol w:w="2036"/>
        <w:gridCol w:w="1136"/>
        <w:gridCol w:w="775"/>
        <w:gridCol w:w="1144"/>
        <w:gridCol w:w="771"/>
        <w:gridCol w:w="951"/>
        <w:gridCol w:w="811"/>
        <w:gridCol w:w="1516"/>
      </w:tblGrid>
      <w:tr w:rsidR="00AC1E67" w:rsidRPr="00A00187" w14:paraId="735DE762" w14:textId="77777777" w:rsidTr="0003032A">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7A8F740D" w14:textId="77777777"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5588" w:type="dxa"/>
            <w:gridSpan w:val="6"/>
            <w:tcBorders>
              <w:top w:val="double" w:sz="6" w:space="0" w:color="auto"/>
              <w:left w:val="nil"/>
              <w:bottom w:val="nil"/>
              <w:right w:val="single" w:sz="4" w:space="0" w:color="000000"/>
            </w:tcBorders>
            <w:shd w:val="clear" w:color="auto" w:fill="auto"/>
            <w:noWrap/>
            <w:vAlign w:val="center"/>
            <w:hideMark/>
          </w:tcPr>
          <w:p w14:paraId="6C64219A" w14:textId="77777777"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vMerge w:val="restart"/>
            <w:tcBorders>
              <w:top w:val="double" w:sz="6" w:space="0" w:color="auto"/>
              <w:left w:val="nil"/>
              <w:bottom w:val="double" w:sz="6" w:space="0" w:color="000000"/>
              <w:right w:val="nil"/>
            </w:tcBorders>
            <w:shd w:val="clear" w:color="auto" w:fill="auto"/>
            <w:vAlign w:val="center"/>
            <w:hideMark/>
          </w:tcPr>
          <w:p w14:paraId="5869F160" w14:textId="77777777"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389AA739" w14:textId="77777777" w:rsidTr="0003032A">
        <w:trPr>
          <w:trHeight w:val="330"/>
        </w:trPr>
        <w:tc>
          <w:tcPr>
            <w:tcW w:w="2036" w:type="dxa"/>
            <w:vMerge/>
            <w:tcBorders>
              <w:top w:val="double" w:sz="6" w:space="0" w:color="auto"/>
              <w:left w:val="nil"/>
              <w:bottom w:val="double" w:sz="6" w:space="0" w:color="000000"/>
              <w:right w:val="nil"/>
            </w:tcBorders>
            <w:vAlign w:val="center"/>
            <w:hideMark/>
          </w:tcPr>
          <w:p w14:paraId="74828FF0" w14:textId="77777777" w:rsidR="0003032A" w:rsidRPr="00A00187" w:rsidRDefault="0003032A" w:rsidP="0003032A">
            <w:pPr>
              <w:spacing w:line="240" w:lineRule="auto"/>
              <w:jc w:val="left"/>
              <w:rPr>
                <w:rFonts w:eastAsia="Times New Roman"/>
                <w:b/>
                <w:bCs/>
                <w:szCs w:val="24"/>
                <w:lang w:eastAsia="cs-CZ"/>
              </w:rPr>
            </w:pPr>
          </w:p>
        </w:tc>
        <w:tc>
          <w:tcPr>
            <w:tcW w:w="1911" w:type="dxa"/>
            <w:gridSpan w:val="2"/>
            <w:tcBorders>
              <w:top w:val="nil"/>
              <w:left w:val="nil"/>
              <w:bottom w:val="double" w:sz="6" w:space="0" w:color="auto"/>
              <w:right w:val="nil"/>
            </w:tcBorders>
            <w:shd w:val="clear" w:color="auto" w:fill="auto"/>
            <w:noWrap/>
            <w:vAlign w:val="center"/>
            <w:hideMark/>
          </w:tcPr>
          <w:p w14:paraId="4FD8D569" w14:textId="77777777"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1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C7FF449" w14:textId="77777777"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762" w:type="dxa"/>
            <w:gridSpan w:val="2"/>
            <w:tcBorders>
              <w:top w:val="nil"/>
              <w:left w:val="nil"/>
              <w:bottom w:val="double" w:sz="6" w:space="0" w:color="auto"/>
              <w:right w:val="single" w:sz="4" w:space="0" w:color="000000"/>
            </w:tcBorders>
            <w:shd w:val="clear" w:color="auto" w:fill="auto"/>
            <w:noWrap/>
            <w:vAlign w:val="center"/>
            <w:hideMark/>
          </w:tcPr>
          <w:p w14:paraId="63CB77DF" w14:textId="77777777"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vMerge/>
            <w:tcBorders>
              <w:top w:val="double" w:sz="6" w:space="0" w:color="auto"/>
              <w:left w:val="nil"/>
              <w:bottom w:val="double" w:sz="6" w:space="0" w:color="000000"/>
              <w:right w:val="nil"/>
            </w:tcBorders>
            <w:vAlign w:val="center"/>
            <w:hideMark/>
          </w:tcPr>
          <w:p w14:paraId="0FC2A0AC" w14:textId="77777777" w:rsidR="0003032A" w:rsidRPr="00A00187" w:rsidRDefault="0003032A" w:rsidP="0003032A">
            <w:pPr>
              <w:spacing w:line="240" w:lineRule="auto"/>
              <w:jc w:val="left"/>
              <w:rPr>
                <w:rFonts w:eastAsia="Times New Roman"/>
                <w:b/>
                <w:bCs/>
                <w:szCs w:val="24"/>
                <w:lang w:eastAsia="cs-CZ"/>
              </w:rPr>
            </w:pPr>
          </w:p>
        </w:tc>
      </w:tr>
      <w:tr w:rsidR="00AC1E67" w:rsidRPr="00A00187" w14:paraId="209FA5AB" w14:textId="77777777" w:rsidTr="0003032A">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200E0D27"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MS Praha</w:t>
            </w:r>
          </w:p>
        </w:tc>
        <w:tc>
          <w:tcPr>
            <w:tcW w:w="1136" w:type="dxa"/>
            <w:tcBorders>
              <w:top w:val="single" w:sz="4" w:space="0" w:color="auto"/>
              <w:left w:val="nil"/>
              <w:bottom w:val="single" w:sz="4" w:space="0" w:color="auto"/>
              <w:right w:val="nil"/>
            </w:tcBorders>
            <w:shd w:val="clear" w:color="auto" w:fill="auto"/>
            <w:noWrap/>
            <w:vAlign w:val="bottom"/>
            <w:hideMark/>
          </w:tcPr>
          <w:p w14:paraId="561B43AB" w14:textId="77777777"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14 504</w:t>
            </w:r>
          </w:p>
        </w:tc>
        <w:tc>
          <w:tcPr>
            <w:tcW w:w="775" w:type="dxa"/>
            <w:tcBorders>
              <w:top w:val="single" w:sz="4" w:space="0" w:color="auto"/>
              <w:left w:val="nil"/>
              <w:bottom w:val="single" w:sz="4" w:space="0" w:color="auto"/>
              <w:right w:val="nil"/>
            </w:tcBorders>
            <w:shd w:val="clear" w:color="auto" w:fill="auto"/>
            <w:noWrap/>
            <w:vAlign w:val="center"/>
            <w:hideMark/>
          </w:tcPr>
          <w:p w14:paraId="6EFFE14B" w14:textId="13BFA117"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144" w:type="dxa"/>
            <w:tcBorders>
              <w:top w:val="single" w:sz="4" w:space="0" w:color="auto"/>
              <w:left w:val="single" w:sz="4" w:space="0" w:color="auto"/>
              <w:bottom w:val="single" w:sz="4" w:space="0" w:color="auto"/>
              <w:right w:val="nil"/>
            </w:tcBorders>
            <w:shd w:val="clear" w:color="auto" w:fill="auto"/>
            <w:noWrap/>
            <w:vAlign w:val="bottom"/>
            <w:hideMark/>
          </w:tcPr>
          <w:p w14:paraId="6972E2D8" w14:textId="77777777"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15 445</w:t>
            </w:r>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14:paraId="7775682F" w14:textId="04E18556"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951" w:type="dxa"/>
            <w:tcBorders>
              <w:top w:val="single" w:sz="4" w:space="0" w:color="auto"/>
              <w:left w:val="nil"/>
              <w:bottom w:val="single" w:sz="4" w:space="0" w:color="auto"/>
              <w:right w:val="nil"/>
            </w:tcBorders>
            <w:shd w:val="clear" w:color="auto" w:fill="auto"/>
            <w:noWrap/>
            <w:vAlign w:val="bottom"/>
            <w:hideMark/>
          </w:tcPr>
          <w:p w14:paraId="6E2ACC9B" w14:textId="77777777"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4 284</w:t>
            </w:r>
          </w:p>
        </w:tc>
        <w:tc>
          <w:tcPr>
            <w:tcW w:w="811" w:type="dxa"/>
            <w:tcBorders>
              <w:top w:val="single" w:sz="4" w:space="0" w:color="auto"/>
              <w:left w:val="nil"/>
              <w:bottom w:val="single" w:sz="4" w:space="0" w:color="auto"/>
              <w:right w:val="single" w:sz="4" w:space="0" w:color="auto"/>
            </w:tcBorders>
            <w:shd w:val="clear" w:color="auto" w:fill="auto"/>
            <w:noWrap/>
            <w:vAlign w:val="center"/>
            <w:hideMark/>
          </w:tcPr>
          <w:p w14:paraId="7AF8481F" w14:textId="399CF05D"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21F3CA2B" w14:textId="7346815A"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106,5</w:t>
            </w:r>
            <w:r w:rsidR="00CB570A">
              <w:rPr>
                <w:rFonts w:eastAsia="Times New Roman"/>
                <w:szCs w:val="24"/>
                <w:lang w:eastAsia="cs-CZ"/>
              </w:rPr>
              <w:t> %</w:t>
            </w:r>
          </w:p>
        </w:tc>
      </w:tr>
      <w:tr w:rsidR="00AC1E67" w:rsidRPr="00A00187" w14:paraId="2C5B05ED" w14:textId="77777777" w:rsidTr="0003032A">
        <w:trPr>
          <w:trHeight w:val="315"/>
        </w:trPr>
        <w:tc>
          <w:tcPr>
            <w:tcW w:w="2036" w:type="dxa"/>
            <w:tcBorders>
              <w:top w:val="nil"/>
              <w:left w:val="nil"/>
              <w:bottom w:val="single" w:sz="4" w:space="0" w:color="auto"/>
              <w:right w:val="nil"/>
            </w:tcBorders>
            <w:shd w:val="clear" w:color="auto" w:fill="auto"/>
            <w:noWrap/>
            <w:vAlign w:val="bottom"/>
            <w:hideMark/>
          </w:tcPr>
          <w:p w14:paraId="27A366FE"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KS Praha</w:t>
            </w:r>
          </w:p>
        </w:tc>
        <w:tc>
          <w:tcPr>
            <w:tcW w:w="1136" w:type="dxa"/>
            <w:tcBorders>
              <w:top w:val="nil"/>
              <w:left w:val="nil"/>
              <w:bottom w:val="single" w:sz="4" w:space="0" w:color="auto"/>
              <w:right w:val="nil"/>
            </w:tcBorders>
            <w:shd w:val="clear" w:color="auto" w:fill="auto"/>
            <w:noWrap/>
            <w:vAlign w:val="bottom"/>
            <w:hideMark/>
          </w:tcPr>
          <w:p w14:paraId="42B2D7E5" w14:textId="7C49D6DA"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18</w:t>
            </w:r>
            <w:r w:rsidR="009F78A1" w:rsidRPr="00A00187">
              <w:rPr>
                <w:rFonts w:eastAsia="Times New Roman"/>
                <w:szCs w:val="24"/>
                <w:lang w:eastAsia="cs-CZ"/>
              </w:rPr>
              <w:t xml:space="preserve"> </w:t>
            </w:r>
            <w:r w:rsidRPr="00A00187">
              <w:rPr>
                <w:rFonts w:eastAsia="Times New Roman"/>
                <w:szCs w:val="24"/>
                <w:lang w:eastAsia="cs-CZ"/>
              </w:rPr>
              <w:t>873</w:t>
            </w:r>
          </w:p>
        </w:tc>
        <w:tc>
          <w:tcPr>
            <w:tcW w:w="775" w:type="dxa"/>
            <w:tcBorders>
              <w:top w:val="nil"/>
              <w:left w:val="nil"/>
              <w:bottom w:val="single" w:sz="4" w:space="0" w:color="auto"/>
              <w:right w:val="nil"/>
            </w:tcBorders>
            <w:shd w:val="clear" w:color="auto" w:fill="auto"/>
            <w:noWrap/>
            <w:vAlign w:val="center"/>
            <w:hideMark/>
          </w:tcPr>
          <w:p w14:paraId="621139D1" w14:textId="3993BD22"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144" w:type="dxa"/>
            <w:tcBorders>
              <w:top w:val="nil"/>
              <w:left w:val="single" w:sz="4" w:space="0" w:color="auto"/>
              <w:bottom w:val="single" w:sz="4" w:space="0" w:color="auto"/>
              <w:right w:val="nil"/>
            </w:tcBorders>
            <w:shd w:val="clear" w:color="auto" w:fill="auto"/>
            <w:noWrap/>
            <w:vAlign w:val="bottom"/>
            <w:hideMark/>
          </w:tcPr>
          <w:p w14:paraId="49E3E7A8" w14:textId="77777777"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19576</w:t>
            </w:r>
          </w:p>
        </w:tc>
        <w:tc>
          <w:tcPr>
            <w:tcW w:w="771" w:type="dxa"/>
            <w:tcBorders>
              <w:top w:val="nil"/>
              <w:left w:val="nil"/>
              <w:bottom w:val="single" w:sz="4" w:space="0" w:color="auto"/>
              <w:right w:val="single" w:sz="4" w:space="0" w:color="auto"/>
            </w:tcBorders>
            <w:shd w:val="clear" w:color="auto" w:fill="auto"/>
            <w:noWrap/>
            <w:vAlign w:val="center"/>
            <w:hideMark/>
          </w:tcPr>
          <w:p w14:paraId="473B04FA" w14:textId="5AC4F654"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51" w:type="dxa"/>
            <w:tcBorders>
              <w:top w:val="nil"/>
              <w:left w:val="nil"/>
              <w:bottom w:val="single" w:sz="4" w:space="0" w:color="auto"/>
              <w:right w:val="nil"/>
            </w:tcBorders>
            <w:shd w:val="clear" w:color="auto" w:fill="auto"/>
            <w:noWrap/>
            <w:vAlign w:val="bottom"/>
            <w:hideMark/>
          </w:tcPr>
          <w:p w14:paraId="3E3AC8B5" w14:textId="3211E578"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4</w:t>
            </w:r>
            <w:r w:rsidR="009F78A1" w:rsidRPr="00A00187">
              <w:rPr>
                <w:rFonts w:eastAsia="Times New Roman"/>
                <w:szCs w:val="24"/>
                <w:lang w:eastAsia="cs-CZ"/>
              </w:rPr>
              <w:t xml:space="preserve"> </w:t>
            </w:r>
            <w:r w:rsidRPr="00A00187">
              <w:rPr>
                <w:rFonts w:eastAsia="Times New Roman"/>
                <w:szCs w:val="24"/>
                <w:lang w:eastAsia="cs-CZ"/>
              </w:rPr>
              <w:t>186</w:t>
            </w:r>
          </w:p>
        </w:tc>
        <w:tc>
          <w:tcPr>
            <w:tcW w:w="811" w:type="dxa"/>
            <w:tcBorders>
              <w:top w:val="nil"/>
              <w:left w:val="nil"/>
              <w:bottom w:val="single" w:sz="4" w:space="0" w:color="auto"/>
              <w:right w:val="single" w:sz="4" w:space="0" w:color="auto"/>
            </w:tcBorders>
            <w:shd w:val="clear" w:color="auto" w:fill="auto"/>
            <w:noWrap/>
            <w:vAlign w:val="center"/>
            <w:hideMark/>
          </w:tcPr>
          <w:p w14:paraId="70329215" w14:textId="54BDEE16"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F1B10A9" w14:textId="41CCB6C4"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103,7</w:t>
            </w:r>
            <w:r w:rsidR="00CB570A">
              <w:rPr>
                <w:rFonts w:eastAsia="Times New Roman"/>
                <w:szCs w:val="24"/>
                <w:lang w:eastAsia="cs-CZ"/>
              </w:rPr>
              <w:t> %</w:t>
            </w:r>
          </w:p>
        </w:tc>
      </w:tr>
      <w:tr w:rsidR="00AC1E67" w:rsidRPr="00A00187" w14:paraId="4714421F" w14:textId="77777777" w:rsidTr="0003032A">
        <w:trPr>
          <w:trHeight w:val="315"/>
        </w:trPr>
        <w:tc>
          <w:tcPr>
            <w:tcW w:w="2036" w:type="dxa"/>
            <w:tcBorders>
              <w:top w:val="nil"/>
              <w:left w:val="nil"/>
              <w:bottom w:val="single" w:sz="4" w:space="0" w:color="auto"/>
              <w:right w:val="nil"/>
            </w:tcBorders>
            <w:shd w:val="clear" w:color="auto" w:fill="auto"/>
            <w:noWrap/>
            <w:vAlign w:val="bottom"/>
            <w:hideMark/>
          </w:tcPr>
          <w:p w14:paraId="3AFF2978"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KS Č. Budějovice</w:t>
            </w:r>
          </w:p>
        </w:tc>
        <w:tc>
          <w:tcPr>
            <w:tcW w:w="1136" w:type="dxa"/>
            <w:tcBorders>
              <w:top w:val="nil"/>
              <w:left w:val="nil"/>
              <w:bottom w:val="single" w:sz="4" w:space="0" w:color="auto"/>
              <w:right w:val="nil"/>
            </w:tcBorders>
            <w:shd w:val="clear" w:color="auto" w:fill="auto"/>
            <w:noWrap/>
            <w:vAlign w:val="bottom"/>
            <w:hideMark/>
          </w:tcPr>
          <w:p w14:paraId="69E6A84C" w14:textId="37C46ECB"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8</w:t>
            </w:r>
            <w:r w:rsidR="009F78A1" w:rsidRPr="00A00187">
              <w:rPr>
                <w:rFonts w:eastAsia="Times New Roman"/>
                <w:szCs w:val="24"/>
                <w:lang w:eastAsia="cs-CZ"/>
              </w:rPr>
              <w:t xml:space="preserve"> </w:t>
            </w:r>
            <w:r w:rsidRPr="00A00187">
              <w:rPr>
                <w:rFonts w:eastAsia="Times New Roman"/>
                <w:szCs w:val="24"/>
                <w:lang w:eastAsia="cs-CZ"/>
              </w:rPr>
              <w:t>304</w:t>
            </w:r>
          </w:p>
        </w:tc>
        <w:tc>
          <w:tcPr>
            <w:tcW w:w="775" w:type="dxa"/>
            <w:tcBorders>
              <w:top w:val="nil"/>
              <w:left w:val="nil"/>
              <w:bottom w:val="single" w:sz="4" w:space="0" w:color="auto"/>
              <w:right w:val="nil"/>
            </w:tcBorders>
            <w:shd w:val="clear" w:color="auto" w:fill="auto"/>
            <w:noWrap/>
            <w:vAlign w:val="center"/>
            <w:hideMark/>
          </w:tcPr>
          <w:p w14:paraId="50D3654B" w14:textId="73CB89A8"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144" w:type="dxa"/>
            <w:tcBorders>
              <w:top w:val="nil"/>
              <w:left w:val="single" w:sz="4" w:space="0" w:color="auto"/>
              <w:bottom w:val="single" w:sz="4" w:space="0" w:color="auto"/>
              <w:right w:val="nil"/>
            </w:tcBorders>
            <w:shd w:val="clear" w:color="auto" w:fill="auto"/>
            <w:noWrap/>
            <w:vAlign w:val="bottom"/>
            <w:hideMark/>
          </w:tcPr>
          <w:p w14:paraId="58E1C77C" w14:textId="3DBDB692"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8</w:t>
            </w:r>
            <w:r w:rsidR="009F78A1" w:rsidRPr="00A00187">
              <w:rPr>
                <w:rFonts w:eastAsia="Times New Roman"/>
                <w:szCs w:val="24"/>
                <w:lang w:eastAsia="cs-CZ"/>
              </w:rPr>
              <w:t xml:space="preserve"> </w:t>
            </w:r>
            <w:r w:rsidRPr="00A00187">
              <w:rPr>
                <w:rFonts w:eastAsia="Times New Roman"/>
                <w:szCs w:val="24"/>
                <w:lang w:eastAsia="cs-CZ"/>
              </w:rPr>
              <w:t>591</w:t>
            </w:r>
          </w:p>
        </w:tc>
        <w:tc>
          <w:tcPr>
            <w:tcW w:w="771" w:type="dxa"/>
            <w:tcBorders>
              <w:top w:val="nil"/>
              <w:left w:val="nil"/>
              <w:bottom w:val="single" w:sz="4" w:space="0" w:color="auto"/>
              <w:right w:val="single" w:sz="4" w:space="0" w:color="auto"/>
            </w:tcBorders>
            <w:shd w:val="clear" w:color="auto" w:fill="auto"/>
            <w:noWrap/>
            <w:vAlign w:val="center"/>
            <w:hideMark/>
          </w:tcPr>
          <w:p w14:paraId="68AEC6B2" w14:textId="512AD64C"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951" w:type="dxa"/>
            <w:tcBorders>
              <w:top w:val="nil"/>
              <w:left w:val="nil"/>
              <w:bottom w:val="single" w:sz="4" w:space="0" w:color="auto"/>
              <w:right w:val="nil"/>
            </w:tcBorders>
            <w:shd w:val="clear" w:color="auto" w:fill="auto"/>
            <w:noWrap/>
            <w:vAlign w:val="bottom"/>
            <w:hideMark/>
          </w:tcPr>
          <w:p w14:paraId="14099506" w14:textId="739CEBAE"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w:t>
            </w:r>
            <w:r w:rsidR="009F78A1" w:rsidRPr="00A00187">
              <w:rPr>
                <w:rFonts w:eastAsia="Times New Roman"/>
                <w:szCs w:val="24"/>
                <w:lang w:eastAsia="cs-CZ"/>
              </w:rPr>
              <w:t xml:space="preserve"> </w:t>
            </w:r>
            <w:r w:rsidRPr="00A00187">
              <w:rPr>
                <w:rFonts w:eastAsia="Times New Roman"/>
                <w:szCs w:val="24"/>
                <w:lang w:eastAsia="cs-CZ"/>
              </w:rPr>
              <w:t>626</w:t>
            </w:r>
          </w:p>
        </w:tc>
        <w:tc>
          <w:tcPr>
            <w:tcW w:w="811" w:type="dxa"/>
            <w:tcBorders>
              <w:top w:val="nil"/>
              <w:left w:val="nil"/>
              <w:bottom w:val="single" w:sz="4" w:space="0" w:color="auto"/>
              <w:right w:val="single" w:sz="4" w:space="0" w:color="auto"/>
            </w:tcBorders>
            <w:shd w:val="clear" w:color="auto" w:fill="auto"/>
            <w:noWrap/>
            <w:vAlign w:val="center"/>
            <w:hideMark/>
          </w:tcPr>
          <w:p w14:paraId="4EA6D268" w14:textId="156394B7"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0E2C7B4" w14:textId="2A423D13"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103,5</w:t>
            </w:r>
            <w:r w:rsidR="00CB570A">
              <w:rPr>
                <w:rFonts w:eastAsia="Times New Roman"/>
                <w:szCs w:val="24"/>
                <w:lang w:eastAsia="cs-CZ"/>
              </w:rPr>
              <w:t> %</w:t>
            </w:r>
          </w:p>
        </w:tc>
      </w:tr>
      <w:tr w:rsidR="00AC1E67" w:rsidRPr="00A00187" w14:paraId="2FD4031D" w14:textId="77777777" w:rsidTr="0003032A">
        <w:trPr>
          <w:trHeight w:val="315"/>
        </w:trPr>
        <w:tc>
          <w:tcPr>
            <w:tcW w:w="2036" w:type="dxa"/>
            <w:tcBorders>
              <w:top w:val="nil"/>
              <w:left w:val="nil"/>
              <w:bottom w:val="single" w:sz="4" w:space="0" w:color="auto"/>
              <w:right w:val="nil"/>
            </w:tcBorders>
            <w:shd w:val="clear" w:color="auto" w:fill="auto"/>
            <w:noWrap/>
            <w:vAlign w:val="bottom"/>
            <w:hideMark/>
          </w:tcPr>
          <w:p w14:paraId="6F39714E"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KS Plzeň</w:t>
            </w:r>
          </w:p>
        </w:tc>
        <w:tc>
          <w:tcPr>
            <w:tcW w:w="1136" w:type="dxa"/>
            <w:tcBorders>
              <w:top w:val="nil"/>
              <w:left w:val="nil"/>
              <w:bottom w:val="single" w:sz="4" w:space="0" w:color="auto"/>
              <w:right w:val="nil"/>
            </w:tcBorders>
            <w:shd w:val="clear" w:color="auto" w:fill="auto"/>
            <w:noWrap/>
            <w:vAlign w:val="bottom"/>
            <w:hideMark/>
          </w:tcPr>
          <w:p w14:paraId="09BCB992" w14:textId="05DB367E"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11</w:t>
            </w:r>
            <w:r w:rsidR="009F78A1" w:rsidRPr="00A00187">
              <w:rPr>
                <w:rFonts w:eastAsia="Times New Roman"/>
                <w:szCs w:val="24"/>
                <w:lang w:eastAsia="cs-CZ"/>
              </w:rPr>
              <w:t xml:space="preserve"> </w:t>
            </w:r>
            <w:r w:rsidRPr="00A00187">
              <w:rPr>
                <w:rFonts w:eastAsia="Times New Roman"/>
                <w:szCs w:val="24"/>
                <w:lang w:eastAsia="cs-CZ"/>
              </w:rPr>
              <w:t>510</w:t>
            </w:r>
          </w:p>
        </w:tc>
        <w:tc>
          <w:tcPr>
            <w:tcW w:w="775" w:type="dxa"/>
            <w:tcBorders>
              <w:top w:val="nil"/>
              <w:left w:val="nil"/>
              <w:bottom w:val="single" w:sz="4" w:space="0" w:color="auto"/>
              <w:right w:val="nil"/>
            </w:tcBorders>
            <w:shd w:val="clear" w:color="auto" w:fill="auto"/>
            <w:noWrap/>
            <w:vAlign w:val="center"/>
            <w:hideMark/>
          </w:tcPr>
          <w:p w14:paraId="2827CFD0" w14:textId="626CD6BC"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44" w:type="dxa"/>
            <w:tcBorders>
              <w:top w:val="nil"/>
              <w:left w:val="single" w:sz="4" w:space="0" w:color="auto"/>
              <w:bottom w:val="single" w:sz="4" w:space="0" w:color="auto"/>
              <w:right w:val="nil"/>
            </w:tcBorders>
            <w:shd w:val="clear" w:color="auto" w:fill="auto"/>
            <w:noWrap/>
            <w:vAlign w:val="bottom"/>
            <w:hideMark/>
          </w:tcPr>
          <w:p w14:paraId="1A5C13C4" w14:textId="6C636F9C"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11</w:t>
            </w:r>
            <w:r w:rsidR="009F78A1" w:rsidRPr="00A00187">
              <w:rPr>
                <w:rFonts w:eastAsia="Times New Roman"/>
                <w:szCs w:val="24"/>
                <w:lang w:eastAsia="cs-CZ"/>
              </w:rPr>
              <w:t xml:space="preserve"> </w:t>
            </w:r>
            <w:r w:rsidRPr="00A00187">
              <w:rPr>
                <w:rFonts w:eastAsia="Times New Roman"/>
                <w:szCs w:val="24"/>
                <w:lang w:eastAsia="cs-CZ"/>
              </w:rPr>
              <w:t>861</w:t>
            </w:r>
          </w:p>
        </w:tc>
        <w:tc>
          <w:tcPr>
            <w:tcW w:w="771" w:type="dxa"/>
            <w:tcBorders>
              <w:top w:val="nil"/>
              <w:left w:val="nil"/>
              <w:bottom w:val="single" w:sz="4" w:space="0" w:color="auto"/>
              <w:right w:val="single" w:sz="4" w:space="0" w:color="auto"/>
            </w:tcBorders>
            <w:shd w:val="clear" w:color="auto" w:fill="auto"/>
            <w:noWrap/>
            <w:vAlign w:val="center"/>
            <w:hideMark/>
          </w:tcPr>
          <w:p w14:paraId="596EF854" w14:textId="736BFD05"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51" w:type="dxa"/>
            <w:tcBorders>
              <w:top w:val="nil"/>
              <w:left w:val="nil"/>
              <w:bottom w:val="single" w:sz="4" w:space="0" w:color="auto"/>
              <w:right w:val="nil"/>
            </w:tcBorders>
            <w:shd w:val="clear" w:color="auto" w:fill="auto"/>
            <w:noWrap/>
            <w:vAlign w:val="bottom"/>
            <w:hideMark/>
          </w:tcPr>
          <w:p w14:paraId="11399C37" w14:textId="660A702A"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3</w:t>
            </w:r>
            <w:r w:rsidR="009F78A1" w:rsidRPr="00A00187">
              <w:rPr>
                <w:rFonts w:eastAsia="Times New Roman"/>
                <w:szCs w:val="24"/>
                <w:lang w:eastAsia="cs-CZ"/>
              </w:rPr>
              <w:t xml:space="preserve"> </w:t>
            </w:r>
            <w:r w:rsidRPr="00A00187">
              <w:rPr>
                <w:rFonts w:eastAsia="Times New Roman"/>
                <w:szCs w:val="24"/>
                <w:lang w:eastAsia="cs-CZ"/>
              </w:rPr>
              <w:t>027</w:t>
            </w:r>
          </w:p>
        </w:tc>
        <w:tc>
          <w:tcPr>
            <w:tcW w:w="811" w:type="dxa"/>
            <w:tcBorders>
              <w:top w:val="nil"/>
              <w:left w:val="nil"/>
              <w:bottom w:val="single" w:sz="4" w:space="0" w:color="auto"/>
              <w:right w:val="single" w:sz="4" w:space="0" w:color="auto"/>
            </w:tcBorders>
            <w:shd w:val="clear" w:color="auto" w:fill="auto"/>
            <w:noWrap/>
            <w:vAlign w:val="center"/>
            <w:hideMark/>
          </w:tcPr>
          <w:p w14:paraId="6A2A9A75" w14:textId="284CF857"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F746858" w14:textId="7A91EB85"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103,0</w:t>
            </w:r>
            <w:r w:rsidR="00CB570A">
              <w:rPr>
                <w:rFonts w:eastAsia="Times New Roman"/>
                <w:szCs w:val="24"/>
                <w:lang w:eastAsia="cs-CZ"/>
              </w:rPr>
              <w:t> %</w:t>
            </w:r>
          </w:p>
        </w:tc>
      </w:tr>
      <w:tr w:rsidR="00AC1E67" w:rsidRPr="00A00187" w14:paraId="7826DF75" w14:textId="77777777" w:rsidTr="0003032A">
        <w:trPr>
          <w:trHeight w:val="315"/>
        </w:trPr>
        <w:tc>
          <w:tcPr>
            <w:tcW w:w="2036" w:type="dxa"/>
            <w:tcBorders>
              <w:top w:val="nil"/>
              <w:left w:val="nil"/>
              <w:bottom w:val="single" w:sz="4" w:space="0" w:color="auto"/>
              <w:right w:val="nil"/>
            </w:tcBorders>
            <w:shd w:val="clear" w:color="auto" w:fill="auto"/>
            <w:noWrap/>
            <w:vAlign w:val="bottom"/>
            <w:hideMark/>
          </w:tcPr>
          <w:p w14:paraId="73882ED9"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KS Ústí n. Labem</w:t>
            </w:r>
          </w:p>
        </w:tc>
        <w:tc>
          <w:tcPr>
            <w:tcW w:w="1136" w:type="dxa"/>
            <w:tcBorders>
              <w:top w:val="nil"/>
              <w:left w:val="nil"/>
              <w:bottom w:val="single" w:sz="4" w:space="0" w:color="auto"/>
              <w:right w:val="nil"/>
            </w:tcBorders>
            <w:shd w:val="clear" w:color="auto" w:fill="auto"/>
            <w:noWrap/>
            <w:vAlign w:val="bottom"/>
            <w:hideMark/>
          </w:tcPr>
          <w:p w14:paraId="4A7A2754" w14:textId="45C643F5"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16</w:t>
            </w:r>
            <w:r w:rsidR="009F78A1" w:rsidRPr="00A00187">
              <w:rPr>
                <w:rFonts w:eastAsia="Times New Roman"/>
                <w:szCs w:val="24"/>
                <w:lang w:eastAsia="cs-CZ"/>
              </w:rPr>
              <w:t xml:space="preserve"> </w:t>
            </w:r>
            <w:r w:rsidRPr="00A00187">
              <w:rPr>
                <w:rFonts w:eastAsia="Times New Roman"/>
                <w:szCs w:val="24"/>
                <w:lang w:eastAsia="cs-CZ"/>
              </w:rPr>
              <w:t>306</w:t>
            </w:r>
          </w:p>
        </w:tc>
        <w:tc>
          <w:tcPr>
            <w:tcW w:w="775" w:type="dxa"/>
            <w:tcBorders>
              <w:top w:val="nil"/>
              <w:left w:val="nil"/>
              <w:bottom w:val="single" w:sz="4" w:space="0" w:color="auto"/>
              <w:right w:val="nil"/>
            </w:tcBorders>
            <w:shd w:val="clear" w:color="auto" w:fill="auto"/>
            <w:noWrap/>
            <w:vAlign w:val="center"/>
            <w:hideMark/>
          </w:tcPr>
          <w:p w14:paraId="4B439BF4" w14:textId="0476C8EF"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144" w:type="dxa"/>
            <w:tcBorders>
              <w:top w:val="nil"/>
              <w:left w:val="single" w:sz="4" w:space="0" w:color="auto"/>
              <w:bottom w:val="single" w:sz="4" w:space="0" w:color="auto"/>
              <w:right w:val="nil"/>
            </w:tcBorders>
            <w:shd w:val="clear" w:color="auto" w:fill="auto"/>
            <w:noWrap/>
            <w:vAlign w:val="bottom"/>
            <w:hideMark/>
          </w:tcPr>
          <w:p w14:paraId="7BC2C2B1" w14:textId="56F0BBDA"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16</w:t>
            </w:r>
            <w:r w:rsidR="009F78A1" w:rsidRPr="00A00187">
              <w:rPr>
                <w:rFonts w:eastAsia="Times New Roman"/>
                <w:szCs w:val="24"/>
                <w:lang w:eastAsia="cs-CZ"/>
              </w:rPr>
              <w:t xml:space="preserve"> </w:t>
            </w:r>
            <w:r w:rsidRPr="00A00187">
              <w:rPr>
                <w:rFonts w:eastAsia="Times New Roman"/>
                <w:szCs w:val="24"/>
                <w:lang w:eastAsia="cs-CZ"/>
              </w:rPr>
              <w:t>913</w:t>
            </w:r>
          </w:p>
        </w:tc>
        <w:tc>
          <w:tcPr>
            <w:tcW w:w="771" w:type="dxa"/>
            <w:tcBorders>
              <w:top w:val="nil"/>
              <w:left w:val="nil"/>
              <w:bottom w:val="single" w:sz="4" w:space="0" w:color="auto"/>
              <w:right w:val="single" w:sz="4" w:space="0" w:color="auto"/>
            </w:tcBorders>
            <w:shd w:val="clear" w:color="auto" w:fill="auto"/>
            <w:noWrap/>
            <w:vAlign w:val="center"/>
            <w:hideMark/>
          </w:tcPr>
          <w:p w14:paraId="79B40572" w14:textId="10D699BD"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51" w:type="dxa"/>
            <w:tcBorders>
              <w:top w:val="nil"/>
              <w:left w:val="nil"/>
              <w:bottom w:val="single" w:sz="4" w:space="0" w:color="auto"/>
              <w:right w:val="nil"/>
            </w:tcBorders>
            <w:shd w:val="clear" w:color="auto" w:fill="auto"/>
            <w:noWrap/>
            <w:vAlign w:val="bottom"/>
            <w:hideMark/>
          </w:tcPr>
          <w:p w14:paraId="0A41DE14" w14:textId="397DE223"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5</w:t>
            </w:r>
            <w:r w:rsidR="009F78A1" w:rsidRPr="00A00187">
              <w:rPr>
                <w:rFonts w:eastAsia="Times New Roman"/>
                <w:szCs w:val="24"/>
                <w:lang w:eastAsia="cs-CZ"/>
              </w:rPr>
              <w:t xml:space="preserve"> </w:t>
            </w:r>
            <w:r w:rsidRPr="00A00187">
              <w:rPr>
                <w:rFonts w:eastAsia="Times New Roman"/>
                <w:szCs w:val="24"/>
                <w:lang w:eastAsia="cs-CZ"/>
              </w:rPr>
              <w:t>388</w:t>
            </w:r>
          </w:p>
        </w:tc>
        <w:tc>
          <w:tcPr>
            <w:tcW w:w="811" w:type="dxa"/>
            <w:tcBorders>
              <w:top w:val="nil"/>
              <w:left w:val="nil"/>
              <w:bottom w:val="single" w:sz="4" w:space="0" w:color="auto"/>
              <w:right w:val="single" w:sz="4" w:space="0" w:color="auto"/>
            </w:tcBorders>
            <w:shd w:val="clear" w:color="auto" w:fill="auto"/>
            <w:noWrap/>
            <w:vAlign w:val="center"/>
            <w:hideMark/>
          </w:tcPr>
          <w:p w14:paraId="1BF15BE4" w14:textId="2BDFDC80"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155EFD44" w14:textId="034DA53E"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103,7</w:t>
            </w:r>
            <w:r w:rsidR="00CB570A">
              <w:rPr>
                <w:rFonts w:eastAsia="Times New Roman"/>
                <w:szCs w:val="24"/>
                <w:lang w:eastAsia="cs-CZ"/>
              </w:rPr>
              <w:t> %</w:t>
            </w:r>
          </w:p>
        </w:tc>
      </w:tr>
      <w:tr w:rsidR="00AC1E67" w:rsidRPr="00A00187" w14:paraId="17FC11FC" w14:textId="77777777" w:rsidTr="0003032A">
        <w:trPr>
          <w:trHeight w:val="315"/>
        </w:trPr>
        <w:tc>
          <w:tcPr>
            <w:tcW w:w="2036" w:type="dxa"/>
            <w:tcBorders>
              <w:top w:val="nil"/>
              <w:left w:val="nil"/>
              <w:bottom w:val="single" w:sz="4" w:space="0" w:color="auto"/>
              <w:right w:val="nil"/>
            </w:tcBorders>
            <w:shd w:val="clear" w:color="auto" w:fill="auto"/>
            <w:noWrap/>
            <w:vAlign w:val="bottom"/>
            <w:hideMark/>
          </w:tcPr>
          <w:p w14:paraId="06578FD5"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KS Hr. Králové</w:t>
            </w:r>
          </w:p>
        </w:tc>
        <w:tc>
          <w:tcPr>
            <w:tcW w:w="1136" w:type="dxa"/>
            <w:tcBorders>
              <w:top w:val="nil"/>
              <w:left w:val="nil"/>
              <w:bottom w:val="single" w:sz="4" w:space="0" w:color="auto"/>
              <w:right w:val="nil"/>
            </w:tcBorders>
            <w:shd w:val="clear" w:color="auto" w:fill="auto"/>
            <w:noWrap/>
            <w:vAlign w:val="bottom"/>
            <w:hideMark/>
          </w:tcPr>
          <w:p w14:paraId="68358976" w14:textId="6229F315"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13</w:t>
            </w:r>
            <w:r w:rsidR="009F78A1" w:rsidRPr="00A00187">
              <w:rPr>
                <w:rFonts w:eastAsia="Times New Roman"/>
                <w:szCs w:val="24"/>
                <w:lang w:eastAsia="cs-CZ"/>
              </w:rPr>
              <w:t xml:space="preserve"> </w:t>
            </w:r>
            <w:r w:rsidRPr="00A00187">
              <w:rPr>
                <w:rFonts w:eastAsia="Times New Roman"/>
                <w:szCs w:val="24"/>
                <w:lang w:eastAsia="cs-CZ"/>
              </w:rPr>
              <w:t>056</w:t>
            </w:r>
          </w:p>
        </w:tc>
        <w:tc>
          <w:tcPr>
            <w:tcW w:w="775" w:type="dxa"/>
            <w:tcBorders>
              <w:top w:val="nil"/>
              <w:left w:val="nil"/>
              <w:bottom w:val="single" w:sz="4" w:space="0" w:color="auto"/>
              <w:right w:val="nil"/>
            </w:tcBorders>
            <w:shd w:val="clear" w:color="auto" w:fill="auto"/>
            <w:noWrap/>
            <w:vAlign w:val="center"/>
            <w:hideMark/>
          </w:tcPr>
          <w:p w14:paraId="68E75EB6" w14:textId="5C073C1C"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44" w:type="dxa"/>
            <w:tcBorders>
              <w:top w:val="nil"/>
              <w:left w:val="single" w:sz="4" w:space="0" w:color="auto"/>
              <w:bottom w:val="single" w:sz="4" w:space="0" w:color="auto"/>
              <w:right w:val="nil"/>
            </w:tcBorders>
            <w:shd w:val="clear" w:color="auto" w:fill="auto"/>
            <w:noWrap/>
            <w:vAlign w:val="bottom"/>
            <w:hideMark/>
          </w:tcPr>
          <w:p w14:paraId="0F296D12" w14:textId="5BBC03F5"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13</w:t>
            </w:r>
            <w:r w:rsidR="009F78A1" w:rsidRPr="00A00187">
              <w:rPr>
                <w:rFonts w:eastAsia="Times New Roman"/>
                <w:szCs w:val="24"/>
                <w:lang w:eastAsia="cs-CZ"/>
              </w:rPr>
              <w:t xml:space="preserve"> </w:t>
            </w:r>
            <w:r w:rsidRPr="00A00187">
              <w:rPr>
                <w:rFonts w:eastAsia="Times New Roman"/>
                <w:szCs w:val="24"/>
                <w:lang w:eastAsia="cs-CZ"/>
              </w:rPr>
              <w:t>487</w:t>
            </w:r>
          </w:p>
        </w:tc>
        <w:tc>
          <w:tcPr>
            <w:tcW w:w="771" w:type="dxa"/>
            <w:tcBorders>
              <w:top w:val="nil"/>
              <w:left w:val="nil"/>
              <w:bottom w:val="single" w:sz="4" w:space="0" w:color="auto"/>
              <w:right w:val="single" w:sz="4" w:space="0" w:color="auto"/>
            </w:tcBorders>
            <w:shd w:val="clear" w:color="auto" w:fill="auto"/>
            <w:noWrap/>
            <w:vAlign w:val="center"/>
            <w:hideMark/>
          </w:tcPr>
          <w:p w14:paraId="434A162B" w14:textId="13D490F3"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51" w:type="dxa"/>
            <w:tcBorders>
              <w:top w:val="nil"/>
              <w:left w:val="nil"/>
              <w:bottom w:val="single" w:sz="4" w:space="0" w:color="auto"/>
              <w:right w:val="nil"/>
            </w:tcBorders>
            <w:shd w:val="clear" w:color="auto" w:fill="auto"/>
            <w:noWrap/>
            <w:vAlign w:val="bottom"/>
            <w:hideMark/>
          </w:tcPr>
          <w:p w14:paraId="0C41462B" w14:textId="2D591B41"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3</w:t>
            </w:r>
            <w:r w:rsidR="009F78A1" w:rsidRPr="00A00187">
              <w:rPr>
                <w:rFonts w:eastAsia="Times New Roman"/>
                <w:szCs w:val="24"/>
                <w:lang w:eastAsia="cs-CZ"/>
              </w:rPr>
              <w:t xml:space="preserve"> </w:t>
            </w:r>
            <w:r w:rsidRPr="00A00187">
              <w:rPr>
                <w:rFonts w:eastAsia="Times New Roman"/>
                <w:szCs w:val="24"/>
                <w:lang w:eastAsia="cs-CZ"/>
              </w:rPr>
              <w:t>542</w:t>
            </w:r>
          </w:p>
        </w:tc>
        <w:tc>
          <w:tcPr>
            <w:tcW w:w="811" w:type="dxa"/>
            <w:tcBorders>
              <w:top w:val="nil"/>
              <w:left w:val="nil"/>
              <w:bottom w:val="single" w:sz="4" w:space="0" w:color="auto"/>
              <w:right w:val="single" w:sz="4" w:space="0" w:color="auto"/>
            </w:tcBorders>
            <w:shd w:val="clear" w:color="auto" w:fill="auto"/>
            <w:noWrap/>
            <w:vAlign w:val="center"/>
            <w:hideMark/>
          </w:tcPr>
          <w:p w14:paraId="3F2D8B3B" w14:textId="461AEB7F"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1432555" w14:textId="7F5682E7"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103,3</w:t>
            </w:r>
            <w:r w:rsidR="00CB570A">
              <w:rPr>
                <w:rFonts w:eastAsia="Times New Roman"/>
                <w:szCs w:val="24"/>
                <w:lang w:eastAsia="cs-CZ"/>
              </w:rPr>
              <w:t> %</w:t>
            </w:r>
          </w:p>
        </w:tc>
      </w:tr>
      <w:tr w:rsidR="00AC1E67" w:rsidRPr="00A00187" w14:paraId="504BC6A6" w14:textId="77777777" w:rsidTr="0003032A">
        <w:trPr>
          <w:trHeight w:val="315"/>
        </w:trPr>
        <w:tc>
          <w:tcPr>
            <w:tcW w:w="2036" w:type="dxa"/>
            <w:tcBorders>
              <w:top w:val="nil"/>
              <w:left w:val="nil"/>
              <w:bottom w:val="single" w:sz="4" w:space="0" w:color="auto"/>
              <w:right w:val="nil"/>
            </w:tcBorders>
            <w:shd w:val="clear" w:color="auto" w:fill="auto"/>
            <w:noWrap/>
            <w:vAlign w:val="bottom"/>
            <w:hideMark/>
          </w:tcPr>
          <w:p w14:paraId="3C4ABDCC"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KS Brno</w:t>
            </w:r>
          </w:p>
        </w:tc>
        <w:tc>
          <w:tcPr>
            <w:tcW w:w="1136" w:type="dxa"/>
            <w:tcBorders>
              <w:top w:val="nil"/>
              <w:left w:val="nil"/>
              <w:bottom w:val="single" w:sz="4" w:space="0" w:color="auto"/>
              <w:right w:val="nil"/>
            </w:tcBorders>
            <w:shd w:val="clear" w:color="auto" w:fill="auto"/>
            <w:noWrap/>
            <w:vAlign w:val="bottom"/>
            <w:hideMark/>
          </w:tcPr>
          <w:p w14:paraId="1A601F5E" w14:textId="7E5F47BD"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19</w:t>
            </w:r>
            <w:r w:rsidR="009F78A1" w:rsidRPr="00A00187">
              <w:rPr>
                <w:rFonts w:eastAsia="Times New Roman"/>
                <w:szCs w:val="24"/>
                <w:lang w:eastAsia="cs-CZ"/>
              </w:rPr>
              <w:t xml:space="preserve"> </w:t>
            </w:r>
            <w:r w:rsidRPr="00A00187">
              <w:rPr>
                <w:rFonts w:eastAsia="Times New Roman"/>
                <w:szCs w:val="24"/>
                <w:lang w:eastAsia="cs-CZ"/>
              </w:rPr>
              <w:t>053</w:t>
            </w:r>
          </w:p>
        </w:tc>
        <w:tc>
          <w:tcPr>
            <w:tcW w:w="775" w:type="dxa"/>
            <w:tcBorders>
              <w:top w:val="nil"/>
              <w:left w:val="nil"/>
              <w:bottom w:val="single" w:sz="4" w:space="0" w:color="auto"/>
              <w:right w:val="nil"/>
            </w:tcBorders>
            <w:shd w:val="clear" w:color="auto" w:fill="auto"/>
            <w:noWrap/>
            <w:vAlign w:val="center"/>
            <w:hideMark/>
          </w:tcPr>
          <w:p w14:paraId="74A00DF8" w14:textId="1C99DC5C"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44" w:type="dxa"/>
            <w:tcBorders>
              <w:top w:val="nil"/>
              <w:left w:val="single" w:sz="4" w:space="0" w:color="auto"/>
              <w:bottom w:val="single" w:sz="4" w:space="0" w:color="auto"/>
              <w:right w:val="nil"/>
            </w:tcBorders>
            <w:shd w:val="clear" w:color="auto" w:fill="auto"/>
            <w:noWrap/>
            <w:vAlign w:val="bottom"/>
            <w:hideMark/>
          </w:tcPr>
          <w:p w14:paraId="3B44E578" w14:textId="02F713B7"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19</w:t>
            </w:r>
            <w:r w:rsidR="009F78A1" w:rsidRPr="00A00187">
              <w:rPr>
                <w:rFonts w:eastAsia="Times New Roman"/>
                <w:szCs w:val="24"/>
                <w:lang w:eastAsia="cs-CZ"/>
              </w:rPr>
              <w:t xml:space="preserve"> </w:t>
            </w:r>
            <w:r w:rsidRPr="00A00187">
              <w:rPr>
                <w:rFonts w:eastAsia="Times New Roman"/>
                <w:szCs w:val="24"/>
                <w:lang w:eastAsia="cs-CZ"/>
              </w:rPr>
              <w:t>422</w:t>
            </w:r>
          </w:p>
        </w:tc>
        <w:tc>
          <w:tcPr>
            <w:tcW w:w="771" w:type="dxa"/>
            <w:tcBorders>
              <w:top w:val="nil"/>
              <w:left w:val="nil"/>
              <w:bottom w:val="single" w:sz="4" w:space="0" w:color="auto"/>
              <w:right w:val="single" w:sz="4" w:space="0" w:color="auto"/>
            </w:tcBorders>
            <w:shd w:val="clear" w:color="auto" w:fill="auto"/>
            <w:noWrap/>
            <w:vAlign w:val="center"/>
            <w:hideMark/>
          </w:tcPr>
          <w:p w14:paraId="5D240888" w14:textId="5CC970F9"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51" w:type="dxa"/>
            <w:tcBorders>
              <w:top w:val="nil"/>
              <w:left w:val="nil"/>
              <w:bottom w:val="single" w:sz="4" w:space="0" w:color="auto"/>
              <w:right w:val="nil"/>
            </w:tcBorders>
            <w:shd w:val="clear" w:color="auto" w:fill="auto"/>
            <w:noWrap/>
            <w:vAlign w:val="bottom"/>
            <w:hideMark/>
          </w:tcPr>
          <w:p w14:paraId="4A681E60" w14:textId="4E774B7A"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6</w:t>
            </w:r>
            <w:r w:rsidR="009F78A1" w:rsidRPr="00A00187">
              <w:rPr>
                <w:rFonts w:eastAsia="Times New Roman"/>
                <w:szCs w:val="24"/>
                <w:lang w:eastAsia="cs-CZ"/>
              </w:rPr>
              <w:t xml:space="preserve"> </w:t>
            </w:r>
            <w:r w:rsidRPr="00A00187">
              <w:rPr>
                <w:rFonts w:eastAsia="Times New Roman"/>
                <w:szCs w:val="24"/>
                <w:lang w:eastAsia="cs-CZ"/>
              </w:rPr>
              <w:t>274</w:t>
            </w:r>
          </w:p>
        </w:tc>
        <w:tc>
          <w:tcPr>
            <w:tcW w:w="811" w:type="dxa"/>
            <w:tcBorders>
              <w:top w:val="nil"/>
              <w:left w:val="nil"/>
              <w:bottom w:val="single" w:sz="4" w:space="0" w:color="auto"/>
              <w:right w:val="single" w:sz="4" w:space="0" w:color="auto"/>
            </w:tcBorders>
            <w:shd w:val="clear" w:color="auto" w:fill="auto"/>
            <w:noWrap/>
            <w:vAlign w:val="center"/>
            <w:hideMark/>
          </w:tcPr>
          <w:p w14:paraId="176221F8" w14:textId="11C94E8A"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2ABDD972" w14:textId="425B1E7E"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101,9</w:t>
            </w:r>
            <w:r w:rsidR="00CB570A">
              <w:rPr>
                <w:rFonts w:eastAsia="Times New Roman"/>
                <w:szCs w:val="24"/>
                <w:lang w:eastAsia="cs-CZ"/>
              </w:rPr>
              <w:t> %</w:t>
            </w:r>
          </w:p>
        </w:tc>
      </w:tr>
      <w:tr w:rsidR="00AC1E67" w:rsidRPr="00A00187" w14:paraId="73A84FA0" w14:textId="77777777" w:rsidTr="0003032A">
        <w:trPr>
          <w:trHeight w:val="330"/>
        </w:trPr>
        <w:tc>
          <w:tcPr>
            <w:tcW w:w="2036" w:type="dxa"/>
            <w:tcBorders>
              <w:top w:val="nil"/>
              <w:left w:val="nil"/>
              <w:bottom w:val="double" w:sz="6" w:space="0" w:color="auto"/>
              <w:right w:val="nil"/>
            </w:tcBorders>
            <w:shd w:val="clear" w:color="auto" w:fill="auto"/>
            <w:noWrap/>
            <w:vAlign w:val="bottom"/>
            <w:hideMark/>
          </w:tcPr>
          <w:p w14:paraId="0610BF27" w14:textId="77777777" w:rsidR="0003032A" w:rsidRPr="00A00187" w:rsidRDefault="0003032A" w:rsidP="0003032A">
            <w:pPr>
              <w:spacing w:line="240" w:lineRule="auto"/>
              <w:jc w:val="left"/>
              <w:rPr>
                <w:rFonts w:eastAsia="Times New Roman"/>
                <w:szCs w:val="24"/>
                <w:lang w:eastAsia="cs-CZ"/>
              </w:rPr>
            </w:pPr>
            <w:r w:rsidRPr="00A00187">
              <w:rPr>
                <w:rFonts w:eastAsia="Times New Roman"/>
                <w:szCs w:val="24"/>
                <w:lang w:eastAsia="cs-CZ"/>
              </w:rPr>
              <w:t>KS Ostrava</w:t>
            </w:r>
          </w:p>
        </w:tc>
        <w:tc>
          <w:tcPr>
            <w:tcW w:w="1136" w:type="dxa"/>
            <w:tcBorders>
              <w:top w:val="nil"/>
              <w:left w:val="nil"/>
              <w:bottom w:val="double" w:sz="6" w:space="0" w:color="auto"/>
              <w:right w:val="nil"/>
            </w:tcBorders>
            <w:shd w:val="clear" w:color="auto" w:fill="auto"/>
            <w:noWrap/>
            <w:vAlign w:val="bottom"/>
            <w:hideMark/>
          </w:tcPr>
          <w:p w14:paraId="4B81DD69" w14:textId="28501912"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21</w:t>
            </w:r>
            <w:r w:rsidR="009F78A1" w:rsidRPr="00A00187">
              <w:rPr>
                <w:rFonts w:eastAsia="Times New Roman"/>
                <w:szCs w:val="24"/>
                <w:lang w:eastAsia="cs-CZ"/>
              </w:rPr>
              <w:t xml:space="preserve"> </w:t>
            </w:r>
            <w:r w:rsidRPr="00A00187">
              <w:rPr>
                <w:rFonts w:eastAsia="Times New Roman"/>
                <w:szCs w:val="24"/>
                <w:lang w:eastAsia="cs-CZ"/>
              </w:rPr>
              <w:t>352</w:t>
            </w:r>
          </w:p>
        </w:tc>
        <w:tc>
          <w:tcPr>
            <w:tcW w:w="775" w:type="dxa"/>
            <w:tcBorders>
              <w:top w:val="nil"/>
              <w:left w:val="nil"/>
              <w:bottom w:val="double" w:sz="6" w:space="0" w:color="auto"/>
              <w:right w:val="nil"/>
            </w:tcBorders>
            <w:shd w:val="clear" w:color="auto" w:fill="auto"/>
            <w:noWrap/>
            <w:vAlign w:val="center"/>
            <w:hideMark/>
          </w:tcPr>
          <w:p w14:paraId="5017DF5C" w14:textId="55A77543"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44" w:type="dxa"/>
            <w:tcBorders>
              <w:top w:val="nil"/>
              <w:left w:val="single" w:sz="4" w:space="0" w:color="auto"/>
              <w:bottom w:val="double" w:sz="6" w:space="0" w:color="auto"/>
              <w:right w:val="nil"/>
            </w:tcBorders>
            <w:shd w:val="clear" w:color="auto" w:fill="auto"/>
            <w:noWrap/>
            <w:vAlign w:val="bottom"/>
            <w:hideMark/>
          </w:tcPr>
          <w:p w14:paraId="3EE09A93" w14:textId="4B6BD5D4"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22</w:t>
            </w:r>
            <w:r w:rsidR="009F78A1" w:rsidRPr="00A00187">
              <w:rPr>
                <w:rFonts w:eastAsia="Times New Roman"/>
                <w:szCs w:val="24"/>
                <w:lang w:eastAsia="cs-CZ"/>
              </w:rPr>
              <w:t xml:space="preserve"> </w:t>
            </w:r>
            <w:r w:rsidRPr="00A00187">
              <w:rPr>
                <w:rFonts w:eastAsia="Times New Roman"/>
                <w:szCs w:val="24"/>
                <w:lang w:eastAsia="cs-CZ"/>
              </w:rPr>
              <w:t>185</w:t>
            </w:r>
          </w:p>
        </w:tc>
        <w:tc>
          <w:tcPr>
            <w:tcW w:w="771" w:type="dxa"/>
            <w:tcBorders>
              <w:top w:val="nil"/>
              <w:left w:val="nil"/>
              <w:bottom w:val="double" w:sz="6" w:space="0" w:color="auto"/>
              <w:right w:val="single" w:sz="4" w:space="0" w:color="auto"/>
            </w:tcBorders>
            <w:shd w:val="clear" w:color="auto" w:fill="auto"/>
            <w:noWrap/>
            <w:vAlign w:val="center"/>
            <w:hideMark/>
          </w:tcPr>
          <w:p w14:paraId="4996BE30" w14:textId="36FFF13A"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51" w:type="dxa"/>
            <w:tcBorders>
              <w:top w:val="nil"/>
              <w:left w:val="nil"/>
              <w:bottom w:val="double" w:sz="6" w:space="0" w:color="auto"/>
              <w:right w:val="nil"/>
            </w:tcBorders>
            <w:shd w:val="clear" w:color="auto" w:fill="auto"/>
            <w:noWrap/>
            <w:vAlign w:val="bottom"/>
            <w:hideMark/>
          </w:tcPr>
          <w:p w14:paraId="370B0789" w14:textId="5197705E"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6</w:t>
            </w:r>
            <w:r w:rsidR="009F78A1" w:rsidRPr="00A00187">
              <w:rPr>
                <w:rFonts w:eastAsia="Times New Roman"/>
                <w:szCs w:val="24"/>
                <w:lang w:eastAsia="cs-CZ"/>
              </w:rPr>
              <w:t xml:space="preserve"> </w:t>
            </w:r>
            <w:r w:rsidRPr="00A00187">
              <w:rPr>
                <w:rFonts w:eastAsia="Times New Roman"/>
                <w:szCs w:val="24"/>
                <w:lang w:eastAsia="cs-CZ"/>
              </w:rPr>
              <w:t>799</w:t>
            </w:r>
          </w:p>
        </w:tc>
        <w:tc>
          <w:tcPr>
            <w:tcW w:w="811" w:type="dxa"/>
            <w:tcBorders>
              <w:top w:val="nil"/>
              <w:left w:val="nil"/>
              <w:bottom w:val="double" w:sz="6" w:space="0" w:color="auto"/>
              <w:right w:val="single" w:sz="4" w:space="0" w:color="auto"/>
            </w:tcBorders>
            <w:shd w:val="clear" w:color="auto" w:fill="auto"/>
            <w:noWrap/>
            <w:vAlign w:val="center"/>
            <w:hideMark/>
          </w:tcPr>
          <w:p w14:paraId="3D2CF347" w14:textId="72D6D115" w:rsidR="0003032A" w:rsidRPr="00A00187" w:rsidRDefault="0003032A"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1516" w:type="dxa"/>
            <w:tcBorders>
              <w:top w:val="nil"/>
              <w:left w:val="nil"/>
              <w:bottom w:val="nil"/>
              <w:right w:val="nil"/>
            </w:tcBorders>
            <w:shd w:val="clear" w:color="auto" w:fill="auto"/>
            <w:noWrap/>
            <w:vAlign w:val="center"/>
            <w:hideMark/>
          </w:tcPr>
          <w:p w14:paraId="007DC2D7" w14:textId="7388655B" w:rsidR="0003032A" w:rsidRPr="00A00187" w:rsidRDefault="0003032A" w:rsidP="0003032A">
            <w:pPr>
              <w:spacing w:line="240" w:lineRule="auto"/>
              <w:jc w:val="center"/>
              <w:rPr>
                <w:rFonts w:eastAsia="Times New Roman"/>
                <w:szCs w:val="24"/>
                <w:lang w:eastAsia="cs-CZ"/>
              </w:rPr>
            </w:pPr>
            <w:r w:rsidRPr="00A00187">
              <w:rPr>
                <w:rFonts w:eastAsia="Times New Roman"/>
                <w:szCs w:val="24"/>
                <w:lang w:eastAsia="cs-CZ"/>
              </w:rPr>
              <w:t>103,9</w:t>
            </w:r>
            <w:r w:rsidR="00CB570A">
              <w:rPr>
                <w:rFonts w:eastAsia="Times New Roman"/>
                <w:szCs w:val="24"/>
                <w:lang w:eastAsia="cs-CZ"/>
              </w:rPr>
              <w:t> %</w:t>
            </w:r>
          </w:p>
        </w:tc>
      </w:tr>
      <w:tr w:rsidR="00AC1E67" w:rsidRPr="00A00187" w14:paraId="5D21386F" w14:textId="77777777" w:rsidTr="0003032A">
        <w:trPr>
          <w:trHeight w:val="345"/>
        </w:trPr>
        <w:tc>
          <w:tcPr>
            <w:tcW w:w="2036" w:type="dxa"/>
            <w:tcBorders>
              <w:top w:val="nil"/>
              <w:left w:val="nil"/>
              <w:bottom w:val="double" w:sz="6" w:space="0" w:color="auto"/>
              <w:right w:val="nil"/>
            </w:tcBorders>
            <w:shd w:val="clear" w:color="auto" w:fill="auto"/>
            <w:noWrap/>
            <w:vAlign w:val="bottom"/>
            <w:hideMark/>
          </w:tcPr>
          <w:p w14:paraId="1B039CB2" w14:textId="77777777" w:rsidR="0003032A" w:rsidRPr="00A00187" w:rsidRDefault="0003032A" w:rsidP="0003032A">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36" w:type="dxa"/>
            <w:tcBorders>
              <w:top w:val="nil"/>
              <w:left w:val="nil"/>
              <w:bottom w:val="double" w:sz="6" w:space="0" w:color="auto"/>
              <w:right w:val="nil"/>
            </w:tcBorders>
            <w:shd w:val="clear" w:color="auto" w:fill="auto"/>
            <w:noWrap/>
            <w:vAlign w:val="bottom"/>
            <w:hideMark/>
          </w:tcPr>
          <w:p w14:paraId="749F2982" w14:textId="23DE8150"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122</w:t>
            </w:r>
            <w:r w:rsidR="009F78A1" w:rsidRPr="00A00187">
              <w:rPr>
                <w:rFonts w:eastAsia="Times New Roman"/>
                <w:b/>
                <w:bCs/>
                <w:szCs w:val="24"/>
                <w:lang w:eastAsia="cs-CZ"/>
              </w:rPr>
              <w:t xml:space="preserve"> </w:t>
            </w:r>
            <w:r w:rsidRPr="00A00187">
              <w:rPr>
                <w:rFonts w:eastAsia="Times New Roman"/>
                <w:b/>
                <w:bCs/>
                <w:szCs w:val="24"/>
                <w:lang w:eastAsia="cs-CZ"/>
              </w:rPr>
              <w:t>958</w:t>
            </w:r>
          </w:p>
        </w:tc>
        <w:tc>
          <w:tcPr>
            <w:tcW w:w="775" w:type="dxa"/>
            <w:tcBorders>
              <w:top w:val="nil"/>
              <w:left w:val="nil"/>
              <w:bottom w:val="double" w:sz="6" w:space="0" w:color="auto"/>
              <w:right w:val="nil"/>
            </w:tcBorders>
            <w:shd w:val="clear" w:color="auto" w:fill="auto"/>
            <w:noWrap/>
            <w:vAlign w:val="center"/>
            <w:hideMark/>
          </w:tcPr>
          <w:p w14:paraId="1908600F" w14:textId="144A5BE4" w:rsidR="0003032A" w:rsidRPr="00A00187" w:rsidRDefault="0003032A"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+0</w:t>
            </w:r>
            <w:r w:rsidR="00CB570A">
              <w:rPr>
                <w:rFonts w:eastAsia="Times New Roman"/>
                <w:b/>
                <w:bCs/>
                <w:sz w:val="20"/>
                <w:szCs w:val="20"/>
                <w:lang w:eastAsia="cs-CZ"/>
              </w:rPr>
              <w:t> %</w:t>
            </w:r>
          </w:p>
        </w:tc>
        <w:tc>
          <w:tcPr>
            <w:tcW w:w="1144" w:type="dxa"/>
            <w:tcBorders>
              <w:top w:val="nil"/>
              <w:left w:val="single" w:sz="4" w:space="0" w:color="auto"/>
              <w:bottom w:val="double" w:sz="6" w:space="0" w:color="auto"/>
              <w:right w:val="nil"/>
            </w:tcBorders>
            <w:shd w:val="clear" w:color="auto" w:fill="auto"/>
            <w:noWrap/>
            <w:vAlign w:val="bottom"/>
            <w:hideMark/>
          </w:tcPr>
          <w:p w14:paraId="7159CE6D" w14:textId="2A138F43"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127</w:t>
            </w:r>
            <w:r w:rsidR="009F78A1" w:rsidRPr="00A00187">
              <w:rPr>
                <w:rFonts w:eastAsia="Times New Roman"/>
                <w:b/>
                <w:bCs/>
                <w:szCs w:val="24"/>
                <w:lang w:eastAsia="cs-CZ"/>
              </w:rPr>
              <w:t xml:space="preserve"> </w:t>
            </w:r>
            <w:r w:rsidRPr="00A00187">
              <w:rPr>
                <w:rFonts w:eastAsia="Times New Roman"/>
                <w:b/>
                <w:bCs/>
                <w:szCs w:val="24"/>
                <w:lang w:eastAsia="cs-CZ"/>
              </w:rPr>
              <w:t>480</w:t>
            </w:r>
          </w:p>
        </w:tc>
        <w:tc>
          <w:tcPr>
            <w:tcW w:w="771" w:type="dxa"/>
            <w:tcBorders>
              <w:top w:val="nil"/>
              <w:left w:val="nil"/>
              <w:bottom w:val="double" w:sz="6" w:space="0" w:color="auto"/>
              <w:right w:val="single" w:sz="4" w:space="0" w:color="auto"/>
            </w:tcBorders>
            <w:shd w:val="clear" w:color="auto" w:fill="auto"/>
            <w:noWrap/>
            <w:vAlign w:val="center"/>
            <w:hideMark/>
          </w:tcPr>
          <w:p w14:paraId="1D512788" w14:textId="13D5FFB6" w:rsidR="0003032A" w:rsidRPr="00A00187" w:rsidRDefault="0003032A"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c>
          <w:tcPr>
            <w:tcW w:w="951" w:type="dxa"/>
            <w:tcBorders>
              <w:top w:val="nil"/>
              <w:left w:val="nil"/>
              <w:bottom w:val="double" w:sz="6" w:space="0" w:color="auto"/>
              <w:right w:val="nil"/>
            </w:tcBorders>
            <w:shd w:val="clear" w:color="auto" w:fill="auto"/>
            <w:noWrap/>
            <w:vAlign w:val="bottom"/>
            <w:hideMark/>
          </w:tcPr>
          <w:p w14:paraId="4D6650AA" w14:textId="39BEB950"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35</w:t>
            </w:r>
            <w:r w:rsidR="009F78A1" w:rsidRPr="00A00187">
              <w:rPr>
                <w:rFonts w:eastAsia="Times New Roman"/>
                <w:b/>
                <w:bCs/>
                <w:szCs w:val="24"/>
                <w:lang w:eastAsia="cs-CZ"/>
              </w:rPr>
              <w:t xml:space="preserve"> </w:t>
            </w:r>
            <w:r w:rsidRPr="00A00187">
              <w:rPr>
                <w:rFonts w:eastAsia="Times New Roman"/>
                <w:b/>
                <w:bCs/>
                <w:szCs w:val="24"/>
                <w:lang w:eastAsia="cs-CZ"/>
              </w:rPr>
              <w:t>126</w:t>
            </w:r>
          </w:p>
        </w:tc>
        <w:tc>
          <w:tcPr>
            <w:tcW w:w="811" w:type="dxa"/>
            <w:tcBorders>
              <w:top w:val="nil"/>
              <w:left w:val="nil"/>
              <w:bottom w:val="double" w:sz="6" w:space="0" w:color="auto"/>
              <w:right w:val="single" w:sz="4" w:space="0" w:color="auto"/>
            </w:tcBorders>
            <w:shd w:val="clear" w:color="auto" w:fill="auto"/>
            <w:noWrap/>
            <w:vAlign w:val="center"/>
            <w:hideMark/>
          </w:tcPr>
          <w:p w14:paraId="693175CD" w14:textId="36200160" w:rsidR="0003032A" w:rsidRPr="00A00187" w:rsidRDefault="0003032A"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-11</w:t>
            </w:r>
            <w:r w:rsidR="00CB570A">
              <w:rPr>
                <w:rFonts w:eastAsia="Times New Roman"/>
                <w:b/>
                <w:bCs/>
                <w:sz w:val="20"/>
                <w:szCs w:val="20"/>
                <w:lang w:eastAsia="cs-CZ"/>
              </w:rPr>
              <w:t> %</w:t>
            </w:r>
          </w:p>
        </w:tc>
        <w:tc>
          <w:tcPr>
            <w:tcW w:w="1516" w:type="dxa"/>
            <w:tcBorders>
              <w:top w:val="double" w:sz="6" w:space="0" w:color="auto"/>
              <w:left w:val="nil"/>
              <w:bottom w:val="double" w:sz="6" w:space="0" w:color="auto"/>
              <w:right w:val="nil"/>
            </w:tcBorders>
            <w:shd w:val="clear" w:color="auto" w:fill="auto"/>
            <w:noWrap/>
            <w:vAlign w:val="center"/>
            <w:hideMark/>
          </w:tcPr>
          <w:p w14:paraId="298136D4" w14:textId="108310D3" w:rsidR="0003032A" w:rsidRPr="00A00187" w:rsidRDefault="0003032A" w:rsidP="0003032A">
            <w:pPr>
              <w:spacing w:line="240" w:lineRule="auto"/>
              <w:jc w:val="center"/>
              <w:rPr>
                <w:rFonts w:eastAsia="Times New Roman"/>
                <w:b/>
                <w:bCs/>
                <w:szCs w:val="24"/>
                <w:lang w:eastAsia="cs-CZ"/>
              </w:rPr>
            </w:pPr>
            <w:r w:rsidRPr="00A00187">
              <w:rPr>
                <w:rFonts w:eastAsia="Times New Roman"/>
                <w:b/>
                <w:bCs/>
                <w:szCs w:val="24"/>
                <w:lang w:eastAsia="cs-CZ"/>
              </w:rPr>
              <w:t>103,7</w:t>
            </w:r>
            <w:r w:rsidR="00CB570A">
              <w:rPr>
                <w:rFonts w:eastAsia="Times New Roman"/>
                <w:b/>
                <w:bCs/>
                <w:szCs w:val="24"/>
                <w:lang w:eastAsia="cs-CZ"/>
              </w:rPr>
              <w:t> %</w:t>
            </w:r>
          </w:p>
        </w:tc>
      </w:tr>
      <w:tr w:rsidR="0003032A" w:rsidRPr="00A00187" w14:paraId="247BF390" w14:textId="77777777" w:rsidTr="0003032A">
        <w:trPr>
          <w:trHeight w:val="330"/>
        </w:trPr>
        <w:tc>
          <w:tcPr>
            <w:tcW w:w="2036" w:type="dxa"/>
            <w:tcBorders>
              <w:top w:val="nil"/>
              <w:left w:val="nil"/>
              <w:bottom w:val="nil"/>
              <w:right w:val="nil"/>
            </w:tcBorders>
            <w:shd w:val="clear" w:color="auto" w:fill="auto"/>
            <w:noWrap/>
            <w:vAlign w:val="bottom"/>
            <w:hideMark/>
          </w:tcPr>
          <w:p w14:paraId="5E7ED6DC" w14:textId="77777777" w:rsidR="0003032A" w:rsidRPr="00A00187" w:rsidRDefault="0003032A" w:rsidP="0003032A">
            <w:pPr>
              <w:spacing w:line="240" w:lineRule="auto"/>
              <w:jc w:val="center"/>
              <w:rPr>
                <w:rFonts w:eastAsia="Times New Roman"/>
                <w:b/>
                <w:bCs/>
                <w:szCs w:val="24"/>
                <w:lang w:eastAsia="cs-CZ"/>
              </w:rPr>
            </w:pPr>
          </w:p>
        </w:tc>
        <w:tc>
          <w:tcPr>
            <w:tcW w:w="1136" w:type="dxa"/>
            <w:tcBorders>
              <w:top w:val="nil"/>
              <w:left w:val="nil"/>
              <w:bottom w:val="nil"/>
              <w:right w:val="nil"/>
            </w:tcBorders>
            <w:shd w:val="clear" w:color="auto" w:fill="auto"/>
            <w:noWrap/>
            <w:vAlign w:val="bottom"/>
            <w:hideMark/>
          </w:tcPr>
          <w:p w14:paraId="43059C46" w14:textId="77777777" w:rsidR="0003032A" w:rsidRPr="00A00187" w:rsidRDefault="0003032A" w:rsidP="0003032A">
            <w:pPr>
              <w:spacing w:line="240" w:lineRule="auto"/>
              <w:jc w:val="left"/>
              <w:rPr>
                <w:rFonts w:ascii="Times New Roman" w:eastAsia="Times New Roman" w:hAnsi="Times New Roman"/>
                <w:sz w:val="20"/>
                <w:szCs w:val="20"/>
                <w:lang w:eastAsia="cs-CZ"/>
              </w:rPr>
            </w:pPr>
          </w:p>
        </w:tc>
        <w:tc>
          <w:tcPr>
            <w:tcW w:w="775" w:type="dxa"/>
            <w:tcBorders>
              <w:top w:val="nil"/>
              <w:left w:val="nil"/>
              <w:bottom w:val="nil"/>
              <w:right w:val="nil"/>
            </w:tcBorders>
            <w:shd w:val="clear" w:color="auto" w:fill="auto"/>
            <w:noWrap/>
            <w:vAlign w:val="bottom"/>
            <w:hideMark/>
          </w:tcPr>
          <w:p w14:paraId="494907EA" w14:textId="77777777" w:rsidR="0003032A" w:rsidRPr="00A00187" w:rsidRDefault="0003032A" w:rsidP="00641DB9">
            <w:pPr>
              <w:spacing w:line="240" w:lineRule="auto"/>
              <w:jc w:val="center"/>
              <w:rPr>
                <w:rFonts w:ascii="Times New Roman" w:eastAsia="Times New Roman" w:hAnsi="Times New Roman"/>
                <w:sz w:val="20"/>
                <w:szCs w:val="20"/>
                <w:lang w:eastAsia="cs-CZ"/>
              </w:rPr>
            </w:pPr>
          </w:p>
        </w:tc>
        <w:tc>
          <w:tcPr>
            <w:tcW w:w="1144" w:type="dxa"/>
            <w:tcBorders>
              <w:top w:val="nil"/>
              <w:left w:val="nil"/>
              <w:bottom w:val="nil"/>
              <w:right w:val="nil"/>
            </w:tcBorders>
            <w:shd w:val="clear" w:color="auto" w:fill="auto"/>
            <w:noWrap/>
            <w:vAlign w:val="bottom"/>
            <w:hideMark/>
          </w:tcPr>
          <w:p w14:paraId="11C177B9" w14:textId="77777777" w:rsidR="0003032A" w:rsidRPr="00A00187" w:rsidRDefault="0003032A" w:rsidP="0003032A">
            <w:pPr>
              <w:spacing w:line="240" w:lineRule="auto"/>
              <w:jc w:val="left"/>
              <w:rPr>
                <w:rFonts w:ascii="Times New Roman" w:eastAsia="Times New Roman" w:hAnsi="Times New Roman"/>
                <w:sz w:val="20"/>
                <w:szCs w:val="20"/>
                <w:lang w:eastAsia="cs-CZ"/>
              </w:rPr>
            </w:pPr>
          </w:p>
        </w:tc>
        <w:tc>
          <w:tcPr>
            <w:tcW w:w="771" w:type="dxa"/>
            <w:tcBorders>
              <w:top w:val="nil"/>
              <w:left w:val="nil"/>
              <w:bottom w:val="nil"/>
              <w:right w:val="nil"/>
            </w:tcBorders>
            <w:shd w:val="clear" w:color="auto" w:fill="auto"/>
            <w:noWrap/>
            <w:vAlign w:val="bottom"/>
            <w:hideMark/>
          </w:tcPr>
          <w:p w14:paraId="461AB445" w14:textId="77777777" w:rsidR="0003032A" w:rsidRPr="00A00187" w:rsidRDefault="0003032A" w:rsidP="00641DB9">
            <w:pPr>
              <w:spacing w:line="240" w:lineRule="auto"/>
              <w:jc w:val="center"/>
              <w:rPr>
                <w:rFonts w:ascii="Times New Roman" w:eastAsia="Times New Roman" w:hAnsi="Times New Roman"/>
                <w:sz w:val="20"/>
                <w:szCs w:val="20"/>
                <w:lang w:eastAsia="cs-CZ"/>
              </w:rPr>
            </w:pPr>
          </w:p>
        </w:tc>
        <w:tc>
          <w:tcPr>
            <w:tcW w:w="951" w:type="dxa"/>
            <w:tcBorders>
              <w:top w:val="nil"/>
              <w:left w:val="nil"/>
              <w:bottom w:val="nil"/>
              <w:right w:val="nil"/>
            </w:tcBorders>
            <w:shd w:val="clear" w:color="auto" w:fill="auto"/>
            <w:noWrap/>
            <w:vAlign w:val="bottom"/>
            <w:hideMark/>
          </w:tcPr>
          <w:p w14:paraId="0982A086" w14:textId="77777777" w:rsidR="0003032A" w:rsidRPr="00A00187" w:rsidRDefault="0003032A" w:rsidP="0003032A">
            <w:pPr>
              <w:spacing w:line="240" w:lineRule="auto"/>
              <w:jc w:val="left"/>
              <w:rPr>
                <w:rFonts w:ascii="Times New Roman" w:eastAsia="Times New Roman" w:hAnsi="Times New Roman"/>
                <w:sz w:val="20"/>
                <w:szCs w:val="20"/>
                <w:lang w:eastAsia="cs-CZ"/>
              </w:rPr>
            </w:pPr>
          </w:p>
        </w:tc>
        <w:tc>
          <w:tcPr>
            <w:tcW w:w="811" w:type="dxa"/>
            <w:tcBorders>
              <w:top w:val="nil"/>
              <w:left w:val="nil"/>
              <w:bottom w:val="nil"/>
              <w:right w:val="nil"/>
            </w:tcBorders>
            <w:shd w:val="clear" w:color="auto" w:fill="auto"/>
            <w:noWrap/>
            <w:vAlign w:val="bottom"/>
            <w:hideMark/>
          </w:tcPr>
          <w:p w14:paraId="7354E5E8" w14:textId="77777777" w:rsidR="0003032A" w:rsidRPr="00A00187" w:rsidRDefault="0003032A" w:rsidP="00641DB9">
            <w:pPr>
              <w:spacing w:line="240" w:lineRule="auto"/>
              <w:jc w:val="center"/>
              <w:rPr>
                <w:rFonts w:ascii="Times New Roman" w:eastAsia="Times New Roman" w:hAnsi="Times New Roman"/>
                <w:sz w:val="20"/>
                <w:szCs w:val="20"/>
                <w:lang w:eastAsia="cs-CZ"/>
              </w:rPr>
            </w:pPr>
          </w:p>
        </w:tc>
        <w:tc>
          <w:tcPr>
            <w:tcW w:w="1516" w:type="dxa"/>
            <w:tcBorders>
              <w:top w:val="nil"/>
              <w:left w:val="nil"/>
              <w:bottom w:val="nil"/>
              <w:right w:val="nil"/>
            </w:tcBorders>
            <w:shd w:val="clear" w:color="auto" w:fill="auto"/>
            <w:noWrap/>
            <w:vAlign w:val="bottom"/>
            <w:hideMark/>
          </w:tcPr>
          <w:p w14:paraId="1B04DC16" w14:textId="77777777" w:rsidR="0003032A" w:rsidRPr="00A00187" w:rsidRDefault="0003032A" w:rsidP="0003032A">
            <w:pPr>
              <w:spacing w:line="240" w:lineRule="auto"/>
              <w:jc w:val="left"/>
              <w:rPr>
                <w:rFonts w:ascii="Times New Roman" w:eastAsia="Times New Roman" w:hAnsi="Times New Roman"/>
                <w:sz w:val="20"/>
                <w:szCs w:val="20"/>
                <w:lang w:eastAsia="cs-CZ"/>
              </w:rPr>
            </w:pPr>
          </w:p>
        </w:tc>
      </w:tr>
    </w:tbl>
    <w:p w14:paraId="0BCB2BDE" w14:textId="7B290821" w:rsidR="0003032A" w:rsidRPr="00A00187" w:rsidRDefault="0003032A" w:rsidP="0003032A"/>
    <w:p w14:paraId="0363F3E3" w14:textId="2B8522AF" w:rsidR="008430BD" w:rsidRPr="00A00187" w:rsidRDefault="008430BD" w:rsidP="008430BD">
      <w:pPr>
        <w:pStyle w:val="Nadpis3"/>
        <w:numPr>
          <w:ilvl w:val="2"/>
          <w:numId w:val="1"/>
        </w:numPr>
        <w:rPr>
          <w:color w:val="auto"/>
        </w:rPr>
      </w:pPr>
      <w:bookmarkStart w:id="455" w:name="_Toc106092740"/>
      <w:bookmarkStart w:id="456" w:name="_Toc109801352"/>
      <w:r w:rsidRPr="00A00187">
        <w:rPr>
          <w:color w:val="auto"/>
        </w:rPr>
        <w:t>Vyřizování v přepočtu na soudce</w:t>
      </w:r>
      <w:bookmarkEnd w:id="455"/>
      <w:bookmarkEnd w:id="456"/>
    </w:p>
    <w:p w14:paraId="1F5726EB" w14:textId="5261D0BC" w:rsidR="004A6376" w:rsidRPr="00A00187" w:rsidRDefault="004A6376" w:rsidP="004A6376">
      <w:r w:rsidRPr="00A00187">
        <w:t>Díky datům získávaným od roku 20</w:t>
      </w:r>
      <w:r w:rsidR="00D412A6" w:rsidRPr="00A00187">
        <w:t>20</w:t>
      </w:r>
      <w:r w:rsidRPr="00A00187">
        <w:t xml:space="preserve"> je možné provést přepočet na soudce i u opatrovnické agendy. </w:t>
      </w:r>
      <w:r w:rsidR="00B42DC6" w:rsidRPr="00A00187">
        <w:t>Jak vidíme v tabulce níže</w:t>
      </w:r>
      <w:r w:rsidR="00AC0467" w:rsidRPr="00A00187">
        <w:t>,</w:t>
      </w:r>
      <w:r w:rsidR="00B42DC6" w:rsidRPr="00A00187">
        <w:t xml:space="preserve"> celkový počet úvazků v opatrovnické agendě je asi 359. Dříve tato informace byla nedostupná. Data by pouze ukázala, že evidenční počet soudců na civilním </w:t>
      </w:r>
      <w:r w:rsidR="00726EC3" w:rsidRPr="00A00187">
        <w:lastRenderedPageBreak/>
        <w:t>a</w:t>
      </w:r>
      <w:r w:rsidR="00726EC3">
        <w:t> </w:t>
      </w:r>
      <w:r w:rsidR="00B42DC6" w:rsidRPr="00A00187">
        <w:t>opatrovnickém úseku je dohromady 1</w:t>
      </w:r>
      <w:r w:rsidR="00B2427B">
        <w:t> </w:t>
      </w:r>
      <w:r w:rsidR="00B42DC6" w:rsidRPr="00A00187">
        <w:t xml:space="preserve">369 soudců. </w:t>
      </w:r>
      <w:r w:rsidRPr="00A00187">
        <w:t>Bližší informace k těmto datům o počtu soudcovských úvazků se nacházejí v podkapitole 2.2.3.</w:t>
      </w:r>
    </w:p>
    <w:p w14:paraId="1279BB8B" w14:textId="041FE600" w:rsidR="0037153D" w:rsidRPr="00A00187" w:rsidRDefault="0037153D" w:rsidP="0037153D">
      <w:pPr>
        <w:pStyle w:val="Podnadpis"/>
        <w:rPr>
          <w:color w:val="auto"/>
        </w:rPr>
      </w:pPr>
      <w:bookmarkStart w:id="457" w:name="_Toc75952335"/>
      <w:bookmarkStart w:id="458" w:name="_Toc106106792"/>
      <w:bookmarkStart w:id="459" w:name="_Toc109802115"/>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30</w:t>
      </w:r>
      <w:r w:rsidRPr="00A00187">
        <w:rPr>
          <w:color w:val="auto"/>
        </w:rPr>
        <w:fldChar w:fldCharType="end"/>
      </w:r>
      <w:r w:rsidRPr="00A00187">
        <w:rPr>
          <w:color w:val="auto"/>
        </w:rPr>
        <w:t>: OS – vyřizování opatrovnických věcí na skutečný úvazek dle krajů</w:t>
      </w:r>
      <w:bookmarkEnd w:id="457"/>
      <w:bookmarkEnd w:id="458"/>
      <w:bookmarkEnd w:id="459"/>
    </w:p>
    <w:tbl>
      <w:tblPr>
        <w:tblW w:w="9214" w:type="dxa"/>
        <w:tblCellMar>
          <w:left w:w="70" w:type="dxa"/>
          <w:right w:w="70" w:type="dxa"/>
        </w:tblCellMar>
        <w:tblLook w:val="04A0" w:firstRow="1" w:lastRow="0" w:firstColumn="1" w:lastColumn="0" w:noHBand="0" w:noVBand="1"/>
      </w:tblPr>
      <w:tblGrid>
        <w:gridCol w:w="1836"/>
        <w:gridCol w:w="1283"/>
        <w:gridCol w:w="1085"/>
        <w:gridCol w:w="899"/>
        <w:gridCol w:w="1093"/>
        <w:gridCol w:w="939"/>
        <w:gridCol w:w="1076"/>
        <w:gridCol w:w="1003"/>
      </w:tblGrid>
      <w:tr w:rsidR="00AC1E67" w:rsidRPr="00A00187" w14:paraId="00795057" w14:textId="77777777" w:rsidTr="00951AD7">
        <w:trPr>
          <w:trHeight w:val="330"/>
        </w:trPr>
        <w:tc>
          <w:tcPr>
            <w:tcW w:w="1836" w:type="dxa"/>
            <w:vMerge w:val="restart"/>
            <w:tcBorders>
              <w:top w:val="double" w:sz="6" w:space="0" w:color="auto"/>
              <w:left w:val="nil"/>
              <w:bottom w:val="double" w:sz="6" w:space="0" w:color="000000"/>
              <w:right w:val="nil"/>
            </w:tcBorders>
            <w:shd w:val="clear" w:color="auto" w:fill="auto"/>
            <w:noWrap/>
            <w:vAlign w:val="center"/>
            <w:hideMark/>
          </w:tcPr>
          <w:p w14:paraId="7CE7C627" w14:textId="77777777" w:rsidR="0037153D" w:rsidRPr="00A00187" w:rsidRDefault="0037153D" w:rsidP="0037153D">
            <w:pPr>
              <w:spacing w:line="240" w:lineRule="auto"/>
              <w:jc w:val="left"/>
              <w:rPr>
                <w:rFonts w:eastAsia="Times New Roman"/>
                <w:b/>
                <w:bCs/>
                <w:szCs w:val="24"/>
                <w:lang w:eastAsia="cs-CZ"/>
              </w:rPr>
            </w:pPr>
            <w:r w:rsidRPr="00A00187">
              <w:rPr>
                <w:rFonts w:eastAsia="Times New Roman"/>
                <w:b/>
                <w:bCs/>
                <w:szCs w:val="24"/>
                <w:lang w:eastAsia="cs-CZ"/>
              </w:rPr>
              <w:t>Nadřízený soud</w:t>
            </w:r>
          </w:p>
        </w:tc>
        <w:tc>
          <w:tcPr>
            <w:tcW w:w="1283" w:type="dxa"/>
            <w:vMerge w:val="restart"/>
            <w:tcBorders>
              <w:top w:val="double" w:sz="6" w:space="0" w:color="auto"/>
              <w:left w:val="nil"/>
              <w:bottom w:val="double" w:sz="6" w:space="0" w:color="000000"/>
              <w:right w:val="nil"/>
            </w:tcBorders>
            <w:shd w:val="clear" w:color="auto" w:fill="auto"/>
            <w:vAlign w:val="center"/>
            <w:hideMark/>
          </w:tcPr>
          <w:p w14:paraId="62A9C65E" w14:textId="77777777"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095" w:type="dxa"/>
            <w:gridSpan w:val="6"/>
            <w:tcBorders>
              <w:top w:val="double" w:sz="6" w:space="0" w:color="auto"/>
              <w:left w:val="nil"/>
              <w:bottom w:val="nil"/>
              <w:right w:val="nil"/>
            </w:tcBorders>
            <w:shd w:val="clear" w:color="auto" w:fill="auto"/>
            <w:noWrap/>
            <w:vAlign w:val="center"/>
            <w:hideMark/>
          </w:tcPr>
          <w:p w14:paraId="262BFC43" w14:textId="5BB04FD3" w:rsidR="0037153D" w:rsidRPr="00A00187" w:rsidRDefault="008237B0" w:rsidP="0037153D">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AC1E67" w:rsidRPr="00A00187" w14:paraId="75E34A1D" w14:textId="77777777" w:rsidTr="00894BDD">
        <w:trPr>
          <w:trHeight w:val="330"/>
        </w:trPr>
        <w:tc>
          <w:tcPr>
            <w:tcW w:w="1836" w:type="dxa"/>
            <w:vMerge/>
            <w:tcBorders>
              <w:top w:val="double" w:sz="6" w:space="0" w:color="auto"/>
              <w:left w:val="nil"/>
              <w:bottom w:val="double" w:sz="6" w:space="0" w:color="000000"/>
              <w:right w:val="nil"/>
            </w:tcBorders>
            <w:vAlign w:val="center"/>
            <w:hideMark/>
          </w:tcPr>
          <w:p w14:paraId="490BBD59" w14:textId="77777777" w:rsidR="0037153D" w:rsidRPr="00A00187" w:rsidRDefault="0037153D" w:rsidP="0037153D">
            <w:pPr>
              <w:spacing w:line="240" w:lineRule="auto"/>
              <w:jc w:val="left"/>
              <w:rPr>
                <w:rFonts w:eastAsia="Times New Roman"/>
                <w:b/>
                <w:bCs/>
                <w:szCs w:val="24"/>
                <w:lang w:eastAsia="cs-CZ"/>
              </w:rPr>
            </w:pPr>
          </w:p>
        </w:tc>
        <w:tc>
          <w:tcPr>
            <w:tcW w:w="1283" w:type="dxa"/>
            <w:vMerge/>
            <w:tcBorders>
              <w:top w:val="double" w:sz="6" w:space="0" w:color="auto"/>
              <w:left w:val="nil"/>
              <w:bottom w:val="double" w:sz="6" w:space="0" w:color="000000"/>
              <w:right w:val="nil"/>
            </w:tcBorders>
            <w:vAlign w:val="center"/>
            <w:hideMark/>
          </w:tcPr>
          <w:p w14:paraId="626BCB75" w14:textId="77777777" w:rsidR="0037153D" w:rsidRPr="00A00187" w:rsidRDefault="0037153D" w:rsidP="0037153D">
            <w:pPr>
              <w:spacing w:line="240" w:lineRule="auto"/>
              <w:jc w:val="left"/>
              <w:rPr>
                <w:rFonts w:eastAsia="Times New Roman"/>
                <w:b/>
                <w:bCs/>
                <w:szCs w:val="24"/>
                <w:lang w:eastAsia="cs-CZ"/>
              </w:rPr>
            </w:pPr>
          </w:p>
        </w:tc>
        <w:tc>
          <w:tcPr>
            <w:tcW w:w="1984" w:type="dxa"/>
            <w:gridSpan w:val="2"/>
            <w:tcBorders>
              <w:top w:val="nil"/>
              <w:left w:val="nil"/>
              <w:bottom w:val="double" w:sz="6" w:space="0" w:color="auto"/>
              <w:right w:val="nil"/>
            </w:tcBorders>
            <w:shd w:val="clear" w:color="auto" w:fill="auto"/>
            <w:noWrap/>
            <w:vAlign w:val="center"/>
            <w:hideMark/>
          </w:tcPr>
          <w:p w14:paraId="5C6941C9" w14:textId="77777777"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03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D0DA6A4" w14:textId="77777777"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2079" w:type="dxa"/>
            <w:gridSpan w:val="2"/>
            <w:tcBorders>
              <w:top w:val="nil"/>
              <w:left w:val="nil"/>
              <w:bottom w:val="double" w:sz="6" w:space="0" w:color="auto"/>
              <w:right w:val="nil"/>
            </w:tcBorders>
            <w:shd w:val="clear" w:color="auto" w:fill="auto"/>
            <w:noWrap/>
            <w:vAlign w:val="center"/>
            <w:hideMark/>
          </w:tcPr>
          <w:p w14:paraId="1FBECDA1" w14:textId="77777777"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680A3737" w14:textId="77777777" w:rsidTr="00894BDD">
        <w:trPr>
          <w:trHeight w:val="330"/>
        </w:trPr>
        <w:tc>
          <w:tcPr>
            <w:tcW w:w="1836" w:type="dxa"/>
            <w:tcBorders>
              <w:top w:val="single" w:sz="4" w:space="0" w:color="auto"/>
              <w:left w:val="nil"/>
              <w:bottom w:val="single" w:sz="4" w:space="0" w:color="auto"/>
              <w:right w:val="nil"/>
            </w:tcBorders>
            <w:shd w:val="clear" w:color="auto" w:fill="auto"/>
            <w:noWrap/>
            <w:vAlign w:val="bottom"/>
            <w:hideMark/>
          </w:tcPr>
          <w:p w14:paraId="2B9F3651"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MS Praha</w:t>
            </w:r>
          </w:p>
        </w:tc>
        <w:tc>
          <w:tcPr>
            <w:tcW w:w="1283" w:type="dxa"/>
            <w:tcBorders>
              <w:top w:val="single" w:sz="4" w:space="0" w:color="auto"/>
              <w:left w:val="nil"/>
              <w:bottom w:val="single" w:sz="4" w:space="0" w:color="auto"/>
              <w:right w:val="nil"/>
            </w:tcBorders>
            <w:shd w:val="clear" w:color="auto" w:fill="auto"/>
            <w:noWrap/>
            <w:vAlign w:val="bottom"/>
            <w:hideMark/>
          </w:tcPr>
          <w:p w14:paraId="15F39DF7" w14:textId="77777777"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39</w:t>
            </w:r>
          </w:p>
        </w:tc>
        <w:tc>
          <w:tcPr>
            <w:tcW w:w="1085" w:type="dxa"/>
            <w:tcBorders>
              <w:top w:val="single" w:sz="4" w:space="0" w:color="auto"/>
              <w:left w:val="nil"/>
              <w:bottom w:val="single" w:sz="4" w:space="0" w:color="auto"/>
              <w:right w:val="nil"/>
            </w:tcBorders>
            <w:shd w:val="clear" w:color="auto" w:fill="auto"/>
            <w:noWrap/>
            <w:vAlign w:val="bottom"/>
            <w:hideMark/>
          </w:tcPr>
          <w:p w14:paraId="3DFFCCB8" w14:textId="3D1299A6"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371,90</w:t>
            </w:r>
          </w:p>
        </w:tc>
        <w:tc>
          <w:tcPr>
            <w:tcW w:w="899" w:type="dxa"/>
            <w:tcBorders>
              <w:top w:val="single" w:sz="4" w:space="0" w:color="auto"/>
              <w:left w:val="nil"/>
              <w:bottom w:val="single" w:sz="4" w:space="0" w:color="auto"/>
              <w:right w:val="nil"/>
            </w:tcBorders>
            <w:shd w:val="clear" w:color="auto" w:fill="auto"/>
            <w:noWrap/>
            <w:vAlign w:val="center"/>
            <w:hideMark/>
          </w:tcPr>
          <w:p w14:paraId="195D8D55" w14:textId="125DB5C0"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093" w:type="dxa"/>
            <w:tcBorders>
              <w:top w:val="nil"/>
              <w:left w:val="single" w:sz="4" w:space="0" w:color="auto"/>
              <w:bottom w:val="single" w:sz="4" w:space="0" w:color="auto"/>
              <w:right w:val="nil"/>
            </w:tcBorders>
            <w:shd w:val="clear" w:color="auto" w:fill="auto"/>
            <w:noWrap/>
            <w:vAlign w:val="bottom"/>
            <w:hideMark/>
          </w:tcPr>
          <w:p w14:paraId="3503AB3B" w14:textId="6427C049"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396,03</w:t>
            </w:r>
          </w:p>
        </w:tc>
        <w:tc>
          <w:tcPr>
            <w:tcW w:w="939" w:type="dxa"/>
            <w:tcBorders>
              <w:top w:val="nil"/>
              <w:left w:val="nil"/>
              <w:bottom w:val="single" w:sz="4" w:space="0" w:color="auto"/>
              <w:right w:val="single" w:sz="4" w:space="0" w:color="auto"/>
            </w:tcBorders>
            <w:shd w:val="clear" w:color="auto" w:fill="auto"/>
            <w:noWrap/>
            <w:vAlign w:val="center"/>
            <w:hideMark/>
          </w:tcPr>
          <w:p w14:paraId="68CCB67F" w14:textId="52E406AE"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76" w:type="dxa"/>
            <w:tcBorders>
              <w:top w:val="single" w:sz="4" w:space="0" w:color="auto"/>
              <w:left w:val="nil"/>
              <w:bottom w:val="single" w:sz="4" w:space="0" w:color="auto"/>
              <w:right w:val="nil"/>
            </w:tcBorders>
            <w:shd w:val="clear" w:color="auto" w:fill="auto"/>
            <w:noWrap/>
            <w:vAlign w:val="bottom"/>
            <w:hideMark/>
          </w:tcPr>
          <w:p w14:paraId="10820B98" w14:textId="3B2309E2"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109,85</w:t>
            </w:r>
          </w:p>
        </w:tc>
        <w:tc>
          <w:tcPr>
            <w:tcW w:w="1003" w:type="dxa"/>
            <w:tcBorders>
              <w:top w:val="single" w:sz="4" w:space="0" w:color="auto"/>
              <w:left w:val="nil"/>
              <w:bottom w:val="single" w:sz="4" w:space="0" w:color="auto"/>
              <w:right w:val="nil"/>
            </w:tcBorders>
            <w:shd w:val="clear" w:color="auto" w:fill="auto"/>
            <w:noWrap/>
            <w:vAlign w:val="center"/>
            <w:hideMark/>
          </w:tcPr>
          <w:p w14:paraId="68037772" w14:textId="03B3F76C"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r>
      <w:tr w:rsidR="00AC1E67" w:rsidRPr="00A00187" w14:paraId="30693CF8" w14:textId="77777777" w:rsidTr="00894BDD">
        <w:trPr>
          <w:trHeight w:val="315"/>
        </w:trPr>
        <w:tc>
          <w:tcPr>
            <w:tcW w:w="1836" w:type="dxa"/>
            <w:tcBorders>
              <w:top w:val="nil"/>
              <w:left w:val="nil"/>
              <w:bottom w:val="single" w:sz="4" w:space="0" w:color="auto"/>
              <w:right w:val="nil"/>
            </w:tcBorders>
            <w:shd w:val="clear" w:color="auto" w:fill="auto"/>
            <w:noWrap/>
            <w:vAlign w:val="bottom"/>
            <w:hideMark/>
          </w:tcPr>
          <w:p w14:paraId="6AF51AE9"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KS Praha</w:t>
            </w:r>
          </w:p>
        </w:tc>
        <w:tc>
          <w:tcPr>
            <w:tcW w:w="1283" w:type="dxa"/>
            <w:tcBorders>
              <w:top w:val="nil"/>
              <w:left w:val="nil"/>
              <w:bottom w:val="single" w:sz="4" w:space="0" w:color="auto"/>
              <w:right w:val="nil"/>
            </w:tcBorders>
            <w:shd w:val="clear" w:color="auto" w:fill="auto"/>
            <w:noWrap/>
            <w:vAlign w:val="bottom"/>
            <w:hideMark/>
          </w:tcPr>
          <w:p w14:paraId="581645FE" w14:textId="6A4FDFB1"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49,89</w:t>
            </w:r>
          </w:p>
        </w:tc>
        <w:tc>
          <w:tcPr>
            <w:tcW w:w="1085" w:type="dxa"/>
            <w:tcBorders>
              <w:top w:val="nil"/>
              <w:left w:val="nil"/>
              <w:bottom w:val="single" w:sz="4" w:space="0" w:color="auto"/>
              <w:right w:val="nil"/>
            </w:tcBorders>
            <w:shd w:val="clear" w:color="auto" w:fill="auto"/>
            <w:noWrap/>
            <w:vAlign w:val="bottom"/>
            <w:hideMark/>
          </w:tcPr>
          <w:p w14:paraId="69880A19" w14:textId="23971B21"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378,29</w:t>
            </w:r>
          </w:p>
        </w:tc>
        <w:tc>
          <w:tcPr>
            <w:tcW w:w="899" w:type="dxa"/>
            <w:tcBorders>
              <w:top w:val="nil"/>
              <w:left w:val="nil"/>
              <w:bottom w:val="single" w:sz="4" w:space="0" w:color="auto"/>
              <w:right w:val="nil"/>
            </w:tcBorders>
            <w:shd w:val="clear" w:color="auto" w:fill="auto"/>
            <w:noWrap/>
            <w:vAlign w:val="center"/>
            <w:hideMark/>
          </w:tcPr>
          <w:p w14:paraId="22F83F58" w14:textId="301241F2"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93" w:type="dxa"/>
            <w:tcBorders>
              <w:top w:val="nil"/>
              <w:left w:val="single" w:sz="4" w:space="0" w:color="auto"/>
              <w:bottom w:val="single" w:sz="4" w:space="0" w:color="auto"/>
              <w:right w:val="nil"/>
            </w:tcBorders>
            <w:shd w:val="clear" w:color="auto" w:fill="auto"/>
            <w:noWrap/>
            <w:vAlign w:val="bottom"/>
            <w:hideMark/>
          </w:tcPr>
          <w:p w14:paraId="28A2D9C7" w14:textId="37956881"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392,38</w:t>
            </w:r>
          </w:p>
        </w:tc>
        <w:tc>
          <w:tcPr>
            <w:tcW w:w="939" w:type="dxa"/>
            <w:tcBorders>
              <w:top w:val="nil"/>
              <w:left w:val="nil"/>
              <w:bottom w:val="single" w:sz="4" w:space="0" w:color="auto"/>
              <w:right w:val="single" w:sz="4" w:space="0" w:color="auto"/>
            </w:tcBorders>
            <w:shd w:val="clear" w:color="auto" w:fill="auto"/>
            <w:noWrap/>
            <w:vAlign w:val="center"/>
            <w:hideMark/>
          </w:tcPr>
          <w:p w14:paraId="0A8973B9" w14:textId="10E11F79"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76" w:type="dxa"/>
            <w:tcBorders>
              <w:top w:val="nil"/>
              <w:left w:val="nil"/>
              <w:bottom w:val="single" w:sz="4" w:space="0" w:color="auto"/>
              <w:right w:val="nil"/>
            </w:tcBorders>
            <w:shd w:val="clear" w:color="auto" w:fill="auto"/>
            <w:noWrap/>
            <w:vAlign w:val="bottom"/>
            <w:hideMark/>
          </w:tcPr>
          <w:p w14:paraId="56293E2C" w14:textId="4364CFDC"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83,90</w:t>
            </w:r>
          </w:p>
        </w:tc>
        <w:tc>
          <w:tcPr>
            <w:tcW w:w="1003" w:type="dxa"/>
            <w:tcBorders>
              <w:top w:val="nil"/>
              <w:left w:val="nil"/>
              <w:bottom w:val="single" w:sz="4" w:space="0" w:color="auto"/>
              <w:right w:val="nil"/>
            </w:tcBorders>
            <w:shd w:val="clear" w:color="auto" w:fill="auto"/>
            <w:noWrap/>
            <w:vAlign w:val="center"/>
            <w:hideMark/>
          </w:tcPr>
          <w:p w14:paraId="07430025" w14:textId="2A27A98D"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r>
      <w:tr w:rsidR="00AC1E67" w:rsidRPr="00A00187" w14:paraId="61E3D10F" w14:textId="77777777" w:rsidTr="00894BDD">
        <w:trPr>
          <w:trHeight w:val="315"/>
        </w:trPr>
        <w:tc>
          <w:tcPr>
            <w:tcW w:w="1836" w:type="dxa"/>
            <w:tcBorders>
              <w:top w:val="nil"/>
              <w:left w:val="nil"/>
              <w:bottom w:val="single" w:sz="4" w:space="0" w:color="auto"/>
              <w:right w:val="nil"/>
            </w:tcBorders>
            <w:shd w:val="clear" w:color="auto" w:fill="auto"/>
            <w:noWrap/>
            <w:vAlign w:val="bottom"/>
            <w:hideMark/>
          </w:tcPr>
          <w:p w14:paraId="5054D268"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KS Č. Budějovice</w:t>
            </w:r>
          </w:p>
        </w:tc>
        <w:tc>
          <w:tcPr>
            <w:tcW w:w="1283" w:type="dxa"/>
            <w:tcBorders>
              <w:top w:val="nil"/>
              <w:left w:val="nil"/>
              <w:bottom w:val="single" w:sz="4" w:space="0" w:color="auto"/>
              <w:right w:val="nil"/>
            </w:tcBorders>
            <w:shd w:val="clear" w:color="auto" w:fill="auto"/>
            <w:noWrap/>
            <w:vAlign w:val="bottom"/>
            <w:hideMark/>
          </w:tcPr>
          <w:p w14:paraId="6118B13A" w14:textId="11107008"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23,1</w:t>
            </w:r>
          </w:p>
        </w:tc>
        <w:tc>
          <w:tcPr>
            <w:tcW w:w="1085" w:type="dxa"/>
            <w:tcBorders>
              <w:top w:val="nil"/>
              <w:left w:val="nil"/>
              <w:bottom w:val="single" w:sz="4" w:space="0" w:color="auto"/>
              <w:right w:val="nil"/>
            </w:tcBorders>
            <w:shd w:val="clear" w:color="auto" w:fill="auto"/>
            <w:noWrap/>
            <w:vAlign w:val="bottom"/>
            <w:hideMark/>
          </w:tcPr>
          <w:p w14:paraId="0B53E8EC" w14:textId="17A4C21F"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359,48</w:t>
            </w:r>
          </w:p>
        </w:tc>
        <w:tc>
          <w:tcPr>
            <w:tcW w:w="899" w:type="dxa"/>
            <w:tcBorders>
              <w:top w:val="nil"/>
              <w:left w:val="nil"/>
              <w:bottom w:val="single" w:sz="4" w:space="0" w:color="auto"/>
              <w:right w:val="nil"/>
            </w:tcBorders>
            <w:shd w:val="clear" w:color="auto" w:fill="auto"/>
            <w:noWrap/>
            <w:vAlign w:val="center"/>
            <w:hideMark/>
          </w:tcPr>
          <w:p w14:paraId="2D1B59F6" w14:textId="4778A76C"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3" w:type="dxa"/>
            <w:tcBorders>
              <w:top w:val="nil"/>
              <w:left w:val="single" w:sz="4" w:space="0" w:color="auto"/>
              <w:bottom w:val="single" w:sz="4" w:space="0" w:color="auto"/>
              <w:right w:val="nil"/>
            </w:tcBorders>
            <w:shd w:val="clear" w:color="auto" w:fill="auto"/>
            <w:noWrap/>
            <w:vAlign w:val="bottom"/>
            <w:hideMark/>
          </w:tcPr>
          <w:p w14:paraId="0D56FD00" w14:textId="7721D70D"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371,90</w:t>
            </w:r>
          </w:p>
        </w:tc>
        <w:tc>
          <w:tcPr>
            <w:tcW w:w="939" w:type="dxa"/>
            <w:tcBorders>
              <w:top w:val="nil"/>
              <w:left w:val="nil"/>
              <w:bottom w:val="single" w:sz="4" w:space="0" w:color="auto"/>
              <w:right w:val="single" w:sz="4" w:space="0" w:color="auto"/>
            </w:tcBorders>
            <w:shd w:val="clear" w:color="auto" w:fill="auto"/>
            <w:noWrap/>
            <w:vAlign w:val="center"/>
            <w:hideMark/>
          </w:tcPr>
          <w:p w14:paraId="5D34992D" w14:textId="27812BC4"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1076" w:type="dxa"/>
            <w:tcBorders>
              <w:top w:val="nil"/>
              <w:left w:val="nil"/>
              <w:bottom w:val="single" w:sz="4" w:space="0" w:color="auto"/>
              <w:right w:val="nil"/>
            </w:tcBorders>
            <w:shd w:val="clear" w:color="auto" w:fill="auto"/>
            <w:noWrap/>
            <w:vAlign w:val="bottom"/>
            <w:hideMark/>
          </w:tcPr>
          <w:p w14:paraId="45E54BAF" w14:textId="13D765DE"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70,39</w:t>
            </w:r>
          </w:p>
        </w:tc>
        <w:tc>
          <w:tcPr>
            <w:tcW w:w="1003" w:type="dxa"/>
            <w:tcBorders>
              <w:top w:val="nil"/>
              <w:left w:val="nil"/>
              <w:bottom w:val="single" w:sz="4" w:space="0" w:color="auto"/>
              <w:right w:val="nil"/>
            </w:tcBorders>
            <w:shd w:val="clear" w:color="auto" w:fill="auto"/>
            <w:noWrap/>
            <w:vAlign w:val="center"/>
            <w:hideMark/>
          </w:tcPr>
          <w:p w14:paraId="0895477A" w14:textId="4EA04C5B"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r>
      <w:tr w:rsidR="00AC1E67" w:rsidRPr="00A00187" w14:paraId="6EED73DF" w14:textId="77777777" w:rsidTr="00894BDD">
        <w:trPr>
          <w:trHeight w:val="315"/>
        </w:trPr>
        <w:tc>
          <w:tcPr>
            <w:tcW w:w="1836" w:type="dxa"/>
            <w:tcBorders>
              <w:top w:val="nil"/>
              <w:left w:val="nil"/>
              <w:bottom w:val="single" w:sz="4" w:space="0" w:color="auto"/>
              <w:right w:val="nil"/>
            </w:tcBorders>
            <w:shd w:val="clear" w:color="auto" w:fill="auto"/>
            <w:noWrap/>
            <w:vAlign w:val="bottom"/>
            <w:hideMark/>
          </w:tcPr>
          <w:p w14:paraId="7BD8200F"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KS Plzeň</w:t>
            </w:r>
          </w:p>
        </w:tc>
        <w:tc>
          <w:tcPr>
            <w:tcW w:w="1283" w:type="dxa"/>
            <w:tcBorders>
              <w:top w:val="nil"/>
              <w:left w:val="nil"/>
              <w:bottom w:val="single" w:sz="4" w:space="0" w:color="auto"/>
              <w:right w:val="nil"/>
            </w:tcBorders>
            <w:shd w:val="clear" w:color="auto" w:fill="auto"/>
            <w:noWrap/>
            <w:vAlign w:val="bottom"/>
            <w:hideMark/>
          </w:tcPr>
          <w:p w14:paraId="2D52EA11" w14:textId="43F04F07"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32,75</w:t>
            </w:r>
          </w:p>
        </w:tc>
        <w:tc>
          <w:tcPr>
            <w:tcW w:w="1085" w:type="dxa"/>
            <w:tcBorders>
              <w:top w:val="nil"/>
              <w:left w:val="nil"/>
              <w:bottom w:val="single" w:sz="4" w:space="0" w:color="auto"/>
              <w:right w:val="nil"/>
            </w:tcBorders>
            <w:shd w:val="clear" w:color="auto" w:fill="auto"/>
            <w:noWrap/>
            <w:vAlign w:val="bottom"/>
            <w:hideMark/>
          </w:tcPr>
          <w:p w14:paraId="60EA6983" w14:textId="32333770"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351,45</w:t>
            </w:r>
          </w:p>
        </w:tc>
        <w:tc>
          <w:tcPr>
            <w:tcW w:w="899" w:type="dxa"/>
            <w:tcBorders>
              <w:top w:val="nil"/>
              <w:left w:val="nil"/>
              <w:bottom w:val="single" w:sz="4" w:space="0" w:color="auto"/>
              <w:right w:val="nil"/>
            </w:tcBorders>
            <w:shd w:val="clear" w:color="auto" w:fill="auto"/>
            <w:noWrap/>
            <w:vAlign w:val="center"/>
            <w:hideMark/>
          </w:tcPr>
          <w:p w14:paraId="1BDEB08A" w14:textId="7ABBB126"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93" w:type="dxa"/>
            <w:tcBorders>
              <w:top w:val="nil"/>
              <w:left w:val="single" w:sz="4" w:space="0" w:color="auto"/>
              <w:bottom w:val="single" w:sz="4" w:space="0" w:color="auto"/>
              <w:right w:val="nil"/>
            </w:tcBorders>
            <w:shd w:val="clear" w:color="auto" w:fill="auto"/>
            <w:noWrap/>
            <w:vAlign w:val="bottom"/>
            <w:hideMark/>
          </w:tcPr>
          <w:p w14:paraId="492771D4" w14:textId="1D82D890"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362,17</w:t>
            </w:r>
          </w:p>
        </w:tc>
        <w:tc>
          <w:tcPr>
            <w:tcW w:w="939" w:type="dxa"/>
            <w:tcBorders>
              <w:top w:val="nil"/>
              <w:left w:val="nil"/>
              <w:bottom w:val="single" w:sz="4" w:space="0" w:color="auto"/>
              <w:right w:val="single" w:sz="4" w:space="0" w:color="auto"/>
            </w:tcBorders>
            <w:shd w:val="clear" w:color="auto" w:fill="auto"/>
            <w:noWrap/>
            <w:vAlign w:val="center"/>
            <w:hideMark/>
          </w:tcPr>
          <w:p w14:paraId="0946A7BD" w14:textId="2178CAA2"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76" w:type="dxa"/>
            <w:tcBorders>
              <w:top w:val="nil"/>
              <w:left w:val="nil"/>
              <w:bottom w:val="single" w:sz="4" w:space="0" w:color="auto"/>
              <w:right w:val="nil"/>
            </w:tcBorders>
            <w:shd w:val="clear" w:color="auto" w:fill="auto"/>
            <w:noWrap/>
            <w:vAlign w:val="bottom"/>
            <w:hideMark/>
          </w:tcPr>
          <w:p w14:paraId="769DA957" w14:textId="7C61E2C6"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92,43</w:t>
            </w:r>
          </w:p>
        </w:tc>
        <w:tc>
          <w:tcPr>
            <w:tcW w:w="1003" w:type="dxa"/>
            <w:tcBorders>
              <w:top w:val="nil"/>
              <w:left w:val="nil"/>
              <w:bottom w:val="single" w:sz="4" w:space="0" w:color="auto"/>
              <w:right w:val="nil"/>
            </w:tcBorders>
            <w:shd w:val="clear" w:color="auto" w:fill="auto"/>
            <w:noWrap/>
            <w:vAlign w:val="center"/>
            <w:hideMark/>
          </w:tcPr>
          <w:p w14:paraId="19766AD7" w14:textId="769E197E"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3D82C036" w14:textId="77777777" w:rsidTr="00894BDD">
        <w:trPr>
          <w:trHeight w:val="315"/>
        </w:trPr>
        <w:tc>
          <w:tcPr>
            <w:tcW w:w="1836" w:type="dxa"/>
            <w:tcBorders>
              <w:top w:val="nil"/>
              <w:left w:val="nil"/>
              <w:bottom w:val="single" w:sz="4" w:space="0" w:color="auto"/>
              <w:right w:val="nil"/>
            </w:tcBorders>
            <w:shd w:val="clear" w:color="auto" w:fill="auto"/>
            <w:noWrap/>
            <w:vAlign w:val="bottom"/>
            <w:hideMark/>
          </w:tcPr>
          <w:p w14:paraId="268333F0"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KS Ústí n. Labem</w:t>
            </w:r>
          </w:p>
        </w:tc>
        <w:tc>
          <w:tcPr>
            <w:tcW w:w="1283" w:type="dxa"/>
            <w:tcBorders>
              <w:top w:val="nil"/>
              <w:left w:val="nil"/>
              <w:bottom w:val="single" w:sz="4" w:space="0" w:color="auto"/>
              <w:right w:val="nil"/>
            </w:tcBorders>
            <w:shd w:val="clear" w:color="auto" w:fill="auto"/>
            <w:noWrap/>
            <w:vAlign w:val="bottom"/>
            <w:hideMark/>
          </w:tcPr>
          <w:p w14:paraId="126C56D5" w14:textId="57CF2F1E"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48,87</w:t>
            </w:r>
          </w:p>
        </w:tc>
        <w:tc>
          <w:tcPr>
            <w:tcW w:w="1085" w:type="dxa"/>
            <w:tcBorders>
              <w:top w:val="nil"/>
              <w:left w:val="nil"/>
              <w:bottom w:val="single" w:sz="4" w:space="0" w:color="auto"/>
              <w:right w:val="nil"/>
            </w:tcBorders>
            <w:shd w:val="clear" w:color="auto" w:fill="auto"/>
            <w:noWrap/>
            <w:vAlign w:val="bottom"/>
            <w:hideMark/>
          </w:tcPr>
          <w:p w14:paraId="614BD848" w14:textId="7D91500F"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333,66</w:t>
            </w:r>
          </w:p>
        </w:tc>
        <w:tc>
          <w:tcPr>
            <w:tcW w:w="899" w:type="dxa"/>
            <w:tcBorders>
              <w:top w:val="nil"/>
              <w:left w:val="nil"/>
              <w:bottom w:val="single" w:sz="4" w:space="0" w:color="auto"/>
              <w:right w:val="nil"/>
            </w:tcBorders>
            <w:shd w:val="clear" w:color="auto" w:fill="auto"/>
            <w:noWrap/>
            <w:vAlign w:val="center"/>
            <w:hideMark/>
          </w:tcPr>
          <w:p w14:paraId="35B5371F" w14:textId="0D87F39F"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93" w:type="dxa"/>
            <w:tcBorders>
              <w:top w:val="nil"/>
              <w:left w:val="single" w:sz="4" w:space="0" w:color="auto"/>
              <w:bottom w:val="single" w:sz="4" w:space="0" w:color="auto"/>
              <w:right w:val="nil"/>
            </w:tcBorders>
            <w:shd w:val="clear" w:color="auto" w:fill="auto"/>
            <w:noWrap/>
            <w:vAlign w:val="bottom"/>
            <w:hideMark/>
          </w:tcPr>
          <w:p w14:paraId="0410687F" w14:textId="4217ACA7"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346,08</w:t>
            </w:r>
          </w:p>
        </w:tc>
        <w:tc>
          <w:tcPr>
            <w:tcW w:w="939" w:type="dxa"/>
            <w:tcBorders>
              <w:top w:val="nil"/>
              <w:left w:val="nil"/>
              <w:bottom w:val="single" w:sz="4" w:space="0" w:color="auto"/>
              <w:right w:val="single" w:sz="4" w:space="0" w:color="auto"/>
            </w:tcBorders>
            <w:shd w:val="clear" w:color="auto" w:fill="auto"/>
            <w:noWrap/>
            <w:vAlign w:val="center"/>
            <w:hideMark/>
          </w:tcPr>
          <w:p w14:paraId="04858783" w14:textId="320266D2"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76" w:type="dxa"/>
            <w:tcBorders>
              <w:top w:val="nil"/>
              <w:left w:val="nil"/>
              <w:bottom w:val="single" w:sz="4" w:space="0" w:color="auto"/>
              <w:right w:val="nil"/>
            </w:tcBorders>
            <w:shd w:val="clear" w:color="auto" w:fill="auto"/>
            <w:noWrap/>
            <w:vAlign w:val="bottom"/>
            <w:hideMark/>
          </w:tcPr>
          <w:p w14:paraId="11AC68FC" w14:textId="4B8943D1"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110,25</w:t>
            </w:r>
          </w:p>
        </w:tc>
        <w:tc>
          <w:tcPr>
            <w:tcW w:w="1003" w:type="dxa"/>
            <w:tcBorders>
              <w:top w:val="nil"/>
              <w:left w:val="nil"/>
              <w:bottom w:val="single" w:sz="4" w:space="0" w:color="auto"/>
              <w:right w:val="nil"/>
            </w:tcBorders>
            <w:shd w:val="clear" w:color="auto" w:fill="auto"/>
            <w:noWrap/>
            <w:vAlign w:val="center"/>
            <w:hideMark/>
          </w:tcPr>
          <w:p w14:paraId="1E444E76" w14:textId="2A450032"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4F557590" w14:textId="77777777" w:rsidTr="00894BDD">
        <w:trPr>
          <w:trHeight w:val="315"/>
        </w:trPr>
        <w:tc>
          <w:tcPr>
            <w:tcW w:w="1836" w:type="dxa"/>
            <w:tcBorders>
              <w:top w:val="nil"/>
              <w:left w:val="nil"/>
              <w:bottom w:val="single" w:sz="4" w:space="0" w:color="auto"/>
              <w:right w:val="nil"/>
            </w:tcBorders>
            <w:shd w:val="clear" w:color="auto" w:fill="auto"/>
            <w:noWrap/>
            <w:vAlign w:val="bottom"/>
            <w:hideMark/>
          </w:tcPr>
          <w:p w14:paraId="5C14AC0F"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KS Hr. Králové</w:t>
            </w:r>
          </w:p>
        </w:tc>
        <w:tc>
          <w:tcPr>
            <w:tcW w:w="1283" w:type="dxa"/>
            <w:tcBorders>
              <w:top w:val="nil"/>
              <w:left w:val="nil"/>
              <w:bottom w:val="single" w:sz="4" w:space="0" w:color="auto"/>
              <w:right w:val="nil"/>
            </w:tcBorders>
            <w:shd w:val="clear" w:color="auto" w:fill="auto"/>
            <w:noWrap/>
            <w:vAlign w:val="bottom"/>
            <w:hideMark/>
          </w:tcPr>
          <w:p w14:paraId="2019B07D" w14:textId="2D94AB31"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41,35</w:t>
            </w:r>
          </w:p>
        </w:tc>
        <w:tc>
          <w:tcPr>
            <w:tcW w:w="1085" w:type="dxa"/>
            <w:tcBorders>
              <w:top w:val="nil"/>
              <w:left w:val="nil"/>
              <w:bottom w:val="single" w:sz="4" w:space="0" w:color="auto"/>
              <w:right w:val="nil"/>
            </w:tcBorders>
            <w:shd w:val="clear" w:color="auto" w:fill="auto"/>
            <w:noWrap/>
            <w:vAlign w:val="bottom"/>
            <w:hideMark/>
          </w:tcPr>
          <w:p w14:paraId="14947A9D" w14:textId="0FD78AFB"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315,74</w:t>
            </w:r>
          </w:p>
        </w:tc>
        <w:tc>
          <w:tcPr>
            <w:tcW w:w="899" w:type="dxa"/>
            <w:tcBorders>
              <w:top w:val="nil"/>
              <w:left w:val="nil"/>
              <w:bottom w:val="single" w:sz="4" w:space="0" w:color="auto"/>
              <w:right w:val="nil"/>
            </w:tcBorders>
            <w:shd w:val="clear" w:color="auto" w:fill="auto"/>
            <w:noWrap/>
            <w:vAlign w:val="center"/>
            <w:hideMark/>
          </w:tcPr>
          <w:p w14:paraId="1F308C4A" w14:textId="3399D522"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093" w:type="dxa"/>
            <w:tcBorders>
              <w:top w:val="nil"/>
              <w:left w:val="single" w:sz="4" w:space="0" w:color="auto"/>
              <w:bottom w:val="single" w:sz="4" w:space="0" w:color="auto"/>
              <w:right w:val="nil"/>
            </w:tcBorders>
            <w:shd w:val="clear" w:color="auto" w:fill="auto"/>
            <w:noWrap/>
            <w:vAlign w:val="bottom"/>
            <w:hideMark/>
          </w:tcPr>
          <w:p w14:paraId="2482AFA7" w14:textId="7B9E4CBC"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326,17</w:t>
            </w:r>
          </w:p>
        </w:tc>
        <w:tc>
          <w:tcPr>
            <w:tcW w:w="939" w:type="dxa"/>
            <w:tcBorders>
              <w:top w:val="nil"/>
              <w:left w:val="nil"/>
              <w:bottom w:val="single" w:sz="4" w:space="0" w:color="auto"/>
              <w:right w:val="single" w:sz="4" w:space="0" w:color="auto"/>
            </w:tcBorders>
            <w:shd w:val="clear" w:color="auto" w:fill="auto"/>
            <w:noWrap/>
            <w:vAlign w:val="center"/>
            <w:hideMark/>
          </w:tcPr>
          <w:p w14:paraId="4499590F" w14:textId="212F4216"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76" w:type="dxa"/>
            <w:tcBorders>
              <w:top w:val="nil"/>
              <w:left w:val="nil"/>
              <w:bottom w:val="single" w:sz="4" w:space="0" w:color="auto"/>
              <w:right w:val="nil"/>
            </w:tcBorders>
            <w:shd w:val="clear" w:color="auto" w:fill="auto"/>
            <w:noWrap/>
            <w:vAlign w:val="bottom"/>
            <w:hideMark/>
          </w:tcPr>
          <w:p w14:paraId="49FA618D" w14:textId="375324A0"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85,66</w:t>
            </w:r>
          </w:p>
        </w:tc>
        <w:tc>
          <w:tcPr>
            <w:tcW w:w="1003" w:type="dxa"/>
            <w:tcBorders>
              <w:top w:val="nil"/>
              <w:left w:val="nil"/>
              <w:bottom w:val="single" w:sz="4" w:space="0" w:color="auto"/>
              <w:right w:val="nil"/>
            </w:tcBorders>
            <w:shd w:val="clear" w:color="auto" w:fill="auto"/>
            <w:noWrap/>
            <w:vAlign w:val="center"/>
            <w:hideMark/>
          </w:tcPr>
          <w:p w14:paraId="257D348B" w14:textId="342536BC"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r>
      <w:tr w:rsidR="00AC1E67" w:rsidRPr="00A00187" w14:paraId="26E9F97B" w14:textId="77777777" w:rsidTr="00894BDD">
        <w:trPr>
          <w:trHeight w:val="315"/>
        </w:trPr>
        <w:tc>
          <w:tcPr>
            <w:tcW w:w="1836" w:type="dxa"/>
            <w:tcBorders>
              <w:top w:val="nil"/>
              <w:left w:val="nil"/>
              <w:bottom w:val="single" w:sz="4" w:space="0" w:color="auto"/>
              <w:right w:val="nil"/>
            </w:tcBorders>
            <w:shd w:val="clear" w:color="auto" w:fill="auto"/>
            <w:noWrap/>
            <w:vAlign w:val="bottom"/>
            <w:hideMark/>
          </w:tcPr>
          <w:p w14:paraId="1C8BF094"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KS Brno</w:t>
            </w:r>
          </w:p>
        </w:tc>
        <w:tc>
          <w:tcPr>
            <w:tcW w:w="1283" w:type="dxa"/>
            <w:tcBorders>
              <w:top w:val="nil"/>
              <w:left w:val="nil"/>
              <w:bottom w:val="single" w:sz="4" w:space="0" w:color="auto"/>
              <w:right w:val="nil"/>
            </w:tcBorders>
            <w:shd w:val="clear" w:color="auto" w:fill="auto"/>
            <w:noWrap/>
            <w:vAlign w:val="bottom"/>
            <w:hideMark/>
          </w:tcPr>
          <w:p w14:paraId="3F991A62" w14:textId="1DAE6CAC"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56,85</w:t>
            </w:r>
          </w:p>
        </w:tc>
        <w:tc>
          <w:tcPr>
            <w:tcW w:w="1085" w:type="dxa"/>
            <w:tcBorders>
              <w:top w:val="nil"/>
              <w:left w:val="nil"/>
              <w:bottom w:val="single" w:sz="4" w:space="0" w:color="auto"/>
              <w:right w:val="nil"/>
            </w:tcBorders>
            <w:shd w:val="clear" w:color="auto" w:fill="auto"/>
            <w:noWrap/>
            <w:vAlign w:val="bottom"/>
            <w:hideMark/>
          </w:tcPr>
          <w:p w14:paraId="6F95F96A" w14:textId="5A9EB8B0"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335,15</w:t>
            </w:r>
          </w:p>
        </w:tc>
        <w:tc>
          <w:tcPr>
            <w:tcW w:w="899" w:type="dxa"/>
            <w:tcBorders>
              <w:top w:val="nil"/>
              <w:left w:val="nil"/>
              <w:bottom w:val="single" w:sz="4" w:space="0" w:color="auto"/>
              <w:right w:val="nil"/>
            </w:tcBorders>
            <w:shd w:val="clear" w:color="auto" w:fill="auto"/>
            <w:noWrap/>
            <w:vAlign w:val="center"/>
            <w:hideMark/>
          </w:tcPr>
          <w:p w14:paraId="678E5336" w14:textId="2F923FEF"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93" w:type="dxa"/>
            <w:tcBorders>
              <w:top w:val="nil"/>
              <w:left w:val="single" w:sz="4" w:space="0" w:color="auto"/>
              <w:bottom w:val="single" w:sz="4" w:space="0" w:color="auto"/>
              <w:right w:val="nil"/>
            </w:tcBorders>
            <w:shd w:val="clear" w:color="auto" w:fill="auto"/>
            <w:noWrap/>
            <w:vAlign w:val="bottom"/>
            <w:hideMark/>
          </w:tcPr>
          <w:p w14:paraId="5A1B3A9F" w14:textId="67681030"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341,64</w:t>
            </w:r>
          </w:p>
        </w:tc>
        <w:tc>
          <w:tcPr>
            <w:tcW w:w="939" w:type="dxa"/>
            <w:tcBorders>
              <w:top w:val="nil"/>
              <w:left w:val="nil"/>
              <w:bottom w:val="single" w:sz="4" w:space="0" w:color="auto"/>
              <w:right w:val="single" w:sz="4" w:space="0" w:color="auto"/>
            </w:tcBorders>
            <w:shd w:val="clear" w:color="auto" w:fill="auto"/>
            <w:noWrap/>
            <w:vAlign w:val="center"/>
            <w:hideMark/>
          </w:tcPr>
          <w:p w14:paraId="61A4D734" w14:textId="2D06F785"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076" w:type="dxa"/>
            <w:tcBorders>
              <w:top w:val="nil"/>
              <w:left w:val="nil"/>
              <w:bottom w:val="single" w:sz="4" w:space="0" w:color="auto"/>
              <w:right w:val="nil"/>
            </w:tcBorders>
            <w:shd w:val="clear" w:color="auto" w:fill="auto"/>
            <w:noWrap/>
            <w:vAlign w:val="bottom"/>
            <w:hideMark/>
          </w:tcPr>
          <w:p w14:paraId="0BE0BFE2" w14:textId="617FEDB4"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110,36</w:t>
            </w:r>
          </w:p>
        </w:tc>
        <w:tc>
          <w:tcPr>
            <w:tcW w:w="1003" w:type="dxa"/>
            <w:tcBorders>
              <w:top w:val="nil"/>
              <w:left w:val="nil"/>
              <w:bottom w:val="single" w:sz="4" w:space="0" w:color="auto"/>
              <w:right w:val="nil"/>
            </w:tcBorders>
            <w:shd w:val="clear" w:color="auto" w:fill="auto"/>
            <w:noWrap/>
            <w:vAlign w:val="center"/>
            <w:hideMark/>
          </w:tcPr>
          <w:p w14:paraId="482DFA59" w14:textId="12B1A975"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600B9D2A" w14:textId="77777777" w:rsidTr="00894BDD">
        <w:trPr>
          <w:trHeight w:val="330"/>
        </w:trPr>
        <w:tc>
          <w:tcPr>
            <w:tcW w:w="1836" w:type="dxa"/>
            <w:tcBorders>
              <w:top w:val="nil"/>
              <w:left w:val="nil"/>
              <w:bottom w:val="double" w:sz="6" w:space="0" w:color="auto"/>
              <w:right w:val="nil"/>
            </w:tcBorders>
            <w:shd w:val="clear" w:color="auto" w:fill="auto"/>
            <w:noWrap/>
            <w:vAlign w:val="bottom"/>
            <w:hideMark/>
          </w:tcPr>
          <w:p w14:paraId="7914B2A8" w14:textId="77777777" w:rsidR="0037153D" w:rsidRPr="00A00187" w:rsidRDefault="0037153D" w:rsidP="0037153D">
            <w:pPr>
              <w:spacing w:line="240" w:lineRule="auto"/>
              <w:jc w:val="left"/>
              <w:rPr>
                <w:rFonts w:eastAsia="Times New Roman"/>
                <w:szCs w:val="24"/>
                <w:lang w:eastAsia="cs-CZ"/>
              </w:rPr>
            </w:pPr>
            <w:r w:rsidRPr="00A00187">
              <w:rPr>
                <w:rFonts w:eastAsia="Times New Roman"/>
                <w:szCs w:val="24"/>
                <w:lang w:eastAsia="cs-CZ"/>
              </w:rPr>
              <w:t>KS Ostrava</w:t>
            </w:r>
          </w:p>
        </w:tc>
        <w:tc>
          <w:tcPr>
            <w:tcW w:w="1283" w:type="dxa"/>
            <w:tcBorders>
              <w:top w:val="nil"/>
              <w:left w:val="nil"/>
              <w:bottom w:val="double" w:sz="6" w:space="0" w:color="auto"/>
              <w:right w:val="nil"/>
            </w:tcBorders>
            <w:shd w:val="clear" w:color="auto" w:fill="auto"/>
            <w:noWrap/>
            <w:vAlign w:val="bottom"/>
            <w:hideMark/>
          </w:tcPr>
          <w:p w14:paraId="2A16C21B" w14:textId="34C21FAD"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66,75</w:t>
            </w:r>
          </w:p>
        </w:tc>
        <w:tc>
          <w:tcPr>
            <w:tcW w:w="1085" w:type="dxa"/>
            <w:tcBorders>
              <w:top w:val="nil"/>
              <w:left w:val="nil"/>
              <w:bottom w:val="double" w:sz="6" w:space="0" w:color="auto"/>
              <w:right w:val="nil"/>
            </w:tcBorders>
            <w:shd w:val="clear" w:color="auto" w:fill="auto"/>
            <w:noWrap/>
            <w:vAlign w:val="bottom"/>
            <w:hideMark/>
          </w:tcPr>
          <w:p w14:paraId="46214F03" w14:textId="14EC1946"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319,88</w:t>
            </w:r>
          </w:p>
        </w:tc>
        <w:tc>
          <w:tcPr>
            <w:tcW w:w="899" w:type="dxa"/>
            <w:tcBorders>
              <w:top w:val="nil"/>
              <w:left w:val="nil"/>
              <w:bottom w:val="double" w:sz="6" w:space="0" w:color="auto"/>
              <w:right w:val="nil"/>
            </w:tcBorders>
            <w:shd w:val="clear" w:color="auto" w:fill="auto"/>
            <w:noWrap/>
            <w:vAlign w:val="center"/>
            <w:hideMark/>
          </w:tcPr>
          <w:p w14:paraId="06E111B1" w14:textId="18AB91B6"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93" w:type="dxa"/>
            <w:tcBorders>
              <w:top w:val="nil"/>
              <w:left w:val="single" w:sz="4" w:space="0" w:color="auto"/>
              <w:bottom w:val="double" w:sz="6" w:space="0" w:color="auto"/>
              <w:right w:val="nil"/>
            </w:tcBorders>
            <w:shd w:val="clear" w:color="auto" w:fill="auto"/>
            <w:noWrap/>
            <w:vAlign w:val="bottom"/>
            <w:hideMark/>
          </w:tcPr>
          <w:p w14:paraId="0370607D" w14:textId="4548F5B2"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332,36</w:t>
            </w:r>
          </w:p>
        </w:tc>
        <w:tc>
          <w:tcPr>
            <w:tcW w:w="939" w:type="dxa"/>
            <w:tcBorders>
              <w:top w:val="nil"/>
              <w:left w:val="nil"/>
              <w:bottom w:val="double" w:sz="6" w:space="0" w:color="auto"/>
              <w:right w:val="single" w:sz="4" w:space="0" w:color="auto"/>
            </w:tcBorders>
            <w:shd w:val="clear" w:color="auto" w:fill="auto"/>
            <w:noWrap/>
            <w:vAlign w:val="center"/>
            <w:hideMark/>
          </w:tcPr>
          <w:p w14:paraId="09323CD5" w14:textId="7F5285A0"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076" w:type="dxa"/>
            <w:tcBorders>
              <w:top w:val="nil"/>
              <w:left w:val="nil"/>
              <w:bottom w:val="double" w:sz="6" w:space="0" w:color="auto"/>
              <w:right w:val="nil"/>
            </w:tcBorders>
            <w:shd w:val="clear" w:color="auto" w:fill="auto"/>
            <w:noWrap/>
            <w:vAlign w:val="bottom"/>
            <w:hideMark/>
          </w:tcPr>
          <w:p w14:paraId="67546B4D" w14:textId="65E22204" w:rsidR="0037153D" w:rsidRPr="00A00187" w:rsidRDefault="0037153D" w:rsidP="0037153D">
            <w:pPr>
              <w:spacing w:line="240" w:lineRule="auto"/>
              <w:jc w:val="center"/>
              <w:rPr>
                <w:rFonts w:eastAsia="Times New Roman"/>
                <w:szCs w:val="24"/>
                <w:lang w:eastAsia="cs-CZ"/>
              </w:rPr>
            </w:pPr>
            <w:r w:rsidRPr="00A00187">
              <w:rPr>
                <w:rFonts w:eastAsia="Times New Roman"/>
                <w:szCs w:val="24"/>
                <w:lang w:eastAsia="cs-CZ"/>
              </w:rPr>
              <w:t>101,86</w:t>
            </w:r>
          </w:p>
        </w:tc>
        <w:tc>
          <w:tcPr>
            <w:tcW w:w="1003" w:type="dxa"/>
            <w:tcBorders>
              <w:top w:val="nil"/>
              <w:left w:val="nil"/>
              <w:bottom w:val="double" w:sz="6" w:space="0" w:color="auto"/>
              <w:right w:val="nil"/>
            </w:tcBorders>
            <w:shd w:val="clear" w:color="auto" w:fill="auto"/>
            <w:noWrap/>
            <w:vAlign w:val="center"/>
            <w:hideMark/>
          </w:tcPr>
          <w:p w14:paraId="2CA56475" w14:textId="44BEBB34" w:rsidR="0037153D" w:rsidRPr="00A00187" w:rsidRDefault="0037153D"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r>
      <w:tr w:rsidR="00AC1E67" w:rsidRPr="00A00187" w14:paraId="2E071547" w14:textId="77777777" w:rsidTr="00894BDD">
        <w:trPr>
          <w:trHeight w:val="345"/>
        </w:trPr>
        <w:tc>
          <w:tcPr>
            <w:tcW w:w="1836" w:type="dxa"/>
            <w:tcBorders>
              <w:top w:val="nil"/>
              <w:left w:val="nil"/>
              <w:bottom w:val="double" w:sz="6" w:space="0" w:color="auto"/>
              <w:right w:val="nil"/>
            </w:tcBorders>
            <w:shd w:val="clear" w:color="auto" w:fill="auto"/>
            <w:noWrap/>
            <w:vAlign w:val="bottom"/>
            <w:hideMark/>
          </w:tcPr>
          <w:p w14:paraId="38994B18" w14:textId="77777777" w:rsidR="0037153D" w:rsidRPr="00A00187" w:rsidRDefault="0037153D" w:rsidP="0037153D">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283" w:type="dxa"/>
            <w:tcBorders>
              <w:top w:val="nil"/>
              <w:left w:val="nil"/>
              <w:bottom w:val="double" w:sz="6" w:space="0" w:color="auto"/>
              <w:right w:val="nil"/>
            </w:tcBorders>
            <w:shd w:val="clear" w:color="auto" w:fill="auto"/>
            <w:noWrap/>
            <w:vAlign w:val="bottom"/>
            <w:hideMark/>
          </w:tcPr>
          <w:p w14:paraId="6BE2B4B4" w14:textId="3E434174"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358,56</w:t>
            </w:r>
          </w:p>
        </w:tc>
        <w:tc>
          <w:tcPr>
            <w:tcW w:w="1085" w:type="dxa"/>
            <w:tcBorders>
              <w:top w:val="nil"/>
              <w:left w:val="nil"/>
              <w:bottom w:val="double" w:sz="6" w:space="0" w:color="auto"/>
              <w:right w:val="nil"/>
            </w:tcBorders>
            <w:shd w:val="clear" w:color="auto" w:fill="auto"/>
            <w:noWrap/>
            <w:vAlign w:val="bottom"/>
            <w:hideMark/>
          </w:tcPr>
          <w:p w14:paraId="733B4730" w14:textId="78878033"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342,92</w:t>
            </w:r>
          </w:p>
        </w:tc>
        <w:tc>
          <w:tcPr>
            <w:tcW w:w="899" w:type="dxa"/>
            <w:tcBorders>
              <w:top w:val="nil"/>
              <w:left w:val="nil"/>
              <w:bottom w:val="double" w:sz="6" w:space="0" w:color="auto"/>
              <w:right w:val="nil"/>
            </w:tcBorders>
            <w:shd w:val="clear" w:color="auto" w:fill="auto"/>
            <w:noWrap/>
            <w:vAlign w:val="center"/>
            <w:hideMark/>
          </w:tcPr>
          <w:p w14:paraId="4426E88F" w14:textId="0901BD73" w:rsidR="0037153D" w:rsidRPr="00A00187" w:rsidRDefault="0037153D"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-0</w:t>
            </w:r>
            <w:r w:rsidR="00CB570A">
              <w:rPr>
                <w:rFonts w:eastAsia="Times New Roman"/>
                <w:b/>
                <w:bCs/>
                <w:sz w:val="20"/>
                <w:szCs w:val="20"/>
                <w:lang w:eastAsia="cs-CZ"/>
              </w:rPr>
              <w:t> %</w:t>
            </w:r>
          </w:p>
        </w:tc>
        <w:tc>
          <w:tcPr>
            <w:tcW w:w="1093" w:type="dxa"/>
            <w:tcBorders>
              <w:top w:val="nil"/>
              <w:left w:val="single" w:sz="4" w:space="0" w:color="auto"/>
              <w:bottom w:val="double" w:sz="6" w:space="0" w:color="auto"/>
              <w:right w:val="nil"/>
            </w:tcBorders>
            <w:shd w:val="clear" w:color="auto" w:fill="auto"/>
            <w:noWrap/>
            <w:vAlign w:val="bottom"/>
            <w:hideMark/>
          </w:tcPr>
          <w:p w14:paraId="23B493FC" w14:textId="2E2328D6"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355,53</w:t>
            </w:r>
          </w:p>
        </w:tc>
        <w:tc>
          <w:tcPr>
            <w:tcW w:w="939" w:type="dxa"/>
            <w:tcBorders>
              <w:top w:val="nil"/>
              <w:left w:val="nil"/>
              <w:bottom w:val="double" w:sz="6" w:space="0" w:color="auto"/>
              <w:right w:val="single" w:sz="4" w:space="0" w:color="auto"/>
            </w:tcBorders>
            <w:shd w:val="clear" w:color="auto" w:fill="auto"/>
            <w:noWrap/>
            <w:vAlign w:val="center"/>
            <w:hideMark/>
          </w:tcPr>
          <w:p w14:paraId="619E02D0" w14:textId="1BDD42F0" w:rsidR="0037153D" w:rsidRPr="00A00187" w:rsidRDefault="0037153D"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c>
          <w:tcPr>
            <w:tcW w:w="1076" w:type="dxa"/>
            <w:tcBorders>
              <w:top w:val="nil"/>
              <w:left w:val="nil"/>
              <w:bottom w:val="double" w:sz="6" w:space="0" w:color="auto"/>
              <w:right w:val="nil"/>
            </w:tcBorders>
            <w:shd w:val="clear" w:color="auto" w:fill="auto"/>
            <w:noWrap/>
            <w:vAlign w:val="bottom"/>
            <w:hideMark/>
          </w:tcPr>
          <w:p w14:paraId="05DEBE5B" w14:textId="2A5C651B" w:rsidR="0037153D" w:rsidRPr="00A00187" w:rsidRDefault="0037153D" w:rsidP="0037153D">
            <w:pPr>
              <w:spacing w:line="240" w:lineRule="auto"/>
              <w:jc w:val="center"/>
              <w:rPr>
                <w:rFonts w:eastAsia="Times New Roman"/>
                <w:b/>
                <w:bCs/>
                <w:szCs w:val="24"/>
                <w:lang w:eastAsia="cs-CZ"/>
              </w:rPr>
            </w:pPr>
            <w:r w:rsidRPr="00A00187">
              <w:rPr>
                <w:rFonts w:eastAsia="Times New Roman"/>
                <w:b/>
                <w:bCs/>
                <w:szCs w:val="24"/>
                <w:lang w:eastAsia="cs-CZ"/>
              </w:rPr>
              <w:t>97,96</w:t>
            </w:r>
          </w:p>
        </w:tc>
        <w:tc>
          <w:tcPr>
            <w:tcW w:w="1003" w:type="dxa"/>
            <w:tcBorders>
              <w:top w:val="nil"/>
              <w:left w:val="nil"/>
              <w:bottom w:val="double" w:sz="6" w:space="0" w:color="auto"/>
              <w:right w:val="nil"/>
            </w:tcBorders>
            <w:shd w:val="clear" w:color="auto" w:fill="auto"/>
            <w:noWrap/>
            <w:vAlign w:val="center"/>
            <w:hideMark/>
          </w:tcPr>
          <w:p w14:paraId="4D3965E6" w14:textId="6420A197" w:rsidR="0037153D" w:rsidRPr="00A00187" w:rsidRDefault="0037153D"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-12</w:t>
            </w:r>
            <w:r w:rsidR="00CB570A">
              <w:rPr>
                <w:rFonts w:eastAsia="Times New Roman"/>
                <w:b/>
                <w:bCs/>
                <w:sz w:val="20"/>
                <w:szCs w:val="20"/>
                <w:lang w:eastAsia="cs-CZ"/>
              </w:rPr>
              <w:t> %</w:t>
            </w:r>
          </w:p>
        </w:tc>
      </w:tr>
      <w:tr w:rsidR="00AC1E67" w:rsidRPr="00A00187" w14:paraId="006ABFCD" w14:textId="77777777" w:rsidTr="00951AD7">
        <w:trPr>
          <w:trHeight w:val="330"/>
        </w:trPr>
        <w:tc>
          <w:tcPr>
            <w:tcW w:w="1836" w:type="dxa"/>
            <w:tcBorders>
              <w:top w:val="nil"/>
              <w:left w:val="nil"/>
              <w:bottom w:val="nil"/>
              <w:right w:val="nil"/>
            </w:tcBorders>
            <w:shd w:val="clear" w:color="auto" w:fill="auto"/>
            <w:noWrap/>
            <w:vAlign w:val="bottom"/>
            <w:hideMark/>
          </w:tcPr>
          <w:p w14:paraId="60C80DC5" w14:textId="77777777" w:rsidR="0037153D" w:rsidRPr="00A00187" w:rsidRDefault="0037153D" w:rsidP="0037153D">
            <w:pPr>
              <w:spacing w:line="240" w:lineRule="auto"/>
              <w:jc w:val="center"/>
              <w:rPr>
                <w:rFonts w:eastAsia="Times New Roman"/>
                <w:b/>
                <w:bCs/>
                <w:sz w:val="20"/>
                <w:szCs w:val="20"/>
                <w:lang w:eastAsia="cs-CZ"/>
              </w:rPr>
            </w:pPr>
          </w:p>
        </w:tc>
        <w:tc>
          <w:tcPr>
            <w:tcW w:w="1283" w:type="dxa"/>
            <w:tcBorders>
              <w:top w:val="nil"/>
              <w:left w:val="nil"/>
              <w:bottom w:val="nil"/>
              <w:right w:val="nil"/>
            </w:tcBorders>
            <w:shd w:val="clear" w:color="auto" w:fill="auto"/>
            <w:noWrap/>
            <w:vAlign w:val="bottom"/>
            <w:hideMark/>
          </w:tcPr>
          <w:p w14:paraId="75C53B9E" w14:textId="77777777" w:rsidR="0037153D" w:rsidRPr="00A00187" w:rsidRDefault="0037153D" w:rsidP="0037153D">
            <w:pPr>
              <w:spacing w:line="240" w:lineRule="auto"/>
              <w:jc w:val="left"/>
              <w:rPr>
                <w:rFonts w:ascii="Times New Roman" w:eastAsia="Times New Roman" w:hAnsi="Times New Roman"/>
                <w:sz w:val="20"/>
                <w:szCs w:val="20"/>
                <w:lang w:eastAsia="cs-CZ"/>
              </w:rPr>
            </w:pPr>
          </w:p>
        </w:tc>
        <w:tc>
          <w:tcPr>
            <w:tcW w:w="1085" w:type="dxa"/>
            <w:tcBorders>
              <w:top w:val="nil"/>
              <w:left w:val="nil"/>
              <w:bottom w:val="nil"/>
              <w:right w:val="nil"/>
            </w:tcBorders>
            <w:shd w:val="clear" w:color="auto" w:fill="auto"/>
            <w:noWrap/>
            <w:vAlign w:val="bottom"/>
            <w:hideMark/>
          </w:tcPr>
          <w:p w14:paraId="2A8D22AC" w14:textId="77777777" w:rsidR="0037153D" w:rsidRPr="00A00187" w:rsidRDefault="0037153D" w:rsidP="0037153D">
            <w:pPr>
              <w:spacing w:line="240" w:lineRule="auto"/>
              <w:jc w:val="left"/>
              <w:rPr>
                <w:rFonts w:ascii="Times New Roman" w:eastAsia="Times New Roman" w:hAnsi="Times New Roman"/>
                <w:sz w:val="20"/>
                <w:szCs w:val="20"/>
                <w:lang w:eastAsia="cs-CZ"/>
              </w:rPr>
            </w:pPr>
          </w:p>
        </w:tc>
        <w:tc>
          <w:tcPr>
            <w:tcW w:w="899" w:type="dxa"/>
            <w:tcBorders>
              <w:top w:val="nil"/>
              <w:left w:val="nil"/>
              <w:bottom w:val="nil"/>
              <w:right w:val="nil"/>
            </w:tcBorders>
            <w:shd w:val="clear" w:color="auto" w:fill="auto"/>
            <w:noWrap/>
            <w:vAlign w:val="bottom"/>
            <w:hideMark/>
          </w:tcPr>
          <w:p w14:paraId="0377E725" w14:textId="77777777" w:rsidR="0037153D" w:rsidRPr="00A00187" w:rsidRDefault="0037153D" w:rsidP="00641DB9">
            <w:pPr>
              <w:spacing w:line="240" w:lineRule="auto"/>
              <w:jc w:val="center"/>
              <w:rPr>
                <w:rFonts w:ascii="Times New Roman" w:eastAsia="Times New Roman" w:hAnsi="Times New Roman"/>
                <w:sz w:val="20"/>
                <w:szCs w:val="20"/>
                <w:lang w:eastAsia="cs-CZ"/>
              </w:rPr>
            </w:pPr>
          </w:p>
        </w:tc>
        <w:tc>
          <w:tcPr>
            <w:tcW w:w="1093" w:type="dxa"/>
            <w:tcBorders>
              <w:top w:val="nil"/>
              <w:left w:val="nil"/>
              <w:bottom w:val="nil"/>
              <w:right w:val="nil"/>
            </w:tcBorders>
            <w:shd w:val="clear" w:color="auto" w:fill="auto"/>
            <w:noWrap/>
            <w:vAlign w:val="bottom"/>
            <w:hideMark/>
          </w:tcPr>
          <w:p w14:paraId="29EB34EF" w14:textId="77777777" w:rsidR="0037153D" w:rsidRPr="00A00187" w:rsidRDefault="0037153D" w:rsidP="0037153D">
            <w:pPr>
              <w:spacing w:line="240" w:lineRule="auto"/>
              <w:jc w:val="left"/>
              <w:rPr>
                <w:rFonts w:ascii="Times New Roman" w:eastAsia="Times New Roman" w:hAnsi="Times New Roman"/>
                <w:sz w:val="20"/>
                <w:szCs w:val="20"/>
                <w:lang w:eastAsia="cs-CZ"/>
              </w:rPr>
            </w:pPr>
          </w:p>
        </w:tc>
        <w:tc>
          <w:tcPr>
            <w:tcW w:w="939" w:type="dxa"/>
            <w:tcBorders>
              <w:top w:val="nil"/>
              <w:left w:val="nil"/>
              <w:bottom w:val="nil"/>
              <w:right w:val="nil"/>
            </w:tcBorders>
            <w:shd w:val="clear" w:color="auto" w:fill="auto"/>
            <w:noWrap/>
            <w:vAlign w:val="bottom"/>
            <w:hideMark/>
          </w:tcPr>
          <w:p w14:paraId="3F5A7B08" w14:textId="77777777" w:rsidR="0037153D" w:rsidRPr="00A00187" w:rsidRDefault="0037153D" w:rsidP="00641DB9">
            <w:pPr>
              <w:spacing w:line="240" w:lineRule="auto"/>
              <w:jc w:val="center"/>
              <w:rPr>
                <w:rFonts w:ascii="Times New Roman" w:eastAsia="Times New Roman" w:hAnsi="Times New Roman"/>
                <w:sz w:val="20"/>
                <w:szCs w:val="20"/>
                <w:lang w:eastAsia="cs-CZ"/>
              </w:rPr>
            </w:pPr>
          </w:p>
        </w:tc>
        <w:tc>
          <w:tcPr>
            <w:tcW w:w="1076" w:type="dxa"/>
            <w:tcBorders>
              <w:top w:val="nil"/>
              <w:left w:val="nil"/>
              <w:bottom w:val="nil"/>
              <w:right w:val="nil"/>
            </w:tcBorders>
            <w:shd w:val="clear" w:color="auto" w:fill="auto"/>
            <w:noWrap/>
            <w:vAlign w:val="bottom"/>
            <w:hideMark/>
          </w:tcPr>
          <w:p w14:paraId="0D2EC351" w14:textId="77777777" w:rsidR="0037153D" w:rsidRPr="00A00187" w:rsidRDefault="0037153D" w:rsidP="0037153D">
            <w:pPr>
              <w:spacing w:line="240" w:lineRule="auto"/>
              <w:jc w:val="left"/>
              <w:rPr>
                <w:rFonts w:ascii="Times New Roman" w:eastAsia="Times New Roman" w:hAnsi="Times New Roman"/>
                <w:sz w:val="20"/>
                <w:szCs w:val="20"/>
                <w:lang w:eastAsia="cs-CZ"/>
              </w:rPr>
            </w:pPr>
          </w:p>
        </w:tc>
        <w:tc>
          <w:tcPr>
            <w:tcW w:w="1003" w:type="dxa"/>
            <w:tcBorders>
              <w:top w:val="nil"/>
              <w:left w:val="nil"/>
              <w:bottom w:val="nil"/>
              <w:right w:val="nil"/>
            </w:tcBorders>
            <w:shd w:val="clear" w:color="auto" w:fill="auto"/>
            <w:noWrap/>
            <w:vAlign w:val="bottom"/>
            <w:hideMark/>
          </w:tcPr>
          <w:p w14:paraId="5607B2FF" w14:textId="77777777" w:rsidR="0037153D" w:rsidRPr="00A00187" w:rsidRDefault="0037153D" w:rsidP="00641DB9">
            <w:pPr>
              <w:spacing w:line="240" w:lineRule="auto"/>
              <w:jc w:val="center"/>
              <w:rPr>
                <w:rFonts w:ascii="Times New Roman" w:eastAsia="Times New Roman" w:hAnsi="Times New Roman"/>
                <w:sz w:val="20"/>
                <w:szCs w:val="20"/>
                <w:lang w:eastAsia="cs-CZ"/>
              </w:rPr>
            </w:pPr>
          </w:p>
        </w:tc>
      </w:tr>
    </w:tbl>
    <w:p w14:paraId="3C88603B" w14:textId="25C83126" w:rsidR="00CB570A" w:rsidRDefault="0037153D" w:rsidP="0003032A">
      <w:r w:rsidRPr="00A00187">
        <w:t xml:space="preserve">Změny oproti předchozímu roku vyplývají především ze změn v počtu nevyřízených věcí – celkový počet nevyřízených věcí klesl </w:t>
      </w:r>
      <w:r w:rsidR="00726EC3" w:rsidRPr="00A00187">
        <w:t>a</w:t>
      </w:r>
      <w:r w:rsidR="00726EC3">
        <w:t> </w:t>
      </w:r>
      <w:r w:rsidRPr="00A00187">
        <w:t xml:space="preserve">klesl tedy </w:t>
      </w:r>
      <w:r w:rsidR="00726EC3" w:rsidRPr="00A00187">
        <w:t>i</w:t>
      </w:r>
      <w:r w:rsidR="00726EC3">
        <w:t> </w:t>
      </w:r>
      <w:r w:rsidRPr="00A00187">
        <w:t xml:space="preserve">počet nevyřízených věcí na soudce. Celorepublikově zůstal počet soudců v zásadě stejný. K menším změnám došlo na úrovni krajů </w:t>
      </w:r>
      <w:r w:rsidR="00726EC3" w:rsidRPr="00A00187">
        <w:t>a</w:t>
      </w:r>
      <w:r w:rsidR="00726EC3">
        <w:t> </w:t>
      </w:r>
      <w:r w:rsidRPr="00A00187">
        <w:t>samozřejmě na</w:t>
      </w:r>
      <w:r w:rsidR="00107682" w:rsidRPr="00A00187">
        <w:t> </w:t>
      </w:r>
      <w:r w:rsidRPr="00A00187">
        <w:t xml:space="preserve">úrovni </w:t>
      </w:r>
      <w:r w:rsidR="004F7609" w:rsidRPr="00A00187">
        <w:t xml:space="preserve">jednotlivých </w:t>
      </w:r>
      <w:r w:rsidR="0034342C" w:rsidRPr="00A00187">
        <w:t xml:space="preserve">okresních </w:t>
      </w:r>
      <w:r w:rsidRPr="00A00187">
        <w:t>soudů.</w:t>
      </w:r>
    </w:p>
    <w:p w14:paraId="363903EC" w14:textId="2ACBF09D" w:rsidR="0037153D" w:rsidRPr="00A00187" w:rsidRDefault="0037153D" w:rsidP="0037153D">
      <w:pPr>
        <w:pStyle w:val="Podnadpis"/>
        <w:rPr>
          <w:color w:val="auto"/>
        </w:rPr>
      </w:pPr>
      <w:bookmarkStart w:id="460" w:name="_Toc43841419"/>
      <w:bookmarkStart w:id="461" w:name="_Toc75952223"/>
      <w:bookmarkStart w:id="462" w:name="_Toc106106675"/>
      <w:bookmarkStart w:id="463" w:name="_Toc43931203"/>
      <w:bookmarkStart w:id="464" w:name="_Toc10980199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41</w:t>
      </w:r>
      <w:r w:rsidRPr="00A00187">
        <w:rPr>
          <w:noProof/>
          <w:color w:val="auto"/>
        </w:rPr>
        <w:fldChar w:fldCharType="end"/>
      </w:r>
      <w:r w:rsidRPr="00A00187">
        <w:rPr>
          <w:color w:val="auto"/>
        </w:rPr>
        <w:t xml:space="preserve">: OS – počet </w:t>
      </w:r>
      <w:proofErr w:type="spellStart"/>
      <w:r w:rsidRPr="00A00187">
        <w:rPr>
          <w:color w:val="auto"/>
        </w:rPr>
        <w:t>nevyříz</w:t>
      </w:r>
      <w:proofErr w:type="spellEnd"/>
      <w:r w:rsidRPr="00A00187">
        <w:rPr>
          <w:color w:val="auto"/>
        </w:rPr>
        <w:t xml:space="preserve">. </w:t>
      </w:r>
      <w:proofErr w:type="spellStart"/>
      <w:r w:rsidRPr="00A00187">
        <w:rPr>
          <w:color w:val="auto"/>
        </w:rPr>
        <w:t>opatrov</w:t>
      </w:r>
      <w:proofErr w:type="spellEnd"/>
      <w:r w:rsidRPr="00A00187">
        <w:rPr>
          <w:color w:val="auto"/>
        </w:rPr>
        <w:t>. věcí na úvazky soudce u jednotlivých soudů</w:t>
      </w:r>
      <w:bookmarkEnd w:id="460"/>
      <w:bookmarkEnd w:id="461"/>
      <w:bookmarkEnd w:id="462"/>
      <w:bookmarkEnd w:id="464"/>
    </w:p>
    <w:p w14:paraId="05A31EAF" w14:textId="77777777" w:rsidR="004838ED" w:rsidRDefault="00297DFB" w:rsidP="008430BD">
      <w:pPr>
        <w:spacing w:line="240" w:lineRule="auto"/>
        <w:jc w:val="left"/>
      </w:pPr>
      <w:r w:rsidRPr="00A00187">
        <w:rPr>
          <w:noProof/>
        </w:rPr>
        <w:drawing>
          <wp:anchor distT="0" distB="0" distL="114300" distR="114300" simplePos="0" relativeHeight="251684864" behindDoc="0" locked="0" layoutInCell="1" allowOverlap="1" wp14:anchorId="655D28A5" wp14:editId="78352E23">
            <wp:simplePos x="0" y="0"/>
            <wp:positionH relativeFrom="margin">
              <wp:align>right</wp:align>
            </wp:positionH>
            <wp:positionV relativeFrom="paragraph">
              <wp:posOffset>11430</wp:posOffset>
            </wp:positionV>
            <wp:extent cx="1238400" cy="900000"/>
            <wp:effectExtent l="0" t="0" r="0" b="0"/>
            <wp:wrapNone/>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4500" w:rsidRPr="00A00187">
        <w:rPr>
          <w:noProof/>
        </w:rPr>
        <w:drawing>
          <wp:inline distT="0" distB="0" distL="0" distR="0" wp14:anchorId="04577934" wp14:editId="77466BB2">
            <wp:extent cx="5759450" cy="3296285"/>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2BD52DFB" w14:textId="6A276D90" w:rsidR="008430BD" w:rsidRPr="00A00187" w:rsidRDefault="008430BD" w:rsidP="008430BD">
      <w:pPr>
        <w:spacing w:line="240" w:lineRule="auto"/>
        <w:jc w:val="left"/>
        <w:rPr>
          <w:rFonts w:eastAsia="Times New Roman"/>
          <w:b/>
          <w:iCs/>
          <w:spacing w:val="15"/>
          <w:szCs w:val="24"/>
        </w:rPr>
      </w:pPr>
      <w:r w:rsidRPr="00A00187">
        <w:br w:type="page"/>
      </w:r>
    </w:p>
    <w:bookmarkEnd w:id="463"/>
    <w:p w14:paraId="77F20BEC" w14:textId="5A9880EA" w:rsidR="0037153D" w:rsidRPr="00A00187" w:rsidRDefault="004F7609" w:rsidP="0037153D">
      <w:r w:rsidRPr="00A00187">
        <w:lastRenderedPageBreak/>
        <w:t xml:space="preserve">Pokud jde </w:t>
      </w:r>
      <w:r w:rsidR="00726EC3" w:rsidRPr="00A00187">
        <w:t>o</w:t>
      </w:r>
      <w:r w:rsidR="00726EC3">
        <w:t> </w:t>
      </w:r>
      <w:r w:rsidR="0037153D" w:rsidRPr="00A00187">
        <w:t>nevyřízen</w:t>
      </w:r>
      <w:r w:rsidRPr="00A00187">
        <w:t>é</w:t>
      </w:r>
      <w:r w:rsidR="0037153D" w:rsidRPr="00A00187">
        <w:t xml:space="preserve"> věc</w:t>
      </w:r>
      <w:r w:rsidRPr="00A00187">
        <w:t>i</w:t>
      </w:r>
      <w:r w:rsidR="0037153D" w:rsidRPr="00A00187">
        <w:t xml:space="preserve"> na soudce</w:t>
      </w:r>
      <w:r w:rsidRPr="00A00187">
        <w:t>, nejlépe</w:t>
      </w:r>
      <w:r w:rsidR="0037153D" w:rsidRPr="00A00187">
        <w:t xml:space="preserve"> jsou na tom </w:t>
      </w:r>
      <w:r w:rsidRPr="00A00187">
        <w:t xml:space="preserve">(obdobně jako u délek řízení) </w:t>
      </w:r>
      <w:r w:rsidR="0037153D" w:rsidRPr="00A00187">
        <w:t xml:space="preserve">OS spadající </w:t>
      </w:r>
      <w:r w:rsidRPr="00A00187">
        <w:t xml:space="preserve">pod </w:t>
      </w:r>
      <w:r w:rsidR="0037153D" w:rsidRPr="00A00187">
        <w:t>KS České Budějovice).</w:t>
      </w:r>
      <w:r w:rsidR="00285CDF" w:rsidRPr="00A00187">
        <w:t xml:space="preserve"> </w:t>
      </w:r>
      <w:r w:rsidR="00C6219F" w:rsidRPr="00A00187">
        <w:t>Celkově je ale situace poměrně vyrovnaná.</w:t>
      </w:r>
      <w:r w:rsidRPr="00A00187">
        <w:t xml:space="preserve"> </w:t>
      </w:r>
      <w:r w:rsidR="0037153D" w:rsidRPr="00A00187">
        <w:t xml:space="preserve">Z jednotlivých soudů jsou pak na tom nejlépe </w:t>
      </w:r>
      <w:r w:rsidR="00C6219F" w:rsidRPr="00A00187">
        <w:t>Příbram</w:t>
      </w:r>
      <w:r w:rsidR="0037153D" w:rsidRPr="00A00187">
        <w:t xml:space="preserve"> (42), </w:t>
      </w:r>
      <w:r w:rsidR="00C6219F" w:rsidRPr="00A00187">
        <w:t>Domažlice</w:t>
      </w:r>
      <w:r w:rsidR="0037153D" w:rsidRPr="00A00187">
        <w:t xml:space="preserve"> a </w:t>
      </w:r>
      <w:r w:rsidR="00C6219F" w:rsidRPr="00A00187">
        <w:t>Rokycany</w:t>
      </w:r>
      <w:r w:rsidR="0037153D" w:rsidRPr="00A00187">
        <w:t xml:space="preserve"> (</w:t>
      </w:r>
      <w:r w:rsidRPr="00A00187">
        <w:t xml:space="preserve">oba </w:t>
      </w:r>
      <w:r w:rsidR="00C6219F" w:rsidRPr="00A00187">
        <w:t>50</w:t>
      </w:r>
      <w:r w:rsidR="0037153D" w:rsidRPr="00A00187">
        <w:t xml:space="preserve">). Nejvyšší počet věcí na soudce naopak vykazují </w:t>
      </w:r>
      <w:r w:rsidR="008F4500" w:rsidRPr="00A00187">
        <w:t>Žďár nad Sázavou</w:t>
      </w:r>
      <w:r w:rsidR="0037153D" w:rsidRPr="00A00187">
        <w:t xml:space="preserve"> (</w:t>
      </w:r>
      <w:r w:rsidR="008F4500" w:rsidRPr="00A00187">
        <w:t>191</w:t>
      </w:r>
      <w:r w:rsidR="0037153D" w:rsidRPr="00A00187">
        <w:t xml:space="preserve">), Praha </w:t>
      </w:r>
      <w:r w:rsidR="008F4500" w:rsidRPr="00A00187">
        <w:t>8</w:t>
      </w:r>
      <w:r w:rsidR="0037153D" w:rsidRPr="00A00187">
        <w:t xml:space="preserve"> (</w:t>
      </w:r>
      <w:r w:rsidR="008F4500" w:rsidRPr="00A00187">
        <w:t>163</w:t>
      </w:r>
      <w:r w:rsidR="0037153D" w:rsidRPr="00A00187">
        <w:t>) a </w:t>
      </w:r>
      <w:r w:rsidR="008F4500" w:rsidRPr="00A00187">
        <w:t xml:space="preserve">Liberec </w:t>
      </w:r>
      <w:r w:rsidR="0037153D" w:rsidRPr="00A00187">
        <w:t>(1</w:t>
      </w:r>
      <w:r w:rsidR="008F4500" w:rsidRPr="00A00187">
        <w:t>60</w:t>
      </w:r>
      <w:r w:rsidR="0037153D" w:rsidRPr="00A00187">
        <w:t>).</w:t>
      </w:r>
    </w:p>
    <w:p w14:paraId="58F24227" w14:textId="2BFEBB45" w:rsidR="008430BD" w:rsidRPr="00A00187" w:rsidRDefault="008430BD" w:rsidP="004F2E3F">
      <w:pPr>
        <w:pStyle w:val="Nadpis3"/>
        <w:numPr>
          <w:ilvl w:val="2"/>
          <w:numId w:val="1"/>
        </w:numPr>
        <w:rPr>
          <w:color w:val="auto"/>
        </w:rPr>
      </w:pPr>
      <w:bookmarkStart w:id="465" w:name="_Toc515871369"/>
      <w:bookmarkStart w:id="466" w:name="_Toc106092741"/>
      <w:bookmarkStart w:id="467" w:name="_Toc109801353"/>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(dispoziční čas)</w:t>
      </w:r>
      <w:bookmarkStart w:id="468" w:name="_Toc43931204"/>
      <w:bookmarkEnd w:id="465"/>
      <w:bookmarkEnd w:id="466"/>
      <w:bookmarkEnd w:id="467"/>
    </w:p>
    <w:p w14:paraId="0C9323E6" w14:textId="5D8B5084" w:rsidR="00866AF9" w:rsidRPr="00A00187" w:rsidRDefault="00866AF9" w:rsidP="00866AF9">
      <w:pPr>
        <w:pStyle w:val="OdstavecASR"/>
      </w:pPr>
      <w:r w:rsidRPr="00A00187">
        <w:t xml:space="preserve">V roce 2014 je patrný obrovský nárůst DT. Ten </w:t>
      </w:r>
      <w:r w:rsidR="00466E7F" w:rsidRPr="00A00187">
        <w:t xml:space="preserve">byl </w:t>
      </w:r>
      <w:r w:rsidRPr="00A00187">
        <w:t>způsoben výše popsaným velkým nárůstem v počtu nevyřízených věcí</w:t>
      </w:r>
      <w:r w:rsidR="00466E7F" w:rsidRPr="00A00187">
        <w:t xml:space="preserve"> spojený s nabytím účinnosti nového občanského zákoníku od 1.</w:t>
      </w:r>
      <w:r w:rsidR="00641DB9">
        <w:t> </w:t>
      </w:r>
      <w:r w:rsidR="00466E7F" w:rsidRPr="00A00187">
        <w:t>1.</w:t>
      </w:r>
      <w:r w:rsidR="00641DB9">
        <w:t> </w:t>
      </w:r>
      <w:r w:rsidR="009717FA" w:rsidRPr="00A00187">
        <w:t>2014.</w:t>
      </w:r>
      <w:r w:rsidRPr="00A00187">
        <w:t xml:space="preserve"> Počet vyřízených věcí vzrostl méně, což vedlo k nárůstu DT. V roce 2015 vzrostl výrazněji počet vyřízených věcí, takže DT klesl. V roce 2016 pak klesl nápad a tím i nevyřízené věci. Došlo tedy k poklesu DT na úroveň roku 2014. V roce 2017 poklesl počet vyřízených i nevyřízených věcí asi o 12</w:t>
      </w:r>
      <w:r w:rsidR="00CB570A">
        <w:t> %</w:t>
      </w:r>
      <w:r w:rsidRPr="00A00187">
        <w:t xml:space="preserve">. DT tím pádem zůstal stejný jako v roce 2016. V roce 2018 se vyřídilo více věcí než v roce 2017, přičemž počet nevyřízených věcí příliš neklesal – výsledkem </w:t>
      </w:r>
      <w:r w:rsidR="004F7609" w:rsidRPr="00A00187">
        <w:t xml:space="preserve">byla do té doby </w:t>
      </w:r>
      <w:r w:rsidRPr="00A00187">
        <w:t>nejlepší hodnota DT</w:t>
      </w:r>
      <w:r w:rsidR="00C04DF8" w:rsidRPr="00A00187">
        <w:t xml:space="preserve">. </w:t>
      </w:r>
      <w:r w:rsidRPr="00A00187">
        <w:t>V roce 2019 došlo spíše ke kosmetickému nárůstu na 106</w:t>
      </w:r>
      <w:r w:rsidR="00AC0467" w:rsidRPr="00A00187">
        <w:t xml:space="preserve"> </w:t>
      </w:r>
      <w:r w:rsidRPr="00A00187">
        <w:t xml:space="preserve">– vzrostl počet nevyřízených i vyřízených věcí a nárůst v počtu nevyřízených věcí velmi mírně převýšil nárůst v počtu věcí vyřízených. V roce 2020 DT o 9 dnů narostl </w:t>
      </w:r>
      <w:r w:rsidR="00726EC3" w:rsidRPr="00A00187">
        <w:t>v</w:t>
      </w:r>
      <w:r w:rsidR="00726EC3">
        <w:t> </w:t>
      </w:r>
      <w:r w:rsidR="00984A00" w:rsidRPr="00A00187">
        <w:t>důsledku poklesu</w:t>
      </w:r>
      <w:r w:rsidRPr="00A00187">
        <w:t xml:space="preserve"> počtu vyřízených věcí. V roce 2021 klesl DT na </w:t>
      </w:r>
      <w:r w:rsidR="007474D8" w:rsidRPr="00A00187">
        <w:t xml:space="preserve">nejnižší </w:t>
      </w:r>
      <w:r w:rsidRPr="00A00187">
        <w:t xml:space="preserve">hodnotu (101) </w:t>
      </w:r>
      <w:r w:rsidR="00466E7F" w:rsidRPr="00A00187">
        <w:t>od roku 2008</w:t>
      </w:r>
      <w:r w:rsidRPr="00A00187">
        <w:t>, což pl</w:t>
      </w:r>
      <w:r w:rsidR="00B1399F" w:rsidRPr="00A00187">
        <w:t>y</w:t>
      </w:r>
      <w:r w:rsidRPr="00A00187">
        <w:t>ne</w:t>
      </w:r>
      <w:r w:rsidR="00894BDD" w:rsidRPr="00A00187">
        <w:t xml:space="preserve"> </w:t>
      </w:r>
      <w:r w:rsidR="00726EC3" w:rsidRPr="00A00187">
        <w:t>z</w:t>
      </w:r>
      <w:r w:rsidR="00726EC3">
        <w:t> </w:t>
      </w:r>
      <w:r w:rsidRPr="00A00187">
        <w:t>citelného poklesu v počtu nevyřízených věcí.</w:t>
      </w:r>
    </w:p>
    <w:p w14:paraId="52F25079" w14:textId="03CB338D" w:rsidR="0037153D" w:rsidRPr="00A00187" w:rsidRDefault="0037153D" w:rsidP="0037153D">
      <w:pPr>
        <w:pStyle w:val="Podnadpis"/>
        <w:numPr>
          <w:ilvl w:val="0"/>
          <w:numId w:val="0"/>
        </w:numPr>
        <w:rPr>
          <w:color w:val="auto"/>
        </w:rPr>
      </w:pPr>
      <w:bookmarkStart w:id="469" w:name="_Toc43841420"/>
      <w:bookmarkStart w:id="470" w:name="_Toc75952224"/>
      <w:bookmarkStart w:id="471" w:name="_Toc106106676"/>
      <w:bookmarkStart w:id="472" w:name="_Toc109802000"/>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42</w:t>
      </w:r>
      <w:r w:rsidRPr="00A00187">
        <w:rPr>
          <w:noProof/>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v opatrovnické agendě v letech 2008–20</w:t>
      </w:r>
      <w:bookmarkEnd w:id="469"/>
      <w:r w:rsidRPr="00A00187">
        <w:rPr>
          <w:color w:val="auto"/>
        </w:rPr>
        <w:t>2</w:t>
      </w:r>
      <w:bookmarkEnd w:id="470"/>
      <w:r w:rsidRPr="00A00187">
        <w:rPr>
          <w:color w:val="auto"/>
        </w:rPr>
        <w:t>1</w:t>
      </w:r>
      <w:bookmarkEnd w:id="471"/>
      <w:bookmarkEnd w:id="472"/>
    </w:p>
    <w:p w14:paraId="0A618439" w14:textId="7AED83F5" w:rsidR="0037153D" w:rsidRPr="00A00187" w:rsidRDefault="0037153D" w:rsidP="0037153D">
      <w:r w:rsidRPr="00A00187">
        <w:rPr>
          <w:noProof/>
        </w:rPr>
        <w:drawing>
          <wp:inline distT="0" distB="0" distL="0" distR="0" wp14:anchorId="6C66B535" wp14:editId="7B159446">
            <wp:extent cx="5029200" cy="3657600"/>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4EC5554" w14:textId="1371C1D5" w:rsidR="00866AF9" w:rsidRPr="00A00187" w:rsidRDefault="00866AF9" w:rsidP="0037153D"/>
    <w:p w14:paraId="03B4E676" w14:textId="77777777" w:rsidR="0064349A" w:rsidRDefault="0064349A">
      <w:pPr>
        <w:spacing w:after="160" w:line="259" w:lineRule="auto"/>
        <w:jc w:val="left"/>
      </w:pPr>
      <w:bookmarkStart w:id="473" w:name="_Toc75952336"/>
      <w:bookmarkStart w:id="474" w:name="_Toc106106793"/>
      <w:r>
        <w:rPr>
          <w:b/>
          <w:iCs/>
        </w:rPr>
        <w:br w:type="page"/>
      </w:r>
    </w:p>
    <w:p w14:paraId="673D681C" w14:textId="7E3649A9" w:rsidR="00866AF9" w:rsidRPr="00A00187" w:rsidRDefault="00866AF9" w:rsidP="00866AF9">
      <w:pPr>
        <w:pStyle w:val="Podnadpis"/>
        <w:rPr>
          <w:color w:val="auto"/>
        </w:rPr>
      </w:pPr>
      <w:bookmarkStart w:id="475" w:name="_Toc109802116"/>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31</w:t>
      </w:r>
      <w:r w:rsidRPr="00A00187">
        <w:rPr>
          <w:noProof/>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v opatrovnické agendě dle krajů</w:t>
      </w:r>
      <w:bookmarkEnd w:id="473"/>
      <w:bookmarkEnd w:id="474"/>
      <w:bookmarkEnd w:id="475"/>
    </w:p>
    <w:tbl>
      <w:tblPr>
        <w:tblW w:w="5992" w:type="dxa"/>
        <w:tblCellMar>
          <w:left w:w="70" w:type="dxa"/>
          <w:right w:w="70" w:type="dxa"/>
        </w:tblCellMar>
        <w:tblLook w:val="04A0" w:firstRow="1" w:lastRow="0" w:firstColumn="1" w:lastColumn="0" w:noHBand="0" w:noVBand="1"/>
      </w:tblPr>
      <w:tblGrid>
        <w:gridCol w:w="2796"/>
        <w:gridCol w:w="1345"/>
        <w:gridCol w:w="1851"/>
      </w:tblGrid>
      <w:tr w:rsidR="00AC1E67" w:rsidRPr="00A00187" w14:paraId="2AA518CA" w14:textId="77777777" w:rsidTr="00866AF9">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35440A67" w14:textId="77777777" w:rsidR="00866AF9" w:rsidRPr="00A00187" w:rsidRDefault="00866AF9" w:rsidP="00866AF9">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196" w:type="dxa"/>
            <w:gridSpan w:val="2"/>
            <w:tcBorders>
              <w:top w:val="double" w:sz="6" w:space="0" w:color="auto"/>
              <w:left w:val="nil"/>
              <w:bottom w:val="double" w:sz="6" w:space="0" w:color="auto"/>
              <w:right w:val="nil"/>
            </w:tcBorders>
            <w:shd w:val="clear" w:color="auto" w:fill="auto"/>
            <w:noWrap/>
            <w:vAlign w:val="center"/>
            <w:hideMark/>
          </w:tcPr>
          <w:p w14:paraId="0E4FE8DD" w14:textId="77777777" w:rsidR="00866AF9" w:rsidRPr="00A00187" w:rsidRDefault="00866AF9" w:rsidP="00866AF9">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6A30DC19" w14:textId="77777777" w:rsidTr="00866AF9">
        <w:trPr>
          <w:trHeight w:val="330"/>
        </w:trPr>
        <w:tc>
          <w:tcPr>
            <w:tcW w:w="2796" w:type="dxa"/>
            <w:tcBorders>
              <w:top w:val="nil"/>
              <w:left w:val="nil"/>
              <w:bottom w:val="single" w:sz="4" w:space="0" w:color="auto"/>
              <w:right w:val="nil"/>
            </w:tcBorders>
            <w:shd w:val="clear" w:color="auto" w:fill="auto"/>
            <w:noWrap/>
            <w:vAlign w:val="bottom"/>
            <w:hideMark/>
          </w:tcPr>
          <w:p w14:paraId="1AB4C132"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MS Praha</w:t>
            </w:r>
          </w:p>
        </w:tc>
        <w:tc>
          <w:tcPr>
            <w:tcW w:w="1345" w:type="dxa"/>
            <w:tcBorders>
              <w:top w:val="nil"/>
              <w:left w:val="nil"/>
              <w:bottom w:val="single" w:sz="4" w:space="0" w:color="auto"/>
              <w:right w:val="nil"/>
            </w:tcBorders>
            <w:shd w:val="clear" w:color="auto" w:fill="auto"/>
            <w:noWrap/>
            <w:vAlign w:val="bottom"/>
            <w:hideMark/>
          </w:tcPr>
          <w:p w14:paraId="23645D67"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101</w:t>
            </w:r>
          </w:p>
        </w:tc>
        <w:tc>
          <w:tcPr>
            <w:tcW w:w="1851" w:type="dxa"/>
            <w:tcBorders>
              <w:top w:val="nil"/>
              <w:left w:val="nil"/>
              <w:bottom w:val="single" w:sz="4" w:space="0" w:color="auto"/>
              <w:right w:val="nil"/>
            </w:tcBorders>
            <w:shd w:val="clear" w:color="auto" w:fill="auto"/>
            <w:noWrap/>
            <w:vAlign w:val="center"/>
            <w:hideMark/>
          </w:tcPr>
          <w:p w14:paraId="5C6001C5" w14:textId="2A8FCA6A"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r>
      <w:tr w:rsidR="00AC1E67" w:rsidRPr="00A00187" w14:paraId="62AFD4B0" w14:textId="77777777" w:rsidTr="00866AF9">
        <w:trPr>
          <w:trHeight w:val="315"/>
        </w:trPr>
        <w:tc>
          <w:tcPr>
            <w:tcW w:w="2796" w:type="dxa"/>
            <w:tcBorders>
              <w:top w:val="nil"/>
              <w:left w:val="nil"/>
              <w:bottom w:val="single" w:sz="4" w:space="0" w:color="auto"/>
              <w:right w:val="nil"/>
            </w:tcBorders>
            <w:shd w:val="clear" w:color="auto" w:fill="auto"/>
            <w:noWrap/>
            <w:vAlign w:val="bottom"/>
            <w:hideMark/>
          </w:tcPr>
          <w:p w14:paraId="6F789CBF"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KS Praha</w:t>
            </w:r>
          </w:p>
        </w:tc>
        <w:tc>
          <w:tcPr>
            <w:tcW w:w="1345" w:type="dxa"/>
            <w:tcBorders>
              <w:top w:val="nil"/>
              <w:left w:val="nil"/>
              <w:bottom w:val="single" w:sz="4" w:space="0" w:color="auto"/>
              <w:right w:val="nil"/>
            </w:tcBorders>
            <w:shd w:val="clear" w:color="auto" w:fill="auto"/>
            <w:noWrap/>
            <w:vAlign w:val="bottom"/>
            <w:hideMark/>
          </w:tcPr>
          <w:p w14:paraId="01223A49"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78</w:t>
            </w:r>
          </w:p>
        </w:tc>
        <w:tc>
          <w:tcPr>
            <w:tcW w:w="1851" w:type="dxa"/>
            <w:tcBorders>
              <w:top w:val="nil"/>
              <w:left w:val="nil"/>
              <w:bottom w:val="single" w:sz="4" w:space="0" w:color="auto"/>
              <w:right w:val="nil"/>
            </w:tcBorders>
            <w:shd w:val="clear" w:color="auto" w:fill="auto"/>
            <w:noWrap/>
            <w:vAlign w:val="center"/>
            <w:hideMark/>
          </w:tcPr>
          <w:p w14:paraId="1922AF67" w14:textId="69551055"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r>
      <w:tr w:rsidR="00AC1E67" w:rsidRPr="00A00187" w14:paraId="20B60262" w14:textId="77777777" w:rsidTr="00866AF9">
        <w:trPr>
          <w:trHeight w:val="315"/>
        </w:trPr>
        <w:tc>
          <w:tcPr>
            <w:tcW w:w="2796" w:type="dxa"/>
            <w:tcBorders>
              <w:top w:val="nil"/>
              <w:left w:val="nil"/>
              <w:bottom w:val="single" w:sz="4" w:space="0" w:color="auto"/>
              <w:right w:val="nil"/>
            </w:tcBorders>
            <w:shd w:val="clear" w:color="auto" w:fill="auto"/>
            <w:noWrap/>
            <w:vAlign w:val="bottom"/>
            <w:hideMark/>
          </w:tcPr>
          <w:p w14:paraId="0E7F5A37"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KS Č. Budějovice</w:t>
            </w:r>
          </w:p>
        </w:tc>
        <w:tc>
          <w:tcPr>
            <w:tcW w:w="1345" w:type="dxa"/>
            <w:tcBorders>
              <w:top w:val="nil"/>
              <w:left w:val="nil"/>
              <w:bottom w:val="single" w:sz="4" w:space="0" w:color="auto"/>
              <w:right w:val="nil"/>
            </w:tcBorders>
            <w:shd w:val="clear" w:color="auto" w:fill="auto"/>
            <w:noWrap/>
            <w:vAlign w:val="bottom"/>
            <w:hideMark/>
          </w:tcPr>
          <w:p w14:paraId="46B4ABEC"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69</w:t>
            </w:r>
          </w:p>
        </w:tc>
        <w:tc>
          <w:tcPr>
            <w:tcW w:w="1851" w:type="dxa"/>
            <w:tcBorders>
              <w:top w:val="nil"/>
              <w:left w:val="nil"/>
              <w:bottom w:val="single" w:sz="4" w:space="0" w:color="auto"/>
              <w:right w:val="nil"/>
            </w:tcBorders>
            <w:shd w:val="clear" w:color="auto" w:fill="auto"/>
            <w:noWrap/>
            <w:vAlign w:val="center"/>
            <w:hideMark/>
          </w:tcPr>
          <w:p w14:paraId="1C346290" w14:textId="7F60862F"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r>
      <w:tr w:rsidR="00AC1E67" w:rsidRPr="00A00187" w14:paraId="5437EBA0" w14:textId="77777777" w:rsidTr="00866AF9">
        <w:trPr>
          <w:trHeight w:val="315"/>
        </w:trPr>
        <w:tc>
          <w:tcPr>
            <w:tcW w:w="2796" w:type="dxa"/>
            <w:tcBorders>
              <w:top w:val="nil"/>
              <w:left w:val="nil"/>
              <w:bottom w:val="single" w:sz="4" w:space="0" w:color="auto"/>
              <w:right w:val="nil"/>
            </w:tcBorders>
            <w:shd w:val="clear" w:color="auto" w:fill="auto"/>
            <w:noWrap/>
            <w:vAlign w:val="bottom"/>
            <w:hideMark/>
          </w:tcPr>
          <w:p w14:paraId="01863BCD"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KS Plzeň</w:t>
            </w:r>
          </w:p>
        </w:tc>
        <w:tc>
          <w:tcPr>
            <w:tcW w:w="1345" w:type="dxa"/>
            <w:tcBorders>
              <w:top w:val="nil"/>
              <w:left w:val="nil"/>
              <w:bottom w:val="single" w:sz="4" w:space="0" w:color="auto"/>
              <w:right w:val="nil"/>
            </w:tcBorders>
            <w:shd w:val="clear" w:color="auto" w:fill="auto"/>
            <w:noWrap/>
            <w:vAlign w:val="bottom"/>
            <w:hideMark/>
          </w:tcPr>
          <w:p w14:paraId="15B0E4EB"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93</w:t>
            </w:r>
          </w:p>
        </w:tc>
        <w:tc>
          <w:tcPr>
            <w:tcW w:w="1851" w:type="dxa"/>
            <w:tcBorders>
              <w:top w:val="nil"/>
              <w:left w:val="nil"/>
              <w:bottom w:val="single" w:sz="4" w:space="0" w:color="auto"/>
              <w:right w:val="nil"/>
            </w:tcBorders>
            <w:shd w:val="clear" w:color="auto" w:fill="auto"/>
            <w:noWrap/>
            <w:vAlign w:val="center"/>
            <w:hideMark/>
          </w:tcPr>
          <w:p w14:paraId="3E4ABCC0" w14:textId="3508BC33"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r>
      <w:tr w:rsidR="00AC1E67" w:rsidRPr="00A00187" w14:paraId="09CFB7F3" w14:textId="77777777" w:rsidTr="00866AF9">
        <w:trPr>
          <w:trHeight w:val="315"/>
        </w:trPr>
        <w:tc>
          <w:tcPr>
            <w:tcW w:w="2796" w:type="dxa"/>
            <w:tcBorders>
              <w:top w:val="nil"/>
              <w:left w:val="nil"/>
              <w:bottom w:val="single" w:sz="4" w:space="0" w:color="auto"/>
              <w:right w:val="nil"/>
            </w:tcBorders>
            <w:shd w:val="clear" w:color="auto" w:fill="auto"/>
            <w:noWrap/>
            <w:vAlign w:val="bottom"/>
            <w:hideMark/>
          </w:tcPr>
          <w:p w14:paraId="0057416E"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KS Ústí n. Labem</w:t>
            </w:r>
          </w:p>
        </w:tc>
        <w:tc>
          <w:tcPr>
            <w:tcW w:w="1345" w:type="dxa"/>
            <w:tcBorders>
              <w:top w:val="nil"/>
              <w:left w:val="nil"/>
              <w:bottom w:val="single" w:sz="4" w:space="0" w:color="auto"/>
              <w:right w:val="nil"/>
            </w:tcBorders>
            <w:shd w:val="clear" w:color="auto" w:fill="auto"/>
            <w:noWrap/>
            <w:vAlign w:val="bottom"/>
            <w:hideMark/>
          </w:tcPr>
          <w:p w14:paraId="2E75C672"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116</w:t>
            </w:r>
          </w:p>
        </w:tc>
        <w:tc>
          <w:tcPr>
            <w:tcW w:w="1851" w:type="dxa"/>
            <w:tcBorders>
              <w:top w:val="nil"/>
              <w:left w:val="nil"/>
              <w:bottom w:val="single" w:sz="4" w:space="0" w:color="auto"/>
              <w:right w:val="nil"/>
            </w:tcBorders>
            <w:shd w:val="clear" w:color="auto" w:fill="auto"/>
            <w:noWrap/>
            <w:vAlign w:val="center"/>
            <w:hideMark/>
          </w:tcPr>
          <w:p w14:paraId="774AC0B4" w14:textId="2B28C593"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r>
      <w:tr w:rsidR="00AC1E67" w:rsidRPr="00A00187" w14:paraId="6710D557" w14:textId="77777777" w:rsidTr="00866AF9">
        <w:trPr>
          <w:trHeight w:val="315"/>
        </w:trPr>
        <w:tc>
          <w:tcPr>
            <w:tcW w:w="2796" w:type="dxa"/>
            <w:tcBorders>
              <w:top w:val="nil"/>
              <w:left w:val="nil"/>
              <w:bottom w:val="single" w:sz="4" w:space="0" w:color="auto"/>
              <w:right w:val="nil"/>
            </w:tcBorders>
            <w:shd w:val="clear" w:color="auto" w:fill="auto"/>
            <w:noWrap/>
            <w:vAlign w:val="bottom"/>
            <w:hideMark/>
          </w:tcPr>
          <w:p w14:paraId="00D090D1"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KS Hr. Králové</w:t>
            </w:r>
          </w:p>
        </w:tc>
        <w:tc>
          <w:tcPr>
            <w:tcW w:w="1345" w:type="dxa"/>
            <w:tcBorders>
              <w:top w:val="nil"/>
              <w:left w:val="nil"/>
              <w:bottom w:val="single" w:sz="4" w:space="0" w:color="auto"/>
              <w:right w:val="nil"/>
            </w:tcBorders>
            <w:shd w:val="clear" w:color="auto" w:fill="auto"/>
            <w:noWrap/>
            <w:vAlign w:val="bottom"/>
            <w:hideMark/>
          </w:tcPr>
          <w:p w14:paraId="5C50437E"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96</w:t>
            </w:r>
          </w:p>
        </w:tc>
        <w:tc>
          <w:tcPr>
            <w:tcW w:w="1851" w:type="dxa"/>
            <w:tcBorders>
              <w:top w:val="nil"/>
              <w:left w:val="nil"/>
              <w:bottom w:val="single" w:sz="4" w:space="0" w:color="auto"/>
              <w:right w:val="nil"/>
            </w:tcBorders>
            <w:shd w:val="clear" w:color="auto" w:fill="auto"/>
            <w:noWrap/>
            <w:vAlign w:val="center"/>
            <w:hideMark/>
          </w:tcPr>
          <w:p w14:paraId="0E3A2101" w14:textId="56305219"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755361D8" w14:textId="77777777" w:rsidTr="00866AF9">
        <w:trPr>
          <w:trHeight w:val="315"/>
        </w:trPr>
        <w:tc>
          <w:tcPr>
            <w:tcW w:w="2796" w:type="dxa"/>
            <w:tcBorders>
              <w:top w:val="nil"/>
              <w:left w:val="nil"/>
              <w:bottom w:val="single" w:sz="4" w:space="0" w:color="auto"/>
              <w:right w:val="nil"/>
            </w:tcBorders>
            <w:shd w:val="clear" w:color="auto" w:fill="auto"/>
            <w:noWrap/>
            <w:vAlign w:val="bottom"/>
            <w:hideMark/>
          </w:tcPr>
          <w:p w14:paraId="0BD54A5E"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KS Brno</w:t>
            </w:r>
          </w:p>
        </w:tc>
        <w:tc>
          <w:tcPr>
            <w:tcW w:w="1345" w:type="dxa"/>
            <w:tcBorders>
              <w:top w:val="nil"/>
              <w:left w:val="nil"/>
              <w:bottom w:val="single" w:sz="4" w:space="0" w:color="auto"/>
              <w:right w:val="nil"/>
            </w:tcBorders>
            <w:shd w:val="clear" w:color="auto" w:fill="auto"/>
            <w:noWrap/>
            <w:vAlign w:val="bottom"/>
            <w:hideMark/>
          </w:tcPr>
          <w:p w14:paraId="1092B0DF"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118</w:t>
            </w:r>
          </w:p>
        </w:tc>
        <w:tc>
          <w:tcPr>
            <w:tcW w:w="1851" w:type="dxa"/>
            <w:tcBorders>
              <w:top w:val="nil"/>
              <w:left w:val="nil"/>
              <w:bottom w:val="single" w:sz="4" w:space="0" w:color="auto"/>
              <w:right w:val="nil"/>
            </w:tcBorders>
            <w:shd w:val="clear" w:color="auto" w:fill="auto"/>
            <w:noWrap/>
            <w:vAlign w:val="center"/>
            <w:hideMark/>
          </w:tcPr>
          <w:p w14:paraId="669821BE" w14:textId="16CA5DAE"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r>
      <w:tr w:rsidR="00AC1E67" w:rsidRPr="00A00187" w14:paraId="23F12977" w14:textId="77777777" w:rsidTr="00866AF9">
        <w:trPr>
          <w:trHeight w:val="330"/>
        </w:trPr>
        <w:tc>
          <w:tcPr>
            <w:tcW w:w="2796" w:type="dxa"/>
            <w:tcBorders>
              <w:top w:val="nil"/>
              <w:left w:val="nil"/>
              <w:bottom w:val="double" w:sz="6" w:space="0" w:color="auto"/>
              <w:right w:val="nil"/>
            </w:tcBorders>
            <w:shd w:val="clear" w:color="auto" w:fill="auto"/>
            <w:noWrap/>
            <w:vAlign w:val="bottom"/>
            <w:hideMark/>
          </w:tcPr>
          <w:p w14:paraId="1ADD83EC" w14:textId="77777777" w:rsidR="00866AF9" w:rsidRPr="00A00187" w:rsidRDefault="00866AF9" w:rsidP="00866AF9">
            <w:pPr>
              <w:spacing w:line="240" w:lineRule="auto"/>
              <w:jc w:val="left"/>
              <w:rPr>
                <w:rFonts w:eastAsia="Times New Roman"/>
                <w:szCs w:val="24"/>
                <w:lang w:eastAsia="cs-CZ"/>
              </w:rPr>
            </w:pPr>
            <w:r w:rsidRPr="00A00187">
              <w:rPr>
                <w:rFonts w:eastAsia="Times New Roman"/>
                <w:szCs w:val="24"/>
                <w:lang w:eastAsia="cs-CZ"/>
              </w:rPr>
              <w:t>KS Ostrava</w:t>
            </w:r>
          </w:p>
        </w:tc>
        <w:tc>
          <w:tcPr>
            <w:tcW w:w="1345" w:type="dxa"/>
            <w:tcBorders>
              <w:top w:val="nil"/>
              <w:left w:val="nil"/>
              <w:bottom w:val="double" w:sz="6" w:space="0" w:color="auto"/>
              <w:right w:val="nil"/>
            </w:tcBorders>
            <w:shd w:val="clear" w:color="auto" w:fill="auto"/>
            <w:noWrap/>
            <w:vAlign w:val="bottom"/>
            <w:hideMark/>
          </w:tcPr>
          <w:p w14:paraId="3F1AB04E" w14:textId="77777777" w:rsidR="00866AF9" w:rsidRPr="00A00187" w:rsidRDefault="00866AF9" w:rsidP="00866AF9">
            <w:pPr>
              <w:spacing w:line="240" w:lineRule="auto"/>
              <w:jc w:val="center"/>
              <w:rPr>
                <w:rFonts w:eastAsia="Times New Roman"/>
                <w:szCs w:val="24"/>
                <w:lang w:eastAsia="cs-CZ"/>
              </w:rPr>
            </w:pPr>
            <w:r w:rsidRPr="00A00187">
              <w:rPr>
                <w:rFonts w:eastAsia="Times New Roman"/>
                <w:szCs w:val="24"/>
                <w:lang w:eastAsia="cs-CZ"/>
              </w:rPr>
              <w:t>112</w:t>
            </w:r>
          </w:p>
        </w:tc>
        <w:tc>
          <w:tcPr>
            <w:tcW w:w="1851" w:type="dxa"/>
            <w:tcBorders>
              <w:top w:val="nil"/>
              <w:left w:val="nil"/>
              <w:bottom w:val="double" w:sz="6" w:space="0" w:color="auto"/>
              <w:right w:val="nil"/>
            </w:tcBorders>
            <w:shd w:val="clear" w:color="auto" w:fill="auto"/>
            <w:noWrap/>
            <w:vAlign w:val="center"/>
            <w:hideMark/>
          </w:tcPr>
          <w:p w14:paraId="7DEA6352" w14:textId="6C789275" w:rsidR="00866AF9" w:rsidRPr="00A00187" w:rsidRDefault="00866AF9"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5A34B667" w14:textId="77777777" w:rsidTr="00866AF9">
        <w:trPr>
          <w:trHeight w:val="345"/>
        </w:trPr>
        <w:tc>
          <w:tcPr>
            <w:tcW w:w="2796" w:type="dxa"/>
            <w:tcBorders>
              <w:top w:val="nil"/>
              <w:left w:val="nil"/>
              <w:bottom w:val="double" w:sz="6" w:space="0" w:color="auto"/>
              <w:right w:val="nil"/>
            </w:tcBorders>
            <w:shd w:val="clear" w:color="auto" w:fill="auto"/>
            <w:noWrap/>
            <w:vAlign w:val="bottom"/>
            <w:hideMark/>
          </w:tcPr>
          <w:p w14:paraId="75D08AA0" w14:textId="77777777" w:rsidR="00866AF9" w:rsidRPr="00A00187" w:rsidRDefault="00866AF9" w:rsidP="00866AF9">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345" w:type="dxa"/>
            <w:tcBorders>
              <w:top w:val="nil"/>
              <w:left w:val="nil"/>
              <w:bottom w:val="double" w:sz="6" w:space="0" w:color="auto"/>
              <w:right w:val="nil"/>
            </w:tcBorders>
            <w:shd w:val="clear" w:color="auto" w:fill="auto"/>
            <w:noWrap/>
            <w:vAlign w:val="bottom"/>
            <w:hideMark/>
          </w:tcPr>
          <w:p w14:paraId="5C631881" w14:textId="77777777" w:rsidR="00866AF9" w:rsidRPr="00A00187" w:rsidRDefault="00866AF9" w:rsidP="00866AF9">
            <w:pPr>
              <w:spacing w:line="240" w:lineRule="auto"/>
              <w:jc w:val="center"/>
              <w:rPr>
                <w:rFonts w:eastAsia="Times New Roman"/>
                <w:b/>
                <w:bCs/>
                <w:szCs w:val="24"/>
                <w:lang w:eastAsia="cs-CZ"/>
              </w:rPr>
            </w:pPr>
            <w:r w:rsidRPr="00A00187">
              <w:rPr>
                <w:rFonts w:eastAsia="Times New Roman"/>
                <w:b/>
                <w:bCs/>
                <w:szCs w:val="24"/>
                <w:lang w:eastAsia="cs-CZ"/>
              </w:rPr>
              <w:t>101</w:t>
            </w:r>
          </w:p>
        </w:tc>
        <w:tc>
          <w:tcPr>
            <w:tcW w:w="1851" w:type="dxa"/>
            <w:tcBorders>
              <w:top w:val="nil"/>
              <w:left w:val="nil"/>
              <w:bottom w:val="double" w:sz="6" w:space="0" w:color="auto"/>
              <w:right w:val="nil"/>
            </w:tcBorders>
            <w:shd w:val="clear" w:color="auto" w:fill="auto"/>
            <w:noWrap/>
            <w:vAlign w:val="center"/>
            <w:hideMark/>
          </w:tcPr>
          <w:p w14:paraId="60AFFAC8" w14:textId="68977FD2" w:rsidR="00866AF9" w:rsidRPr="00A00187" w:rsidRDefault="00866AF9"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-12</w:t>
            </w:r>
            <w:r w:rsidR="00CB570A">
              <w:rPr>
                <w:rFonts w:eastAsia="Times New Roman"/>
                <w:b/>
                <w:bCs/>
                <w:sz w:val="20"/>
                <w:szCs w:val="20"/>
                <w:lang w:eastAsia="cs-CZ"/>
              </w:rPr>
              <w:t> %</w:t>
            </w:r>
          </w:p>
        </w:tc>
      </w:tr>
      <w:tr w:rsidR="00AC1E67" w:rsidRPr="00A00187" w14:paraId="5B06C492" w14:textId="77777777" w:rsidTr="00866AF9">
        <w:trPr>
          <w:trHeight w:val="330"/>
        </w:trPr>
        <w:tc>
          <w:tcPr>
            <w:tcW w:w="2796" w:type="dxa"/>
            <w:tcBorders>
              <w:top w:val="nil"/>
              <w:left w:val="nil"/>
              <w:bottom w:val="nil"/>
              <w:right w:val="nil"/>
            </w:tcBorders>
            <w:shd w:val="clear" w:color="auto" w:fill="auto"/>
            <w:noWrap/>
            <w:vAlign w:val="bottom"/>
            <w:hideMark/>
          </w:tcPr>
          <w:p w14:paraId="33466EE7" w14:textId="77777777" w:rsidR="00866AF9" w:rsidRPr="00A00187" w:rsidRDefault="00866AF9" w:rsidP="00866AF9">
            <w:pPr>
              <w:spacing w:line="240" w:lineRule="auto"/>
              <w:jc w:val="center"/>
              <w:rPr>
                <w:rFonts w:eastAsia="Times New Roman"/>
                <w:b/>
                <w:bCs/>
                <w:sz w:val="20"/>
                <w:szCs w:val="20"/>
                <w:lang w:eastAsia="cs-CZ"/>
              </w:rPr>
            </w:pPr>
          </w:p>
        </w:tc>
        <w:tc>
          <w:tcPr>
            <w:tcW w:w="1345" w:type="dxa"/>
            <w:tcBorders>
              <w:top w:val="nil"/>
              <w:left w:val="nil"/>
              <w:bottom w:val="nil"/>
              <w:right w:val="nil"/>
            </w:tcBorders>
            <w:shd w:val="clear" w:color="auto" w:fill="auto"/>
            <w:noWrap/>
            <w:vAlign w:val="bottom"/>
            <w:hideMark/>
          </w:tcPr>
          <w:p w14:paraId="30195375" w14:textId="77777777" w:rsidR="00866AF9" w:rsidRPr="00A00187" w:rsidRDefault="00866AF9" w:rsidP="00866AF9">
            <w:pPr>
              <w:spacing w:line="240" w:lineRule="auto"/>
              <w:jc w:val="left"/>
              <w:rPr>
                <w:rFonts w:ascii="Times New Roman" w:eastAsia="Times New Roman" w:hAnsi="Times New Roman"/>
                <w:sz w:val="20"/>
                <w:szCs w:val="20"/>
                <w:lang w:eastAsia="cs-CZ"/>
              </w:rPr>
            </w:pPr>
          </w:p>
        </w:tc>
        <w:tc>
          <w:tcPr>
            <w:tcW w:w="1851" w:type="dxa"/>
            <w:tcBorders>
              <w:top w:val="nil"/>
              <w:left w:val="nil"/>
              <w:bottom w:val="nil"/>
              <w:right w:val="nil"/>
            </w:tcBorders>
            <w:shd w:val="clear" w:color="auto" w:fill="auto"/>
            <w:noWrap/>
            <w:vAlign w:val="bottom"/>
            <w:hideMark/>
          </w:tcPr>
          <w:p w14:paraId="56A38A8A" w14:textId="77777777" w:rsidR="00866AF9" w:rsidRPr="00A00187" w:rsidRDefault="00866AF9" w:rsidP="00866AF9">
            <w:pPr>
              <w:spacing w:line="240" w:lineRule="auto"/>
              <w:jc w:val="left"/>
              <w:rPr>
                <w:rFonts w:ascii="Times New Roman" w:eastAsia="Times New Roman" w:hAnsi="Times New Roman"/>
                <w:sz w:val="20"/>
                <w:szCs w:val="20"/>
                <w:lang w:eastAsia="cs-CZ"/>
              </w:rPr>
            </w:pPr>
          </w:p>
        </w:tc>
      </w:tr>
    </w:tbl>
    <w:p w14:paraId="03BE4549" w14:textId="46425A51" w:rsidR="00F63689" w:rsidRPr="00A00187" w:rsidRDefault="00B1399F" w:rsidP="00866AF9">
      <w:pPr>
        <w:pStyle w:val="OdstavecASR"/>
      </w:pPr>
      <w:r w:rsidRPr="00A00187">
        <w:t>Pozorujeme</w:t>
      </w:r>
      <w:r w:rsidR="00866AF9" w:rsidRPr="00A00187">
        <w:t xml:space="preserve">, že (stejně jako </w:t>
      </w:r>
      <w:r w:rsidR="00726EC3" w:rsidRPr="00A00187">
        <w:t>u</w:t>
      </w:r>
      <w:r w:rsidR="00726EC3">
        <w:t> </w:t>
      </w:r>
      <w:r w:rsidR="00866AF9" w:rsidRPr="00A00187">
        <w:t xml:space="preserve">nevyřízených věcí na soudce) </w:t>
      </w:r>
      <w:r w:rsidR="004F7609" w:rsidRPr="00A00187">
        <w:t xml:space="preserve">jsou </w:t>
      </w:r>
      <w:r w:rsidR="00866AF9" w:rsidRPr="00A00187">
        <w:t>hodnoty DT relativně vyrovnan</w:t>
      </w:r>
      <w:r w:rsidRPr="00A00187">
        <w:t>é</w:t>
      </w:r>
      <w:r w:rsidR="00866AF9" w:rsidRPr="00A00187">
        <w:t xml:space="preserve"> – rozhodně mnohem </w:t>
      </w:r>
      <w:r w:rsidR="001F5E5B" w:rsidRPr="00A00187">
        <w:t>vyrovnanější</w:t>
      </w:r>
      <w:r w:rsidR="00866AF9" w:rsidRPr="00A00187">
        <w:t xml:space="preserve"> než dříve. Je to vidět </w:t>
      </w:r>
      <w:r w:rsidR="00726EC3" w:rsidRPr="00A00187">
        <w:t>i</w:t>
      </w:r>
      <w:r w:rsidR="00726EC3">
        <w:t> </w:t>
      </w:r>
      <w:r w:rsidR="00866AF9" w:rsidRPr="00A00187">
        <w:t>na kartogramu</w:t>
      </w:r>
      <w:r w:rsidR="0019594A" w:rsidRPr="00A00187">
        <w:t>.</w:t>
      </w:r>
      <w:r w:rsidR="00866AF9" w:rsidRPr="00A00187">
        <w:t xml:space="preserve"> </w:t>
      </w:r>
      <w:r w:rsidR="0019594A" w:rsidRPr="00A00187">
        <w:t>J</w:t>
      </w:r>
      <w:r w:rsidR="00866AF9" w:rsidRPr="00A00187">
        <w:t xml:space="preserve">iž několik let </w:t>
      </w:r>
      <w:r w:rsidR="0019594A" w:rsidRPr="00A00187">
        <w:t xml:space="preserve">přitom </w:t>
      </w:r>
      <w:r w:rsidR="00866AF9" w:rsidRPr="00A00187">
        <w:t xml:space="preserve">platí, že Severočeský kraj není zdaleka „nejčervenější“. </w:t>
      </w:r>
      <w:r w:rsidR="0019594A" w:rsidRPr="00A00187">
        <w:t xml:space="preserve">Dodáváme, </w:t>
      </w:r>
      <w:r w:rsidR="00F63689" w:rsidRPr="00A00187">
        <w:t xml:space="preserve">že </w:t>
      </w:r>
      <w:r w:rsidR="00726EC3" w:rsidRPr="00A00187">
        <w:t>v</w:t>
      </w:r>
      <w:r w:rsidR="00726EC3">
        <w:t> </w:t>
      </w:r>
      <w:r w:rsidR="00F63689" w:rsidRPr="00A00187">
        <w:t>kartogram</w:t>
      </w:r>
      <w:r w:rsidRPr="00A00187">
        <w:t>u</w:t>
      </w:r>
      <w:r w:rsidR="00984A00" w:rsidRPr="00A00187">
        <w:t xml:space="preserve"> níže </w:t>
      </w:r>
      <w:r w:rsidR="00F63689" w:rsidRPr="00A00187">
        <w:t>byly změněny intervaly za účelem podrobnějšího srovnání mezi soudy v </w:t>
      </w:r>
      <w:r w:rsidR="00984A00" w:rsidRPr="00A00187">
        <w:t>roce 2021</w:t>
      </w:r>
      <w:r w:rsidR="00F63689" w:rsidRPr="00A00187">
        <w:t xml:space="preserve">. Proto může mapa vypadat </w:t>
      </w:r>
      <w:r w:rsidR="00984A00" w:rsidRPr="00A00187">
        <w:t>tmavší</w:t>
      </w:r>
      <w:r w:rsidR="00F63689" w:rsidRPr="00A00187">
        <w:t xml:space="preserve"> než v loňském roce.</w:t>
      </w:r>
    </w:p>
    <w:p w14:paraId="002F1C3C" w14:textId="77777777" w:rsidR="00CB570A" w:rsidRDefault="00866AF9" w:rsidP="00866AF9">
      <w:pPr>
        <w:pStyle w:val="OdstavecASR"/>
      </w:pPr>
      <w:r w:rsidRPr="00A00187">
        <w:t xml:space="preserve">Vyrovnanost potvrzuje i krabicový graf, kde </w:t>
      </w:r>
      <w:r w:rsidR="0005126D" w:rsidRPr="00A00187">
        <w:t xml:space="preserve">v roce 2021 </w:t>
      </w:r>
      <w:r w:rsidRPr="00A00187">
        <w:t>vidíme pouze jednu odlehlou hodnotu.</w:t>
      </w:r>
    </w:p>
    <w:p w14:paraId="61B76864" w14:textId="56E09132" w:rsidR="00F63689" w:rsidRPr="00A00187" w:rsidRDefault="00866AF9" w:rsidP="00866AF9">
      <w:pPr>
        <w:pStyle w:val="OdstavecASR"/>
      </w:pPr>
      <w:r w:rsidRPr="00A00187">
        <w:t xml:space="preserve">Jak jsme uvedli již dříve, ukazatel </w:t>
      </w:r>
      <w:proofErr w:type="spellStart"/>
      <w:r w:rsidRPr="00A00187">
        <w:t>disposition</w:t>
      </w:r>
      <w:proofErr w:type="spellEnd"/>
      <w:r w:rsidRPr="00A00187">
        <w:t xml:space="preserve"> </w:t>
      </w:r>
      <w:proofErr w:type="spellStart"/>
      <w:r w:rsidRPr="00A00187">
        <w:t>time</w:t>
      </w:r>
      <w:proofErr w:type="spellEnd"/>
      <w:r w:rsidRPr="00A00187">
        <w:t xml:space="preserve"> slouží zejména k porovnání mezi jednotlivými soudy a nesmí být zaměňován s délkou řízení.</w:t>
      </w:r>
    </w:p>
    <w:p w14:paraId="0C878ED6" w14:textId="7A29F28B" w:rsidR="00F63689" w:rsidRPr="00A00187" w:rsidRDefault="00F63689" w:rsidP="00F63689">
      <w:pPr>
        <w:pStyle w:val="Podnadpis"/>
        <w:rPr>
          <w:color w:val="auto"/>
        </w:rPr>
      </w:pPr>
      <w:bookmarkStart w:id="476" w:name="_Toc515871370"/>
      <w:bookmarkStart w:id="477" w:name="_Toc11135102"/>
      <w:bookmarkStart w:id="478" w:name="_Toc43841421"/>
      <w:bookmarkStart w:id="479" w:name="_Toc75952225"/>
      <w:bookmarkStart w:id="480" w:name="_Toc106106677"/>
      <w:bookmarkStart w:id="481" w:name="_Toc109802001"/>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43</w:t>
      </w:r>
      <w:r w:rsidRPr="00A00187">
        <w:rPr>
          <w:noProof/>
          <w:color w:val="auto"/>
        </w:rPr>
        <w:fldChar w:fldCharType="end"/>
      </w:r>
      <w:r w:rsidRPr="00A00187">
        <w:rPr>
          <w:color w:val="auto"/>
        </w:rPr>
        <w:t xml:space="preserve">: OS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v opatrovnické agendě u jednotlivých soudů</w:t>
      </w:r>
      <w:bookmarkEnd w:id="476"/>
      <w:bookmarkEnd w:id="477"/>
      <w:bookmarkEnd w:id="478"/>
      <w:bookmarkEnd w:id="479"/>
      <w:bookmarkEnd w:id="480"/>
      <w:bookmarkEnd w:id="481"/>
    </w:p>
    <w:p w14:paraId="7A93D729" w14:textId="77777777" w:rsidR="004838ED" w:rsidRDefault="009B3D6B">
      <w:pPr>
        <w:spacing w:after="160" w:line="259" w:lineRule="auto"/>
        <w:jc w:val="left"/>
      </w:pPr>
      <w:r w:rsidRPr="00A00187">
        <w:rPr>
          <w:noProof/>
        </w:rPr>
        <w:drawing>
          <wp:anchor distT="0" distB="0" distL="114300" distR="114300" simplePos="0" relativeHeight="251686912" behindDoc="0" locked="0" layoutInCell="1" allowOverlap="1" wp14:anchorId="2E08F366" wp14:editId="369668F7">
            <wp:simplePos x="0" y="0"/>
            <wp:positionH relativeFrom="margin">
              <wp:align>right</wp:align>
            </wp:positionH>
            <wp:positionV relativeFrom="paragraph">
              <wp:posOffset>5080</wp:posOffset>
            </wp:positionV>
            <wp:extent cx="1238400" cy="900000"/>
            <wp:effectExtent l="0" t="0" r="0" b="0"/>
            <wp:wrapNone/>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38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3689" w:rsidRPr="00A00187">
        <w:rPr>
          <w:noProof/>
        </w:rPr>
        <w:drawing>
          <wp:inline distT="0" distB="0" distL="0" distR="0" wp14:anchorId="0B38B9E9" wp14:editId="54931FF5">
            <wp:extent cx="5759450" cy="3296285"/>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5138D671" w14:textId="5DDCCC3B" w:rsidR="00F63689" w:rsidRPr="00A00187" w:rsidRDefault="00F63689">
      <w:pPr>
        <w:spacing w:after="160" w:line="259" w:lineRule="auto"/>
        <w:jc w:val="left"/>
      </w:pPr>
      <w:r w:rsidRPr="00A00187">
        <w:br w:type="page"/>
      </w:r>
    </w:p>
    <w:p w14:paraId="16F0D561" w14:textId="2BF52BBC" w:rsidR="0037153D" w:rsidRPr="00A00187" w:rsidRDefault="0037153D" w:rsidP="0037153D">
      <w:pPr>
        <w:pStyle w:val="Podnadpis"/>
        <w:rPr>
          <w:b w:val="0"/>
          <w:iCs w:val="0"/>
          <w:color w:val="auto"/>
        </w:rPr>
      </w:pPr>
      <w:r w:rsidRPr="00A00187">
        <w:rPr>
          <w:color w:val="auto"/>
        </w:rPr>
        <w:lastRenderedPageBreak/>
        <w:t>Graf 46: OS – krabicové grafy, DT opatrovnické agendy</w:t>
      </w:r>
    </w:p>
    <w:p w14:paraId="7A0EE63C" w14:textId="771DE687" w:rsidR="0037153D" w:rsidRPr="00A00187" w:rsidRDefault="0037153D" w:rsidP="0037153D">
      <w:r w:rsidRPr="00A00187">
        <w:rPr>
          <w:noProof/>
        </w:rPr>
        <w:drawing>
          <wp:inline distT="0" distB="0" distL="0" distR="0" wp14:anchorId="63198210" wp14:editId="3D1F5C1F">
            <wp:extent cx="5029200" cy="3657600"/>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bookmarkEnd w:id="468"/>
    <w:p w14:paraId="2669B7B4" w14:textId="77777777" w:rsidR="009B3D6B" w:rsidRPr="00A00187" w:rsidRDefault="009B3D6B" w:rsidP="009B3D6B">
      <w:pPr>
        <w:pStyle w:val="OdstavecASR"/>
      </w:pPr>
    </w:p>
    <w:p w14:paraId="6B2BE22F" w14:textId="0492C0F4" w:rsidR="009B3D6B" w:rsidRPr="00A00187" w:rsidRDefault="009B3D6B" w:rsidP="001F5E5B">
      <w:pPr>
        <w:pStyle w:val="OdstavecASR"/>
      </w:pPr>
      <w:r w:rsidRPr="00A00187">
        <w:t>Data v této kapitole můžeme shrnout tak, že před rokem 2014 byla situace v opatrovnické agendě velmi podobná situaci v agendě občanskoprávní, a pokud jde o rozdíly mezi soudy, problémy měly především okresní soudy spadající pod KS Brno a KS Ústí nad Labem. V letech 2014 a 2015 došlo k velkému nárůstu počtu napadlých věcí. To negativně ovlivnilo rychlost vyřizování agendy v celé ČR. Na některé soudy byl dopad horší než na jiné. V letech 2015 a 2016 se soudům pozvolna dařilo vyrovnat se s nárůstem vyřizované agendy a tento trend pokračoval i v letech 2017 a 2018, kdy se rozdíly mezi jednotlivými okresními soudy dále zmenšovaly (šedé boxy jsou kompaktnější, „vousy“ kratší a odlehlé OS / body jsou blíže k hornímu „vousu“, tedy přibližují se k ostatním okresním soudům). V roce 2019 nedošlo k velkým změnám oproti roku 2018. Rok 2020 byl ovlivněn pandemií COVID</w:t>
      </w:r>
      <w:r w:rsidRPr="00A00187">
        <w:noBreakHyphen/>
        <w:t xml:space="preserve">19 a došlo tak k výraznému poklesu nápadu. Pandemie ale nezabránila soudům úspěšně vyřizovat věci. Došlo </w:t>
      </w:r>
      <w:r w:rsidR="00962202" w:rsidRPr="00A00187">
        <w:t>proto</w:t>
      </w:r>
      <w:r w:rsidRPr="00A00187">
        <w:t xml:space="preserve"> k mírným poklesům počtu nevyřízených věcí</w:t>
      </w:r>
      <w:r w:rsidR="00962202" w:rsidRPr="00A00187">
        <w:t>,</w:t>
      </w:r>
      <w:r w:rsidRPr="00A00187">
        <w:t xml:space="preserve"> a také k poklesu ve variabilitě mezi soudy. Obdobný závěr platí </w:t>
      </w:r>
      <w:r w:rsidR="00726EC3" w:rsidRPr="00A00187">
        <w:t>i</w:t>
      </w:r>
      <w:r w:rsidR="00726EC3">
        <w:t> </w:t>
      </w:r>
      <w:r w:rsidRPr="00A00187">
        <w:t>pro rok 2021, pokles v počtu nevyřízených věcí byl ale markantnější než v roce 2020</w:t>
      </w:r>
      <w:r w:rsidR="006A7CFD" w:rsidRPr="00A00187">
        <w:t>.</w:t>
      </w:r>
    </w:p>
    <w:p w14:paraId="32BE4A87" w14:textId="3253DE9B" w:rsidR="008430BD" w:rsidRPr="00A00187" w:rsidRDefault="008430BD" w:rsidP="008430BD">
      <w:pPr>
        <w:pStyle w:val="Nadpis3"/>
        <w:numPr>
          <w:ilvl w:val="2"/>
          <w:numId w:val="1"/>
        </w:numPr>
        <w:rPr>
          <w:color w:val="auto"/>
        </w:rPr>
      </w:pPr>
      <w:bookmarkStart w:id="482" w:name="_Toc515871240"/>
      <w:bookmarkStart w:id="483" w:name="_Toc106092742"/>
      <w:bookmarkStart w:id="484" w:name="_Toc109801354"/>
      <w:r w:rsidRPr="00A00187">
        <w:rPr>
          <w:color w:val="auto"/>
        </w:rPr>
        <w:t>Další statistiky</w:t>
      </w:r>
      <w:bookmarkEnd w:id="482"/>
      <w:bookmarkEnd w:id="483"/>
      <w:bookmarkEnd w:id="484"/>
    </w:p>
    <w:p w14:paraId="25491642" w14:textId="071C11AC" w:rsidR="00917211" w:rsidRPr="00A00187" w:rsidRDefault="00047CBD" w:rsidP="00047CBD">
      <w:r w:rsidRPr="00A00187">
        <w:t xml:space="preserve">V této výroční zprávě se více zaměříme na opatrovnickou agendu </w:t>
      </w:r>
      <w:r w:rsidR="00726EC3" w:rsidRPr="00A00187">
        <w:t>a</w:t>
      </w:r>
      <w:r w:rsidR="00726EC3">
        <w:t> </w:t>
      </w:r>
      <w:r w:rsidRPr="00A00187">
        <w:t>statistik</w:t>
      </w:r>
      <w:r w:rsidR="0019594A" w:rsidRPr="00A00187">
        <w:t>y</w:t>
      </w:r>
      <w:r w:rsidRPr="00A00187">
        <w:t xml:space="preserve"> s ní související. Proto bude tato část delší než v předchozích vydáních zprávy. </w:t>
      </w:r>
      <w:r w:rsidR="00917211" w:rsidRPr="00A00187">
        <w:t xml:space="preserve">Stejně jako </w:t>
      </w:r>
      <w:r w:rsidR="00726EC3" w:rsidRPr="00A00187">
        <w:t>u</w:t>
      </w:r>
      <w:r w:rsidR="00726EC3">
        <w:t> </w:t>
      </w:r>
      <w:r w:rsidR="00962202" w:rsidRPr="00A00187">
        <w:t>civilní či trestní agendy</w:t>
      </w:r>
      <w:r w:rsidR="00917211" w:rsidRPr="00A00187">
        <w:t xml:space="preserve"> </w:t>
      </w:r>
      <w:r w:rsidR="0091168A" w:rsidRPr="00A00187">
        <w:t>nově uvádíme míru</w:t>
      </w:r>
      <w:r w:rsidR="00917211" w:rsidRPr="00A00187">
        <w:t xml:space="preserve"> odvolání </w:t>
      </w:r>
      <w:r w:rsidR="00726EC3" w:rsidRPr="00A00187">
        <w:t>a</w:t>
      </w:r>
      <w:r w:rsidR="00726EC3">
        <w:t> </w:t>
      </w:r>
      <w:r w:rsidR="0005126D" w:rsidRPr="00A00187">
        <w:t xml:space="preserve">míru </w:t>
      </w:r>
      <w:r w:rsidR="00917211" w:rsidRPr="00A00187">
        <w:t>změny rozsudku.</w:t>
      </w:r>
    </w:p>
    <w:p w14:paraId="15B838A4" w14:textId="530E40EF" w:rsidR="009917DD" w:rsidRPr="00A00187" w:rsidRDefault="009917DD" w:rsidP="009917DD">
      <w:pPr>
        <w:pStyle w:val="OdstavecASR"/>
      </w:pPr>
      <w:r w:rsidRPr="00A00187">
        <w:t>Jednou z </w:t>
      </w:r>
      <w:r w:rsidR="0005126D" w:rsidRPr="00A00187">
        <w:t>nejrozsáhlejších</w:t>
      </w:r>
      <w:r w:rsidRPr="00A00187">
        <w:t xml:space="preserve"> a nejvýznamnějších agend, které jsou na opatrovnickém úseku soudů vyřizovány, je rozhodování o výživném (nyní § 910 a násl. o. z.), tedy rozhodování o tom, který z rodičů a kolik má platit na výživu svého nezletilého potomka (případně zletilého dítěte, bylo-li řízení zahájeno před nabytím jeho zletilosti).</w:t>
      </w:r>
      <w:r w:rsidR="00047CBD" w:rsidRPr="00A00187">
        <w:t xml:space="preserve"> </w:t>
      </w:r>
      <w:r w:rsidRPr="00A00187">
        <w:t xml:space="preserve">S výživným úzce souvisí rozhodování </w:t>
      </w:r>
      <w:r w:rsidR="00726EC3" w:rsidRPr="00A00187">
        <w:t>o</w:t>
      </w:r>
      <w:r w:rsidR="00726EC3">
        <w:t> </w:t>
      </w:r>
      <w:r w:rsidRPr="00A00187">
        <w:t>svěření dítěte do péče. Dále se tedy věnujeme této problematice.</w:t>
      </w:r>
      <w:r w:rsidR="00A879E5" w:rsidRPr="00A00187">
        <w:t xml:space="preserve"> Opatrovnická agenda ale nezahrnuje pouze </w:t>
      </w:r>
      <w:r w:rsidR="00A879E5" w:rsidRPr="00A00187">
        <w:lastRenderedPageBreak/>
        <w:t xml:space="preserve">rozhodování </w:t>
      </w:r>
      <w:r w:rsidR="00726EC3" w:rsidRPr="00A00187">
        <w:t>o</w:t>
      </w:r>
      <w:r w:rsidR="00726EC3">
        <w:t> </w:t>
      </w:r>
      <w:r w:rsidR="00A879E5" w:rsidRPr="00A00187">
        <w:t xml:space="preserve">dětech, ale </w:t>
      </w:r>
      <w:r w:rsidR="00726EC3" w:rsidRPr="00A00187">
        <w:t>i</w:t>
      </w:r>
      <w:r w:rsidR="00726EC3">
        <w:t> </w:t>
      </w:r>
      <w:r w:rsidR="00726EC3" w:rsidRPr="00A00187">
        <w:t>o</w:t>
      </w:r>
      <w:r w:rsidR="00726EC3">
        <w:t> </w:t>
      </w:r>
      <w:r w:rsidR="00A879E5" w:rsidRPr="00A00187">
        <w:t xml:space="preserve">dospělých. V poslední části této podkapitoly se </w:t>
      </w:r>
      <w:r w:rsidR="00C2133B" w:rsidRPr="00A00187">
        <w:t>proto</w:t>
      </w:r>
      <w:r w:rsidR="00A879E5" w:rsidRPr="00A00187">
        <w:t xml:space="preserve"> věnujeme vybraným rozhodnutí</w:t>
      </w:r>
      <w:r w:rsidR="0019594A" w:rsidRPr="00A00187">
        <w:t>m</w:t>
      </w:r>
      <w:r w:rsidR="00A879E5" w:rsidRPr="00A00187">
        <w:t xml:space="preserve"> </w:t>
      </w:r>
      <w:r w:rsidR="00726EC3" w:rsidRPr="00A00187">
        <w:t>o</w:t>
      </w:r>
      <w:r w:rsidR="00726EC3">
        <w:t> </w:t>
      </w:r>
      <w:r w:rsidR="00A879E5" w:rsidRPr="00A00187">
        <w:t>dospělých osobách.</w:t>
      </w:r>
    </w:p>
    <w:p w14:paraId="4CC1089C" w14:textId="77777777" w:rsidR="00917211" w:rsidRPr="00A00187" w:rsidRDefault="00917211" w:rsidP="007F73C9">
      <w:pPr>
        <w:pStyle w:val="OdstavecASR"/>
        <w:keepNext/>
        <w:outlineLvl w:val="3"/>
        <w:rPr>
          <w:b/>
          <w:bCs/>
        </w:rPr>
      </w:pPr>
      <w:bookmarkStart w:id="485" w:name="_Ref510766269"/>
      <w:bookmarkStart w:id="486" w:name="_Toc515871372"/>
      <w:bookmarkStart w:id="487" w:name="_Toc11135103"/>
      <w:bookmarkStart w:id="488" w:name="_Toc43841422"/>
      <w:r w:rsidRPr="00A00187">
        <w:rPr>
          <w:b/>
          <w:bCs/>
        </w:rPr>
        <w:t>Míra odvolání</w:t>
      </w:r>
    </w:p>
    <w:p w14:paraId="1C3333F6" w14:textId="76F4F2E7" w:rsidR="00AA6138" w:rsidRPr="00A00187" w:rsidRDefault="00917211" w:rsidP="00AA6138">
      <w:pPr>
        <w:pStyle w:val="OdstavecASR"/>
      </w:pPr>
      <w:r w:rsidRPr="00A00187">
        <w:t xml:space="preserve">Míra odvolání je vypočtena stejnou metodikou jako míra odvolání </w:t>
      </w:r>
      <w:r w:rsidR="00726EC3" w:rsidRPr="00A00187">
        <w:t>u</w:t>
      </w:r>
      <w:r w:rsidR="00726EC3">
        <w:t> </w:t>
      </w:r>
      <w:r w:rsidRPr="00A00187">
        <w:t>civilního řízení</w:t>
      </w:r>
      <w:r w:rsidR="0019594A" w:rsidRPr="00A00187">
        <w:t>; výsledky uvádíme</w:t>
      </w:r>
      <w:r w:rsidRPr="00A00187">
        <w:t xml:space="preserve"> níže v tabulce </w:t>
      </w:r>
      <w:r w:rsidR="00726EC3" w:rsidRPr="00A00187">
        <w:t>a</w:t>
      </w:r>
      <w:r w:rsidR="00726EC3">
        <w:t> </w:t>
      </w:r>
      <w:r w:rsidRPr="00A00187">
        <w:t>grafu.</w:t>
      </w:r>
    </w:p>
    <w:p w14:paraId="735D228E" w14:textId="0C40199D" w:rsidR="00AA6138" w:rsidRPr="00A00187" w:rsidRDefault="00AA6138" w:rsidP="00AA6138">
      <w:pPr>
        <w:pStyle w:val="Podnadpis"/>
        <w:rPr>
          <w:color w:val="auto"/>
        </w:rPr>
      </w:pPr>
      <w:bookmarkStart w:id="489" w:name="_Toc106106794"/>
      <w:bookmarkStart w:id="490" w:name="_Toc109802117"/>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32</w:t>
      </w:r>
      <w:r w:rsidRPr="00A00187">
        <w:rPr>
          <w:noProof/>
          <w:color w:val="auto"/>
        </w:rPr>
        <w:fldChar w:fldCharType="end"/>
      </w:r>
      <w:r w:rsidRPr="00A00187">
        <w:rPr>
          <w:color w:val="auto"/>
        </w:rPr>
        <w:t>: OS – míra odvolání dle krajů v </w:t>
      </w:r>
      <w:r w:rsidR="0091168A" w:rsidRPr="00A00187">
        <w:rPr>
          <w:color w:val="auto"/>
        </w:rPr>
        <w:t xml:space="preserve">opatrovnickém </w:t>
      </w:r>
      <w:r w:rsidRPr="00A00187">
        <w:rPr>
          <w:color w:val="auto"/>
        </w:rPr>
        <w:t>řízení</w:t>
      </w:r>
      <w:bookmarkEnd w:id="489"/>
      <w:bookmarkEnd w:id="490"/>
    </w:p>
    <w:tbl>
      <w:tblPr>
        <w:tblW w:w="5252" w:type="dxa"/>
        <w:tblCellMar>
          <w:left w:w="70" w:type="dxa"/>
          <w:right w:w="70" w:type="dxa"/>
        </w:tblCellMar>
        <w:tblLook w:val="04A0" w:firstRow="1" w:lastRow="0" w:firstColumn="1" w:lastColumn="0" w:noHBand="0" w:noVBand="1"/>
      </w:tblPr>
      <w:tblGrid>
        <w:gridCol w:w="2796"/>
        <w:gridCol w:w="2456"/>
      </w:tblGrid>
      <w:tr w:rsidR="00AC1E67" w:rsidRPr="00A00187" w14:paraId="3D893CFE" w14:textId="77777777" w:rsidTr="00AA6138">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39A4301C" w14:textId="77777777" w:rsidR="00AA6138" w:rsidRPr="00A00187" w:rsidRDefault="00AA6138" w:rsidP="00AA6138">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2456" w:type="dxa"/>
            <w:tcBorders>
              <w:top w:val="double" w:sz="6" w:space="0" w:color="auto"/>
              <w:left w:val="nil"/>
              <w:bottom w:val="double" w:sz="6" w:space="0" w:color="auto"/>
              <w:right w:val="nil"/>
            </w:tcBorders>
            <w:shd w:val="clear" w:color="auto" w:fill="auto"/>
            <w:noWrap/>
            <w:vAlign w:val="center"/>
            <w:hideMark/>
          </w:tcPr>
          <w:p w14:paraId="6AD66262" w14:textId="140A0EF6" w:rsidR="00AA6138" w:rsidRPr="00A00187" w:rsidRDefault="00AA6138" w:rsidP="00AA6138">
            <w:pPr>
              <w:spacing w:line="240" w:lineRule="auto"/>
              <w:jc w:val="center"/>
              <w:rPr>
                <w:rFonts w:eastAsia="Times New Roman"/>
                <w:b/>
                <w:bCs/>
                <w:szCs w:val="24"/>
                <w:lang w:eastAsia="cs-CZ"/>
              </w:rPr>
            </w:pPr>
            <w:r w:rsidRPr="00A00187">
              <w:rPr>
                <w:rFonts w:eastAsia="Times New Roman"/>
                <w:b/>
                <w:bCs/>
                <w:szCs w:val="24"/>
                <w:lang w:eastAsia="cs-CZ"/>
              </w:rPr>
              <w:t xml:space="preserve">Míra odvolání </w:t>
            </w:r>
          </w:p>
        </w:tc>
      </w:tr>
      <w:tr w:rsidR="00AC1E67" w:rsidRPr="00A00187" w14:paraId="145509F4" w14:textId="77777777" w:rsidTr="00AA6138">
        <w:trPr>
          <w:trHeight w:val="330"/>
        </w:trPr>
        <w:tc>
          <w:tcPr>
            <w:tcW w:w="2796" w:type="dxa"/>
            <w:tcBorders>
              <w:top w:val="nil"/>
              <w:left w:val="nil"/>
              <w:bottom w:val="single" w:sz="4" w:space="0" w:color="auto"/>
              <w:right w:val="nil"/>
            </w:tcBorders>
            <w:shd w:val="clear" w:color="auto" w:fill="auto"/>
            <w:noWrap/>
            <w:vAlign w:val="bottom"/>
            <w:hideMark/>
          </w:tcPr>
          <w:p w14:paraId="54F5AB9F"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MS Praha</w:t>
            </w:r>
          </w:p>
        </w:tc>
        <w:tc>
          <w:tcPr>
            <w:tcW w:w="2456" w:type="dxa"/>
            <w:tcBorders>
              <w:top w:val="nil"/>
              <w:left w:val="nil"/>
              <w:bottom w:val="single" w:sz="4" w:space="0" w:color="auto"/>
              <w:right w:val="nil"/>
            </w:tcBorders>
            <w:shd w:val="clear" w:color="auto" w:fill="auto"/>
            <w:noWrap/>
            <w:vAlign w:val="bottom"/>
            <w:hideMark/>
          </w:tcPr>
          <w:p w14:paraId="6FC5DA4F" w14:textId="17B4B4F1"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5,81</w:t>
            </w:r>
            <w:r w:rsidR="00CB570A">
              <w:rPr>
                <w:rFonts w:eastAsia="Times New Roman"/>
                <w:szCs w:val="24"/>
                <w:lang w:eastAsia="cs-CZ"/>
              </w:rPr>
              <w:t> %</w:t>
            </w:r>
          </w:p>
        </w:tc>
      </w:tr>
      <w:tr w:rsidR="00AC1E67" w:rsidRPr="00A00187" w14:paraId="71A2ACD7" w14:textId="77777777" w:rsidTr="00AA6138">
        <w:trPr>
          <w:trHeight w:val="315"/>
        </w:trPr>
        <w:tc>
          <w:tcPr>
            <w:tcW w:w="2796" w:type="dxa"/>
            <w:tcBorders>
              <w:top w:val="nil"/>
              <w:left w:val="nil"/>
              <w:bottom w:val="single" w:sz="4" w:space="0" w:color="auto"/>
              <w:right w:val="nil"/>
            </w:tcBorders>
            <w:shd w:val="clear" w:color="auto" w:fill="auto"/>
            <w:noWrap/>
            <w:vAlign w:val="bottom"/>
            <w:hideMark/>
          </w:tcPr>
          <w:p w14:paraId="1D6B95DB"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KS Praha</w:t>
            </w:r>
          </w:p>
        </w:tc>
        <w:tc>
          <w:tcPr>
            <w:tcW w:w="2456" w:type="dxa"/>
            <w:tcBorders>
              <w:top w:val="nil"/>
              <w:left w:val="nil"/>
              <w:bottom w:val="single" w:sz="4" w:space="0" w:color="auto"/>
              <w:right w:val="nil"/>
            </w:tcBorders>
            <w:shd w:val="clear" w:color="auto" w:fill="auto"/>
            <w:noWrap/>
            <w:vAlign w:val="bottom"/>
            <w:hideMark/>
          </w:tcPr>
          <w:p w14:paraId="4360BF96" w14:textId="103E350F"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6,12</w:t>
            </w:r>
            <w:r w:rsidR="00CB570A">
              <w:rPr>
                <w:rFonts w:eastAsia="Times New Roman"/>
                <w:szCs w:val="24"/>
                <w:lang w:eastAsia="cs-CZ"/>
              </w:rPr>
              <w:t> %</w:t>
            </w:r>
          </w:p>
        </w:tc>
      </w:tr>
      <w:tr w:rsidR="00AC1E67" w:rsidRPr="00A00187" w14:paraId="76EE1B9C" w14:textId="77777777" w:rsidTr="00AA6138">
        <w:trPr>
          <w:trHeight w:val="315"/>
        </w:trPr>
        <w:tc>
          <w:tcPr>
            <w:tcW w:w="2796" w:type="dxa"/>
            <w:tcBorders>
              <w:top w:val="nil"/>
              <w:left w:val="nil"/>
              <w:bottom w:val="single" w:sz="4" w:space="0" w:color="auto"/>
              <w:right w:val="nil"/>
            </w:tcBorders>
            <w:shd w:val="clear" w:color="auto" w:fill="auto"/>
            <w:noWrap/>
            <w:vAlign w:val="bottom"/>
            <w:hideMark/>
          </w:tcPr>
          <w:p w14:paraId="08CD9BA9"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KS Č. Budějovice</w:t>
            </w:r>
          </w:p>
        </w:tc>
        <w:tc>
          <w:tcPr>
            <w:tcW w:w="2456" w:type="dxa"/>
            <w:tcBorders>
              <w:top w:val="nil"/>
              <w:left w:val="nil"/>
              <w:bottom w:val="single" w:sz="4" w:space="0" w:color="auto"/>
              <w:right w:val="nil"/>
            </w:tcBorders>
            <w:shd w:val="clear" w:color="auto" w:fill="auto"/>
            <w:noWrap/>
            <w:vAlign w:val="bottom"/>
            <w:hideMark/>
          </w:tcPr>
          <w:p w14:paraId="52D95711" w14:textId="6054DED6"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3,91</w:t>
            </w:r>
            <w:r w:rsidR="00CB570A">
              <w:rPr>
                <w:rFonts w:eastAsia="Times New Roman"/>
                <w:szCs w:val="24"/>
                <w:lang w:eastAsia="cs-CZ"/>
              </w:rPr>
              <w:t> %</w:t>
            </w:r>
          </w:p>
        </w:tc>
      </w:tr>
      <w:tr w:rsidR="00AC1E67" w:rsidRPr="00A00187" w14:paraId="32C07888" w14:textId="77777777" w:rsidTr="00AA6138">
        <w:trPr>
          <w:trHeight w:val="315"/>
        </w:trPr>
        <w:tc>
          <w:tcPr>
            <w:tcW w:w="2796" w:type="dxa"/>
            <w:tcBorders>
              <w:top w:val="nil"/>
              <w:left w:val="nil"/>
              <w:bottom w:val="single" w:sz="4" w:space="0" w:color="auto"/>
              <w:right w:val="nil"/>
            </w:tcBorders>
            <w:shd w:val="clear" w:color="auto" w:fill="auto"/>
            <w:noWrap/>
            <w:vAlign w:val="bottom"/>
            <w:hideMark/>
          </w:tcPr>
          <w:p w14:paraId="27A63A37"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KS Plzeň</w:t>
            </w:r>
          </w:p>
        </w:tc>
        <w:tc>
          <w:tcPr>
            <w:tcW w:w="2456" w:type="dxa"/>
            <w:tcBorders>
              <w:top w:val="nil"/>
              <w:left w:val="nil"/>
              <w:bottom w:val="single" w:sz="4" w:space="0" w:color="auto"/>
              <w:right w:val="nil"/>
            </w:tcBorders>
            <w:shd w:val="clear" w:color="auto" w:fill="auto"/>
            <w:noWrap/>
            <w:vAlign w:val="bottom"/>
            <w:hideMark/>
          </w:tcPr>
          <w:p w14:paraId="2F142447" w14:textId="15EF63FD"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3,72</w:t>
            </w:r>
            <w:r w:rsidR="00CB570A">
              <w:rPr>
                <w:rFonts w:eastAsia="Times New Roman"/>
                <w:szCs w:val="24"/>
                <w:lang w:eastAsia="cs-CZ"/>
              </w:rPr>
              <w:t> %</w:t>
            </w:r>
          </w:p>
        </w:tc>
      </w:tr>
      <w:tr w:rsidR="00AC1E67" w:rsidRPr="00A00187" w14:paraId="155FAFD7" w14:textId="77777777" w:rsidTr="00AA6138">
        <w:trPr>
          <w:trHeight w:val="315"/>
        </w:trPr>
        <w:tc>
          <w:tcPr>
            <w:tcW w:w="2796" w:type="dxa"/>
            <w:tcBorders>
              <w:top w:val="nil"/>
              <w:left w:val="nil"/>
              <w:bottom w:val="single" w:sz="4" w:space="0" w:color="auto"/>
              <w:right w:val="nil"/>
            </w:tcBorders>
            <w:shd w:val="clear" w:color="auto" w:fill="auto"/>
            <w:noWrap/>
            <w:vAlign w:val="bottom"/>
            <w:hideMark/>
          </w:tcPr>
          <w:p w14:paraId="1CDCD0DA"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KS Ústí n. Labem</w:t>
            </w:r>
          </w:p>
        </w:tc>
        <w:tc>
          <w:tcPr>
            <w:tcW w:w="2456" w:type="dxa"/>
            <w:tcBorders>
              <w:top w:val="nil"/>
              <w:left w:val="nil"/>
              <w:bottom w:val="single" w:sz="4" w:space="0" w:color="auto"/>
              <w:right w:val="nil"/>
            </w:tcBorders>
            <w:shd w:val="clear" w:color="auto" w:fill="auto"/>
            <w:noWrap/>
            <w:vAlign w:val="bottom"/>
            <w:hideMark/>
          </w:tcPr>
          <w:p w14:paraId="5E44EDB2" w14:textId="526DE4E9"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3,25</w:t>
            </w:r>
            <w:r w:rsidR="00CB570A">
              <w:rPr>
                <w:rFonts w:eastAsia="Times New Roman"/>
                <w:szCs w:val="24"/>
                <w:lang w:eastAsia="cs-CZ"/>
              </w:rPr>
              <w:t> %</w:t>
            </w:r>
          </w:p>
        </w:tc>
      </w:tr>
      <w:tr w:rsidR="00AC1E67" w:rsidRPr="00A00187" w14:paraId="47F76D53" w14:textId="77777777" w:rsidTr="00AA6138">
        <w:trPr>
          <w:trHeight w:val="315"/>
        </w:trPr>
        <w:tc>
          <w:tcPr>
            <w:tcW w:w="2796" w:type="dxa"/>
            <w:tcBorders>
              <w:top w:val="nil"/>
              <w:left w:val="nil"/>
              <w:bottom w:val="single" w:sz="4" w:space="0" w:color="auto"/>
              <w:right w:val="nil"/>
            </w:tcBorders>
            <w:shd w:val="clear" w:color="auto" w:fill="auto"/>
            <w:noWrap/>
            <w:vAlign w:val="bottom"/>
            <w:hideMark/>
          </w:tcPr>
          <w:p w14:paraId="12E98D58"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KS Hr. Králové</w:t>
            </w:r>
          </w:p>
        </w:tc>
        <w:tc>
          <w:tcPr>
            <w:tcW w:w="2456" w:type="dxa"/>
            <w:tcBorders>
              <w:top w:val="nil"/>
              <w:left w:val="nil"/>
              <w:bottom w:val="single" w:sz="4" w:space="0" w:color="auto"/>
              <w:right w:val="nil"/>
            </w:tcBorders>
            <w:shd w:val="clear" w:color="auto" w:fill="auto"/>
            <w:noWrap/>
            <w:vAlign w:val="bottom"/>
            <w:hideMark/>
          </w:tcPr>
          <w:p w14:paraId="24E03253" w14:textId="0A7DC415"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4,08</w:t>
            </w:r>
            <w:r w:rsidR="00CB570A">
              <w:rPr>
                <w:rFonts w:eastAsia="Times New Roman"/>
                <w:szCs w:val="24"/>
                <w:lang w:eastAsia="cs-CZ"/>
              </w:rPr>
              <w:t> %</w:t>
            </w:r>
          </w:p>
        </w:tc>
      </w:tr>
      <w:tr w:rsidR="00AC1E67" w:rsidRPr="00A00187" w14:paraId="6D730D83" w14:textId="77777777" w:rsidTr="00AA6138">
        <w:trPr>
          <w:trHeight w:val="315"/>
        </w:trPr>
        <w:tc>
          <w:tcPr>
            <w:tcW w:w="2796" w:type="dxa"/>
            <w:tcBorders>
              <w:top w:val="nil"/>
              <w:left w:val="nil"/>
              <w:bottom w:val="single" w:sz="4" w:space="0" w:color="auto"/>
              <w:right w:val="nil"/>
            </w:tcBorders>
            <w:shd w:val="clear" w:color="auto" w:fill="auto"/>
            <w:noWrap/>
            <w:vAlign w:val="bottom"/>
            <w:hideMark/>
          </w:tcPr>
          <w:p w14:paraId="7A29D474"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KS Brno</w:t>
            </w:r>
          </w:p>
        </w:tc>
        <w:tc>
          <w:tcPr>
            <w:tcW w:w="2456" w:type="dxa"/>
            <w:tcBorders>
              <w:top w:val="nil"/>
              <w:left w:val="nil"/>
              <w:bottom w:val="single" w:sz="4" w:space="0" w:color="auto"/>
              <w:right w:val="nil"/>
            </w:tcBorders>
            <w:shd w:val="clear" w:color="auto" w:fill="auto"/>
            <w:noWrap/>
            <w:vAlign w:val="bottom"/>
            <w:hideMark/>
          </w:tcPr>
          <w:p w14:paraId="31C85509" w14:textId="1BAC9FCB"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4,57</w:t>
            </w:r>
            <w:r w:rsidR="00CB570A">
              <w:rPr>
                <w:rFonts w:eastAsia="Times New Roman"/>
                <w:szCs w:val="24"/>
                <w:lang w:eastAsia="cs-CZ"/>
              </w:rPr>
              <w:t> %</w:t>
            </w:r>
          </w:p>
        </w:tc>
      </w:tr>
      <w:tr w:rsidR="00AC1E67" w:rsidRPr="00A00187" w14:paraId="2200AE1F" w14:textId="77777777" w:rsidTr="00AA6138">
        <w:trPr>
          <w:trHeight w:val="330"/>
        </w:trPr>
        <w:tc>
          <w:tcPr>
            <w:tcW w:w="2796" w:type="dxa"/>
            <w:tcBorders>
              <w:top w:val="nil"/>
              <w:left w:val="nil"/>
              <w:bottom w:val="double" w:sz="6" w:space="0" w:color="auto"/>
              <w:right w:val="nil"/>
            </w:tcBorders>
            <w:shd w:val="clear" w:color="auto" w:fill="auto"/>
            <w:noWrap/>
            <w:vAlign w:val="bottom"/>
            <w:hideMark/>
          </w:tcPr>
          <w:p w14:paraId="71DA5339" w14:textId="77777777" w:rsidR="00AA6138" w:rsidRPr="00A00187" w:rsidRDefault="00AA6138" w:rsidP="00AA6138">
            <w:pPr>
              <w:spacing w:line="240" w:lineRule="auto"/>
              <w:jc w:val="left"/>
              <w:rPr>
                <w:rFonts w:eastAsia="Times New Roman"/>
                <w:szCs w:val="24"/>
                <w:lang w:eastAsia="cs-CZ"/>
              </w:rPr>
            </w:pPr>
            <w:r w:rsidRPr="00A00187">
              <w:rPr>
                <w:rFonts w:eastAsia="Times New Roman"/>
                <w:szCs w:val="24"/>
                <w:lang w:eastAsia="cs-CZ"/>
              </w:rPr>
              <w:t>KS Ostrava</w:t>
            </w:r>
          </w:p>
        </w:tc>
        <w:tc>
          <w:tcPr>
            <w:tcW w:w="2456" w:type="dxa"/>
            <w:tcBorders>
              <w:top w:val="nil"/>
              <w:left w:val="nil"/>
              <w:bottom w:val="double" w:sz="6" w:space="0" w:color="auto"/>
              <w:right w:val="nil"/>
            </w:tcBorders>
            <w:shd w:val="clear" w:color="auto" w:fill="auto"/>
            <w:noWrap/>
            <w:vAlign w:val="bottom"/>
            <w:hideMark/>
          </w:tcPr>
          <w:p w14:paraId="5FB79CA1" w14:textId="316D0688" w:rsidR="00AA6138" w:rsidRPr="00A00187" w:rsidRDefault="00AA6138" w:rsidP="00AA6138">
            <w:pPr>
              <w:spacing w:line="240" w:lineRule="auto"/>
              <w:jc w:val="center"/>
              <w:rPr>
                <w:rFonts w:eastAsia="Times New Roman"/>
                <w:szCs w:val="24"/>
                <w:lang w:eastAsia="cs-CZ"/>
              </w:rPr>
            </w:pPr>
            <w:r w:rsidRPr="00A00187">
              <w:rPr>
                <w:rFonts w:eastAsia="Times New Roman"/>
                <w:szCs w:val="24"/>
                <w:lang w:eastAsia="cs-CZ"/>
              </w:rPr>
              <w:t>3,23</w:t>
            </w:r>
            <w:r w:rsidR="00CB570A">
              <w:rPr>
                <w:rFonts w:eastAsia="Times New Roman"/>
                <w:szCs w:val="24"/>
                <w:lang w:eastAsia="cs-CZ"/>
              </w:rPr>
              <w:t> %</w:t>
            </w:r>
          </w:p>
        </w:tc>
      </w:tr>
      <w:tr w:rsidR="00AC1E67" w:rsidRPr="00A00187" w14:paraId="605EB054" w14:textId="77777777" w:rsidTr="00AA6138">
        <w:trPr>
          <w:trHeight w:val="345"/>
        </w:trPr>
        <w:tc>
          <w:tcPr>
            <w:tcW w:w="2796" w:type="dxa"/>
            <w:tcBorders>
              <w:top w:val="nil"/>
              <w:left w:val="nil"/>
              <w:bottom w:val="double" w:sz="6" w:space="0" w:color="auto"/>
              <w:right w:val="nil"/>
            </w:tcBorders>
            <w:shd w:val="clear" w:color="auto" w:fill="auto"/>
            <w:noWrap/>
            <w:vAlign w:val="bottom"/>
            <w:hideMark/>
          </w:tcPr>
          <w:p w14:paraId="0F24A8BE" w14:textId="77777777" w:rsidR="00AA6138" w:rsidRPr="00A00187" w:rsidRDefault="00AA6138" w:rsidP="00AA6138">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2456" w:type="dxa"/>
            <w:tcBorders>
              <w:top w:val="nil"/>
              <w:left w:val="nil"/>
              <w:bottom w:val="double" w:sz="6" w:space="0" w:color="auto"/>
              <w:right w:val="nil"/>
            </w:tcBorders>
            <w:shd w:val="clear" w:color="auto" w:fill="auto"/>
            <w:noWrap/>
            <w:vAlign w:val="bottom"/>
            <w:hideMark/>
          </w:tcPr>
          <w:p w14:paraId="0C6A2D76" w14:textId="269719BD" w:rsidR="00AA6138" w:rsidRPr="00A00187" w:rsidRDefault="00AA6138" w:rsidP="00AA6138">
            <w:pPr>
              <w:spacing w:line="240" w:lineRule="auto"/>
              <w:jc w:val="center"/>
              <w:rPr>
                <w:rFonts w:eastAsia="Times New Roman"/>
                <w:b/>
                <w:bCs/>
                <w:szCs w:val="24"/>
                <w:lang w:eastAsia="cs-CZ"/>
              </w:rPr>
            </w:pPr>
            <w:r w:rsidRPr="00A00187">
              <w:rPr>
                <w:rFonts w:eastAsia="Times New Roman"/>
                <w:b/>
                <w:bCs/>
                <w:szCs w:val="24"/>
                <w:lang w:eastAsia="cs-CZ"/>
              </w:rPr>
              <w:t>4,37</w:t>
            </w:r>
            <w:r w:rsidR="00CB570A">
              <w:rPr>
                <w:rFonts w:eastAsia="Times New Roman"/>
                <w:b/>
                <w:bCs/>
                <w:szCs w:val="24"/>
                <w:lang w:eastAsia="cs-CZ"/>
              </w:rPr>
              <w:t> %</w:t>
            </w:r>
          </w:p>
        </w:tc>
      </w:tr>
      <w:tr w:rsidR="00AC1E67" w:rsidRPr="00A00187" w14:paraId="5F199683" w14:textId="77777777" w:rsidTr="00AA6138">
        <w:trPr>
          <w:trHeight w:val="330"/>
        </w:trPr>
        <w:tc>
          <w:tcPr>
            <w:tcW w:w="2796" w:type="dxa"/>
            <w:tcBorders>
              <w:top w:val="nil"/>
              <w:left w:val="nil"/>
              <w:bottom w:val="nil"/>
              <w:right w:val="nil"/>
            </w:tcBorders>
            <w:shd w:val="clear" w:color="auto" w:fill="auto"/>
            <w:noWrap/>
            <w:vAlign w:val="bottom"/>
            <w:hideMark/>
          </w:tcPr>
          <w:p w14:paraId="2B9F63A7" w14:textId="77777777" w:rsidR="00AA6138" w:rsidRPr="00A00187" w:rsidRDefault="00AA6138" w:rsidP="00AA6138">
            <w:pPr>
              <w:spacing w:line="240" w:lineRule="auto"/>
              <w:jc w:val="center"/>
              <w:rPr>
                <w:rFonts w:eastAsia="Times New Roman"/>
                <w:b/>
                <w:bCs/>
                <w:szCs w:val="24"/>
                <w:lang w:eastAsia="cs-CZ"/>
              </w:rPr>
            </w:pPr>
          </w:p>
        </w:tc>
        <w:tc>
          <w:tcPr>
            <w:tcW w:w="2456" w:type="dxa"/>
            <w:tcBorders>
              <w:top w:val="nil"/>
              <w:left w:val="nil"/>
              <w:bottom w:val="nil"/>
              <w:right w:val="nil"/>
            </w:tcBorders>
            <w:shd w:val="clear" w:color="auto" w:fill="auto"/>
            <w:noWrap/>
            <w:vAlign w:val="bottom"/>
            <w:hideMark/>
          </w:tcPr>
          <w:p w14:paraId="1CBECF0B" w14:textId="77777777" w:rsidR="00AA6138" w:rsidRPr="00A00187" w:rsidRDefault="00AA6138" w:rsidP="00AA6138">
            <w:pPr>
              <w:spacing w:line="240" w:lineRule="auto"/>
              <w:jc w:val="left"/>
              <w:rPr>
                <w:rFonts w:ascii="Times New Roman" w:eastAsia="Times New Roman" w:hAnsi="Times New Roman"/>
                <w:sz w:val="20"/>
                <w:szCs w:val="20"/>
                <w:lang w:eastAsia="cs-CZ"/>
              </w:rPr>
            </w:pPr>
          </w:p>
        </w:tc>
      </w:tr>
    </w:tbl>
    <w:p w14:paraId="7B7471C3" w14:textId="60E81505" w:rsidR="00CB570A" w:rsidRDefault="00726EC3" w:rsidP="00A81D3B">
      <w:r w:rsidRPr="00A00187">
        <w:t>Z</w:t>
      </w:r>
      <w:r>
        <w:t> </w:t>
      </w:r>
      <w:r w:rsidR="00A81D3B" w:rsidRPr="00A00187">
        <w:t xml:space="preserve">tabulky vyplývá, že míra odvolání je </w:t>
      </w:r>
      <w:r w:rsidR="009967BD" w:rsidRPr="00A00187">
        <w:t>nižší</w:t>
      </w:r>
      <w:r w:rsidR="00A81D3B" w:rsidRPr="00A00187">
        <w:t xml:space="preserve"> než v civilním řízení, v absolutním vyjádření přibližně </w:t>
      </w:r>
      <w:r w:rsidRPr="00A00187">
        <w:t>o</w:t>
      </w:r>
      <w:r>
        <w:t> </w:t>
      </w:r>
      <w:r w:rsidR="00A81D3B" w:rsidRPr="00A00187">
        <w:t xml:space="preserve">3 procentní body. V relativních číslech jde zhruba </w:t>
      </w:r>
      <w:r w:rsidRPr="00A00187">
        <w:t>o</w:t>
      </w:r>
      <w:r>
        <w:t> </w:t>
      </w:r>
      <w:r w:rsidR="00A81D3B" w:rsidRPr="00A00187">
        <w:t>41</w:t>
      </w:r>
      <w:r w:rsidR="00CB570A">
        <w:t> %</w:t>
      </w:r>
      <w:r w:rsidR="00A81D3B" w:rsidRPr="00A00187">
        <w:t xml:space="preserve">. Rozdíly existují </w:t>
      </w:r>
      <w:r w:rsidRPr="00A00187">
        <w:t>i</w:t>
      </w:r>
      <w:r>
        <w:t> </w:t>
      </w:r>
      <w:r w:rsidR="00A81D3B" w:rsidRPr="00A00187">
        <w:t xml:space="preserve">na úrovni krajů. Nejvyšší míry odvolání jsou v Praze </w:t>
      </w:r>
      <w:r w:rsidRPr="00A00187">
        <w:t>a</w:t>
      </w:r>
      <w:r>
        <w:t> </w:t>
      </w:r>
      <w:r w:rsidR="00A81D3B" w:rsidRPr="00A00187">
        <w:t xml:space="preserve">okolí (soudy spadající pod MS Praha </w:t>
      </w:r>
      <w:r w:rsidRPr="00A00187">
        <w:t>a</w:t>
      </w:r>
      <w:r>
        <w:t> </w:t>
      </w:r>
      <w:r w:rsidR="00A81D3B" w:rsidRPr="00A00187">
        <w:t xml:space="preserve">KS Praha), nejnižší </w:t>
      </w:r>
      <w:r w:rsidRPr="00A00187">
        <w:t>v</w:t>
      </w:r>
      <w:r>
        <w:t> </w:t>
      </w:r>
      <w:r w:rsidR="00A81D3B" w:rsidRPr="00A00187">
        <w:t xml:space="preserve">Severočeském </w:t>
      </w:r>
      <w:r w:rsidRPr="00A00187">
        <w:t>a</w:t>
      </w:r>
      <w:r>
        <w:t> </w:t>
      </w:r>
      <w:r w:rsidR="00A81D3B" w:rsidRPr="00A00187">
        <w:t>Severomoravském kraji. Rozdíly zřejmě budou vypl</w:t>
      </w:r>
      <w:r w:rsidR="006507D1" w:rsidRPr="00A00187">
        <w:t>ý</w:t>
      </w:r>
      <w:r w:rsidR="00A81D3B" w:rsidRPr="00A00187">
        <w:t xml:space="preserve">vat ze socioekonomických faktorů </w:t>
      </w:r>
      <w:r w:rsidRPr="00A00187">
        <w:t>a</w:t>
      </w:r>
      <w:r>
        <w:t> </w:t>
      </w:r>
      <w:r w:rsidR="00A81D3B" w:rsidRPr="00A00187">
        <w:t>složení obyvatelstva daných krajů.</w:t>
      </w:r>
    </w:p>
    <w:p w14:paraId="6D5BFDFA" w14:textId="682F88E6" w:rsidR="007225CE" w:rsidRPr="00A00187" w:rsidRDefault="007225CE" w:rsidP="007225CE">
      <w:pPr>
        <w:pStyle w:val="Podnadpis"/>
        <w:rPr>
          <w:color w:val="auto"/>
        </w:rPr>
      </w:pPr>
      <w:bookmarkStart w:id="491" w:name="_Toc106106678"/>
      <w:bookmarkStart w:id="492" w:name="_Toc109802002"/>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44</w:t>
      </w:r>
      <w:r w:rsidRPr="00A00187">
        <w:rPr>
          <w:color w:val="auto"/>
        </w:rPr>
        <w:fldChar w:fldCharType="end"/>
      </w:r>
      <w:r w:rsidRPr="00A00187">
        <w:rPr>
          <w:color w:val="auto"/>
        </w:rPr>
        <w:t>: OS – míra odvolání u jednotlivých soudů v opatrovnickém řízení</w:t>
      </w:r>
      <w:bookmarkEnd w:id="491"/>
      <w:bookmarkEnd w:id="492"/>
    </w:p>
    <w:p w14:paraId="304F3E63" w14:textId="2E02F3D2" w:rsidR="000A7271" w:rsidRPr="00A00187" w:rsidRDefault="00A81D3B">
      <w:pPr>
        <w:spacing w:after="160" w:line="259" w:lineRule="auto"/>
        <w:jc w:val="left"/>
        <w:rPr>
          <w:bCs/>
        </w:rPr>
      </w:pPr>
      <w:r w:rsidRPr="00A00187">
        <w:rPr>
          <w:noProof/>
        </w:rPr>
        <w:drawing>
          <wp:anchor distT="0" distB="0" distL="114300" distR="114300" simplePos="0" relativeHeight="251691008" behindDoc="0" locked="0" layoutInCell="1" allowOverlap="1" wp14:anchorId="60EAB199" wp14:editId="083A2B7C">
            <wp:simplePos x="0" y="0"/>
            <wp:positionH relativeFrom="margin">
              <wp:align>right</wp:align>
            </wp:positionH>
            <wp:positionV relativeFrom="paragraph">
              <wp:posOffset>11430</wp:posOffset>
            </wp:positionV>
            <wp:extent cx="1244203" cy="904875"/>
            <wp:effectExtent l="0" t="0" r="0" b="0"/>
            <wp:wrapNone/>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44203"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25CE" w:rsidRPr="00A00187">
        <w:rPr>
          <w:bCs/>
          <w:noProof/>
        </w:rPr>
        <w:drawing>
          <wp:inline distT="0" distB="0" distL="0" distR="0" wp14:anchorId="05CB0CDB" wp14:editId="645DA46D">
            <wp:extent cx="5759450" cy="3296285"/>
            <wp:effectExtent l="0" t="0" r="0" b="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06300A8C" w14:textId="702A1684" w:rsidR="000A7271" w:rsidRPr="00A00187" w:rsidRDefault="000A7271" w:rsidP="000A7271">
      <w:pPr>
        <w:pStyle w:val="OdstavecASR"/>
      </w:pPr>
      <w:r w:rsidRPr="00A00187">
        <w:lastRenderedPageBreak/>
        <w:t>Z jednotlivých okresních soudů byla v roce 2021 nejvyšší míra odvolání u </w:t>
      </w:r>
      <w:r w:rsidR="00D04670" w:rsidRPr="00A00187">
        <w:t xml:space="preserve">OS Praha-západ </w:t>
      </w:r>
      <w:r w:rsidRPr="00A00187">
        <w:t>(</w:t>
      </w:r>
      <w:r w:rsidR="00D04670" w:rsidRPr="00A00187">
        <w:t>14</w:t>
      </w:r>
      <w:r w:rsidRPr="00A00187">
        <w:t>,</w:t>
      </w:r>
      <w:r w:rsidR="00D04670" w:rsidRPr="00A00187">
        <w:t>96</w:t>
      </w:r>
      <w:r w:rsidR="00CB570A">
        <w:t> %</w:t>
      </w:r>
      <w:r w:rsidRPr="00A00187">
        <w:t xml:space="preserve">), OS </w:t>
      </w:r>
      <w:r w:rsidR="00D04670" w:rsidRPr="00A00187">
        <w:t xml:space="preserve">Praha 1 </w:t>
      </w:r>
      <w:r w:rsidRPr="00A00187">
        <w:t>(1</w:t>
      </w:r>
      <w:r w:rsidR="00D04670" w:rsidRPr="00A00187">
        <w:t>4</w:t>
      </w:r>
      <w:r w:rsidRPr="00A00187">
        <w:t>,</w:t>
      </w:r>
      <w:r w:rsidR="00D04670" w:rsidRPr="00A00187">
        <w:t>71</w:t>
      </w:r>
      <w:r w:rsidR="00CB570A">
        <w:t> %</w:t>
      </w:r>
      <w:r w:rsidRPr="00A00187">
        <w:t>) a </w:t>
      </w:r>
      <w:r w:rsidR="00D04670" w:rsidRPr="00A00187">
        <w:t xml:space="preserve">s odstupem </w:t>
      </w:r>
      <w:r w:rsidR="00726EC3" w:rsidRPr="00A00187">
        <w:t>u</w:t>
      </w:r>
      <w:r w:rsidR="00726EC3">
        <w:t> </w:t>
      </w:r>
      <w:r w:rsidRPr="00A00187">
        <w:t xml:space="preserve">OS </w:t>
      </w:r>
      <w:r w:rsidR="00D04670" w:rsidRPr="00A00187">
        <w:t>Příbram</w:t>
      </w:r>
      <w:r w:rsidRPr="00A00187">
        <w:t xml:space="preserve"> (</w:t>
      </w:r>
      <w:r w:rsidR="00D04670" w:rsidRPr="00A00187">
        <w:t>7,32</w:t>
      </w:r>
      <w:r w:rsidR="00CB570A">
        <w:t> %</w:t>
      </w:r>
      <w:r w:rsidRPr="00A00187">
        <w:t>). Nejnižší je naopak míra odvolání u OS Praha 7 (0,74</w:t>
      </w:r>
      <w:r w:rsidR="00CB570A">
        <w:t> %</w:t>
      </w:r>
      <w:r w:rsidRPr="00A00187">
        <w:t>), OS Jeseník (0,99</w:t>
      </w:r>
      <w:r w:rsidR="00CB570A">
        <w:t> %</w:t>
      </w:r>
      <w:r w:rsidRPr="00A00187">
        <w:t xml:space="preserve">) </w:t>
      </w:r>
      <w:r w:rsidR="00726EC3" w:rsidRPr="00A00187">
        <w:t>a</w:t>
      </w:r>
      <w:r w:rsidR="00726EC3">
        <w:t> </w:t>
      </w:r>
      <w:r w:rsidRPr="00A00187">
        <w:t>OS Most (1,47</w:t>
      </w:r>
      <w:r w:rsidR="00CB570A">
        <w:t> %</w:t>
      </w:r>
      <w:r w:rsidRPr="00A00187">
        <w:t>).</w:t>
      </w:r>
    </w:p>
    <w:p w14:paraId="1B48027D" w14:textId="1F41E034" w:rsidR="007225CE" w:rsidRPr="00A00187" w:rsidRDefault="007225CE" w:rsidP="00B2427B">
      <w:pPr>
        <w:pStyle w:val="OdstavecASR"/>
        <w:keepNext/>
        <w:outlineLvl w:val="3"/>
        <w:rPr>
          <w:b/>
        </w:rPr>
      </w:pPr>
      <w:r w:rsidRPr="00A00187">
        <w:rPr>
          <w:b/>
        </w:rPr>
        <w:t>Míra změny rozsudku</w:t>
      </w:r>
    </w:p>
    <w:p w14:paraId="73477F38" w14:textId="297DADBF" w:rsidR="00CB570A" w:rsidRDefault="006E0B5F" w:rsidP="006E0B5F">
      <w:pPr>
        <w:pStyle w:val="OdstavecASR"/>
      </w:pPr>
      <w:r w:rsidRPr="00A00187">
        <w:t xml:space="preserve">Stejně jako </w:t>
      </w:r>
      <w:r w:rsidR="00726EC3" w:rsidRPr="00A00187">
        <w:t>u</w:t>
      </w:r>
      <w:r w:rsidR="00726EC3">
        <w:t> </w:t>
      </w:r>
      <w:r w:rsidRPr="00A00187">
        <w:t>civilního řízení</w:t>
      </w:r>
      <w:r w:rsidR="0019594A" w:rsidRPr="00A00187">
        <w:t xml:space="preserve"> je</w:t>
      </w:r>
      <w:r w:rsidRPr="00A00187">
        <w:t xml:space="preserve"> dalším sledovaným ukazatelem míra změny rozsudku. Jedná se o podíl věcí v procentech, ve kterých odvolací soud na podkladě odvolání změnil rozhodnutí soudu I. stupně.</w:t>
      </w:r>
    </w:p>
    <w:p w14:paraId="12A49AB9" w14:textId="5026FFC0" w:rsidR="007225CE" w:rsidRPr="00A00187" w:rsidRDefault="007225CE" w:rsidP="007225CE">
      <w:pPr>
        <w:pStyle w:val="Podnadpis"/>
        <w:rPr>
          <w:color w:val="auto"/>
        </w:rPr>
      </w:pPr>
      <w:bookmarkStart w:id="493" w:name="_Toc106106795"/>
      <w:bookmarkStart w:id="494" w:name="_Toc109802118"/>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33</w:t>
      </w:r>
      <w:r w:rsidRPr="00A00187">
        <w:rPr>
          <w:noProof/>
          <w:color w:val="auto"/>
        </w:rPr>
        <w:fldChar w:fldCharType="end"/>
      </w:r>
      <w:r w:rsidRPr="00A00187">
        <w:rPr>
          <w:color w:val="auto"/>
        </w:rPr>
        <w:t>: OS – míra změny rozsudku dle krajů v opatrovnickém řízení</w:t>
      </w:r>
      <w:bookmarkEnd w:id="493"/>
      <w:bookmarkEnd w:id="494"/>
      <w:r w:rsidR="0091168A" w:rsidRPr="00A00187">
        <w:rPr>
          <w:color w:val="auto"/>
        </w:rPr>
        <w:t xml:space="preserve"> </w:t>
      </w:r>
    </w:p>
    <w:tbl>
      <w:tblPr>
        <w:tblW w:w="5932" w:type="dxa"/>
        <w:tblCellMar>
          <w:left w:w="70" w:type="dxa"/>
          <w:right w:w="70" w:type="dxa"/>
        </w:tblCellMar>
        <w:tblLook w:val="04A0" w:firstRow="1" w:lastRow="0" w:firstColumn="1" w:lastColumn="0" w:noHBand="0" w:noVBand="1"/>
      </w:tblPr>
      <w:tblGrid>
        <w:gridCol w:w="2796"/>
        <w:gridCol w:w="3136"/>
      </w:tblGrid>
      <w:tr w:rsidR="00AC1E67" w:rsidRPr="00A00187" w14:paraId="6F02DF2D" w14:textId="77777777" w:rsidTr="001E788A">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666A43A6" w14:textId="77777777" w:rsidR="001E788A" w:rsidRPr="00A00187" w:rsidRDefault="001E788A" w:rsidP="001E788A">
            <w:pPr>
              <w:spacing w:line="240" w:lineRule="auto"/>
              <w:jc w:val="center"/>
              <w:rPr>
                <w:rFonts w:eastAsia="Times New Roman"/>
                <w:b/>
                <w:bCs/>
                <w:szCs w:val="24"/>
                <w:lang w:eastAsia="cs-CZ"/>
              </w:rPr>
            </w:pPr>
            <w:r w:rsidRPr="00A00187">
              <w:rPr>
                <w:rFonts w:eastAsia="Times New Roman"/>
                <w:b/>
                <w:bCs/>
                <w:szCs w:val="24"/>
                <w:lang w:eastAsia="cs-CZ"/>
              </w:rPr>
              <w:t>Nadřízený soud</w:t>
            </w:r>
          </w:p>
        </w:tc>
        <w:tc>
          <w:tcPr>
            <w:tcW w:w="3136" w:type="dxa"/>
            <w:tcBorders>
              <w:top w:val="double" w:sz="6" w:space="0" w:color="auto"/>
              <w:left w:val="nil"/>
              <w:bottom w:val="double" w:sz="6" w:space="0" w:color="auto"/>
              <w:right w:val="nil"/>
            </w:tcBorders>
            <w:shd w:val="clear" w:color="auto" w:fill="auto"/>
            <w:noWrap/>
            <w:vAlign w:val="center"/>
            <w:hideMark/>
          </w:tcPr>
          <w:p w14:paraId="15B22A06" w14:textId="16A63055" w:rsidR="001E788A" w:rsidRPr="00A00187" w:rsidRDefault="001E788A" w:rsidP="001E788A">
            <w:pPr>
              <w:spacing w:line="240" w:lineRule="auto"/>
              <w:jc w:val="center"/>
              <w:rPr>
                <w:rFonts w:eastAsia="Times New Roman"/>
                <w:b/>
                <w:bCs/>
                <w:szCs w:val="24"/>
                <w:lang w:eastAsia="cs-CZ"/>
              </w:rPr>
            </w:pPr>
            <w:r w:rsidRPr="00A00187">
              <w:rPr>
                <w:rFonts w:eastAsia="Times New Roman"/>
                <w:b/>
                <w:bCs/>
                <w:szCs w:val="24"/>
                <w:lang w:eastAsia="cs-CZ"/>
              </w:rPr>
              <w:t xml:space="preserve">Míra změny rozsudku </w:t>
            </w:r>
          </w:p>
        </w:tc>
      </w:tr>
      <w:tr w:rsidR="00AC1E67" w:rsidRPr="00A00187" w14:paraId="43545F48" w14:textId="77777777" w:rsidTr="001E788A">
        <w:trPr>
          <w:trHeight w:val="330"/>
        </w:trPr>
        <w:tc>
          <w:tcPr>
            <w:tcW w:w="2796" w:type="dxa"/>
            <w:tcBorders>
              <w:top w:val="nil"/>
              <w:left w:val="nil"/>
              <w:bottom w:val="single" w:sz="4" w:space="0" w:color="auto"/>
              <w:right w:val="nil"/>
            </w:tcBorders>
            <w:shd w:val="clear" w:color="auto" w:fill="auto"/>
            <w:noWrap/>
            <w:vAlign w:val="bottom"/>
            <w:hideMark/>
          </w:tcPr>
          <w:p w14:paraId="5C38A7A0"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MS Praha</w:t>
            </w:r>
          </w:p>
        </w:tc>
        <w:tc>
          <w:tcPr>
            <w:tcW w:w="3136" w:type="dxa"/>
            <w:tcBorders>
              <w:top w:val="nil"/>
              <w:left w:val="nil"/>
              <w:bottom w:val="single" w:sz="4" w:space="0" w:color="auto"/>
              <w:right w:val="nil"/>
            </w:tcBorders>
            <w:shd w:val="clear" w:color="auto" w:fill="auto"/>
            <w:noWrap/>
            <w:vAlign w:val="bottom"/>
            <w:hideMark/>
          </w:tcPr>
          <w:p w14:paraId="04837CB8" w14:textId="031416AB"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53,39</w:t>
            </w:r>
            <w:r w:rsidR="00CB570A">
              <w:rPr>
                <w:rFonts w:eastAsia="Times New Roman"/>
                <w:szCs w:val="24"/>
                <w:lang w:eastAsia="cs-CZ"/>
              </w:rPr>
              <w:t> %</w:t>
            </w:r>
          </w:p>
        </w:tc>
      </w:tr>
      <w:tr w:rsidR="00AC1E67" w:rsidRPr="00A00187" w14:paraId="734B1A47" w14:textId="77777777" w:rsidTr="001E788A">
        <w:trPr>
          <w:trHeight w:val="315"/>
        </w:trPr>
        <w:tc>
          <w:tcPr>
            <w:tcW w:w="2796" w:type="dxa"/>
            <w:tcBorders>
              <w:top w:val="nil"/>
              <w:left w:val="nil"/>
              <w:bottom w:val="single" w:sz="4" w:space="0" w:color="auto"/>
              <w:right w:val="nil"/>
            </w:tcBorders>
            <w:shd w:val="clear" w:color="auto" w:fill="auto"/>
            <w:noWrap/>
            <w:vAlign w:val="bottom"/>
            <w:hideMark/>
          </w:tcPr>
          <w:p w14:paraId="16D82F17"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KS Praha</w:t>
            </w:r>
          </w:p>
        </w:tc>
        <w:tc>
          <w:tcPr>
            <w:tcW w:w="3136" w:type="dxa"/>
            <w:tcBorders>
              <w:top w:val="nil"/>
              <w:left w:val="nil"/>
              <w:bottom w:val="single" w:sz="4" w:space="0" w:color="auto"/>
              <w:right w:val="nil"/>
            </w:tcBorders>
            <w:shd w:val="clear" w:color="auto" w:fill="auto"/>
            <w:noWrap/>
            <w:vAlign w:val="bottom"/>
            <w:hideMark/>
          </w:tcPr>
          <w:p w14:paraId="7E934856" w14:textId="52E93ACC"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69,11</w:t>
            </w:r>
            <w:r w:rsidR="00CB570A">
              <w:rPr>
                <w:rFonts w:eastAsia="Times New Roman"/>
                <w:szCs w:val="24"/>
                <w:lang w:eastAsia="cs-CZ"/>
              </w:rPr>
              <w:t> %</w:t>
            </w:r>
          </w:p>
        </w:tc>
      </w:tr>
      <w:tr w:rsidR="00AC1E67" w:rsidRPr="00A00187" w14:paraId="79DAD6BC" w14:textId="77777777" w:rsidTr="001E788A">
        <w:trPr>
          <w:trHeight w:val="315"/>
        </w:trPr>
        <w:tc>
          <w:tcPr>
            <w:tcW w:w="2796" w:type="dxa"/>
            <w:tcBorders>
              <w:top w:val="nil"/>
              <w:left w:val="nil"/>
              <w:bottom w:val="single" w:sz="4" w:space="0" w:color="auto"/>
              <w:right w:val="nil"/>
            </w:tcBorders>
            <w:shd w:val="clear" w:color="auto" w:fill="auto"/>
            <w:noWrap/>
            <w:vAlign w:val="bottom"/>
            <w:hideMark/>
          </w:tcPr>
          <w:p w14:paraId="233C0C8E"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KS Č. Budějovice</w:t>
            </w:r>
          </w:p>
        </w:tc>
        <w:tc>
          <w:tcPr>
            <w:tcW w:w="3136" w:type="dxa"/>
            <w:tcBorders>
              <w:top w:val="nil"/>
              <w:left w:val="nil"/>
              <w:bottom w:val="single" w:sz="4" w:space="0" w:color="auto"/>
              <w:right w:val="nil"/>
            </w:tcBorders>
            <w:shd w:val="clear" w:color="auto" w:fill="auto"/>
            <w:noWrap/>
            <w:vAlign w:val="bottom"/>
            <w:hideMark/>
          </w:tcPr>
          <w:p w14:paraId="51BA79AE" w14:textId="7B481F41"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53,36</w:t>
            </w:r>
            <w:r w:rsidR="00CB570A">
              <w:rPr>
                <w:rFonts w:eastAsia="Times New Roman"/>
                <w:szCs w:val="24"/>
                <w:lang w:eastAsia="cs-CZ"/>
              </w:rPr>
              <w:t> %</w:t>
            </w:r>
          </w:p>
        </w:tc>
      </w:tr>
      <w:tr w:rsidR="00AC1E67" w:rsidRPr="00A00187" w14:paraId="32C45F1C" w14:textId="77777777" w:rsidTr="001E788A">
        <w:trPr>
          <w:trHeight w:val="315"/>
        </w:trPr>
        <w:tc>
          <w:tcPr>
            <w:tcW w:w="2796" w:type="dxa"/>
            <w:tcBorders>
              <w:top w:val="nil"/>
              <w:left w:val="nil"/>
              <w:bottom w:val="single" w:sz="4" w:space="0" w:color="auto"/>
              <w:right w:val="nil"/>
            </w:tcBorders>
            <w:shd w:val="clear" w:color="auto" w:fill="auto"/>
            <w:noWrap/>
            <w:vAlign w:val="bottom"/>
            <w:hideMark/>
          </w:tcPr>
          <w:p w14:paraId="5B6CD1EC"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KS Plzeň</w:t>
            </w:r>
          </w:p>
        </w:tc>
        <w:tc>
          <w:tcPr>
            <w:tcW w:w="3136" w:type="dxa"/>
            <w:tcBorders>
              <w:top w:val="nil"/>
              <w:left w:val="nil"/>
              <w:bottom w:val="single" w:sz="4" w:space="0" w:color="auto"/>
              <w:right w:val="nil"/>
            </w:tcBorders>
            <w:shd w:val="clear" w:color="auto" w:fill="auto"/>
            <w:noWrap/>
            <w:vAlign w:val="bottom"/>
            <w:hideMark/>
          </w:tcPr>
          <w:p w14:paraId="78BE2CAA" w14:textId="7F815257"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60,98</w:t>
            </w:r>
            <w:r w:rsidR="00CB570A">
              <w:rPr>
                <w:rFonts w:eastAsia="Times New Roman"/>
                <w:szCs w:val="24"/>
                <w:lang w:eastAsia="cs-CZ"/>
              </w:rPr>
              <w:t> %</w:t>
            </w:r>
          </w:p>
        </w:tc>
      </w:tr>
      <w:tr w:rsidR="00AC1E67" w:rsidRPr="00A00187" w14:paraId="008EFF59" w14:textId="77777777" w:rsidTr="001E788A">
        <w:trPr>
          <w:trHeight w:val="315"/>
        </w:trPr>
        <w:tc>
          <w:tcPr>
            <w:tcW w:w="2796" w:type="dxa"/>
            <w:tcBorders>
              <w:top w:val="nil"/>
              <w:left w:val="nil"/>
              <w:bottom w:val="single" w:sz="4" w:space="0" w:color="auto"/>
              <w:right w:val="nil"/>
            </w:tcBorders>
            <w:shd w:val="clear" w:color="auto" w:fill="auto"/>
            <w:noWrap/>
            <w:vAlign w:val="bottom"/>
            <w:hideMark/>
          </w:tcPr>
          <w:p w14:paraId="328177A2"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KS Ústí n. Labem</w:t>
            </w:r>
          </w:p>
        </w:tc>
        <w:tc>
          <w:tcPr>
            <w:tcW w:w="3136" w:type="dxa"/>
            <w:tcBorders>
              <w:top w:val="nil"/>
              <w:left w:val="nil"/>
              <w:bottom w:val="single" w:sz="4" w:space="0" w:color="auto"/>
              <w:right w:val="nil"/>
            </w:tcBorders>
            <w:shd w:val="clear" w:color="auto" w:fill="auto"/>
            <w:noWrap/>
            <w:vAlign w:val="bottom"/>
            <w:hideMark/>
          </w:tcPr>
          <w:p w14:paraId="2BD7601D" w14:textId="13BFECBF"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59,69</w:t>
            </w:r>
            <w:r w:rsidR="00CB570A">
              <w:rPr>
                <w:rFonts w:eastAsia="Times New Roman"/>
                <w:szCs w:val="24"/>
                <w:lang w:eastAsia="cs-CZ"/>
              </w:rPr>
              <w:t> %</w:t>
            </w:r>
          </w:p>
        </w:tc>
      </w:tr>
      <w:tr w:rsidR="00AC1E67" w:rsidRPr="00A00187" w14:paraId="7EBC0F78" w14:textId="77777777" w:rsidTr="001E788A">
        <w:trPr>
          <w:trHeight w:val="315"/>
        </w:trPr>
        <w:tc>
          <w:tcPr>
            <w:tcW w:w="2796" w:type="dxa"/>
            <w:tcBorders>
              <w:top w:val="nil"/>
              <w:left w:val="nil"/>
              <w:bottom w:val="single" w:sz="4" w:space="0" w:color="auto"/>
              <w:right w:val="nil"/>
            </w:tcBorders>
            <w:shd w:val="clear" w:color="auto" w:fill="auto"/>
            <w:noWrap/>
            <w:vAlign w:val="bottom"/>
            <w:hideMark/>
          </w:tcPr>
          <w:p w14:paraId="08E69F66"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KS Hr. Králové</w:t>
            </w:r>
          </w:p>
        </w:tc>
        <w:tc>
          <w:tcPr>
            <w:tcW w:w="3136" w:type="dxa"/>
            <w:tcBorders>
              <w:top w:val="nil"/>
              <w:left w:val="nil"/>
              <w:bottom w:val="single" w:sz="4" w:space="0" w:color="auto"/>
              <w:right w:val="nil"/>
            </w:tcBorders>
            <w:shd w:val="clear" w:color="auto" w:fill="auto"/>
            <w:noWrap/>
            <w:vAlign w:val="bottom"/>
            <w:hideMark/>
          </w:tcPr>
          <w:p w14:paraId="127DCA06" w14:textId="64400F53"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56,35</w:t>
            </w:r>
            <w:r w:rsidR="00CB570A">
              <w:rPr>
                <w:rFonts w:eastAsia="Times New Roman"/>
                <w:szCs w:val="24"/>
                <w:lang w:eastAsia="cs-CZ"/>
              </w:rPr>
              <w:t> %</w:t>
            </w:r>
          </w:p>
        </w:tc>
      </w:tr>
      <w:tr w:rsidR="00AC1E67" w:rsidRPr="00A00187" w14:paraId="20499352" w14:textId="77777777" w:rsidTr="001E788A">
        <w:trPr>
          <w:trHeight w:val="315"/>
        </w:trPr>
        <w:tc>
          <w:tcPr>
            <w:tcW w:w="2796" w:type="dxa"/>
            <w:tcBorders>
              <w:top w:val="nil"/>
              <w:left w:val="nil"/>
              <w:bottom w:val="single" w:sz="4" w:space="0" w:color="auto"/>
              <w:right w:val="nil"/>
            </w:tcBorders>
            <w:shd w:val="clear" w:color="auto" w:fill="auto"/>
            <w:noWrap/>
            <w:vAlign w:val="bottom"/>
            <w:hideMark/>
          </w:tcPr>
          <w:p w14:paraId="0FAA7B80"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KS Brno</w:t>
            </w:r>
          </w:p>
        </w:tc>
        <w:tc>
          <w:tcPr>
            <w:tcW w:w="3136" w:type="dxa"/>
            <w:tcBorders>
              <w:top w:val="nil"/>
              <w:left w:val="nil"/>
              <w:bottom w:val="single" w:sz="4" w:space="0" w:color="auto"/>
              <w:right w:val="nil"/>
            </w:tcBorders>
            <w:shd w:val="clear" w:color="auto" w:fill="auto"/>
            <w:noWrap/>
            <w:vAlign w:val="bottom"/>
            <w:hideMark/>
          </w:tcPr>
          <w:p w14:paraId="1A5093FA" w14:textId="67AE0166"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65,07</w:t>
            </w:r>
            <w:r w:rsidR="00CB570A">
              <w:rPr>
                <w:rFonts w:eastAsia="Times New Roman"/>
                <w:szCs w:val="24"/>
                <w:lang w:eastAsia="cs-CZ"/>
              </w:rPr>
              <w:t> %</w:t>
            </w:r>
          </w:p>
        </w:tc>
      </w:tr>
      <w:tr w:rsidR="00AC1E67" w:rsidRPr="00A00187" w14:paraId="1BD0E790" w14:textId="77777777" w:rsidTr="001E788A">
        <w:trPr>
          <w:trHeight w:val="330"/>
        </w:trPr>
        <w:tc>
          <w:tcPr>
            <w:tcW w:w="2796" w:type="dxa"/>
            <w:tcBorders>
              <w:top w:val="nil"/>
              <w:left w:val="nil"/>
              <w:bottom w:val="double" w:sz="6" w:space="0" w:color="auto"/>
              <w:right w:val="nil"/>
            </w:tcBorders>
            <w:shd w:val="clear" w:color="auto" w:fill="auto"/>
            <w:noWrap/>
            <w:vAlign w:val="bottom"/>
            <w:hideMark/>
          </w:tcPr>
          <w:p w14:paraId="41A57ECA" w14:textId="77777777" w:rsidR="001E788A" w:rsidRPr="00A00187" w:rsidRDefault="001E788A" w:rsidP="001E788A">
            <w:pPr>
              <w:spacing w:line="240" w:lineRule="auto"/>
              <w:jc w:val="left"/>
              <w:rPr>
                <w:rFonts w:eastAsia="Times New Roman"/>
                <w:szCs w:val="24"/>
                <w:lang w:eastAsia="cs-CZ"/>
              </w:rPr>
            </w:pPr>
            <w:r w:rsidRPr="00A00187">
              <w:rPr>
                <w:rFonts w:eastAsia="Times New Roman"/>
                <w:szCs w:val="24"/>
                <w:lang w:eastAsia="cs-CZ"/>
              </w:rPr>
              <w:t>KS Ostrava</w:t>
            </w:r>
          </w:p>
        </w:tc>
        <w:tc>
          <w:tcPr>
            <w:tcW w:w="3136" w:type="dxa"/>
            <w:tcBorders>
              <w:top w:val="nil"/>
              <w:left w:val="nil"/>
              <w:bottom w:val="double" w:sz="6" w:space="0" w:color="auto"/>
              <w:right w:val="nil"/>
            </w:tcBorders>
            <w:shd w:val="clear" w:color="auto" w:fill="auto"/>
            <w:noWrap/>
            <w:vAlign w:val="bottom"/>
            <w:hideMark/>
          </w:tcPr>
          <w:p w14:paraId="04FDE899" w14:textId="4213C03B" w:rsidR="001E788A" w:rsidRPr="00A00187" w:rsidRDefault="001E788A" w:rsidP="001E788A">
            <w:pPr>
              <w:spacing w:line="240" w:lineRule="auto"/>
              <w:jc w:val="center"/>
              <w:rPr>
                <w:rFonts w:eastAsia="Times New Roman"/>
                <w:szCs w:val="24"/>
                <w:lang w:eastAsia="cs-CZ"/>
              </w:rPr>
            </w:pPr>
            <w:r w:rsidRPr="00A00187">
              <w:rPr>
                <w:rFonts w:eastAsia="Times New Roman"/>
                <w:szCs w:val="24"/>
                <w:lang w:eastAsia="cs-CZ"/>
              </w:rPr>
              <w:t>62,13</w:t>
            </w:r>
            <w:r w:rsidR="00CB570A">
              <w:rPr>
                <w:rFonts w:eastAsia="Times New Roman"/>
                <w:szCs w:val="24"/>
                <w:lang w:eastAsia="cs-CZ"/>
              </w:rPr>
              <w:t> %</w:t>
            </w:r>
          </w:p>
        </w:tc>
      </w:tr>
      <w:tr w:rsidR="00AC1E67" w:rsidRPr="00A00187" w14:paraId="20BC3CD7" w14:textId="77777777" w:rsidTr="001E788A">
        <w:trPr>
          <w:trHeight w:val="345"/>
        </w:trPr>
        <w:tc>
          <w:tcPr>
            <w:tcW w:w="2796" w:type="dxa"/>
            <w:tcBorders>
              <w:top w:val="nil"/>
              <w:left w:val="nil"/>
              <w:bottom w:val="double" w:sz="6" w:space="0" w:color="auto"/>
              <w:right w:val="nil"/>
            </w:tcBorders>
            <w:shd w:val="clear" w:color="auto" w:fill="auto"/>
            <w:noWrap/>
            <w:vAlign w:val="bottom"/>
            <w:hideMark/>
          </w:tcPr>
          <w:p w14:paraId="385038B5" w14:textId="77777777" w:rsidR="001E788A" w:rsidRPr="00A00187" w:rsidRDefault="001E788A" w:rsidP="001E788A">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3136" w:type="dxa"/>
            <w:tcBorders>
              <w:top w:val="nil"/>
              <w:left w:val="nil"/>
              <w:bottom w:val="double" w:sz="6" w:space="0" w:color="auto"/>
              <w:right w:val="nil"/>
            </w:tcBorders>
            <w:shd w:val="clear" w:color="auto" w:fill="auto"/>
            <w:noWrap/>
            <w:vAlign w:val="bottom"/>
            <w:hideMark/>
          </w:tcPr>
          <w:p w14:paraId="789C56D6" w14:textId="5EF0CE14" w:rsidR="001E788A" w:rsidRPr="00A00187" w:rsidRDefault="001E788A" w:rsidP="001E788A">
            <w:pPr>
              <w:spacing w:line="240" w:lineRule="auto"/>
              <w:jc w:val="center"/>
              <w:rPr>
                <w:rFonts w:eastAsia="Times New Roman"/>
                <w:b/>
                <w:bCs/>
                <w:szCs w:val="24"/>
                <w:lang w:eastAsia="cs-CZ"/>
              </w:rPr>
            </w:pPr>
            <w:r w:rsidRPr="00A00187">
              <w:rPr>
                <w:rFonts w:eastAsia="Times New Roman"/>
                <w:b/>
                <w:bCs/>
                <w:szCs w:val="24"/>
                <w:lang w:eastAsia="cs-CZ"/>
              </w:rPr>
              <w:t>61,11</w:t>
            </w:r>
            <w:r w:rsidR="00CB570A">
              <w:rPr>
                <w:rFonts w:eastAsia="Times New Roman"/>
                <w:b/>
                <w:bCs/>
                <w:szCs w:val="24"/>
                <w:lang w:eastAsia="cs-CZ"/>
              </w:rPr>
              <w:t> %</w:t>
            </w:r>
          </w:p>
        </w:tc>
      </w:tr>
      <w:tr w:rsidR="00AC1E67" w:rsidRPr="00A00187" w14:paraId="0BC1F7C6" w14:textId="77777777" w:rsidTr="001E788A">
        <w:trPr>
          <w:trHeight w:val="330"/>
        </w:trPr>
        <w:tc>
          <w:tcPr>
            <w:tcW w:w="2796" w:type="dxa"/>
            <w:tcBorders>
              <w:top w:val="nil"/>
              <w:left w:val="nil"/>
              <w:bottom w:val="nil"/>
              <w:right w:val="nil"/>
            </w:tcBorders>
            <w:shd w:val="clear" w:color="auto" w:fill="auto"/>
            <w:noWrap/>
            <w:vAlign w:val="bottom"/>
            <w:hideMark/>
          </w:tcPr>
          <w:p w14:paraId="7076C990" w14:textId="77777777" w:rsidR="001E788A" w:rsidRPr="00A00187" w:rsidRDefault="001E788A" w:rsidP="001E788A">
            <w:pPr>
              <w:spacing w:line="240" w:lineRule="auto"/>
              <w:jc w:val="center"/>
              <w:rPr>
                <w:rFonts w:eastAsia="Times New Roman"/>
                <w:b/>
                <w:bCs/>
                <w:szCs w:val="24"/>
                <w:lang w:eastAsia="cs-CZ"/>
              </w:rPr>
            </w:pPr>
          </w:p>
        </w:tc>
        <w:tc>
          <w:tcPr>
            <w:tcW w:w="3136" w:type="dxa"/>
            <w:tcBorders>
              <w:top w:val="nil"/>
              <w:left w:val="nil"/>
              <w:bottom w:val="nil"/>
              <w:right w:val="nil"/>
            </w:tcBorders>
            <w:shd w:val="clear" w:color="auto" w:fill="auto"/>
            <w:noWrap/>
            <w:vAlign w:val="bottom"/>
            <w:hideMark/>
          </w:tcPr>
          <w:p w14:paraId="181F81C4" w14:textId="77777777" w:rsidR="001E788A" w:rsidRPr="00A00187" w:rsidRDefault="001E788A" w:rsidP="001E788A">
            <w:pPr>
              <w:spacing w:line="240" w:lineRule="auto"/>
              <w:jc w:val="left"/>
              <w:rPr>
                <w:rFonts w:ascii="Times New Roman" w:eastAsia="Times New Roman" w:hAnsi="Times New Roman"/>
                <w:sz w:val="20"/>
                <w:szCs w:val="20"/>
                <w:lang w:eastAsia="cs-CZ"/>
              </w:rPr>
            </w:pPr>
          </w:p>
        </w:tc>
      </w:tr>
    </w:tbl>
    <w:p w14:paraId="2AEA0017" w14:textId="57152B02" w:rsidR="00CB570A" w:rsidRDefault="004779CA" w:rsidP="004779CA">
      <w:pPr>
        <w:pStyle w:val="OdstavecASR"/>
      </w:pPr>
      <w:r w:rsidRPr="00A00187">
        <w:t xml:space="preserve">Míra změny rozsudku je stejně jako v předchozím roce nejnižší v Jihočeském kraji </w:t>
      </w:r>
      <w:r w:rsidR="00726EC3" w:rsidRPr="00A00187">
        <w:t>a</w:t>
      </w:r>
      <w:r w:rsidR="00726EC3">
        <w:t> </w:t>
      </w:r>
      <w:r w:rsidRPr="00A00187">
        <w:t>v Praze. Nejvyšší je naopak ve Středočeském kraji.</w:t>
      </w:r>
    </w:p>
    <w:p w14:paraId="6AE09C4E" w14:textId="06FCFF4C" w:rsidR="007225CE" w:rsidRPr="00A00187" w:rsidRDefault="006E0B5F" w:rsidP="007225CE">
      <w:pPr>
        <w:pStyle w:val="Podnadpis"/>
        <w:rPr>
          <w:color w:val="auto"/>
        </w:rPr>
      </w:pPr>
      <w:bookmarkStart w:id="495" w:name="_Toc106106679"/>
      <w:bookmarkStart w:id="496" w:name="_Toc109802003"/>
      <w:r w:rsidRPr="00A00187">
        <w:rPr>
          <w:color w:val="auto"/>
        </w:rPr>
        <w:t>G</w:t>
      </w:r>
      <w:r w:rsidR="007225CE" w:rsidRPr="00A00187">
        <w:rPr>
          <w:color w:val="auto"/>
        </w:rPr>
        <w:t xml:space="preserve">raf </w:t>
      </w:r>
      <w:r w:rsidR="007225CE" w:rsidRPr="00A00187">
        <w:rPr>
          <w:color w:val="auto"/>
        </w:rPr>
        <w:fldChar w:fldCharType="begin"/>
      </w:r>
      <w:r w:rsidR="007225CE" w:rsidRPr="00A00187">
        <w:rPr>
          <w:color w:val="auto"/>
        </w:rPr>
        <w:instrText xml:space="preserve"> SEQ Graf \* ARABIC </w:instrText>
      </w:r>
      <w:r w:rsidR="007225CE" w:rsidRPr="00A00187">
        <w:rPr>
          <w:color w:val="auto"/>
        </w:rPr>
        <w:fldChar w:fldCharType="separate"/>
      </w:r>
      <w:r w:rsidR="00DE6B5E">
        <w:rPr>
          <w:noProof/>
          <w:color w:val="auto"/>
        </w:rPr>
        <w:t>45</w:t>
      </w:r>
      <w:r w:rsidR="007225CE" w:rsidRPr="00A00187">
        <w:rPr>
          <w:color w:val="auto"/>
        </w:rPr>
        <w:fldChar w:fldCharType="end"/>
      </w:r>
      <w:r w:rsidR="007225CE" w:rsidRPr="00A00187">
        <w:rPr>
          <w:color w:val="auto"/>
        </w:rPr>
        <w:t>: OS – míra změny rozsudku u jednotlivých soudů v</w:t>
      </w:r>
      <w:r w:rsidR="001E788A" w:rsidRPr="00A00187">
        <w:rPr>
          <w:color w:val="auto"/>
        </w:rPr>
        <w:t> </w:t>
      </w:r>
      <w:proofErr w:type="spellStart"/>
      <w:r w:rsidR="001E788A" w:rsidRPr="00A00187">
        <w:rPr>
          <w:color w:val="auto"/>
        </w:rPr>
        <w:t>opatrov</w:t>
      </w:r>
      <w:proofErr w:type="spellEnd"/>
      <w:r w:rsidR="001E788A" w:rsidRPr="00A00187">
        <w:rPr>
          <w:color w:val="auto"/>
        </w:rPr>
        <w:t>.</w:t>
      </w:r>
      <w:r w:rsidR="007225CE" w:rsidRPr="00A00187">
        <w:rPr>
          <w:color w:val="auto"/>
        </w:rPr>
        <w:t xml:space="preserve"> řízení</w:t>
      </w:r>
      <w:bookmarkEnd w:id="495"/>
      <w:bookmarkEnd w:id="496"/>
    </w:p>
    <w:p w14:paraId="7056CBAD" w14:textId="0D4BDE59" w:rsidR="007225CE" w:rsidRPr="00A00187" w:rsidRDefault="000A7271" w:rsidP="009917DD">
      <w:pPr>
        <w:pStyle w:val="OdstavecASR"/>
        <w:keepNext/>
        <w:rPr>
          <w:b/>
        </w:rPr>
      </w:pPr>
      <w:r w:rsidRPr="00A00187">
        <w:rPr>
          <w:noProof/>
        </w:rPr>
        <w:drawing>
          <wp:anchor distT="0" distB="0" distL="114300" distR="114300" simplePos="0" relativeHeight="251693056" behindDoc="0" locked="0" layoutInCell="1" allowOverlap="1" wp14:anchorId="290F64C0" wp14:editId="75433B75">
            <wp:simplePos x="0" y="0"/>
            <wp:positionH relativeFrom="column">
              <wp:posOffset>4467860</wp:posOffset>
            </wp:positionH>
            <wp:positionV relativeFrom="paragraph">
              <wp:posOffset>48895</wp:posOffset>
            </wp:positionV>
            <wp:extent cx="1296035" cy="942975"/>
            <wp:effectExtent l="0" t="0" r="0" b="9525"/>
            <wp:wrapNone/>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96035" cy="942975"/>
                    </a:xfrm>
                    <a:prstGeom prst="rect">
                      <a:avLst/>
                    </a:prstGeom>
                    <a:noFill/>
                    <a:ln>
                      <a:noFill/>
                    </a:ln>
                  </pic:spPr>
                </pic:pic>
              </a:graphicData>
            </a:graphic>
          </wp:anchor>
        </w:drawing>
      </w:r>
      <w:r w:rsidR="007225CE" w:rsidRPr="00A00187">
        <w:rPr>
          <w:b/>
          <w:noProof/>
        </w:rPr>
        <w:drawing>
          <wp:inline distT="0" distB="0" distL="0" distR="0" wp14:anchorId="08EA65E2" wp14:editId="4B09D00C">
            <wp:extent cx="5759450" cy="3296285"/>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EF50574" w14:textId="484BFD0C" w:rsidR="00A879E5" w:rsidRDefault="004779CA" w:rsidP="004779CA">
      <w:pPr>
        <w:pStyle w:val="OdstavecASR"/>
      </w:pPr>
      <w:r w:rsidRPr="00A00187">
        <w:t>Z okresních soudů mají nejnižší míru změny rozsudku OS pro Prahu 7 (0</w:t>
      </w:r>
      <w:r w:rsidR="00CB570A">
        <w:t> %</w:t>
      </w:r>
      <w:r w:rsidRPr="00A00187">
        <w:t>), OS Jese</w:t>
      </w:r>
      <w:r w:rsidR="009868CF" w:rsidRPr="00A00187">
        <w:t xml:space="preserve">ník </w:t>
      </w:r>
      <w:r w:rsidRPr="00A00187">
        <w:t>(</w:t>
      </w:r>
      <w:r w:rsidR="009868CF" w:rsidRPr="00A00187">
        <w:t>25</w:t>
      </w:r>
      <w:r w:rsidR="00CB570A">
        <w:t> %</w:t>
      </w:r>
      <w:r w:rsidRPr="00A00187">
        <w:t>) a OS </w:t>
      </w:r>
      <w:r w:rsidR="009868CF" w:rsidRPr="00A00187">
        <w:t>Vyškov</w:t>
      </w:r>
      <w:r w:rsidRPr="00A00187">
        <w:t xml:space="preserve"> (2</w:t>
      </w:r>
      <w:r w:rsidR="009868CF" w:rsidRPr="00A00187">
        <w:t>8</w:t>
      </w:r>
      <w:r w:rsidRPr="00A00187">
        <w:t>,</w:t>
      </w:r>
      <w:r w:rsidR="009868CF" w:rsidRPr="00A00187">
        <w:t>13</w:t>
      </w:r>
      <w:r w:rsidR="00CB570A">
        <w:t> %</w:t>
      </w:r>
      <w:r w:rsidRPr="00A00187">
        <w:t xml:space="preserve">). Na druhém konci se nacházejí OS </w:t>
      </w:r>
      <w:r w:rsidR="009868CF" w:rsidRPr="00A00187">
        <w:t>Kutná Hora</w:t>
      </w:r>
      <w:r w:rsidRPr="00A00187">
        <w:t xml:space="preserve"> (</w:t>
      </w:r>
      <w:r w:rsidR="009868CF" w:rsidRPr="00A00187">
        <w:t>92</w:t>
      </w:r>
      <w:r w:rsidRPr="00A00187">
        <w:t>,</w:t>
      </w:r>
      <w:r w:rsidR="009868CF" w:rsidRPr="00A00187">
        <w:t>86</w:t>
      </w:r>
      <w:r w:rsidR="00CB570A">
        <w:t> %</w:t>
      </w:r>
      <w:r w:rsidRPr="00A00187">
        <w:t xml:space="preserve">), OS </w:t>
      </w:r>
      <w:r w:rsidR="009868CF" w:rsidRPr="00A00187">
        <w:t>Uherské Hradiště</w:t>
      </w:r>
      <w:r w:rsidRPr="00A00187">
        <w:t xml:space="preserve"> (</w:t>
      </w:r>
      <w:r w:rsidR="009868CF" w:rsidRPr="00A00187">
        <w:t>89,29</w:t>
      </w:r>
      <w:r w:rsidR="00CB570A">
        <w:t> %</w:t>
      </w:r>
      <w:r w:rsidRPr="00A00187">
        <w:t>) a OS </w:t>
      </w:r>
      <w:r w:rsidR="009868CF" w:rsidRPr="00A00187">
        <w:t>Kladno</w:t>
      </w:r>
      <w:r w:rsidRPr="00A00187">
        <w:t xml:space="preserve"> (</w:t>
      </w:r>
      <w:r w:rsidR="009868CF" w:rsidRPr="00A00187">
        <w:t>86</w:t>
      </w:r>
      <w:r w:rsidRPr="00A00187">
        <w:t>,</w:t>
      </w:r>
      <w:r w:rsidR="009868CF" w:rsidRPr="00A00187">
        <w:t>21</w:t>
      </w:r>
      <w:r w:rsidR="00CB570A">
        <w:t> %</w:t>
      </w:r>
      <w:r w:rsidRPr="00A00187">
        <w:t>).</w:t>
      </w:r>
      <w:r w:rsidR="00A879E5" w:rsidRPr="00A00187">
        <w:t xml:space="preserve"> </w:t>
      </w:r>
      <w:r w:rsidR="0019594A" w:rsidRPr="00A00187">
        <w:t>M</w:t>
      </w:r>
      <w:r w:rsidR="00A879E5" w:rsidRPr="00A00187">
        <w:t xml:space="preserve">ezi soudy jsou </w:t>
      </w:r>
      <w:r w:rsidR="0019594A" w:rsidRPr="00A00187">
        <w:t xml:space="preserve">tedy </w:t>
      </w:r>
      <w:r w:rsidR="00A879E5" w:rsidRPr="00A00187">
        <w:t xml:space="preserve">obrovské rozdíly. To plyne </w:t>
      </w:r>
      <w:r w:rsidR="00A879E5" w:rsidRPr="00A00187">
        <w:lastRenderedPageBreak/>
        <w:t xml:space="preserve">z malého počtu pozorování – míra odvolání je nízká, tudíž </w:t>
      </w:r>
      <w:r w:rsidR="00726EC3" w:rsidRPr="00A00187">
        <w:t>i</w:t>
      </w:r>
      <w:r w:rsidR="00726EC3">
        <w:t> </w:t>
      </w:r>
      <w:r w:rsidR="00A879E5" w:rsidRPr="00A00187">
        <w:t>vzorek pro výpočet míry změny rozsudku je malý. Z toho pak plyne velká variabilita</w:t>
      </w:r>
      <w:r w:rsidR="0019594A" w:rsidRPr="00A00187">
        <w:t xml:space="preserve">, která může vést </w:t>
      </w:r>
      <w:r w:rsidR="00726EC3" w:rsidRPr="00A00187">
        <w:t>k</w:t>
      </w:r>
      <w:r w:rsidR="00726EC3">
        <w:t> </w:t>
      </w:r>
      <w:r w:rsidR="007E514D" w:rsidRPr="00A00187">
        <w:t>extrémní</w:t>
      </w:r>
      <w:r w:rsidR="0019594A" w:rsidRPr="00A00187">
        <w:t>m</w:t>
      </w:r>
      <w:r w:rsidR="00A879E5" w:rsidRPr="00A00187">
        <w:t xml:space="preserve"> hodnot</w:t>
      </w:r>
      <w:r w:rsidR="0019594A" w:rsidRPr="00A00187">
        <w:t>ám</w:t>
      </w:r>
      <w:r w:rsidR="00A879E5" w:rsidRPr="00A00187">
        <w:t xml:space="preserve">. Například </w:t>
      </w:r>
      <w:r w:rsidR="00726EC3" w:rsidRPr="00A00187">
        <w:t>u</w:t>
      </w:r>
      <w:r w:rsidR="00726EC3">
        <w:t> </w:t>
      </w:r>
      <w:r w:rsidR="00A879E5" w:rsidRPr="00A00187">
        <w:t>OS pro Prahu 7, který vykázal míru změny rozsudku 0</w:t>
      </w:r>
      <w:r w:rsidR="00CB570A">
        <w:t> %</w:t>
      </w:r>
      <w:r w:rsidR="00A879E5" w:rsidRPr="00A00187">
        <w:t xml:space="preserve">, </w:t>
      </w:r>
      <w:r w:rsidR="0019594A" w:rsidRPr="00A00187">
        <w:t xml:space="preserve">tak </w:t>
      </w:r>
      <w:r w:rsidR="00A879E5" w:rsidRPr="00A00187">
        <w:t>byl</w:t>
      </w:r>
      <w:r w:rsidR="0019594A" w:rsidRPr="00A00187">
        <w:t>a zaznamenána</w:t>
      </w:r>
      <w:r w:rsidR="00A879E5" w:rsidRPr="00A00187">
        <w:t xml:space="preserve"> pouze 3</w:t>
      </w:r>
      <w:r w:rsidR="0091168A" w:rsidRPr="00A00187">
        <w:t> </w:t>
      </w:r>
      <w:r w:rsidR="00A879E5" w:rsidRPr="00A00187">
        <w:t>pozorování</w:t>
      </w:r>
      <w:r w:rsidR="00C9718A" w:rsidRPr="00A00187">
        <w:t>.</w:t>
      </w:r>
    </w:p>
    <w:p w14:paraId="2948470A" w14:textId="77777777" w:rsidR="004838ED" w:rsidRPr="00A00187" w:rsidRDefault="004838ED" w:rsidP="004779CA">
      <w:pPr>
        <w:pStyle w:val="OdstavecASR"/>
      </w:pPr>
    </w:p>
    <w:p w14:paraId="145435E0" w14:textId="2F163E54" w:rsidR="009917DD" w:rsidRPr="00A00187" w:rsidRDefault="009917DD" w:rsidP="00030DC4">
      <w:pPr>
        <w:pStyle w:val="OdstavecASR"/>
        <w:keepNext/>
        <w:outlineLvl w:val="3"/>
        <w:rPr>
          <w:b/>
        </w:rPr>
      </w:pPr>
      <w:r w:rsidRPr="00A00187">
        <w:rPr>
          <w:b/>
        </w:rPr>
        <w:t>Výše výživného a podíl na příjmu</w:t>
      </w:r>
    </w:p>
    <w:p w14:paraId="1BBF9CA6" w14:textId="0D72A81D" w:rsidR="009915AF" w:rsidRPr="00A00187" w:rsidRDefault="009915AF" w:rsidP="00C43631">
      <w:pPr>
        <w:pStyle w:val="OdstavecASR"/>
      </w:pPr>
      <w:r w:rsidRPr="00A00187">
        <w:t xml:space="preserve">Po údajích věnujících se opatrovnické agendě jako celku stojí jistě za zmínku vybrané oblasti práva, kterým je věnována značná pozornost justice </w:t>
      </w:r>
      <w:r w:rsidR="00726EC3" w:rsidRPr="00A00187">
        <w:t>i</w:t>
      </w:r>
      <w:r w:rsidR="00726EC3">
        <w:t> </w:t>
      </w:r>
      <w:r w:rsidRPr="00A00187">
        <w:t>běžné veřejnost</w:t>
      </w:r>
      <w:r w:rsidR="00030DC4">
        <w:t>i</w:t>
      </w:r>
      <w:r w:rsidRPr="00A00187">
        <w:t xml:space="preserve">. Jako první lze představit data o rozhodování </w:t>
      </w:r>
      <w:r w:rsidR="00726EC3" w:rsidRPr="00A00187">
        <w:t>o</w:t>
      </w:r>
      <w:r w:rsidR="00726EC3">
        <w:t> </w:t>
      </w:r>
      <w:r w:rsidRPr="00A00187">
        <w:t>výživném nezletilých dětí.</w:t>
      </w:r>
    </w:p>
    <w:p w14:paraId="37749EE3" w14:textId="0A55C749" w:rsidR="00780DCC" w:rsidRPr="004838ED" w:rsidRDefault="00780DCC" w:rsidP="00C43631">
      <w:pPr>
        <w:pStyle w:val="OdstavecASR"/>
      </w:pPr>
      <w:r w:rsidRPr="00A00187">
        <w:t xml:space="preserve">Zde uvedené statistiky se </w:t>
      </w:r>
      <w:r w:rsidR="00FE22D8" w:rsidRPr="00A00187">
        <w:t>také</w:t>
      </w:r>
      <w:r w:rsidR="006E1925" w:rsidRPr="00A00187">
        <w:t xml:space="preserve"> </w:t>
      </w:r>
      <w:r w:rsidRPr="00A00187">
        <w:t xml:space="preserve">týkají </w:t>
      </w:r>
      <w:r w:rsidR="006E1925" w:rsidRPr="00A00187">
        <w:t xml:space="preserve">dětí, kdy </w:t>
      </w:r>
      <w:r w:rsidRPr="00A00187">
        <w:t>první rozhodnutí o vyživovací povinnosti a údaje (v Kč event. v</w:t>
      </w:r>
      <w:r w:rsidR="00CB570A">
        <w:t> %</w:t>
      </w:r>
      <w:r w:rsidR="008D3DD4" w:rsidRPr="00A00187">
        <w:t xml:space="preserve"> </w:t>
      </w:r>
      <w:r w:rsidR="00726EC3" w:rsidRPr="00A00187">
        <w:t>z</w:t>
      </w:r>
      <w:r w:rsidR="00726EC3">
        <w:t> </w:t>
      </w:r>
      <w:r w:rsidR="008D3DD4" w:rsidRPr="00A00187">
        <w:t>příjmu</w:t>
      </w:r>
      <w:r w:rsidRPr="00A00187">
        <w:t xml:space="preserve">) se vztahují k jednomu dítěti. Pokud je </w:t>
      </w:r>
      <w:r w:rsidR="00223626" w:rsidRPr="00A00187">
        <w:t xml:space="preserve">stanovena </w:t>
      </w:r>
      <w:r w:rsidRPr="00A00187">
        <w:t xml:space="preserve">povinnost </w:t>
      </w:r>
      <w:r w:rsidR="00034468" w:rsidRPr="00A00187">
        <w:t>platit</w:t>
      </w:r>
      <w:r w:rsidRPr="00A00187">
        <w:t xml:space="preserve"> výživné oběma rodičům, v grafu je pracováno jen s vyšší částkou výživného </w:t>
      </w:r>
      <w:r w:rsidR="00726EC3" w:rsidRPr="00A00187">
        <w:t>a</w:t>
      </w:r>
      <w:r w:rsidR="00726EC3">
        <w:t> </w:t>
      </w:r>
      <w:r w:rsidRPr="00A00187">
        <w:t>v případě stejné částky výživného s vyšším příjmem rodiče.</w:t>
      </w:r>
      <w:r w:rsidR="00034468" w:rsidRPr="00A00187">
        <w:t xml:space="preserve"> Od roku 2017 jsou k dispozici obě částky </w:t>
      </w:r>
      <w:r w:rsidR="00726EC3" w:rsidRPr="00A00187">
        <w:t>a</w:t>
      </w:r>
      <w:r w:rsidR="00726EC3">
        <w:t> </w:t>
      </w:r>
      <w:r w:rsidR="00034468" w:rsidRPr="00A00187">
        <w:t xml:space="preserve">oba příjmy, </w:t>
      </w:r>
      <w:r w:rsidR="00223626" w:rsidRPr="00A00187">
        <w:t xml:space="preserve">pro </w:t>
      </w:r>
      <w:r w:rsidR="00034468" w:rsidRPr="00A00187">
        <w:t xml:space="preserve">zachování stejné metodiky jsou v tomto grafu </w:t>
      </w:r>
      <w:r w:rsidR="00F60F0F" w:rsidRPr="00A00187">
        <w:t xml:space="preserve">(č. 44) </w:t>
      </w:r>
      <w:r w:rsidR="00034468" w:rsidRPr="00A00187">
        <w:t xml:space="preserve">ale </w:t>
      </w:r>
      <w:r w:rsidR="00726EC3" w:rsidRPr="00A00187">
        <w:t>i</w:t>
      </w:r>
      <w:r w:rsidR="00726EC3">
        <w:t> </w:t>
      </w:r>
      <w:r w:rsidR="00034468" w:rsidRPr="00A00187">
        <w:t>po roce 2017 započítány vyšší částky.</w:t>
      </w:r>
    </w:p>
    <w:p w14:paraId="6000941A" w14:textId="32DC8325" w:rsidR="005C543F" w:rsidRPr="00A00187" w:rsidRDefault="005C543F" w:rsidP="00C43631">
      <w:pPr>
        <w:pStyle w:val="OdstavecASR"/>
        <w:rPr>
          <w:bCs/>
        </w:rPr>
      </w:pPr>
      <w:r w:rsidRPr="00A00187">
        <w:rPr>
          <w:bCs/>
        </w:rPr>
        <w:t xml:space="preserve">Na úvod je třeba </w:t>
      </w:r>
      <w:r w:rsidR="00223626" w:rsidRPr="00A00187">
        <w:rPr>
          <w:bCs/>
        </w:rPr>
        <w:t>uvést</w:t>
      </w:r>
      <w:r w:rsidRPr="00A00187">
        <w:rPr>
          <w:bCs/>
        </w:rPr>
        <w:t xml:space="preserve">, že </w:t>
      </w:r>
      <w:r w:rsidR="00C9718A" w:rsidRPr="00A00187">
        <w:rPr>
          <w:bCs/>
        </w:rPr>
        <w:t xml:space="preserve">v této části zprávy </w:t>
      </w:r>
      <w:r w:rsidRPr="00A00187">
        <w:rPr>
          <w:bCs/>
        </w:rPr>
        <w:t>došlo ke změně metodiky</w:t>
      </w:r>
      <w:r w:rsidR="00C9718A" w:rsidRPr="00A00187">
        <w:rPr>
          <w:bCs/>
        </w:rPr>
        <w:t xml:space="preserve"> spočívající v očištění dat</w:t>
      </w:r>
      <w:r w:rsidRPr="00A00187">
        <w:rPr>
          <w:bCs/>
        </w:rPr>
        <w:t xml:space="preserve"> v této části zprávy. Uvedené hodnoty se tedy liší, </w:t>
      </w:r>
      <w:r w:rsidR="00726EC3" w:rsidRPr="00A00187">
        <w:rPr>
          <w:bCs/>
        </w:rPr>
        <w:t>a</w:t>
      </w:r>
      <w:r w:rsidR="00726EC3">
        <w:rPr>
          <w:bCs/>
        </w:rPr>
        <w:t> </w:t>
      </w:r>
      <w:r w:rsidRPr="00A00187">
        <w:rPr>
          <w:bCs/>
        </w:rPr>
        <w:t xml:space="preserve">to </w:t>
      </w:r>
      <w:r w:rsidR="00726EC3" w:rsidRPr="00A00187">
        <w:rPr>
          <w:bCs/>
        </w:rPr>
        <w:t>i</w:t>
      </w:r>
      <w:r w:rsidR="00726EC3">
        <w:rPr>
          <w:bCs/>
        </w:rPr>
        <w:t> </w:t>
      </w:r>
      <w:r w:rsidRPr="00A00187">
        <w:rPr>
          <w:bCs/>
        </w:rPr>
        <w:t xml:space="preserve">pro předchozí roky (především pro kategorii </w:t>
      </w:r>
      <w:r w:rsidR="00C9718A" w:rsidRPr="00A00187">
        <w:rPr>
          <w:bCs/>
        </w:rPr>
        <w:t>p</w:t>
      </w:r>
      <w:r w:rsidRPr="00A00187">
        <w:rPr>
          <w:bCs/>
        </w:rPr>
        <w:t>ovinnost stanoven</w:t>
      </w:r>
      <w:r w:rsidR="006E1925" w:rsidRPr="00A00187">
        <w:rPr>
          <w:bCs/>
        </w:rPr>
        <w:t>a</w:t>
      </w:r>
      <w:r w:rsidRPr="00A00187">
        <w:rPr>
          <w:bCs/>
        </w:rPr>
        <w:t xml:space="preserve"> oběma rodičům). </w:t>
      </w:r>
      <w:r w:rsidR="0019594A" w:rsidRPr="00A00187">
        <w:rPr>
          <w:bCs/>
        </w:rPr>
        <w:t>Z</w:t>
      </w:r>
      <w:r w:rsidRPr="00A00187">
        <w:rPr>
          <w:bCs/>
        </w:rPr>
        <w:t xml:space="preserve">ávěry </w:t>
      </w:r>
      <w:r w:rsidR="0019594A" w:rsidRPr="00A00187">
        <w:rPr>
          <w:bCs/>
        </w:rPr>
        <w:t>vyplývající z dat</w:t>
      </w:r>
      <w:r w:rsidRPr="00A00187">
        <w:rPr>
          <w:bCs/>
        </w:rPr>
        <w:t xml:space="preserve"> jsou</w:t>
      </w:r>
      <w:r w:rsidR="00AA5DB9" w:rsidRPr="00A00187">
        <w:rPr>
          <w:bCs/>
        </w:rPr>
        <w:t xml:space="preserve"> </w:t>
      </w:r>
      <w:r w:rsidR="0019594A" w:rsidRPr="00A00187">
        <w:rPr>
          <w:bCs/>
        </w:rPr>
        <w:t xml:space="preserve">nicméně </w:t>
      </w:r>
      <w:r w:rsidR="00726EC3" w:rsidRPr="00A00187">
        <w:rPr>
          <w:bCs/>
        </w:rPr>
        <w:t>v</w:t>
      </w:r>
      <w:r w:rsidR="00726EC3">
        <w:rPr>
          <w:bCs/>
        </w:rPr>
        <w:t> </w:t>
      </w:r>
      <w:r w:rsidR="00AA5DB9" w:rsidRPr="00A00187">
        <w:rPr>
          <w:bCs/>
        </w:rPr>
        <w:t>zásadě</w:t>
      </w:r>
      <w:r w:rsidRPr="00A00187">
        <w:rPr>
          <w:bCs/>
        </w:rPr>
        <w:t xml:space="preserve"> stejné.</w:t>
      </w:r>
    </w:p>
    <w:p w14:paraId="7DA395F5" w14:textId="48AAE801" w:rsidR="009917DD" w:rsidRPr="00A00187" w:rsidRDefault="009917DD" w:rsidP="009917DD">
      <w:pPr>
        <w:pStyle w:val="Podnadpis"/>
        <w:rPr>
          <w:color w:val="auto"/>
        </w:rPr>
      </w:pPr>
      <w:bookmarkStart w:id="497" w:name="_Toc75952226"/>
      <w:bookmarkStart w:id="498" w:name="_Toc106106680"/>
      <w:bookmarkStart w:id="499" w:name="_Toc109802004"/>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46</w:t>
      </w:r>
      <w:r w:rsidRPr="00A00187">
        <w:rPr>
          <w:noProof/>
          <w:color w:val="auto"/>
        </w:rPr>
        <w:fldChar w:fldCharType="end"/>
      </w:r>
      <w:bookmarkEnd w:id="485"/>
      <w:r w:rsidRPr="00A00187">
        <w:rPr>
          <w:color w:val="auto"/>
        </w:rPr>
        <w:t>: OS – průměrná výše výživného dle povinné osoby v letech 2012–</w:t>
      </w:r>
      <w:bookmarkEnd w:id="486"/>
      <w:bookmarkEnd w:id="487"/>
      <w:r w:rsidRPr="00A00187">
        <w:rPr>
          <w:color w:val="auto"/>
        </w:rPr>
        <w:t>20</w:t>
      </w:r>
      <w:bookmarkEnd w:id="488"/>
      <w:r w:rsidRPr="00A00187">
        <w:rPr>
          <w:color w:val="auto"/>
        </w:rPr>
        <w:t>2</w:t>
      </w:r>
      <w:bookmarkEnd w:id="497"/>
      <w:r w:rsidR="00AA5DB9" w:rsidRPr="00A00187">
        <w:rPr>
          <w:color w:val="auto"/>
        </w:rPr>
        <w:t>1</w:t>
      </w:r>
      <w:bookmarkEnd w:id="498"/>
      <w:bookmarkEnd w:id="499"/>
    </w:p>
    <w:p w14:paraId="323601A8" w14:textId="07B1CD34" w:rsidR="009917DD" w:rsidRPr="00A00187" w:rsidRDefault="00034468" w:rsidP="009917DD">
      <w:pPr>
        <w:pStyle w:val="OdstavecASR"/>
      </w:pPr>
      <w:r w:rsidRPr="00A00187">
        <w:rPr>
          <w:noProof/>
        </w:rPr>
        <w:drawing>
          <wp:inline distT="0" distB="0" distL="0" distR="0" wp14:anchorId="17A2AD5B" wp14:editId="73330773">
            <wp:extent cx="5029200" cy="3657600"/>
            <wp:effectExtent l="0" t="0" r="0" b="0"/>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D91E86F" w14:textId="53ED6BC2" w:rsidR="005C543F" w:rsidRPr="00A00187" w:rsidRDefault="005C543F" w:rsidP="005C543F">
      <w:pPr>
        <w:pStyle w:val="OdstavecASR"/>
      </w:pPr>
      <w:r w:rsidRPr="00A00187">
        <w:t xml:space="preserve">V grafu výše </w:t>
      </w:r>
      <w:r w:rsidR="00223626" w:rsidRPr="00A00187">
        <w:t>pozorujeme</w:t>
      </w:r>
      <w:r w:rsidRPr="00A00187">
        <w:t>, že průměrné výživné stanovené otci je asi dvakrát vyšší než průměrné výživné stanovované matce a je potřebné dále tento vývoj sledovat. Rozdíl je způsoben několika faktory:</w:t>
      </w:r>
    </w:p>
    <w:p w14:paraId="618EE43B" w14:textId="255079A5" w:rsidR="005C543F" w:rsidRPr="00A00187" w:rsidRDefault="005C543F" w:rsidP="005C543F">
      <w:pPr>
        <w:pStyle w:val="Odstavecseseznamem"/>
        <w:numPr>
          <w:ilvl w:val="0"/>
          <w:numId w:val="12"/>
        </w:numPr>
      </w:pPr>
      <w:r w:rsidRPr="00A00187">
        <w:t xml:space="preserve">Při určování výživného soud přihlíží k majetkovým poměrům povinného. Průměrná mzda žen v ČR je </w:t>
      </w:r>
      <w:r w:rsidR="006E1925" w:rsidRPr="00A00187">
        <w:t xml:space="preserve">nižší </w:t>
      </w:r>
      <w:r w:rsidRPr="00A00187">
        <w:t xml:space="preserve">než průměrná mzda mužů a logicky je tedy mužům stanovena povinnost </w:t>
      </w:r>
      <w:r w:rsidRPr="00A00187">
        <w:lastRenderedPageBreak/>
        <w:t>platit vyšší výživné. To ovšem vysvětluje pouze část rozdílu, protože mzda mužů není ani zdaleka dvakrát vyšší než mzda žen a při růstu hrubých mezd žen dochází ke snižování podílu jim určeného výživného na jejich příjmu. Například ve 4. čtvrtletí 20</w:t>
      </w:r>
      <w:r w:rsidR="00EC3F62" w:rsidRPr="00A00187">
        <w:t>21</w:t>
      </w:r>
      <w:r w:rsidRPr="00A00187">
        <w:t xml:space="preserve"> byla podle Českého statistického úřadu mediánová hrubá měsíční mzda žen </w:t>
      </w:r>
      <w:r w:rsidR="00EC3F62" w:rsidRPr="00A00187">
        <w:t>31</w:t>
      </w:r>
      <w:r w:rsidRPr="00A00187">
        <w:t> </w:t>
      </w:r>
      <w:r w:rsidR="00EC3F62" w:rsidRPr="00A00187">
        <w:t>720</w:t>
      </w:r>
      <w:r w:rsidRPr="00A00187">
        <w:t xml:space="preserve"> Kč, u mužů 3</w:t>
      </w:r>
      <w:r w:rsidR="00EC3F62" w:rsidRPr="00A00187">
        <w:t>6</w:t>
      </w:r>
      <w:r w:rsidRPr="00A00187">
        <w:t> </w:t>
      </w:r>
      <w:r w:rsidR="00EC3F62" w:rsidRPr="00A00187">
        <w:t>792</w:t>
      </w:r>
      <w:r w:rsidRPr="00A00187">
        <w:t> Kč. Hrubé mzdy vykazované ČSÚ navíc nezahrnují přídavky na děti a jiné eventuální přiznané dávky.</w:t>
      </w:r>
    </w:p>
    <w:p w14:paraId="41D699A7" w14:textId="3F135090" w:rsidR="005C543F" w:rsidRPr="00A00187" w:rsidRDefault="005C543F" w:rsidP="005C543F">
      <w:pPr>
        <w:pStyle w:val="Odstavecseseznamem"/>
        <w:numPr>
          <w:ilvl w:val="0"/>
          <w:numId w:val="12"/>
        </w:numPr>
        <w:rPr>
          <w:b/>
          <w:spacing w:val="15"/>
        </w:rPr>
      </w:pPr>
      <w:r w:rsidRPr="00A00187">
        <w:t>V dalším grafu vidíme, že u matek je podíl výživného na čistém měsíčním příjmu nižší než u otců. To souvisí právě s výší příjmů. Snížení disponibilního příjmu má větší dopad na lidi s </w:t>
      </w:r>
      <w:r w:rsidR="006E1925" w:rsidRPr="00A00187">
        <w:t>nižší úrovní m</w:t>
      </w:r>
      <w:r w:rsidR="00FE22D8" w:rsidRPr="00A00187">
        <w:t>zdy</w:t>
      </w:r>
      <w:r w:rsidR="006507D1" w:rsidRPr="00A00187">
        <w:t>.</w:t>
      </w:r>
    </w:p>
    <w:p w14:paraId="60D17CEC" w14:textId="1F6B66ED" w:rsidR="005C543F" w:rsidRPr="00A00187" w:rsidRDefault="005C543F" w:rsidP="005C543F">
      <w:pPr>
        <w:pStyle w:val="Odstavecseseznamem"/>
        <w:numPr>
          <w:ilvl w:val="0"/>
          <w:numId w:val="12"/>
        </w:numPr>
        <w:rPr>
          <w:b/>
          <w:spacing w:val="15"/>
        </w:rPr>
      </w:pPr>
      <w:r w:rsidRPr="00A00187">
        <w:t xml:space="preserve">Rozdíl mezi příjmy otce a matky, kteří vedou spor o výživné, je větší než rozdíl mezi příjmy mužů a žen v celé populaci ČR. To je zřejmě dáno </w:t>
      </w:r>
      <w:r w:rsidR="00726EC3" w:rsidRPr="00A00187">
        <w:t>i</w:t>
      </w:r>
      <w:r w:rsidR="00726EC3">
        <w:t> </w:t>
      </w:r>
      <w:r w:rsidRPr="00A00187">
        <w:t xml:space="preserve">tím, že matky </w:t>
      </w:r>
      <w:r w:rsidR="00F60F0F" w:rsidRPr="00A00187">
        <w:t>mohou být ve sledované době častěji na rodičovské dovolené</w:t>
      </w:r>
      <w:r w:rsidR="00F5472D" w:rsidRPr="00A00187">
        <w:t xml:space="preserve"> bez výdělečné činnosti</w:t>
      </w:r>
      <w:r w:rsidR="00F60F0F" w:rsidRPr="00A00187">
        <w:t>, res</w:t>
      </w:r>
      <w:r w:rsidR="0071552D" w:rsidRPr="00A00187">
        <w:t>pe</w:t>
      </w:r>
      <w:r w:rsidR="00F60F0F" w:rsidRPr="00A00187">
        <w:t xml:space="preserve">ktive </w:t>
      </w:r>
      <w:r w:rsidR="00726EC3" w:rsidRPr="00A00187">
        <w:t>i</w:t>
      </w:r>
      <w:r w:rsidR="00726EC3">
        <w:t> </w:t>
      </w:r>
      <w:r w:rsidR="0071552D" w:rsidRPr="00A00187">
        <w:t xml:space="preserve">v navazujícím období </w:t>
      </w:r>
      <w:r w:rsidR="00F60F0F" w:rsidRPr="00A00187">
        <w:t xml:space="preserve">mohou mít častěji nižší </w:t>
      </w:r>
      <w:r w:rsidR="0071552D" w:rsidRPr="00A00187">
        <w:t xml:space="preserve">pracovní </w:t>
      </w:r>
      <w:r w:rsidR="00F60F0F" w:rsidRPr="00A00187">
        <w:t>úvazky</w:t>
      </w:r>
      <w:r w:rsidR="0071552D" w:rsidRPr="00A00187">
        <w:t xml:space="preserve"> vzhledem k potřebě zajištění péče </w:t>
      </w:r>
      <w:r w:rsidR="00726EC3" w:rsidRPr="00A00187">
        <w:t>o</w:t>
      </w:r>
      <w:r w:rsidR="00726EC3">
        <w:t> </w:t>
      </w:r>
      <w:r w:rsidR="0071552D" w:rsidRPr="00A00187">
        <w:t xml:space="preserve">dítě, </w:t>
      </w:r>
      <w:r w:rsidRPr="00A00187">
        <w:t>což se negativně projevuje v jejich příjmech.</w:t>
      </w:r>
    </w:p>
    <w:p w14:paraId="5FB26118" w14:textId="1A86DBC0" w:rsidR="005C543F" w:rsidRPr="00A00187" w:rsidRDefault="005C543F" w:rsidP="005C543F">
      <w:pPr>
        <w:pStyle w:val="Odstavecseseznamem"/>
        <w:numPr>
          <w:ilvl w:val="0"/>
          <w:numId w:val="12"/>
        </w:numPr>
      </w:pPr>
      <w:r w:rsidRPr="00A00187">
        <w:t>Povinné ženy</w:t>
      </w:r>
      <w:r w:rsidR="0071552D" w:rsidRPr="00A00187">
        <w:rPr>
          <w:rStyle w:val="Znakapoznpodarou"/>
        </w:rPr>
        <w:footnoteReference w:id="10"/>
      </w:r>
      <w:r w:rsidRPr="00A00187">
        <w:t xml:space="preserve"> mají v průměru více vyživovacích povinností než povinní muži</w:t>
      </w:r>
      <w:r w:rsidR="0071552D" w:rsidRPr="00A00187">
        <w:rPr>
          <w:rStyle w:val="Znakapoznpodarou"/>
        </w:rPr>
        <w:footnoteReference w:id="11"/>
      </w:r>
      <w:r w:rsidRPr="00A00187">
        <w:t>. Soud počet vyživovacích povinností při rozhodování rovněž zohledňuje – povinnému s více vyživovacími povinnostmi soud stanoví v průměru nižší výživné.</w:t>
      </w:r>
    </w:p>
    <w:p w14:paraId="3B04E26A" w14:textId="767CDD03" w:rsidR="00AA5DB9" w:rsidRPr="00A00187" w:rsidRDefault="00AA5DB9" w:rsidP="00AA5DB9">
      <w:pPr>
        <w:pStyle w:val="Podnadpis"/>
        <w:numPr>
          <w:ilvl w:val="0"/>
          <w:numId w:val="0"/>
        </w:numPr>
        <w:rPr>
          <w:color w:val="auto"/>
        </w:rPr>
      </w:pPr>
      <w:bookmarkStart w:id="500" w:name="_Ref510766313"/>
      <w:bookmarkStart w:id="501" w:name="_Toc515871373"/>
      <w:bookmarkStart w:id="502" w:name="_Toc11135104"/>
      <w:bookmarkStart w:id="503" w:name="_Toc43841423"/>
      <w:bookmarkStart w:id="504" w:name="_Toc75952227"/>
      <w:bookmarkStart w:id="505" w:name="_Toc106106681"/>
      <w:bookmarkStart w:id="506" w:name="_Toc109802005"/>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47</w:t>
      </w:r>
      <w:r w:rsidRPr="00A00187">
        <w:rPr>
          <w:noProof/>
          <w:color w:val="auto"/>
        </w:rPr>
        <w:fldChar w:fldCharType="end"/>
      </w:r>
      <w:bookmarkEnd w:id="500"/>
      <w:r w:rsidRPr="00A00187">
        <w:rPr>
          <w:color w:val="auto"/>
        </w:rPr>
        <w:t>: OS – podíl na příjmu povinné osoby v letech 2012–20</w:t>
      </w:r>
      <w:bookmarkEnd w:id="501"/>
      <w:bookmarkEnd w:id="502"/>
      <w:bookmarkEnd w:id="503"/>
      <w:bookmarkEnd w:id="504"/>
      <w:r w:rsidR="00EE3791" w:rsidRPr="00A00187">
        <w:rPr>
          <w:color w:val="auto"/>
        </w:rPr>
        <w:t>21</w:t>
      </w:r>
      <w:bookmarkEnd w:id="505"/>
      <w:bookmarkEnd w:id="506"/>
    </w:p>
    <w:p w14:paraId="05FD4C83" w14:textId="5A215D0C" w:rsidR="00AA5DB9" w:rsidRPr="00A00187" w:rsidRDefault="00143AC8" w:rsidP="00AA5DB9">
      <w:r w:rsidRPr="00A00187">
        <w:rPr>
          <w:noProof/>
        </w:rPr>
        <w:drawing>
          <wp:inline distT="0" distB="0" distL="0" distR="0" wp14:anchorId="1A518A72" wp14:editId="2D9C2417">
            <wp:extent cx="5029200" cy="3657600"/>
            <wp:effectExtent l="0" t="0" r="0" b="0"/>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23B5D8" w14:textId="77777777" w:rsidR="00AA5DB9" w:rsidRPr="00A00187" w:rsidRDefault="00AA5DB9" w:rsidP="00AA5DB9">
      <w:pPr>
        <w:pStyle w:val="OdstavecASR"/>
      </w:pPr>
    </w:p>
    <w:p w14:paraId="09E200EB" w14:textId="7430AE56" w:rsidR="00AA5DB9" w:rsidRPr="00A00187" w:rsidRDefault="00AA5DB9" w:rsidP="00AA5DB9">
      <w:pPr>
        <w:pStyle w:val="OdstavecASR"/>
      </w:pPr>
      <w:r w:rsidRPr="00A00187">
        <w:t xml:space="preserve">V případě, že je povinnost platit výživné stanovena oběma rodičům, zachycují tyto statistiky pouze vyšší z obou částek. Vzhledem k výši příjmů se obvykle jedná o částku stanovenou otci. Částky jsou v průměru nižší než částky stanovené pouze </w:t>
      </w:r>
      <w:r w:rsidR="0071552D" w:rsidRPr="00A00187">
        <w:t>jednomu rodiči.</w:t>
      </w:r>
    </w:p>
    <w:p w14:paraId="3E49E1B5" w14:textId="1540E8DA" w:rsidR="00AA5DB9" w:rsidRPr="00A00187" w:rsidRDefault="00AA5DB9" w:rsidP="00AA5DB9">
      <w:pPr>
        <w:pStyle w:val="OdstavecASR"/>
      </w:pPr>
      <w:r w:rsidRPr="00A00187">
        <w:lastRenderedPageBreak/>
        <w:t>V grafech </w:t>
      </w:r>
      <w:r w:rsidR="00223626" w:rsidRPr="00A00187">
        <w:t>pozorujeme</w:t>
      </w:r>
      <w:r w:rsidRPr="00A00187">
        <w:t>, že průměrná stanovená částka výživného na jedno dítě roste</w:t>
      </w:r>
      <w:r w:rsidR="00FE22D8" w:rsidRPr="00A00187">
        <w:t xml:space="preserve"> (graf 44)</w:t>
      </w:r>
      <w:r w:rsidRPr="00A00187">
        <w:t xml:space="preserve">, podíl stanoveného výživného na čistém měsíčním příjmu povinné osoby </w:t>
      </w:r>
      <w:r w:rsidR="00BA2EAB" w:rsidRPr="00A00187">
        <w:t xml:space="preserve">nicméně </w:t>
      </w:r>
      <w:r w:rsidRPr="00A00187">
        <w:t>spíše klesá nebo zůstává stejný</w:t>
      </w:r>
      <w:r w:rsidR="00FE22D8" w:rsidRPr="00A00187">
        <w:t xml:space="preserve"> (graf 45)</w:t>
      </w:r>
      <w:r w:rsidRPr="00A00187">
        <w:t>. To lze vysvětlit zlepšující se ekonomickou situací v ČR a zvyšováním příjmů nejen povinných osob. Například u povinnosti stanovené otci vzrostla částka z 2 702 Kč v roce 2014 na 3 839 Kč v roce 2021, tedy o 1 137 korun (o 42</w:t>
      </w:r>
      <w:r w:rsidR="00CB570A">
        <w:t> %</w:t>
      </w:r>
      <w:r w:rsidRPr="00A00187">
        <w:t xml:space="preserve">). </w:t>
      </w:r>
      <w:r w:rsidR="006074C8" w:rsidRPr="00A00187">
        <w:t xml:space="preserve">Zajímavé je, že pandemie COVID-19 zřejmě vývoj výše </w:t>
      </w:r>
      <w:r w:rsidR="002F1882" w:rsidRPr="00A00187">
        <w:t>soudem</w:t>
      </w:r>
      <w:r w:rsidR="006074C8" w:rsidRPr="00A00187">
        <w:t xml:space="preserve"> přiznaných částek výživného téměř neovlivnila – </w:t>
      </w:r>
      <w:r w:rsidR="00726EC3" w:rsidRPr="00A00187">
        <w:t>u</w:t>
      </w:r>
      <w:r w:rsidR="00726EC3">
        <w:t> </w:t>
      </w:r>
      <w:r w:rsidR="006074C8" w:rsidRPr="00A00187">
        <w:t xml:space="preserve">otců </w:t>
      </w:r>
      <w:r w:rsidR="00726EC3" w:rsidRPr="00A00187">
        <w:t>a</w:t>
      </w:r>
      <w:r w:rsidR="00726EC3">
        <w:t> </w:t>
      </w:r>
      <w:r w:rsidR="006074C8" w:rsidRPr="00A00187">
        <w:t xml:space="preserve">obou rodičů pokračovala v růstu, pouze </w:t>
      </w:r>
      <w:r w:rsidR="00726EC3" w:rsidRPr="00A00187">
        <w:t>u</w:t>
      </w:r>
      <w:r w:rsidR="00726EC3">
        <w:t> </w:t>
      </w:r>
      <w:r w:rsidR="006074C8" w:rsidRPr="00A00187">
        <w:t>matek se zastavila.</w:t>
      </w:r>
    </w:p>
    <w:p w14:paraId="2A0F97DF" w14:textId="5B2B3737" w:rsidR="006074C8" w:rsidRPr="00A00187" w:rsidRDefault="006074C8" w:rsidP="006074C8">
      <w:pPr>
        <w:pStyle w:val="OdstavecASR"/>
      </w:pPr>
      <w:r w:rsidRPr="00A00187">
        <w:t xml:space="preserve">Plošný graf (viz seznam pojmů) dále zachycuje statistiku, která úzce souvisí s rozhodováním o výživném, totiž to, jak často je dítě svěřeno do péče matce, otci, jiné fyzické osobě či oběma rodičům do společné nebo střídavé péče. Ve více </w:t>
      </w:r>
      <w:r w:rsidR="002F1882" w:rsidRPr="00A00187">
        <w:t>než</w:t>
      </w:r>
      <w:r w:rsidRPr="00A00187">
        <w:t xml:space="preserve"> 70</w:t>
      </w:r>
      <w:r w:rsidR="00CB570A">
        <w:t> %</w:t>
      </w:r>
      <w:r w:rsidRPr="00A00187">
        <w:t xml:space="preserve"> případů svěřil soud dítě do péče matce. Vidíme, že podíl tohoto tradičního modelu </w:t>
      </w:r>
      <w:r w:rsidR="00BA2EAB" w:rsidRPr="00A00187">
        <w:t xml:space="preserve">nicméně </w:t>
      </w:r>
      <w:r w:rsidRPr="00A00187">
        <w:t xml:space="preserve">postupně pozvolna klesá ve prospěch alternativních řešení. </w:t>
      </w:r>
      <w:r w:rsidR="002F1882" w:rsidRPr="00A00187">
        <w:t xml:space="preserve">(Zároveň nedisponujeme statistikami </w:t>
      </w:r>
      <w:r w:rsidR="00726EC3" w:rsidRPr="00A00187">
        <w:t>o</w:t>
      </w:r>
      <w:r w:rsidR="00726EC3">
        <w:t> </w:t>
      </w:r>
      <w:r w:rsidR="002F1882" w:rsidRPr="00A00187">
        <w:t xml:space="preserve">tom, jak často se jedná v rámci výhradní péče jednoho rodiče </w:t>
      </w:r>
      <w:r w:rsidR="00726EC3" w:rsidRPr="00A00187">
        <w:t>o</w:t>
      </w:r>
      <w:r w:rsidR="00726EC3">
        <w:t> </w:t>
      </w:r>
      <w:r w:rsidR="002F1882" w:rsidRPr="00A00187">
        <w:t xml:space="preserve">tzv. rozšířený styk s dítětem.) </w:t>
      </w:r>
      <w:r w:rsidRPr="00A00187">
        <w:t>K tomuto trendu přispívá zřejmě nejen judikatura českého Ústavního soudu; můžeme se domnívat, že ke změně rozhodovací praxe může přispívat i celospolečenské klima, odborné diskuse o rozhodování o dětech na mezinárodní úrovni a další faktory.</w:t>
      </w:r>
    </w:p>
    <w:p w14:paraId="33420314" w14:textId="068A37F4" w:rsidR="006074C8" w:rsidRPr="00A00187" w:rsidRDefault="006074C8" w:rsidP="006074C8">
      <w:pPr>
        <w:pStyle w:val="OdstavecASR"/>
      </w:pPr>
      <w:r w:rsidRPr="00A00187">
        <w:t>V řeči konkrétních čísel podíl případů, kdy soud svěřil dítě do péče matce, klesl z 86,6</w:t>
      </w:r>
      <w:r w:rsidR="00CB570A">
        <w:t> %</w:t>
      </w:r>
      <w:r w:rsidRPr="00A00187">
        <w:t xml:space="preserve"> v roce 2012 na 72,5</w:t>
      </w:r>
      <w:r w:rsidR="00CB570A">
        <w:t> %</w:t>
      </w:r>
      <w:r w:rsidRPr="00A00187">
        <w:t xml:space="preserve"> v roce 202</w:t>
      </w:r>
      <w:r w:rsidR="00030DC4">
        <w:t>1</w:t>
      </w:r>
      <w:r w:rsidRPr="00A00187">
        <w:t>. Podíl případů, kdy bylo dítě do péče svěřeno oběma rodičům, se výrazně zvýšil z 5,2</w:t>
      </w:r>
      <w:r w:rsidR="00CB570A">
        <w:t> %</w:t>
      </w:r>
      <w:r w:rsidRPr="00A00187">
        <w:t xml:space="preserve"> v roce 2012 na 19,3</w:t>
      </w:r>
      <w:r w:rsidR="00CB570A">
        <w:t> %</w:t>
      </w:r>
      <w:r w:rsidRPr="00A00187">
        <w:t xml:space="preserve"> v roce 2021, tedy téměř </w:t>
      </w:r>
      <w:r w:rsidR="00726EC3" w:rsidRPr="00A00187">
        <w:t>o</w:t>
      </w:r>
      <w:r w:rsidR="00726EC3">
        <w:t> </w:t>
      </w:r>
      <w:r w:rsidRPr="00A00187">
        <w:t>čtyřnásobek.</w:t>
      </w:r>
    </w:p>
    <w:p w14:paraId="067CF188" w14:textId="5C79C9F1" w:rsidR="006074C8" w:rsidRPr="00A00187" w:rsidRDefault="006074C8" w:rsidP="006074C8">
      <w:pPr>
        <w:pStyle w:val="OdstavecASR"/>
      </w:pPr>
      <w:r w:rsidRPr="00A00187">
        <w:t>Od roku 2014 jsou k dispozici také o něco podrobnější data. U svěření dítěte do péče obou rodičů se rozlišuje, jestli se jednalo o péči střídavou nebo o péči společnou. Data ukazují, že svěření do</w:t>
      </w:r>
      <w:r w:rsidR="002F1882" w:rsidRPr="00A00187">
        <w:t> </w:t>
      </w:r>
      <w:r w:rsidRPr="00A00187">
        <w:t>střídavé péče je častější a že frekvence využití roste jak u střídavé péče, tak i u péče společné.</w:t>
      </w:r>
    </w:p>
    <w:p w14:paraId="024AAB07" w14:textId="42061B45" w:rsidR="006074C8" w:rsidRPr="00A00187" w:rsidRDefault="006074C8" w:rsidP="006074C8">
      <w:pPr>
        <w:pStyle w:val="Podnadpis"/>
        <w:rPr>
          <w:color w:val="auto"/>
        </w:rPr>
      </w:pPr>
      <w:bookmarkStart w:id="507" w:name="_Toc515871374"/>
      <w:bookmarkStart w:id="508" w:name="_Toc11135105"/>
      <w:bookmarkStart w:id="509" w:name="_Toc43841424"/>
      <w:bookmarkStart w:id="510" w:name="_Toc75952228"/>
      <w:bookmarkStart w:id="511" w:name="_Toc106106682"/>
      <w:bookmarkStart w:id="512" w:name="_Toc109802006"/>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48</w:t>
      </w:r>
      <w:r w:rsidRPr="00A00187">
        <w:rPr>
          <w:noProof/>
          <w:color w:val="auto"/>
        </w:rPr>
        <w:fldChar w:fldCharType="end"/>
      </w:r>
      <w:r w:rsidRPr="00A00187">
        <w:rPr>
          <w:color w:val="auto"/>
        </w:rPr>
        <w:t>: OS – svěřování dítěte do péče</w:t>
      </w:r>
      <w:bookmarkEnd w:id="507"/>
      <w:bookmarkEnd w:id="508"/>
      <w:bookmarkEnd w:id="509"/>
      <w:bookmarkEnd w:id="510"/>
      <w:bookmarkEnd w:id="511"/>
      <w:bookmarkEnd w:id="512"/>
    </w:p>
    <w:p w14:paraId="74ED9DD2" w14:textId="77777777" w:rsidR="009C656D" w:rsidRPr="00A00187" w:rsidRDefault="006074C8" w:rsidP="00AA5DB9">
      <w:pPr>
        <w:pStyle w:val="OdstavecASR"/>
      </w:pPr>
      <w:r w:rsidRPr="00A00187">
        <w:rPr>
          <w:noProof/>
        </w:rPr>
        <w:drawing>
          <wp:inline distT="0" distB="0" distL="0" distR="0" wp14:anchorId="6EA2BCDB" wp14:editId="6960FAD8">
            <wp:extent cx="5029200" cy="3657600"/>
            <wp:effectExtent l="0" t="0" r="0"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E537910" w14:textId="77777777" w:rsidR="007E514D" w:rsidRPr="00A00187" w:rsidRDefault="007E514D" w:rsidP="007E514D">
      <w:pPr>
        <w:pStyle w:val="OdstavecASR"/>
        <w:rPr>
          <w:b/>
          <w:bCs/>
        </w:rPr>
      </w:pPr>
    </w:p>
    <w:p w14:paraId="777EAF26" w14:textId="78F19E7C" w:rsidR="007E514D" w:rsidRPr="00A00187" w:rsidRDefault="007E514D" w:rsidP="007F73C9">
      <w:pPr>
        <w:pStyle w:val="OdstavecASR"/>
        <w:keepNext/>
        <w:outlineLvl w:val="3"/>
        <w:rPr>
          <w:b/>
          <w:bCs/>
        </w:rPr>
      </w:pPr>
      <w:r w:rsidRPr="00A00187">
        <w:rPr>
          <w:b/>
          <w:bCs/>
        </w:rPr>
        <w:lastRenderedPageBreak/>
        <w:t>Opatrovnická agenda – dospělé osoby</w:t>
      </w:r>
    </w:p>
    <w:p w14:paraId="4B2DB7F0" w14:textId="77760E0B" w:rsidR="00CB570A" w:rsidRDefault="00BD3127" w:rsidP="00BD3127">
      <w:pPr>
        <w:pStyle w:val="OdstavecASR"/>
      </w:pPr>
      <w:r w:rsidRPr="00A00187">
        <w:t xml:space="preserve">Opatrovnická agenda zahrnuje rovněž rozhodování </w:t>
      </w:r>
      <w:r w:rsidR="00726EC3" w:rsidRPr="00A00187">
        <w:t>o</w:t>
      </w:r>
      <w:r w:rsidR="00726EC3">
        <w:t> </w:t>
      </w:r>
      <w:r w:rsidRPr="00A00187">
        <w:t xml:space="preserve">dospělých osobách. Velmi důležitou agendou je rozhodování </w:t>
      </w:r>
      <w:r w:rsidR="00726EC3" w:rsidRPr="00A00187">
        <w:t>o</w:t>
      </w:r>
      <w:r w:rsidR="00726EC3">
        <w:t> </w:t>
      </w:r>
      <w:r w:rsidR="003F3EDB" w:rsidRPr="00A00187">
        <w:t xml:space="preserve">svéprávnosti dospělých osob. </w:t>
      </w:r>
      <w:r w:rsidR="00FE22D8" w:rsidRPr="00A00187">
        <w:t>Veškerá</w:t>
      </w:r>
      <w:r w:rsidRPr="00A00187">
        <w:t xml:space="preserve"> data k této agendě jsou ze statistic</w:t>
      </w:r>
      <w:r w:rsidR="004F7A46" w:rsidRPr="00A00187">
        <w:t>ký</w:t>
      </w:r>
      <w:r w:rsidRPr="00A00187">
        <w:t xml:space="preserve">ch listů </w:t>
      </w:r>
      <w:r w:rsidR="00726EC3" w:rsidRPr="00A00187">
        <w:t>a</w:t>
      </w:r>
      <w:r w:rsidR="00726EC3">
        <w:t> </w:t>
      </w:r>
      <w:r w:rsidRPr="00A00187">
        <w:t>týkají se tedy pravomocně skončených věcí.</w:t>
      </w:r>
    </w:p>
    <w:p w14:paraId="5997282D" w14:textId="44C45B08" w:rsidR="00BD3127" w:rsidRPr="00A00187" w:rsidRDefault="00BD3127" w:rsidP="00BD3127">
      <w:pPr>
        <w:pStyle w:val="OdstavecASR"/>
      </w:pPr>
      <w:r w:rsidRPr="00A00187">
        <w:t xml:space="preserve">Dle zákona č. 89/2012 Sb., občanský zákoník (o. z.), nabývá fyzická osoba plné svéprávnosti dovršením 18 let věku, sňatkem či emancipací (přiznáním svéprávnosti) </w:t>
      </w:r>
      <w:r w:rsidR="00726EC3" w:rsidRPr="00A00187">
        <w:t>i</w:t>
      </w:r>
      <w:r w:rsidR="00726EC3">
        <w:t> </w:t>
      </w:r>
      <w:r w:rsidRPr="00A00187">
        <w:t xml:space="preserve">dříve. Soud ovšem může svéprávnost člověka omezit (nyní § 55 a násl. o. z.), </w:t>
      </w:r>
      <w:r w:rsidR="003F3EDB" w:rsidRPr="00A00187">
        <w:t xml:space="preserve">podmínky pro omezení jsou ale zásadně striktnější než před rokem 2014. (Zbavení svéprávnosti již </w:t>
      </w:r>
      <w:r w:rsidR="003C562C" w:rsidRPr="00A00187">
        <w:t xml:space="preserve">vůbec </w:t>
      </w:r>
      <w:r w:rsidR="003F3EDB" w:rsidRPr="00A00187">
        <w:t>není možné.) Omezení je vždy limitováno časem.</w:t>
      </w:r>
      <w:r w:rsidR="0070314E" w:rsidRPr="00A00187">
        <w:t xml:space="preserve"> </w:t>
      </w:r>
      <w:r w:rsidRPr="00A00187">
        <w:t>Soud může omezení svéprávnost</w:t>
      </w:r>
      <w:r w:rsidR="00727313" w:rsidRPr="00A00187">
        <w:t>i</w:t>
      </w:r>
      <w:r w:rsidRPr="00A00187">
        <w:t xml:space="preserve"> také prodloužit</w:t>
      </w:r>
      <w:r w:rsidR="007016F2" w:rsidRPr="00A00187">
        <w:t xml:space="preserve">. Lze však </w:t>
      </w:r>
      <w:r w:rsidR="00726EC3" w:rsidRPr="00A00187">
        <w:t>i</w:t>
      </w:r>
      <w:r w:rsidR="00726EC3">
        <w:t> </w:t>
      </w:r>
      <w:r w:rsidRPr="00A00187">
        <w:t>změnit jeho rozsah či ho zcela zrušit.</w:t>
      </w:r>
    </w:p>
    <w:p w14:paraId="16ED358B" w14:textId="52B6C6C7" w:rsidR="00BD3127" w:rsidRPr="00A00187" w:rsidRDefault="00BD3127" w:rsidP="00BD3127">
      <w:pPr>
        <w:pStyle w:val="OdstavecASR"/>
      </w:pPr>
      <w:r w:rsidRPr="00A00187">
        <w:t xml:space="preserve">V případě narušení schopnosti zletilého právně jednat nemusí soud přikročit k omezení svéprávnosti, ale může zvolit </w:t>
      </w:r>
      <w:r w:rsidR="007016F2" w:rsidRPr="00A00187">
        <w:t>určité podpůrné opatření</w:t>
      </w:r>
      <w:r w:rsidR="007016F2" w:rsidRPr="00A00187">
        <w:rPr>
          <w:rStyle w:val="Znakapoznpodarou"/>
        </w:rPr>
        <w:footnoteReference w:id="12"/>
      </w:r>
      <w:r w:rsidR="007016F2" w:rsidRPr="00A00187">
        <w:t xml:space="preserve">. V rámci sledovaných rozhodnutí soudů </w:t>
      </w:r>
      <w:r w:rsidR="0055411C" w:rsidRPr="00A00187">
        <w:t xml:space="preserve">můžeme </w:t>
      </w:r>
      <w:r w:rsidRPr="00A00187">
        <w:t xml:space="preserve">rozlišit </w:t>
      </w:r>
      <w:r w:rsidR="007016F2" w:rsidRPr="00A00187">
        <w:t>čtyři</w:t>
      </w:r>
      <w:r w:rsidRPr="00A00187">
        <w:t xml:space="preserve"> druhy podpůrných opatření:</w:t>
      </w:r>
    </w:p>
    <w:p w14:paraId="1D3D7F7C" w14:textId="09E05939" w:rsidR="00404263" w:rsidRPr="00A00187" w:rsidRDefault="00404263" w:rsidP="00404263">
      <w:pPr>
        <w:pStyle w:val="OdstavecASR"/>
        <w:numPr>
          <w:ilvl w:val="0"/>
          <w:numId w:val="42"/>
        </w:numPr>
      </w:pPr>
      <w:r w:rsidRPr="00A00187">
        <w:rPr>
          <w:b/>
          <w:bCs/>
        </w:rPr>
        <w:t>Předběžná prohlášení</w:t>
      </w:r>
      <w:r w:rsidRPr="00A00187">
        <w:t xml:space="preserve"> – </w:t>
      </w:r>
      <w:r w:rsidR="00E3369D">
        <w:t>s</w:t>
      </w:r>
      <w:r w:rsidR="00E3369D" w:rsidRPr="00A00187">
        <w:t xml:space="preserve">ledováno </w:t>
      </w:r>
      <w:r w:rsidRPr="00A00187">
        <w:t xml:space="preserve">je rozhodování </w:t>
      </w:r>
      <w:r w:rsidR="00726EC3" w:rsidRPr="00A00187">
        <w:t>o</w:t>
      </w:r>
      <w:r w:rsidR="00726EC3">
        <w:t> </w:t>
      </w:r>
      <w:r w:rsidRPr="00A00187">
        <w:t xml:space="preserve">splnění podmínky </w:t>
      </w:r>
      <w:r w:rsidR="00726EC3" w:rsidRPr="00A00187">
        <w:t>u</w:t>
      </w:r>
      <w:r w:rsidR="00726EC3">
        <w:t> </w:t>
      </w:r>
      <w:r w:rsidRPr="00A00187">
        <w:t>předběžného prohlášení či změně prohlášení z důvodu podstatné změny okolností.</w:t>
      </w:r>
    </w:p>
    <w:p w14:paraId="797831D5" w14:textId="7ECB83BE" w:rsidR="00404263" w:rsidRPr="00A00187" w:rsidRDefault="00404263" w:rsidP="00951AD7">
      <w:pPr>
        <w:pStyle w:val="OdstavecASR"/>
        <w:numPr>
          <w:ilvl w:val="0"/>
          <w:numId w:val="42"/>
        </w:numPr>
      </w:pPr>
      <w:r w:rsidRPr="00A00187">
        <w:rPr>
          <w:b/>
          <w:bCs/>
        </w:rPr>
        <w:t>Nápomoc při rozhodování</w:t>
      </w:r>
      <w:r w:rsidRPr="00A00187">
        <w:t xml:space="preserve"> – </w:t>
      </w:r>
      <w:r w:rsidR="00E3369D">
        <w:t>s</w:t>
      </w:r>
      <w:r w:rsidR="00E3369D" w:rsidRPr="00A00187">
        <w:t xml:space="preserve">oud </w:t>
      </w:r>
      <w:r w:rsidRPr="00A00187">
        <w:t xml:space="preserve">schvaluje smlouvu </w:t>
      </w:r>
      <w:r w:rsidR="00726EC3" w:rsidRPr="00A00187">
        <w:t>o</w:t>
      </w:r>
      <w:r w:rsidR="00726EC3">
        <w:t> </w:t>
      </w:r>
      <w:r w:rsidRPr="00A00187">
        <w:t xml:space="preserve">nápomoci při rozhodování, ale rozhoduje </w:t>
      </w:r>
      <w:r w:rsidR="00726EC3" w:rsidRPr="00A00187">
        <w:t>i</w:t>
      </w:r>
      <w:r w:rsidR="00726EC3">
        <w:t> </w:t>
      </w:r>
      <w:r w:rsidR="00726EC3" w:rsidRPr="00A00187">
        <w:t>o</w:t>
      </w:r>
      <w:r w:rsidR="00726EC3">
        <w:t> </w:t>
      </w:r>
      <w:r w:rsidRPr="00A00187">
        <w:t>odvolání podpůrce</w:t>
      </w:r>
      <w:r w:rsidR="00635160" w:rsidRPr="00A00187">
        <w:t>.</w:t>
      </w:r>
    </w:p>
    <w:p w14:paraId="08A1D34F" w14:textId="608A1E63" w:rsidR="00CB570A" w:rsidRDefault="00404263" w:rsidP="00951AD7">
      <w:pPr>
        <w:pStyle w:val="OdstavecASR"/>
        <w:numPr>
          <w:ilvl w:val="0"/>
          <w:numId w:val="42"/>
        </w:numPr>
      </w:pPr>
      <w:r w:rsidRPr="00A00187">
        <w:rPr>
          <w:b/>
          <w:bCs/>
        </w:rPr>
        <w:t>Zastoupení členem domácnosti</w:t>
      </w:r>
      <w:r w:rsidRPr="00A00187">
        <w:t xml:space="preserve"> – </w:t>
      </w:r>
      <w:r w:rsidR="00E3369D">
        <w:t>s</w:t>
      </w:r>
      <w:r w:rsidR="00E3369D" w:rsidRPr="00A00187">
        <w:t xml:space="preserve">oud </w:t>
      </w:r>
      <w:r w:rsidRPr="00A00187">
        <w:t>schvaluje zastoupení členem domácnosti</w:t>
      </w:r>
      <w:r w:rsidR="00313903" w:rsidRPr="00A00187">
        <w:t>.</w:t>
      </w:r>
    </w:p>
    <w:p w14:paraId="50636C0A" w14:textId="2DBC9A4D" w:rsidR="00313903" w:rsidRPr="00A00187" w:rsidRDefault="00313903" w:rsidP="00404263">
      <w:pPr>
        <w:pStyle w:val="OdstavecASR"/>
        <w:numPr>
          <w:ilvl w:val="0"/>
          <w:numId w:val="42"/>
        </w:numPr>
      </w:pPr>
      <w:r w:rsidRPr="00A00187">
        <w:rPr>
          <w:b/>
          <w:bCs/>
        </w:rPr>
        <w:t>Opatrovnictví bez omezení svéprávnosti</w:t>
      </w:r>
      <w:r w:rsidRPr="00A00187">
        <w:t xml:space="preserve"> – </w:t>
      </w:r>
      <w:r w:rsidR="00E3369D">
        <w:t>s</w:t>
      </w:r>
      <w:r w:rsidR="00E3369D" w:rsidRPr="00A00187">
        <w:t xml:space="preserve">ledováno </w:t>
      </w:r>
      <w:r w:rsidRPr="00A00187">
        <w:t xml:space="preserve">je rozhodnutí soudu </w:t>
      </w:r>
      <w:r w:rsidR="00726EC3" w:rsidRPr="00A00187">
        <w:t>o</w:t>
      </w:r>
      <w:r w:rsidR="00726EC3">
        <w:t> </w:t>
      </w:r>
      <w:r w:rsidRPr="00A00187">
        <w:t xml:space="preserve">jmenování opatrovníka, </w:t>
      </w:r>
      <w:r w:rsidR="00726EC3" w:rsidRPr="00A00187">
        <w:t>a</w:t>
      </w:r>
      <w:r w:rsidR="00726EC3">
        <w:t> </w:t>
      </w:r>
      <w:r w:rsidRPr="00A00187">
        <w:t>to v závislosti na důvodu jeho určení dle právní úpravy.</w:t>
      </w:r>
    </w:p>
    <w:p w14:paraId="3A7B5FD9" w14:textId="2A18DB61" w:rsidR="00404263" w:rsidRPr="00A00187" w:rsidRDefault="00404263" w:rsidP="00BD3127">
      <w:pPr>
        <w:pStyle w:val="OdstavecASR"/>
      </w:pPr>
    </w:p>
    <w:p w14:paraId="1E50E052" w14:textId="18E27BC3" w:rsidR="00580D75" w:rsidRPr="00A00187" w:rsidRDefault="00AE6D79" w:rsidP="00580D75">
      <w:pPr>
        <w:pStyle w:val="OdstavecASR"/>
      </w:pPr>
      <w:r w:rsidRPr="00A00187">
        <w:t>První otázka, která se k této problematice ze stati</w:t>
      </w:r>
      <w:r w:rsidR="000E25BA" w:rsidRPr="00A00187">
        <w:t>sti</w:t>
      </w:r>
      <w:r w:rsidRPr="00A00187">
        <w:t xml:space="preserve">ckého hlediska nabízí, je </w:t>
      </w:r>
      <w:r w:rsidR="0055411C" w:rsidRPr="00A00187">
        <w:t xml:space="preserve">počet </w:t>
      </w:r>
      <w:r w:rsidRPr="00A00187">
        <w:t xml:space="preserve">rozhodnutí </w:t>
      </w:r>
      <w:r w:rsidR="00580D75" w:rsidRPr="00A00187">
        <w:t>týkající</w:t>
      </w:r>
      <w:r w:rsidR="0055411C" w:rsidRPr="00A00187">
        <w:t>ch</w:t>
      </w:r>
      <w:r w:rsidR="00580D75" w:rsidRPr="00A00187">
        <w:t xml:space="preserve"> se </w:t>
      </w:r>
      <w:r w:rsidR="00EA7E27" w:rsidRPr="00A00187">
        <w:t xml:space="preserve">řešení otázky </w:t>
      </w:r>
      <w:r w:rsidRPr="00A00187">
        <w:t>svéprávnosti</w:t>
      </w:r>
      <w:r w:rsidR="00EA7E27" w:rsidRPr="00A00187">
        <w:t xml:space="preserve"> (v širším slova smyslu)</w:t>
      </w:r>
      <w:r w:rsidR="0055411C" w:rsidRPr="00A00187">
        <w:t xml:space="preserve">, která soudy </w:t>
      </w:r>
      <w:r w:rsidRPr="00A00187">
        <w:t>ročně činí</w:t>
      </w:r>
      <w:r w:rsidR="0055411C" w:rsidRPr="00A00187">
        <w:t xml:space="preserve"> </w:t>
      </w:r>
      <w:r w:rsidR="00726EC3" w:rsidRPr="00A00187">
        <w:t>a</w:t>
      </w:r>
      <w:r w:rsidR="00726EC3">
        <w:t> </w:t>
      </w:r>
      <w:r w:rsidR="0055411C" w:rsidRPr="00A00187">
        <w:t xml:space="preserve">vývoj tohoto </w:t>
      </w:r>
      <w:r w:rsidR="002C2FDE" w:rsidRPr="00A00187">
        <w:t xml:space="preserve">ukazatele v čase. Odpověď přináší graf níže. </w:t>
      </w:r>
      <w:r w:rsidR="00EA7E27" w:rsidRPr="00A00187">
        <w:t xml:space="preserve">Mezi daná rozhodnutí je zahrnuto </w:t>
      </w:r>
      <w:r w:rsidR="002C2FDE" w:rsidRPr="00A00187">
        <w:t xml:space="preserve">rozhodnutí </w:t>
      </w:r>
      <w:r w:rsidR="00726EC3" w:rsidRPr="00A00187">
        <w:t>o</w:t>
      </w:r>
      <w:r w:rsidR="00726EC3">
        <w:t> </w:t>
      </w:r>
      <w:r w:rsidR="002C2FDE" w:rsidRPr="00A00187">
        <w:t xml:space="preserve">omezení svéprávnosti, změna omezení, prodloužení omezení, jmenování opatrovníka bez omezení svéprávnosti </w:t>
      </w:r>
      <w:r w:rsidR="00726EC3" w:rsidRPr="00A00187">
        <w:t>a</w:t>
      </w:r>
      <w:r w:rsidR="00726EC3">
        <w:t> </w:t>
      </w:r>
      <w:r w:rsidR="002C2FDE" w:rsidRPr="00A00187">
        <w:t xml:space="preserve">výše vyjmenovaná podpůrná opatření. Jde </w:t>
      </w:r>
      <w:r w:rsidR="00726EC3" w:rsidRPr="00A00187">
        <w:t>o</w:t>
      </w:r>
      <w:r w:rsidR="00726EC3">
        <w:t> </w:t>
      </w:r>
      <w:r w:rsidR="002C2FDE" w:rsidRPr="00A00187">
        <w:t>počet pravomocně skončených věcí.</w:t>
      </w:r>
    </w:p>
    <w:p w14:paraId="28860F7D" w14:textId="055A69E4" w:rsidR="003F4624" w:rsidRPr="00A00187" w:rsidRDefault="003F4624" w:rsidP="003F4624">
      <w:pPr>
        <w:pStyle w:val="Podnadpis"/>
        <w:rPr>
          <w:color w:val="auto"/>
        </w:rPr>
      </w:pPr>
      <w:bookmarkStart w:id="513" w:name="_Toc106106683"/>
      <w:bookmarkStart w:id="514" w:name="_Toc109802007"/>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49</w:t>
      </w:r>
      <w:r w:rsidRPr="00A00187">
        <w:rPr>
          <w:noProof/>
          <w:color w:val="auto"/>
        </w:rPr>
        <w:fldChar w:fldCharType="end"/>
      </w:r>
      <w:r w:rsidRPr="00A00187">
        <w:rPr>
          <w:color w:val="auto"/>
        </w:rPr>
        <w:t>: OS</w:t>
      </w:r>
      <w:r w:rsidR="00F24FA7" w:rsidRPr="00A00187">
        <w:rPr>
          <w:color w:val="auto"/>
        </w:rPr>
        <w:t xml:space="preserve"> –</w:t>
      </w:r>
      <w:r w:rsidRPr="00A00187">
        <w:rPr>
          <w:color w:val="auto"/>
        </w:rPr>
        <w:t xml:space="preserve"> podpůrná opatření </w:t>
      </w:r>
      <w:r w:rsidR="00726EC3" w:rsidRPr="00A00187">
        <w:rPr>
          <w:color w:val="auto"/>
        </w:rPr>
        <w:t>a</w:t>
      </w:r>
      <w:r w:rsidR="00726EC3">
        <w:rPr>
          <w:color w:val="auto"/>
        </w:rPr>
        <w:t> </w:t>
      </w:r>
      <w:r w:rsidRPr="00A00187">
        <w:rPr>
          <w:color w:val="auto"/>
        </w:rPr>
        <w:t>svéprávnost v letech 2014 až 2021</w:t>
      </w:r>
      <w:bookmarkEnd w:id="513"/>
      <w:bookmarkEnd w:id="514"/>
    </w:p>
    <w:p w14:paraId="37899FA9" w14:textId="271A62B0" w:rsidR="00AD270B" w:rsidRPr="00A00187" w:rsidRDefault="00AD270B" w:rsidP="00AD270B">
      <w:r w:rsidRPr="00A00187">
        <w:rPr>
          <w:noProof/>
        </w:rPr>
        <w:drawing>
          <wp:inline distT="0" distB="0" distL="0" distR="0" wp14:anchorId="29D2EA04" wp14:editId="36776650">
            <wp:extent cx="5029200" cy="3657600"/>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A48B67B" w14:textId="67B553E2" w:rsidR="00AD270B" w:rsidRPr="00A00187" w:rsidRDefault="00AD270B" w:rsidP="00AD270B"/>
    <w:p w14:paraId="43526866" w14:textId="2DE358FF" w:rsidR="00CB570A" w:rsidRDefault="00D35A82" w:rsidP="00D35A82">
      <w:pPr>
        <w:pStyle w:val="OdstavecASR"/>
      </w:pPr>
      <w:r w:rsidRPr="00A00187">
        <w:t>Vývoj v této časové řad</w:t>
      </w:r>
      <w:r w:rsidR="00727313" w:rsidRPr="00A00187">
        <w:t>ě</w:t>
      </w:r>
      <w:r w:rsidRPr="00A00187">
        <w:t xml:space="preserve"> plyne z</w:t>
      </w:r>
      <w:r w:rsidR="009967BD">
        <w:t> </w:t>
      </w:r>
      <w:r w:rsidRPr="00A00187">
        <w:t xml:space="preserve">nabytí účinnosti občanského zákoníku </w:t>
      </w:r>
      <w:r w:rsidR="00726EC3" w:rsidRPr="00A00187">
        <w:t>a</w:t>
      </w:r>
      <w:r w:rsidR="00726EC3">
        <w:t> </w:t>
      </w:r>
      <w:r w:rsidRPr="00A00187">
        <w:t>je také diskutován v podkapitolách 2.5.</w:t>
      </w:r>
      <w:r w:rsidR="00726EC3" w:rsidRPr="00A00187">
        <w:t>1</w:t>
      </w:r>
      <w:r w:rsidR="00726EC3">
        <w:t xml:space="preserve"> </w:t>
      </w:r>
      <w:r w:rsidR="00726EC3" w:rsidRPr="00A00187">
        <w:t>a</w:t>
      </w:r>
      <w:r w:rsidR="00726EC3">
        <w:t> </w:t>
      </w:r>
      <w:r w:rsidRPr="00A00187">
        <w:t xml:space="preserve">2.5.2. Jak </w:t>
      </w:r>
      <w:r w:rsidR="000624D9" w:rsidRPr="00A00187">
        <w:t>bylo</w:t>
      </w:r>
      <w:r w:rsidRPr="00A00187">
        <w:t xml:space="preserve"> již uvedeno výše, </w:t>
      </w:r>
      <w:r w:rsidR="00EA7E27" w:rsidRPr="00A00187">
        <w:t xml:space="preserve">po roce 2014 </w:t>
      </w:r>
      <w:r w:rsidRPr="00A00187">
        <w:t>bylo třeba do tří let přezkoumat všechny osoby</w:t>
      </w:r>
      <w:r w:rsidR="00EA7E27" w:rsidRPr="00A00187">
        <w:t xml:space="preserve"> dříve zbavené či omezené ve způsobilosti k právním úkonům</w:t>
      </w:r>
      <w:r w:rsidRPr="00A00187">
        <w:t>. Novela o. z. provedená zákonem č. 460/2016 Sb. přezkum prodl</w:t>
      </w:r>
      <w:r w:rsidR="000624D9" w:rsidRPr="00A00187">
        <w:t>o</w:t>
      </w:r>
      <w:r w:rsidRPr="00A00187">
        <w:t>užila</w:t>
      </w:r>
      <w:r w:rsidR="002C2FDE" w:rsidRPr="00A00187">
        <w:t xml:space="preserve"> </w:t>
      </w:r>
      <w:r w:rsidRPr="00A00187">
        <w:t>na 5 let (§ 59 o. z.).</w:t>
      </w:r>
    </w:p>
    <w:p w14:paraId="7A5F54D7" w14:textId="4CCB76CD" w:rsidR="00D35A82" w:rsidRPr="00A00187" w:rsidRDefault="00D35A82" w:rsidP="00D35A82">
      <w:pPr>
        <w:pStyle w:val="OdstavecASR"/>
      </w:pPr>
      <w:r w:rsidRPr="00A00187">
        <w:t xml:space="preserve">Oproti nápadu se počet pravomocně skončených věcí mění se zpožděním. V roce 2014 je tedy ještě počet pravomocně skončených věcí relativně </w:t>
      </w:r>
      <w:r w:rsidR="000624D9" w:rsidRPr="00A00187">
        <w:t>nízký</w:t>
      </w:r>
      <w:r w:rsidRPr="00A00187">
        <w:t>, protože soudy neměly dostatek času pravomocně vyřídit</w:t>
      </w:r>
      <w:r w:rsidR="00FF0EF6" w:rsidRPr="00A00187">
        <w:t xml:space="preserve"> </w:t>
      </w:r>
      <w:r w:rsidRPr="00A00187">
        <w:t>dostatečný počet věcí</w:t>
      </w:r>
      <w:r w:rsidR="00FF0EF6" w:rsidRPr="00A00187">
        <w:t xml:space="preserve"> (přezkoumat dostatečný počet osob)</w:t>
      </w:r>
      <w:r w:rsidRPr="00A00187">
        <w:t xml:space="preserve">. </w:t>
      </w:r>
      <w:r w:rsidR="00FF0EF6" w:rsidRPr="00A00187">
        <w:t xml:space="preserve">To se dělo až v následujících letech, </w:t>
      </w:r>
      <w:r w:rsidR="00726EC3" w:rsidRPr="00A00187">
        <w:t>i</w:t>
      </w:r>
      <w:r w:rsidR="00726EC3">
        <w:t> </w:t>
      </w:r>
      <w:r w:rsidR="00FF0EF6" w:rsidRPr="00A00187">
        <w:t xml:space="preserve">když se soudy </w:t>
      </w:r>
      <w:r w:rsidR="000624D9" w:rsidRPr="00A00187">
        <w:t>v té době potýkaly</w:t>
      </w:r>
      <w:r w:rsidR="00FF0EF6" w:rsidRPr="00A00187">
        <w:t xml:space="preserve"> s problémy se znaleckými posudky potřebnými pro</w:t>
      </w:r>
      <w:r w:rsidR="004D6F5D" w:rsidRPr="00A00187">
        <w:t> </w:t>
      </w:r>
      <w:r w:rsidR="00FF0EF6" w:rsidRPr="00A00187">
        <w:t>přezkum svéprávnosti (</w:t>
      </w:r>
      <w:r w:rsidR="00726EC3" w:rsidRPr="00A00187">
        <w:t>i</w:t>
      </w:r>
      <w:r w:rsidR="00726EC3">
        <w:t> </w:t>
      </w:r>
      <w:r w:rsidR="0055411C" w:rsidRPr="00A00187">
        <w:t xml:space="preserve">tato otázka byla zmíněna </w:t>
      </w:r>
      <w:r w:rsidR="00FF0EF6" w:rsidRPr="00A00187">
        <w:t xml:space="preserve">výše). Pokles v letech 2020 </w:t>
      </w:r>
      <w:r w:rsidR="00B15CE8" w:rsidRPr="00A00187">
        <w:t>a </w:t>
      </w:r>
      <w:r w:rsidR="00FF0EF6" w:rsidRPr="00A00187">
        <w:t xml:space="preserve">2021 lze pak vysvětlit </w:t>
      </w:r>
      <w:r w:rsidR="004D6F5D" w:rsidRPr="00A00187">
        <w:t xml:space="preserve">několika důvody. Mnoho soudů využilo při prvním přezkumu možnosti rozhodnout </w:t>
      </w:r>
      <w:r w:rsidR="00726EC3" w:rsidRPr="00A00187">
        <w:t>o</w:t>
      </w:r>
      <w:r w:rsidR="00726EC3">
        <w:t> </w:t>
      </w:r>
      <w:r w:rsidR="004D6F5D" w:rsidRPr="00A00187">
        <w:t xml:space="preserve">podpůrném opatření </w:t>
      </w:r>
      <w:r w:rsidR="00726EC3" w:rsidRPr="00A00187">
        <w:t>a</w:t>
      </w:r>
      <w:r w:rsidR="00726EC3">
        <w:t> </w:t>
      </w:r>
      <w:r w:rsidR="004D6F5D" w:rsidRPr="00A00187">
        <w:t xml:space="preserve">osoby </w:t>
      </w:r>
      <w:r w:rsidR="00CF2E3F" w:rsidRPr="00A00187">
        <w:t xml:space="preserve">využívající tyto nové nástroje </w:t>
      </w:r>
      <w:r w:rsidR="004D6F5D" w:rsidRPr="00A00187">
        <w:t xml:space="preserve">již nepodléhají v pravidelných lhůtách povinným přezkumům jako je tomu </w:t>
      </w:r>
      <w:r w:rsidR="00726EC3" w:rsidRPr="00A00187">
        <w:t>u</w:t>
      </w:r>
      <w:r w:rsidR="00726EC3">
        <w:t> </w:t>
      </w:r>
      <w:r w:rsidR="004D6F5D" w:rsidRPr="00A00187">
        <w:t xml:space="preserve">omezení svéprávnosti. Dále pak zákon umožnil soudům uložit omezení svéprávnosti </w:t>
      </w:r>
      <w:r w:rsidR="00726EC3" w:rsidRPr="00A00187">
        <w:t>i</w:t>
      </w:r>
      <w:r w:rsidR="00726EC3">
        <w:t> </w:t>
      </w:r>
      <w:r w:rsidR="004D6F5D" w:rsidRPr="00A00187">
        <w:t xml:space="preserve">na dobu delší </w:t>
      </w:r>
      <w:r w:rsidR="00726EC3" w:rsidRPr="00A00187">
        <w:t>3</w:t>
      </w:r>
      <w:r w:rsidR="00726EC3">
        <w:t> </w:t>
      </w:r>
      <w:r w:rsidR="004D6F5D" w:rsidRPr="00A00187">
        <w:t xml:space="preserve">let, maximálně </w:t>
      </w:r>
      <w:r w:rsidR="00726EC3" w:rsidRPr="00A00187">
        <w:t>5</w:t>
      </w:r>
      <w:r w:rsidR="00726EC3">
        <w:t> </w:t>
      </w:r>
      <w:r w:rsidR="006B03E2" w:rsidRPr="00A00187">
        <w:t>let</w:t>
      </w:r>
      <w:r w:rsidR="004D6F5D" w:rsidRPr="00A00187">
        <w:t>. Navazující přezkumy těchto osob se tedy</w:t>
      </w:r>
      <w:r w:rsidR="00CF2E3F" w:rsidRPr="00A00187">
        <w:t xml:space="preserve"> vzhledem k uváděným okolnostem fakticky rozptýlily do delší doby (na rozdíl od jasně viditelného efektu prvních třech let přezkumů</w:t>
      </w:r>
      <w:r w:rsidR="00362859" w:rsidRPr="00A00187">
        <w:t xml:space="preserve">). </w:t>
      </w:r>
      <w:r w:rsidR="00FF0EF6" w:rsidRPr="00A00187">
        <w:t xml:space="preserve">To je vidět </w:t>
      </w:r>
      <w:r w:rsidR="00726EC3" w:rsidRPr="00A00187">
        <w:t>i</w:t>
      </w:r>
      <w:r w:rsidR="00726EC3">
        <w:t> </w:t>
      </w:r>
      <w:r w:rsidR="00FF0EF6" w:rsidRPr="00A00187">
        <w:t>na podrobnějších datech</w:t>
      </w:r>
      <w:r w:rsidR="0055411C" w:rsidRPr="00A00187">
        <w:t xml:space="preserve"> – </w:t>
      </w:r>
      <w:r w:rsidR="00FF0EF6" w:rsidRPr="00A00187">
        <w:t xml:space="preserve">počet rozhodnutí </w:t>
      </w:r>
      <w:r w:rsidR="00726EC3" w:rsidRPr="00A00187">
        <w:t>o</w:t>
      </w:r>
      <w:r w:rsidR="00726EC3">
        <w:t> </w:t>
      </w:r>
      <w:r w:rsidR="00FF0EF6" w:rsidRPr="00A00187">
        <w:t xml:space="preserve">omezení svéprávnosti </w:t>
      </w:r>
      <w:r w:rsidR="0055411C" w:rsidRPr="00A00187">
        <w:t xml:space="preserve">se </w:t>
      </w:r>
      <w:r w:rsidR="00FF0EF6" w:rsidRPr="00A00187">
        <w:t xml:space="preserve">změnil mnohem </w:t>
      </w:r>
      <w:r w:rsidR="0070648B" w:rsidRPr="00A00187">
        <w:t>méně</w:t>
      </w:r>
      <w:r w:rsidR="00FF0EF6" w:rsidRPr="00A00187">
        <w:t xml:space="preserve"> než počet rozhodnutí o</w:t>
      </w:r>
      <w:r w:rsidR="00CF2E3F" w:rsidRPr="00A00187">
        <w:t> </w:t>
      </w:r>
      <w:r w:rsidR="00FF0EF6" w:rsidRPr="00A00187">
        <w:t xml:space="preserve">prodloužení omezení. </w:t>
      </w:r>
      <w:r w:rsidR="00CF2E3F" w:rsidRPr="00A00187">
        <w:t>To znamená, že počet nově napadlých případů se příliš nemění, zatímco v případě prodloužení, navrácení či změny rozhodnutí je tomu jinak.</w:t>
      </w:r>
    </w:p>
    <w:p w14:paraId="5023B8D5" w14:textId="35C35821" w:rsidR="0070648B" w:rsidRPr="00A00187" w:rsidRDefault="0070648B" w:rsidP="00D35A82">
      <w:pPr>
        <w:pStyle w:val="OdstavecASR"/>
      </w:pPr>
      <w:r w:rsidRPr="00A00187">
        <w:t xml:space="preserve">Dále </w:t>
      </w:r>
      <w:r w:rsidR="0055411C" w:rsidRPr="00A00187">
        <w:t>se podíváme</w:t>
      </w:r>
      <w:r w:rsidRPr="00A00187">
        <w:t xml:space="preserve"> na to, jaký druh rozhodnutí je nejčastější. Jak plyne z textu výše, v průběhu let docházelo ke změnám. My se v grafu </w:t>
      </w:r>
      <w:r w:rsidR="00744273" w:rsidRPr="00A00187">
        <w:t xml:space="preserve">46 </w:t>
      </w:r>
      <w:r w:rsidRPr="00A00187">
        <w:t>níže podíváme na rok 2021. Je</w:t>
      </w:r>
      <w:r w:rsidR="0055411C" w:rsidRPr="00A00187">
        <w:t xml:space="preserve"> přitom</w:t>
      </w:r>
      <w:r w:rsidRPr="00A00187">
        <w:t xml:space="preserve"> třeba poznamenat, že kategorie omezení svéprávnosti zahrnuje </w:t>
      </w:r>
      <w:r w:rsidR="00726EC3" w:rsidRPr="00A00187">
        <w:t>i</w:t>
      </w:r>
      <w:r w:rsidR="00726EC3">
        <w:t> </w:t>
      </w:r>
      <w:r w:rsidRPr="00A00187">
        <w:t xml:space="preserve">rozhodnutí </w:t>
      </w:r>
      <w:r w:rsidR="00726EC3" w:rsidRPr="00A00187">
        <w:t>o</w:t>
      </w:r>
      <w:r w:rsidR="00726EC3">
        <w:t> </w:t>
      </w:r>
      <w:r w:rsidRPr="00A00187">
        <w:t>prodloužení omezení či změnu omezení.</w:t>
      </w:r>
      <w:r w:rsidR="008F1D63" w:rsidRPr="00A00187">
        <w:t xml:space="preserve"> Opět jde </w:t>
      </w:r>
      <w:r w:rsidR="00726EC3" w:rsidRPr="00A00187">
        <w:t>o</w:t>
      </w:r>
      <w:r w:rsidR="00726EC3">
        <w:t> </w:t>
      </w:r>
      <w:r w:rsidR="008F1D63" w:rsidRPr="00A00187">
        <w:t>počet pravomocně skončených opatření.</w:t>
      </w:r>
    </w:p>
    <w:p w14:paraId="3EFA2815" w14:textId="377849C0" w:rsidR="0070648B" w:rsidRPr="00A00187" w:rsidRDefault="0070648B" w:rsidP="00D35A82">
      <w:pPr>
        <w:pStyle w:val="OdstavecASR"/>
      </w:pPr>
      <w:r w:rsidRPr="00A00187">
        <w:lastRenderedPageBreak/>
        <w:t xml:space="preserve">V grafu </w:t>
      </w:r>
      <w:r w:rsidR="00151B3D" w:rsidRPr="00A00187">
        <w:t>pozorujeme</w:t>
      </w:r>
      <w:r w:rsidRPr="00A00187">
        <w:t xml:space="preserve">, že </w:t>
      </w:r>
      <w:r w:rsidR="00726EC3" w:rsidRPr="00A00187">
        <w:t>i</w:t>
      </w:r>
      <w:r w:rsidR="00726EC3">
        <w:t> </w:t>
      </w:r>
      <w:r w:rsidR="004E7159" w:rsidRPr="00A00187">
        <w:t>přes velký pokles</w:t>
      </w:r>
      <w:r w:rsidR="008F1D63" w:rsidRPr="00A00187">
        <w:t xml:space="preserve"> </w:t>
      </w:r>
      <w:r w:rsidR="004E7159" w:rsidRPr="00A00187">
        <w:t xml:space="preserve">oproti minulým rokům </w:t>
      </w:r>
      <w:r w:rsidRPr="00A00187">
        <w:t>jasně dominují rozhodnutí o</w:t>
      </w:r>
      <w:r w:rsidR="00D72A1B" w:rsidRPr="00A00187">
        <w:t> </w:t>
      </w:r>
      <w:r w:rsidRPr="00A00187">
        <w:t>omezení svéprávnosti (představují asi 72</w:t>
      </w:r>
      <w:r w:rsidR="00CB570A">
        <w:t> %</w:t>
      </w:r>
      <w:r w:rsidRPr="00A00187">
        <w:t xml:space="preserve"> rozhodnutí). Opatrovnictví bez omezení svéprávnosti představuje asi 25</w:t>
      </w:r>
      <w:r w:rsidR="00CB570A">
        <w:t> %</w:t>
      </w:r>
      <w:r w:rsidRPr="00A00187">
        <w:t xml:space="preserve"> rozhodnutí. </w:t>
      </w:r>
      <w:r w:rsidR="00D72A1B" w:rsidRPr="00A00187">
        <w:t>S</w:t>
      </w:r>
      <w:r w:rsidRPr="00A00187">
        <w:t>mlouv</w:t>
      </w:r>
      <w:r w:rsidR="00D72A1B" w:rsidRPr="00A00187">
        <w:t>a</w:t>
      </w:r>
      <w:r w:rsidRPr="00A00187">
        <w:t xml:space="preserve"> </w:t>
      </w:r>
      <w:r w:rsidR="00726EC3" w:rsidRPr="00A00187">
        <w:t>o</w:t>
      </w:r>
      <w:r w:rsidR="00726EC3">
        <w:t> </w:t>
      </w:r>
      <w:r w:rsidRPr="00A00187">
        <w:t>nápomoci</w:t>
      </w:r>
      <w:r w:rsidR="00D72A1B" w:rsidRPr="00A00187">
        <w:t xml:space="preserve"> </w:t>
      </w:r>
      <w:r w:rsidR="00726EC3" w:rsidRPr="00A00187">
        <w:t>a</w:t>
      </w:r>
      <w:r w:rsidR="00726EC3">
        <w:t> </w:t>
      </w:r>
      <w:r w:rsidRPr="00A00187">
        <w:t xml:space="preserve">zastoupení členem domácnosti jsou zastoupena jen velmi málo. </w:t>
      </w:r>
      <w:r w:rsidR="009531BD" w:rsidRPr="00A00187">
        <w:t xml:space="preserve">Data </w:t>
      </w:r>
      <w:r w:rsidR="00D72A1B" w:rsidRPr="00A00187">
        <w:t>rozlišená</w:t>
      </w:r>
      <w:r w:rsidR="009531BD" w:rsidRPr="00A00187">
        <w:t xml:space="preserve"> </w:t>
      </w:r>
      <w:r w:rsidR="008F1D63" w:rsidRPr="00A00187">
        <w:t xml:space="preserve">dle </w:t>
      </w:r>
      <w:r w:rsidR="00D72A1B" w:rsidRPr="00A00187">
        <w:t xml:space="preserve">jednotlivých </w:t>
      </w:r>
      <w:r w:rsidR="009531BD" w:rsidRPr="00A00187">
        <w:t xml:space="preserve">soudů </w:t>
      </w:r>
      <w:r w:rsidR="00D72A1B" w:rsidRPr="00A00187">
        <w:t>prvního stupně</w:t>
      </w:r>
      <w:r w:rsidR="009531BD" w:rsidRPr="00A00187">
        <w:t xml:space="preserve"> dále ukazují, že </w:t>
      </w:r>
      <w:r w:rsidR="00D72A1B" w:rsidRPr="00A00187">
        <w:t xml:space="preserve">se </w:t>
      </w:r>
      <w:r w:rsidR="00151B3D" w:rsidRPr="00A00187">
        <w:t>mezi soudy</w:t>
      </w:r>
      <w:r w:rsidR="009531BD" w:rsidRPr="00A00187">
        <w:t xml:space="preserve"> </w:t>
      </w:r>
      <w:r w:rsidR="004E7159" w:rsidRPr="00A00187">
        <w:t xml:space="preserve">značně liší praxe při využívání </w:t>
      </w:r>
      <w:r w:rsidR="0055411C" w:rsidRPr="00A00187">
        <w:t xml:space="preserve">těchto </w:t>
      </w:r>
      <w:r w:rsidR="004E7159" w:rsidRPr="00A00187">
        <w:t>opatření.</w:t>
      </w:r>
    </w:p>
    <w:p w14:paraId="697DF099" w14:textId="27F09EA2" w:rsidR="0070648B" w:rsidRPr="00A00187" w:rsidRDefault="0070648B" w:rsidP="0070648B">
      <w:pPr>
        <w:pStyle w:val="Podnadpis"/>
        <w:rPr>
          <w:color w:val="auto"/>
        </w:rPr>
      </w:pPr>
      <w:bookmarkStart w:id="515" w:name="_Toc106106684"/>
      <w:bookmarkStart w:id="516" w:name="_Toc10980200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50</w:t>
      </w:r>
      <w:r w:rsidRPr="00A00187">
        <w:rPr>
          <w:noProof/>
          <w:color w:val="auto"/>
        </w:rPr>
        <w:fldChar w:fldCharType="end"/>
      </w:r>
      <w:r w:rsidRPr="00A00187">
        <w:rPr>
          <w:color w:val="auto"/>
        </w:rPr>
        <w:t>: OS</w:t>
      </w:r>
      <w:r w:rsidR="00A42E45" w:rsidRPr="00A00187">
        <w:rPr>
          <w:color w:val="auto"/>
        </w:rPr>
        <w:t xml:space="preserve"> –</w:t>
      </w:r>
      <w:r w:rsidRPr="00A00187">
        <w:rPr>
          <w:color w:val="auto"/>
        </w:rPr>
        <w:t xml:space="preserve"> podpůrná opatření </w:t>
      </w:r>
      <w:r w:rsidR="00726EC3" w:rsidRPr="00A00187">
        <w:rPr>
          <w:color w:val="auto"/>
        </w:rPr>
        <w:t>a</w:t>
      </w:r>
      <w:r w:rsidR="00726EC3">
        <w:rPr>
          <w:color w:val="auto"/>
        </w:rPr>
        <w:t> </w:t>
      </w:r>
      <w:r w:rsidRPr="00A00187">
        <w:rPr>
          <w:color w:val="auto"/>
        </w:rPr>
        <w:t>svéprávnost dle typ</w:t>
      </w:r>
      <w:r w:rsidR="00A42E45" w:rsidRPr="00A00187">
        <w:rPr>
          <w:color w:val="auto"/>
        </w:rPr>
        <w:t>u</w:t>
      </w:r>
      <w:r w:rsidRPr="00A00187">
        <w:rPr>
          <w:color w:val="auto"/>
        </w:rPr>
        <w:t xml:space="preserve"> rozhodnutí </w:t>
      </w:r>
      <w:r w:rsidR="00A42E45" w:rsidRPr="00A00187">
        <w:rPr>
          <w:color w:val="auto"/>
        </w:rPr>
        <w:t>(</w:t>
      </w:r>
      <w:r w:rsidRPr="00A00187">
        <w:rPr>
          <w:color w:val="auto"/>
        </w:rPr>
        <w:t>2021</w:t>
      </w:r>
      <w:r w:rsidR="00A42E45" w:rsidRPr="00A00187">
        <w:rPr>
          <w:color w:val="auto"/>
        </w:rPr>
        <w:t>)</w:t>
      </w:r>
      <w:bookmarkEnd w:id="515"/>
      <w:bookmarkEnd w:id="516"/>
    </w:p>
    <w:p w14:paraId="2D119F54" w14:textId="1B0B2408" w:rsidR="0070648B" w:rsidRPr="00A00187" w:rsidRDefault="0070648B" w:rsidP="00D35A82">
      <w:pPr>
        <w:pStyle w:val="OdstavecASR"/>
      </w:pPr>
      <w:r w:rsidRPr="00A00187">
        <w:rPr>
          <w:noProof/>
        </w:rPr>
        <w:drawing>
          <wp:inline distT="0" distB="0" distL="0" distR="0" wp14:anchorId="078552B3" wp14:editId="59688D8C">
            <wp:extent cx="5029200" cy="3657600"/>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DF3A4BA" w14:textId="5DA3D73A" w:rsidR="0070648B" w:rsidRPr="00A00187" w:rsidRDefault="0070648B" w:rsidP="00D35A82">
      <w:pPr>
        <w:pStyle w:val="OdstavecASR"/>
      </w:pPr>
    </w:p>
    <w:p w14:paraId="7D6DCD48" w14:textId="47B6C104" w:rsidR="00CB570A" w:rsidRDefault="00362859" w:rsidP="00D35A82">
      <w:pPr>
        <w:pStyle w:val="OdstavecASR"/>
      </w:pPr>
      <w:r w:rsidRPr="00A00187">
        <w:t>Nakonec na datech za rok 2021 ukážeme, kdo zkoumaná opatření využívá. Asi 54</w:t>
      </w:r>
      <w:r w:rsidR="00CB570A">
        <w:t> %</w:t>
      </w:r>
      <w:r w:rsidRPr="00A00187">
        <w:t xml:space="preserve"> osob, jichž se týkala rozhodnutí </w:t>
      </w:r>
      <w:r w:rsidR="00726EC3" w:rsidRPr="00A00187">
        <w:t>o</w:t>
      </w:r>
      <w:r w:rsidR="00726EC3">
        <w:t> </w:t>
      </w:r>
      <w:r w:rsidRPr="00A00187">
        <w:t xml:space="preserve">omezení svéprávnosti, podpůrná omezení či opatrovnictví bez omezení svéprávnosti, byly ženy, </w:t>
      </w:r>
      <w:r w:rsidR="00DE12E8" w:rsidRPr="00A00187">
        <w:t>což je dáno pravděpodobně vyšším věkem žen (viz věková pyramida níže)</w:t>
      </w:r>
      <w:r w:rsidR="00A42E45" w:rsidRPr="00A00187">
        <w:t>.</w:t>
      </w:r>
    </w:p>
    <w:p w14:paraId="7665389F" w14:textId="0A76A21E" w:rsidR="00A42E45" w:rsidRPr="00A00187" w:rsidRDefault="00A42E45" w:rsidP="00A42E45">
      <w:pPr>
        <w:pStyle w:val="Podnadpis"/>
        <w:rPr>
          <w:color w:val="auto"/>
        </w:rPr>
      </w:pPr>
      <w:bookmarkStart w:id="517" w:name="_Toc106106685"/>
      <w:bookmarkStart w:id="518" w:name="_Toc109802009"/>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51</w:t>
      </w:r>
      <w:r w:rsidRPr="00A00187">
        <w:rPr>
          <w:noProof/>
          <w:color w:val="auto"/>
        </w:rPr>
        <w:fldChar w:fldCharType="end"/>
      </w:r>
      <w:r w:rsidRPr="00A00187">
        <w:rPr>
          <w:color w:val="auto"/>
        </w:rPr>
        <w:t xml:space="preserve">: OS – podpůrná opatření </w:t>
      </w:r>
      <w:r w:rsidR="00726EC3" w:rsidRPr="00A00187">
        <w:rPr>
          <w:color w:val="auto"/>
        </w:rPr>
        <w:t>a</w:t>
      </w:r>
      <w:r w:rsidR="00726EC3">
        <w:rPr>
          <w:color w:val="auto"/>
        </w:rPr>
        <w:t> </w:t>
      </w:r>
      <w:r w:rsidRPr="00A00187">
        <w:rPr>
          <w:color w:val="auto"/>
        </w:rPr>
        <w:t>svéprávnost, věková pyramida (2021)</w:t>
      </w:r>
      <w:bookmarkEnd w:id="517"/>
      <w:bookmarkEnd w:id="518"/>
    </w:p>
    <w:p w14:paraId="6136722E" w14:textId="6DA2B8B7" w:rsidR="00A42E45" w:rsidRPr="00A00187" w:rsidRDefault="004E7159" w:rsidP="00D35A82">
      <w:pPr>
        <w:pStyle w:val="OdstavecASR"/>
      </w:pPr>
      <w:r w:rsidRPr="00A00187">
        <w:rPr>
          <w:noProof/>
        </w:rPr>
        <w:drawing>
          <wp:inline distT="0" distB="0" distL="0" distR="0" wp14:anchorId="48ED9A40" wp14:editId="098C7CF7">
            <wp:extent cx="5029200" cy="3657600"/>
            <wp:effectExtent l="0" t="0" r="0" b="0"/>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6B9A35" w14:textId="46D17D2E" w:rsidR="00D35A82" w:rsidRPr="00A00187" w:rsidRDefault="00D35A82" w:rsidP="00D35A82">
      <w:pPr>
        <w:pStyle w:val="OdstavecASR"/>
      </w:pPr>
    </w:p>
    <w:p w14:paraId="6DBC35B5" w14:textId="1ACF6B98" w:rsidR="00C6577B" w:rsidRPr="00A00187" w:rsidRDefault="0055411C" w:rsidP="00D35A82">
      <w:pPr>
        <w:pStyle w:val="OdstavecASR"/>
      </w:pPr>
      <w:r w:rsidRPr="00A00187">
        <w:t xml:space="preserve">Z grafu vyplývá </w:t>
      </w:r>
      <w:r w:rsidR="00C6577B" w:rsidRPr="00A00187">
        <w:t xml:space="preserve">zajímavý jev. </w:t>
      </w:r>
      <w:r w:rsidR="00726EC3" w:rsidRPr="00A00187">
        <w:t>V</w:t>
      </w:r>
      <w:r w:rsidR="00726EC3">
        <w:t> </w:t>
      </w:r>
      <w:r w:rsidR="00C6577B" w:rsidRPr="00A00187">
        <w:t>nižších věkových skupinách jasně převažují muži</w:t>
      </w:r>
      <w:r w:rsidR="00A95999" w:rsidRPr="00A00187">
        <w:t>.</w:t>
      </w:r>
      <w:r w:rsidR="00362859" w:rsidRPr="00A00187">
        <w:t xml:space="preserve"> </w:t>
      </w:r>
      <w:r w:rsidR="00A95999" w:rsidRPr="00A00187">
        <w:t>Tento</w:t>
      </w:r>
      <w:r w:rsidRPr="00A00187">
        <w:t xml:space="preserve"> </w:t>
      </w:r>
      <w:r w:rsidR="00C6577B" w:rsidRPr="00A00187">
        <w:t>je nejpatrnější ve věkové skupině do 19 let.</w:t>
      </w:r>
      <w:r w:rsidR="000E0C47" w:rsidRPr="00A00187">
        <w:t xml:space="preserve"> </w:t>
      </w:r>
      <w:r w:rsidR="00C6577B" w:rsidRPr="00A00187">
        <w:t xml:space="preserve">Ve věku kolem 70 let pak dochází ke „zlomu“ </w:t>
      </w:r>
      <w:r w:rsidR="00726EC3" w:rsidRPr="00A00187">
        <w:t>a</w:t>
      </w:r>
      <w:r w:rsidR="00726EC3">
        <w:t> </w:t>
      </w:r>
      <w:r w:rsidR="00C6577B" w:rsidRPr="00A00187">
        <w:t xml:space="preserve">zkoumaná opatření jsou častěji využívána ženami. Tento rozdíl se s rostoucím věkem stupňuje. </w:t>
      </w:r>
      <w:r w:rsidR="0043773D" w:rsidRPr="00A00187">
        <w:t>Analýza tohoto jevu přesahuje rozsah této zprávy.</w:t>
      </w:r>
      <w:r w:rsidR="00362859" w:rsidRPr="00A00187">
        <w:t xml:space="preserve"> </w:t>
      </w:r>
      <w:r w:rsidR="00E62966" w:rsidRPr="00A00187">
        <w:t>Vyšší počet žen ve</w:t>
      </w:r>
      <w:r w:rsidR="00183E52" w:rsidRPr="00A00187">
        <w:t> </w:t>
      </w:r>
      <w:r w:rsidR="00E62966" w:rsidRPr="00A00187">
        <w:t>vyšších věkových skupinách pak zřejmě plyne z vyššího věku dožití</w:t>
      </w:r>
      <w:r w:rsidR="00AB4638" w:rsidRPr="00A00187">
        <w:t>.</w:t>
      </w:r>
    </w:p>
    <w:p w14:paraId="27A23DB5" w14:textId="77777777" w:rsidR="003E21EC" w:rsidRPr="00A00187" w:rsidRDefault="003E21EC" w:rsidP="00AA5DB9">
      <w:pPr>
        <w:pStyle w:val="OdstavecASR"/>
      </w:pPr>
    </w:p>
    <w:p w14:paraId="5E2D3EFE" w14:textId="77777777" w:rsidR="00515A7E" w:rsidRPr="00A00187" w:rsidRDefault="00515A7E">
      <w:pPr>
        <w:spacing w:after="160" w:line="259" w:lineRule="auto"/>
        <w:jc w:val="left"/>
        <w:rPr>
          <w:rFonts w:eastAsiaTheme="majorEastAsia" w:cstheme="majorBidi"/>
          <w:b/>
          <w:sz w:val="28"/>
          <w:szCs w:val="26"/>
        </w:rPr>
      </w:pPr>
      <w:r w:rsidRPr="00A00187">
        <w:br w:type="page"/>
      </w:r>
    </w:p>
    <w:p w14:paraId="081DABFA" w14:textId="6877FCE1" w:rsidR="008430BD" w:rsidRPr="00A00187" w:rsidRDefault="008430BD" w:rsidP="008430BD">
      <w:pPr>
        <w:pStyle w:val="Nadpis2"/>
        <w:numPr>
          <w:ilvl w:val="1"/>
          <w:numId w:val="1"/>
        </w:numPr>
        <w:spacing w:before="120"/>
        <w:rPr>
          <w:color w:val="auto"/>
        </w:rPr>
      </w:pPr>
      <w:bookmarkStart w:id="519" w:name="_Toc106092743"/>
      <w:bookmarkStart w:id="520" w:name="_Toc109801355"/>
      <w:r w:rsidRPr="00A00187">
        <w:rPr>
          <w:color w:val="auto"/>
        </w:rPr>
        <w:lastRenderedPageBreak/>
        <w:t>DEA</w:t>
      </w:r>
      <w:bookmarkEnd w:id="519"/>
      <w:bookmarkEnd w:id="520"/>
    </w:p>
    <w:p w14:paraId="76570B15" w14:textId="3131A1B1" w:rsidR="0034011B" w:rsidRPr="00A00187" w:rsidRDefault="0034011B" w:rsidP="0034011B">
      <w:pPr>
        <w:pStyle w:val="OdstavecASR"/>
      </w:pPr>
      <w:r w:rsidRPr="00A00187">
        <w:t xml:space="preserve">Jak jsme uvedli již výše, Ministerstvo spravedlnosti sleduje i jiné statistické údaje než ty, které byly zachyceny v předchozích částech této zprávy, a používá i výrazně složitější ukazatele a metody. Velmi dobrým příkladem je tzv. DEA (Data </w:t>
      </w:r>
      <w:proofErr w:type="spellStart"/>
      <w:r w:rsidRPr="00A00187">
        <w:t>Envelopment</w:t>
      </w:r>
      <w:proofErr w:type="spellEnd"/>
      <w:r w:rsidRPr="00A00187">
        <w:t xml:space="preserve"> </w:t>
      </w:r>
      <w:proofErr w:type="spellStart"/>
      <w:r w:rsidRPr="00A00187">
        <w:t>Analysis</w:t>
      </w:r>
      <w:proofErr w:type="spellEnd"/>
      <w:r w:rsidRPr="00A00187">
        <w:t>, analýza obalu dat). Tato kapitola se věnuje právě analýze technické efektivnosti českých soudů pomocí DEA. Dovolujeme si upozornit, že metoda je výrazně složitější než obvykle sledované a publikované údaje, v důsledku čehož se tato kapitola výrazně liší od ostatních kapitol této zprávy celkovým pojetím, grafickou úpravou i strukturou.</w:t>
      </w:r>
    </w:p>
    <w:p w14:paraId="04511660" w14:textId="167FA0EA" w:rsidR="0034011B" w:rsidRPr="00A00187" w:rsidRDefault="0034011B" w:rsidP="0034011B">
      <w:pPr>
        <w:pStyle w:val="OdstavecASR"/>
      </w:pPr>
      <w:r w:rsidRPr="00A00187">
        <w:t>V samotné kapitole uvádíme pouze výsledky, jejich interpretac</w:t>
      </w:r>
      <w:r w:rsidR="00CD48EB" w:rsidRPr="00A00187">
        <w:t>i</w:t>
      </w:r>
      <w:r w:rsidRPr="00A00187">
        <w:t xml:space="preserve"> a srovnání s rokem 20</w:t>
      </w:r>
      <w:r w:rsidR="00AB4638" w:rsidRPr="00A00187">
        <w:t>20.</w:t>
      </w:r>
      <w:r w:rsidRPr="00A00187">
        <w:t xml:space="preserve"> Bližší popis metody (teorie, literatura, metodika, specifikace modelu) naleznete v příloze. Zde vysvětlíme pouze několik pojmů důležitých pro interpretaci výsledků.</w:t>
      </w:r>
    </w:p>
    <w:p w14:paraId="35D40A29" w14:textId="77777777" w:rsidR="0034011B" w:rsidRPr="00A00187" w:rsidRDefault="0034011B" w:rsidP="0034011B">
      <w:pPr>
        <w:pStyle w:val="OdstavecASR"/>
      </w:pPr>
      <w:bookmarkStart w:id="521" w:name="_Ref510015479"/>
      <w:bookmarkStart w:id="522" w:name="_Toc515871242"/>
      <w:r w:rsidRPr="00A00187">
        <w:t xml:space="preserve">Hlavním problematickým bodem tohoto typu zkoumání je nalezení vhodného způsobu kvantifikace výstupu a tím </w:t>
      </w:r>
      <w:r w:rsidR="00A95999" w:rsidRPr="00A00187">
        <w:t xml:space="preserve">je </w:t>
      </w:r>
      <w:r w:rsidRPr="00A00187">
        <w:t xml:space="preserve">definice </w:t>
      </w:r>
      <w:r w:rsidRPr="00A00187">
        <w:rPr>
          <w:i/>
        </w:rPr>
        <w:t>efektivního</w:t>
      </w:r>
      <w:r w:rsidRPr="00A00187">
        <w:t xml:space="preserve"> výstupu: jde jednak o správné zohlednění různé distribuce náročnosti věcí u různých soudů a jednak o zohlednění </w:t>
      </w:r>
      <w:r w:rsidRPr="00A00187">
        <w:rPr>
          <w:i/>
        </w:rPr>
        <w:t>kvality</w:t>
      </w:r>
      <w:r w:rsidRPr="00A00187">
        <w:t xml:space="preserve"> vydávaných rozhodnutí. I přes tuto výhradu jsou ovšem výsledky pro porovnání jednotlivých soudů užitečné a slouží jako základ dalšího zkoumání práce těch soudů, které se výrazně odlišují.</w:t>
      </w:r>
    </w:p>
    <w:p w14:paraId="2296A3F5" w14:textId="77777777" w:rsidR="0034011B" w:rsidRPr="00A00187" w:rsidRDefault="0034011B" w:rsidP="0034011B">
      <w:pPr>
        <w:pStyle w:val="Nadpis3"/>
        <w:numPr>
          <w:ilvl w:val="2"/>
          <w:numId w:val="1"/>
        </w:numPr>
        <w:rPr>
          <w:color w:val="auto"/>
        </w:rPr>
      </w:pPr>
      <w:bookmarkStart w:id="523" w:name="_Ref43838090"/>
      <w:bookmarkStart w:id="524" w:name="_Toc75952079"/>
      <w:bookmarkStart w:id="525" w:name="_Toc106092744"/>
      <w:bookmarkStart w:id="526" w:name="_Toc109801356"/>
      <w:r w:rsidRPr="00A00187">
        <w:rPr>
          <w:color w:val="auto"/>
        </w:rPr>
        <w:t>Výsledky a jejich interpretace</w:t>
      </w:r>
      <w:bookmarkEnd w:id="521"/>
      <w:bookmarkEnd w:id="522"/>
      <w:bookmarkEnd w:id="523"/>
      <w:bookmarkEnd w:id="524"/>
      <w:bookmarkEnd w:id="525"/>
      <w:bookmarkEnd w:id="526"/>
    </w:p>
    <w:p w14:paraId="081CB869" w14:textId="77777777" w:rsidR="0034011B" w:rsidRPr="00A00187" w:rsidRDefault="0034011B" w:rsidP="0034011B">
      <w:pPr>
        <w:pStyle w:val="OdstavecASR"/>
      </w:pPr>
      <w:r w:rsidRPr="00A00187">
        <w:t>Je třeba zdůraznit, že veškeré závěry se týkají</w:t>
      </w:r>
      <w:r w:rsidRPr="00A00187">
        <w:rPr>
          <w:b/>
        </w:rPr>
        <w:t xml:space="preserve"> relativní</w:t>
      </w:r>
      <w:r w:rsidRPr="00A00187">
        <w:t xml:space="preserve"> efektivnosti, </w:t>
      </w:r>
      <w:r w:rsidRPr="00A00187">
        <w:rPr>
          <w:b/>
        </w:rPr>
        <w:t>nikoliv absolutní</w:t>
      </w:r>
      <w:r w:rsidRPr="00A00187">
        <w:t>. Soudy tedy porovnáváme mezi sebou</w:t>
      </w:r>
      <w:r w:rsidR="00CD48EB" w:rsidRPr="00A00187">
        <w:t>,</w:t>
      </w:r>
      <w:r w:rsidRPr="00A00187">
        <w:t xml:space="preserve"> nikoliv s nějakým externím standardem. Hlavní výsledky uvádíme v tabulce 31.</w:t>
      </w:r>
    </w:p>
    <w:p w14:paraId="50DB55C8" w14:textId="77777777" w:rsidR="0034011B" w:rsidRPr="00A00187" w:rsidRDefault="0034011B" w:rsidP="0034011B">
      <w:pPr>
        <w:pStyle w:val="OdstavecASR"/>
      </w:pPr>
      <w:r w:rsidRPr="00A00187">
        <w:t>První tři sloupce udávají efektivnost. První sloupec (CRS_TE) udává celkovou technickou efektivnost (ta má dvě složky, „čistou technickou efektivnost“ a „efektivnost vzhledem k velikosti“).</w:t>
      </w:r>
    </w:p>
    <w:p w14:paraId="0976B7FF" w14:textId="77777777" w:rsidR="0034011B" w:rsidRPr="00A00187" w:rsidRDefault="0034011B" w:rsidP="0034011B">
      <w:pPr>
        <w:pStyle w:val="OdstavecASR"/>
      </w:pPr>
      <w:r w:rsidRPr="00A00187">
        <w:t>Druhý sloupec (VRS_TE) udává tzv. „čistou“ technickou efektivnost (jak dobře soud funguje, nezohledňuje se jeho velikost). Získaná míra neefektivnosti je tedy způsobena pouze horším fungováním soudu.</w:t>
      </w:r>
    </w:p>
    <w:p w14:paraId="2A7D590D" w14:textId="77777777" w:rsidR="0034011B" w:rsidRPr="00A00187" w:rsidRDefault="0034011B" w:rsidP="0034011B">
      <w:pPr>
        <w:pStyle w:val="OdstavecASR"/>
      </w:pPr>
      <w:r w:rsidRPr="00A00187">
        <w:t>Třetí sloupec (</w:t>
      </w:r>
      <w:proofErr w:type="spellStart"/>
      <w:r w:rsidRPr="00A00187">
        <w:t>Scale</w:t>
      </w:r>
      <w:proofErr w:type="spellEnd"/>
      <w:r w:rsidRPr="00A00187">
        <w:t>) udává míru efektivnosti danou velikostí soudu. Je vypočítán jako podíl CRS_TE/VRS_TE.</w:t>
      </w:r>
    </w:p>
    <w:p w14:paraId="25CE1008" w14:textId="77777777" w:rsidR="0034011B" w:rsidRPr="00A00187" w:rsidRDefault="0034011B" w:rsidP="0034011B">
      <w:pPr>
        <w:pStyle w:val="OdstavecASR"/>
      </w:pPr>
      <w:r w:rsidRPr="00A00187">
        <w:t>Sloupce mohou nabývat hodnoty od nuly do jedné. Jedna značí stoprocentní efektivnost, např. hodnota 0,09 by značila devítiprocentní efektivnost.</w:t>
      </w:r>
    </w:p>
    <w:p w14:paraId="6D49C13F" w14:textId="77777777" w:rsidR="0034011B" w:rsidRPr="00A00187" w:rsidRDefault="0034011B" w:rsidP="0034011B">
      <w:pPr>
        <w:pStyle w:val="OdstavecASR"/>
      </w:pPr>
      <w:r w:rsidRPr="00A00187">
        <w:t>Poslední sloupec udává, jaké výnosy z rozsahu soud vykazuje (respektive jaká je jeho efektivní projekce). Může se jednat o rostoucí výnosy z rozsahu (IRS), konstantní výnosy z rozsahu (CRS – v tom případě je jeho velikost ideální) nebo klesající výnosy z rozsahu (DRS).</w:t>
      </w:r>
    </w:p>
    <w:p w14:paraId="5E3BFF0C" w14:textId="1332D063" w:rsidR="00401C2F" w:rsidRPr="00A00187" w:rsidRDefault="001E4577" w:rsidP="001E4577">
      <w:pPr>
        <w:pStyle w:val="OdstavecASR"/>
      </w:pPr>
      <w:r w:rsidRPr="00A00187">
        <w:t xml:space="preserve">Pro lepší pochopení uvádíme příklady interpretace: OS v Klatovech má skóre: CRS_TE = 0,881 VRS_TE = 0,887, </w:t>
      </w:r>
      <w:proofErr w:type="spellStart"/>
      <w:r w:rsidRPr="00A00187">
        <w:t>Scale</w:t>
      </w:r>
      <w:proofErr w:type="spellEnd"/>
      <w:r w:rsidRPr="00A00187">
        <w:t xml:space="preserve"> = 0,993, RTS = DRS. Soud je tedy efektivní asi na </w:t>
      </w:r>
      <w:r w:rsidR="00401C2F" w:rsidRPr="00A00187">
        <w:t>88</w:t>
      </w:r>
      <w:r w:rsidRPr="00A00187">
        <w:t>,</w:t>
      </w:r>
      <w:r w:rsidR="00401C2F" w:rsidRPr="00A00187">
        <w:t>1</w:t>
      </w:r>
      <w:r w:rsidR="00CB570A">
        <w:t> %</w:t>
      </w:r>
      <w:r w:rsidRPr="00A00187">
        <w:t xml:space="preserve">. Soud sám o sobě funguje efektivně na </w:t>
      </w:r>
      <w:r w:rsidR="00401C2F" w:rsidRPr="00A00187">
        <w:t>88,</w:t>
      </w:r>
      <w:r w:rsidRPr="00A00187">
        <w:t>7</w:t>
      </w:r>
      <w:r w:rsidR="00CB570A">
        <w:t> %</w:t>
      </w:r>
      <w:r w:rsidRPr="00A00187">
        <w:t>. Jeho neefektivnost je částečně způsobena ne zcela vhodnou velikostí – soud je díky ní efektivní jen na 99,</w:t>
      </w:r>
      <w:r w:rsidR="00401C2F" w:rsidRPr="00A00187">
        <w:t>3</w:t>
      </w:r>
      <w:r w:rsidR="00CB570A">
        <w:t> %</w:t>
      </w:r>
      <w:r w:rsidRPr="00A00187">
        <w:t xml:space="preserve">. </w:t>
      </w:r>
      <w:r w:rsidR="00401C2F" w:rsidRPr="00A00187">
        <w:t>I</w:t>
      </w:r>
      <w:r w:rsidRPr="00A00187">
        <w:t>RS značí, že soud vykazuje rostoucí výnosy z rozsahu. Ideálně by tedy měl soud být o něco větší, než ve skutečnosti je.</w:t>
      </w:r>
    </w:p>
    <w:p w14:paraId="17A6F591" w14:textId="77777777" w:rsidR="00401C2F" w:rsidRPr="00A00187" w:rsidRDefault="00401C2F">
      <w:pPr>
        <w:spacing w:after="160" w:line="259" w:lineRule="auto"/>
        <w:jc w:val="left"/>
      </w:pPr>
      <w:r w:rsidRPr="00A00187">
        <w:br w:type="page"/>
      </w:r>
    </w:p>
    <w:p w14:paraId="7B276BB4" w14:textId="0ED43DEA" w:rsidR="00401C2F" w:rsidRPr="00A00187" w:rsidRDefault="00401C2F" w:rsidP="00401C2F">
      <w:pPr>
        <w:pStyle w:val="OdstavecASR"/>
      </w:pPr>
      <w:r w:rsidRPr="00A00187">
        <w:lastRenderedPageBreak/>
        <w:t xml:space="preserve">Tabulka ukazuje, že v ČR je celkem 8 čistě technicky efektivních soudů. Jeden </w:t>
      </w:r>
      <w:r w:rsidR="00726EC3" w:rsidRPr="00A00187">
        <w:t>z</w:t>
      </w:r>
      <w:r w:rsidR="00726EC3">
        <w:t> </w:t>
      </w:r>
      <w:r w:rsidRPr="00A00187">
        <w:t xml:space="preserve">těchto soudů ztrácí efektivnost kvůli nevhodné velikosti. V roce 2020 to bylo 29 čistě technicky efektivních soudů </w:t>
      </w:r>
      <w:r w:rsidR="00726EC3" w:rsidRPr="00A00187">
        <w:t>a</w:t>
      </w:r>
      <w:r w:rsidR="00726EC3">
        <w:t> </w:t>
      </w:r>
      <w:r w:rsidRPr="00A00187">
        <w:t>v roce 2019 to bylo 25 čistě technicky efektivních soudů.</w:t>
      </w:r>
    </w:p>
    <w:p w14:paraId="325BC2CA" w14:textId="00FE4710" w:rsidR="00401C2F" w:rsidRPr="00A00187" w:rsidRDefault="00401C2F" w:rsidP="00401C2F">
      <w:pPr>
        <w:pStyle w:val="OdstavecASR"/>
      </w:pPr>
      <w:r w:rsidRPr="00A00187">
        <w:t xml:space="preserve">Naopak nejméně efektivní jsou OS </w:t>
      </w:r>
      <w:r w:rsidR="00EC3B1E" w:rsidRPr="00A00187">
        <w:t>Břeclav</w:t>
      </w:r>
      <w:r w:rsidRPr="00A00187">
        <w:t xml:space="preserve"> (CRS_TE = 0,7</w:t>
      </w:r>
      <w:r w:rsidR="00EC3B1E" w:rsidRPr="00A00187">
        <w:t>08</w:t>
      </w:r>
      <w:r w:rsidRPr="00A00187">
        <w:t>), OS Jičín (CRS_TE = 0,</w:t>
      </w:r>
      <w:r w:rsidR="00EC3B1E" w:rsidRPr="00A00187">
        <w:t>743</w:t>
      </w:r>
      <w:r w:rsidRPr="00A00187">
        <w:t xml:space="preserve">) a OS </w:t>
      </w:r>
      <w:r w:rsidR="00EC3B1E" w:rsidRPr="00A00187">
        <w:t>Bruntál</w:t>
      </w:r>
      <w:r w:rsidRPr="00A00187">
        <w:t xml:space="preserve"> (CRS_TE = 0,</w:t>
      </w:r>
      <w:r w:rsidR="00EC3B1E" w:rsidRPr="00A00187">
        <w:t>776</w:t>
      </w:r>
      <w:r w:rsidRPr="00A00187">
        <w:t>). Výrazně větší ztráta v efektivnosti plyne z horší čisté technické efektivnosti (VRS_TE) než ze ztráty efektivnosti kvůli velikosti soudu (</w:t>
      </w:r>
      <w:proofErr w:type="spellStart"/>
      <w:r w:rsidRPr="00A00187">
        <w:t>Scale</w:t>
      </w:r>
      <w:proofErr w:type="spellEnd"/>
      <w:r w:rsidRPr="00A00187">
        <w:t>).</w:t>
      </w:r>
    </w:p>
    <w:p w14:paraId="054C9687" w14:textId="5E0B1467" w:rsidR="00401C2F" w:rsidRPr="00A00187" w:rsidRDefault="00401C2F" w:rsidP="00401C2F">
      <w:pPr>
        <w:pStyle w:val="OdstavecASR"/>
      </w:pPr>
      <w:r w:rsidRPr="00A00187">
        <w:t xml:space="preserve">Zde je na místě zmínit, že efektivita soudů je někdy ovlivněna faktory mimo kontrolu soudů. Například OS v Bruntále má pobočku v Krnově a je tak pravdou, že efektivita není tak dobrá, jak by jinak odpovídalo </w:t>
      </w:r>
      <w:r w:rsidR="00EC299B" w:rsidRPr="00A00187">
        <w:t>dosahovaným</w:t>
      </w:r>
      <w:r w:rsidRPr="00A00187">
        <w:t xml:space="preserve"> výsledkům a celkové délce soudního řízení, kd</w:t>
      </w:r>
      <w:r w:rsidR="00EC299B" w:rsidRPr="00A00187">
        <w:t>e</w:t>
      </w:r>
      <w:r w:rsidRPr="00A00187">
        <w:t xml:space="preserve"> patří v ČR do průměru. Určitá neefektivita OS s pobočkou je vykompenzována spokojeností účastníků řízení, kteří se nemusí dopravovat do pro ně vzdáleného města.</w:t>
      </w:r>
    </w:p>
    <w:p w14:paraId="72EB60E3" w14:textId="43032F63" w:rsidR="00EC3B1E" w:rsidRPr="00A00187" w:rsidRDefault="00EC3B1E" w:rsidP="00EC3B1E">
      <w:pPr>
        <w:pStyle w:val="OdstavecASR"/>
      </w:pPr>
      <w:r w:rsidRPr="00A00187">
        <w:t>Celková efektivnost soudů v ČR je 87,1</w:t>
      </w:r>
      <w:r w:rsidR="00CB570A">
        <w:t> %</w:t>
      </w:r>
      <w:r w:rsidRPr="00A00187">
        <w:t>, čistá technická efektivnost je 92,5</w:t>
      </w:r>
      <w:r w:rsidR="00CB570A">
        <w:t> %</w:t>
      </w:r>
      <w:r w:rsidRPr="00A00187">
        <w:t>, efektivnost dle velikosti je 94,3</w:t>
      </w:r>
      <w:r w:rsidR="00CB570A">
        <w:t> %</w:t>
      </w:r>
      <w:r w:rsidRPr="00A00187">
        <w:t>. Soudy v ČR tedy velmi málo ztrácí efektivnost kvůli velikosti. Kvůli velikosti takto ztrácí efektivnost hlavně soudy v Ostravě a v Brně (které jsou příliš velké) a soudy v Semilech či Rokycanech (které jsou naopak příliš malé).</w:t>
      </w:r>
    </w:p>
    <w:p w14:paraId="4AF0D229" w14:textId="77777777" w:rsidR="00EC3B1E" w:rsidRPr="00A00187" w:rsidRDefault="00EC3B1E" w:rsidP="00EC3B1E">
      <w:pPr>
        <w:pStyle w:val="OdstavecASR"/>
      </w:pPr>
      <w:r w:rsidRPr="00A00187">
        <w:t>V této zprávě je zachycena pouze část výsledků analýzy. Dalšími výstupy DEA jsou:</w:t>
      </w:r>
    </w:p>
    <w:p w14:paraId="13BB45BD" w14:textId="77777777" w:rsidR="00EC3B1E" w:rsidRPr="00A00187" w:rsidRDefault="00EC3B1E" w:rsidP="00EC3B1E">
      <w:pPr>
        <w:pStyle w:val="OdstavecASR"/>
        <w:numPr>
          <w:ilvl w:val="0"/>
          <w:numId w:val="7"/>
        </w:numPr>
      </w:pPr>
      <w:r w:rsidRPr="00A00187">
        <w:t>Přídatné proměnné. Ty ukazují, o kolik je třeba u daného soudu snížit daný vstup (počet soudců nebo ostatních zaměstnanců ve výkonu) a zároveň zachovat vážený počet vyřízených věcí, aby se stal soud efektivním.</w:t>
      </w:r>
    </w:p>
    <w:p w14:paraId="126F2B25" w14:textId="2062676D" w:rsidR="00EC3B1E" w:rsidRPr="00A00187" w:rsidRDefault="00EC3B1E" w:rsidP="00EC3B1E">
      <w:pPr>
        <w:pStyle w:val="OdstavecASR"/>
        <w:numPr>
          <w:ilvl w:val="0"/>
          <w:numId w:val="7"/>
        </w:numPr>
      </w:pPr>
      <w:r w:rsidRPr="00A00187">
        <w:t>Referenční soudy. Jsou zkoumány plně efektivní soudy. Neefektivní soud je vždy porovnáván s jedním nebo více efektivními soudy, a právě vzhledem k nim je určena jeho neefektivnost. U soudů, které vystupují jako referenční soudy zřídka, není závěr o jejich efektivnosti statisticky robustní.</w:t>
      </w:r>
    </w:p>
    <w:p w14:paraId="4DD6E8DB" w14:textId="77777777" w:rsidR="00EC3B1E" w:rsidRPr="00A00187" w:rsidRDefault="00EC3B1E" w:rsidP="00EC3B1E">
      <w:pPr>
        <w:pStyle w:val="OdstavecASR"/>
        <w:numPr>
          <w:ilvl w:val="0"/>
          <w:numId w:val="7"/>
        </w:numPr>
      </w:pPr>
      <w:r w:rsidRPr="00A00187">
        <w:t>Je zkoumáno, zda existuje vztah mezi velikostí soudu a efektivností soudu.</w:t>
      </w:r>
    </w:p>
    <w:p w14:paraId="48AFFF29" w14:textId="77777777" w:rsidR="00EC3B1E" w:rsidRPr="00A00187" w:rsidRDefault="00EC3B1E" w:rsidP="00EC3B1E">
      <w:pPr>
        <w:pStyle w:val="OdstavecASR"/>
        <w:numPr>
          <w:ilvl w:val="0"/>
          <w:numId w:val="7"/>
        </w:numPr>
      </w:pPr>
      <w:r w:rsidRPr="00A00187">
        <w:t>Jsou využity jiné specifikace modelu, zapojeny jiné proměnné apod.</w:t>
      </w:r>
    </w:p>
    <w:p w14:paraId="4AF9F6A6" w14:textId="39B2023F" w:rsidR="00EC3B1E" w:rsidRPr="00A00187" w:rsidRDefault="00EC3B1E" w:rsidP="00EC3B1E">
      <w:pPr>
        <w:pStyle w:val="Nadpis3"/>
        <w:numPr>
          <w:ilvl w:val="2"/>
          <w:numId w:val="1"/>
        </w:numPr>
        <w:rPr>
          <w:color w:val="auto"/>
        </w:rPr>
      </w:pPr>
      <w:bookmarkStart w:id="527" w:name="_Toc75952080"/>
      <w:bookmarkStart w:id="528" w:name="_Toc106092745"/>
      <w:bookmarkStart w:id="529" w:name="_Toc109801357"/>
      <w:r w:rsidRPr="00A00187">
        <w:rPr>
          <w:color w:val="auto"/>
        </w:rPr>
        <w:t>Srovnání s</w:t>
      </w:r>
      <w:r w:rsidR="00C04DF8" w:rsidRPr="00A00187">
        <w:rPr>
          <w:color w:val="auto"/>
        </w:rPr>
        <w:t> </w:t>
      </w:r>
      <w:bookmarkEnd w:id="527"/>
      <w:bookmarkEnd w:id="528"/>
      <w:r w:rsidR="00C04DF8" w:rsidRPr="00A00187">
        <w:rPr>
          <w:color w:val="auto"/>
        </w:rPr>
        <w:t>minulými roky</w:t>
      </w:r>
      <w:bookmarkEnd w:id="529"/>
    </w:p>
    <w:p w14:paraId="72781B83" w14:textId="00CE3468" w:rsidR="00EC3B1E" w:rsidRPr="00A00187" w:rsidRDefault="00EC3B1E" w:rsidP="00EC3B1E">
      <w:pPr>
        <w:pStyle w:val="OdstavecASR"/>
      </w:pPr>
      <w:r w:rsidRPr="00A00187">
        <w:t xml:space="preserve">Nabízí se otázka, jak se mění efektivnost </w:t>
      </w:r>
      <w:r w:rsidR="00EC299B" w:rsidRPr="00A00187">
        <w:t xml:space="preserve">jednotlivých </w:t>
      </w:r>
      <w:r w:rsidRPr="00A00187">
        <w:t>soudů mezi lety</w:t>
      </w:r>
      <w:r w:rsidR="00EC299B" w:rsidRPr="00A00187">
        <w:t>,</w:t>
      </w:r>
      <w:r w:rsidRPr="00A00187">
        <w:t xml:space="preserve"> </w:t>
      </w:r>
      <w:r w:rsidR="00EC299B" w:rsidRPr="00A00187">
        <w:t>t</w:t>
      </w:r>
      <w:r w:rsidRPr="00A00187">
        <w:t>edy zda jsou některé soudy konzistentně efektivní a jiné stále neefektivní, a zda se mění celková efektivnost soudů v ČR.</w:t>
      </w:r>
    </w:p>
    <w:p w14:paraId="04C46F4C" w14:textId="07A98638" w:rsidR="00EC3B1E" w:rsidRPr="00A00187" w:rsidRDefault="00EC3B1E" w:rsidP="00EC3B1E">
      <w:pPr>
        <w:pStyle w:val="OdstavecASR"/>
      </w:pPr>
      <w:r w:rsidRPr="00A00187">
        <w:t>Na druhou otázku lze odpovědět velmi rychle. V roce 2021 byla celková efektivnost soudů v ČR 87,1</w:t>
      </w:r>
      <w:r w:rsidR="00CB570A">
        <w:t> %</w:t>
      </w:r>
      <w:r w:rsidRPr="00A00187">
        <w:t>, čistá technická efektivnost 92,5</w:t>
      </w:r>
      <w:r w:rsidR="00CB570A">
        <w:t> %</w:t>
      </w:r>
      <w:r w:rsidRPr="00A00187">
        <w:t> a efektivnost dle velikosti 94,3</w:t>
      </w:r>
      <w:r w:rsidR="00CB570A">
        <w:t> %</w:t>
      </w:r>
      <w:r w:rsidRPr="00A00187">
        <w:t>. Za rok 2020 byly tyto hodnoty 92,9</w:t>
      </w:r>
      <w:r w:rsidR="00CB570A">
        <w:t> %</w:t>
      </w:r>
      <w:r w:rsidRPr="00A00187">
        <w:t>, 95,7</w:t>
      </w:r>
      <w:r w:rsidR="00CB570A">
        <w:t> %</w:t>
      </w:r>
      <w:r w:rsidRPr="00A00187">
        <w:t> a 98,3</w:t>
      </w:r>
      <w:r w:rsidR="00CB570A">
        <w:t> %</w:t>
      </w:r>
      <w:r w:rsidRPr="00A00187">
        <w:t>. V roce 2020 bylo technicky efektivních 29 soudů, v roce 2021 jich bylo 8.</w:t>
      </w:r>
    </w:p>
    <w:p w14:paraId="110D1FF3" w14:textId="646CA6DA" w:rsidR="00EC299B" w:rsidRPr="00A00187" w:rsidRDefault="00EC3B1E" w:rsidP="00EC3B1E">
      <w:pPr>
        <w:pStyle w:val="OdstavecASR"/>
      </w:pPr>
      <w:r w:rsidRPr="00A00187">
        <w:t>Vidíme tedy, že došlo k</w:t>
      </w:r>
      <w:r w:rsidR="00EC299B" w:rsidRPr="00A00187">
        <w:t> </w:t>
      </w:r>
      <w:r w:rsidRPr="00A00187">
        <w:t>určitému poklesu jak v technické efektivnosti, tak v efektivnosti dle velikosti.</w:t>
      </w:r>
    </w:p>
    <w:p w14:paraId="0119E759" w14:textId="71D0A4CD" w:rsidR="00EC3B1E" w:rsidRPr="00A00187" w:rsidRDefault="00EC3B1E" w:rsidP="00EC3B1E">
      <w:pPr>
        <w:pStyle w:val="OdstavecASR"/>
      </w:pPr>
      <w:r w:rsidRPr="00A00187">
        <w:t xml:space="preserve">Předchozí kapitoly nicméně ukazují, že se situace v soudnictví spíše pomalu lepší. To </w:t>
      </w:r>
      <w:r w:rsidR="00EC299B" w:rsidRPr="00A00187">
        <w:t>vidíme</w:t>
      </w:r>
      <w:r w:rsidRPr="00A00187">
        <w:t xml:space="preserve"> především na poklesu v počtu nedodělků. </w:t>
      </w:r>
      <w:r w:rsidR="00EC299B" w:rsidRPr="00A00187">
        <w:t xml:space="preserve">Závěrem </w:t>
      </w:r>
      <w:r w:rsidRPr="00A00187">
        <w:t xml:space="preserve">tedy </w:t>
      </w:r>
      <w:r w:rsidR="00EC299B" w:rsidRPr="00A00187">
        <w:t xml:space="preserve">je, že k poklesu </w:t>
      </w:r>
      <w:r w:rsidRPr="00A00187">
        <w:t xml:space="preserve">došlo v relativní efektivitě (mohly </w:t>
      </w:r>
      <w:r w:rsidR="00EC299B" w:rsidRPr="00A00187">
        <w:t xml:space="preserve">se tedy </w:t>
      </w:r>
      <w:r w:rsidRPr="00A00187">
        <w:t>zvětšit rozdíl</w:t>
      </w:r>
      <w:r w:rsidR="006B03E2" w:rsidRPr="00A00187">
        <w:t>y</w:t>
      </w:r>
      <w:r w:rsidRPr="00A00187">
        <w:t xml:space="preserve"> mezi soudy) </w:t>
      </w:r>
      <w:r w:rsidR="00EC299B" w:rsidRPr="00A00187">
        <w:t>spíše</w:t>
      </w:r>
      <w:r w:rsidRPr="00A00187">
        <w:t xml:space="preserve"> než v efektivitě absolutní</w:t>
      </w:r>
      <w:r w:rsidR="00F5336C" w:rsidRPr="00A00187">
        <w:t>.</w:t>
      </w:r>
    </w:p>
    <w:p w14:paraId="4034971D" w14:textId="50970541" w:rsidR="00EC3B1E" w:rsidRPr="00A00187" w:rsidRDefault="00EC299B" w:rsidP="00EC3B1E">
      <w:pPr>
        <w:pStyle w:val="OdstavecASR"/>
      </w:pPr>
      <w:r w:rsidRPr="00A00187">
        <w:t>Detailní a</w:t>
      </w:r>
      <w:r w:rsidR="00EC3B1E" w:rsidRPr="00A00187">
        <w:t xml:space="preserve">nalýza této problematiky přesahuje účel </w:t>
      </w:r>
      <w:r w:rsidR="00726EC3" w:rsidRPr="00A00187">
        <w:t>a</w:t>
      </w:r>
      <w:r w:rsidR="00726EC3">
        <w:t> </w:t>
      </w:r>
      <w:r w:rsidR="00EC3B1E" w:rsidRPr="00A00187">
        <w:t>rozsah této zprávy</w:t>
      </w:r>
      <w:r w:rsidRPr="00A00187">
        <w:t xml:space="preserve">, ale nabízejí </w:t>
      </w:r>
      <w:r w:rsidR="00EC3B1E" w:rsidRPr="00A00187">
        <w:t>se dva důvody, proč by tomu tak mohlo být.</w:t>
      </w:r>
    </w:p>
    <w:p w14:paraId="26827EC1" w14:textId="7A659A25" w:rsidR="00EC3B1E" w:rsidRPr="00A00187" w:rsidRDefault="00EC3B1E" w:rsidP="00EC3B1E">
      <w:pPr>
        <w:pStyle w:val="OdstavecASR"/>
        <w:numPr>
          <w:ilvl w:val="0"/>
          <w:numId w:val="32"/>
        </w:numPr>
      </w:pPr>
      <w:r w:rsidRPr="00A00187">
        <w:lastRenderedPageBreak/>
        <w:t xml:space="preserve">Pandemie COVID-19. Z předchozích kapitol je </w:t>
      </w:r>
      <w:r w:rsidR="00EC299B" w:rsidRPr="00A00187">
        <w:t>patrné</w:t>
      </w:r>
      <w:r w:rsidRPr="00A00187">
        <w:t xml:space="preserve">, že soudy si </w:t>
      </w:r>
      <w:r w:rsidR="00726EC3" w:rsidRPr="00A00187">
        <w:t>v</w:t>
      </w:r>
      <w:r w:rsidR="00726EC3">
        <w:t> </w:t>
      </w:r>
      <w:r w:rsidRPr="00A00187">
        <w:t>průměru v roce 2021 vedly navzdory pandemi</w:t>
      </w:r>
      <w:r w:rsidR="00EC299B" w:rsidRPr="00A00187">
        <w:t>i</w:t>
      </w:r>
      <w:r w:rsidRPr="00A00187">
        <w:t xml:space="preserve"> </w:t>
      </w:r>
      <w:r w:rsidR="00EC299B" w:rsidRPr="00A00187">
        <w:t>obecně</w:t>
      </w:r>
      <w:r w:rsidRPr="00A00187">
        <w:t xml:space="preserve"> dobře</w:t>
      </w:r>
      <w:r w:rsidR="00EC299B" w:rsidRPr="00A00187">
        <w:t xml:space="preserve">; nemusí to ale platit </w:t>
      </w:r>
      <w:r w:rsidRPr="00A00187">
        <w:t>pro všechny soudy bez výjimky.</w:t>
      </w:r>
    </w:p>
    <w:p w14:paraId="0B828F25" w14:textId="2E312B0F" w:rsidR="00EC3B1E" w:rsidRPr="00A00187" w:rsidRDefault="00EC3B1E" w:rsidP="00EC3B1E">
      <w:pPr>
        <w:pStyle w:val="OdstavecASR"/>
        <w:numPr>
          <w:ilvl w:val="0"/>
          <w:numId w:val="32"/>
        </w:numPr>
      </w:pPr>
      <w:r w:rsidRPr="00A00187">
        <w:t>DEA může mít tendenci „zvýhodňovat“ soudy s </w:t>
      </w:r>
      <w:r w:rsidR="00861CD0" w:rsidRPr="00A00187">
        <w:t xml:space="preserve">vyšší </w:t>
      </w:r>
      <w:r w:rsidRPr="00A00187">
        <w:t xml:space="preserve">případovou zátěží. Soudy s malou případovou zátěží (jako příklad uveďme většinu soudů v Jihočeském či Středočeském kraji) z logiky věci nemohou vyprodukovat tak velký výstup jako soudy s velkou případovou zátěží. To se pak promítne do skóre efektivnosti, </w:t>
      </w:r>
      <w:r w:rsidR="00EC299B" w:rsidRPr="00A00187">
        <w:t>které</w:t>
      </w:r>
      <w:r w:rsidRPr="00A00187">
        <w:t xml:space="preserve"> může </w:t>
      </w:r>
      <w:r w:rsidR="00726EC3" w:rsidRPr="00A00187">
        <w:t>u</w:t>
      </w:r>
      <w:r w:rsidR="00726EC3">
        <w:t> </w:t>
      </w:r>
      <w:r w:rsidRPr="00A00187">
        <w:t>soudů s </w:t>
      </w:r>
      <w:r w:rsidR="007474D8" w:rsidRPr="00A00187">
        <w:t xml:space="preserve">nižší </w:t>
      </w:r>
      <w:r w:rsidRPr="00A00187">
        <w:t xml:space="preserve">případovou zátěží vyjít </w:t>
      </w:r>
      <w:r w:rsidR="007474D8" w:rsidRPr="00A00187">
        <w:t>nižší</w:t>
      </w:r>
      <w:r w:rsidRPr="00A00187">
        <w:t xml:space="preserve">. Vzhledem ke klesajícímu nápadu </w:t>
      </w:r>
      <w:r w:rsidR="00726EC3" w:rsidRPr="00A00187">
        <w:t>a</w:t>
      </w:r>
      <w:r w:rsidR="00726EC3">
        <w:t> </w:t>
      </w:r>
      <w:r w:rsidRPr="00A00187">
        <w:t xml:space="preserve">počtu nevyřízených věcí se </w:t>
      </w:r>
      <w:r w:rsidR="00EC299B" w:rsidRPr="00A00187">
        <w:t xml:space="preserve">tato tendence </w:t>
      </w:r>
      <w:r w:rsidRPr="00A00187">
        <w:t>může ve výsledcích projevit</w:t>
      </w:r>
      <w:r w:rsidR="00EC299B" w:rsidRPr="00A00187">
        <w:t xml:space="preserve"> výrazněji</w:t>
      </w:r>
      <w:r w:rsidRPr="00A00187">
        <w:t xml:space="preserve">. Tuto hypotézu potvrzuje fakt, že </w:t>
      </w:r>
      <w:r w:rsidR="00EC299B" w:rsidRPr="00A00187">
        <w:t xml:space="preserve">skutečně </w:t>
      </w:r>
      <w:r w:rsidRPr="00A00187">
        <w:t xml:space="preserve">existuje kladná korelace mezi případovou zátěží na soudce </w:t>
      </w:r>
      <w:r w:rsidR="00726EC3" w:rsidRPr="00A00187">
        <w:t>a</w:t>
      </w:r>
      <w:r w:rsidR="00726EC3">
        <w:t> </w:t>
      </w:r>
      <w:r w:rsidRPr="00A00187">
        <w:t>skóre efektivnosti.</w:t>
      </w:r>
    </w:p>
    <w:p w14:paraId="058BAD36" w14:textId="77777777" w:rsidR="00EC3B1E" w:rsidRPr="00A00187" w:rsidRDefault="00EC3B1E">
      <w:pPr>
        <w:spacing w:after="160" w:line="259" w:lineRule="auto"/>
        <w:jc w:val="left"/>
      </w:pPr>
      <w:r w:rsidRPr="00A00187">
        <w:br w:type="page"/>
      </w:r>
    </w:p>
    <w:p w14:paraId="16ADA12A" w14:textId="3358A77A" w:rsidR="00EC3B1E" w:rsidRPr="00A00187" w:rsidRDefault="00EC3B1E" w:rsidP="00EC3B1E">
      <w:pPr>
        <w:pStyle w:val="Podnadpis"/>
        <w:rPr>
          <w:color w:val="auto"/>
        </w:rPr>
      </w:pPr>
      <w:bookmarkStart w:id="530" w:name="_Toc43931205"/>
      <w:bookmarkStart w:id="531" w:name="_Toc75952338"/>
      <w:bookmarkStart w:id="532" w:name="_Toc106106796"/>
      <w:bookmarkStart w:id="533" w:name="_Toc109802119"/>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34</w:t>
      </w:r>
      <w:r w:rsidRPr="00A00187">
        <w:rPr>
          <w:color w:val="auto"/>
        </w:rPr>
        <w:fldChar w:fldCharType="end"/>
      </w:r>
      <w:r w:rsidRPr="00A00187">
        <w:rPr>
          <w:color w:val="auto"/>
        </w:rPr>
        <w:t>: OS</w:t>
      </w:r>
      <w:r w:rsidR="00F24FA7" w:rsidRPr="00A00187">
        <w:rPr>
          <w:color w:val="auto"/>
        </w:rPr>
        <w:t xml:space="preserve"> –</w:t>
      </w:r>
      <w:r w:rsidRPr="00A00187">
        <w:rPr>
          <w:color w:val="auto"/>
        </w:rPr>
        <w:t xml:space="preserve"> DE</w:t>
      </w:r>
      <w:r w:rsidR="00F24FA7" w:rsidRPr="00A00187">
        <w:rPr>
          <w:color w:val="auto"/>
        </w:rPr>
        <w:t>A,</w:t>
      </w:r>
      <w:r w:rsidRPr="00A00187">
        <w:rPr>
          <w:color w:val="auto"/>
        </w:rPr>
        <w:t xml:space="preserve"> výsledky</w:t>
      </w:r>
      <w:bookmarkEnd w:id="530"/>
      <w:bookmarkEnd w:id="531"/>
      <w:bookmarkEnd w:id="532"/>
      <w:bookmarkEnd w:id="533"/>
    </w:p>
    <w:tbl>
      <w:tblPr>
        <w:tblW w:w="6640" w:type="dxa"/>
        <w:tblCellMar>
          <w:left w:w="70" w:type="dxa"/>
          <w:right w:w="70" w:type="dxa"/>
        </w:tblCellMar>
        <w:tblLook w:val="04A0" w:firstRow="1" w:lastRow="0" w:firstColumn="1" w:lastColumn="0" w:noHBand="0" w:noVBand="1"/>
      </w:tblPr>
      <w:tblGrid>
        <w:gridCol w:w="2320"/>
        <w:gridCol w:w="1080"/>
        <w:gridCol w:w="1080"/>
        <w:gridCol w:w="1080"/>
        <w:gridCol w:w="1080"/>
      </w:tblGrid>
      <w:tr w:rsidR="00AC1E67" w:rsidRPr="00A00187" w14:paraId="655455FE" w14:textId="77777777" w:rsidTr="00B72E56">
        <w:trPr>
          <w:trHeight w:val="284"/>
        </w:trPr>
        <w:tc>
          <w:tcPr>
            <w:tcW w:w="2320" w:type="dxa"/>
            <w:tcBorders>
              <w:top w:val="double" w:sz="6" w:space="0" w:color="auto"/>
              <w:left w:val="nil"/>
              <w:bottom w:val="double" w:sz="6" w:space="0" w:color="auto"/>
              <w:right w:val="nil"/>
            </w:tcBorders>
            <w:shd w:val="clear" w:color="auto" w:fill="auto"/>
            <w:noWrap/>
            <w:vAlign w:val="center"/>
            <w:hideMark/>
          </w:tcPr>
          <w:p w14:paraId="434FE4C0" w14:textId="77777777" w:rsidR="00EC3B1E" w:rsidRPr="00A00187" w:rsidRDefault="00EC3B1E" w:rsidP="00EC3B1E">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1080" w:type="dxa"/>
            <w:tcBorders>
              <w:top w:val="double" w:sz="6" w:space="0" w:color="auto"/>
              <w:left w:val="nil"/>
              <w:bottom w:val="double" w:sz="6" w:space="0" w:color="auto"/>
              <w:right w:val="nil"/>
            </w:tcBorders>
            <w:shd w:val="clear" w:color="auto" w:fill="auto"/>
            <w:noWrap/>
            <w:vAlign w:val="center"/>
            <w:hideMark/>
          </w:tcPr>
          <w:p w14:paraId="6B0776A9" w14:textId="77777777" w:rsidR="00EC3B1E" w:rsidRPr="00A00187" w:rsidRDefault="00EC3B1E" w:rsidP="00EC3B1E">
            <w:pPr>
              <w:spacing w:line="240" w:lineRule="auto"/>
              <w:jc w:val="center"/>
              <w:rPr>
                <w:rFonts w:eastAsia="Times New Roman"/>
                <w:b/>
                <w:bCs/>
                <w:szCs w:val="24"/>
                <w:lang w:eastAsia="cs-CZ"/>
              </w:rPr>
            </w:pPr>
            <w:r w:rsidRPr="00A00187">
              <w:rPr>
                <w:rFonts w:eastAsia="Times New Roman"/>
                <w:b/>
                <w:bCs/>
                <w:szCs w:val="24"/>
                <w:lang w:eastAsia="cs-CZ"/>
              </w:rPr>
              <w:t>CRS_TE</w:t>
            </w:r>
          </w:p>
        </w:tc>
        <w:tc>
          <w:tcPr>
            <w:tcW w:w="1080" w:type="dxa"/>
            <w:tcBorders>
              <w:top w:val="double" w:sz="6" w:space="0" w:color="auto"/>
              <w:left w:val="nil"/>
              <w:bottom w:val="double" w:sz="6" w:space="0" w:color="auto"/>
              <w:right w:val="nil"/>
            </w:tcBorders>
            <w:shd w:val="clear" w:color="auto" w:fill="auto"/>
            <w:noWrap/>
            <w:vAlign w:val="center"/>
            <w:hideMark/>
          </w:tcPr>
          <w:p w14:paraId="1860143A" w14:textId="77777777" w:rsidR="00EC3B1E" w:rsidRPr="00A00187" w:rsidRDefault="00EC3B1E" w:rsidP="00EC3B1E">
            <w:pPr>
              <w:spacing w:line="240" w:lineRule="auto"/>
              <w:jc w:val="center"/>
              <w:rPr>
                <w:rFonts w:eastAsia="Times New Roman"/>
                <w:b/>
                <w:bCs/>
                <w:szCs w:val="24"/>
                <w:lang w:eastAsia="cs-CZ"/>
              </w:rPr>
            </w:pPr>
            <w:r w:rsidRPr="00A00187">
              <w:rPr>
                <w:rFonts w:eastAsia="Times New Roman"/>
                <w:b/>
                <w:bCs/>
                <w:szCs w:val="24"/>
                <w:lang w:eastAsia="cs-CZ"/>
              </w:rPr>
              <w:t>VRS_TE</w:t>
            </w:r>
          </w:p>
        </w:tc>
        <w:tc>
          <w:tcPr>
            <w:tcW w:w="1080" w:type="dxa"/>
            <w:tcBorders>
              <w:top w:val="double" w:sz="6" w:space="0" w:color="auto"/>
              <w:left w:val="nil"/>
              <w:bottom w:val="double" w:sz="6" w:space="0" w:color="auto"/>
              <w:right w:val="nil"/>
            </w:tcBorders>
            <w:shd w:val="clear" w:color="auto" w:fill="auto"/>
            <w:noWrap/>
            <w:vAlign w:val="center"/>
            <w:hideMark/>
          </w:tcPr>
          <w:p w14:paraId="38F4BF06" w14:textId="77777777" w:rsidR="00EC3B1E" w:rsidRPr="00A00187" w:rsidRDefault="00EC3B1E" w:rsidP="00EC3B1E">
            <w:pPr>
              <w:spacing w:line="240" w:lineRule="auto"/>
              <w:jc w:val="center"/>
              <w:rPr>
                <w:rFonts w:eastAsia="Times New Roman"/>
                <w:b/>
                <w:bCs/>
                <w:szCs w:val="24"/>
                <w:lang w:eastAsia="cs-CZ"/>
              </w:rPr>
            </w:pPr>
            <w:proofErr w:type="spellStart"/>
            <w:r w:rsidRPr="00A00187">
              <w:rPr>
                <w:rFonts w:eastAsia="Times New Roman"/>
                <w:b/>
                <w:bCs/>
                <w:szCs w:val="24"/>
                <w:lang w:eastAsia="cs-CZ"/>
              </w:rPr>
              <w:t>Scale</w:t>
            </w:r>
            <w:proofErr w:type="spellEnd"/>
          </w:p>
        </w:tc>
        <w:tc>
          <w:tcPr>
            <w:tcW w:w="1080" w:type="dxa"/>
            <w:tcBorders>
              <w:top w:val="double" w:sz="6" w:space="0" w:color="auto"/>
              <w:left w:val="nil"/>
              <w:bottom w:val="double" w:sz="6" w:space="0" w:color="auto"/>
              <w:right w:val="nil"/>
            </w:tcBorders>
            <w:shd w:val="clear" w:color="auto" w:fill="auto"/>
            <w:noWrap/>
            <w:vAlign w:val="center"/>
            <w:hideMark/>
          </w:tcPr>
          <w:p w14:paraId="20512DBC" w14:textId="77777777" w:rsidR="00EC3B1E" w:rsidRPr="00A00187" w:rsidRDefault="00EC3B1E" w:rsidP="00EC3B1E">
            <w:pPr>
              <w:spacing w:line="240" w:lineRule="auto"/>
              <w:jc w:val="center"/>
              <w:rPr>
                <w:rFonts w:eastAsia="Times New Roman"/>
                <w:b/>
                <w:bCs/>
                <w:szCs w:val="24"/>
                <w:lang w:eastAsia="cs-CZ"/>
              </w:rPr>
            </w:pPr>
            <w:r w:rsidRPr="00A00187">
              <w:rPr>
                <w:rFonts w:eastAsia="Times New Roman"/>
                <w:b/>
                <w:bCs/>
                <w:szCs w:val="24"/>
                <w:lang w:eastAsia="cs-CZ"/>
              </w:rPr>
              <w:t>RTS</w:t>
            </w:r>
          </w:p>
        </w:tc>
      </w:tr>
      <w:tr w:rsidR="00AC1E67" w:rsidRPr="00A00187" w14:paraId="4AF48006" w14:textId="77777777" w:rsidTr="00B72E56">
        <w:trPr>
          <w:trHeight w:val="295"/>
        </w:trPr>
        <w:tc>
          <w:tcPr>
            <w:tcW w:w="2320" w:type="dxa"/>
            <w:tcBorders>
              <w:top w:val="double" w:sz="6" w:space="0" w:color="auto"/>
              <w:left w:val="nil"/>
              <w:bottom w:val="single" w:sz="4" w:space="0" w:color="auto"/>
              <w:right w:val="nil"/>
            </w:tcBorders>
            <w:shd w:val="clear" w:color="auto" w:fill="auto"/>
            <w:noWrap/>
            <w:vAlign w:val="center"/>
            <w:hideMark/>
          </w:tcPr>
          <w:p w14:paraId="6F73E329"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7</w:t>
            </w:r>
          </w:p>
        </w:tc>
        <w:tc>
          <w:tcPr>
            <w:tcW w:w="1080" w:type="dxa"/>
            <w:tcBorders>
              <w:top w:val="double" w:sz="6" w:space="0" w:color="auto"/>
              <w:left w:val="nil"/>
              <w:bottom w:val="single" w:sz="4" w:space="0" w:color="auto"/>
              <w:right w:val="nil"/>
            </w:tcBorders>
            <w:shd w:val="clear" w:color="auto" w:fill="auto"/>
            <w:noWrap/>
            <w:vAlign w:val="center"/>
            <w:hideMark/>
          </w:tcPr>
          <w:p w14:paraId="4BDE9FB1" w14:textId="3E71DE5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double" w:sz="6" w:space="0" w:color="auto"/>
              <w:left w:val="nil"/>
              <w:bottom w:val="single" w:sz="4" w:space="0" w:color="auto"/>
              <w:right w:val="nil"/>
            </w:tcBorders>
            <w:shd w:val="clear" w:color="auto" w:fill="auto"/>
            <w:noWrap/>
            <w:vAlign w:val="center"/>
            <w:hideMark/>
          </w:tcPr>
          <w:p w14:paraId="36A1369F" w14:textId="576DA7C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double" w:sz="6" w:space="0" w:color="auto"/>
              <w:left w:val="nil"/>
              <w:bottom w:val="single" w:sz="4" w:space="0" w:color="auto"/>
              <w:right w:val="nil"/>
            </w:tcBorders>
            <w:shd w:val="clear" w:color="auto" w:fill="auto"/>
            <w:noWrap/>
            <w:vAlign w:val="center"/>
            <w:hideMark/>
          </w:tcPr>
          <w:p w14:paraId="61B94C20" w14:textId="24C975D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double" w:sz="6" w:space="0" w:color="auto"/>
              <w:left w:val="nil"/>
              <w:bottom w:val="single" w:sz="4" w:space="0" w:color="auto"/>
              <w:right w:val="nil"/>
            </w:tcBorders>
            <w:shd w:val="clear" w:color="auto" w:fill="auto"/>
            <w:noWrap/>
            <w:vAlign w:val="center"/>
            <w:hideMark/>
          </w:tcPr>
          <w:p w14:paraId="1CAA43B7"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CRS</w:t>
            </w:r>
          </w:p>
        </w:tc>
      </w:tr>
      <w:tr w:rsidR="00AC1E67" w:rsidRPr="00A00187" w14:paraId="547188D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0E03708"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8</w:t>
            </w:r>
          </w:p>
        </w:tc>
        <w:tc>
          <w:tcPr>
            <w:tcW w:w="1080" w:type="dxa"/>
            <w:tcBorders>
              <w:top w:val="single" w:sz="4" w:space="0" w:color="auto"/>
              <w:left w:val="nil"/>
              <w:bottom w:val="single" w:sz="4" w:space="0" w:color="auto"/>
              <w:right w:val="nil"/>
            </w:tcBorders>
            <w:shd w:val="clear" w:color="auto" w:fill="auto"/>
            <w:noWrap/>
            <w:vAlign w:val="center"/>
            <w:hideMark/>
          </w:tcPr>
          <w:p w14:paraId="54ABE102" w14:textId="5FB9E9E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60E3DEEB" w14:textId="7A3D5D8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20EBCB5E" w14:textId="1F3A966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10E5A181"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CRS</w:t>
            </w:r>
          </w:p>
        </w:tc>
      </w:tr>
      <w:tr w:rsidR="00AC1E67" w:rsidRPr="00A00187" w14:paraId="5A42051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29C4633"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Mělník</w:t>
            </w:r>
          </w:p>
        </w:tc>
        <w:tc>
          <w:tcPr>
            <w:tcW w:w="1080" w:type="dxa"/>
            <w:tcBorders>
              <w:top w:val="single" w:sz="4" w:space="0" w:color="auto"/>
              <w:left w:val="nil"/>
              <w:bottom w:val="single" w:sz="4" w:space="0" w:color="auto"/>
              <w:right w:val="nil"/>
            </w:tcBorders>
            <w:shd w:val="clear" w:color="auto" w:fill="auto"/>
            <w:noWrap/>
            <w:vAlign w:val="center"/>
            <w:hideMark/>
          </w:tcPr>
          <w:p w14:paraId="603DEA0B" w14:textId="25A9DA6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424887D4" w14:textId="002C25C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738FB611" w14:textId="38B1983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6B489326"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CRS</w:t>
            </w:r>
          </w:p>
        </w:tc>
      </w:tr>
      <w:tr w:rsidR="00AC1E67" w:rsidRPr="00A00187" w14:paraId="2B7F7301"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1C995E0"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Karlovy Vary</w:t>
            </w:r>
          </w:p>
        </w:tc>
        <w:tc>
          <w:tcPr>
            <w:tcW w:w="1080" w:type="dxa"/>
            <w:tcBorders>
              <w:top w:val="single" w:sz="4" w:space="0" w:color="auto"/>
              <w:left w:val="nil"/>
              <w:bottom w:val="single" w:sz="4" w:space="0" w:color="auto"/>
              <w:right w:val="nil"/>
            </w:tcBorders>
            <w:shd w:val="clear" w:color="auto" w:fill="auto"/>
            <w:noWrap/>
            <w:vAlign w:val="center"/>
            <w:hideMark/>
          </w:tcPr>
          <w:p w14:paraId="1D878267" w14:textId="1029187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72A25C97" w14:textId="139BCAE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59C70F61" w14:textId="5AC47CB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44A5E64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CRS</w:t>
            </w:r>
          </w:p>
        </w:tc>
      </w:tr>
      <w:tr w:rsidR="00AC1E67" w:rsidRPr="00A00187" w14:paraId="3BD4D070"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536BBEF6"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Plzeň-Město</w:t>
            </w:r>
          </w:p>
        </w:tc>
        <w:tc>
          <w:tcPr>
            <w:tcW w:w="1080" w:type="dxa"/>
            <w:tcBorders>
              <w:top w:val="single" w:sz="4" w:space="0" w:color="auto"/>
              <w:left w:val="nil"/>
              <w:bottom w:val="single" w:sz="4" w:space="0" w:color="auto"/>
              <w:right w:val="nil"/>
            </w:tcBorders>
            <w:shd w:val="clear" w:color="auto" w:fill="auto"/>
            <w:noWrap/>
            <w:vAlign w:val="center"/>
            <w:hideMark/>
          </w:tcPr>
          <w:p w14:paraId="6789B5C9" w14:textId="3EF1BFD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290FD8BB" w14:textId="5B5A686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5FFA494F" w14:textId="3663756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1FDB5190"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CRS</w:t>
            </w:r>
          </w:p>
        </w:tc>
      </w:tr>
      <w:tr w:rsidR="00AC1E67" w:rsidRPr="00A00187" w14:paraId="2AF06960"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E4D2B5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Liberec</w:t>
            </w:r>
          </w:p>
        </w:tc>
        <w:tc>
          <w:tcPr>
            <w:tcW w:w="1080" w:type="dxa"/>
            <w:tcBorders>
              <w:top w:val="single" w:sz="4" w:space="0" w:color="auto"/>
              <w:left w:val="nil"/>
              <w:bottom w:val="single" w:sz="4" w:space="0" w:color="auto"/>
              <w:right w:val="nil"/>
            </w:tcBorders>
            <w:shd w:val="clear" w:color="auto" w:fill="auto"/>
            <w:noWrap/>
            <w:vAlign w:val="center"/>
            <w:hideMark/>
          </w:tcPr>
          <w:p w14:paraId="21844322" w14:textId="209BEFA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6A102E84" w14:textId="1945771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09D55C84" w14:textId="18F77C2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594AF045"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CRS</w:t>
            </w:r>
          </w:p>
        </w:tc>
      </w:tr>
      <w:tr w:rsidR="00AC1E67" w:rsidRPr="00A00187" w14:paraId="38B9D05B"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4074756"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Žďár nad Sázavou</w:t>
            </w:r>
          </w:p>
        </w:tc>
        <w:tc>
          <w:tcPr>
            <w:tcW w:w="1080" w:type="dxa"/>
            <w:tcBorders>
              <w:top w:val="single" w:sz="4" w:space="0" w:color="auto"/>
              <w:left w:val="nil"/>
              <w:bottom w:val="single" w:sz="4" w:space="0" w:color="auto"/>
              <w:right w:val="nil"/>
            </w:tcBorders>
            <w:shd w:val="clear" w:color="auto" w:fill="auto"/>
            <w:noWrap/>
            <w:vAlign w:val="center"/>
            <w:hideMark/>
          </w:tcPr>
          <w:p w14:paraId="0648A8AE" w14:textId="6962141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2C7BC70C" w14:textId="72A8C9B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238FD4CD" w14:textId="504F166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5FE39436"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CRS</w:t>
            </w:r>
          </w:p>
        </w:tc>
      </w:tr>
      <w:tr w:rsidR="00AC1E67" w:rsidRPr="00A00187" w14:paraId="3547481F"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B7B0CBF"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Plzeň-sever</w:t>
            </w:r>
          </w:p>
        </w:tc>
        <w:tc>
          <w:tcPr>
            <w:tcW w:w="1080" w:type="dxa"/>
            <w:tcBorders>
              <w:top w:val="single" w:sz="4" w:space="0" w:color="auto"/>
              <w:left w:val="nil"/>
              <w:bottom w:val="single" w:sz="4" w:space="0" w:color="auto"/>
              <w:right w:val="nil"/>
            </w:tcBorders>
            <w:shd w:val="clear" w:color="auto" w:fill="auto"/>
            <w:noWrap/>
            <w:vAlign w:val="center"/>
            <w:hideMark/>
          </w:tcPr>
          <w:p w14:paraId="4AA4E57C" w14:textId="051BF5D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978</w:t>
            </w:r>
          </w:p>
        </w:tc>
        <w:tc>
          <w:tcPr>
            <w:tcW w:w="1080" w:type="dxa"/>
            <w:tcBorders>
              <w:top w:val="single" w:sz="4" w:space="0" w:color="auto"/>
              <w:left w:val="nil"/>
              <w:bottom w:val="single" w:sz="4" w:space="0" w:color="auto"/>
              <w:right w:val="nil"/>
            </w:tcBorders>
            <w:shd w:val="clear" w:color="auto" w:fill="auto"/>
            <w:noWrap/>
            <w:vAlign w:val="center"/>
            <w:hideMark/>
          </w:tcPr>
          <w:p w14:paraId="3304A7AE" w14:textId="1CB3135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54A18BB0" w14:textId="1CF8FEF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978</w:t>
            </w:r>
          </w:p>
        </w:tc>
        <w:tc>
          <w:tcPr>
            <w:tcW w:w="1080" w:type="dxa"/>
            <w:tcBorders>
              <w:top w:val="single" w:sz="4" w:space="0" w:color="auto"/>
              <w:left w:val="nil"/>
              <w:bottom w:val="single" w:sz="4" w:space="0" w:color="auto"/>
              <w:right w:val="nil"/>
            </w:tcBorders>
            <w:shd w:val="clear" w:color="auto" w:fill="auto"/>
            <w:noWrap/>
            <w:vAlign w:val="center"/>
            <w:hideMark/>
          </w:tcPr>
          <w:p w14:paraId="5478B1B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3B9B3FF5"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AA6AA67"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Praha-Východ</w:t>
            </w:r>
          </w:p>
        </w:tc>
        <w:tc>
          <w:tcPr>
            <w:tcW w:w="1080" w:type="dxa"/>
            <w:tcBorders>
              <w:top w:val="single" w:sz="4" w:space="0" w:color="auto"/>
              <w:left w:val="nil"/>
              <w:bottom w:val="single" w:sz="4" w:space="0" w:color="auto"/>
              <w:right w:val="nil"/>
            </w:tcBorders>
            <w:shd w:val="clear" w:color="auto" w:fill="auto"/>
            <w:noWrap/>
            <w:vAlign w:val="center"/>
            <w:hideMark/>
          </w:tcPr>
          <w:p w14:paraId="36E3DC6D" w14:textId="1759285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971</w:t>
            </w:r>
          </w:p>
        </w:tc>
        <w:tc>
          <w:tcPr>
            <w:tcW w:w="1080" w:type="dxa"/>
            <w:tcBorders>
              <w:top w:val="single" w:sz="4" w:space="0" w:color="auto"/>
              <w:left w:val="nil"/>
              <w:bottom w:val="single" w:sz="4" w:space="0" w:color="auto"/>
              <w:right w:val="nil"/>
            </w:tcBorders>
            <w:shd w:val="clear" w:color="auto" w:fill="auto"/>
            <w:noWrap/>
            <w:vAlign w:val="center"/>
            <w:hideMark/>
          </w:tcPr>
          <w:p w14:paraId="5E8C257A" w14:textId="526D3B5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983</w:t>
            </w:r>
          </w:p>
        </w:tc>
        <w:tc>
          <w:tcPr>
            <w:tcW w:w="1080" w:type="dxa"/>
            <w:tcBorders>
              <w:top w:val="single" w:sz="4" w:space="0" w:color="auto"/>
              <w:left w:val="nil"/>
              <w:bottom w:val="single" w:sz="4" w:space="0" w:color="auto"/>
              <w:right w:val="nil"/>
            </w:tcBorders>
            <w:shd w:val="clear" w:color="auto" w:fill="auto"/>
            <w:noWrap/>
            <w:vAlign w:val="center"/>
            <w:hideMark/>
          </w:tcPr>
          <w:p w14:paraId="41869808" w14:textId="438A591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988</w:t>
            </w:r>
          </w:p>
        </w:tc>
        <w:tc>
          <w:tcPr>
            <w:tcW w:w="1080" w:type="dxa"/>
            <w:tcBorders>
              <w:top w:val="single" w:sz="4" w:space="0" w:color="auto"/>
              <w:left w:val="nil"/>
              <w:bottom w:val="single" w:sz="4" w:space="0" w:color="auto"/>
              <w:right w:val="nil"/>
            </w:tcBorders>
            <w:shd w:val="clear" w:color="auto" w:fill="auto"/>
            <w:noWrap/>
            <w:vAlign w:val="center"/>
            <w:hideMark/>
          </w:tcPr>
          <w:p w14:paraId="63833529"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7FAF4211"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DF1809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Ústí nad Orlicí</w:t>
            </w:r>
          </w:p>
        </w:tc>
        <w:tc>
          <w:tcPr>
            <w:tcW w:w="1080" w:type="dxa"/>
            <w:tcBorders>
              <w:top w:val="single" w:sz="4" w:space="0" w:color="auto"/>
              <w:left w:val="nil"/>
              <w:bottom w:val="single" w:sz="4" w:space="0" w:color="auto"/>
              <w:right w:val="nil"/>
            </w:tcBorders>
            <w:shd w:val="clear" w:color="auto" w:fill="auto"/>
            <w:noWrap/>
            <w:vAlign w:val="center"/>
            <w:hideMark/>
          </w:tcPr>
          <w:p w14:paraId="44DEA128" w14:textId="2D89859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970</w:t>
            </w:r>
          </w:p>
        </w:tc>
        <w:tc>
          <w:tcPr>
            <w:tcW w:w="1080" w:type="dxa"/>
            <w:tcBorders>
              <w:top w:val="single" w:sz="4" w:space="0" w:color="auto"/>
              <w:left w:val="nil"/>
              <w:bottom w:val="single" w:sz="4" w:space="0" w:color="auto"/>
              <w:right w:val="nil"/>
            </w:tcBorders>
            <w:shd w:val="clear" w:color="auto" w:fill="auto"/>
            <w:noWrap/>
            <w:vAlign w:val="center"/>
            <w:hideMark/>
          </w:tcPr>
          <w:p w14:paraId="2BD94AE2" w14:textId="0FD642A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996</w:t>
            </w:r>
          </w:p>
        </w:tc>
        <w:tc>
          <w:tcPr>
            <w:tcW w:w="1080" w:type="dxa"/>
            <w:tcBorders>
              <w:top w:val="single" w:sz="4" w:space="0" w:color="auto"/>
              <w:left w:val="nil"/>
              <w:bottom w:val="single" w:sz="4" w:space="0" w:color="auto"/>
              <w:right w:val="nil"/>
            </w:tcBorders>
            <w:shd w:val="clear" w:color="auto" w:fill="auto"/>
            <w:noWrap/>
            <w:vAlign w:val="center"/>
            <w:hideMark/>
          </w:tcPr>
          <w:p w14:paraId="4A1A814A" w14:textId="29C7C9E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973</w:t>
            </w:r>
          </w:p>
        </w:tc>
        <w:tc>
          <w:tcPr>
            <w:tcW w:w="1080" w:type="dxa"/>
            <w:tcBorders>
              <w:top w:val="single" w:sz="4" w:space="0" w:color="auto"/>
              <w:left w:val="nil"/>
              <w:bottom w:val="single" w:sz="4" w:space="0" w:color="auto"/>
              <w:right w:val="nil"/>
            </w:tcBorders>
            <w:shd w:val="clear" w:color="auto" w:fill="auto"/>
            <w:noWrap/>
            <w:vAlign w:val="center"/>
            <w:hideMark/>
          </w:tcPr>
          <w:p w14:paraId="75DECEC5"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04E95F08"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186729A"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Nový Jičín</w:t>
            </w:r>
          </w:p>
        </w:tc>
        <w:tc>
          <w:tcPr>
            <w:tcW w:w="1080" w:type="dxa"/>
            <w:tcBorders>
              <w:top w:val="single" w:sz="4" w:space="0" w:color="auto"/>
              <w:left w:val="nil"/>
              <w:bottom w:val="single" w:sz="4" w:space="0" w:color="auto"/>
              <w:right w:val="nil"/>
            </w:tcBorders>
            <w:shd w:val="clear" w:color="auto" w:fill="auto"/>
            <w:noWrap/>
            <w:vAlign w:val="center"/>
            <w:hideMark/>
          </w:tcPr>
          <w:p w14:paraId="1DE72B21" w14:textId="70985B9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957</w:t>
            </w:r>
          </w:p>
        </w:tc>
        <w:tc>
          <w:tcPr>
            <w:tcW w:w="1080" w:type="dxa"/>
            <w:tcBorders>
              <w:top w:val="single" w:sz="4" w:space="0" w:color="auto"/>
              <w:left w:val="nil"/>
              <w:bottom w:val="single" w:sz="4" w:space="0" w:color="auto"/>
              <w:right w:val="nil"/>
            </w:tcBorders>
            <w:shd w:val="clear" w:color="auto" w:fill="auto"/>
            <w:noWrap/>
            <w:vAlign w:val="center"/>
            <w:hideMark/>
          </w:tcPr>
          <w:p w14:paraId="486E58C5" w14:textId="1FFF433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957</w:t>
            </w:r>
          </w:p>
        </w:tc>
        <w:tc>
          <w:tcPr>
            <w:tcW w:w="1080" w:type="dxa"/>
            <w:tcBorders>
              <w:top w:val="single" w:sz="4" w:space="0" w:color="auto"/>
              <w:left w:val="nil"/>
              <w:bottom w:val="single" w:sz="4" w:space="0" w:color="auto"/>
              <w:right w:val="nil"/>
            </w:tcBorders>
            <w:shd w:val="clear" w:color="auto" w:fill="auto"/>
            <w:noWrap/>
            <w:vAlign w:val="center"/>
            <w:hideMark/>
          </w:tcPr>
          <w:p w14:paraId="4C50635B" w14:textId="1EC2833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43007DDD"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4E55FEB"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7EF5DEC"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Třebíč</w:t>
            </w:r>
          </w:p>
        </w:tc>
        <w:tc>
          <w:tcPr>
            <w:tcW w:w="1080" w:type="dxa"/>
            <w:tcBorders>
              <w:top w:val="single" w:sz="4" w:space="0" w:color="auto"/>
              <w:left w:val="nil"/>
              <w:bottom w:val="single" w:sz="4" w:space="0" w:color="auto"/>
              <w:right w:val="nil"/>
            </w:tcBorders>
            <w:shd w:val="clear" w:color="auto" w:fill="auto"/>
            <w:noWrap/>
            <w:vAlign w:val="center"/>
            <w:hideMark/>
          </w:tcPr>
          <w:p w14:paraId="04F2DA10" w14:textId="27301CC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947</w:t>
            </w:r>
          </w:p>
        </w:tc>
        <w:tc>
          <w:tcPr>
            <w:tcW w:w="1080" w:type="dxa"/>
            <w:tcBorders>
              <w:top w:val="single" w:sz="4" w:space="0" w:color="auto"/>
              <w:left w:val="nil"/>
              <w:bottom w:val="single" w:sz="4" w:space="0" w:color="auto"/>
              <w:right w:val="nil"/>
            </w:tcBorders>
            <w:shd w:val="clear" w:color="auto" w:fill="auto"/>
            <w:noWrap/>
            <w:vAlign w:val="center"/>
            <w:hideMark/>
          </w:tcPr>
          <w:p w14:paraId="73A45B8B" w14:textId="7BCD1C0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0358EB7F" w14:textId="06B8ACD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947</w:t>
            </w:r>
          </w:p>
        </w:tc>
        <w:tc>
          <w:tcPr>
            <w:tcW w:w="1080" w:type="dxa"/>
            <w:tcBorders>
              <w:top w:val="single" w:sz="4" w:space="0" w:color="auto"/>
              <w:left w:val="nil"/>
              <w:bottom w:val="single" w:sz="4" w:space="0" w:color="auto"/>
              <w:right w:val="nil"/>
            </w:tcBorders>
            <w:shd w:val="clear" w:color="auto" w:fill="auto"/>
            <w:noWrap/>
            <w:vAlign w:val="center"/>
            <w:hideMark/>
          </w:tcPr>
          <w:p w14:paraId="054F0E54"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7E5F71EF"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E9D8513"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Ústí nad Labem</w:t>
            </w:r>
          </w:p>
        </w:tc>
        <w:tc>
          <w:tcPr>
            <w:tcW w:w="1080" w:type="dxa"/>
            <w:tcBorders>
              <w:top w:val="single" w:sz="4" w:space="0" w:color="auto"/>
              <w:left w:val="nil"/>
              <w:bottom w:val="single" w:sz="4" w:space="0" w:color="auto"/>
              <w:right w:val="nil"/>
            </w:tcBorders>
            <w:shd w:val="clear" w:color="auto" w:fill="auto"/>
            <w:noWrap/>
            <w:vAlign w:val="center"/>
            <w:hideMark/>
          </w:tcPr>
          <w:p w14:paraId="6C070769" w14:textId="75CC1A8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936</w:t>
            </w:r>
          </w:p>
        </w:tc>
        <w:tc>
          <w:tcPr>
            <w:tcW w:w="1080" w:type="dxa"/>
            <w:tcBorders>
              <w:top w:val="single" w:sz="4" w:space="0" w:color="auto"/>
              <w:left w:val="nil"/>
              <w:bottom w:val="single" w:sz="4" w:space="0" w:color="auto"/>
              <w:right w:val="nil"/>
            </w:tcBorders>
            <w:shd w:val="clear" w:color="auto" w:fill="auto"/>
            <w:noWrap/>
            <w:vAlign w:val="center"/>
            <w:hideMark/>
          </w:tcPr>
          <w:p w14:paraId="64B43B5B" w14:textId="3221DBF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715607C5" w14:textId="5800A4E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936</w:t>
            </w:r>
          </w:p>
        </w:tc>
        <w:tc>
          <w:tcPr>
            <w:tcW w:w="1080" w:type="dxa"/>
            <w:tcBorders>
              <w:top w:val="single" w:sz="4" w:space="0" w:color="auto"/>
              <w:left w:val="nil"/>
              <w:bottom w:val="single" w:sz="4" w:space="0" w:color="auto"/>
              <w:right w:val="nil"/>
            </w:tcBorders>
            <w:shd w:val="clear" w:color="auto" w:fill="auto"/>
            <w:noWrap/>
            <w:vAlign w:val="center"/>
            <w:hideMark/>
          </w:tcPr>
          <w:p w14:paraId="0C74F81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7B7D4BE9"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EA2D244"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10</w:t>
            </w:r>
          </w:p>
        </w:tc>
        <w:tc>
          <w:tcPr>
            <w:tcW w:w="1080" w:type="dxa"/>
            <w:tcBorders>
              <w:top w:val="single" w:sz="4" w:space="0" w:color="auto"/>
              <w:left w:val="nil"/>
              <w:bottom w:val="single" w:sz="4" w:space="0" w:color="auto"/>
              <w:right w:val="nil"/>
            </w:tcBorders>
            <w:shd w:val="clear" w:color="auto" w:fill="auto"/>
            <w:noWrap/>
            <w:vAlign w:val="center"/>
            <w:hideMark/>
          </w:tcPr>
          <w:p w14:paraId="376938AB" w14:textId="2BC38D7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927</w:t>
            </w:r>
          </w:p>
        </w:tc>
        <w:tc>
          <w:tcPr>
            <w:tcW w:w="1080" w:type="dxa"/>
            <w:tcBorders>
              <w:top w:val="single" w:sz="4" w:space="0" w:color="auto"/>
              <w:left w:val="nil"/>
              <w:bottom w:val="single" w:sz="4" w:space="0" w:color="auto"/>
              <w:right w:val="nil"/>
            </w:tcBorders>
            <w:shd w:val="clear" w:color="auto" w:fill="auto"/>
            <w:noWrap/>
            <w:vAlign w:val="center"/>
            <w:hideMark/>
          </w:tcPr>
          <w:p w14:paraId="5AAFDA47" w14:textId="0816A34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2755ADB0" w14:textId="678302E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927</w:t>
            </w:r>
          </w:p>
        </w:tc>
        <w:tc>
          <w:tcPr>
            <w:tcW w:w="1080" w:type="dxa"/>
            <w:tcBorders>
              <w:top w:val="single" w:sz="4" w:space="0" w:color="auto"/>
              <w:left w:val="nil"/>
              <w:bottom w:val="single" w:sz="4" w:space="0" w:color="auto"/>
              <w:right w:val="nil"/>
            </w:tcBorders>
            <w:shd w:val="clear" w:color="auto" w:fill="auto"/>
            <w:noWrap/>
            <w:vAlign w:val="center"/>
            <w:hideMark/>
          </w:tcPr>
          <w:p w14:paraId="1CF4EEE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14D01516"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10D6147F"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1</w:t>
            </w:r>
          </w:p>
        </w:tc>
        <w:tc>
          <w:tcPr>
            <w:tcW w:w="1080" w:type="dxa"/>
            <w:tcBorders>
              <w:top w:val="single" w:sz="4" w:space="0" w:color="auto"/>
              <w:left w:val="nil"/>
              <w:bottom w:val="single" w:sz="4" w:space="0" w:color="auto"/>
              <w:right w:val="nil"/>
            </w:tcBorders>
            <w:shd w:val="clear" w:color="auto" w:fill="auto"/>
            <w:noWrap/>
            <w:vAlign w:val="center"/>
            <w:hideMark/>
          </w:tcPr>
          <w:p w14:paraId="7FDD0082" w14:textId="2814556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924</w:t>
            </w:r>
          </w:p>
        </w:tc>
        <w:tc>
          <w:tcPr>
            <w:tcW w:w="1080" w:type="dxa"/>
            <w:tcBorders>
              <w:top w:val="single" w:sz="4" w:space="0" w:color="auto"/>
              <w:left w:val="nil"/>
              <w:bottom w:val="single" w:sz="4" w:space="0" w:color="auto"/>
              <w:right w:val="nil"/>
            </w:tcBorders>
            <w:shd w:val="clear" w:color="auto" w:fill="auto"/>
            <w:noWrap/>
            <w:vAlign w:val="center"/>
            <w:hideMark/>
          </w:tcPr>
          <w:p w14:paraId="5C697A27" w14:textId="2F1C39D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55801EFB" w14:textId="68E2B6A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924</w:t>
            </w:r>
          </w:p>
        </w:tc>
        <w:tc>
          <w:tcPr>
            <w:tcW w:w="1080" w:type="dxa"/>
            <w:tcBorders>
              <w:top w:val="single" w:sz="4" w:space="0" w:color="auto"/>
              <w:left w:val="nil"/>
              <w:bottom w:val="single" w:sz="4" w:space="0" w:color="auto"/>
              <w:right w:val="nil"/>
            </w:tcBorders>
            <w:shd w:val="clear" w:color="auto" w:fill="auto"/>
            <w:noWrap/>
            <w:vAlign w:val="center"/>
            <w:hideMark/>
          </w:tcPr>
          <w:p w14:paraId="2F3163D8"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78D0F4AE"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DC5A8A3"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Praha-Západ</w:t>
            </w:r>
          </w:p>
        </w:tc>
        <w:tc>
          <w:tcPr>
            <w:tcW w:w="1080" w:type="dxa"/>
            <w:tcBorders>
              <w:top w:val="single" w:sz="4" w:space="0" w:color="auto"/>
              <w:left w:val="nil"/>
              <w:bottom w:val="single" w:sz="4" w:space="0" w:color="auto"/>
              <w:right w:val="nil"/>
            </w:tcBorders>
            <w:shd w:val="clear" w:color="auto" w:fill="auto"/>
            <w:noWrap/>
            <w:vAlign w:val="center"/>
            <w:hideMark/>
          </w:tcPr>
          <w:p w14:paraId="72E33F2B" w14:textId="5C86198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923</w:t>
            </w:r>
          </w:p>
        </w:tc>
        <w:tc>
          <w:tcPr>
            <w:tcW w:w="1080" w:type="dxa"/>
            <w:tcBorders>
              <w:top w:val="single" w:sz="4" w:space="0" w:color="auto"/>
              <w:left w:val="nil"/>
              <w:bottom w:val="single" w:sz="4" w:space="0" w:color="auto"/>
              <w:right w:val="nil"/>
            </w:tcBorders>
            <w:shd w:val="clear" w:color="auto" w:fill="auto"/>
            <w:noWrap/>
            <w:vAlign w:val="center"/>
            <w:hideMark/>
          </w:tcPr>
          <w:p w14:paraId="12FB392E" w14:textId="1F8F443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973</w:t>
            </w:r>
          </w:p>
        </w:tc>
        <w:tc>
          <w:tcPr>
            <w:tcW w:w="1080" w:type="dxa"/>
            <w:tcBorders>
              <w:top w:val="single" w:sz="4" w:space="0" w:color="auto"/>
              <w:left w:val="nil"/>
              <w:bottom w:val="single" w:sz="4" w:space="0" w:color="auto"/>
              <w:right w:val="nil"/>
            </w:tcBorders>
            <w:shd w:val="clear" w:color="auto" w:fill="auto"/>
            <w:noWrap/>
            <w:vAlign w:val="center"/>
            <w:hideMark/>
          </w:tcPr>
          <w:p w14:paraId="4ACD4432" w14:textId="5638AD7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949</w:t>
            </w:r>
          </w:p>
        </w:tc>
        <w:tc>
          <w:tcPr>
            <w:tcW w:w="1080" w:type="dxa"/>
            <w:tcBorders>
              <w:top w:val="single" w:sz="4" w:space="0" w:color="auto"/>
              <w:left w:val="nil"/>
              <w:bottom w:val="single" w:sz="4" w:space="0" w:color="auto"/>
              <w:right w:val="nil"/>
            </w:tcBorders>
            <w:shd w:val="clear" w:color="auto" w:fill="auto"/>
            <w:noWrap/>
            <w:vAlign w:val="center"/>
            <w:hideMark/>
          </w:tcPr>
          <w:p w14:paraId="3FBE0BA1"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19247E3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347A536"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Most</w:t>
            </w:r>
          </w:p>
        </w:tc>
        <w:tc>
          <w:tcPr>
            <w:tcW w:w="1080" w:type="dxa"/>
            <w:tcBorders>
              <w:top w:val="single" w:sz="4" w:space="0" w:color="auto"/>
              <w:left w:val="nil"/>
              <w:bottom w:val="single" w:sz="4" w:space="0" w:color="auto"/>
              <w:right w:val="nil"/>
            </w:tcBorders>
            <w:shd w:val="clear" w:color="auto" w:fill="auto"/>
            <w:noWrap/>
            <w:vAlign w:val="center"/>
            <w:hideMark/>
          </w:tcPr>
          <w:p w14:paraId="6E99AE9A" w14:textId="5763DD5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923</w:t>
            </w:r>
          </w:p>
        </w:tc>
        <w:tc>
          <w:tcPr>
            <w:tcW w:w="1080" w:type="dxa"/>
            <w:tcBorders>
              <w:top w:val="single" w:sz="4" w:space="0" w:color="auto"/>
              <w:left w:val="nil"/>
              <w:bottom w:val="single" w:sz="4" w:space="0" w:color="auto"/>
              <w:right w:val="nil"/>
            </w:tcBorders>
            <w:shd w:val="clear" w:color="auto" w:fill="auto"/>
            <w:noWrap/>
            <w:vAlign w:val="center"/>
            <w:hideMark/>
          </w:tcPr>
          <w:p w14:paraId="18CC4DAD" w14:textId="2D2F190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981</w:t>
            </w:r>
          </w:p>
        </w:tc>
        <w:tc>
          <w:tcPr>
            <w:tcW w:w="1080" w:type="dxa"/>
            <w:tcBorders>
              <w:top w:val="single" w:sz="4" w:space="0" w:color="auto"/>
              <w:left w:val="nil"/>
              <w:bottom w:val="single" w:sz="4" w:space="0" w:color="auto"/>
              <w:right w:val="nil"/>
            </w:tcBorders>
            <w:shd w:val="clear" w:color="auto" w:fill="auto"/>
            <w:noWrap/>
            <w:vAlign w:val="center"/>
            <w:hideMark/>
          </w:tcPr>
          <w:p w14:paraId="70CC9679" w14:textId="02E0649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941</w:t>
            </w:r>
          </w:p>
        </w:tc>
        <w:tc>
          <w:tcPr>
            <w:tcW w:w="1080" w:type="dxa"/>
            <w:tcBorders>
              <w:top w:val="single" w:sz="4" w:space="0" w:color="auto"/>
              <w:left w:val="nil"/>
              <w:bottom w:val="single" w:sz="4" w:space="0" w:color="auto"/>
              <w:right w:val="nil"/>
            </w:tcBorders>
            <w:shd w:val="clear" w:color="auto" w:fill="auto"/>
            <w:noWrap/>
            <w:vAlign w:val="center"/>
            <w:hideMark/>
          </w:tcPr>
          <w:p w14:paraId="73B59BBC"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058C604B"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80A2A98"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Mladá Boleslav</w:t>
            </w:r>
          </w:p>
        </w:tc>
        <w:tc>
          <w:tcPr>
            <w:tcW w:w="1080" w:type="dxa"/>
            <w:tcBorders>
              <w:top w:val="single" w:sz="4" w:space="0" w:color="auto"/>
              <w:left w:val="nil"/>
              <w:bottom w:val="single" w:sz="4" w:space="0" w:color="auto"/>
              <w:right w:val="nil"/>
            </w:tcBorders>
            <w:shd w:val="clear" w:color="auto" w:fill="auto"/>
            <w:noWrap/>
            <w:vAlign w:val="center"/>
            <w:hideMark/>
          </w:tcPr>
          <w:p w14:paraId="2910C84F" w14:textId="757F7AB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919</w:t>
            </w:r>
          </w:p>
        </w:tc>
        <w:tc>
          <w:tcPr>
            <w:tcW w:w="1080" w:type="dxa"/>
            <w:tcBorders>
              <w:top w:val="single" w:sz="4" w:space="0" w:color="auto"/>
              <w:left w:val="nil"/>
              <w:bottom w:val="single" w:sz="4" w:space="0" w:color="auto"/>
              <w:right w:val="nil"/>
            </w:tcBorders>
            <w:shd w:val="clear" w:color="auto" w:fill="auto"/>
            <w:noWrap/>
            <w:vAlign w:val="center"/>
            <w:hideMark/>
          </w:tcPr>
          <w:p w14:paraId="03E1564B" w14:textId="3693055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962</w:t>
            </w:r>
          </w:p>
        </w:tc>
        <w:tc>
          <w:tcPr>
            <w:tcW w:w="1080" w:type="dxa"/>
            <w:tcBorders>
              <w:top w:val="single" w:sz="4" w:space="0" w:color="auto"/>
              <w:left w:val="nil"/>
              <w:bottom w:val="single" w:sz="4" w:space="0" w:color="auto"/>
              <w:right w:val="nil"/>
            </w:tcBorders>
            <w:shd w:val="clear" w:color="auto" w:fill="auto"/>
            <w:noWrap/>
            <w:vAlign w:val="center"/>
            <w:hideMark/>
          </w:tcPr>
          <w:p w14:paraId="76B83BAE" w14:textId="413FA83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956</w:t>
            </w:r>
          </w:p>
        </w:tc>
        <w:tc>
          <w:tcPr>
            <w:tcW w:w="1080" w:type="dxa"/>
            <w:tcBorders>
              <w:top w:val="single" w:sz="4" w:space="0" w:color="auto"/>
              <w:left w:val="nil"/>
              <w:bottom w:val="single" w:sz="4" w:space="0" w:color="auto"/>
              <w:right w:val="nil"/>
            </w:tcBorders>
            <w:shd w:val="clear" w:color="auto" w:fill="auto"/>
            <w:noWrap/>
            <w:vAlign w:val="center"/>
            <w:hideMark/>
          </w:tcPr>
          <w:p w14:paraId="14D68A82"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19C59A28"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556C029"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Uherské Hradiště</w:t>
            </w:r>
          </w:p>
        </w:tc>
        <w:tc>
          <w:tcPr>
            <w:tcW w:w="1080" w:type="dxa"/>
            <w:tcBorders>
              <w:top w:val="single" w:sz="4" w:space="0" w:color="auto"/>
              <w:left w:val="nil"/>
              <w:bottom w:val="single" w:sz="4" w:space="0" w:color="auto"/>
              <w:right w:val="nil"/>
            </w:tcBorders>
            <w:shd w:val="clear" w:color="auto" w:fill="auto"/>
            <w:noWrap/>
            <w:vAlign w:val="center"/>
            <w:hideMark/>
          </w:tcPr>
          <w:p w14:paraId="1C16D776" w14:textId="42249A1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919</w:t>
            </w:r>
          </w:p>
        </w:tc>
        <w:tc>
          <w:tcPr>
            <w:tcW w:w="1080" w:type="dxa"/>
            <w:tcBorders>
              <w:top w:val="single" w:sz="4" w:space="0" w:color="auto"/>
              <w:left w:val="nil"/>
              <w:bottom w:val="single" w:sz="4" w:space="0" w:color="auto"/>
              <w:right w:val="nil"/>
            </w:tcBorders>
            <w:shd w:val="clear" w:color="auto" w:fill="auto"/>
            <w:noWrap/>
            <w:vAlign w:val="center"/>
            <w:hideMark/>
          </w:tcPr>
          <w:p w14:paraId="3354995E" w14:textId="113793D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922</w:t>
            </w:r>
          </w:p>
        </w:tc>
        <w:tc>
          <w:tcPr>
            <w:tcW w:w="1080" w:type="dxa"/>
            <w:tcBorders>
              <w:top w:val="single" w:sz="4" w:space="0" w:color="auto"/>
              <w:left w:val="nil"/>
              <w:bottom w:val="single" w:sz="4" w:space="0" w:color="auto"/>
              <w:right w:val="nil"/>
            </w:tcBorders>
            <w:shd w:val="clear" w:color="auto" w:fill="auto"/>
            <w:noWrap/>
            <w:vAlign w:val="center"/>
            <w:hideMark/>
          </w:tcPr>
          <w:p w14:paraId="4F8C7A46" w14:textId="1C2E3BE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996</w:t>
            </w:r>
          </w:p>
        </w:tc>
        <w:tc>
          <w:tcPr>
            <w:tcW w:w="1080" w:type="dxa"/>
            <w:tcBorders>
              <w:top w:val="single" w:sz="4" w:space="0" w:color="auto"/>
              <w:left w:val="nil"/>
              <w:bottom w:val="single" w:sz="4" w:space="0" w:color="auto"/>
              <w:right w:val="nil"/>
            </w:tcBorders>
            <w:shd w:val="clear" w:color="auto" w:fill="auto"/>
            <w:noWrap/>
            <w:vAlign w:val="center"/>
            <w:hideMark/>
          </w:tcPr>
          <w:p w14:paraId="5B3BA21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8B0827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CB7AF8C"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Zlín</w:t>
            </w:r>
          </w:p>
        </w:tc>
        <w:tc>
          <w:tcPr>
            <w:tcW w:w="1080" w:type="dxa"/>
            <w:tcBorders>
              <w:top w:val="single" w:sz="4" w:space="0" w:color="auto"/>
              <w:left w:val="nil"/>
              <w:bottom w:val="single" w:sz="4" w:space="0" w:color="auto"/>
              <w:right w:val="nil"/>
            </w:tcBorders>
            <w:shd w:val="clear" w:color="auto" w:fill="auto"/>
            <w:noWrap/>
            <w:vAlign w:val="center"/>
            <w:hideMark/>
          </w:tcPr>
          <w:p w14:paraId="3DD65E7C" w14:textId="34BDB0C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919</w:t>
            </w:r>
          </w:p>
        </w:tc>
        <w:tc>
          <w:tcPr>
            <w:tcW w:w="1080" w:type="dxa"/>
            <w:tcBorders>
              <w:top w:val="single" w:sz="4" w:space="0" w:color="auto"/>
              <w:left w:val="nil"/>
              <w:bottom w:val="single" w:sz="4" w:space="0" w:color="auto"/>
              <w:right w:val="nil"/>
            </w:tcBorders>
            <w:shd w:val="clear" w:color="auto" w:fill="auto"/>
            <w:noWrap/>
            <w:vAlign w:val="center"/>
            <w:hideMark/>
          </w:tcPr>
          <w:p w14:paraId="63F37F9B" w14:textId="6C33157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926</w:t>
            </w:r>
          </w:p>
        </w:tc>
        <w:tc>
          <w:tcPr>
            <w:tcW w:w="1080" w:type="dxa"/>
            <w:tcBorders>
              <w:top w:val="single" w:sz="4" w:space="0" w:color="auto"/>
              <w:left w:val="nil"/>
              <w:bottom w:val="single" w:sz="4" w:space="0" w:color="auto"/>
              <w:right w:val="nil"/>
            </w:tcBorders>
            <w:shd w:val="clear" w:color="auto" w:fill="auto"/>
            <w:noWrap/>
            <w:vAlign w:val="center"/>
            <w:hideMark/>
          </w:tcPr>
          <w:p w14:paraId="0F733EDE" w14:textId="7ECC1E6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992</w:t>
            </w:r>
          </w:p>
        </w:tc>
        <w:tc>
          <w:tcPr>
            <w:tcW w:w="1080" w:type="dxa"/>
            <w:tcBorders>
              <w:top w:val="single" w:sz="4" w:space="0" w:color="auto"/>
              <w:left w:val="nil"/>
              <w:bottom w:val="single" w:sz="4" w:space="0" w:color="auto"/>
              <w:right w:val="nil"/>
            </w:tcBorders>
            <w:shd w:val="clear" w:color="auto" w:fill="auto"/>
            <w:noWrap/>
            <w:vAlign w:val="center"/>
            <w:hideMark/>
          </w:tcPr>
          <w:p w14:paraId="533F9128"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6F9EF87F"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689443A"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Plzeň-jih</w:t>
            </w:r>
          </w:p>
        </w:tc>
        <w:tc>
          <w:tcPr>
            <w:tcW w:w="1080" w:type="dxa"/>
            <w:tcBorders>
              <w:top w:val="single" w:sz="4" w:space="0" w:color="auto"/>
              <w:left w:val="nil"/>
              <w:bottom w:val="single" w:sz="4" w:space="0" w:color="auto"/>
              <w:right w:val="nil"/>
            </w:tcBorders>
            <w:shd w:val="clear" w:color="auto" w:fill="auto"/>
            <w:noWrap/>
            <w:vAlign w:val="center"/>
            <w:hideMark/>
          </w:tcPr>
          <w:p w14:paraId="4B0B45BA" w14:textId="77B7F01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916</w:t>
            </w:r>
          </w:p>
        </w:tc>
        <w:tc>
          <w:tcPr>
            <w:tcW w:w="1080" w:type="dxa"/>
            <w:tcBorders>
              <w:top w:val="single" w:sz="4" w:space="0" w:color="auto"/>
              <w:left w:val="nil"/>
              <w:bottom w:val="single" w:sz="4" w:space="0" w:color="auto"/>
              <w:right w:val="nil"/>
            </w:tcBorders>
            <w:shd w:val="clear" w:color="auto" w:fill="auto"/>
            <w:noWrap/>
            <w:vAlign w:val="center"/>
            <w:hideMark/>
          </w:tcPr>
          <w:p w14:paraId="0A7ED68D" w14:textId="6683BBD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3EF99ADE" w14:textId="66C9F43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916</w:t>
            </w:r>
          </w:p>
        </w:tc>
        <w:tc>
          <w:tcPr>
            <w:tcW w:w="1080" w:type="dxa"/>
            <w:tcBorders>
              <w:top w:val="single" w:sz="4" w:space="0" w:color="auto"/>
              <w:left w:val="nil"/>
              <w:bottom w:val="single" w:sz="4" w:space="0" w:color="auto"/>
              <w:right w:val="nil"/>
            </w:tcBorders>
            <w:shd w:val="clear" w:color="auto" w:fill="auto"/>
            <w:noWrap/>
            <w:vAlign w:val="center"/>
            <w:hideMark/>
          </w:tcPr>
          <w:p w14:paraId="08B7009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30339E34"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0B01733"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Děčín</w:t>
            </w:r>
          </w:p>
        </w:tc>
        <w:tc>
          <w:tcPr>
            <w:tcW w:w="1080" w:type="dxa"/>
            <w:tcBorders>
              <w:top w:val="single" w:sz="4" w:space="0" w:color="auto"/>
              <w:left w:val="nil"/>
              <w:bottom w:val="single" w:sz="4" w:space="0" w:color="auto"/>
              <w:right w:val="nil"/>
            </w:tcBorders>
            <w:shd w:val="clear" w:color="auto" w:fill="auto"/>
            <w:noWrap/>
            <w:vAlign w:val="center"/>
            <w:hideMark/>
          </w:tcPr>
          <w:p w14:paraId="3E76CB21" w14:textId="6CAA6B9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912</w:t>
            </w:r>
          </w:p>
        </w:tc>
        <w:tc>
          <w:tcPr>
            <w:tcW w:w="1080" w:type="dxa"/>
            <w:tcBorders>
              <w:top w:val="single" w:sz="4" w:space="0" w:color="auto"/>
              <w:left w:val="nil"/>
              <w:bottom w:val="single" w:sz="4" w:space="0" w:color="auto"/>
              <w:right w:val="nil"/>
            </w:tcBorders>
            <w:shd w:val="clear" w:color="auto" w:fill="auto"/>
            <w:noWrap/>
            <w:vAlign w:val="center"/>
            <w:hideMark/>
          </w:tcPr>
          <w:p w14:paraId="6E5B9564" w14:textId="60EDA37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973</w:t>
            </w:r>
          </w:p>
        </w:tc>
        <w:tc>
          <w:tcPr>
            <w:tcW w:w="1080" w:type="dxa"/>
            <w:tcBorders>
              <w:top w:val="single" w:sz="4" w:space="0" w:color="auto"/>
              <w:left w:val="nil"/>
              <w:bottom w:val="single" w:sz="4" w:space="0" w:color="auto"/>
              <w:right w:val="nil"/>
            </w:tcBorders>
            <w:shd w:val="clear" w:color="auto" w:fill="auto"/>
            <w:noWrap/>
            <w:vAlign w:val="center"/>
            <w:hideMark/>
          </w:tcPr>
          <w:p w14:paraId="4A7F0674" w14:textId="17A50DE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937</w:t>
            </w:r>
          </w:p>
        </w:tc>
        <w:tc>
          <w:tcPr>
            <w:tcW w:w="1080" w:type="dxa"/>
            <w:tcBorders>
              <w:top w:val="single" w:sz="4" w:space="0" w:color="auto"/>
              <w:left w:val="nil"/>
              <w:bottom w:val="single" w:sz="4" w:space="0" w:color="auto"/>
              <w:right w:val="nil"/>
            </w:tcBorders>
            <w:shd w:val="clear" w:color="auto" w:fill="auto"/>
            <w:noWrap/>
            <w:vAlign w:val="center"/>
            <w:hideMark/>
          </w:tcPr>
          <w:p w14:paraId="062763FD"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407A4A26"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748FAB2"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Domažlice</w:t>
            </w:r>
          </w:p>
        </w:tc>
        <w:tc>
          <w:tcPr>
            <w:tcW w:w="1080" w:type="dxa"/>
            <w:tcBorders>
              <w:top w:val="single" w:sz="4" w:space="0" w:color="auto"/>
              <w:left w:val="nil"/>
              <w:bottom w:val="single" w:sz="4" w:space="0" w:color="auto"/>
              <w:right w:val="nil"/>
            </w:tcBorders>
            <w:shd w:val="clear" w:color="auto" w:fill="auto"/>
            <w:noWrap/>
            <w:vAlign w:val="center"/>
            <w:hideMark/>
          </w:tcPr>
          <w:p w14:paraId="55C65548" w14:textId="32144D6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911</w:t>
            </w:r>
          </w:p>
        </w:tc>
        <w:tc>
          <w:tcPr>
            <w:tcW w:w="1080" w:type="dxa"/>
            <w:tcBorders>
              <w:top w:val="single" w:sz="4" w:space="0" w:color="auto"/>
              <w:left w:val="nil"/>
              <w:bottom w:val="single" w:sz="4" w:space="0" w:color="auto"/>
              <w:right w:val="nil"/>
            </w:tcBorders>
            <w:shd w:val="clear" w:color="auto" w:fill="auto"/>
            <w:noWrap/>
            <w:vAlign w:val="center"/>
            <w:hideMark/>
          </w:tcPr>
          <w:p w14:paraId="34C28419" w14:textId="4FEA88D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981</w:t>
            </w:r>
          </w:p>
        </w:tc>
        <w:tc>
          <w:tcPr>
            <w:tcW w:w="1080" w:type="dxa"/>
            <w:tcBorders>
              <w:top w:val="single" w:sz="4" w:space="0" w:color="auto"/>
              <w:left w:val="nil"/>
              <w:bottom w:val="single" w:sz="4" w:space="0" w:color="auto"/>
              <w:right w:val="nil"/>
            </w:tcBorders>
            <w:shd w:val="clear" w:color="auto" w:fill="auto"/>
            <w:noWrap/>
            <w:vAlign w:val="center"/>
            <w:hideMark/>
          </w:tcPr>
          <w:p w14:paraId="25527DDD" w14:textId="739075D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928</w:t>
            </w:r>
          </w:p>
        </w:tc>
        <w:tc>
          <w:tcPr>
            <w:tcW w:w="1080" w:type="dxa"/>
            <w:tcBorders>
              <w:top w:val="single" w:sz="4" w:space="0" w:color="auto"/>
              <w:left w:val="nil"/>
              <w:bottom w:val="single" w:sz="4" w:space="0" w:color="auto"/>
              <w:right w:val="nil"/>
            </w:tcBorders>
            <w:shd w:val="clear" w:color="auto" w:fill="auto"/>
            <w:noWrap/>
            <w:vAlign w:val="center"/>
            <w:hideMark/>
          </w:tcPr>
          <w:p w14:paraId="68B34566"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7EF8177B"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E7B6374"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Hradec Králové</w:t>
            </w:r>
          </w:p>
        </w:tc>
        <w:tc>
          <w:tcPr>
            <w:tcW w:w="1080" w:type="dxa"/>
            <w:tcBorders>
              <w:top w:val="single" w:sz="4" w:space="0" w:color="auto"/>
              <w:left w:val="nil"/>
              <w:bottom w:val="single" w:sz="4" w:space="0" w:color="auto"/>
              <w:right w:val="nil"/>
            </w:tcBorders>
            <w:shd w:val="clear" w:color="auto" w:fill="auto"/>
            <w:noWrap/>
            <w:vAlign w:val="center"/>
            <w:hideMark/>
          </w:tcPr>
          <w:p w14:paraId="4EA33633" w14:textId="0804F1B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911</w:t>
            </w:r>
          </w:p>
        </w:tc>
        <w:tc>
          <w:tcPr>
            <w:tcW w:w="1080" w:type="dxa"/>
            <w:tcBorders>
              <w:top w:val="single" w:sz="4" w:space="0" w:color="auto"/>
              <w:left w:val="nil"/>
              <w:bottom w:val="single" w:sz="4" w:space="0" w:color="auto"/>
              <w:right w:val="nil"/>
            </w:tcBorders>
            <w:shd w:val="clear" w:color="auto" w:fill="auto"/>
            <w:noWrap/>
            <w:vAlign w:val="center"/>
            <w:hideMark/>
          </w:tcPr>
          <w:p w14:paraId="6663334B" w14:textId="40B935F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968</w:t>
            </w:r>
          </w:p>
        </w:tc>
        <w:tc>
          <w:tcPr>
            <w:tcW w:w="1080" w:type="dxa"/>
            <w:tcBorders>
              <w:top w:val="single" w:sz="4" w:space="0" w:color="auto"/>
              <w:left w:val="nil"/>
              <w:bottom w:val="single" w:sz="4" w:space="0" w:color="auto"/>
              <w:right w:val="nil"/>
            </w:tcBorders>
            <w:shd w:val="clear" w:color="auto" w:fill="auto"/>
            <w:noWrap/>
            <w:vAlign w:val="center"/>
            <w:hideMark/>
          </w:tcPr>
          <w:p w14:paraId="06B3AC40" w14:textId="1C58520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941</w:t>
            </w:r>
          </w:p>
        </w:tc>
        <w:tc>
          <w:tcPr>
            <w:tcW w:w="1080" w:type="dxa"/>
            <w:tcBorders>
              <w:top w:val="single" w:sz="4" w:space="0" w:color="auto"/>
              <w:left w:val="nil"/>
              <w:bottom w:val="single" w:sz="4" w:space="0" w:color="auto"/>
              <w:right w:val="nil"/>
            </w:tcBorders>
            <w:shd w:val="clear" w:color="auto" w:fill="auto"/>
            <w:noWrap/>
            <w:vAlign w:val="center"/>
            <w:hideMark/>
          </w:tcPr>
          <w:p w14:paraId="35E3CB39"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55431F4A"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EA9B85B"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Jeseník</w:t>
            </w:r>
          </w:p>
        </w:tc>
        <w:tc>
          <w:tcPr>
            <w:tcW w:w="1080" w:type="dxa"/>
            <w:tcBorders>
              <w:top w:val="single" w:sz="4" w:space="0" w:color="auto"/>
              <w:left w:val="nil"/>
              <w:bottom w:val="single" w:sz="4" w:space="0" w:color="auto"/>
              <w:right w:val="nil"/>
            </w:tcBorders>
            <w:shd w:val="clear" w:color="auto" w:fill="auto"/>
            <w:noWrap/>
            <w:vAlign w:val="center"/>
            <w:hideMark/>
          </w:tcPr>
          <w:p w14:paraId="2012397A" w14:textId="03505FD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908</w:t>
            </w:r>
          </w:p>
        </w:tc>
        <w:tc>
          <w:tcPr>
            <w:tcW w:w="1080" w:type="dxa"/>
            <w:tcBorders>
              <w:top w:val="single" w:sz="4" w:space="0" w:color="auto"/>
              <w:left w:val="nil"/>
              <w:bottom w:val="single" w:sz="4" w:space="0" w:color="auto"/>
              <w:right w:val="nil"/>
            </w:tcBorders>
            <w:shd w:val="clear" w:color="auto" w:fill="auto"/>
            <w:noWrap/>
            <w:vAlign w:val="center"/>
            <w:hideMark/>
          </w:tcPr>
          <w:p w14:paraId="7633BC8F" w14:textId="3D7A826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39D59F7A" w14:textId="1FE91FC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908</w:t>
            </w:r>
          </w:p>
        </w:tc>
        <w:tc>
          <w:tcPr>
            <w:tcW w:w="1080" w:type="dxa"/>
            <w:tcBorders>
              <w:top w:val="single" w:sz="4" w:space="0" w:color="auto"/>
              <w:left w:val="nil"/>
              <w:bottom w:val="single" w:sz="4" w:space="0" w:color="auto"/>
              <w:right w:val="nil"/>
            </w:tcBorders>
            <w:shd w:val="clear" w:color="auto" w:fill="auto"/>
            <w:noWrap/>
            <w:vAlign w:val="center"/>
            <w:hideMark/>
          </w:tcPr>
          <w:p w14:paraId="5353E9F4"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7CF4DBD8"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B143812"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Náchod</w:t>
            </w:r>
          </w:p>
        </w:tc>
        <w:tc>
          <w:tcPr>
            <w:tcW w:w="1080" w:type="dxa"/>
            <w:tcBorders>
              <w:top w:val="single" w:sz="4" w:space="0" w:color="auto"/>
              <w:left w:val="nil"/>
              <w:bottom w:val="single" w:sz="4" w:space="0" w:color="auto"/>
              <w:right w:val="nil"/>
            </w:tcBorders>
            <w:shd w:val="clear" w:color="auto" w:fill="auto"/>
            <w:noWrap/>
            <w:vAlign w:val="center"/>
            <w:hideMark/>
          </w:tcPr>
          <w:p w14:paraId="21B7CA61" w14:textId="4D740F6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907</w:t>
            </w:r>
          </w:p>
        </w:tc>
        <w:tc>
          <w:tcPr>
            <w:tcW w:w="1080" w:type="dxa"/>
            <w:tcBorders>
              <w:top w:val="single" w:sz="4" w:space="0" w:color="auto"/>
              <w:left w:val="nil"/>
              <w:bottom w:val="single" w:sz="4" w:space="0" w:color="auto"/>
              <w:right w:val="nil"/>
            </w:tcBorders>
            <w:shd w:val="clear" w:color="auto" w:fill="auto"/>
            <w:noWrap/>
            <w:vAlign w:val="center"/>
            <w:hideMark/>
          </w:tcPr>
          <w:p w14:paraId="22DBBBCA" w14:textId="787F7F3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913</w:t>
            </w:r>
          </w:p>
        </w:tc>
        <w:tc>
          <w:tcPr>
            <w:tcW w:w="1080" w:type="dxa"/>
            <w:tcBorders>
              <w:top w:val="single" w:sz="4" w:space="0" w:color="auto"/>
              <w:left w:val="nil"/>
              <w:bottom w:val="single" w:sz="4" w:space="0" w:color="auto"/>
              <w:right w:val="nil"/>
            </w:tcBorders>
            <w:shd w:val="clear" w:color="auto" w:fill="auto"/>
            <w:noWrap/>
            <w:vAlign w:val="center"/>
            <w:hideMark/>
          </w:tcPr>
          <w:p w14:paraId="62BFF1F9" w14:textId="4E3F4B0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994</w:t>
            </w:r>
          </w:p>
        </w:tc>
        <w:tc>
          <w:tcPr>
            <w:tcW w:w="1080" w:type="dxa"/>
            <w:tcBorders>
              <w:top w:val="single" w:sz="4" w:space="0" w:color="auto"/>
              <w:left w:val="nil"/>
              <w:bottom w:val="single" w:sz="4" w:space="0" w:color="auto"/>
              <w:right w:val="nil"/>
            </w:tcBorders>
            <w:shd w:val="clear" w:color="auto" w:fill="auto"/>
            <w:noWrap/>
            <w:vAlign w:val="center"/>
            <w:hideMark/>
          </w:tcPr>
          <w:p w14:paraId="78B2C322"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70040FA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58A2EE4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Šumperk</w:t>
            </w:r>
          </w:p>
        </w:tc>
        <w:tc>
          <w:tcPr>
            <w:tcW w:w="1080" w:type="dxa"/>
            <w:tcBorders>
              <w:top w:val="single" w:sz="4" w:space="0" w:color="auto"/>
              <w:left w:val="nil"/>
              <w:bottom w:val="single" w:sz="4" w:space="0" w:color="auto"/>
              <w:right w:val="nil"/>
            </w:tcBorders>
            <w:shd w:val="clear" w:color="auto" w:fill="auto"/>
            <w:noWrap/>
            <w:vAlign w:val="center"/>
            <w:hideMark/>
          </w:tcPr>
          <w:p w14:paraId="7D9BB031" w14:textId="6D2EF9E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894</w:t>
            </w:r>
          </w:p>
        </w:tc>
        <w:tc>
          <w:tcPr>
            <w:tcW w:w="1080" w:type="dxa"/>
            <w:tcBorders>
              <w:top w:val="single" w:sz="4" w:space="0" w:color="auto"/>
              <w:left w:val="nil"/>
              <w:bottom w:val="single" w:sz="4" w:space="0" w:color="auto"/>
              <w:right w:val="nil"/>
            </w:tcBorders>
            <w:shd w:val="clear" w:color="auto" w:fill="auto"/>
            <w:noWrap/>
            <w:vAlign w:val="center"/>
            <w:hideMark/>
          </w:tcPr>
          <w:p w14:paraId="58C353EA" w14:textId="3E35038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894</w:t>
            </w:r>
          </w:p>
        </w:tc>
        <w:tc>
          <w:tcPr>
            <w:tcW w:w="1080" w:type="dxa"/>
            <w:tcBorders>
              <w:top w:val="single" w:sz="4" w:space="0" w:color="auto"/>
              <w:left w:val="nil"/>
              <w:bottom w:val="single" w:sz="4" w:space="0" w:color="auto"/>
              <w:right w:val="nil"/>
            </w:tcBorders>
            <w:shd w:val="clear" w:color="auto" w:fill="auto"/>
            <w:noWrap/>
            <w:vAlign w:val="center"/>
            <w:hideMark/>
          </w:tcPr>
          <w:p w14:paraId="58772B9F" w14:textId="12D452E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999</w:t>
            </w:r>
          </w:p>
        </w:tc>
        <w:tc>
          <w:tcPr>
            <w:tcW w:w="1080" w:type="dxa"/>
            <w:tcBorders>
              <w:top w:val="single" w:sz="4" w:space="0" w:color="auto"/>
              <w:left w:val="nil"/>
              <w:bottom w:val="single" w:sz="4" w:space="0" w:color="auto"/>
              <w:right w:val="nil"/>
            </w:tcBorders>
            <w:shd w:val="clear" w:color="auto" w:fill="auto"/>
            <w:noWrap/>
            <w:vAlign w:val="center"/>
            <w:hideMark/>
          </w:tcPr>
          <w:p w14:paraId="6ED1570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0F48FAA1"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6D8E2AA"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Rychnov nad Kněžnou</w:t>
            </w:r>
          </w:p>
        </w:tc>
        <w:tc>
          <w:tcPr>
            <w:tcW w:w="1080" w:type="dxa"/>
            <w:tcBorders>
              <w:top w:val="single" w:sz="4" w:space="0" w:color="auto"/>
              <w:left w:val="nil"/>
              <w:bottom w:val="single" w:sz="4" w:space="0" w:color="auto"/>
              <w:right w:val="nil"/>
            </w:tcBorders>
            <w:shd w:val="clear" w:color="auto" w:fill="auto"/>
            <w:noWrap/>
            <w:vAlign w:val="center"/>
            <w:hideMark/>
          </w:tcPr>
          <w:p w14:paraId="297C76BD" w14:textId="767CC54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891</w:t>
            </w:r>
          </w:p>
        </w:tc>
        <w:tc>
          <w:tcPr>
            <w:tcW w:w="1080" w:type="dxa"/>
            <w:tcBorders>
              <w:top w:val="single" w:sz="4" w:space="0" w:color="auto"/>
              <w:left w:val="nil"/>
              <w:bottom w:val="single" w:sz="4" w:space="0" w:color="auto"/>
              <w:right w:val="nil"/>
            </w:tcBorders>
            <w:shd w:val="clear" w:color="auto" w:fill="auto"/>
            <w:noWrap/>
            <w:vAlign w:val="center"/>
            <w:hideMark/>
          </w:tcPr>
          <w:p w14:paraId="26E4087A" w14:textId="2BA9F7F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963</w:t>
            </w:r>
          </w:p>
        </w:tc>
        <w:tc>
          <w:tcPr>
            <w:tcW w:w="1080" w:type="dxa"/>
            <w:tcBorders>
              <w:top w:val="single" w:sz="4" w:space="0" w:color="auto"/>
              <w:left w:val="nil"/>
              <w:bottom w:val="single" w:sz="4" w:space="0" w:color="auto"/>
              <w:right w:val="nil"/>
            </w:tcBorders>
            <w:shd w:val="clear" w:color="auto" w:fill="auto"/>
            <w:noWrap/>
            <w:vAlign w:val="center"/>
            <w:hideMark/>
          </w:tcPr>
          <w:p w14:paraId="152605AB" w14:textId="329A5BE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925</w:t>
            </w:r>
          </w:p>
        </w:tc>
        <w:tc>
          <w:tcPr>
            <w:tcW w:w="1080" w:type="dxa"/>
            <w:tcBorders>
              <w:top w:val="single" w:sz="4" w:space="0" w:color="auto"/>
              <w:left w:val="nil"/>
              <w:bottom w:val="single" w:sz="4" w:space="0" w:color="auto"/>
              <w:right w:val="nil"/>
            </w:tcBorders>
            <w:shd w:val="clear" w:color="auto" w:fill="auto"/>
            <w:noWrap/>
            <w:vAlign w:val="center"/>
            <w:hideMark/>
          </w:tcPr>
          <w:p w14:paraId="6EB4205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656B273F"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DC3AA4E"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3</w:t>
            </w:r>
          </w:p>
        </w:tc>
        <w:tc>
          <w:tcPr>
            <w:tcW w:w="1080" w:type="dxa"/>
            <w:tcBorders>
              <w:top w:val="single" w:sz="4" w:space="0" w:color="auto"/>
              <w:left w:val="nil"/>
              <w:bottom w:val="single" w:sz="4" w:space="0" w:color="auto"/>
              <w:right w:val="nil"/>
            </w:tcBorders>
            <w:shd w:val="clear" w:color="auto" w:fill="auto"/>
            <w:noWrap/>
            <w:vAlign w:val="center"/>
            <w:hideMark/>
          </w:tcPr>
          <w:p w14:paraId="56697EE6" w14:textId="66C3937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885</w:t>
            </w:r>
          </w:p>
        </w:tc>
        <w:tc>
          <w:tcPr>
            <w:tcW w:w="1080" w:type="dxa"/>
            <w:tcBorders>
              <w:top w:val="single" w:sz="4" w:space="0" w:color="auto"/>
              <w:left w:val="nil"/>
              <w:bottom w:val="single" w:sz="4" w:space="0" w:color="auto"/>
              <w:right w:val="nil"/>
            </w:tcBorders>
            <w:shd w:val="clear" w:color="auto" w:fill="auto"/>
            <w:noWrap/>
            <w:vAlign w:val="center"/>
            <w:hideMark/>
          </w:tcPr>
          <w:p w14:paraId="28363478" w14:textId="77FD161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900</w:t>
            </w:r>
          </w:p>
        </w:tc>
        <w:tc>
          <w:tcPr>
            <w:tcW w:w="1080" w:type="dxa"/>
            <w:tcBorders>
              <w:top w:val="single" w:sz="4" w:space="0" w:color="auto"/>
              <w:left w:val="nil"/>
              <w:bottom w:val="single" w:sz="4" w:space="0" w:color="auto"/>
              <w:right w:val="nil"/>
            </w:tcBorders>
            <w:shd w:val="clear" w:color="auto" w:fill="auto"/>
            <w:noWrap/>
            <w:vAlign w:val="center"/>
            <w:hideMark/>
          </w:tcPr>
          <w:p w14:paraId="42879D2F" w14:textId="4344823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984</w:t>
            </w:r>
          </w:p>
        </w:tc>
        <w:tc>
          <w:tcPr>
            <w:tcW w:w="1080" w:type="dxa"/>
            <w:tcBorders>
              <w:top w:val="single" w:sz="4" w:space="0" w:color="auto"/>
              <w:left w:val="nil"/>
              <w:bottom w:val="single" w:sz="4" w:space="0" w:color="auto"/>
              <w:right w:val="nil"/>
            </w:tcBorders>
            <w:shd w:val="clear" w:color="auto" w:fill="auto"/>
            <w:noWrap/>
            <w:vAlign w:val="center"/>
            <w:hideMark/>
          </w:tcPr>
          <w:p w14:paraId="67A5F9C0"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51A4A187"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5ACD7653"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Teplice</w:t>
            </w:r>
          </w:p>
        </w:tc>
        <w:tc>
          <w:tcPr>
            <w:tcW w:w="1080" w:type="dxa"/>
            <w:tcBorders>
              <w:top w:val="single" w:sz="4" w:space="0" w:color="auto"/>
              <w:left w:val="nil"/>
              <w:bottom w:val="single" w:sz="4" w:space="0" w:color="auto"/>
              <w:right w:val="nil"/>
            </w:tcBorders>
            <w:shd w:val="clear" w:color="auto" w:fill="auto"/>
            <w:noWrap/>
            <w:vAlign w:val="center"/>
            <w:hideMark/>
          </w:tcPr>
          <w:p w14:paraId="17413136" w14:textId="36442B2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883</w:t>
            </w:r>
          </w:p>
        </w:tc>
        <w:tc>
          <w:tcPr>
            <w:tcW w:w="1080" w:type="dxa"/>
            <w:tcBorders>
              <w:top w:val="single" w:sz="4" w:space="0" w:color="auto"/>
              <w:left w:val="nil"/>
              <w:bottom w:val="single" w:sz="4" w:space="0" w:color="auto"/>
              <w:right w:val="nil"/>
            </w:tcBorders>
            <w:shd w:val="clear" w:color="auto" w:fill="auto"/>
            <w:noWrap/>
            <w:vAlign w:val="center"/>
            <w:hideMark/>
          </w:tcPr>
          <w:p w14:paraId="3B099D0A" w14:textId="703879B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969</w:t>
            </w:r>
          </w:p>
        </w:tc>
        <w:tc>
          <w:tcPr>
            <w:tcW w:w="1080" w:type="dxa"/>
            <w:tcBorders>
              <w:top w:val="single" w:sz="4" w:space="0" w:color="auto"/>
              <w:left w:val="nil"/>
              <w:bottom w:val="single" w:sz="4" w:space="0" w:color="auto"/>
              <w:right w:val="nil"/>
            </w:tcBorders>
            <w:shd w:val="clear" w:color="auto" w:fill="auto"/>
            <w:noWrap/>
            <w:vAlign w:val="center"/>
            <w:hideMark/>
          </w:tcPr>
          <w:p w14:paraId="7ADA59DA" w14:textId="41A1652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911</w:t>
            </w:r>
          </w:p>
        </w:tc>
        <w:tc>
          <w:tcPr>
            <w:tcW w:w="1080" w:type="dxa"/>
            <w:tcBorders>
              <w:top w:val="single" w:sz="4" w:space="0" w:color="auto"/>
              <w:left w:val="nil"/>
              <w:bottom w:val="single" w:sz="4" w:space="0" w:color="auto"/>
              <w:right w:val="nil"/>
            </w:tcBorders>
            <w:shd w:val="clear" w:color="auto" w:fill="auto"/>
            <w:noWrap/>
            <w:vAlign w:val="center"/>
            <w:hideMark/>
          </w:tcPr>
          <w:p w14:paraId="25B5FC81"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60E3501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3D58884"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Litoměřice</w:t>
            </w:r>
          </w:p>
        </w:tc>
        <w:tc>
          <w:tcPr>
            <w:tcW w:w="1080" w:type="dxa"/>
            <w:tcBorders>
              <w:top w:val="single" w:sz="4" w:space="0" w:color="auto"/>
              <w:left w:val="nil"/>
              <w:bottom w:val="single" w:sz="4" w:space="0" w:color="auto"/>
              <w:right w:val="nil"/>
            </w:tcBorders>
            <w:shd w:val="clear" w:color="auto" w:fill="auto"/>
            <w:noWrap/>
            <w:vAlign w:val="center"/>
            <w:hideMark/>
          </w:tcPr>
          <w:p w14:paraId="21E30CF1" w14:textId="67B33C2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883</w:t>
            </w:r>
          </w:p>
        </w:tc>
        <w:tc>
          <w:tcPr>
            <w:tcW w:w="1080" w:type="dxa"/>
            <w:tcBorders>
              <w:top w:val="single" w:sz="4" w:space="0" w:color="auto"/>
              <w:left w:val="nil"/>
              <w:bottom w:val="single" w:sz="4" w:space="0" w:color="auto"/>
              <w:right w:val="nil"/>
            </w:tcBorders>
            <w:shd w:val="clear" w:color="auto" w:fill="auto"/>
            <w:noWrap/>
            <w:vAlign w:val="center"/>
            <w:hideMark/>
          </w:tcPr>
          <w:p w14:paraId="1E743CFD" w14:textId="62175E9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915</w:t>
            </w:r>
          </w:p>
        </w:tc>
        <w:tc>
          <w:tcPr>
            <w:tcW w:w="1080" w:type="dxa"/>
            <w:tcBorders>
              <w:top w:val="single" w:sz="4" w:space="0" w:color="auto"/>
              <w:left w:val="nil"/>
              <w:bottom w:val="single" w:sz="4" w:space="0" w:color="auto"/>
              <w:right w:val="nil"/>
            </w:tcBorders>
            <w:shd w:val="clear" w:color="auto" w:fill="auto"/>
            <w:noWrap/>
            <w:vAlign w:val="center"/>
            <w:hideMark/>
          </w:tcPr>
          <w:p w14:paraId="6C547BAB" w14:textId="35957A9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965</w:t>
            </w:r>
          </w:p>
        </w:tc>
        <w:tc>
          <w:tcPr>
            <w:tcW w:w="1080" w:type="dxa"/>
            <w:tcBorders>
              <w:top w:val="single" w:sz="4" w:space="0" w:color="auto"/>
              <w:left w:val="nil"/>
              <w:bottom w:val="single" w:sz="4" w:space="0" w:color="auto"/>
              <w:right w:val="nil"/>
            </w:tcBorders>
            <w:shd w:val="clear" w:color="auto" w:fill="auto"/>
            <w:noWrap/>
            <w:vAlign w:val="center"/>
            <w:hideMark/>
          </w:tcPr>
          <w:p w14:paraId="00192D16"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4D8817B1"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B83D3C1"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Jablonec nad Nisou</w:t>
            </w:r>
          </w:p>
        </w:tc>
        <w:tc>
          <w:tcPr>
            <w:tcW w:w="1080" w:type="dxa"/>
            <w:tcBorders>
              <w:top w:val="single" w:sz="4" w:space="0" w:color="auto"/>
              <w:left w:val="nil"/>
              <w:bottom w:val="single" w:sz="4" w:space="0" w:color="auto"/>
              <w:right w:val="nil"/>
            </w:tcBorders>
            <w:shd w:val="clear" w:color="auto" w:fill="auto"/>
            <w:noWrap/>
            <w:vAlign w:val="center"/>
            <w:hideMark/>
          </w:tcPr>
          <w:p w14:paraId="5B5F54F9" w14:textId="428CA64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883</w:t>
            </w:r>
          </w:p>
        </w:tc>
        <w:tc>
          <w:tcPr>
            <w:tcW w:w="1080" w:type="dxa"/>
            <w:tcBorders>
              <w:top w:val="single" w:sz="4" w:space="0" w:color="auto"/>
              <w:left w:val="nil"/>
              <w:bottom w:val="single" w:sz="4" w:space="0" w:color="auto"/>
              <w:right w:val="nil"/>
            </w:tcBorders>
            <w:shd w:val="clear" w:color="auto" w:fill="auto"/>
            <w:noWrap/>
            <w:vAlign w:val="center"/>
            <w:hideMark/>
          </w:tcPr>
          <w:p w14:paraId="734BC7B2" w14:textId="28D2FCA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883</w:t>
            </w:r>
          </w:p>
        </w:tc>
        <w:tc>
          <w:tcPr>
            <w:tcW w:w="1080" w:type="dxa"/>
            <w:tcBorders>
              <w:top w:val="single" w:sz="4" w:space="0" w:color="auto"/>
              <w:left w:val="nil"/>
              <w:bottom w:val="single" w:sz="4" w:space="0" w:color="auto"/>
              <w:right w:val="nil"/>
            </w:tcBorders>
            <w:shd w:val="clear" w:color="auto" w:fill="auto"/>
            <w:noWrap/>
            <w:vAlign w:val="center"/>
            <w:hideMark/>
          </w:tcPr>
          <w:p w14:paraId="3D38DF71" w14:textId="41347CB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999</w:t>
            </w:r>
          </w:p>
        </w:tc>
        <w:tc>
          <w:tcPr>
            <w:tcW w:w="1080" w:type="dxa"/>
            <w:tcBorders>
              <w:top w:val="single" w:sz="4" w:space="0" w:color="auto"/>
              <w:left w:val="nil"/>
              <w:bottom w:val="single" w:sz="4" w:space="0" w:color="auto"/>
              <w:right w:val="nil"/>
            </w:tcBorders>
            <w:shd w:val="clear" w:color="auto" w:fill="auto"/>
            <w:noWrap/>
            <w:vAlign w:val="center"/>
            <w:hideMark/>
          </w:tcPr>
          <w:p w14:paraId="49E0BB8E"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98BA247"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901CAB9"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Klatovy</w:t>
            </w:r>
          </w:p>
        </w:tc>
        <w:tc>
          <w:tcPr>
            <w:tcW w:w="1080" w:type="dxa"/>
            <w:tcBorders>
              <w:top w:val="single" w:sz="4" w:space="0" w:color="auto"/>
              <w:left w:val="nil"/>
              <w:bottom w:val="single" w:sz="4" w:space="0" w:color="auto"/>
              <w:right w:val="nil"/>
            </w:tcBorders>
            <w:shd w:val="clear" w:color="auto" w:fill="auto"/>
            <w:noWrap/>
            <w:vAlign w:val="center"/>
            <w:hideMark/>
          </w:tcPr>
          <w:p w14:paraId="54CB0AD9" w14:textId="15A1930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881</w:t>
            </w:r>
          </w:p>
        </w:tc>
        <w:tc>
          <w:tcPr>
            <w:tcW w:w="1080" w:type="dxa"/>
            <w:tcBorders>
              <w:top w:val="single" w:sz="4" w:space="0" w:color="auto"/>
              <w:left w:val="nil"/>
              <w:bottom w:val="single" w:sz="4" w:space="0" w:color="auto"/>
              <w:right w:val="nil"/>
            </w:tcBorders>
            <w:shd w:val="clear" w:color="auto" w:fill="auto"/>
            <w:noWrap/>
            <w:vAlign w:val="center"/>
            <w:hideMark/>
          </w:tcPr>
          <w:p w14:paraId="0C6C198D" w14:textId="729375B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887</w:t>
            </w:r>
          </w:p>
        </w:tc>
        <w:tc>
          <w:tcPr>
            <w:tcW w:w="1080" w:type="dxa"/>
            <w:tcBorders>
              <w:top w:val="single" w:sz="4" w:space="0" w:color="auto"/>
              <w:left w:val="nil"/>
              <w:bottom w:val="single" w:sz="4" w:space="0" w:color="auto"/>
              <w:right w:val="nil"/>
            </w:tcBorders>
            <w:shd w:val="clear" w:color="auto" w:fill="auto"/>
            <w:noWrap/>
            <w:vAlign w:val="center"/>
            <w:hideMark/>
          </w:tcPr>
          <w:p w14:paraId="2A1CED39" w14:textId="1E181AC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993</w:t>
            </w:r>
          </w:p>
        </w:tc>
        <w:tc>
          <w:tcPr>
            <w:tcW w:w="1080" w:type="dxa"/>
            <w:tcBorders>
              <w:top w:val="single" w:sz="4" w:space="0" w:color="auto"/>
              <w:left w:val="nil"/>
              <w:bottom w:val="single" w:sz="4" w:space="0" w:color="auto"/>
              <w:right w:val="nil"/>
            </w:tcBorders>
            <w:shd w:val="clear" w:color="auto" w:fill="auto"/>
            <w:noWrap/>
            <w:vAlign w:val="center"/>
            <w:hideMark/>
          </w:tcPr>
          <w:p w14:paraId="32C5639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34B1F69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5CDD5DA0"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Přerov</w:t>
            </w:r>
          </w:p>
        </w:tc>
        <w:tc>
          <w:tcPr>
            <w:tcW w:w="1080" w:type="dxa"/>
            <w:tcBorders>
              <w:top w:val="single" w:sz="4" w:space="0" w:color="auto"/>
              <w:left w:val="nil"/>
              <w:bottom w:val="single" w:sz="4" w:space="0" w:color="auto"/>
              <w:right w:val="nil"/>
            </w:tcBorders>
            <w:shd w:val="clear" w:color="auto" w:fill="auto"/>
            <w:noWrap/>
            <w:vAlign w:val="center"/>
            <w:hideMark/>
          </w:tcPr>
          <w:p w14:paraId="335DA92E" w14:textId="1DC8967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880</w:t>
            </w:r>
          </w:p>
        </w:tc>
        <w:tc>
          <w:tcPr>
            <w:tcW w:w="1080" w:type="dxa"/>
            <w:tcBorders>
              <w:top w:val="single" w:sz="4" w:space="0" w:color="auto"/>
              <w:left w:val="nil"/>
              <w:bottom w:val="single" w:sz="4" w:space="0" w:color="auto"/>
              <w:right w:val="nil"/>
            </w:tcBorders>
            <w:shd w:val="clear" w:color="auto" w:fill="auto"/>
            <w:noWrap/>
            <w:vAlign w:val="center"/>
            <w:hideMark/>
          </w:tcPr>
          <w:p w14:paraId="2B300C53" w14:textId="3341405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883</w:t>
            </w:r>
          </w:p>
        </w:tc>
        <w:tc>
          <w:tcPr>
            <w:tcW w:w="1080" w:type="dxa"/>
            <w:tcBorders>
              <w:top w:val="single" w:sz="4" w:space="0" w:color="auto"/>
              <w:left w:val="nil"/>
              <w:bottom w:val="single" w:sz="4" w:space="0" w:color="auto"/>
              <w:right w:val="nil"/>
            </w:tcBorders>
            <w:shd w:val="clear" w:color="auto" w:fill="auto"/>
            <w:noWrap/>
            <w:vAlign w:val="center"/>
            <w:hideMark/>
          </w:tcPr>
          <w:p w14:paraId="6D5591FC" w14:textId="694D9BF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996</w:t>
            </w:r>
          </w:p>
        </w:tc>
        <w:tc>
          <w:tcPr>
            <w:tcW w:w="1080" w:type="dxa"/>
            <w:tcBorders>
              <w:top w:val="single" w:sz="4" w:space="0" w:color="auto"/>
              <w:left w:val="nil"/>
              <w:bottom w:val="single" w:sz="4" w:space="0" w:color="auto"/>
              <w:right w:val="nil"/>
            </w:tcBorders>
            <w:shd w:val="clear" w:color="auto" w:fill="auto"/>
            <w:noWrap/>
            <w:vAlign w:val="center"/>
            <w:hideMark/>
          </w:tcPr>
          <w:p w14:paraId="06CE557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7E758D4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A4D234B"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Česká Lípa</w:t>
            </w:r>
          </w:p>
        </w:tc>
        <w:tc>
          <w:tcPr>
            <w:tcW w:w="1080" w:type="dxa"/>
            <w:tcBorders>
              <w:top w:val="single" w:sz="4" w:space="0" w:color="auto"/>
              <w:left w:val="nil"/>
              <w:bottom w:val="single" w:sz="4" w:space="0" w:color="auto"/>
              <w:right w:val="nil"/>
            </w:tcBorders>
            <w:shd w:val="clear" w:color="auto" w:fill="auto"/>
            <w:noWrap/>
            <w:vAlign w:val="center"/>
            <w:hideMark/>
          </w:tcPr>
          <w:p w14:paraId="6C4FCF6E" w14:textId="616587E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879</w:t>
            </w:r>
          </w:p>
        </w:tc>
        <w:tc>
          <w:tcPr>
            <w:tcW w:w="1080" w:type="dxa"/>
            <w:tcBorders>
              <w:top w:val="single" w:sz="4" w:space="0" w:color="auto"/>
              <w:left w:val="nil"/>
              <w:bottom w:val="single" w:sz="4" w:space="0" w:color="auto"/>
              <w:right w:val="nil"/>
            </w:tcBorders>
            <w:shd w:val="clear" w:color="auto" w:fill="auto"/>
            <w:noWrap/>
            <w:vAlign w:val="center"/>
            <w:hideMark/>
          </w:tcPr>
          <w:p w14:paraId="4CD5B156" w14:textId="0F1BB11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930</w:t>
            </w:r>
          </w:p>
        </w:tc>
        <w:tc>
          <w:tcPr>
            <w:tcW w:w="1080" w:type="dxa"/>
            <w:tcBorders>
              <w:top w:val="single" w:sz="4" w:space="0" w:color="auto"/>
              <w:left w:val="nil"/>
              <w:bottom w:val="single" w:sz="4" w:space="0" w:color="auto"/>
              <w:right w:val="nil"/>
            </w:tcBorders>
            <w:shd w:val="clear" w:color="auto" w:fill="auto"/>
            <w:noWrap/>
            <w:vAlign w:val="center"/>
            <w:hideMark/>
          </w:tcPr>
          <w:p w14:paraId="3D010C2E" w14:textId="34648E3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946</w:t>
            </w:r>
          </w:p>
        </w:tc>
        <w:tc>
          <w:tcPr>
            <w:tcW w:w="1080" w:type="dxa"/>
            <w:tcBorders>
              <w:top w:val="single" w:sz="4" w:space="0" w:color="auto"/>
              <w:left w:val="nil"/>
              <w:bottom w:val="single" w:sz="4" w:space="0" w:color="auto"/>
              <w:right w:val="nil"/>
            </w:tcBorders>
            <w:shd w:val="clear" w:color="auto" w:fill="auto"/>
            <w:noWrap/>
            <w:vAlign w:val="center"/>
            <w:hideMark/>
          </w:tcPr>
          <w:p w14:paraId="6C3D15AD"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34FD607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EBA9BC2"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Hodonín</w:t>
            </w:r>
          </w:p>
        </w:tc>
        <w:tc>
          <w:tcPr>
            <w:tcW w:w="1080" w:type="dxa"/>
            <w:tcBorders>
              <w:top w:val="single" w:sz="4" w:space="0" w:color="auto"/>
              <w:left w:val="nil"/>
              <w:bottom w:val="single" w:sz="4" w:space="0" w:color="auto"/>
              <w:right w:val="nil"/>
            </w:tcBorders>
            <w:shd w:val="clear" w:color="auto" w:fill="auto"/>
            <w:noWrap/>
            <w:vAlign w:val="center"/>
            <w:hideMark/>
          </w:tcPr>
          <w:p w14:paraId="57F66B1E" w14:textId="10B111A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879</w:t>
            </w:r>
          </w:p>
        </w:tc>
        <w:tc>
          <w:tcPr>
            <w:tcW w:w="1080" w:type="dxa"/>
            <w:tcBorders>
              <w:top w:val="single" w:sz="4" w:space="0" w:color="auto"/>
              <w:left w:val="nil"/>
              <w:bottom w:val="single" w:sz="4" w:space="0" w:color="auto"/>
              <w:right w:val="nil"/>
            </w:tcBorders>
            <w:shd w:val="clear" w:color="auto" w:fill="auto"/>
            <w:noWrap/>
            <w:vAlign w:val="center"/>
            <w:hideMark/>
          </w:tcPr>
          <w:p w14:paraId="237851AA" w14:textId="73FDF6B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884</w:t>
            </w:r>
          </w:p>
        </w:tc>
        <w:tc>
          <w:tcPr>
            <w:tcW w:w="1080" w:type="dxa"/>
            <w:tcBorders>
              <w:top w:val="single" w:sz="4" w:space="0" w:color="auto"/>
              <w:left w:val="nil"/>
              <w:bottom w:val="single" w:sz="4" w:space="0" w:color="auto"/>
              <w:right w:val="nil"/>
            </w:tcBorders>
            <w:shd w:val="clear" w:color="auto" w:fill="auto"/>
            <w:noWrap/>
            <w:vAlign w:val="center"/>
            <w:hideMark/>
          </w:tcPr>
          <w:p w14:paraId="59E1B296" w14:textId="70EE071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994</w:t>
            </w:r>
          </w:p>
        </w:tc>
        <w:tc>
          <w:tcPr>
            <w:tcW w:w="1080" w:type="dxa"/>
            <w:tcBorders>
              <w:top w:val="single" w:sz="4" w:space="0" w:color="auto"/>
              <w:left w:val="nil"/>
              <w:bottom w:val="single" w:sz="4" w:space="0" w:color="auto"/>
              <w:right w:val="nil"/>
            </w:tcBorders>
            <w:shd w:val="clear" w:color="auto" w:fill="auto"/>
            <w:noWrap/>
            <w:vAlign w:val="center"/>
            <w:hideMark/>
          </w:tcPr>
          <w:p w14:paraId="428CF770"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1FDB2088"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769F0AB"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Kroměříž</w:t>
            </w:r>
          </w:p>
        </w:tc>
        <w:tc>
          <w:tcPr>
            <w:tcW w:w="1080" w:type="dxa"/>
            <w:tcBorders>
              <w:top w:val="single" w:sz="4" w:space="0" w:color="auto"/>
              <w:left w:val="nil"/>
              <w:bottom w:val="single" w:sz="4" w:space="0" w:color="auto"/>
              <w:right w:val="nil"/>
            </w:tcBorders>
            <w:shd w:val="clear" w:color="auto" w:fill="auto"/>
            <w:noWrap/>
            <w:vAlign w:val="center"/>
            <w:hideMark/>
          </w:tcPr>
          <w:p w14:paraId="3642C89B" w14:textId="7693FED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870</w:t>
            </w:r>
          </w:p>
        </w:tc>
        <w:tc>
          <w:tcPr>
            <w:tcW w:w="1080" w:type="dxa"/>
            <w:tcBorders>
              <w:top w:val="single" w:sz="4" w:space="0" w:color="auto"/>
              <w:left w:val="nil"/>
              <w:bottom w:val="single" w:sz="4" w:space="0" w:color="auto"/>
              <w:right w:val="nil"/>
            </w:tcBorders>
            <w:shd w:val="clear" w:color="auto" w:fill="auto"/>
            <w:noWrap/>
            <w:vAlign w:val="center"/>
            <w:hideMark/>
          </w:tcPr>
          <w:p w14:paraId="3B16BF25" w14:textId="26A52C9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871</w:t>
            </w:r>
          </w:p>
        </w:tc>
        <w:tc>
          <w:tcPr>
            <w:tcW w:w="1080" w:type="dxa"/>
            <w:tcBorders>
              <w:top w:val="single" w:sz="4" w:space="0" w:color="auto"/>
              <w:left w:val="nil"/>
              <w:bottom w:val="single" w:sz="4" w:space="0" w:color="auto"/>
              <w:right w:val="nil"/>
            </w:tcBorders>
            <w:shd w:val="clear" w:color="auto" w:fill="auto"/>
            <w:noWrap/>
            <w:vAlign w:val="center"/>
            <w:hideMark/>
          </w:tcPr>
          <w:p w14:paraId="72AFCA4D" w14:textId="29AC81A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999</w:t>
            </w:r>
          </w:p>
        </w:tc>
        <w:tc>
          <w:tcPr>
            <w:tcW w:w="1080" w:type="dxa"/>
            <w:tcBorders>
              <w:top w:val="single" w:sz="4" w:space="0" w:color="auto"/>
              <w:left w:val="nil"/>
              <w:bottom w:val="single" w:sz="4" w:space="0" w:color="auto"/>
              <w:right w:val="nil"/>
            </w:tcBorders>
            <w:shd w:val="clear" w:color="auto" w:fill="auto"/>
            <w:noWrap/>
            <w:vAlign w:val="center"/>
            <w:hideMark/>
          </w:tcPr>
          <w:p w14:paraId="5CF0E056"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57D7667"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47BBA5A"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Karviná</w:t>
            </w:r>
          </w:p>
        </w:tc>
        <w:tc>
          <w:tcPr>
            <w:tcW w:w="1080" w:type="dxa"/>
            <w:tcBorders>
              <w:top w:val="single" w:sz="4" w:space="0" w:color="auto"/>
              <w:left w:val="nil"/>
              <w:bottom w:val="single" w:sz="4" w:space="0" w:color="auto"/>
              <w:right w:val="nil"/>
            </w:tcBorders>
            <w:shd w:val="clear" w:color="auto" w:fill="auto"/>
            <w:noWrap/>
            <w:vAlign w:val="center"/>
            <w:hideMark/>
          </w:tcPr>
          <w:p w14:paraId="09A8EA56" w14:textId="59F6097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870</w:t>
            </w:r>
          </w:p>
        </w:tc>
        <w:tc>
          <w:tcPr>
            <w:tcW w:w="1080" w:type="dxa"/>
            <w:tcBorders>
              <w:top w:val="single" w:sz="4" w:space="0" w:color="auto"/>
              <w:left w:val="nil"/>
              <w:bottom w:val="single" w:sz="4" w:space="0" w:color="auto"/>
              <w:right w:val="nil"/>
            </w:tcBorders>
            <w:shd w:val="clear" w:color="auto" w:fill="auto"/>
            <w:noWrap/>
            <w:vAlign w:val="center"/>
            <w:hideMark/>
          </w:tcPr>
          <w:p w14:paraId="30329E57" w14:textId="4ED58CA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20F132D2" w14:textId="71825AA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870</w:t>
            </w:r>
          </w:p>
        </w:tc>
        <w:tc>
          <w:tcPr>
            <w:tcW w:w="1080" w:type="dxa"/>
            <w:tcBorders>
              <w:top w:val="single" w:sz="4" w:space="0" w:color="auto"/>
              <w:left w:val="nil"/>
              <w:bottom w:val="single" w:sz="4" w:space="0" w:color="auto"/>
              <w:right w:val="nil"/>
            </w:tcBorders>
            <w:shd w:val="clear" w:color="auto" w:fill="auto"/>
            <w:noWrap/>
            <w:vAlign w:val="center"/>
            <w:hideMark/>
          </w:tcPr>
          <w:p w14:paraId="60375324"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58195E61"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9341D97"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Rakovník</w:t>
            </w:r>
          </w:p>
        </w:tc>
        <w:tc>
          <w:tcPr>
            <w:tcW w:w="1080" w:type="dxa"/>
            <w:tcBorders>
              <w:top w:val="single" w:sz="4" w:space="0" w:color="auto"/>
              <w:left w:val="nil"/>
              <w:bottom w:val="single" w:sz="4" w:space="0" w:color="auto"/>
              <w:right w:val="nil"/>
            </w:tcBorders>
            <w:shd w:val="clear" w:color="auto" w:fill="auto"/>
            <w:noWrap/>
            <w:vAlign w:val="center"/>
            <w:hideMark/>
          </w:tcPr>
          <w:p w14:paraId="5F601154" w14:textId="30DDA7E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869</w:t>
            </w:r>
          </w:p>
        </w:tc>
        <w:tc>
          <w:tcPr>
            <w:tcW w:w="1080" w:type="dxa"/>
            <w:tcBorders>
              <w:top w:val="single" w:sz="4" w:space="0" w:color="auto"/>
              <w:left w:val="nil"/>
              <w:bottom w:val="single" w:sz="4" w:space="0" w:color="auto"/>
              <w:right w:val="nil"/>
            </w:tcBorders>
            <w:shd w:val="clear" w:color="auto" w:fill="auto"/>
            <w:noWrap/>
            <w:vAlign w:val="center"/>
            <w:hideMark/>
          </w:tcPr>
          <w:p w14:paraId="0385BDE1" w14:textId="427EB83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3CD2059B" w14:textId="126DB60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869</w:t>
            </w:r>
          </w:p>
        </w:tc>
        <w:tc>
          <w:tcPr>
            <w:tcW w:w="1080" w:type="dxa"/>
            <w:tcBorders>
              <w:top w:val="single" w:sz="4" w:space="0" w:color="auto"/>
              <w:left w:val="nil"/>
              <w:bottom w:val="single" w:sz="4" w:space="0" w:color="auto"/>
              <w:right w:val="nil"/>
            </w:tcBorders>
            <w:shd w:val="clear" w:color="auto" w:fill="auto"/>
            <w:noWrap/>
            <w:vAlign w:val="center"/>
            <w:hideMark/>
          </w:tcPr>
          <w:p w14:paraId="602DCCD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1093E3E8"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0468122"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Jindřichův Hradec</w:t>
            </w:r>
          </w:p>
        </w:tc>
        <w:tc>
          <w:tcPr>
            <w:tcW w:w="1080" w:type="dxa"/>
            <w:tcBorders>
              <w:top w:val="single" w:sz="4" w:space="0" w:color="auto"/>
              <w:left w:val="nil"/>
              <w:bottom w:val="single" w:sz="4" w:space="0" w:color="auto"/>
              <w:right w:val="nil"/>
            </w:tcBorders>
            <w:shd w:val="clear" w:color="auto" w:fill="auto"/>
            <w:noWrap/>
            <w:vAlign w:val="center"/>
            <w:hideMark/>
          </w:tcPr>
          <w:p w14:paraId="0BD4E3A6" w14:textId="15EDE0A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869</w:t>
            </w:r>
          </w:p>
        </w:tc>
        <w:tc>
          <w:tcPr>
            <w:tcW w:w="1080" w:type="dxa"/>
            <w:tcBorders>
              <w:top w:val="single" w:sz="4" w:space="0" w:color="auto"/>
              <w:left w:val="nil"/>
              <w:bottom w:val="single" w:sz="4" w:space="0" w:color="auto"/>
              <w:right w:val="nil"/>
            </w:tcBorders>
            <w:shd w:val="clear" w:color="auto" w:fill="auto"/>
            <w:noWrap/>
            <w:vAlign w:val="center"/>
            <w:hideMark/>
          </w:tcPr>
          <w:p w14:paraId="012E192C" w14:textId="61D0F90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891</w:t>
            </w:r>
          </w:p>
        </w:tc>
        <w:tc>
          <w:tcPr>
            <w:tcW w:w="1080" w:type="dxa"/>
            <w:tcBorders>
              <w:top w:val="single" w:sz="4" w:space="0" w:color="auto"/>
              <w:left w:val="nil"/>
              <w:bottom w:val="single" w:sz="4" w:space="0" w:color="auto"/>
              <w:right w:val="nil"/>
            </w:tcBorders>
            <w:shd w:val="clear" w:color="auto" w:fill="auto"/>
            <w:noWrap/>
            <w:vAlign w:val="center"/>
            <w:hideMark/>
          </w:tcPr>
          <w:p w14:paraId="6088537F" w14:textId="28EF6E5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974</w:t>
            </w:r>
          </w:p>
        </w:tc>
        <w:tc>
          <w:tcPr>
            <w:tcW w:w="1080" w:type="dxa"/>
            <w:tcBorders>
              <w:top w:val="single" w:sz="4" w:space="0" w:color="auto"/>
              <w:left w:val="nil"/>
              <w:bottom w:val="single" w:sz="4" w:space="0" w:color="auto"/>
              <w:right w:val="nil"/>
            </w:tcBorders>
            <w:shd w:val="clear" w:color="auto" w:fill="auto"/>
            <w:noWrap/>
            <w:vAlign w:val="center"/>
            <w:hideMark/>
          </w:tcPr>
          <w:p w14:paraId="68F816E9"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20DB6B1E"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149AE70B"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5</w:t>
            </w:r>
          </w:p>
        </w:tc>
        <w:tc>
          <w:tcPr>
            <w:tcW w:w="1080" w:type="dxa"/>
            <w:tcBorders>
              <w:top w:val="single" w:sz="4" w:space="0" w:color="auto"/>
              <w:left w:val="nil"/>
              <w:bottom w:val="single" w:sz="4" w:space="0" w:color="auto"/>
              <w:right w:val="nil"/>
            </w:tcBorders>
            <w:shd w:val="clear" w:color="auto" w:fill="auto"/>
            <w:noWrap/>
            <w:vAlign w:val="center"/>
            <w:hideMark/>
          </w:tcPr>
          <w:p w14:paraId="159E4779" w14:textId="0469F5A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868</w:t>
            </w:r>
          </w:p>
        </w:tc>
        <w:tc>
          <w:tcPr>
            <w:tcW w:w="1080" w:type="dxa"/>
            <w:tcBorders>
              <w:top w:val="single" w:sz="4" w:space="0" w:color="auto"/>
              <w:left w:val="nil"/>
              <w:bottom w:val="single" w:sz="4" w:space="0" w:color="auto"/>
              <w:right w:val="nil"/>
            </w:tcBorders>
            <w:shd w:val="clear" w:color="auto" w:fill="auto"/>
            <w:noWrap/>
            <w:vAlign w:val="center"/>
            <w:hideMark/>
          </w:tcPr>
          <w:p w14:paraId="7428A274" w14:textId="7001B18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55ED3081" w14:textId="0C055CA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868</w:t>
            </w:r>
          </w:p>
        </w:tc>
        <w:tc>
          <w:tcPr>
            <w:tcW w:w="1080" w:type="dxa"/>
            <w:tcBorders>
              <w:top w:val="single" w:sz="4" w:space="0" w:color="auto"/>
              <w:left w:val="nil"/>
              <w:bottom w:val="single" w:sz="4" w:space="0" w:color="auto"/>
              <w:right w:val="nil"/>
            </w:tcBorders>
            <w:shd w:val="clear" w:color="auto" w:fill="auto"/>
            <w:noWrap/>
            <w:vAlign w:val="center"/>
            <w:hideMark/>
          </w:tcPr>
          <w:p w14:paraId="076AA227"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0779D0A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1CA9132D"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Příbram</w:t>
            </w:r>
          </w:p>
        </w:tc>
        <w:tc>
          <w:tcPr>
            <w:tcW w:w="1080" w:type="dxa"/>
            <w:tcBorders>
              <w:top w:val="single" w:sz="4" w:space="0" w:color="auto"/>
              <w:left w:val="nil"/>
              <w:bottom w:val="single" w:sz="4" w:space="0" w:color="auto"/>
              <w:right w:val="nil"/>
            </w:tcBorders>
            <w:shd w:val="clear" w:color="auto" w:fill="auto"/>
            <w:noWrap/>
            <w:vAlign w:val="center"/>
            <w:hideMark/>
          </w:tcPr>
          <w:p w14:paraId="1D515E72" w14:textId="44C0DC1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865</w:t>
            </w:r>
          </w:p>
        </w:tc>
        <w:tc>
          <w:tcPr>
            <w:tcW w:w="1080" w:type="dxa"/>
            <w:tcBorders>
              <w:top w:val="single" w:sz="4" w:space="0" w:color="auto"/>
              <w:left w:val="nil"/>
              <w:bottom w:val="single" w:sz="4" w:space="0" w:color="auto"/>
              <w:right w:val="nil"/>
            </w:tcBorders>
            <w:shd w:val="clear" w:color="auto" w:fill="auto"/>
            <w:noWrap/>
            <w:vAlign w:val="center"/>
            <w:hideMark/>
          </w:tcPr>
          <w:p w14:paraId="55A0FEA0" w14:textId="35C7711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920</w:t>
            </w:r>
          </w:p>
        </w:tc>
        <w:tc>
          <w:tcPr>
            <w:tcW w:w="1080" w:type="dxa"/>
            <w:tcBorders>
              <w:top w:val="single" w:sz="4" w:space="0" w:color="auto"/>
              <w:left w:val="nil"/>
              <w:bottom w:val="single" w:sz="4" w:space="0" w:color="auto"/>
              <w:right w:val="nil"/>
            </w:tcBorders>
            <w:shd w:val="clear" w:color="auto" w:fill="auto"/>
            <w:noWrap/>
            <w:vAlign w:val="center"/>
            <w:hideMark/>
          </w:tcPr>
          <w:p w14:paraId="1C551758" w14:textId="3F4B1F7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941</w:t>
            </w:r>
          </w:p>
        </w:tc>
        <w:tc>
          <w:tcPr>
            <w:tcW w:w="1080" w:type="dxa"/>
            <w:tcBorders>
              <w:top w:val="single" w:sz="4" w:space="0" w:color="auto"/>
              <w:left w:val="nil"/>
              <w:bottom w:val="single" w:sz="4" w:space="0" w:color="auto"/>
              <w:right w:val="nil"/>
            </w:tcBorders>
            <w:shd w:val="clear" w:color="auto" w:fill="auto"/>
            <w:noWrap/>
            <w:vAlign w:val="center"/>
            <w:hideMark/>
          </w:tcPr>
          <w:p w14:paraId="076D4EE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16EA7FB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745BE53"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Kladno</w:t>
            </w:r>
          </w:p>
        </w:tc>
        <w:tc>
          <w:tcPr>
            <w:tcW w:w="1080" w:type="dxa"/>
            <w:tcBorders>
              <w:top w:val="single" w:sz="4" w:space="0" w:color="auto"/>
              <w:left w:val="nil"/>
              <w:bottom w:val="single" w:sz="4" w:space="0" w:color="auto"/>
              <w:right w:val="nil"/>
            </w:tcBorders>
            <w:shd w:val="clear" w:color="auto" w:fill="auto"/>
            <w:noWrap/>
            <w:vAlign w:val="center"/>
            <w:hideMark/>
          </w:tcPr>
          <w:p w14:paraId="79A3706F" w14:textId="40028EA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865</w:t>
            </w:r>
          </w:p>
        </w:tc>
        <w:tc>
          <w:tcPr>
            <w:tcW w:w="1080" w:type="dxa"/>
            <w:tcBorders>
              <w:top w:val="single" w:sz="4" w:space="0" w:color="auto"/>
              <w:left w:val="nil"/>
              <w:bottom w:val="single" w:sz="4" w:space="0" w:color="auto"/>
              <w:right w:val="nil"/>
            </w:tcBorders>
            <w:shd w:val="clear" w:color="auto" w:fill="auto"/>
            <w:noWrap/>
            <w:vAlign w:val="center"/>
            <w:hideMark/>
          </w:tcPr>
          <w:p w14:paraId="0E1D3CF3" w14:textId="3D26F9D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971</w:t>
            </w:r>
          </w:p>
        </w:tc>
        <w:tc>
          <w:tcPr>
            <w:tcW w:w="1080" w:type="dxa"/>
            <w:tcBorders>
              <w:top w:val="single" w:sz="4" w:space="0" w:color="auto"/>
              <w:left w:val="nil"/>
              <w:bottom w:val="single" w:sz="4" w:space="0" w:color="auto"/>
              <w:right w:val="nil"/>
            </w:tcBorders>
            <w:shd w:val="clear" w:color="auto" w:fill="auto"/>
            <w:noWrap/>
            <w:vAlign w:val="center"/>
            <w:hideMark/>
          </w:tcPr>
          <w:p w14:paraId="12B7FC0A" w14:textId="1B4B021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891</w:t>
            </w:r>
          </w:p>
        </w:tc>
        <w:tc>
          <w:tcPr>
            <w:tcW w:w="1080" w:type="dxa"/>
            <w:tcBorders>
              <w:top w:val="single" w:sz="4" w:space="0" w:color="auto"/>
              <w:left w:val="nil"/>
              <w:bottom w:val="single" w:sz="4" w:space="0" w:color="auto"/>
              <w:right w:val="nil"/>
            </w:tcBorders>
            <w:shd w:val="clear" w:color="auto" w:fill="auto"/>
            <w:noWrap/>
            <w:vAlign w:val="center"/>
            <w:hideMark/>
          </w:tcPr>
          <w:p w14:paraId="374CC33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3C93A579"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D3305D8"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lastRenderedPageBreak/>
              <w:t>Svitavy</w:t>
            </w:r>
          </w:p>
        </w:tc>
        <w:tc>
          <w:tcPr>
            <w:tcW w:w="1080" w:type="dxa"/>
            <w:tcBorders>
              <w:top w:val="single" w:sz="4" w:space="0" w:color="auto"/>
              <w:left w:val="nil"/>
              <w:bottom w:val="single" w:sz="4" w:space="0" w:color="auto"/>
              <w:right w:val="nil"/>
            </w:tcBorders>
            <w:shd w:val="clear" w:color="auto" w:fill="auto"/>
            <w:noWrap/>
            <w:vAlign w:val="center"/>
            <w:hideMark/>
          </w:tcPr>
          <w:p w14:paraId="6974124C" w14:textId="279C48E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864</w:t>
            </w:r>
          </w:p>
        </w:tc>
        <w:tc>
          <w:tcPr>
            <w:tcW w:w="1080" w:type="dxa"/>
            <w:tcBorders>
              <w:top w:val="single" w:sz="4" w:space="0" w:color="auto"/>
              <w:left w:val="nil"/>
              <w:bottom w:val="single" w:sz="4" w:space="0" w:color="auto"/>
              <w:right w:val="nil"/>
            </w:tcBorders>
            <w:shd w:val="clear" w:color="auto" w:fill="auto"/>
            <w:noWrap/>
            <w:vAlign w:val="center"/>
            <w:hideMark/>
          </w:tcPr>
          <w:p w14:paraId="24EEDDDB" w14:textId="31A4CAB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880</w:t>
            </w:r>
          </w:p>
        </w:tc>
        <w:tc>
          <w:tcPr>
            <w:tcW w:w="1080" w:type="dxa"/>
            <w:tcBorders>
              <w:top w:val="single" w:sz="4" w:space="0" w:color="auto"/>
              <w:left w:val="nil"/>
              <w:bottom w:val="single" w:sz="4" w:space="0" w:color="auto"/>
              <w:right w:val="nil"/>
            </w:tcBorders>
            <w:shd w:val="clear" w:color="auto" w:fill="auto"/>
            <w:noWrap/>
            <w:vAlign w:val="center"/>
            <w:hideMark/>
          </w:tcPr>
          <w:p w14:paraId="7AC1D1C7" w14:textId="1A0276D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983</w:t>
            </w:r>
          </w:p>
        </w:tc>
        <w:tc>
          <w:tcPr>
            <w:tcW w:w="1080" w:type="dxa"/>
            <w:tcBorders>
              <w:top w:val="single" w:sz="4" w:space="0" w:color="auto"/>
              <w:left w:val="nil"/>
              <w:bottom w:val="single" w:sz="4" w:space="0" w:color="auto"/>
              <w:right w:val="nil"/>
            </w:tcBorders>
            <w:shd w:val="clear" w:color="auto" w:fill="auto"/>
            <w:noWrap/>
            <w:vAlign w:val="center"/>
            <w:hideMark/>
          </w:tcPr>
          <w:p w14:paraId="7899BA79"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6A7114E1"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73FF3FE"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Nymburk</w:t>
            </w:r>
          </w:p>
        </w:tc>
        <w:tc>
          <w:tcPr>
            <w:tcW w:w="1080" w:type="dxa"/>
            <w:tcBorders>
              <w:top w:val="single" w:sz="4" w:space="0" w:color="auto"/>
              <w:left w:val="nil"/>
              <w:bottom w:val="single" w:sz="4" w:space="0" w:color="auto"/>
              <w:right w:val="nil"/>
            </w:tcBorders>
            <w:shd w:val="clear" w:color="auto" w:fill="auto"/>
            <w:noWrap/>
            <w:vAlign w:val="center"/>
            <w:hideMark/>
          </w:tcPr>
          <w:p w14:paraId="3B80135E" w14:textId="6B953F0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863</w:t>
            </w:r>
          </w:p>
        </w:tc>
        <w:tc>
          <w:tcPr>
            <w:tcW w:w="1080" w:type="dxa"/>
            <w:tcBorders>
              <w:top w:val="single" w:sz="4" w:space="0" w:color="auto"/>
              <w:left w:val="nil"/>
              <w:bottom w:val="single" w:sz="4" w:space="0" w:color="auto"/>
              <w:right w:val="nil"/>
            </w:tcBorders>
            <w:shd w:val="clear" w:color="auto" w:fill="auto"/>
            <w:noWrap/>
            <w:vAlign w:val="center"/>
            <w:hideMark/>
          </w:tcPr>
          <w:p w14:paraId="3B73CA8D" w14:textId="57A039E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873</w:t>
            </w:r>
          </w:p>
        </w:tc>
        <w:tc>
          <w:tcPr>
            <w:tcW w:w="1080" w:type="dxa"/>
            <w:tcBorders>
              <w:top w:val="single" w:sz="4" w:space="0" w:color="auto"/>
              <w:left w:val="nil"/>
              <w:bottom w:val="single" w:sz="4" w:space="0" w:color="auto"/>
              <w:right w:val="nil"/>
            </w:tcBorders>
            <w:shd w:val="clear" w:color="auto" w:fill="auto"/>
            <w:noWrap/>
            <w:vAlign w:val="center"/>
            <w:hideMark/>
          </w:tcPr>
          <w:p w14:paraId="642E4F0C" w14:textId="38DB041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989</w:t>
            </w:r>
          </w:p>
        </w:tc>
        <w:tc>
          <w:tcPr>
            <w:tcW w:w="1080" w:type="dxa"/>
            <w:tcBorders>
              <w:top w:val="single" w:sz="4" w:space="0" w:color="auto"/>
              <w:left w:val="nil"/>
              <w:bottom w:val="single" w:sz="4" w:space="0" w:color="auto"/>
              <w:right w:val="nil"/>
            </w:tcBorders>
            <w:shd w:val="clear" w:color="auto" w:fill="auto"/>
            <w:noWrap/>
            <w:vAlign w:val="center"/>
            <w:hideMark/>
          </w:tcPr>
          <w:p w14:paraId="5F9B78A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0C6CEF4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F3AF700"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Opava</w:t>
            </w:r>
          </w:p>
        </w:tc>
        <w:tc>
          <w:tcPr>
            <w:tcW w:w="1080" w:type="dxa"/>
            <w:tcBorders>
              <w:top w:val="single" w:sz="4" w:space="0" w:color="auto"/>
              <w:left w:val="nil"/>
              <w:bottom w:val="single" w:sz="4" w:space="0" w:color="auto"/>
              <w:right w:val="nil"/>
            </w:tcBorders>
            <w:shd w:val="clear" w:color="auto" w:fill="auto"/>
            <w:noWrap/>
            <w:vAlign w:val="center"/>
            <w:hideMark/>
          </w:tcPr>
          <w:p w14:paraId="642266C2" w14:textId="45392C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862</w:t>
            </w:r>
          </w:p>
        </w:tc>
        <w:tc>
          <w:tcPr>
            <w:tcW w:w="1080" w:type="dxa"/>
            <w:tcBorders>
              <w:top w:val="single" w:sz="4" w:space="0" w:color="auto"/>
              <w:left w:val="nil"/>
              <w:bottom w:val="single" w:sz="4" w:space="0" w:color="auto"/>
              <w:right w:val="nil"/>
            </w:tcBorders>
            <w:shd w:val="clear" w:color="auto" w:fill="auto"/>
            <w:noWrap/>
            <w:vAlign w:val="center"/>
            <w:hideMark/>
          </w:tcPr>
          <w:p w14:paraId="16CCFD51" w14:textId="3D6BB4F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913</w:t>
            </w:r>
          </w:p>
        </w:tc>
        <w:tc>
          <w:tcPr>
            <w:tcW w:w="1080" w:type="dxa"/>
            <w:tcBorders>
              <w:top w:val="single" w:sz="4" w:space="0" w:color="auto"/>
              <w:left w:val="nil"/>
              <w:bottom w:val="single" w:sz="4" w:space="0" w:color="auto"/>
              <w:right w:val="nil"/>
            </w:tcBorders>
            <w:shd w:val="clear" w:color="auto" w:fill="auto"/>
            <w:noWrap/>
            <w:vAlign w:val="center"/>
            <w:hideMark/>
          </w:tcPr>
          <w:p w14:paraId="511EC1ED" w14:textId="680A122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945</w:t>
            </w:r>
          </w:p>
        </w:tc>
        <w:tc>
          <w:tcPr>
            <w:tcW w:w="1080" w:type="dxa"/>
            <w:tcBorders>
              <w:top w:val="single" w:sz="4" w:space="0" w:color="auto"/>
              <w:left w:val="nil"/>
              <w:bottom w:val="single" w:sz="4" w:space="0" w:color="auto"/>
              <w:right w:val="nil"/>
            </w:tcBorders>
            <w:shd w:val="clear" w:color="auto" w:fill="auto"/>
            <w:noWrap/>
            <w:vAlign w:val="center"/>
            <w:hideMark/>
          </w:tcPr>
          <w:p w14:paraId="24026F1A"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2667993F"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A24E896"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Tábor</w:t>
            </w:r>
          </w:p>
        </w:tc>
        <w:tc>
          <w:tcPr>
            <w:tcW w:w="1080" w:type="dxa"/>
            <w:tcBorders>
              <w:top w:val="single" w:sz="4" w:space="0" w:color="auto"/>
              <w:left w:val="nil"/>
              <w:bottom w:val="single" w:sz="4" w:space="0" w:color="auto"/>
              <w:right w:val="nil"/>
            </w:tcBorders>
            <w:shd w:val="clear" w:color="auto" w:fill="auto"/>
            <w:noWrap/>
            <w:vAlign w:val="center"/>
            <w:hideMark/>
          </w:tcPr>
          <w:p w14:paraId="04FBA241" w14:textId="6566C19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857</w:t>
            </w:r>
          </w:p>
        </w:tc>
        <w:tc>
          <w:tcPr>
            <w:tcW w:w="1080" w:type="dxa"/>
            <w:tcBorders>
              <w:top w:val="single" w:sz="4" w:space="0" w:color="auto"/>
              <w:left w:val="nil"/>
              <w:bottom w:val="single" w:sz="4" w:space="0" w:color="auto"/>
              <w:right w:val="nil"/>
            </w:tcBorders>
            <w:shd w:val="clear" w:color="auto" w:fill="auto"/>
            <w:noWrap/>
            <w:vAlign w:val="center"/>
            <w:hideMark/>
          </w:tcPr>
          <w:p w14:paraId="448C5056" w14:textId="321CFDB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859</w:t>
            </w:r>
          </w:p>
        </w:tc>
        <w:tc>
          <w:tcPr>
            <w:tcW w:w="1080" w:type="dxa"/>
            <w:tcBorders>
              <w:top w:val="single" w:sz="4" w:space="0" w:color="auto"/>
              <w:left w:val="nil"/>
              <w:bottom w:val="single" w:sz="4" w:space="0" w:color="auto"/>
              <w:right w:val="nil"/>
            </w:tcBorders>
            <w:shd w:val="clear" w:color="auto" w:fill="auto"/>
            <w:noWrap/>
            <w:vAlign w:val="center"/>
            <w:hideMark/>
          </w:tcPr>
          <w:p w14:paraId="55F2B9F9" w14:textId="1D3E431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998</w:t>
            </w:r>
          </w:p>
        </w:tc>
        <w:tc>
          <w:tcPr>
            <w:tcW w:w="1080" w:type="dxa"/>
            <w:tcBorders>
              <w:top w:val="single" w:sz="4" w:space="0" w:color="auto"/>
              <w:left w:val="nil"/>
              <w:bottom w:val="single" w:sz="4" w:space="0" w:color="auto"/>
              <w:right w:val="nil"/>
            </w:tcBorders>
            <w:shd w:val="clear" w:color="auto" w:fill="auto"/>
            <w:noWrap/>
            <w:vAlign w:val="center"/>
            <w:hideMark/>
          </w:tcPr>
          <w:p w14:paraId="5BD57147"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6B8B902F"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F6EC14D"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Vyškov</w:t>
            </w:r>
          </w:p>
        </w:tc>
        <w:tc>
          <w:tcPr>
            <w:tcW w:w="1080" w:type="dxa"/>
            <w:tcBorders>
              <w:top w:val="single" w:sz="4" w:space="0" w:color="auto"/>
              <w:left w:val="nil"/>
              <w:bottom w:val="single" w:sz="4" w:space="0" w:color="auto"/>
              <w:right w:val="nil"/>
            </w:tcBorders>
            <w:shd w:val="clear" w:color="auto" w:fill="auto"/>
            <w:noWrap/>
            <w:vAlign w:val="center"/>
            <w:hideMark/>
          </w:tcPr>
          <w:p w14:paraId="06FAA8C1" w14:textId="78A10C5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853</w:t>
            </w:r>
          </w:p>
        </w:tc>
        <w:tc>
          <w:tcPr>
            <w:tcW w:w="1080" w:type="dxa"/>
            <w:tcBorders>
              <w:top w:val="single" w:sz="4" w:space="0" w:color="auto"/>
              <w:left w:val="nil"/>
              <w:bottom w:val="single" w:sz="4" w:space="0" w:color="auto"/>
              <w:right w:val="nil"/>
            </w:tcBorders>
            <w:shd w:val="clear" w:color="auto" w:fill="auto"/>
            <w:noWrap/>
            <w:vAlign w:val="center"/>
            <w:hideMark/>
          </w:tcPr>
          <w:p w14:paraId="5928984D" w14:textId="5562716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882</w:t>
            </w:r>
          </w:p>
        </w:tc>
        <w:tc>
          <w:tcPr>
            <w:tcW w:w="1080" w:type="dxa"/>
            <w:tcBorders>
              <w:top w:val="single" w:sz="4" w:space="0" w:color="auto"/>
              <w:left w:val="nil"/>
              <w:bottom w:val="single" w:sz="4" w:space="0" w:color="auto"/>
              <w:right w:val="nil"/>
            </w:tcBorders>
            <w:shd w:val="clear" w:color="auto" w:fill="auto"/>
            <w:noWrap/>
            <w:vAlign w:val="center"/>
            <w:hideMark/>
          </w:tcPr>
          <w:p w14:paraId="0567B7EA" w14:textId="3CA4EDC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967</w:t>
            </w:r>
          </w:p>
        </w:tc>
        <w:tc>
          <w:tcPr>
            <w:tcW w:w="1080" w:type="dxa"/>
            <w:tcBorders>
              <w:top w:val="single" w:sz="4" w:space="0" w:color="auto"/>
              <w:left w:val="nil"/>
              <w:bottom w:val="single" w:sz="4" w:space="0" w:color="auto"/>
              <w:right w:val="nil"/>
            </w:tcBorders>
            <w:shd w:val="clear" w:color="auto" w:fill="auto"/>
            <w:noWrap/>
            <w:vAlign w:val="center"/>
            <w:hideMark/>
          </w:tcPr>
          <w:p w14:paraId="77073BBC"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1B0B7CA"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42742B3"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Znojmo</w:t>
            </w:r>
          </w:p>
        </w:tc>
        <w:tc>
          <w:tcPr>
            <w:tcW w:w="1080" w:type="dxa"/>
            <w:tcBorders>
              <w:top w:val="single" w:sz="4" w:space="0" w:color="auto"/>
              <w:left w:val="nil"/>
              <w:bottom w:val="single" w:sz="4" w:space="0" w:color="auto"/>
              <w:right w:val="nil"/>
            </w:tcBorders>
            <w:shd w:val="clear" w:color="auto" w:fill="auto"/>
            <w:noWrap/>
            <w:vAlign w:val="center"/>
            <w:hideMark/>
          </w:tcPr>
          <w:p w14:paraId="5136AEF5" w14:textId="1E43E7E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853</w:t>
            </w:r>
          </w:p>
        </w:tc>
        <w:tc>
          <w:tcPr>
            <w:tcW w:w="1080" w:type="dxa"/>
            <w:tcBorders>
              <w:top w:val="single" w:sz="4" w:space="0" w:color="auto"/>
              <w:left w:val="nil"/>
              <w:bottom w:val="single" w:sz="4" w:space="0" w:color="auto"/>
              <w:right w:val="nil"/>
            </w:tcBorders>
            <w:shd w:val="clear" w:color="auto" w:fill="auto"/>
            <w:noWrap/>
            <w:vAlign w:val="center"/>
            <w:hideMark/>
          </w:tcPr>
          <w:p w14:paraId="39E2D65B" w14:textId="2E25651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871</w:t>
            </w:r>
          </w:p>
        </w:tc>
        <w:tc>
          <w:tcPr>
            <w:tcW w:w="1080" w:type="dxa"/>
            <w:tcBorders>
              <w:top w:val="single" w:sz="4" w:space="0" w:color="auto"/>
              <w:left w:val="nil"/>
              <w:bottom w:val="single" w:sz="4" w:space="0" w:color="auto"/>
              <w:right w:val="nil"/>
            </w:tcBorders>
            <w:shd w:val="clear" w:color="auto" w:fill="auto"/>
            <w:noWrap/>
            <w:vAlign w:val="center"/>
            <w:hideMark/>
          </w:tcPr>
          <w:p w14:paraId="4E46235F" w14:textId="6BA4C03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979</w:t>
            </w:r>
          </w:p>
        </w:tc>
        <w:tc>
          <w:tcPr>
            <w:tcW w:w="1080" w:type="dxa"/>
            <w:tcBorders>
              <w:top w:val="single" w:sz="4" w:space="0" w:color="auto"/>
              <w:left w:val="nil"/>
              <w:bottom w:val="single" w:sz="4" w:space="0" w:color="auto"/>
              <w:right w:val="nil"/>
            </w:tcBorders>
            <w:shd w:val="clear" w:color="auto" w:fill="auto"/>
            <w:noWrap/>
            <w:vAlign w:val="center"/>
            <w:hideMark/>
          </w:tcPr>
          <w:p w14:paraId="73C7C3D5"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24524577"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387B281"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Beroun</w:t>
            </w:r>
          </w:p>
        </w:tc>
        <w:tc>
          <w:tcPr>
            <w:tcW w:w="1080" w:type="dxa"/>
            <w:tcBorders>
              <w:top w:val="single" w:sz="4" w:space="0" w:color="auto"/>
              <w:left w:val="nil"/>
              <w:bottom w:val="single" w:sz="4" w:space="0" w:color="auto"/>
              <w:right w:val="nil"/>
            </w:tcBorders>
            <w:shd w:val="clear" w:color="auto" w:fill="auto"/>
            <w:noWrap/>
            <w:vAlign w:val="center"/>
            <w:hideMark/>
          </w:tcPr>
          <w:p w14:paraId="07D7A47B" w14:textId="2A6F883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851</w:t>
            </w:r>
          </w:p>
        </w:tc>
        <w:tc>
          <w:tcPr>
            <w:tcW w:w="1080" w:type="dxa"/>
            <w:tcBorders>
              <w:top w:val="single" w:sz="4" w:space="0" w:color="auto"/>
              <w:left w:val="nil"/>
              <w:bottom w:val="single" w:sz="4" w:space="0" w:color="auto"/>
              <w:right w:val="nil"/>
            </w:tcBorders>
            <w:shd w:val="clear" w:color="auto" w:fill="auto"/>
            <w:noWrap/>
            <w:vAlign w:val="center"/>
            <w:hideMark/>
          </w:tcPr>
          <w:p w14:paraId="76CDBD33" w14:textId="13C8F49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854</w:t>
            </w:r>
          </w:p>
        </w:tc>
        <w:tc>
          <w:tcPr>
            <w:tcW w:w="1080" w:type="dxa"/>
            <w:tcBorders>
              <w:top w:val="single" w:sz="4" w:space="0" w:color="auto"/>
              <w:left w:val="nil"/>
              <w:bottom w:val="single" w:sz="4" w:space="0" w:color="auto"/>
              <w:right w:val="nil"/>
            </w:tcBorders>
            <w:shd w:val="clear" w:color="auto" w:fill="auto"/>
            <w:noWrap/>
            <w:vAlign w:val="center"/>
            <w:hideMark/>
          </w:tcPr>
          <w:p w14:paraId="4DE04869" w14:textId="1F5C9D4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996</w:t>
            </w:r>
          </w:p>
        </w:tc>
        <w:tc>
          <w:tcPr>
            <w:tcW w:w="1080" w:type="dxa"/>
            <w:tcBorders>
              <w:top w:val="single" w:sz="4" w:space="0" w:color="auto"/>
              <w:left w:val="nil"/>
              <w:bottom w:val="single" w:sz="4" w:space="0" w:color="auto"/>
              <w:right w:val="nil"/>
            </w:tcBorders>
            <w:shd w:val="clear" w:color="auto" w:fill="auto"/>
            <w:noWrap/>
            <w:vAlign w:val="center"/>
            <w:hideMark/>
          </w:tcPr>
          <w:p w14:paraId="3046B9CA"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1648FB0"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33F99DC"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Frýdek-Místek</w:t>
            </w:r>
          </w:p>
        </w:tc>
        <w:tc>
          <w:tcPr>
            <w:tcW w:w="1080" w:type="dxa"/>
            <w:tcBorders>
              <w:top w:val="single" w:sz="4" w:space="0" w:color="auto"/>
              <w:left w:val="nil"/>
              <w:bottom w:val="single" w:sz="4" w:space="0" w:color="auto"/>
              <w:right w:val="nil"/>
            </w:tcBorders>
            <w:shd w:val="clear" w:color="auto" w:fill="auto"/>
            <w:noWrap/>
            <w:vAlign w:val="center"/>
            <w:hideMark/>
          </w:tcPr>
          <w:p w14:paraId="39FE462B" w14:textId="3F0969E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843</w:t>
            </w:r>
          </w:p>
        </w:tc>
        <w:tc>
          <w:tcPr>
            <w:tcW w:w="1080" w:type="dxa"/>
            <w:tcBorders>
              <w:top w:val="single" w:sz="4" w:space="0" w:color="auto"/>
              <w:left w:val="nil"/>
              <w:bottom w:val="single" w:sz="4" w:space="0" w:color="auto"/>
              <w:right w:val="nil"/>
            </w:tcBorders>
            <w:shd w:val="clear" w:color="auto" w:fill="auto"/>
            <w:noWrap/>
            <w:vAlign w:val="center"/>
            <w:hideMark/>
          </w:tcPr>
          <w:p w14:paraId="6AD6B0C5" w14:textId="6730B1F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925</w:t>
            </w:r>
          </w:p>
        </w:tc>
        <w:tc>
          <w:tcPr>
            <w:tcW w:w="1080" w:type="dxa"/>
            <w:tcBorders>
              <w:top w:val="single" w:sz="4" w:space="0" w:color="auto"/>
              <w:left w:val="nil"/>
              <w:bottom w:val="single" w:sz="4" w:space="0" w:color="auto"/>
              <w:right w:val="nil"/>
            </w:tcBorders>
            <w:shd w:val="clear" w:color="auto" w:fill="auto"/>
            <w:noWrap/>
            <w:vAlign w:val="center"/>
            <w:hideMark/>
          </w:tcPr>
          <w:p w14:paraId="49485B8B" w14:textId="52280B8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911</w:t>
            </w:r>
          </w:p>
        </w:tc>
        <w:tc>
          <w:tcPr>
            <w:tcW w:w="1080" w:type="dxa"/>
            <w:tcBorders>
              <w:top w:val="single" w:sz="4" w:space="0" w:color="auto"/>
              <w:left w:val="nil"/>
              <w:bottom w:val="single" w:sz="4" w:space="0" w:color="auto"/>
              <w:right w:val="nil"/>
            </w:tcBorders>
            <w:shd w:val="clear" w:color="auto" w:fill="auto"/>
            <w:noWrap/>
            <w:vAlign w:val="center"/>
            <w:hideMark/>
          </w:tcPr>
          <w:p w14:paraId="77ECC59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70858D00"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19E9335F"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Havlíčkův Brod</w:t>
            </w:r>
          </w:p>
        </w:tc>
        <w:tc>
          <w:tcPr>
            <w:tcW w:w="1080" w:type="dxa"/>
            <w:tcBorders>
              <w:top w:val="single" w:sz="4" w:space="0" w:color="auto"/>
              <w:left w:val="nil"/>
              <w:bottom w:val="single" w:sz="4" w:space="0" w:color="auto"/>
              <w:right w:val="nil"/>
            </w:tcBorders>
            <w:shd w:val="clear" w:color="auto" w:fill="auto"/>
            <w:noWrap/>
            <w:vAlign w:val="center"/>
            <w:hideMark/>
          </w:tcPr>
          <w:p w14:paraId="22649496" w14:textId="654FEA4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841</w:t>
            </w:r>
          </w:p>
        </w:tc>
        <w:tc>
          <w:tcPr>
            <w:tcW w:w="1080" w:type="dxa"/>
            <w:tcBorders>
              <w:top w:val="single" w:sz="4" w:space="0" w:color="auto"/>
              <w:left w:val="nil"/>
              <w:bottom w:val="single" w:sz="4" w:space="0" w:color="auto"/>
              <w:right w:val="nil"/>
            </w:tcBorders>
            <w:shd w:val="clear" w:color="auto" w:fill="auto"/>
            <w:noWrap/>
            <w:vAlign w:val="center"/>
            <w:hideMark/>
          </w:tcPr>
          <w:p w14:paraId="07A50681" w14:textId="45DA84C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847</w:t>
            </w:r>
          </w:p>
        </w:tc>
        <w:tc>
          <w:tcPr>
            <w:tcW w:w="1080" w:type="dxa"/>
            <w:tcBorders>
              <w:top w:val="single" w:sz="4" w:space="0" w:color="auto"/>
              <w:left w:val="nil"/>
              <w:bottom w:val="single" w:sz="4" w:space="0" w:color="auto"/>
              <w:right w:val="nil"/>
            </w:tcBorders>
            <w:shd w:val="clear" w:color="auto" w:fill="auto"/>
            <w:noWrap/>
            <w:vAlign w:val="center"/>
            <w:hideMark/>
          </w:tcPr>
          <w:p w14:paraId="60F72554" w14:textId="6B246C8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993</w:t>
            </w:r>
          </w:p>
        </w:tc>
        <w:tc>
          <w:tcPr>
            <w:tcW w:w="1080" w:type="dxa"/>
            <w:tcBorders>
              <w:top w:val="single" w:sz="4" w:space="0" w:color="auto"/>
              <w:left w:val="nil"/>
              <w:bottom w:val="single" w:sz="4" w:space="0" w:color="auto"/>
              <w:right w:val="nil"/>
            </w:tcBorders>
            <w:shd w:val="clear" w:color="auto" w:fill="auto"/>
            <w:noWrap/>
            <w:vAlign w:val="center"/>
            <w:hideMark/>
          </w:tcPr>
          <w:p w14:paraId="045FF6A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8DD77DD"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E7F254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Strakonice</w:t>
            </w:r>
          </w:p>
        </w:tc>
        <w:tc>
          <w:tcPr>
            <w:tcW w:w="1080" w:type="dxa"/>
            <w:tcBorders>
              <w:top w:val="single" w:sz="4" w:space="0" w:color="auto"/>
              <w:left w:val="nil"/>
              <w:bottom w:val="single" w:sz="4" w:space="0" w:color="auto"/>
              <w:right w:val="nil"/>
            </w:tcBorders>
            <w:shd w:val="clear" w:color="auto" w:fill="auto"/>
            <w:noWrap/>
            <w:vAlign w:val="center"/>
            <w:hideMark/>
          </w:tcPr>
          <w:p w14:paraId="7EC5B409" w14:textId="6F63832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841</w:t>
            </w:r>
          </w:p>
        </w:tc>
        <w:tc>
          <w:tcPr>
            <w:tcW w:w="1080" w:type="dxa"/>
            <w:tcBorders>
              <w:top w:val="single" w:sz="4" w:space="0" w:color="auto"/>
              <w:left w:val="nil"/>
              <w:bottom w:val="single" w:sz="4" w:space="0" w:color="auto"/>
              <w:right w:val="nil"/>
            </w:tcBorders>
            <w:shd w:val="clear" w:color="auto" w:fill="auto"/>
            <w:noWrap/>
            <w:vAlign w:val="center"/>
            <w:hideMark/>
          </w:tcPr>
          <w:p w14:paraId="0198B3A9" w14:textId="57AA62F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926</w:t>
            </w:r>
          </w:p>
        </w:tc>
        <w:tc>
          <w:tcPr>
            <w:tcW w:w="1080" w:type="dxa"/>
            <w:tcBorders>
              <w:top w:val="single" w:sz="4" w:space="0" w:color="auto"/>
              <w:left w:val="nil"/>
              <w:bottom w:val="single" w:sz="4" w:space="0" w:color="auto"/>
              <w:right w:val="nil"/>
            </w:tcBorders>
            <w:shd w:val="clear" w:color="auto" w:fill="auto"/>
            <w:noWrap/>
            <w:vAlign w:val="center"/>
            <w:hideMark/>
          </w:tcPr>
          <w:p w14:paraId="5A310D92" w14:textId="3EA3F08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908</w:t>
            </w:r>
          </w:p>
        </w:tc>
        <w:tc>
          <w:tcPr>
            <w:tcW w:w="1080" w:type="dxa"/>
            <w:tcBorders>
              <w:top w:val="single" w:sz="4" w:space="0" w:color="auto"/>
              <w:left w:val="nil"/>
              <w:bottom w:val="single" w:sz="4" w:space="0" w:color="auto"/>
              <w:right w:val="nil"/>
            </w:tcBorders>
            <w:shd w:val="clear" w:color="auto" w:fill="auto"/>
            <w:noWrap/>
            <w:vAlign w:val="center"/>
            <w:hideMark/>
          </w:tcPr>
          <w:p w14:paraId="26E27634"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0C12E61D"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34C445C"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Pelhřimov</w:t>
            </w:r>
          </w:p>
        </w:tc>
        <w:tc>
          <w:tcPr>
            <w:tcW w:w="1080" w:type="dxa"/>
            <w:tcBorders>
              <w:top w:val="single" w:sz="4" w:space="0" w:color="auto"/>
              <w:left w:val="nil"/>
              <w:bottom w:val="single" w:sz="4" w:space="0" w:color="auto"/>
              <w:right w:val="nil"/>
            </w:tcBorders>
            <w:shd w:val="clear" w:color="auto" w:fill="auto"/>
            <w:noWrap/>
            <w:vAlign w:val="center"/>
            <w:hideMark/>
          </w:tcPr>
          <w:p w14:paraId="5FE7468D" w14:textId="324E5CF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840</w:t>
            </w:r>
          </w:p>
        </w:tc>
        <w:tc>
          <w:tcPr>
            <w:tcW w:w="1080" w:type="dxa"/>
            <w:tcBorders>
              <w:top w:val="single" w:sz="4" w:space="0" w:color="auto"/>
              <w:left w:val="nil"/>
              <w:bottom w:val="single" w:sz="4" w:space="0" w:color="auto"/>
              <w:right w:val="nil"/>
            </w:tcBorders>
            <w:shd w:val="clear" w:color="auto" w:fill="auto"/>
            <w:noWrap/>
            <w:vAlign w:val="center"/>
            <w:hideMark/>
          </w:tcPr>
          <w:p w14:paraId="468A73DA" w14:textId="0351D40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488B49DC" w14:textId="754048B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840</w:t>
            </w:r>
          </w:p>
        </w:tc>
        <w:tc>
          <w:tcPr>
            <w:tcW w:w="1080" w:type="dxa"/>
            <w:tcBorders>
              <w:top w:val="single" w:sz="4" w:space="0" w:color="auto"/>
              <w:left w:val="nil"/>
              <w:bottom w:val="single" w:sz="4" w:space="0" w:color="auto"/>
              <w:right w:val="nil"/>
            </w:tcBorders>
            <w:shd w:val="clear" w:color="auto" w:fill="auto"/>
            <w:noWrap/>
            <w:vAlign w:val="center"/>
            <w:hideMark/>
          </w:tcPr>
          <w:p w14:paraId="229D6AB2"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CDA9E3E"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C12A9E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Kolín</w:t>
            </w:r>
          </w:p>
        </w:tc>
        <w:tc>
          <w:tcPr>
            <w:tcW w:w="1080" w:type="dxa"/>
            <w:tcBorders>
              <w:top w:val="single" w:sz="4" w:space="0" w:color="auto"/>
              <w:left w:val="nil"/>
              <w:bottom w:val="single" w:sz="4" w:space="0" w:color="auto"/>
              <w:right w:val="nil"/>
            </w:tcBorders>
            <w:shd w:val="clear" w:color="auto" w:fill="auto"/>
            <w:noWrap/>
            <w:vAlign w:val="center"/>
            <w:hideMark/>
          </w:tcPr>
          <w:p w14:paraId="030C9B59" w14:textId="3E32807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839</w:t>
            </w:r>
          </w:p>
        </w:tc>
        <w:tc>
          <w:tcPr>
            <w:tcW w:w="1080" w:type="dxa"/>
            <w:tcBorders>
              <w:top w:val="single" w:sz="4" w:space="0" w:color="auto"/>
              <w:left w:val="nil"/>
              <w:bottom w:val="single" w:sz="4" w:space="0" w:color="auto"/>
              <w:right w:val="nil"/>
            </w:tcBorders>
            <w:shd w:val="clear" w:color="auto" w:fill="auto"/>
            <w:noWrap/>
            <w:vAlign w:val="center"/>
            <w:hideMark/>
          </w:tcPr>
          <w:p w14:paraId="15B0610E" w14:textId="3276C92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895</w:t>
            </w:r>
          </w:p>
        </w:tc>
        <w:tc>
          <w:tcPr>
            <w:tcW w:w="1080" w:type="dxa"/>
            <w:tcBorders>
              <w:top w:val="single" w:sz="4" w:space="0" w:color="auto"/>
              <w:left w:val="nil"/>
              <w:bottom w:val="single" w:sz="4" w:space="0" w:color="auto"/>
              <w:right w:val="nil"/>
            </w:tcBorders>
            <w:shd w:val="clear" w:color="auto" w:fill="auto"/>
            <w:noWrap/>
            <w:vAlign w:val="center"/>
            <w:hideMark/>
          </w:tcPr>
          <w:p w14:paraId="2A8800A6" w14:textId="1210471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937</w:t>
            </w:r>
          </w:p>
        </w:tc>
        <w:tc>
          <w:tcPr>
            <w:tcW w:w="1080" w:type="dxa"/>
            <w:tcBorders>
              <w:top w:val="single" w:sz="4" w:space="0" w:color="auto"/>
              <w:left w:val="nil"/>
              <w:bottom w:val="single" w:sz="4" w:space="0" w:color="auto"/>
              <w:right w:val="nil"/>
            </w:tcBorders>
            <w:shd w:val="clear" w:color="auto" w:fill="auto"/>
            <w:noWrap/>
            <w:vAlign w:val="center"/>
            <w:hideMark/>
          </w:tcPr>
          <w:p w14:paraId="3E8DB161"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45E78917"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9F59FB7"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Prostějov</w:t>
            </w:r>
          </w:p>
        </w:tc>
        <w:tc>
          <w:tcPr>
            <w:tcW w:w="1080" w:type="dxa"/>
            <w:tcBorders>
              <w:top w:val="single" w:sz="4" w:space="0" w:color="auto"/>
              <w:left w:val="nil"/>
              <w:bottom w:val="single" w:sz="4" w:space="0" w:color="auto"/>
              <w:right w:val="nil"/>
            </w:tcBorders>
            <w:shd w:val="clear" w:color="auto" w:fill="auto"/>
            <w:noWrap/>
            <w:vAlign w:val="center"/>
            <w:hideMark/>
          </w:tcPr>
          <w:p w14:paraId="6EFD1E99" w14:textId="158440B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839</w:t>
            </w:r>
          </w:p>
        </w:tc>
        <w:tc>
          <w:tcPr>
            <w:tcW w:w="1080" w:type="dxa"/>
            <w:tcBorders>
              <w:top w:val="single" w:sz="4" w:space="0" w:color="auto"/>
              <w:left w:val="nil"/>
              <w:bottom w:val="single" w:sz="4" w:space="0" w:color="auto"/>
              <w:right w:val="nil"/>
            </w:tcBorders>
            <w:shd w:val="clear" w:color="auto" w:fill="auto"/>
            <w:noWrap/>
            <w:vAlign w:val="center"/>
            <w:hideMark/>
          </w:tcPr>
          <w:p w14:paraId="7F8BBBBB" w14:textId="0DB3233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841</w:t>
            </w:r>
          </w:p>
        </w:tc>
        <w:tc>
          <w:tcPr>
            <w:tcW w:w="1080" w:type="dxa"/>
            <w:tcBorders>
              <w:top w:val="single" w:sz="4" w:space="0" w:color="auto"/>
              <w:left w:val="nil"/>
              <w:bottom w:val="single" w:sz="4" w:space="0" w:color="auto"/>
              <w:right w:val="nil"/>
            </w:tcBorders>
            <w:shd w:val="clear" w:color="auto" w:fill="auto"/>
            <w:noWrap/>
            <w:vAlign w:val="center"/>
            <w:hideMark/>
          </w:tcPr>
          <w:p w14:paraId="2EADE15B" w14:textId="2C59D49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997</w:t>
            </w:r>
          </w:p>
        </w:tc>
        <w:tc>
          <w:tcPr>
            <w:tcW w:w="1080" w:type="dxa"/>
            <w:tcBorders>
              <w:top w:val="single" w:sz="4" w:space="0" w:color="auto"/>
              <w:left w:val="nil"/>
              <w:bottom w:val="single" w:sz="4" w:space="0" w:color="auto"/>
              <w:right w:val="nil"/>
            </w:tcBorders>
            <w:shd w:val="clear" w:color="auto" w:fill="auto"/>
            <w:noWrap/>
            <w:vAlign w:val="center"/>
            <w:hideMark/>
          </w:tcPr>
          <w:p w14:paraId="5FAB339A"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31B529B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5E8311A4"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Benešov</w:t>
            </w:r>
          </w:p>
        </w:tc>
        <w:tc>
          <w:tcPr>
            <w:tcW w:w="1080" w:type="dxa"/>
            <w:tcBorders>
              <w:top w:val="single" w:sz="4" w:space="0" w:color="auto"/>
              <w:left w:val="nil"/>
              <w:bottom w:val="single" w:sz="4" w:space="0" w:color="auto"/>
              <w:right w:val="nil"/>
            </w:tcBorders>
            <w:shd w:val="clear" w:color="auto" w:fill="auto"/>
            <w:noWrap/>
            <w:vAlign w:val="center"/>
            <w:hideMark/>
          </w:tcPr>
          <w:p w14:paraId="6548BC0F" w14:textId="0D3C4FE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839</w:t>
            </w:r>
          </w:p>
        </w:tc>
        <w:tc>
          <w:tcPr>
            <w:tcW w:w="1080" w:type="dxa"/>
            <w:tcBorders>
              <w:top w:val="single" w:sz="4" w:space="0" w:color="auto"/>
              <w:left w:val="nil"/>
              <w:bottom w:val="single" w:sz="4" w:space="0" w:color="auto"/>
              <w:right w:val="nil"/>
            </w:tcBorders>
            <w:shd w:val="clear" w:color="auto" w:fill="auto"/>
            <w:noWrap/>
            <w:vAlign w:val="center"/>
            <w:hideMark/>
          </w:tcPr>
          <w:p w14:paraId="3263727A" w14:textId="5DD26EF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844</w:t>
            </w:r>
          </w:p>
        </w:tc>
        <w:tc>
          <w:tcPr>
            <w:tcW w:w="1080" w:type="dxa"/>
            <w:tcBorders>
              <w:top w:val="single" w:sz="4" w:space="0" w:color="auto"/>
              <w:left w:val="nil"/>
              <w:bottom w:val="single" w:sz="4" w:space="0" w:color="auto"/>
              <w:right w:val="nil"/>
            </w:tcBorders>
            <w:shd w:val="clear" w:color="auto" w:fill="auto"/>
            <w:noWrap/>
            <w:vAlign w:val="center"/>
            <w:hideMark/>
          </w:tcPr>
          <w:p w14:paraId="2C2B82CB" w14:textId="6CF6F07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994</w:t>
            </w:r>
          </w:p>
        </w:tc>
        <w:tc>
          <w:tcPr>
            <w:tcW w:w="1080" w:type="dxa"/>
            <w:tcBorders>
              <w:top w:val="single" w:sz="4" w:space="0" w:color="auto"/>
              <w:left w:val="nil"/>
              <w:bottom w:val="single" w:sz="4" w:space="0" w:color="auto"/>
              <w:right w:val="nil"/>
            </w:tcBorders>
            <w:shd w:val="clear" w:color="auto" w:fill="auto"/>
            <w:noWrap/>
            <w:vAlign w:val="center"/>
            <w:hideMark/>
          </w:tcPr>
          <w:p w14:paraId="1C4582BC"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3F954D7B"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E0ED70F"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Olomouc</w:t>
            </w:r>
          </w:p>
        </w:tc>
        <w:tc>
          <w:tcPr>
            <w:tcW w:w="1080" w:type="dxa"/>
            <w:tcBorders>
              <w:top w:val="single" w:sz="4" w:space="0" w:color="auto"/>
              <w:left w:val="nil"/>
              <w:bottom w:val="single" w:sz="4" w:space="0" w:color="auto"/>
              <w:right w:val="nil"/>
            </w:tcBorders>
            <w:shd w:val="clear" w:color="auto" w:fill="auto"/>
            <w:noWrap/>
            <w:vAlign w:val="center"/>
            <w:hideMark/>
          </w:tcPr>
          <w:p w14:paraId="6A5D120B" w14:textId="5873C1B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839</w:t>
            </w:r>
          </w:p>
        </w:tc>
        <w:tc>
          <w:tcPr>
            <w:tcW w:w="1080" w:type="dxa"/>
            <w:tcBorders>
              <w:top w:val="single" w:sz="4" w:space="0" w:color="auto"/>
              <w:left w:val="nil"/>
              <w:bottom w:val="single" w:sz="4" w:space="0" w:color="auto"/>
              <w:right w:val="nil"/>
            </w:tcBorders>
            <w:shd w:val="clear" w:color="auto" w:fill="auto"/>
            <w:noWrap/>
            <w:vAlign w:val="center"/>
            <w:hideMark/>
          </w:tcPr>
          <w:p w14:paraId="0F8A27A9" w14:textId="6BDAB9F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965</w:t>
            </w:r>
          </w:p>
        </w:tc>
        <w:tc>
          <w:tcPr>
            <w:tcW w:w="1080" w:type="dxa"/>
            <w:tcBorders>
              <w:top w:val="single" w:sz="4" w:space="0" w:color="auto"/>
              <w:left w:val="nil"/>
              <w:bottom w:val="single" w:sz="4" w:space="0" w:color="auto"/>
              <w:right w:val="nil"/>
            </w:tcBorders>
            <w:shd w:val="clear" w:color="auto" w:fill="auto"/>
            <w:noWrap/>
            <w:vAlign w:val="center"/>
            <w:hideMark/>
          </w:tcPr>
          <w:p w14:paraId="422034F1" w14:textId="411DB6B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869</w:t>
            </w:r>
          </w:p>
        </w:tc>
        <w:tc>
          <w:tcPr>
            <w:tcW w:w="1080" w:type="dxa"/>
            <w:tcBorders>
              <w:top w:val="single" w:sz="4" w:space="0" w:color="auto"/>
              <w:left w:val="nil"/>
              <w:bottom w:val="single" w:sz="4" w:space="0" w:color="auto"/>
              <w:right w:val="nil"/>
            </w:tcBorders>
            <w:shd w:val="clear" w:color="auto" w:fill="auto"/>
            <w:noWrap/>
            <w:vAlign w:val="center"/>
            <w:hideMark/>
          </w:tcPr>
          <w:p w14:paraId="689BE461"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6CC61761"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5DCA4544"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Český Krumlov</w:t>
            </w:r>
          </w:p>
        </w:tc>
        <w:tc>
          <w:tcPr>
            <w:tcW w:w="1080" w:type="dxa"/>
            <w:tcBorders>
              <w:top w:val="single" w:sz="4" w:space="0" w:color="auto"/>
              <w:left w:val="nil"/>
              <w:bottom w:val="single" w:sz="4" w:space="0" w:color="auto"/>
              <w:right w:val="nil"/>
            </w:tcBorders>
            <w:shd w:val="clear" w:color="auto" w:fill="auto"/>
            <w:noWrap/>
            <w:vAlign w:val="center"/>
            <w:hideMark/>
          </w:tcPr>
          <w:p w14:paraId="33D03CE3" w14:textId="2BF8418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838</w:t>
            </w:r>
          </w:p>
        </w:tc>
        <w:tc>
          <w:tcPr>
            <w:tcW w:w="1080" w:type="dxa"/>
            <w:tcBorders>
              <w:top w:val="single" w:sz="4" w:space="0" w:color="auto"/>
              <w:left w:val="nil"/>
              <w:bottom w:val="single" w:sz="4" w:space="0" w:color="auto"/>
              <w:right w:val="nil"/>
            </w:tcBorders>
            <w:shd w:val="clear" w:color="auto" w:fill="auto"/>
            <w:noWrap/>
            <w:vAlign w:val="center"/>
            <w:hideMark/>
          </w:tcPr>
          <w:p w14:paraId="56BC9B9E" w14:textId="6DF5F1B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886</w:t>
            </w:r>
          </w:p>
        </w:tc>
        <w:tc>
          <w:tcPr>
            <w:tcW w:w="1080" w:type="dxa"/>
            <w:tcBorders>
              <w:top w:val="single" w:sz="4" w:space="0" w:color="auto"/>
              <w:left w:val="nil"/>
              <w:bottom w:val="single" w:sz="4" w:space="0" w:color="auto"/>
              <w:right w:val="nil"/>
            </w:tcBorders>
            <w:shd w:val="clear" w:color="auto" w:fill="auto"/>
            <w:noWrap/>
            <w:vAlign w:val="center"/>
            <w:hideMark/>
          </w:tcPr>
          <w:p w14:paraId="1CAADD5C" w14:textId="0F45E87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945</w:t>
            </w:r>
          </w:p>
        </w:tc>
        <w:tc>
          <w:tcPr>
            <w:tcW w:w="1080" w:type="dxa"/>
            <w:tcBorders>
              <w:top w:val="single" w:sz="4" w:space="0" w:color="auto"/>
              <w:left w:val="nil"/>
              <w:bottom w:val="single" w:sz="4" w:space="0" w:color="auto"/>
              <w:right w:val="nil"/>
            </w:tcBorders>
            <w:shd w:val="clear" w:color="auto" w:fill="auto"/>
            <w:noWrap/>
            <w:vAlign w:val="center"/>
            <w:hideMark/>
          </w:tcPr>
          <w:p w14:paraId="61FAC78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098E16F4"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67BD60F"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České Budějovice</w:t>
            </w:r>
          </w:p>
        </w:tc>
        <w:tc>
          <w:tcPr>
            <w:tcW w:w="1080" w:type="dxa"/>
            <w:tcBorders>
              <w:top w:val="single" w:sz="4" w:space="0" w:color="auto"/>
              <w:left w:val="nil"/>
              <w:bottom w:val="single" w:sz="4" w:space="0" w:color="auto"/>
              <w:right w:val="nil"/>
            </w:tcBorders>
            <w:shd w:val="clear" w:color="auto" w:fill="auto"/>
            <w:noWrap/>
            <w:vAlign w:val="center"/>
            <w:hideMark/>
          </w:tcPr>
          <w:p w14:paraId="57CFADA1" w14:textId="07F517D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833</w:t>
            </w:r>
          </w:p>
        </w:tc>
        <w:tc>
          <w:tcPr>
            <w:tcW w:w="1080" w:type="dxa"/>
            <w:tcBorders>
              <w:top w:val="single" w:sz="4" w:space="0" w:color="auto"/>
              <w:left w:val="nil"/>
              <w:bottom w:val="single" w:sz="4" w:space="0" w:color="auto"/>
              <w:right w:val="nil"/>
            </w:tcBorders>
            <w:shd w:val="clear" w:color="auto" w:fill="auto"/>
            <w:noWrap/>
            <w:vAlign w:val="center"/>
            <w:hideMark/>
          </w:tcPr>
          <w:p w14:paraId="5544CB75" w14:textId="60A08CC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956</w:t>
            </w:r>
          </w:p>
        </w:tc>
        <w:tc>
          <w:tcPr>
            <w:tcW w:w="1080" w:type="dxa"/>
            <w:tcBorders>
              <w:top w:val="single" w:sz="4" w:space="0" w:color="auto"/>
              <w:left w:val="nil"/>
              <w:bottom w:val="single" w:sz="4" w:space="0" w:color="auto"/>
              <w:right w:val="nil"/>
            </w:tcBorders>
            <w:shd w:val="clear" w:color="auto" w:fill="auto"/>
            <w:noWrap/>
            <w:vAlign w:val="center"/>
            <w:hideMark/>
          </w:tcPr>
          <w:p w14:paraId="4B3E3CC4" w14:textId="0A45FAA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871</w:t>
            </w:r>
          </w:p>
        </w:tc>
        <w:tc>
          <w:tcPr>
            <w:tcW w:w="1080" w:type="dxa"/>
            <w:tcBorders>
              <w:top w:val="single" w:sz="4" w:space="0" w:color="auto"/>
              <w:left w:val="nil"/>
              <w:bottom w:val="single" w:sz="4" w:space="0" w:color="auto"/>
              <w:right w:val="nil"/>
            </w:tcBorders>
            <w:shd w:val="clear" w:color="auto" w:fill="auto"/>
            <w:noWrap/>
            <w:vAlign w:val="center"/>
            <w:hideMark/>
          </w:tcPr>
          <w:p w14:paraId="2DAE0F4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40A886C6"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B134C88"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Písek</w:t>
            </w:r>
          </w:p>
        </w:tc>
        <w:tc>
          <w:tcPr>
            <w:tcW w:w="1080" w:type="dxa"/>
            <w:tcBorders>
              <w:top w:val="single" w:sz="4" w:space="0" w:color="auto"/>
              <w:left w:val="nil"/>
              <w:bottom w:val="single" w:sz="4" w:space="0" w:color="auto"/>
              <w:right w:val="nil"/>
            </w:tcBorders>
            <w:shd w:val="clear" w:color="auto" w:fill="auto"/>
            <w:noWrap/>
            <w:vAlign w:val="center"/>
            <w:hideMark/>
          </w:tcPr>
          <w:p w14:paraId="1E6BD899" w14:textId="39AC8C6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833</w:t>
            </w:r>
          </w:p>
        </w:tc>
        <w:tc>
          <w:tcPr>
            <w:tcW w:w="1080" w:type="dxa"/>
            <w:tcBorders>
              <w:top w:val="single" w:sz="4" w:space="0" w:color="auto"/>
              <w:left w:val="nil"/>
              <w:bottom w:val="single" w:sz="4" w:space="0" w:color="auto"/>
              <w:right w:val="nil"/>
            </w:tcBorders>
            <w:shd w:val="clear" w:color="auto" w:fill="auto"/>
            <w:noWrap/>
            <w:vAlign w:val="center"/>
            <w:hideMark/>
          </w:tcPr>
          <w:p w14:paraId="2A611B3B" w14:textId="2B93928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911</w:t>
            </w:r>
          </w:p>
        </w:tc>
        <w:tc>
          <w:tcPr>
            <w:tcW w:w="1080" w:type="dxa"/>
            <w:tcBorders>
              <w:top w:val="single" w:sz="4" w:space="0" w:color="auto"/>
              <w:left w:val="nil"/>
              <w:bottom w:val="single" w:sz="4" w:space="0" w:color="auto"/>
              <w:right w:val="nil"/>
            </w:tcBorders>
            <w:shd w:val="clear" w:color="auto" w:fill="auto"/>
            <w:noWrap/>
            <w:vAlign w:val="center"/>
            <w:hideMark/>
          </w:tcPr>
          <w:p w14:paraId="6A5E825E" w14:textId="57682A1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914</w:t>
            </w:r>
          </w:p>
        </w:tc>
        <w:tc>
          <w:tcPr>
            <w:tcW w:w="1080" w:type="dxa"/>
            <w:tcBorders>
              <w:top w:val="single" w:sz="4" w:space="0" w:color="auto"/>
              <w:left w:val="nil"/>
              <w:bottom w:val="single" w:sz="4" w:space="0" w:color="auto"/>
              <w:right w:val="nil"/>
            </w:tcBorders>
            <w:shd w:val="clear" w:color="auto" w:fill="auto"/>
            <w:noWrap/>
            <w:vAlign w:val="center"/>
            <w:hideMark/>
          </w:tcPr>
          <w:p w14:paraId="46BC4B7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28C07692"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1C4732A6"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Pardubice</w:t>
            </w:r>
          </w:p>
        </w:tc>
        <w:tc>
          <w:tcPr>
            <w:tcW w:w="1080" w:type="dxa"/>
            <w:tcBorders>
              <w:top w:val="single" w:sz="4" w:space="0" w:color="auto"/>
              <w:left w:val="nil"/>
              <w:bottom w:val="single" w:sz="4" w:space="0" w:color="auto"/>
              <w:right w:val="nil"/>
            </w:tcBorders>
            <w:shd w:val="clear" w:color="auto" w:fill="auto"/>
            <w:noWrap/>
            <w:vAlign w:val="center"/>
            <w:hideMark/>
          </w:tcPr>
          <w:p w14:paraId="726EC02D" w14:textId="52239C4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832</w:t>
            </w:r>
          </w:p>
        </w:tc>
        <w:tc>
          <w:tcPr>
            <w:tcW w:w="1080" w:type="dxa"/>
            <w:tcBorders>
              <w:top w:val="single" w:sz="4" w:space="0" w:color="auto"/>
              <w:left w:val="nil"/>
              <w:bottom w:val="single" w:sz="4" w:space="0" w:color="auto"/>
              <w:right w:val="nil"/>
            </w:tcBorders>
            <w:shd w:val="clear" w:color="auto" w:fill="auto"/>
            <w:noWrap/>
            <w:vAlign w:val="center"/>
            <w:hideMark/>
          </w:tcPr>
          <w:p w14:paraId="1DCF6F31" w14:textId="3B2F4D8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910</w:t>
            </w:r>
          </w:p>
        </w:tc>
        <w:tc>
          <w:tcPr>
            <w:tcW w:w="1080" w:type="dxa"/>
            <w:tcBorders>
              <w:top w:val="single" w:sz="4" w:space="0" w:color="auto"/>
              <w:left w:val="nil"/>
              <w:bottom w:val="single" w:sz="4" w:space="0" w:color="auto"/>
              <w:right w:val="nil"/>
            </w:tcBorders>
            <w:shd w:val="clear" w:color="auto" w:fill="auto"/>
            <w:noWrap/>
            <w:vAlign w:val="center"/>
            <w:hideMark/>
          </w:tcPr>
          <w:p w14:paraId="39E9738F" w14:textId="20BDDF9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914</w:t>
            </w:r>
          </w:p>
        </w:tc>
        <w:tc>
          <w:tcPr>
            <w:tcW w:w="1080" w:type="dxa"/>
            <w:tcBorders>
              <w:top w:val="single" w:sz="4" w:space="0" w:color="auto"/>
              <w:left w:val="nil"/>
              <w:bottom w:val="single" w:sz="4" w:space="0" w:color="auto"/>
              <w:right w:val="nil"/>
            </w:tcBorders>
            <w:shd w:val="clear" w:color="auto" w:fill="auto"/>
            <w:noWrap/>
            <w:vAlign w:val="center"/>
            <w:hideMark/>
          </w:tcPr>
          <w:p w14:paraId="4C02F6BC"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2B6535DD"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A918492"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4</w:t>
            </w:r>
          </w:p>
        </w:tc>
        <w:tc>
          <w:tcPr>
            <w:tcW w:w="1080" w:type="dxa"/>
            <w:tcBorders>
              <w:top w:val="single" w:sz="4" w:space="0" w:color="auto"/>
              <w:left w:val="nil"/>
              <w:bottom w:val="single" w:sz="4" w:space="0" w:color="auto"/>
              <w:right w:val="nil"/>
            </w:tcBorders>
            <w:shd w:val="clear" w:color="auto" w:fill="auto"/>
            <w:noWrap/>
            <w:vAlign w:val="center"/>
            <w:hideMark/>
          </w:tcPr>
          <w:p w14:paraId="3B97C475" w14:textId="2F36F8B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832</w:t>
            </w:r>
          </w:p>
        </w:tc>
        <w:tc>
          <w:tcPr>
            <w:tcW w:w="1080" w:type="dxa"/>
            <w:tcBorders>
              <w:top w:val="single" w:sz="4" w:space="0" w:color="auto"/>
              <w:left w:val="nil"/>
              <w:bottom w:val="single" w:sz="4" w:space="0" w:color="auto"/>
              <w:right w:val="nil"/>
            </w:tcBorders>
            <w:shd w:val="clear" w:color="auto" w:fill="auto"/>
            <w:noWrap/>
            <w:vAlign w:val="center"/>
            <w:hideMark/>
          </w:tcPr>
          <w:p w14:paraId="48589A3D" w14:textId="6AEFACE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993</w:t>
            </w:r>
          </w:p>
        </w:tc>
        <w:tc>
          <w:tcPr>
            <w:tcW w:w="1080" w:type="dxa"/>
            <w:tcBorders>
              <w:top w:val="single" w:sz="4" w:space="0" w:color="auto"/>
              <w:left w:val="nil"/>
              <w:bottom w:val="single" w:sz="4" w:space="0" w:color="auto"/>
              <w:right w:val="nil"/>
            </w:tcBorders>
            <w:shd w:val="clear" w:color="auto" w:fill="auto"/>
            <w:noWrap/>
            <w:vAlign w:val="center"/>
            <w:hideMark/>
          </w:tcPr>
          <w:p w14:paraId="0A21F8EB" w14:textId="07C873B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837</w:t>
            </w:r>
          </w:p>
        </w:tc>
        <w:tc>
          <w:tcPr>
            <w:tcW w:w="1080" w:type="dxa"/>
            <w:tcBorders>
              <w:top w:val="single" w:sz="4" w:space="0" w:color="auto"/>
              <w:left w:val="nil"/>
              <w:bottom w:val="single" w:sz="4" w:space="0" w:color="auto"/>
              <w:right w:val="nil"/>
            </w:tcBorders>
            <w:shd w:val="clear" w:color="auto" w:fill="auto"/>
            <w:noWrap/>
            <w:vAlign w:val="center"/>
            <w:hideMark/>
          </w:tcPr>
          <w:p w14:paraId="54571248"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3311865E"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4D033BA"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Cheb</w:t>
            </w:r>
          </w:p>
        </w:tc>
        <w:tc>
          <w:tcPr>
            <w:tcW w:w="1080" w:type="dxa"/>
            <w:tcBorders>
              <w:top w:val="single" w:sz="4" w:space="0" w:color="auto"/>
              <w:left w:val="nil"/>
              <w:bottom w:val="single" w:sz="4" w:space="0" w:color="auto"/>
              <w:right w:val="nil"/>
            </w:tcBorders>
            <w:shd w:val="clear" w:color="auto" w:fill="auto"/>
            <w:noWrap/>
            <w:vAlign w:val="center"/>
            <w:hideMark/>
          </w:tcPr>
          <w:p w14:paraId="225D5B9C" w14:textId="300BA85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830</w:t>
            </w:r>
          </w:p>
        </w:tc>
        <w:tc>
          <w:tcPr>
            <w:tcW w:w="1080" w:type="dxa"/>
            <w:tcBorders>
              <w:top w:val="single" w:sz="4" w:space="0" w:color="auto"/>
              <w:left w:val="nil"/>
              <w:bottom w:val="single" w:sz="4" w:space="0" w:color="auto"/>
              <w:right w:val="nil"/>
            </w:tcBorders>
            <w:shd w:val="clear" w:color="auto" w:fill="auto"/>
            <w:noWrap/>
            <w:vAlign w:val="center"/>
            <w:hideMark/>
          </w:tcPr>
          <w:p w14:paraId="72903EDE" w14:textId="4A4502C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855</w:t>
            </w:r>
          </w:p>
        </w:tc>
        <w:tc>
          <w:tcPr>
            <w:tcW w:w="1080" w:type="dxa"/>
            <w:tcBorders>
              <w:top w:val="single" w:sz="4" w:space="0" w:color="auto"/>
              <w:left w:val="nil"/>
              <w:bottom w:val="single" w:sz="4" w:space="0" w:color="auto"/>
              <w:right w:val="nil"/>
            </w:tcBorders>
            <w:shd w:val="clear" w:color="auto" w:fill="auto"/>
            <w:noWrap/>
            <w:vAlign w:val="center"/>
            <w:hideMark/>
          </w:tcPr>
          <w:p w14:paraId="22C8CAA1" w14:textId="5488F7A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971</w:t>
            </w:r>
          </w:p>
        </w:tc>
        <w:tc>
          <w:tcPr>
            <w:tcW w:w="1080" w:type="dxa"/>
            <w:tcBorders>
              <w:top w:val="single" w:sz="4" w:space="0" w:color="auto"/>
              <w:left w:val="nil"/>
              <w:bottom w:val="single" w:sz="4" w:space="0" w:color="auto"/>
              <w:right w:val="nil"/>
            </w:tcBorders>
            <w:shd w:val="clear" w:color="auto" w:fill="auto"/>
            <w:noWrap/>
            <w:vAlign w:val="center"/>
            <w:hideMark/>
          </w:tcPr>
          <w:p w14:paraId="0C123F42"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A740006"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25C9140"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Kutná Hora</w:t>
            </w:r>
          </w:p>
        </w:tc>
        <w:tc>
          <w:tcPr>
            <w:tcW w:w="1080" w:type="dxa"/>
            <w:tcBorders>
              <w:top w:val="single" w:sz="4" w:space="0" w:color="auto"/>
              <w:left w:val="nil"/>
              <w:bottom w:val="single" w:sz="4" w:space="0" w:color="auto"/>
              <w:right w:val="nil"/>
            </w:tcBorders>
            <w:shd w:val="clear" w:color="auto" w:fill="auto"/>
            <w:noWrap/>
            <w:vAlign w:val="center"/>
            <w:hideMark/>
          </w:tcPr>
          <w:p w14:paraId="743D1A91" w14:textId="25913CE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828</w:t>
            </w:r>
          </w:p>
        </w:tc>
        <w:tc>
          <w:tcPr>
            <w:tcW w:w="1080" w:type="dxa"/>
            <w:tcBorders>
              <w:top w:val="single" w:sz="4" w:space="0" w:color="auto"/>
              <w:left w:val="nil"/>
              <w:bottom w:val="single" w:sz="4" w:space="0" w:color="auto"/>
              <w:right w:val="nil"/>
            </w:tcBorders>
            <w:shd w:val="clear" w:color="auto" w:fill="auto"/>
            <w:noWrap/>
            <w:vAlign w:val="center"/>
            <w:hideMark/>
          </w:tcPr>
          <w:p w14:paraId="6731101B" w14:textId="4FD91F3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894</w:t>
            </w:r>
          </w:p>
        </w:tc>
        <w:tc>
          <w:tcPr>
            <w:tcW w:w="1080" w:type="dxa"/>
            <w:tcBorders>
              <w:top w:val="single" w:sz="4" w:space="0" w:color="auto"/>
              <w:left w:val="nil"/>
              <w:bottom w:val="single" w:sz="4" w:space="0" w:color="auto"/>
              <w:right w:val="nil"/>
            </w:tcBorders>
            <w:shd w:val="clear" w:color="auto" w:fill="auto"/>
            <w:noWrap/>
            <w:vAlign w:val="center"/>
            <w:hideMark/>
          </w:tcPr>
          <w:p w14:paraId="6043B725" w14:textId="5790340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926</w:t>
            </w:r>
          </w:p>
        </w:tc>
        <w:tc>
          <w:tcPr>
            <w:tcW w:w="1080" w:type="dxa"/>
            <w:tcBorders>
              <w:top w:val="single" w:sz="4" w:space="0" w:color="auto"/>
              <w:left w:val="nil"/>
              <w:bottom w:val="single" w:sz="4" w:space="0" w:color="auto"/>
              <w:right w:val="nil"/>
            </w:tcBorders>
            <w:shd w:val="clear" w:color="auto" w:fill="auto"/>
            <w:noWrap/>
            <w:vAlign w:val="center"/>
            <w:hideMark/>
          </w:tcPr>
          <w:p w14:paraId="20D5F064"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1DEE5A6"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5F31BBE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Vsetín</w:t>
            </w:r>
          </w:p>
        </w:tc>
        <w:tc>
          <w:tcPr>
            <w:tcW w:w="1080" w:type="dxa"/>
            <w:tcBorders>
              <w:top w:val="single" w:sz="4" w:space="0" w:color="auto"/>
              <w:left w:val="nil"/>
              <w:bottom w:val="single" w:sz="4" w:space="0" w:color="auto"/>
              <w:right w:val="nil"/>
            </w:tcBorders>
            <w:shd w:val="clear" w:color="auto" w:fill="auto"/>
            <w:noWrap/>
            <w:vAlign w:val="center"/>
            <w:hideMark/>
          </w:tcPr>
          <w:p w14:paraId="1202389B" w14:textId="5229250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824</w:t>
            </w:r>
          </w:p>
        </w:tc>
        <w:tc>
          <w:tcPr>
            <w:tcW w:w="1080" w:type="dxa"/>
            <w:tcBorders>
              <w:top w:val="single" w:sz="4" w:space="0" w:color="auto"/>
              <w:left w:val="nil"/>
              <w:bottom w:val="single" w:sz="4" w:space="0" w:color="auto"/>
              <w:right w:val="nil"/>
            </w:tcBorders>
            <w:shd w:val="clear" w:color="auto" w:fill="auto"/>
            <w:noWrap/>
            <w:vAlign w:val="center"/>
            <w:hideMark/>
          </w:tcPr>
          <w:p w14:paraId="7A4241CF" w14:textId="0F7F06C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833</w:t>
            </w:r>
          </w:p>
        </w:tc>
        <w:tc>
          <w:tcPr>
            <w:tcW w:w="1080" w:type="dxa"/>
            <w:tcBorders>
              <w:top w:val="single" w:sz="4" w:space="0" w:color="auto"/>
              <w:left w:val="nil"/>
              <w:bottom w:val="single" w:sz="4" w:space="0" w:color="auto"/>
              <w:right w:val="nil"/>
            </w:tcBorders>
            <w:shd w:val="clear" w:color="auto" w:fill="auto"/>
            <w:noWrap/>
            <w:vAlign w:val="center"/>
            <w:hideMark/>
          </w:tcPr>
          <w:p w14:paraId="5AE3A88B" w14:textId="17344D8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989</w:t>
            </w:r>
          </w:p>
        </w:tc>
        <w:tc>
          <w:tcPr>
            <w:tcW w:w="1080" w:type="dxa"/>
            <w:tcBorders>
              <w:top w:val="single" w:sz="4" w:space="0" w:color="auto"/>
              <w:left w:val="nil"/>
              <w:bottom w:val="single" w:sz="4" w:space="0" w:color="auto"/>
              <w:right w:val="nil"/>
            </w:tcBorders>
            <w:shd w:val="clear" w:color="auto" w:fill="auto"/>
            <w:noWrap/>
            <w:vAlign w:val="center"/>
            <w:hideMark/>
          </w:tcPr>
          <w:p w14:paraId="6AC5D08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2FDB178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1F1CFA22"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Trutnov</w:t>
            </w:r>
          </w:p>
        </w:tc>
        <w:tc>
          <w:tcPr>
            <w:tcW w:w="1080" w:type="dxa"/>
            <w:tcBorders>
              <w:top w:val="single" w:sz="4" w:space="0" w:color="auto"/>
              <w:left w:val="nil"/>
              <w:bottom w:val="single" w:sz="4" w:space="0" w:color="auto"/>
              <w:right w:val="nil"/>
            </w:tcBorders>
            <w:shd w:val="clear" w:color="auto" w:fill="auto"/>
            <w:noWrap/>
            <w:vAlign w:val="center"/>
            <w:hideMark/>
          </w:tcPr>
          <w:p w14:paraId="35B4A240" w14:textId="4C8ED4D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824</w:t>
            </w:r>
          </w:p>
        </w:tc>
        <w:tc>
          <w:tcPr>
            <w:tcW w:w="1080" w:type="dxa"/>
            <w:tcBorders>
              <w:top w:val="single" w:sz="4" w:space="0" w:color="auto"/>
              <w:left w:val="nil"/>
              <w:bottom w:val="single" w:sz="4" w:space="0" w:color="auto"/>
              <w:right w:val="nil"/>
            </w:tcBorders>
            <w:shd w:val="clear" w:color="auto" w:fill="auto"/>
            <w:noWrap/>
            <w:vAlign w:val="center"/>
            <w:hideMark/>
          </w:tcPr>
          <w:p w14:paraId="6DC1380E" w14:textId="1E88EB3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857</w:t>
            </w:r>
          </w:p>
        </w:tc>
        <w:tc>
          <w:tcPr>
            <w:tcW w:w="1080" w:type="dxa"/>
            <w:tcBorders>
              <w:top w:val="single" w:sz="4" w:space="0" w:color="auto"/>
              <w:left w:val="nil"/>
              <w:bottom w:val="single" w:sz="4" w:space="0" w:color="auto"/>
              <w:right w:val="nil"/>
            </w:tcBorders>
            <w:shd w:val="clear" w:color="auto" w:fill="auto"/>
            <w:noWrap/>
            <w:vAlign w:val="center"/>
            <w:hideMark/>
          </w:tcPr>
          <w:p w14:paraId="289063E1" w14:textId="05B3868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961</w:t>
            </w:r>
          </w:p>
        </w:tc>
        <w:tc>
          <w:tcPr>
            <w:tcW w:w="1080" w:type="dxa"/>
            <w:tcBorders>
              <w:top w:val="single" w:sz="4" w:space="0" w:color="auto"/>
              <w:left w:val="nil"/>
              <w:bottom w:val="single" w:sz="4" w:space="0" w:color="auto"/>
              <w:right w:val="nil"/>
            </w:tcBorders>
            <w:shd w:val="clear" w:color="auto" w:fill="auto"/>
            <w:noWrap/>
            <w:vAlign w:val="center"/>
            <w:hideMark/>
          </w:tcPr>
          <w:p w14:paraId="46546CB4"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EAEC296"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3232DC1"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Chomutov</w:t>
            </w:r>
          </w:p>
        </w:tc>
        <w:tc>
          <w:tcPr>
            <w:tcW w:w="1080" w:type="dxa"/>
            <w:tcBorders>
              <w:top w:val="single" w:sz="4" w:space="0" w:color="auto"/>
              <w:left w:val="nil"/>
              <w:bottom w:val="single" w:sz="4" w:space="0" w:color="auto"/>
              <w:right w:val="nil"/>
            </w:tcBorders>
            <w:shd w:val="clear" w:color="auto" w:fill="auto"/>
            <w:noWrap/>
            <w:vAlign w:val="center"/>
            <w:hideMark/>
          </w:tcPr>
          <w:p w14:paraId="779EFB0F" w14:textId="533CA6B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821</w:t>
            </w:r>
          </w:p>
        </w:tc>
        <w:tc>
          <w:tcPr>
            <w:tcW w:w="1080" w:type="dxa"/>
            <w:tcBorders>
              <w:top w:val="single" w:sz="4" w:space="0" w:color="auto"/>
              <w:left w:val="nil"/>
              <w:bottom w:val="single" w:sz="4" w:space="0" w:color="auto"/>
              <w:right w:val="nil"/>
            </w:tcBorders>
            <w:shd w:val="clear" w:color="auto" w:fill="auto"/>
            <w:noWrap/>
            <w:vAlign w:val="center"/>
            <w:hideMark/>
          </w:tcPr>
          <w:p w14:paraId="29126643" w14:textId="58D45A6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924</w:t>
            </w:r>
          </w:p>
        </w:tc>
        <w:tc>
          <w:tcPr>
            <w:tcW w:w="1080" w:type="dxa"/>
            <w:tcBorders>
              <w:top w:val="single" w:sz="4" w:space="0" w:color="auto"/>
              <w:left w:val="nil"/>
              <w:bottom w:val="single" w:sz="4" w:space="0" w:color="auto"/>
              <w:right w:val="nil"/>
            </w:tcBorders>
            <w:shd w:val="clear" w:color="auto" w:fill="auto"/>
            <w:noWrap/>
            <w:vAlign w:val="center"/>
            <w:hideMark/>
          </w:tcPr>
          <w:p w14:paraId="41E9F3D4" w14:textId="659CE36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889</w:t>
            </w:r>
          </w:p>
        </w:tc>
        <w:tc>
          <w:tcPr>
            <w:tcW w:w="1080" w:type="dxa"/>
            <w:tcBorders>
              <w:top w:val="single" w:sz="4" w:space="0" w:color="auto"/>
              <w:left w:val="nil"/>
              <w:bottom w:val="single" w:sz="4" w:space="0" w:color="auto"/>
              <w:right w:val="nil"/>
            </w:tcBorders>
            <w:shd w:val="clear" w:color="auto" w:fill="auto"/>
            <w:noWrap/>
            <w:vAlign w:val="center"/>
            <w:hideMark/>
          </w:tcPr>
          <w:p w14:paraId="473BDD8A"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25C8F31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16BCAF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9</w:t>
            </w:r>
          </w:p>
        </w:tc>
        <w:tc>
          <w:tcPr>
            <w:tcW w:w="1080" w:type="dxa"/>
            <w:tcBorders>
              <w:top w:val="single" w:sz="4" w:space="0" w:color="auto"/>
              <w:left w:val="nil"/>
              <w:bottom w:val="single" w:sz="4" w:space="0" w:color="auto"/>
              <w:right w:val="nil"/>
            </w:tcBorders>
            <w:shd w:val="clear" w:color="auto" w:fill="auto"/>
            <w:noWrap/>
            <w:vAlign w:val="center"/>
            <w:hideMark/>
          </w:tcPr>
          <w:p w14:paraId="4F560A5F" w14:textId="4ECDCDC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818</w:t>
            </w:r>
          </w:p>
        </w:tc>
        <w:tc>
          <w:tcPr>
            <w:tcW w:w="1080" w:type="dxa"/>
            <w:tcBorders>
              <w:top w:val="single" w:sz="4" w:space="0" w:color="auto"/>
              <w:left w:val="nil"/>
              <w:bottom w:val="single" w:sz="4" w:space="0" w:color="auto"/>
              <w:right w:val="nil"/>
            </w:tcBorders>
            <w:shd w:val="clear" w:color="auto" w:fill="auto"/>
            <w:noWrap/>
            <w:vAlign w:val="center"/>
            <w:hideMark/>
          </w:tcPr>
          <w:p w14:paraId="32D8B19C" w14:textId="485C04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963</w:t>
            </w:r>
          </w:p>
        </w:tc>
        <w:tc>
          <w:tcPr>
            <w:tcW w:w="1080" w:type="dxa"/>
            <w:tcBorders>
              <w:top w:val="single" w:sz="4" w:space="0" w:color="auto"/>
              <w:left w:val="nil"/>
              <w:bottom w:val="single" w:sz="4" w:space="0" w:color="auto"/>
              <w:right w:val="nil"/>
            </w:tcBorders>
            <w:shd w:val="clear" w:color="auto" w:fill="auto"/>
            <w:noWrap/>
            <w:vAlign w:val="center"/>
            <w:hideMark/>
          </w:tcPr>
          <w:p w14:paraId="3E227202" w14:textId="0D24136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850</w:t>
            </w:r>
          </w:p>
        </w:tc>
        <w:tc>
          <w:tcPr>
            <w:tcW w:w="1080" w:type="dxa"/>
            <w:tcBorders>
              <w:top w:val="single" w:sz="4" w:space="0" w:color="auto"/>
              <w:left w:val="nil"/>
              <w:bottom w:val="single" w:sz="4" w:space="0" w:color="auto"/>
              <w:right w:val="nil"/>
            </w:tcBorders>
            <w:shd w:val="clear" w:color="auto" w:fill="auto"/>
            <w:noWrap/>
            <w:vAlign w:val="center"/>
            <w:hideMark/>
          </w:tcPr>
          <w:p w14:paraId="4A7C8361"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4D83A59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9234EF7"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Chrudim</w:t>
            </w:r>
          </w:p>
        </w:tc>
        <w:tc>
          <w:tcPr>
            <w:tcW w:w="1080" w:type="dxa"/>
            <w:tcBorders>
              <w:top w:val="single" w:sz="4" w:space="0" w:color="auto"/>
              <w:left w:val="nil"/>
              <w:bottom w:val="single" w:sz="4" w:space="0" w:color="auto"/>
              <w:right w:val="nil"/>
            </w:tcBorders>
            <w:shd w:val="clear" w:color="auto" w:fill="auto"/>
            <w:noWrap/>
            <w:vAlign w:val="center"/>
            <w:hideMark/>
          </w:tcPr>
          <w:p w14:paraId="4A9932BF" w14:textId="3C09763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818</w:t>
            </w:r>
          </w:p>
        </w:tc>
        <w:tc>
          <w:tcPr>
            <w:tcW w:w="1080" w:type="dxa"/>
            <w:tcBorders>
              <w:top w:val="single" w:sz="4" w:space="0" w:color="auto"/>
              <w:left w:val="nil"/>
              <w:bottom w:val="single" w:sz="4" w:space="0" w:color="auto"/>
              <w:right w:val="nil"/>
            </w:tcBorders>
            <w:shd w:val="clear" w:color="auto" w:fill="auto"/>
            <w:noWrap/>
            <w:vAlign w:val="center"/>
            <w:hideMark/>
          </w:tcPr>
          <w:p w14:paraId="723C9B21" w14:textId="5209ECD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833</w:t>
            </w:r>
          </w:p>
        </w:tc>
        <w:tc>
          <w:tcPr>
            <w:tcW w:w="1080" w:type="dxa"/>
            <w:tcBorders>
              <w:top w:val="single" w:sz="4" w:space="0" w:color="auto"/>
              <w:left w:val="nil"/>
              <w:bottom w:val="single" w:sz="4" w:space="0" w:color="auto"/>
              <w:right w:val="nil"/>
            </w:tcBorders>
            <w:shd w:val="clear" w:color="auto" w:fill="auto"/>
            <w:noWrap/>
            <w:vAlign w:val="center"/>
            <w:hideMark/>
          </w:tcPr>
          <w:p w14:paraId="1A1847B6" w14:textId="61D08092"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982</w:t>
            </w:r>
          </w:p>
        </w:tc>
        <w:tc>
          <w:tcPr>
            <w:tcW w:w="1080" w:type="dxa"/>
            <w:tcBorders>
              <w:top w:val="single" w:sz="4" w:space="0" w:color="auto"/>
              <w:left w:val="nil"/>
              <w:bottom w:val="single" w:sz="4" w:space="0" w:color="auto"/>
              <w:right w:val="nil"/>
            </w:tcBorders>
            <w:shd w:val="clear" w:color="auto" w:fill="auto"/>
            <w:noWrap/>
            <w:vAlign w:val="center"/>
            <w:hideMark/>
          </w:tcPr>
          <w:p w14:paraId="3083DB5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5078E7F"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E73DEFB"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Brno-venkov</w:t>
            </w:r>
          </w:p>
        </w:tc>
        <w:tc>
          <w:tcPr>
            <w:tcW w:w="1080" w:type="dxa"/>
            <w:tcBorders>
              <w:top w:val="single" w:sz="4" w:space="0" w:color="auto"/>
              <w:left w:val="nil"/>
              <w:bottom w:val="single" w:sz="4" w:space="0" w:color="auto"/>
              <w:right w:val="nil"/>
            </w:tcBorders>
            <w:shd w:val="clear" w:color="auto" w:fill="auto"/>
            <w:noWrap/>
            <w:vAlign w:val="center"/>
            <w:hideMark/>
          </w:tcPr>
          <w:p w14:paraId="4E3E1036" w14:textId="16E15A4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817</w:t>
            </w:r>
          </w:p>
        </w:tc>
        <w:tc>
          <w:tcPr>
            <w:tcW w:w="1080" w:type="dxa"/>
            <w:tcBorders>
              <w:top w:val="single" w:sz="4" w:space="0" w:color="auto"/>
              <w:left w:val="nil"/>
              <w:bottom w:val="single" w:sz="4" w:space="0" w:color="auto"/>
              <w:right w:val="nil"/>
            </w:tcBorders>
            <w:shd w:val="clear" w:color="auto" w:fill="auto"/>
            <w:noWrap/>
            <w:vAlign w:val="center"/>
            <w:hideMark/>
          </w:tcPr>
          <w:p w14:paraId="3E00B6F7" w14:textId="5E51053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867</w:t>
            </w:r>
          </w:p>
        </w:tc>
        <w:tc>
          <w:tcPr>
            <w:tcW w:w="1080" w:type="dxa"/>
            <w:tcBorders>
              <w:top w:val="single" w:sz="4" w:space="0" w:color="auto"/>
              <w:left w:val="nil"/>
              <w:bottom w:val="single" w:sz="4" w:space="0" w:color="auto"/>
              <w:right w:val="nil"/>
            </w:tcBorders>
            <w:shd w:val="clear" w:color="auto" w:fill="auto"/>
            <w:noWrap/>
            <w:vAlign w:val="center"/>
            <w:hideMark/>
          </w:tcPr>
          <w:p w14:paraId="3C780948" w14:textId="654234B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943</w:t>
            </w:r>
          </w:p>
        </w:tc>
        <w:tc>
          <w:tcPr>
            <w:tcW w:w="1080" w:type="dxa"/>
            <w:tcBorders>
              <w:top w:val="single" w:sz="4" w:space="0" w:color="auto"/>
              <w:left w:val="nil"/>
              <w:bottom w:val="single" w:sz="4" w:space="0" w:color="auto"/>
              <w:right w:val="nil"/>
            </w:tcBorders>
            <w:shd w:val="clear" w:color="auto" w:fill="auto"/>
            <w:noWrap/>
            <w:vAlign w:val="center"/>
            <w:hideMark/>
          </w:tcPr>
          <w:p w14:paraId="6408EA0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2E33DA24"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DF28A8F"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Rokycany</w:t>
            </w:r>
          </w:p>
        </w:tc>
        <w:tc>
          <w:tcPr>
            <w:tcW w:w="1080" w:type="dxa"/>
            <w:tcBorders>
              <w:top w:val="single" w:sz="4" w:space="0" w:color="auto"/>
              <w:left w:val="nil"/>
              <w:bottom w:val="single" w:sz="4" w:space="0" w:color="auto"/>
              <w:right w:val="nil"/>
            </w:tcBorders>
            <w:shd w:val="clear" w:color="auto" w:fill="auto"/>
            <w:noWrap/>
            <w:vAlign w:val="center"/>
            <w:hideMark/>
          </w:tcPr>
          <w:p w14:paraId="6CBA636B" w14:textId="37ED6EF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815</w:t>
            </w:r>
          </w:p>
        </w:tc>
        <w:tc>
          <w:tcPr>
            <w:tcW w:w="1080" w:type="dxa"/>
            <w:tcBorders>
              <w:top w:val="single" w:sz="4" w:space="0" w:color="auto"/>
              <w:left w:val="nil"/>
              <w:bottom w:val="single" w:sz="4" w:space="0" w:color="auto"/>
              <w:right w:val="nil"/>
            </w:tcBorders>
            <w:shd w:val="clear" w:color="auto" w:fill="auto"/>
            <w:noWrap/>
            <w:vAlign w:val="center"/>
            <w:hideMark/>
          </w:tcPr>
          <w:p w14:paraId="4584E70C" w14:textId="2AC6670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16A095D9" w14:textId="186A351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815</w:t>
            </w:r>
          </w:p>
        </w:tc>
        <w:tc>
          <w:tcPr>
            <w:tcW w:w="1080" w:type="dxa"/>
            <w:tcBorders>
              <w:top w:val="single" w:sz="4" w:space="0" w:color="auto"/>
              <w:left w:val="nil"/>
              <w:bottom w:val="single" w:sz="4" w:space="0" w:color="auto"/>
              <w:right w:val="nil"/>
            </w:tcBorders>
            <w:shd w:val="clear" w:color="auto" w:fill="auto"/>
            <w:noWrap/>
            <w:vAlign w:val="center"/>
            <w:hideMark/>
          </w:tcPr>
          <w:p w14:paraId="29A15B2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31C3C4F7"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1644562C"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Ostrava</w:t>
            </w:r>
          </w:p>
        </w:tc>
        <w:tc>
          <w:tcPr>
            <w:tcW w:w="1080" w:type="dxa"/>
            <w:tcBorders>
              <w:top w:val="single" w:sz="4" w:space="0" w:color="auto"/>
              <w:left w:val="nil"/>
              <w:bottom w:val="single" w:sz="4" w:space="0" w:color="auto"/>
              <w:right w:val="nil"/>
            </w:tcBorders>
            <w:shd w:val="clear" w:color="auto" w:fill="auto"/>
            <w:noWrap/>
            <w:vAlign w:val="center"/>
            <w:hideMark/>
          </w:tcPr>
          <w:p w14:paraId="56AA8736" w14:textId="3D8418F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815</w:t>
            </w:r>
          </w:p>
        </w:tc>
        <w:tc>
          <w:tcPr>
            <w:tcW w:w="1080" w:type="dxa"/>
            <w:tcBorders>
              <w:top w:val="single" w:sz="4" w:space="0" w:color="auto"/>
              <w:left w:val="nil"/>
              <w:bottom w:val="single" w:sz="4" w:space="0" w:color="auto"/>
              <w:right w:val="nil"/>
            </w:tcBorders>
            <w:shd w:val="clear" w:color="auto" w:fill="auto"/>
            <w:noWrap/>
            <w:vAlign w:val="center"/>
            <w:hideMark/>
          </w:tcPr>
          <w:p w14:paraId="6712096B" w14:textId="0FBD77A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3A002FCE" w14:textId="72A3C13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815</w:t>
            </w:r>
          </w:p>
        </w:tc>
        <w:tc>
          <w:tcPr>
            <w:tcW w:w="1080" w:type="dxa"/>
            <w:tcBorders>
              <w:top w:val="single" w:sz="4" w:space="0" w:color="auto"/>
              <w:left w:val="nil"/>
              <w:bottom w:val="single" w:sz="4" w:space="0" w:color="auto"/>
              <w:right w:val="nil"/>
            </w:tcBorders>
            <w:shd w:val="clear" w:color="auto" w:fill="auto"/>
            <w:noWrap/>
            <w:vAlign w:val="center"/>
            <w:hideMark/>
          </w:tcPr>
          <w:p w14:paraId="3436B4D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291F1FEC"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E68080E"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Tachov</w:t>
            </w:r>
          </w:p>
        </w:tc>
        <w:tc>
          <w:tcPr>
            <w:tcW w:w="1080" w:type="dxa"/>
            <w:tcBorders>
              <w:top w:val="single" w:sz="4" w:space="0" w:color="auto"/>
              <w:left w:val="nil"/>
              <w:bottom w:val="single" w:sz="4" w:space="0" w:color="auto"/>
              <w:right w:val="nil"/>
            </w:tcBorders>
            <w:shd w:val="clear" w:color="auto" w:fill="auto"/>
            <w:noWrap/>
            <w:vAlign w:val="center"/>
            <w:hideMark/>
          </w:tcPr>
          <w:p w14:paraId="3809D023" w14:textId="0F3857BD"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813</w:t>
            </w:r>
          </w:p>
        </w:tc>
        <w:tc>
          <w:tcPr>
            <w:tcW w:w="1080" w:type="dxa"/>
            <w:tcBorders>
              <w:top w:val="single" w:sz="4" w:space="0" w:color="auto"/>
              <w:left w:val="nil"/>
              <w:bottom w:val="single" w:sz="4" w:space="0" w:color="auto"/>
              <w:right w:val="nil"/>
            </w:tcBorders>
            <w:shd w:val="clear" w:color="auto" w:fill="auto"/>
            <w:noWrap/>
            <w:vAlign w:val="center"/>
            <w:hideMark/>
          </w:tcPr>
          <w:p w14:paraId="6B829A64" w14:textId="7F8AB1C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854</w:t>
            </w:r>
          </w:p>
        </w:tc>
        <w:tc>
          <w:tcPr>
            <w:tcW w:w="1080" w:type="dxa"/>
            <w:tcBorders>
              <w:top w:val="single" w:sz="4" w:space="0" w:color="auto"/>
              <w:left w:val="nil"/>
              <w:bottom w:val="single" w:sz="4" w:space="0" w:color="auto"/>
              <w:right w:val="nil"/>
            </w:tcBorders>
            <w:shd w:val="clear" w:color="auto" w:fill="auto"/>
            <w:noWrap/>
            <w:vAlign w:val="center"/>
            <w:hideMark/>
          </w:tcPr>
          <w:p w14:paraId="0C69D9B4" w14:textId="06D2B0A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953</w:t>
            </w:r>
          </w:p>
        </w:tc>
        <w:tc>
          <w:tcPr>
            <w:tcW w:w="1080" w:type="dxa"/>
            <w:tcBorders>
              <w:top w:val="single" w:sz="4" w:space="0" w:color="auto"/>
              <w:left w:val="nil"/>
              <w:bottom w:val="single" w:sz="4" w:space="0" w:color="auto"/>
              <w:right w:val="nil"/>
            </w:tcBorders>
            <w:shd w:val="clear" w:color="auto" w:fill="auto"/>
            <w:noWrap/>
            <w:vAlign w:val="center"/>
            <w:hideMark/>
          </w:tcPr>
          <w:p w14:paraId="53D18D1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962A915"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A1875C8"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6</w:t>
            </w:r>
          </w:p>
        </w:tc>
        <w:tc>
          <w:tcPr>
            <w:tcW w:w="1080" w:type="dxa"/>
            <w:tcBorders>
              <w:top w:val="single" w:sz="4" w:space="0" w:color="auto"/>
              <w:left w:val="nil"/>
              <w:bottom w:val="single" w:sz="4" w:space="0" w:color="auto"/>
              <w:right w:val="nil"/>
            </w:tcBorders>
            <w:shd w:val="clear" w:color="auto" w:fill="auto"/>
            <w:noWrap/>
            <w:vAlign w:val="center"/>
            <w:hideMark/>
          </w:tcPr>
          <w:p w14:paraId="076B335B" w14:textId="5BD0BC1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813</w:t>
            </w:r>
          </w:p>
        </w:tc>
        <w:tc>
          <w:tcPr>
            <w:tcW w:w="1080" w:type="dxa"/>
            <w:tcBorders>
              <w:top w:val="single" w:sz="4" w:space="0" w:color="auto"/>
              <w:left w:val="nil"/>
              <w:bottom w:val="single" w:sz="4" w:space="0" w:color="auto"/>
              <w:right w:val="nil"/>
            </w:tcBorders>
            <w:shd w:val="clear" w:color="auto" w:fill="auto"/>
            <w:noWrap/>
            <w:vAlign w:val="center"/>
            <w:hideMark/>
          </w:tcPr>
          <w:p w14:paraId="369DD84A" w14:textId="71CC464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898</w:t>
            </w:r>
          </w:p>
        </w:tc>
        <w:tc>
          <w:tcPr>
            <w:tcW w:w="1080" w:type="dxa"/>
            <w:tcBorders>
              <w:top w:val="single" w:sz="4" w:space="0" w:color="auto"/>
              <w:left w:val="nil"/>
              <w:bottom w:val="single" w:sz="4" w:space="0" w:color="auto"/>
              <w:right w:val="nil"/>
            </w:tcBorders>
            <w:shd w:val="clear" w:color="auto" w:fill="auto"/>
            <w:noWrap/>
            <w:vAlign w:val="center"/>
            <w:hideMark/>
          </w:tcPr>
          <w:p w14:paraId="607F6B7E" w14:textId="44B1B53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904</w:t>
            </w:r>
          </w:p>
        </w:tc>
        <w:tc>
          <w:tcPr>
            <w:tcW w:w="1080" w:type="dxa"/>
            <w:tcBorders>
              <w:top w:val="single" w:sz="4" w:space="0" w:color="auto"/>
              <w:left w:val="nil"/>
              <w:bottom w:val="single" w:sz="4" w:space="0" w:color="auto"/>
              <w:right w:val="nil"/>
            </w:tcBorders>
            <w:shd w:val="clear" w:color="auto" w:fill="auto"/>
            <w:noWrap/>
            <w:vAlign w:val="center"/>
            <w:hideMark/>
          </w:tcPr>
          <w:p w14:paraId="134BAE19"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618C592E"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8FD66B7"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Praha 2</w:t>
            </w:r>
          </w:p>
        </w:tc>
        <w:tc>
          <w:tcPr>
            <w:tcW w:w="1080" w:type="dxa"/>
            <w:tcBorders>
              <w:top w:val="single" w:sz="4" w:space="0" w:color="auto"/>
              <w:left w:val="nil"/>
              <w:bottom w:val="single" w:sz="4" w:space="0" w:color="auto"/>
              <w:right w:val="nil"/>
            </w:tcBorders>
            <w:shd w:val="clear" w:color="auto" w:fill="auto"/>
            <w:noWrap/>
            <w:vAlign w:val="center"/>
            <w:hideMark/>
          </w:tcPr>
          <w:p w14:paraId="6C5A5D62" w14:textId="7080DBB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812</w:t>
            </w:r>
          </w:p>
        </w:tc>
        <w:tc>
          <w:tcPr>
            <w:tcW w:w="1080" w:type="dxa"/>
            <w:tcBorders>
              <w:top w:val="single" w:sz="4" w:space="0" w:color="auto"/>
              <w:left w:val="nil"/>
              <w:bottom w:val="single" w:sz="4" w:space="0" w:color="auto"/>
              <w:right w:val="nil"/>
            </w:tcBorders>
            <w:shd w:val="clear" w:color="auto" w:fill="auto"/>
            <w:noWrap/>
            <w:vAlign w:val="center"/>
            <w:hideMark/>
          </w:tcPr>
          <w:p w14:paraId="61BD6FD0" w14:textId="1A79B6D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896</w:t>
            </w:r>
          </w:p>
        </w:tc>
        <w:tc>
          <w:tcPr>
            <w:tcW w:w="1080" w:type="dxa"/>
            <w:tcBorders>
              <w:top w:val="single" w:sz="4" w:space="0" w:color="auto"/>
              <w:left w:val="nil"/>
              <w:bottom w:val="single" w:sz="4" w:space="0" w:color="auto"/>
              <w:right w:val="nil"/>
            </w:tcBorders>
            <w:shd w:val="clear" w:color="auto" w:fill="auto"/>
            <w:noWrap/>
            <w:vAlign w:val="center"/>
            <w:hideMark/>
          </w:tcPr>
          <w:p w14:paraId="3B77581A" w14:textId="4A67911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906</w:t>
            </w:r>
          </w:p>
        </w:tc>
        <w:tc>
          <w:tcPr>
            <w:tcW w:w="1080" w:type="dxa"/>
            <w:tcBorders>
              <w:top w:val="single" w:sz="4" w:space="0" w:color="auto"/>
              <w:left w:val="nil"/>
              <w:bottom w:val="single" w:sz="4" w:space="0" w:color="auto"/>
              <w:right w:val="nil"/>
            </w:tcBorders>
            <w:shd w:val="clear" w:color="auto" w:fill="auto"/>
            <w:noWrap/>
            <w:vAlign w:val="center"/>
            <w:hideMark/>
          </w:tcPr>
          <w:p w14:paraId="6C7BB99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10B85AD0"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0462CE0"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Louny</w:t>
            </w:r>
          </w:p>
        </w:tc>
        <w:tc>
          <w:tcPr>
            <w:tcW w:w="1080" w:type="dxa"/>
            <w:tcBorders>
              <w:top w:val="single" w:sz="4" w:space="0" w:color="auto"/>
              <w:left w:val="nil"/>
              <w:bottom w:val="single" w:sz="4" w:space="0" w:color="auto"/>
              <w:right w:val="nil"/>
            </w:tcBorders>
            <w:shd w:val="clear" w:color="auto" w:fill="auto"/>
            <w:noWrap/>
            <w:vAlign w:val="center"/>
            <w:hideMark/>
          </w:tcPr>
          <w:p w14:paraId="7F346E2E" w14:textId="02363AC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802</w:t>
            </w:r>
          </w:p>
        </w:tc>
        <w:tc>
          <w:tcPr>
            <w:tcW w:w="1080" w:type="dxa"/>
            <w:tcBorders>
              <w:top w:val="single" w:sz="4" w:space="0" w:color="auto"/>
              <w:left w:val="nil"/>
              <w:bottom w:val="single" w:sz="4" w:space="0" w:color="auto"/>
              <w:right w:val="nil"/>
            </w:tcBorders>
            <w:shd w:val="clear" w:color="auto" w:fill="auto"/>
            <w:noWrap/>
            <w:vAlign w:val="center"/>
            <w:hideMark/>
          </w:tcPr>
          <w:p w14:paraId="1973CEA1" w14:textId="7578F3AC"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823</w:t>
            </w:r>
          </w:p>
        </w:tc>
        <w:tc>
          <w:tcPr>
            <w:tcW w:w="1080" w:type="dxa"/>
            <w:tcBorders>
              <w:top w:val="single" w:sz="4" w:space="0" w:color="auto"/>
              <w:left w:val="nil"/>
              <w:bottom w:val="single" w:sz="4" w:space="0" w:color="auto"/>
              <w:right w:val="nil"/>
            </w:tcBorders>
            <w:shd w:val="clear" w:color="auto" w:fill="auto"/>
            <w:noWrap/>
            <w:vAlign w:val="center"/>
            <w:hideMark/>
          </w:tcPr>
          <w:p w14:paraId="0ACAA9F8" w14:textId="3C290D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974</w:t>
            </w:r>
          </w:p>
        </w:tc>
        <w:tc>
          <w:tcPr>
            <w:tcW w:w="1080" w:type="dxa"/>
            <w:tcBorders>
              <w:top w:val="single" w:sz="4" w:space="0" w:color="auto"/>
              <w:left w:val="nil"/>
              <w:bottom w:val="single" w:sz="4" w:space="0" w:color="auto"/>
              <w:right w:val="nil"/>
            </w:tcBorders>
            <w:shd w:val="clear" w:color="auto" w:fill="auto"/>
            <w:noWrap/>
            <w:vAlign w:val="center"/>
            <w:hideMark/>
          </w:tcPr>
          <w:p w14:paraId="1BE73A68"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36C9F0A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B80856E"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Prachatice</w:t>
            </w:r>
          </w:p>
        </w:tc>
        <w:tc>
          <w:tcPr>
            <w:tcW w:w="1080" w:type="dxa"/>
            <w:tcBorders>
              <w:top w:val="single" w:sz="4" w:space="0" w:color="auto"/>
              <w:left w:val="nil"/>
              <w:bottom w:val="single" w:sz="4" w:space="0" w:color="auto"/>
              <w:right w:val="nil"/>
            </w:tcBorders>
            <w:shd w:val="clear" w:color="auto" w:fill="auto"/>
            <w:noWrap/>
            <w:vAlign w:val="center"/>
            <w:hideMark/>
          </w:tcPr>
          <w:p w14:paraId="5C8B7259" w14:textId="0DF6621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800</w:t>
            </w:r>
          </w:p>
        </w:tc>
        <w:tc>
          <w:tcPr>
            <w:tcW w:w="1080" w:type="dxa"/>
            <w:tcBorders>
              <w:top w:val="single" w:sz="4" w:space="0" w:color="auto"/>
              <w:left w:val="nil"/>
              <w:bottom w:val="single" w:sz="4" w:space="0" w:color="auto"/>
              <w:right w:val="nil"/>
            </w:tcBorders>
            <w:shd w:val="clear" w:color="auto" w:fill="auto"/>
            <w:noWrap/>
            <w:vAlign w:val="center"/>
            <w:hideMark/>
          </w:tcPr>
          <w:p w14:paraId="6CAEB2AC" w14:textId="401D568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952</w:t>
            </w:r>
          </w:p>
        </w:tc>
        <w:tc>
          <w:tcPr>
            <w:tcW w:w="1080" w:type="dxa"/>
            <w:tcBorders>
              <w:top w:val="single" w:sz="4" w:space="0" w:color="auto"/>
              <w:left w:val="nil"/>
              <w:bottom w:val="single" w:sz="4" w:space="0" w:color="auto"/>
              <w:right w:val="nil"/>
            </w:tcBorders>
            <w:shd w:val="clear" w:color="auto" w:fill="auto"/>
            <w:noWrap/>
            <w:vAlign w:val="center"/>
            <w:hideMark/>
          </w:tcPr>
          <w:p w14:paraId="0509515F" w14:textId="408E75C1"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840</w:t>
            </w:r>
          </w:p>
        </w:tc>
        <w:tc>
          <w:tcPr>
            <w:tcW w:w="1080" w:type="dxa"/>
            <w:tcBorders>
              <w:top w:val="single" w:sz="4" w:space="0" w:color="auto"/>
              <w:left w:val="nil"/>
              <w:bottom w:val="single" w:sz="4" w:space="0" w:color="auto"/>
              <w:right w:val="nil"/>
            </w:tcBorders>
            <w:shd w:val="clear" w:color="auto" w:fill="auto"/>
            <w:noWrap/>
            <w:vAlign w:val="center"/>
            <w:hideMark/>
          </w:tcPr>
          <w:p w14:paraId="518357BE"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17383907"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7C21642B"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Brno-město</w:t>
            </w:r>
          </w:p>
        </w:tc>
        <w:tc>
          <w:tcPr>
            <w:tcW w:w="1080" w:type="dxa"/>
            <w:tcBorders>
              <w:top w:val="single" w:sz="4" w:space="0" w:color="auto"/>
              <w:left w:val="nil"/>
              <w:bottom w:val="single" w:sz="4" w:space="0" w:color="auto"/>
              <w:right w:val="nil"/>
            </w:tcBorders>
            <w:shd w:val="clear" w:color="auto" w:fill="auto"/>
            <w:noWrap/>
            <w:vAlign w:val="center"/>
            <w:hideMark/>
          </w:tcPr>
          <w:p w14:paraId="280CC65A" w14:textId="344843B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799</w:t>
            </w:r>
          </w:p>
        </w:tc>
        <w:tc>
          <w:tcPr>
            <w:tcW w:w="1080" w:type="dxa"/>
            <w:tcBorders>
              <w:top w:val="single" w:sz="4" w:space="0" w:color="auto"/>
              <w:left w:val="nil"/>
              <w:bottom w:val="single" w:sz="4" w:space="0" w:color="auto"/>
              <w:right w:val="nil"/>
            </w:tcBorders>
            <w:shd w:val="clear" w:color="auto" w:fill="auto"/>
            <w:noWrap/>
            <w:vAlign w:val="center"/>
            <w:hideMark/>
          </w:tcPr>
          <w:p w14:paraId="0D222092" w14:textId="535B35DF"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1</w:t>
            </w:r>
            <w:r w:rsidR="000C430A" w:rsidRPr="00A00187">
              <w:rPr>
                <w:rFonts w:eastAsia="Times New Roman"/>
                <w:szCs w:val="24"/>
                <w:lang w:eastAsia="cs-CZ"/>
              </w:rPr>
              <w:t>,</w:t>
            </w:r>
            <w:r w:rsidRPr="00A00187">
              <w:rPr>
                <w:rFonts w:eastAsia="Times New Roman"/>
                <w:szCs w:val="24"/>
                <w:lang w:eastAsia="cs-CZ"/>
              </w:rPr>
              <w:t>000</w:t>
            </w:r>
          </w:p>
        </w:tc>
        <w:tc>
          <w:tcPr>
            <w:tcW w:w="1080" w:type="dxa"/>
            <w:tcBorders>
              <w:top w:val="single" w:sz="4" w:space="0" w:color="auto"/>
              <w:left w:val="nil"/>
              <w:bottom w:val="single" w:sz="4" w:space="0" w:color="auto"/>
              <w:right w:val="nil"/>
            </w:tcBorders>
            <w:shd w:val="clear" w:color="auto" w:fill="auto"/>
            <w:noWrap/>
            <w:vAlign w:val="center"/>
            <w:hideMark/>
          </w:tcPr>
          <w:p w14:paraId="71484B84" w14:textId="6D2E9D2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799</w:t>
            </w:r>
          </w:p>
        </w:tc>
        <w:tc>
          <w:tcPr>
            <w:tcW w:w="1080" w:type="dxa"/>
            <w:tcBorders>
              <w:top w:val="single" w:sz="4" w:space="0" w:color="auto"/>
              <w:left w:val="nil"/>
              <w:bottom w:val="single" w:sz="4" w:space="0" w:color="auto"/>
              <w:right w:val="nil"/>
            </w:tcBorders>
            <w:shd w:val="clear" w:color="auto" w:fill="auto"/>
            <w:noWrap/>
            <w:vAlign w:val="center"/>
            <w:hideMark/>
          </w:tcPr>
          <w:p w14:paraId="7D85F5EB"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5189C270"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2F0705F"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Jihlava</w:t>
            </w:r>
          </w:p>
        </w:tc>
        <w:tc>
          <w:tcPr>
            <w:tcW w:w="1080" w:type="dxa"/>
            <w:tcBorders>
              <w:top w:val="single" w:sz="4" w:space="0" w:color="auto"/>
              <w:left w:val="nil"/>
              <w:bottom w:val="single" w:sz="4" w:space="0" w:color="auto"/>
              <w:right w:val="nil"/>
            </w:tcBorders>
            <w:shd w:val="clear" w:color="auto" w:fill="auto"/>
            <w:noWrap/>
            <w:vAlign w:val="center"/>
            <w:hideMark/>
          </w:tcPr>
          <w:p w14:paraId="3D13DA82" w14:textId="304FC5A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799</w:t>
            </w:r>
          </w:p>
        </w:tc>
        <w:tc>
          <w:tcPr>
            <w:tcW w:w="1080" w:type="dxa"/>
            <w:tcBorders>
              <w:top w:val="single" w:sz="4" w:space="0" w:color="auto"/>
              <w:left w:val="nil"/>
              <w:bottom w:val="single" w:sz="4" w:space="0" w:color="auto"/>
              <w:right w:val="nil"/>
            </w:tcBorders>
            <w:shd w:val="clear" w:color="auto" w:fill="auto"/>
            <w:noWrap/>
            <w:vAlign w:val="center"/>
            <w:hideMark/>
          </w:tcPr>
          <w:p w14:paraId="3DB27994" w14:textId="7F5E3B1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826</w:t>
            </w:r>
          </w:p>
        </w:tc>
        <w:tc>
          <w:tcPr>
            <w:tcW w:w="1080" w:type="dxa"/>
            <w:tcBorders>
              <w:top w:val="single" w:sz="4" w:space="0" w:color="auto"/>
              <w:left w:val="nil"/>
              <w:bottom w:val="single" w:sz="4" w:space="0" w:color="auto"/>
              <w:right w:val="nil"/>
            </w:tcBorders>
            <w:shd w:val="clear" w:color="auto" w:fill="auto"/>
            <w:noWrap/>
            <w:vAlign w:val="center"/>
            <w:hideMark/>
          </w:tcPr>
          <w:p w14:paraId="02EF0021" w14:textId="5D0E77CA"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967</w:t>
            </w:r>
          </w:p>
        </w:tc>
        <w:tc>
          <w:tcPr>
            <w:tcW w:w="1080" w:type="dxa"/>
            <w:tcBorders>
              <w:top w:val="single" w:sz="4" w:space="0" w:color="auto"/>
              <w:left w:val="nil"/>
              <w:bottom w:val="single" w:sz="4" w:space="0" w:color="auto"/>
              <w:right w:val="nil"/>
            </w:tcBorders>
            <w:shd w:val="clear" w:color="auto" w:fill="auto"/>
            <w:noWrap/>
            <w:vAlign w:val="center"/>
            <w:hideMark/>
          </w:tcPr>
          <w:p w14:paraId="25E4B1E7"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E0DD6D4"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2CF51329"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Blansko</w:t>
            </w:r>
          </w:p>
        </w:tc>
        <w:tc>
          <w:tcPr>
            <w:tcW w:w="1080" w:type="dxa"/>
            <w:tcBorders>
              <w:top w:val="single" w:sz="4" w:space="0" w:color="auto"/>
              <w:left w:val="nil"/>
              <w:bottom w:val="single" w:sz="4" w:space="0" w:color="auto"/>
              <w:right w:val="nil"/>
            </w:tcBorders>
            <w:shd w:val="clear" w:color="auto" w:fill="auto"/>
            <w:noWrap/>
            <w:vAlign w:val="center"/>
            <w:hideMark/>
          </w:tcPr>
          <w:p w14:paraId="50ECE8E1" w14:textId="0F165953"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795</w:t>
            </w:r>
          </w:p>
        </w:tc>
        <w:tc>
          <w:tcPr>
            <w:tcW w:w="1080" w:type="dxa"/>
            <w:tcBorders>
              <w:top w:val="single" w:sz="4" w:space="0" w:color="auto"/>
              <w:left w:val="nil"/>
              <w:bottom w:val="single" w:sz="4" w:space="0" w:color="auto"/>
              <w:right w:val="nil"/>
            </w:tcBorders>
            <w:shd w:val="clear" w:color="auto" w:fill="auto"/>
            <w:noWrap/>
            <w:vAlign w:val="center"/>
            <w:hideMark/>
          </w:tcPr>
          <w:p w14:paraId="2BAEE98A" w14:textId="676D8FE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807</w:t>
            </w:r>
          </w:p>
        </w:tc>
        <w:tc>
          <w:tcPr>
            <w:tcW w:w="1080" w:type="dxa"/>
            <w:tcBorders>
              <w:top w:val="single" w:sz="4" w:space="0" w:color="auto"/>
              <w:left w:val="nil"/>
              <w:bottom w:val="single" w:sz="4" w:space="0" w:color="auto"/>
              <w:right w:val="nil"/>
            </w:tcBorders>
            <w:shd w:val="clear" w:color="auto" w:fill="auto"/>
            <w:noWrap/>
            <w:vAlign w:val="center"/>
            <w:hideMark/>
          </w:tcPr>
          <w:p w14:paraId="704218E3" w14:textId="713781F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986</w:t>
            </w:r>
          </w:p>
        </w:tc>
        <w:tc>
          <w:tcPr>
            <w:tcW w:w="1080" w:type="dxa"/>
            <w:tcBorders>
              <w:top w:val="single" w:sz="4" w:space="0" w:color="auto"/>
              <w:left w:val="nil"/>
              <w:bottom w:val="single" w:sz="4" w:space="0" w:color="auto"/>
              <w:right w:val="nil"/>
            </w:tcBorders>
            <w:shd w:val="clear" w:color="auto" w:fill="auto"/>
            <w:noWrap/>
            <w:vAlign w:val="center"/>
            <w:hideMark/>
          </w:tcPr>
          <w:p w14:paraId="32C1C0CA"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1C151384"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03F76DDE"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Semily</w:t>
            </w:r>
          </w:p>
        </w:tc>
        <w:tc>
          <w:tcPr>
            <w:tcW w:w="1080" w:type="dxa"/>
            <w:tcBorders>
              <w:top w:val="single" w:sz="4" w:space="0" w:color="auto"/>
              <w:left w:val="nil"/>
              <w:bottom w:val="single" w:sz="4" w:space="0" w:color="auto"/>
              <w:right w:val="nil"/>
            </w:tcBorders>
            <w:shd w:val="clear" w:color="auto" w:fill="auto"/>
            <w:noWrap/>
            <w:vAlign w:val="center"/>
            <w:hideMark/>
          </w:tcPr>
          <w:p w14:paraId="463E91E0" w14:textId="7980C44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792</w:t>
            </w:r>
          </w:p>
        </w:tc>
        <w:tc>
          <w:tcPr>
            <w:tcW w:w="1080" w:type="dxa"/>
            <w:tcBorders>
              <w:top w:val="single" w:sz="4" w:space="0" w:color="auto"/>
              <w:left w:val="nil"/>
              <w:bottom w:val="single" w:sz="4" w:space="0" w:color="auto"/>
              <w:right w:val="nil"/>
            </w:tcBorders>
            <w:shd w:val="clear" w:color="auto" w:fill="auto"/>
            <w:noWrap/>
            <w:vAlign w:val="center"/>
            <w:hideMark/>
          </w:tcPr>
          <w:p w14:paraId="696F0900" w14:textId="5BF6CDCE"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922</w:t>
            </w:r>
          </w:p>
        </w:tc>
        <w:tc>
          <w:tcPr>
            <w:tcW w:w="1080" w:type="dxa"/>
            <w:tcBorders>
              <w:top w:val="single" w:sz="4" w:space="0" w:color="auto"/>
              <w:left w:val="nil"/>
              <w:bottom w:val="single" w:sz="4" w:space="0" w:color="auto"/>
              <w:right w:val="nil"/>
            </w:tcBorders>
            <w:shd w:val="clear" w:color="auto" w:fill="auto"/>
            <w:noWrap/>
            <w:vAlign w:val="center"/>
            <w:hideMark/>
          </w:tcPr>
          <w:p w14:paraId="63B941E7" w14:textId="264234F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859</w:t>
            </w:r>
          </w:p>
        </w:tc>
        <w:tc>
          <w:tcPr>
            <w:tcW w:w="1080" w:type="dxa"/>
            <w:tcBorders>
              <w:top w:val="single" w:sz="4" w:space="0" w:color="auto"/>
              <w:left w:val="nil"/>
              <w:bottom w:val="single" w:sz="4" w:space="0" w:color="auto"/>
              <w:right w:val="nil"/>
            </w:tcBorders>
            <w:shd w:val="clear" w:color="auto" w:fill="auto"/>
            <w:noWrap/>
            <w:vAlign w:val="center"/>
            <w:hideMark/>
          </w:tcPr>
          <w:p w14:paraId="55223340"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265BFB3A"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6F9A6CB1"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Sokolov</w:t>
            </w:r>
          </w:p>
        </w:tc>
        <w:tc>
          <w:tcPr>
            <w:tcW w:w="1080" w:type="dxa"/>
            <w:tcBorders>
              <w:top w:val="single" w:sz="4" w:space="0" w:color="auto"/>
              <w:left w:val="nil"/>
              <w:bottom w:val="single" w:sz="4" w:space="0" w:color="auto"/>
              <w:right w:val="nil"/>
            </w:tcBorders>
            <w:shd w:val="clear" w:color="auto" w:fill="auto"/>
            <w:noWrap/>
            <w:vAlign w:val="center"/>
            <w:hideMark/>
          </w:tcPr>
          <w:p w14:paraId="1248B5EB" w14:textId="54F705D4"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786</w:t>
            </w:r>
          </w:p>
        </w:tc>
        <w:tc>
          <w:tcPr>
            <w:tcW w:w="1080" w:type="dxa"/>
            <w:tcBorders>
              <w:top w:val="single" w:sz="4" w:space="0" w:color="auto"/>
              <w:left w:val="nil"/>
              <w:bottom w:val="single" w:sz="4" w:space="0" w:color="auto"/>
              <w:right w:val="nil"/>
            </w:tcBorders>
            <w:shd w:val="clear" w:color="auto" w:fill="auto"/>
            <w:noWrap/>
            <w:vAlign w:val="center"/>
            <w:hideMark/>
          </w:tcPr>
          <w:p w14:paraId="0A77B657" w14:textId="23A779E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877</w:t>
            </w:r>
          </w:p>
        </w:tc>
        <w:tc>
          <w:tcPr>
            <w:tcW w:w="1080" w:type="dxa"/>
            <w:tcBorders>
              <w:top w:val="single" w:sz="4" w:space="0" w:color="auto"/>
              <w:left w:val="nil"/>
              <w:bottom w:val="single" w:sz="4" w:space="0" w:color="auto"/>
              <w:right w:val="nil"/>
            </w:tcBorders>
            <w:shd w:val="clear" w:color="auto" w:fill="auto"/>
            <w:noWrap/>
            <w:vAlign w:val="center"/>
            <w:hideMark/>
          </w:tcPr>
          <w:p w14:paraId="2D9AE366" w14:textId="6AFC24E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896</w:t>
            </w:r>
          </w:p>
        </w:tc>
        <w:tc>
          <w:tcPr>
            <w:tcW w:w="1080" w:type="dxa"/>
            <w:tcBorders>
              <w:top w:val="single" w:sz="4" w:space="0" w:color="auto"/>
              <w:left w:val="nil"/>
              <w:bottom w:val="single" w:sz="4" w:space="0" w:color="auto"/>
              <w:right w:val="nil"/>
            </w:tcBorders>
            <w:shd w:val="clear" w:color="auto" w:fill="auto"/>
            <w:noWrap/>
            <w:vAlign w:val="center"/>
            <w:hideMark/>
          </w:tcPr>
          <w:p w14:paraId="2A1297F2"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792631F3"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31C1B18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Bruntál</w:t>
            </w:r>
          </w:p>
        </w:tc>
        <w:tc>
          <w:tcPr>
            <w:tcW w:w="1080" w:type="dxa"/>
            <w:tcBorders>
              <w:top w:val="single" w:sz="4" w:space="0" w:color="auto"/>
              <w:left w:val="nil"/>
              <w:bottom w:val="single" w:sz="4" w:space="0" w:color="auto"/>
              <w:right w:val="nil"/>
            </w:tcBorders>
            <w:shd w:val="clear" w:color="auto" w:fill="auto"/>
            <w:noWrap/>
            <w:vAlign w:val="center"/>
            <w:hideMark/>
          </w:tcPr>
          <w:p w14:paraId="6EC3FFCC" w14:textId="66207C2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776</w:t>
            </w:r>
          </w:p>
        </w:tc>
        <w:tc>
          <w:tcPr>
            <w:tcW w:w="1080" w:type="dxa"/>
            <w:tcBorders>
              <w:top w:val="single" w:sz="4" w:space="0" w:color="auto"/>
              <w:left w:val="nil"/>
              <w:bottom w:val="single" w:sz="4" w:space="0" w:color="auto"/>
              <w:right w:val="nil"/>
            </w:tcBorders>
            <w:shd w:val="clear" w:color="auto" w:fill="auto"/>
            <w:noWrap/>
            <w:vAlign w:val="center"/>
            <w:hideMark/>
          </w:tcPr>
          <w:p w14:paraId="7039360F" w14:textId="07487E2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828</w:t>
            </w:r>
          </w:p>
        </w:tc>
        <w:tc>
          <w:tcPr>
            <w:tcW w:w="1080" w:type="dxa"/>
            <w:tcBorders>
              <w:top w:val="single" w:sz="4" w:space="0" w:color="auto"/>
              <w:left w:val="nil"/>
              <w:bottom w:val="single" w:sz="4" w:space="0" w:color="auto"/>
              <w:right w:val="nil"/>
            </w:tcBorders>
            <w:shd w:val="clear" w:color="auto" w:fill="auto"/>
            <w:noWrap/>
            <w:vAlign w:val="center"/>
            <w:hideMark/>
          </w:tcPr>
          <w:p w14:paraId="5DDBCE84" w14:textId="031B58D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937</w:t>
            </w:r>
          </w:p>
        </w:tc>
        <w:tc>
          <w:tcPr>
            <w:tcW w:w="1080" w:type="dxa"/>
            <w:tcBorders>
              <w:top w:val="single" w:sz="4" w:space="0" w:color="auto"/>
              <w:left w:val="nil"/>
              <w:bottom w:val="single" w:sz="4" w:space="0" w:color="auto"/>
              <w:right w:val="nil"/>
            </w:tcBorders>
            <w:shd w:val="clear" w:color="auto" w:fill="auto"/>
            <w:noWrap/>
            <w:vAlign w:val="center"/>
            <w:hideMark/>
          </w:tcPr>
          <w:p w14:paraId="548E7B8A"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DRS</w:t>
            </w:r>
          </w:p>
        </w:tc>
      </w:tr>
      <w:tr w:rsidR="00AC1E67" w:rsidRPr="00A00187" w14:paraId="58C84395" w14:textId="77777777" w:rsidTr="00B72E56">
        <w:trPr>
          <w:trHeight w:val="295"/>
        </w:trPr>
        <w:tc>
          <w:tcPr>
            <w:tcW w:w="2320" w:type="dxa"/>
            <w:tcBorders>
              <w:top w:val="single" w:sz="4" w:space="0" w:color="auto"/>
              <w:left w:val="nil"/>
              <w:bottom w:val="single" w:sz="4" w:space="0" w:color="auto"/>
              <w:right w:val="nil"/>
            </w:tcBorders>
            <w:shd w:val="clear" w:color="auto" w:fill="auto"/>
            <w:noWrap/>
            <w:vAlign w:val="center"/>
            <w:hideMark/>
          </w:tcPr>
          <w:p w14:paraId="495728CB"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Jičín</w:t>
            </w:r>
          </w:p>
        </w:tc>
        <w:tc>
          <w:tcPr>
            <w:tcW w:w="1080" w:type="dxa"/>
            <w:tcBorders>
              <w:top w:val="single" w:sz="4" w:space="0" w:color="auto"/>
              <w:left w:val="nil"/>
              <w:bottom w:val="single" w:sz="4" w:space="0" w:color="auto"/>
              <w:right w:val="nil"/>
            </w:tcBorders>
            <w:shd w:val="clear" w:color="auto" w:fill="auto"/>
            <w:noWrap/>
            <w:vAlign w:val="center"/>
            <w:hideMark/>
          </w:tcPr>
          <w:p w14:paraId="2FC4D4C8" w14:textId="4B2AC61B"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743</w:t>
            </w:r>
          </w:p>
        </w:tc>
        <w:tc>
          <w:tcPr>
            <w:tcW w:w="1080" w:type="dxa"/>
            <w:tcBorders>
              <w:top w:val="single" w:sz="4" w:space="0" w:color="auto"/>
              <w:left w:val="nil"/>
              <w:bottom w:val="single" w:sz="4" w:space="0" w:color="auto"/>
              <w:right w:val="nil"/>
            </w:tcBorders>
            <w:shd w:val="clear" w:color="auto" w:fill="auto"/>
            <w:noWrap/>
            <w:vAlign w:val="center"/>
            <w:hideMark/>
          </w:tcPr>
          <w:p w14:paraId="2D23B8C0" w14:textId="42FEC989"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807</w:t>
            </w:r>
          </w:p>
        </w:tc>
        <w:tc>
          <w:tcPr>
            <w:tcW w:w="1080" w:type="dxa"/>
            <w:tcBorders>
              <w:top w:val="single" w:sz="4" w:space="0" w:color="auto"/>
              <w:left w:val="nil"/>
              <w:bottom w:val="single" w:sz="4" w:space="0" w:color="auto"/>
              <w:right w:val="nil"/>
            </w:tcBorders>
            <w:shd w:val="clear" w:color="auto" w:fill="auto"/>
            <w:noWrap/>
            <w:vAlign w:val="center"/>
            <w:hideMark/>
          </w:tcPr>
          <w:p w14:paraId="4E736B26" w14:textId="43866170"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921</w:t>
            </w:r>
          </w:p>
        </w:tc>
        <w:tc>
          <w:tcPr>
            <w:tcW w:w="1080" w:type="dxa"/>
            <w:tcBorders>
              <w:top w:val="single" w:sz="4" w:space="0" w:color="auto"/>
              <w:left w:val="nil"/>
              <w:bottom w:val="single" w:sz="4" w:space="0" w:color="auto"/>
              <w:right w:val="nil"/>
            </w:tcBorders>
            <w:shd w:val="clear" w:color="auto" w:fill="auto"/>
            <w:noWrap/>
            <w:vAlign w:val="center"/>
            <w:hideMark/>
          </w:tcPr>
          <w:p w14:paraId="3CE282FF"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41D53FD2" w14:textId="77777777" w:rsidTr="00B72E56">
        <w:trPr>
          <w:trHeight w:val="295"/>
        </w:trPr>
        <w:tc>
          <w:tcPr>
            <w:tcW w:w="2320" w:type="dxa"/>
            <w:tcBorders>
              <w:top w:val="single" w:sz="4" w:space="0" w:color="auto"/>
              <w:left w:val="nil"/>
              <w:bottom w:val="double" w:sz="6" w:space="0" w:color="auto"/>
              <w:right w:val="nil"/>
            </w:tcBorders>
            <w:shd w:val="clear" w:color="auto" w:fill="auto"/>
            <w:noWrap/>
            <w:vAlign w:val="center"/>
            <w:hideMark/>
          </w:tcPr>
          <w:p w14:paraId="15D587E5" w14:textId="77777777" w:rsidR="00EC3B1E" w:rsidRPr="00A00187" w:rsidRDefault="00EC3B1E" w:rsidP="00EC3B1E">
            <w:pPr>
              <w:spacing w:line="240" w:lineRule="auto"/>
              <w:jc w:val="left"/>
              <w:rPr>
                <w:rFonts w:eastAsia="Times New Roman"/>
                <w:szCs w:val="24"/>
                <w:lang w:eastAsia="cs-CZ"/>
              </w:rPr>
            </w:pPr>
            <w:r w:rsidRPr="00A00187">
              <w:rPr>
                <w:rFonts w:eastAsia="Times New Roman"/>
                <w:szCs w:val="24"/>
                <w:lang w:eastAsia="cs-CZ"/>
              </w:rPr>
              <w:t>Břeclav</w:t>
            </w:r>
          </w:p>
        </w:tc>
        <w:tc>
          <w:tcPr>
            <w:tcW w:w="1080" w:type="dxa"/>
            <w:tcBorders>
              <w:top w:val="single" w:sz="4" w:space="0" w:color="auto"/>
              <w:left w:val="nil"/>
              <w:bottom w:val="double" w:sz="6" w:space="0" w:color="auto"/>
              <w:right w:val="nil"/>
            </w:tcBorders>
            <w:shd w:val="clear" w:color="auto" w:fill="auto"/>
            <w:noWrap/>
            <w:vAlign w:val="center"/>
            <w:hideMark/>
          </w:tcPr>
          <w:p w14:paraId="3BCB0AB9" w14:textId="1554E945"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708</w:t>
            </w:r>
          </w:p>
        </w:tc>
        <w:tc>
          <w:tcPr>
            <w:tcW w:w="1080" w:type="dxa"/>
            <w:tcBorders>
              <w:top w:val="single" w:sz="4" w:space="0" w:color="auto"/>
              <w:left w:val="nil"/>
              <w:bottom w:val="double" w:sz="6" w:space="0" w:color="auto"/>
              <w:right w:val="nil"/>
            </w:tcBorders>
            <w:shd w:val="clear" w:color="auto" w:fill="auto"/>
            <w:noWrap/>
            <w:vAlign w:val="center"/>
            <w:hideMark/>
          </w:tcPr>
          <w:p w14:paraId="77672D53" w14:textId="7585BEE6"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736</w:t>
            </w:r>
          </w:p>
        </w:tc>
        <w:tc>
          <w:tcPr>
            <w:tcW w:w="1080" w:type="dxa"/>
            <w:tcBorders>
              <w:top w:val="single" w:sz="4" w:space="0" w:color="auto"/>
              <w:left w:val="nil"/>
              <w:bottom w:val="double" w:sz="6" w:space="0" w:color="auto"/>
              <w:right w:val="nil"/>
            </w:tcBorders>
            <w:shd w:val="clear" w:color="auto" w:fill="auto"/>
            <w:noWrap/>
            <w:vAlign w:val="center"/>
            <w:hideMark/>
          </w:tcPr>
          <w:p w14:paraId="4C42CC5A" w14:textId="26F97EA8"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0</w:t>
            </w:r>
            <w:r w:rsidR="000C430A" w:rsidRPr="00A00187">
              <w:rPr>
                <w:rFonts w:eastAsia="Times New Roman"/>
                <w:szCs w:val="24"/>
                <w:lang w:eastAsia="cs-CZ"/>
              </w:rPr>
              <w:t>,</w:t>
            </w:r>
            <w:r w:rsidRPr="00A00187">
              <w:rPr>
                <w:rFonts w:eastAsia="Times New Roman"/>
                <w:szCs w:val="24"/>
                <w:lang w:eastAsia="cs-CZ"/>
              </w:rPr>
              <w:t>962</w:t>
            </w:r>
          </w:p>
        </w:tc>
        <w:tc>
          <w:tcPr>
            <w:tcW w:w="1080" w:type="dxa"/>
            <w:tcBorders>
              <w:top w:val="single" w:sz="4" w:space="0" w:color="auto"/>
              <w:left w:val="nil"/>
              <w:bottom w:val="double" w:sz="6" w:space="0" w:color="auto"/>
              <w:right w:val="nil"/>
            </w:tcBorders>
            <w:shd w:val="clear" w:color="auto" w:fill="auto"/>
            <w:noWrap/>
            <w:vAlign w:val="center"/>
            <w:hideMark/>
          </w:tcPr>
          <w:p w14:paraId="39A674A2"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IRS</w:t>
            </w:r>
          </w:p>
        </w:tc>
      </w:tr>
      <w:tr w:rsidR="00AC1E67" w:rsidRPr="00A00187" w14:paraId="5D26C37D" w14:textId="77777777" w:rsidTr="00EC3B1E">
        <w:trPr>
          <w:trHeight w:val="284"/>
        </w:trPr>
        <w:tc>
          <w:tcPr>
            <w:tcW w:w="2320" w:type="dxa"/>
            <w:tcBorders>
              <w:top w:val="nil"/>
              <w:left w:val="nil"/>
              <w:bottom w:val="double" w:sz="6" w:space="0" w:color="auto"/>
              <w:right w:val="nil"/>
            </w:tcBorders>
            <w:shd w:val="clear" w:color="auto" w:fill="auto"/>
            <w:noWrap/>
            <w:vAlign w:val="center"/>
            <w:hideMark/>
          </w:tcPr>
          <w:p w14:paraId="2CFE3461" w14:textId="77777777" w:rsidR="00EC3B1E" w:rsidRPr="00A00187" w:rsidRDefault="00EC3B1E" w:rsidP="00EC3B1E">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80" w:type="dxa"/>
            <w:tcBorders>
              <w:top w:val="nil"/>
              <w:left w:val="nil"/>
              <w:bottom w:val="double" w:sz="6" w:space="0" w:color="auto"/>
              <w:right w:val="nil"/>
            </w:tcBorders>
            <w:shd w:val="clear" w:color="auto" w:fill="auto"/>
            <w:noWrap/>
            <w:vAlign w:val="center"/>
            <w:hideMark/>
          </w:tcPr>
          <w:p w14:paraId="2F2C45F4" w14:textId="4C7CCBAC" w:rsidR="00EC3B1E" w:rsidRPr="00A00187" w:rsidRDefault="00EC3B1E" w:rsidP="00EC3B1E">
            <w:pPr>
              <w:spacing w:line="240" w:lineRule="auto"/>
              <w:jc w:val="center"/>
              <w:rPr>
                <w:rFonts w:eastAsia="Times New Roman"/>
                <w:b/>
                <w:bCs/>
                <w:szCs w:val="24"/>
                <w:lang w:eastAsia="cs-CZ"/>
              </w:rPr>
            </w:pPr>
            <w:r w:rsidRPr="00A00187">
              <w:rPr>
                <w:rFonts w:eastAsia="Times New Roman"/>
                <w:b/>
                <w:bCs/>
                <w:szCs w:val="24"/>
                <w:lang w:eastAsia="cs-CZ"/>
              </w:rPr>
              <w:t>0</w:t>
            </w:r>
            <w:r w:rsidR="000C430A" w:rsidRPr="00A00187">
              <w:rPr>
                <w:rFonts w:eastAsia="Times New Roman"/>
                <w:b/>
                <w:bCs/>
                <w:szCs w:val="24"/>
                <w:lang w:eastAsia="cs-CZ"/>
              </w:rPr>
              <w:t>,</w:t>
            </w:r>
            <w:r w:rsidRPr="00A00187">
              <w:rPr>
                <w:rFonts w:eastAsia="Times New Roman"/>
                <w:b/>
                <w:bCs/>
                <w:szCs w:val="24"/>
                <w:lang w:eastAsia="cs-CZ"/>
              </w:rPr>
              <w:t>871</w:t>
            </w:r>
          </w:p>
        </w:tc>
        <w:tc>
          <w:tcPr>
            <w:tcW w:w="1080" w:type="dxa"/>
            <w:tcBorders>
              <w:top w:val="nil"/>
              <w:left w:val="nil"/>
              <w:bottom w:val="double" w:sz="6" w:space="0" w:color="auto"/>
              <w:right w:val="nil"/>
            </w:tcBorders>
            <w:shd w:val="clear" w:color="auto" w:fill="auto"/>
            <w:noWrap/>
            <w:vAlign w:val="center"/>
            <w:hideMark/>
          </w:tcPr>
          <w:p w14:paraId="50847DE0" w14:textId="6A9E5AC0" w:rsidR="00EC3B1E" w:rsidRPr="00A00187" w:rsidRDefault="00EC3B1E" w:rsidP="00EC3B1E">
            <w:pPr>
              <w:spacing w:line="240" w:lineRule="auto"/>
              <w:jc w:val="center"/>
              <w:rPr>
                <w:rFonts w:eastAsia="Times New Roman"/>
                <w:b/>
                <w:bCs/>
                <w:szCs w:val="24"/>
                <w:lang w:eastAsia="cs-CZ"/>
              </w:rPr>
            </w:pPr>
            <w:r w:rsidRPr="00A00187">
              <w:rPr>
                <w:rFonts w:eastAsia="Times New Roman"/>
                <w:b/>
                <w:bCs/>
                <w:szCs w:val="24"/>
                <w:lang w:eastAsia="cs-CZ"/>
              </w:rPr>
              <w:t>0</w:t>
            </w:r>
            <w:r w:rsidR="000C430A" w:rsidRPr="00A00187">
              <w:rPr>
                <w:rFonts w:eastAsia="Times New Roman"/>
                <w:b/>
                <w:bCs/>
                <w:szCs w:val="24"/>
                <w:lang w:eastAsia="cs-CZ"/>
              </w:rPr>
              <w:t>,</w:t>
            </w:r>
            <w:r w:rsidRPr="00A00187">
              <w:rPr>
                <w:rFonts w:eastAsia="Times New Roman"/>
                <w:b/>
                <w:bCs/>
                <w:szCs w:val="24"/>
                <w:lang w:eastAsia="cs-CZ"/>
              </w:rPr>
              <w:t>925</w:t>
            </w:r>
          </w:p>
        </w:tc>
        <w:tc>
          <w:tcPr>
            <w:tcW w:w="1080" w:type="dxa"/>
            <w:tcBorders>
              <w:top w:val="nil"/>
              <w:left w:val="nil"/>
              <w:bottom w:val="double" w:sz="6" w:space="0" w:color="auto"/>
              <w:right w:val="nil"/>
            </w:tcBorders>
            <w:shd w:val="clear" w:color="auto" w:fill="auto"/>
            <w:noWrap/>
            <w:vAlign w:val="center"/>
            <w:hideMark/>
          </w:tcPr>
          <w:p w14:paraId="05DDEB39" w14:textId="580C6CB6" w:rsidR="00EC3B1E" w:rsidRPr="00A00187" w:rsidRDefault="00EC3B1E" w:rsidP="00EC3B1E">
            <w:pPr>
              <w:spacing w:line="240" w:lineRule="auto"/>
              <w:jc w:val="center"/>
              <w:rPr>
                <w:rFonts w:eastAsia="Times New Roman"/>
                <w:b/>
                <w:bCs/>
                <w:szCs w:val="24"/>
                <w:lang w:eastAsia="cs-CZ"/>
              </w:rPr>
            </w:pPr>
            <w:r w:rsidRPr="00A00187">
              <w:rPr>
                <w:rFonts w:eastAsia="Times New Roman"/>
                <w:b/>
                <w:bCs/>
                <w:szCs w:val="24"/>
                <w:lang w:eastAsia="cs-CZ"/>
              </w:rPr>
              <w:t>0</w:t>
            </w:r>
            <w:r w:rsidR="000C430A" w:rsidRPr="00A00187">
              <w:rPr>
                <w:rFonts w:eastAsia="Times New Roman"/>
                <w:b/>
                <w:bCs/>
                <w:szCs w:val="24"/>
                <w:lang w:eastAsia="cs-CZ"/>
              </w:rPr>
              <w:t>,</w:t>
            </w:r>
            <w:r w:rsidRPr="00A00187">
              <w:rPr>
                <w:rFonts w:eastAsia="Times New Roman"/>
                <w:b/>
                <w:bCs/>
                <w:szCs w:val="24"/>
                <w:lang w:eastAsia="cs-CZ"/>
              </w:rPr>
              <w:t>943</w:t>
            </w:r>
          </w:p>
        </w:tc>
        <w:tc>
          <w:tcPr>
            <w:tcW w:w="1080" w:type="dxa"/>
            <w:tcBorders>
              <w:top w:val="nil"/>
              <w:left w:val="nil"/>
              <w:bottom w:val="double" w:sz="6" w:space="0" w:color="auto"/>
              <w:right w:val="nil"/>
            </w:tcBorders>
            <w:shd w:val="clear" w:color="auto" w:fill="auto"/>
            <w:noWrap/>
            <w:vAlign w:val="center"/>
            <w:hideMark/>
          </w:tcPr>
          <w:p w14:paraId="2D958BF3" w14:textId="77777777" w:rsidR="00EC3B1E" w:rsidRPr="00A00187" w:rsidRDefault="00EC3B1E" w:rsidP="00EC3B1E">
            <w:pPr>
              <w:spacing w:line="240" w:lineRule="auto"/>
              <w:jc w:val="center"/>
              <w:rPr>
                <w:rFonts w:eastAsia="Times New Roman"/>
                <w:szCs w:val="24"/>
                <w:lang w:eastAsia="cs-CZ"/>
              </w:rPr>
            </w:pPr>
            <w:r w:rsidRPr="00A00187">
              <w:rPr>
                <w:rFonts w:eastAsia="Times New Roman"/>
                <w:szCs w:val="24"/>
                <w:lang w:eastAsia="cs-CZ"/>
              </w:rPr>
              <w:t>-</w:t>
            </w:r>
          </w:p>
        </w:tc>
      </w:tr>
      <w:tr w:rsidR="00AC1E67" w:rsidRPr="00A00187" w14:paraId="712236F2" w14:textId="77777777" w:rsidTr="00EC3B1E">
        <w:trPr>
          <w:trHeight w:val="330"/>
        </w:trPr>
        <w:tc>
          <w:tcPr>
            <w:tcW w:w="2320" w:type="dxa"/>
            <w:tcBorders>
              <w:top w:val="nil"/>
              <w:left w:val="nil"/>
              <w:bottom w:val="nil"/>
              <w:right w:val="nil"/>
            </w:tcBorders>
            <w:shd w:val="clear" w:color="auto" w:fill="auto"/>
            <w:noWrap/>
            <w:vAlign w:val="bottom"/>
            <w:hideMark/>
          </w:tcPr>
          <w:p w14:paraId="332686ED" w14:textId="77777777" w:rsidR="00EC3B1E" w:rsidRPr="00A00187" w:rsidRDefault="00EC3B1E" w:rsidP="00EC3B1E">
            <w:pPr>
              <w:spacing w:line="240" w:lineRule="auto"/>
              <w:jc w:val="center"/>
              <w:rPr>
                <w:rFonts w:eastAsia="Times New Roman"/>
                <w:szCs w:val="24"/>
                <w:lang w:eastAsia="cs-CZ"/>
              </w:rPr>
            </w:pPr>
          </w:p>
        </w:tc>
        <w:tc>
          <w:tcPr>
            <w:tcW w:w="1080" w:type="dxa"/>
            <w:tcBorders>
              <w:top w:val="nil"/>
              <w:left w:val="nil"/>
              <w:bottom w:val="nil"/>
              <w:right w:val="nil"/>
            </w:tcBorders>
            <w:shd w:val="clear" w:color="auto" w:fill="auto"/>
            <w:noWrap/>
            <w:vAlign w:val="bottom"/>
            <w:hideMark/>
          </w:tcPr>
          <w:p w14:paraId="6812F6E1" w14:textId="77777777" w:rsidR="00EC3B1E" w:rsidRPr="00A00187" w:rsidRDefault="00EC3B1E" w:rsidP="00EC3B1E">
            <w:pPr>
              <w:spacing w:line="240" w:lineRule="auto"/>
              <w:jc w:val="left"/>
              <w:rPr>
                <w:rFonts w:ascii="Times New Roman" w:eastAsia="Times New Roman" w:hAnsi="Times New Roman"/>
                <w:sz w:val="20"/>
                <w:szCs w:val="20"/>
                <w:lang w:eastAsia="cs-CZ"/>
              </w:rPr>
            </w:pPr>
          </w:p>
        </w:tc>
        <w:tc>
          <w:tcPr>
            <w:tcW w:w="1080" w:type="dxa"/>
            <w:tcBorders>
              <w:top w:val="nil"/>
              <w:left w:val="nil"/>
              <w:bottom w:val="nil"/>
              <w:right w:val="nil"/>
            </w:tcBorders>
            <w:shd w:val="clear" w:color="auto" w:fill="auto"/>
            <w:noWrap/>
            <w:vAlign w:val="bottom"/>
            <w:hideMark/>
          </w:tcPr>
          <w:p w14:paraId="3A960C33" w14:textId="77777777" w:rsidR="00EC3B1E" w:rsidRPr="00A00187" w:rsidRDefault="00EC3B1E" w:rsidP="00EC3B1E">
            <w:pPr>
              <w:spacing w:line="240" w:lineRule="auto"/>
              <w:jc w:val="left"/>
              <w:rPr>
                <w:rFonts w:ascii="Times New Roman" w:eastAsia="Times New Roman" w:hAnsi="Times New Roman"/>
                <w:sz w:val="20"/>
                <w:szCs w:val="20"/>
                <w:lang w:eastAsia="cs-CZ"/>
              </w:rPr>
            </w:pPr>
          </w:p>
        </w:tc>
        <w:tc>
          <w:tcPr>
            <w:tcW w:w="1080" w:type="dxa"/>
            <w:tcBorders>
              <w:top w:val="nil"/>
              <w:left w:val="nil"/>
              <w:bottom w:val="nil"/>
              <w:right w:val="nil"/>
            </w:tcBorders>
            <w:shd w:val="clear" w:color="auto" w:fill="auto"/>
            <w:noWrap/>
            <w:vAlign w:val="bottom"/>
            <w:hideMark/>
          </w:tcPr>
          <w:p w14:paraId="295EE109" w14:textId="77777777" w:rsidR="00EC3B1E" w:rsidRPr="00A00187" w:rsidRDefault="00EC3B1E" w:rsidP="00EC3B1E">
            <w:pPr>
              <w:spacing w:line="240" w:lineRule="auto"/>
              <w:jc w:val="left"/>
              <w:rPr>
                <w:rFonts w:ascii="Times New Roman" w:eastAsia="Times New Roman" w:hAnsi="Times New Roman"/>
                <w:sz w:val="20"/>
                <w:szCs w:val="20"/>
                <w:lang w:eastAsia="cs-CZ"/>
              </w:rPr>
            </w:pPr>
          </w:p>
        </w:tc>
        <w:tc>
          <w:tcPr>
            <w:tcW w:w="1080" w:type="dxa"/>
            <w:tcBorders>
              <w:top w:val="nil"/>
              <w:left w:val="nil"/>
              <w:bottom w:val="nil"/>
              <w:right w:val="nil"/>
            </w:tcBorders>
            <w:shd w:val="clear" w:color="auto" w:fill="auto"/>
            <w:noWrap/>
            <w:vAlign w:val="bottom"/>
            <w:hideMark/>
          </w:tcPr>
          <w:p w14:paraId="37EBEE50" w14:textId="77777777" w:rsidR="00EC3B1E" w:rsidRPr="00A00187" w:rsidRDefault="00EC3B1E" w:rsidP="00EC3B1E">
            <w:pPr>
              <w:spacing w:line="240" w:lineRule="auto"/>
              <w:jc w:val="left"/>
              <w:rPr>
                <w:rFonts w:ascii="Times New Roman" w:eastAsia="Times New Roman" w:hAnsi="Times New Roman"/>
                <w:sz w:val="20"/>
                <w:szCs w:val="20"/>
                <w:lang w:eastAsia="cs-CZ"/>
              </w:rPr>
            </w:pPr>
          </w:p>
        </w:tc>
      </w:tr>
    </w:tbl>
    <w:p w14:paraId="6E5F0830" w14:textId="77777777" w:rsidR="008430BD" w:rsidRPr="00A00187" w:rsidRDefault="008430BD" w:rsidP="008430BD">
      <w:pPr>
        <w:pStyle w:val="Nadpis1"/>
        <w:pageBreakBefore/>
        <w:numPr>
          <w:ilvl w:val="0"/>
          <w:numId w:val="1"/>
        </w:numPr>
        <w:spacing w:after="120"/>
      </w:pPr>
      <w:bookmarkStart w:id="534" w:name="_Toc515871244"/>
      <w:bookmarkStart w:id="535" w:name="_Toc106092746"/>
      <w:bookmarkStart w:id="536" w:name="_Toc109801358"/>
      <w:r w:rsidRPr="00A00187">
        <w:lastRenderedPageBreak/>
        <w:t>Krajské soudy</w:t>
      </w:r>
      <w:bookmarkEnd w:id="534"/>
      <w:bookmarkEnd w:id="535"/>
      <w:bookmarkEnd w:id="536"/>
    </w:p>
    <w:p w14:paraId="3CC9C1FB" w14:textId="59CB6BD8" w:rsidR="008430BD" w:rsidRPr="00A00187" w:rsidRDefault="008430BD" w:rsidP="008430BD">
      <w:pPr>
        <w:pStyle w:val="Nadpis2"/>
        <w:keepNext w:val="0"/>
        <w:numPr>
          <w:ilvl w:val="1"/>
          <w:numId w:val="1"/>
        </w:numPr>
        <w:spacing w:before="120"/>
        <w:rPr>
          <w:color w:val="auto"/>
        </w:rPr>
      </w:pPr>
      <w:bookmarkStart w:id="537" w:name="_Toc106092747"/>
      <w:bookmarkStart w:id="538" w:name="_Toc515871245"/>
      <w:bookmarkStart w:id="539" w:name="_Toc106092748"/>
      <w:bookmarkStart w:id="540" w:name="_Toc109801359"/>
      <w:bookmarkEnd w:id="537"/>
      <w:r w:rsidRPr="00A00187">
        <w:rPr>
          <w:color w:val="auto"/>
        </w:rPr>
        <w:t>Personál</w:t>
      </w:r>
      <w:bookmarkEnd w:id="538"/>
      <w:bookmarkEnd w:id="539"/>
      <w:bookmarkEnd w:id="540"/>
    </w:p>
    <w:p w14:paraId="0914EAD1" w14:textId="0C22FDF9" w:rsidR="008951CC" w:rsidRPr="00A00187" w:rsidRDefault="008951CC" w:rsidP="00355BBF">
      <w:r w:rsidRPr="00A00187">
        <w:t>Struktura kapitoly je stejná jako u okresních soudů – první část se věnuje soudcům, druhá se zaměřuje na ostatní personál ve výkonu a třetí se věnuje přísedícím.</w:t>
      </w:r>
    </w:p>
    <w:p w14:paraId="6BF51150" w14:textId="41A2F3DA" w:rsidR="002D7898" w:rsidRPr="00A00187" w:rsidRDefault="002D7898" w:rsidP="002D7898">
      <w:pPr>
        <w:pStyle w:val="Nadpis3"/>
        <w:keepNext w:val="0"/>
        <w:numPr>
          <w:ilvl w:val="2"/>
          <w:numId w:val="1"/>
        </w:numPr>
        <w:rPr>
          <w:color w:val="auto"/>
        </w:rPr>
      </w:pPr>
      <w:bookmarkStart w:id="541" w:name="_Toc515871246"/>
      <w:bookmarkStart w:id="542" w:name="_Toc106092749"/>
      <w:bookmarkStart w:id="543" w:name="_Toc109801360"/>
      <w:r w:rsidRPr="00A00187">
        <w:rPr>
          <w:color w:val="auto"/>
        </w:rPr>
        <w:t>Soudci</w:t>
      </w:r>
      <w:bookmarkEnd w:id="541"/>
      <w:bookmarkEnd w:id="542"/>
      <w:bookmarkEnd w:id="543"/>
    </w:p>
    <w:p w14:paraId="419D4F96" w14:textId="3901BC71" w:rsidR="00925BD9" w:rsidRPr="00A00187" w:rsidRDefault="00925BD9" w:rsidP="00925BD9">
      <w:pPr>
        <w:pStyle w:val="OdstavecASR"/>
      </w:pPr>
      <w:r w:rsidRPr="00A00187">
        <w:t>Z grafu je patrný vývoj v evidenčním a plánovaném počtu soudců. Jak jsme uvedli již v podkapitole 2.1.1, byl v minulosti celkový plánovaný počet soudců v ČR prakticky neměnný (3 062 nebo 3 063) a soudci byl</w:t>
      </w:r>
      <w:r w:rsidR="0083756A" w:rsidRPr="00A00187">
        <w:t>i</w:t>
      </w:r>
      <w:r w:rsidRPr="00A00187">
        <w:t xml:space="preserve"> „pouze“ přerozdělováni mezi jednotlivé články soudní soustavy. V tomto přerozdělení si můžeme v delší časové řadě povšimnout stabilního trendu od roku 2013. U OS docházelo k mírnému postupnému snižování počtu plánovaných soudců (1 817 v roce 2013 vs. 1 761 v roce 2018), u KS naopak k postupnému zvyšování plánovaného počtu soudců (1 001 v roce 2013 vs. 1 057 v roce 2018). V roce 2019 se trend u KS zastavil a došlo k poklesu. V roce 2020 pokračoval trend nastavený v roce 2019. Všechny výše diskutované změny jsou ale marginální. V roce 2021 vidíme značný pokles v plánovaném počtu soudců – jde </w:t>
      </w:r>
      <w:r w:rsidR="00726EC3" w:rsidRPr="00A00187">
        <w:t>o</w:t>
      </w:r>
      <w:r w:rsidR="00726EC3">
        <w:t> </w:t>
      </w:r>
      <w:r w:rsidRPr="00A00187">
        <w:t xml:space="preserve">citelnější </w:t>
      </w:r>
      <w:r w:rsidR="00D11682" w:rsidRPr="00A00187">
        <w:t>pokles</w:t>
      </w:r>
      <w:r w:rsidRPr="00A00187">
        <w:t xml:space="preserve"> než </w:t>
      </w:r>
      <w:r w:rsidR="00726EC3" w:rsidRPr="00A00187">
        <w:t>u</w:t>
      </w:r>
      <w:r w:rsidR="00726EC3">
        <w:t> </w:t>
      </w:r>
      <w:r w:rsidRPr="00A00187">
        <w:t>soudů okresní</w:t>
      </w:r>
      <w:r w:rsidR="00F5336C" w:rsidRPr="00A00187">
        <w:t>ch</w:t>
      </w:r>
      <w:r w:rsidRPr="00A00187">
        <w:t xml:space="preserve">, </w:t>
      </w:r>
      <w:r w:rsidR="00755920" w:rsidRPr="00A00187">
        <w:t>a</w:t>
      </w:r>
      <w:r w:rsidR="00755920">
        <w:t> </w:t>
      </w:r>
      <w:r w:rsidRPr="00A00187">
        <w:t xml:space="preserve">to především procentuálně, neboť celkový plánovaný počet soudců je </w:t>
      </w:r>
      <w:r w:rsidR="00755920" w:rsidRPr="00A00187">
        <w:t>u</w:t>
      </w:r>
      <w:r w:rsidR="00755920">
        <w:t> </w:t>
      </w:r>
      <w:r w:rsidRPr="00A00187">
        <w:t xml:space="preserve">krajských soudů nižší než </w:t>
      </w:r>
      <w:r w:rsidR="00755920" w:rsidRPr="00A00187">
        <w:t>u</w:t>
      </w:r>
      <w:r w:rsidR="00755920">
        <w:t> </w:t>
      </w:r>
      <w:r w:rsidRPr="00A00187">
        <w:t>soudů okresních.</w:t>
      </w:r>
    </w:p>
    <w:p w14:paraId="7CD30F4D" w14:textId="3A2950B4" w:rsidR="003A30C3" w:rsidRPr="00A00187" w:rsidRDefault="003A30C3" w:rsidP="003A30C3">
      <w:pPr>
        <w:pStyle w:val="Podnadpis"/>
        <w:rPr>
          <w:color w:val="auto"/>
        </w:rPr>
      </w:pPr>
      <w:bookmarkStart w:id="544" w:name="_Ref512499826"/>
      <w:bookmarkStart w:id="545" w:name="_Toc515871376"/>
      <w:bookmarkStart w:id="546" w:name="_Toc11135107"/>
      <w:bookmarkStart w:id="547" w:name="_Toc43841426"/>
      <w:bookmarkStart w:id="548" w:name="_Toc75952230"/>
      <w:bookmarkStart w:id="549" w:name="_Toc106106686"/>
      <w:bookmarkStart w:id="550" w:name="_Toc109802010"/>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52</w:t>
      </w:r>
      <w:r w:rsidRPr="00A00187">
        <w:rPr>
          <w:noProof/>
          <w:color w:val="auto"/>
        </w:rPr>
        <w:fldChar w:fldCharType="end"/>
      </w:r>
      <w:bookmarkEnd w:id="544"/>
      <w:r w:rsidRPr="00A00187">
        <w:rPr>
          <w:color w:val="auto"/>
        </w:rPr>
        <w:t>: KS – počet soudců v letech 2008–20</w:t>
      </w:r>
      <w:bookmarkEnd w:id="545"/>
      <w:bookmarkEnd w:id="546"/>
      <w:bookmarkEnd w:id="547"/>
      <w:r w:rsidRPr="00A00187">
        <w:rPr>
          <w:color w:val="auto"/>
        </w:rPr>
        <w:t>2</w:t>
      </w:r>
      <w:bookmarkEnd w:id="548"/>
      <w:r w:rsidR="00FF1A24" w:rsidRPr="00A00187">
        <w:rPr>
          <w:color w:val="auto"/>
        </w:rPr>
        <w:t>1</w:t>
      </w:r>
      <w:bookmarkEnd w:id="549"/>
      <w:bookmarkEnd w:id="550"/>
    </w:p>
    <w:p w14:paraId="4A1D7D45" w14:textId="2ADCF392" w:rsidR="008430BD" w:rsidRPr="00A00187" w:rsidRDefault="002D7898" w:rsidP="008430BD">
      <w:r w:rsidRPr="00A00187">
        <w:rPr>
          <w:noProof/>
        </w:rPr>
        <w:drawing>
          <wp:inline distT="0" distB="0" distL="0" distR="0" wp14:anchorId="7F068015" wp14:editId="2D29773C">
            <wp:extent cx="5029200" cy="3657600"/>
            <wp:effectExtent l="0" t="0" r="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41B08F4" w14:textId="2299E080" w:rsidR="003A30C3" w:rsidRPr="00A00187" w:rsidRDefault="00755920" w:rsidP="003A30C3">
      <w:pPr>
        <w:pStyle w:val="OdstavecASR"/>
      </w:pPr>
      <w:r w:rsidRPr="00A00187">
        <w:t>I</w:t>
      </w:r>
      <w:r>
        <w:t> </w:t>
      </w:r>
      <w:r w:rsidR="003A30C3" w:rsidRPr="00A00187">
        <w:t>přes změnu v plánovaném počtu soudců zůstává evidenční počet soudců KS stabilní. Až do roku 2020 byl ale dlouhodobě nižší než plánovaný počet soudců (-7</w:t>
      </w:r>
      <w:r w:rsidR="00CB570A">
        <w:t> %</w:t>
      </w:r>
      <w:r w:rsidR="003A30C3" w:rsidRPr="00A00187">
        <w:t xml:space="preserve"> v roce 2020). U OS je evidenční počet soudců oproti plánovanému dlouhodobě vyšší a zdá se tedy, že předsedové krajských soudů dlouhodobě „dotují“ okresní soudy na úkor svých soudů. </w:t>
      </w:r>
      <w:r w:rsidR="0083756A" w:rsidRPr="00A00187">
        <w:t>S</w:t>
      </w:r>
      <w:r w:rsidR="005127A6" w:rsidRPr="00A00187">
        <w:t xml:space="preserve">ituace je </w:t>
      </w:r>
      <w:r w:rsidR="0083756A" w:rsidRPr="00A00187">
        <w:t xml:space="preserve">nicméně </w:t>
      </w:r>
      <w:r w:rsidR="005127A6" w:rsidRPr="00A00187">
        <w:t xml:space="preserve">složitější, protože </w:t>
      </w:r>
      <w:r w:rsidR="0083756A" w:rsidRPr="00A00187">
        <w:t xml:space="preserve">určitý počet soudců </w:t>
      </w:r>
      <w:r w:rsidR="005127A6" w:rsidRPr="00A00187">
        <w:t xml:space="preserve">z okresních soudů </w:t>
      </w:r>
      <w:r w:rsidR="0083756A" w:rsidRPr="00A00187">
        <w:t xml:space="preserve">působí na přechodnou dobu v rámci stáží </w:t>
      </w:r>
      <w:r w:rsidR="005127A6" w:rsidRPr="00A00187">
        <w:t>na soud</w:t>
      </w:r>
      <w:r w:rsidR="0083756A" w:rsidRPr="00A00187">
        <w:t>ech</w:t>
      </w:r>
      <w:r w:rsidR="005127A6" w:rsidRPr="00A00187">
        <w:t xml:space="preserve"> krajsk</w:t>
      </w:r>
      <w:r w:rsidR="0083756A" w:rsidRPr="00A00187">
        <w:t>ých</w:t>
      </w:r>
      <w:r w:rsidR="005127A6" w:rsidRPr="00A00187">
        <w:t>.</w:t>
      </w:r>
    </w:p>
    <w:p w14:paraId="2E58F3CE" w14:textId="00F6B8C5" w:rsidR="003A30C3" w:rsidRPr="00A00187" w:rsidRDefault="003A30C3" w:rsidP="003A30C3">
      <w:pPr>
        <w:pStyle w:val="OdstavecASR"/>
      </w:pPr>
      <w:r w:rsidRPr="00A00187">
        <w:lastRenderedPageBreak/>
        <w:t>Počet soudkyň a soudců na MD/RD zde neuvádíme. U KS obvykle působí starší soudkyně a soudci než u soudů okresních a počet soudkyň a soudců na MD/RD je tedy velmi nízký.</w:t>
      </w:r>
    </w:p>
    <w:p w14:paraId="26F021D7" w14:textId="34C8F4E3" w:rsidR="005127A6" w:rsidRPr="00A00187" w:rsidRDefault="005127A6" w:rsidP="005127A6">
      <w:pPr>
        <w:pStyle w:val="Podnadpis"/>
        <w:rPr>
          <w:color w:val="auto"/>
        </w:rPr>
      </w:pPr>
      <w:bookmarkStart w:id="551" w:name="_Ref513289709"/>
      <w:bookmarkStart w:id="552" w:name="_Toc515871377"/>
      <w:bookmarkStart w:id="553" w:name="_Toc11135108"/>
      <w:bookmarkStart w:id="554" w:name="_Toc43841427"/>
      <w:bookmarkStart w:id="555" w:name="_Toc75952231"/>
      <w:bookmarkStart w:id="556" w:name="_Toc106106687"/>
      <w:bookmarkStart w:id="557" w:name="_Toc109802011"/>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53</w:t>
      </w:r>
      <w:r w:rsidRPr="00A00187">
        <w:rPr>
          <w:noProof/>
          <w:color w:val="auto"/>
        </w:rPr>
        <w:fldChar w:fldCharType="end"/>
      </w:r>
      <w:bookmarkEnd w:id="551"/>
      <w:r w:rsidRPr="00A00187">
        <w:rPr>
          <w:color w:val="auto"/>
        </w:rPr>
        <w:t>: KS – evidenční počet soudců dle soudních úseků v letech 2008–20</w:t>
      </w:r>
      <w:bookmarkEnd w:id="552"/>
      <w:bookmarkEnd w:id="553"/>
      <w:bookmarkEnd w:id="554"/>
      <w:r w:rsidRPr="00A00187">
        <w:rPr>
          <w:color w:val="auto"/>
        </w:rPr>
        <w:t>2</w:t>
      </w:r>
      <w:bookmarkEnd w:id="555"/>
      <w:r w:rsidRPr="00A00187">
        <w:rPr>
          <w:color w:val="auto"/>
        </w:rPr>
        <w:t>1</w:t>
      </w:r>
      <w:bookmarkEnd w:id="556"/>
      <w:bookmarkEnd w:id="557"/>
    </w:p>
    <w:p w14:paraId="3F727778" w14:textId="54590CEF" w:rsidR="005127A6" w:rsidRPr="00A00187" w:rsidRDefault="005127A6" w:rsidP="005127A6">
      <w:r w:rsidRPr="00A00187">
        <w:rPr>
          <w:noProof/>
        </w:rPr>
        <w:drawing>
          <wp:inline distT="0" distB="0" distL="0" distR="0" wp14:anchorId="5D496DFF" wp14:editId="6D0AD9F9">
            <wp:extent cx="5029200" cy="3657600"/>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03886B5" w14:textId="7E991B06" w:rsidR="005127A6" w:rsidRPr="00A00187" w:rsidRDefault="005127A6" w:rsidP="005127A6">
      <w:pPr>
        <w:pStyle w:val="OdstavecASR"/>
      </w:pPr>
      <w:r w:rsidRPr="00A00187">
        <w:t xml:space="preserve">Další graf zachycuje evidenční počet soudců KS dle jednotlivých úseků. V roce 2021 byl civilní a obchodní úsek téměř třikrát větší než trestní úsek. Správní úsek </w:t>
      </w:r>
      <w:r w:rsidR="00DE65BE" w:rsidRPr="00A00187">
        <w:t xml:space="preserve">byl asi </w:t>
      </w:r>
      <w:r w:rsidRPr="00A00187">
        <w:t>dva</w:t>
      </w:r>
      <w:r w:rsidR="00DE65BE" w:rsidRPr="00A00187">
        <w:t>krát</w:t>
      </w:r>
      <w:r w:rsidRPr="00A00187">
        <w:t xml:space="preserve"> menší než úsek trestní. Poměr velikostí úseků je </w:t>
      </w:r>
      <w:r w:rsidR="00DE65BE" w:rsidRPr="00A00187">
        <w:t>poměrně</w:t>
      </w:r>
      <w:r w:rsidRPr="00A00187">
        <w:t xml:space="preserve"> stabilní. </w:t>
      </w:r>
      <w:r w:rsidR="0083756A" w:rsidRPr="00A00187">
        <w:t>V</w:t>
      </w:r>
      <w:r w:rsidRPr="00A00187">
        <w:t xml:space="preserve"> posledních letech </w:t>
      </w:r>
      <w:r w:rsidR="0083756A" w:rsidRPr="00A00187">
        <w:t>nicméně</w:t>
      </w:r>
      <w:r w:rsidRPr="00A00187">
        <w:t xml:space="preserve"> vidíme citelný nárůst v počtu soudců správního úseku z 88 v roce 2018 na 1</w:t>
      </w:r>
      <w:r w:rsidR="00DE65BE" w:rsidRPr="00A00187">
        <w:t>13</w:t>
      </w:r>
      <w:r w:rsidRPr="00A00187">
        <w:t xml:space="preserve"> v roce 202</w:t>
      </w:r>
      <w:r w:rsidR="00DE65BE" w:rsidRPr="00A00187">
        <w:t>1</w:t>
      </w:r>
      <w:r w:rsidRPr="00A00187">
        <w:t>. Jde o reakci na problematickou situaci na správním úseku (viz kapitola 3.6 o správním soudnictví).</w:t>
      </w:r>
      <w:r w:rsidR="00DE65BE" w:rsidRPr="00A00187">
        <w:t xml:space="preserve"> Naopak</w:t>
      </w:r>
      <w:r w:rsidR="00F5336C" w:rsidRPr="00A00187">
        <w:t xml:space="preserve"> </w:t>
      </w:r>
      <w:r w:rsidR="00DE65BE" w:rsidRPr="00A00187">
        <w:t>ubyli soudci na civilním úseku.</w:t>
      </w:r>
    </w:p>
    <w:p w14:paraId="508F3403" w14:textId="74DBA2DD" w:rsidR="00DE65BE" w:rsidRPr="00A00187" w:rsidRDefault="00DE65BE" w:rsidP="00DE65BE">
      <w:pPr>
        <w:pStyle w:val="Podnadpis"/>
        <w:rPr>
          <w:color w:val="auto"/>
        </w:rPr>
      </w:pPr>
      <w:bookmarkStart w:id="558" w:name="_Toc75952339"/>
      <w:bookmarkStart w:id="559" w:name="_Toc106106797"/>
      <w:bookmarkStart w:id="560" w:name="_Toc109802120"/>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35</w:t>
      </w:r>
      <w:r w:rsidRPr="00A00187">
        <w:rPr>
          <w:noProof/>
          <w:color w:val="auto"/>
        </w:rPr>
        <w:fldChar w:fldCharType="end"/>
      </w:r>
      <w:r w:rsidRPr="00A00187">
        <w:rPr>
          <w:color w:val="auto"/>
        </w:rPr>
        <w:t>: KS – počet soudců dle soudů</w:t>
      </w:r>
      <w:bookmarkEnd w:id="558"/>
      <w:bookmarkEnd w:id="559"/>
      <w:bookmarkEnd w:id="560"/>
    </w:p>
    <w:tbl>
      <w:tblPr>
        <w:tblW w:w="8880" w:type="dxa"/>
        <w:tblCellMar>
          <w:left w:w="70" w:type="dxa"/>
          <w:right w:w="70" w:type="dxa"/>
        </w:tblCellMar>
        <w:tblLook w:val="04A0" w:firstRow="1" w:lastRow="0" w:firstColumn="1" w:lastColumn="0" w:noHBand="0" w:noVBand="1"/>
      </w:tblPr>
      <w:tblGrid>
        <w:gridCol w:w="2016"/>
        <w:gridCol w:w="1245"/>
        <w:gridCol w:w="1331"/>
        <w:gridCol w:w="1626"/>
        <w:gridCol w:w="1662"/>
        <w:gridCol w:w="1000"/>
      </w:tblGrid>
      <w:tr w:rsidR="00AC1E67" w:rsidRPr="00A00187" w14:paraId="294C774B" w14:textId="77777777" w:rsidTr="00201CB0">
        <w:trPr>
          <w:trHeight w:val="330"/>
        </w:trPr>
        <w:tc>
          <w:tcPr>
            <w:tcW w:w="2016" w:type="dxa"/>
            <w:vMerge w:val="restart"/>
            <w:tcBorders>
              <w:top w:val="double" w:sz="6" w:space="0" w:color="auto"/>
              <w:left w:val="nil"/>
              <w:bottom w:val="double" w:sz="6" w:space="0" w:color="000000"/>
              <w:right w:val="nil"/>
            </w:tcBorders>
            <w:shd w:val="clear" w:color="auto" w:fill="auto"/>
            <w:noWrap/>
            <w:vAlign w:val="center"/>
            <w:hideMark/>
          </w:tcPr>
          <w:p w14:paraId="6E98611A"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1245" w:type="dxa"/>
            <w:vMerge w:val="restart"/>
            <w:tcBorders>
              <w:top w:val="double" w:sz="6" w:space="0" w:color="auto"/>
              <w:left w:val="nil"/>
              <w:bottom w:val="double" w:sz="6" w:space="0" w:color="000000"/>
              <w:right w:val="nil"/>
            </w:tcBorders>
            <w:shd w:val="clear" w:color="auto" w:fill="auto"/>
            <w:vAlign w:val="center"/>
            <w:hideMark/>
          </w:tcPr>
          <w:p w14:paraId="66D20F50"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Plánovaný počet soudců</w:t>
            </w:r>
          </w:p>
        </w:tc>
        <w:tc>
          <w:tcPr>
            <w:tcW w:w="5619" w:type="dxa"/>
            <w:gridSpan w:val="4"/>
            <w:tcBorders>
              <w:top w:val="double" w:sz="6" w:space="0" w:color="auto"/>
              <w:left w:val="nil"/>
              <w:bottom w:val="nil"/>
              <w:right w:val="nil"/>
            </w:tcBorders>
            <w:shd w:val="clear" w:color="auto" w:fill="auto"/>
            <w:noWrap/>
            <w:vAlign w:val="center"/>
            <w:hideMark/>
          </w:tcPr>
          <w:p w14:paraId="23A26D6B"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Evidenční počet soudců</w:t>
            </w:r>
          </w:p>
        </w:tc>
      </w:tr>
      <w:tr w:rsidR="00AC1E67" w:rsidRPr="00A00187" w14:paraId="190B317C" w14:textId="77777777" w:rsidTr="00201CB0">
        <w:trPr>
          <w:trHeight w:val="645"/>
        </w:trPr>
        <w:tc>
          <w:tcPr>
            <w:tcW w:w="2016" w:type="dxa"/>
            <w:vMerge/>
            <w:tcBorders>
              <w:top w:val="double" w:sz="6" w:space="0" w:color="auto"/>
              <w:left w:val="nil"/>
              <w:bottom w:val="double" w:sz="6" w:space="0" w:color="000000"/>
              <w:right w:val="nil"/>
            </w:tcBorders>
            <w:vAlign w:val="center"/>
            <w:hideMark/>
          </w:tcPr>
          <w:p w14:paraId="75892E6B" w14:textId="77777777" w:rsidR="00201CB0" w:rsidRPr="00A00187" w:rsidRDefault="00201CB0" w:rsidP="00201CB0">
            <w:pPr>
              <w:spacing w:line="240" w:lineRule="auto"/>
              <w:jc w:val="left"/>
              <w:rPr>
                <w:rFonts w:eastAsia="Times New Roman"/>
                <w:b/>
                <w:bCs/>
                <w:szCs w:val="24"/>
                <w:lang w:eastAsia="cs-CZ"/>
              </w:rPr>
            </w:pPr>
          </w:p>
        </w:tc>
        <w:tc>
          <w:tcPr>
            <w:tcW w:w="1245" w:type="dxa"/>
            <w:vMerge/>
            <w:tcBorders>
              <w:top w:val="double" w:sz="6" w:space="0" w:color="auto"/>
              <w:left w:val="nil"/>
              <w:bottom w:val="double" w:sz="6" w:space="0" w:color="000000"/>
              <w:right w:val="nil"/>
            </w:tcBorders>
            <w:vAlign w:val="center"/>
            <w:hideMark/>
          </w:tcPr>
          <w:p w14:paraId="2AC6A53A" w14:textId="77777777" w:rsidR="00201CB0" w:rsidRPr="00A00187" w:rsidRDefault="00201CB0" w:rsidP="00201CB0">
            <w:pPr>
              <w:spacing w:line="240" w:lineRule="auto"/>
              <w:jc w:val="left"/>
              <w:rPr>
                <w:rFonts w:eastAsia="Times New Roman"/>
                <w:b/>
                <w:bCs/>
                <w:szCs w:val="24"/>
                <w:lang w:eastAsia="cs-CZ"/>
              </w:rPr>
            </w:pPr>
          </w:p>
        </w:tc>
        <w:tc>
          <w:tcPr>
            <w:tcW w:w="1331" w:type="dxa"/>
            <w:tcBorders>
              <w:top w:val="nil"/>
              <w:left w:val="nil"/>
              <w:bottom w:val="double" w:sz="6" w:space="0" w:color="auto"/>
              <w:right w:val="nil"/>
            </w:tcBorders>
            <w:shd w:val="clear" w:color="auto" w:fill="auto"/>
            <w:vAlign w:val="center"/>
            <w:hideMark/>
          </w:tcPr>
          <w:p w14:paraId="21BD5A58"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Civ. + obch. úsek</w:t>
            </w:r>
          </w:p>
        </w:tc>
        <w:tc>
          <w:tcPr>
            <w:tcW w:w="1626" w:type="dxa"/>
            <w:tcBorders>
              <w:top w:val="nil"/>
              <w:left w:val="nil"/>
              <w:bottom w:val="double" w:sz="6" w:space="0" w:color="auto"/>
              <w:right w:val="nil"/>
            </w:tcBorders>
            <w:shd w:val="clear" w:color="auto" w:fill="auto"/>
            <w:noWrap/>
            <w:vAlign w:val="center"/>
            <w:hideMark/>
          </w:tcPr>
          <w:p w14:paraId="783FA540"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Trestní úsek</w:t>
            </w:r>
          </w:p>
        </w:tc>
        <w:tc>
          <w:tcPr>
            <w:tcW w:w="1662" w:type="dxa"/>
            <w:tcBorders>
              <w:top w:val="nil"/>
              <w:left w:val="nil"/>
              <w:bottom w:val="double" w:sz="6" w:space="0" w:color="auto"/>
              <w:right w:val="nil"/>
            </w:tcBorders>
            <w:shd w:val="clear" w:color="auto" w:fill="auto"/>
            <w:noWrap/>
            <w:vAlign w:val="center"/>
            <w:hideMark/>
          </w:tcPr>
          <w:p w14:paraId="3CB38CCC"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Správní úsek</w:t>
            </w:r>
          </w:p>
        </w:tc>
        <w:tc>
          <w:tcPr>
            <w:tcW w:w="1000" w:type="dxa"/>
            <w:tcBorders>
              <w:top w:val="nil"/>
              <w:left w:val="nil"/>
              <w:bottom w:val="double" w:sz="6" w:space="0" w:color="auto"/>
              <w:right w:val="nil"/>
            </w:tcBorders>
            <w:shd w:val="clear" w:color="auto" w:fill="auto"/>
            <w:noWrap/>
            <w:vAlign w:val="center"/>
            <w:hideMark/>
          </w:tcPr>
          <w:p w14:paraId="4F2D5463"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Celkem</w:t>
            </w:r>
          </w:p>
        </w:tc>
      </w:tr>
      <w:tr w:rsidR="00AC1E67" w:rsidRPr="00A00187" w14:paraId="2AF4EE8F" w14:textId="77777777" w:rsidTr="00201CB0">
        <w:trPr>
          <w:trHeight w:val="330"/>
        </w:trPr>
        <w:tc>
          <w:tcPr>
            <w:tcW w:w="2016" w:type="dxa"/>
            <w:tcBorders>
              <w:top w:val="single" w:sz="4" w:space="0" w:color="auto"/>
              <w:left w:val="nil"/>
              <w:bottom w:val="single" w:sz="4" w:space="0" w:color="auto"/>
              <w:right w:val="nil"/>
            </w:tcBorders>
            <w:shd w:val="clear" w:color="auto" w:fill="auto"/>
            <w:noWrap/>
            <w:vAlign w:val="bottom"/>
            <w:hideMark/>
          </w:tcPr>
          <w:p w14:paraId="5D761B84"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MS Praha</w:t>
            </w:r>
          </w:p>
        </w:tc>
        <w:tc>
          <w:tcPr>
            <w:tcW w:w="1245" w:type="dxa"/>
            <w:tcBorders>
              <w:top w:val="single" w:sz="4" w:space="0" w:color="auto"/>
              <w:left w:val="nil"/>
              <w:bottom w:val="single" w:sz="4" w:space="0" w:color="auto"/>
              <w:right w:val="nil"/>
            </w:tcBorders>
            <w:shd w:val="clear" w:color="auto" w:fill="auto"/>
            <w:noWrap/>
            <w:vAlign w:val="bottom"/>
            <w:hideMark/>
          </w:tcPr>
          <w:p w14:paraId="170A7D02"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230</w:t>
            </w:r>
          </w:p>
        </w:tc>
        <w:tc>
          <w:tcPr>
            <w:tcW w:w="1331" w:type="dxa"/>
            <w:tcBorders>
              <w:top w:val="single" w:sz="4" w:space="0" w:color="auto"/>
              <w:left w:val="nil"/>
              <w:bottom w:val="single" w:sz="4" w:space="0" w:color="auto"/>
              <w:right w:val="nil"/>
            </w:tcBorders>
            <w:shd w:val="clear" w:color="auto" w:fill="auto"/>
            <w:noWrap/>
            <w:vAlign w:val="bottom"/>
            <w:hideMark/>
          </w:tcPr>
          <w:p w14:paraId="086A7857"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147</w:t>
            </w:r>
          </w:p>
        </w:tc>
        <w:tc>
          <w:tcPr>
            <w:tcW w:w="1626" w:type="dxa"/>
            <w:tcBorders>
              <w:top w:val="single" w:sz="4" w:space="0" w:color="auto"/>
              <w:left w:val="nil"/>
              <w:bottom w:val="single" w:sz="4" w:space="0" w:color="auto"/>
              <w:right w:val="nil"/>
            </w:tcBorders>
            <w:shd w:val="clear" w:color="auto" w:fill="auto"/>
            <w:noWrap/>
            <w:vAlign w:val="bottom"/>
            <w:hideMark/>
          </w:tcPr>
          <w:p w14:paraId="77976770"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42</w:t>
            </w:r>
          </w:p>
        </w:tc>
        <w:tc>
          <w:tcPr>
            <w:tcW w:w="1662" w:type="dxa"/>
            <w:tcBorders>
              <w:top w:val="single" w:sz="4" w:space="0" w:color="auto"/>
              <w:left w:val="nil"/>
              <w:bottom w:val="single" w:sz="4" w:space="0" w:color="auto"/>
              <w:right w:val="nil"/>
            </w:tcBorders>
            <w:shd w:val="clear" w:color="auto" w:fill="auto"/>
            <w:noWrap/>
            <w:vAlign w:val="bottom"/>
            <w:hideMark/>
          </w:tcPr>
          <w:p w14:paraId="0668189F"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39</w:t>
            </w:r>
          </w:p>
        </w:tc>
        <w:tc>
          <w:tcPr>
            <w:tcW w:w="1000" w:type="dxa"/>
            <w:tcBorders>
              <w:top w:val="single" w:sz="4" w:space="0" w:color="auto"/>
              <w:left w:val="nil"/>
              <w:bottom w:val="single" w:sz="4" w:space="0" w:color="auto"/>
              <w:right w:val="nil"/>
            </w:tcBorders>
            <w:shd w:val="clear" w:color="auto" w:fill="auto"/>
            <w:noWrap/>
            <w:vAlign w:val="bottom"/>
            <w:hideMark/>
          </w:tcPr>
          <w:p w14:paraId="628532A6"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228</w:t>
            </w:r>
          </w:p>
        </w:tc>
      </w:tr>
      <w:tr w:rsidR="00AC1E67" w:rsidRPr="00A00187" w14:paraId="337133C1" w14:textId="77777777" w:rsidTr="00201CB0">
        <w:trPr>
          <w:trHeight w:val="315"/>
        </w:trPr>
        <w:tc>
          <w:tcPr>
            <w:tcW w:w="2016" w:type="dxa"/>
            <w:tcBorders>
              <w:top w:val="nil"/>
              <w:left w:val="nil"/>
              <w:bottom w:val="single" w:sz="4" w:space="0" w:color="auto"/>
              <w:right w:val="nil"/>
            </w:tcBorders>
            <w:shd w:val="clear" w:color="auto" w:fill="auto"/>
            <w:noWrap/>
            <w:vAlign w:val="bottom"/>
            <w:hideMark/>
          </w:tcPr>
          <w:p w14:paraId="1170BF24"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Praha</w:t>
            </w:r>
          </w:p>
        </w:tc>
        <w:tc>
          <w:tcPr>
            <w:tcW w:w="1245" w:type="dxa"/>
            <w:tcBorders>
              <w:top w:val="nil"/>
              <w:left w:val="nil"/>
              <w:bottom w:val="single" w:sz="4" w:space="0" w:color="auto"/>
              <w:right w:val="nil"/>
            </w:tcBorders>
            <w:shd w:val="clear" w:color="auto" w:fill="auto"/>
            <w:noWrap/>
            <w:vAlign w:val="bottom"/>
            <w:hideMark/>
          </w:tcPr>
          <w:p w14:paraId="2D617DBA"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93</w:t>
            </w:r>
          </w:p>
        </w:tc>
        <w:tc>
          <w:tcPr>
            <w:tcW w:w="1331" w:type="dxa"/>
            <w:tcBorders>
              <w:top w:val="nil"/>
              <w:left w:val="nil"/>
              <w:bottom w:val="single" w:sz="4" w:space="0" w:color="auto"/>
              <w:right w:val="nil"/>
            </w:tcBorders>
            <w:shd w:val="clear" w:color="auto" w:fill="auto"/>
            <w:noWrap/>
            <w:vAlign w:val="bottom"/>
            <w:hideMark/>
          </w:tcPr>
          <w:p w14:paraId="1021248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65</w:t>
            </w:r>
          </w:p>
        </w:tc>
        <w:tc>
          <w:tcPr>
            <w:tcW w:w="1626" w:type="dxa"/>
            <w:tcBorders>
              <w:top w:val="nil"/>
              <w:left w:val="nil"/>
              <w:bottom w:val="single" w:sz="4" w:space="0" w:color="auto"/>
              <w:right w:val="nil"/>
            </w:tcBorders>
            <w:shd w:val="clear" w:color="auto" w:fill="auto"/>
            <w:noWrap/>
            <w:vAlign w:val="bottom"/>
            <w:hideMark/>
          </w:tcPr>
          <w:p w14:paraId="62826432"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23</w:t>
            </w:r>
          </w:p>
        </w:tc>
        <w:tc>
          <w:tcPr>
            <w:tcW w:w="1662" w:type="dxa"/>
            <w:tcBorders>
              <w:top w:val="nil"/>
              <w:left w:val="nil"/>
              <w:bottom w:val="single" w:sz="4" w:space="0" w:color="auto"/>
              <w:right w:val="nil"/>
            </w:tcBorders>
            <w:shd w:val="clear" w:color="auto" w:fill="auto"/>
            <w:noWrap/>
            <w:vAlign w:val="bottom"/>
            <w:hideMark/>
          </w:tcPr>
          <w:p w14:paraId="3F4AAB41"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9</w:t>
            </w:r>
          </w:p>
        </w:tc>
        <w:tc>
          <w:tcPr>
            <w:tcW w:w="1000" w:type="dxa"/>
            <w:tcBorders>
              <w:top w:val="nil"/>
              <w:left w:val="nil"/>
              <w:bottom w:val="single" w:sz="4" w:space="0" w:color="auto"/>
              <w:right w:val="nil"/>
            </w:tcBorders>
            <w:shd w:val="clear" w:color="auto" w:fill="auto"/>
            <w:noWrap/>
            <w:vAlign w:val="bottom"/>
            <w:hideMark/>
          </w:tcPr>
          <w:p w14:paraId="2E98B554"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97</w:t>
            </w:r>
          </w:p>
        </w:tc>
      </w:tr>
      <w:tr w:rsidR="00AC1E67" w:rsidRPr="00A00187" w14:paraId="22E9EC69" w14:textId="77777777" w:rsidTr="00201CB0">
        <w:trPr>
          <w:trHeight w:val="315"/>
        </w:trPr>
        <w:tc>
          <w:tcPr>
            <w:tcW w:w="2016" w:type="dxa"/>
            <w:tcBorders>
              <w:top w:val="nil"/>
              <w:left w:val="nil"/>
              <w:bottom w:val="single" w:sz="4" w:space="0" w:color="auto"/>
              <w:right w:val="nil"/>
            </w:tcBorders>
            <w:shd w:val="clear" w:color="auto" w:fill="auto"/>
            <w:noWrap/>
            <w:vAlign w:val="bottom"/>
            <w:hideMark/>
          </w:tcPr>
          <w:p w14:paraId="18DB3D98"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Č. Budějovice</w:t>
            </w:r>
          </w:p>
        </w:tc>
        <w:tc>
          <w:tcPr>
            <w:tcW w:w="1245" w:type="dxa"/>
            <w:tcBorders>
              <w:top w:val="nil"/>
              <w:left w:val="nil"/>
              <w:bottom w:val="single" w:sz="4" w:space="0" w:color="auto"/>
              <w:right w:val="nil"/>
            </w:tcBorders>
            <w:shd w:val="clear" w:color="auto" w:fill="auto"/>
            <w:noWrap/>
            <w:vAlign w:val="bottom"/>
            <w:hideMark/>
          </w:tcPr>
          <w:p w14:paraId="2DD6B8D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43</w:t>
            </w:r>
          </w:p>
        </w:tc>
        <w:tc>
          <w:tcPr>
            <w:tcW w:w="1331" w:type="dxa"/>
            <w:tcBorders>
              <w:top w:val="nil"/>
              <w:left w:val="nil"/>
              <w:bottom w:val="single" w:sz="4" w:space="0" w:color="auto"/>
              <w:right w:val="nil"/>
            </w:tcBorders>
            <w:shd w:val="clear" w:color="auto" w:fill="auto"/>
            <w:noWrap/>
            <w:vAlign w:val="bottom"/>
            <w:hideMark/>
          </w:tcPr>
          <w:p w14:paraId="217D50DE"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36</w:t>
            </w:r>
          </w:p>
        </w:tc>
        <w:tc>
          <w:tcPr>
            <w:tcW w:w="1626" w:type="dxa"/>
            <w:tcBorders>
              <w:top w:val="nil"/>
              <w:left w:val="nil"/>
              <w:bottom w:val="single" w:sz="4" w:space="0" w:color="auto"/>
              <w:right w:val="nil"/>
            </w:tcBorders>
            <w:shd w:val="clear" w:color="auto" w:fill="auto"/>
            <w:noWrap/>
            <w:vAlign w:val="bottom"/>
            <w:hideMark/>
          </w:tcPr>
          <w:p w14:paraId="5F9422CC"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16</w:t>
            </w:r>
          </w:p>
        </w:tc>
        <w:tc>
          <w:tcPr>
            <w:tcW w:w="1662" w:type="dxa"/>
            <w:tcBorders>
              <w:top w:val="nil"/>
              <w:left w:val="nil"/>
              <w:bottom w:val="single" w:sz="4" w:space="0" w:color="auto"/>
              <w:right w:val="nil"/>
            </w:tcBorders>
            <w:shd w:val="clear" w:color="auto" w:fill="auto"/>
            <w:noWrap/>
            <w:vAlign w:val="bottom"/>
            <w:hideMark/>
          </w:tcPr>
          <w:p w14:paraId="5107D742"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w:t>
            </w:r>
          </w:p>
        </w:tc>
        <w:tc>
          <w:tcPr>
            <w:tcW w:w="1000" w:type="dxa"/>
            <w:tcBorders>
              <w:top w:val="nil"/>
              <w:left w:val="nil"/>
              <w:bottom w:val="single" w:sz="4" w:space="0" w:color="auto"/>
              <w:right w:val="nil"/>
            </w:tcBorders>
            <w:shd w:val="clear" w:color="auto" w:fill="auto"/>
            <w:noWrap/>
            <w:vAlign w:val="bottom"/>
            <w:hideMark/>
          </w:tcPr>
          <w:p w14:paraId="34D9CF1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57</w:t>
            </w:r>
          </w:p>
        </w:tc>
      </w:tr>
      <w:tr w:rsidR="00AC1E67" w:rsidRPr="00A00187" w14:paraId="3F02B424" w14:textId="77777777" w:rsidTr="00201CB0">
        <w:trPr>
          <w:trHeight w:val="315"/>
        </w:trPr>
        <w:tc>
          <w:tcPr>
            <w:tcW w:w="2016" w:type="dxa"/>
            <w:tcBorders>
              <w:top w:val="nil"/>
              <w:left w:val="nil"/>
              <w:bottom w:val="single" w:sz="4" w:space="0" w:color="auto"/>
              <w:right w:val="nil"/>
            </w:tcBorders>
            <w:shd w:val="clear" w:color="auto" w:fill="auto"/>
            <w:noWrap/>
            <w:vAlign w:val="bottom"/>
            <w:hideMark/>
          </w:tcPr>
          <w:p w14:paraId="031F5030"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Plzeň</w:t>
            </w:r>
          </w:p>
        </w:tc>
        <w:tc>
          <w:tcPr>
            <w:tcW w:w="1245" w:type="dxa"/>
            <w:tcBorders>
              <w:top w:val="nil"/>
              <w:left w:val="nil"/>
              <w:bottom w:val="single" w:sz="4" w:space="0" w:color="auto"/>
              <w:right w:val="nil"/>
            </w:tcBorders>
            <w:shd w:val="clear" w:color="auto" w:fill="auto"/>
            <w:noWrap/>
            <w:vAlign w:val="bottom"/>
            <w:hideMark/>
          </w:tcPr>
          <w:p w14:paraId="63540552"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70</w:t>
            </w:r>
          </w:p>
        </w:tc>
        <w:tc>
          <w:tcPr>
            <w:tcW w:w="1331" w:type="dxa"/>
            <w:tcBorders>
              <w:top w:val="nil"/>
              <w:left w:val="nil"/>
              <w:bottom w:val="single" w:sz="4" w:space="0" w:color="auto"/>
              <w:right w:val="nil"/>
            </w:tcBorders>
            <w:shd w:val="clear" w:color="auto" w:fill="auto"/>
            <w:noWrap/>
            <w:vAlign w:val="bottom"/>
            <w:hideMark/>
          </w:tcPr>
          <w:p w14:paraId="295D0A5D"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46</w:t>
            </w:r>
          </w:p>
        </w:tc>
        <w:tc>
          <w:tcPr>
            <w:tcW w:w="1626" w:type="dxa"/>
            <w:tcBorders>
              <w:top w:val="nil"/>
              <w:left w:val="nil"/>
              <w:bottom w:val="single" w:sz="4" w:space="0" w:color="auto"/>
              <w:right w:val="nil"/>
            </w:tcBorders>
            <w:shd w:val="clear" w:color="auto" w:fill="auto"/>
            <w:noWrap/>
            <w:vAlign w:val="bottom"/>
            <w:hideMark/>
          </w:tcPr>
          <w:p w14:paraId="716347A8"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24</w:t>
            </w:r>
          </w:p>
        </w:tc>
        <w:tc>
          <w:tcPr>
            <w:tcW w:w="1662" w:type="dxa"/>
            <w:tcBorders>
              <w:top w:val="nil"/>
              <w:left w:val="nil"/>
              <w:bottom w:val="single" w:sz="4" w:space="0" w:color="auto"/>
              <w:right w:val="nil"/>
            </w:tcBorders>
            <w:shd w:val="clear" w:color="auto" w:fill="auto"/>
            <w:noWrap/>
            <w:vAlign w:val="bottom"/>
            <w:hideMark/>
          </w:tcPr>
          <w:p w14:paraId="08C0E8E1"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10</w:t>
            </w:r>
          </w:p>
        </w:tc>
        <w:tc>
          <w:tcPr>
            <w:tcW w:w="1000" w:type="dxa"/>
            <w:tcBorders>
              <w:top w:val="nil"/>
              <w:left w:val="nil"/>
              <w:bottom w:val="single" w:sz="4" w:space="0" w:color="auto"/>
              <w:right w:val="nil"/>
            </w:tcBorders>
            <w:shd w:val="clear" w:color="auto" w:fill="auto"/>
            <w:noWrap/>
            <w:vAlign w:val="bottom"/>
            <w:hideMark/>
          </w:tcPr>
          <w:p w14:paraId="6BB2A221"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80</w:t>
            </w:r>
          </w:p>
        </w:tc>
      </w:tr>
      <w:tr w:rsidR="00AC1E67" w:rsidRPr="00A00187" w14:paraId="2B2FB86B" w14:textId="77777777" w:rsidTr="00201CB0">
        <w:trPr>
          <w:trHeight w:val="315"/>
        </w:trPr>
        <w:tc>
          <w:tcPr>
            <w:tcW w:w="2016" w:type="dxa"/>
            <w:tcBorders>
              <w:top w:val="nil"/>
              <w:left w:val="nil"/>
              <w:bottom w:val="single" w:sz="4" w:space="0" w:color="auto"/>
              <w:right w:val="nil"/>
            </w:tcBorders>
            <w:shd w:val="clear" w:color="auto" w:fill="auto"/>
            <w:noWrap/>
            <w:vAlign w:val="bottom"/>
            <w:hideMark/>
          </w:tcPr>
          <w:p w14:paraId="65C58F22"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Ústí n. Labem</w:t>
            </w:r>
          </w:p>
        </w:tc>
        <w:tc>
          <w:tcPr>
            <w:tcW w:w="1245" w:type="dxa"/>
            <w:tcBorders>
              <w:top w:val="nil"/>
              <w:left w:val="nil"/>
              <w:bottom w:val="single" w:sz="4" w:space="0" w:color="auto"/>
              <w:right w:val="nil"/>
            </w:tcBorders>
            <w:shd w:val="clear" w:color="auto" w:fill="auto"/>
            <w:noWrap/>
            <w:vAlign w:val="bottom"/>
            <w:hideMark/>
          </w:tcPr>
          <w:p w14:paraId="6711052F"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110</w:t>
            </w:r>
          </w:p>
        </w:tc>
        <w:tc>
          <w:tcPr>
            <w:tcW w:w="1331" w:type="dxa"/>
            <w:tcBorders>
              <w:top w:val="nil"/>
              <w:left w:val="nil"/>
              <w:bottom w:val="single" w:sz="4" w:space="0" w:color="auto"/>
              <w:right w:val="nil"/>
            </w:tcBorders>
            <w:shd w:val="clear" w:color="auto" w:fill="auto"/>
            <w:noWrap/>
            <w:vAlign w:val="bottom"/>
            <w:hideMark/>
          </w:tcPr>
          <w:p w14:paraId="1300C341"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80</w:t>
            </w:r>
          </w:p>
        </w:tc>
        <w:tc>
          <w:tcPr>
            <w:tcW w:w="1626" w:type="dxa"/>
            <w:tcBorders>
              <w:top w:val="nil"/>
              <w:left w:val="nil"/>
              <w:bottom w:val="single" w:sz="4" w:space="0" w:color="auto"/>
              <w:right w:val="nil"/>
            </w:tcBorders>
            <w:shd w:val="clear" w:color="auto" w:fill="auto"/>
            <w:noWrap/>
            <w:vAlign w:val="bottom"/>
            <w:hideMark/>
          </w:tcPr>
          <w:p w14:paraId="1F4F4CA9"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29</w:t>
            </w:r>
          </w:p>
        </w:tc>
        <w:tc>
          <w:tcPr>
            <w:tcW w:w="1662" w:type="dxa"/>
            <w:tcBorders>
              <w:top w:val="nil"/>
              <w:left w:val="nil"/>
              <w:bottom w:val="single" w:sz="4" w:space="0" w:color="auto"/>
              <w:right w:val="nil"/>
            </w:tcBorders>
            <w:shd w:val="clear" w:color="auto" w:fill="auto"/>
            <w:noWrap/>
            <w:vAlign w:val="bottom"/>
            <w:hideMark/>
          </w:tcPr>
          <w:p w14:paraId="403CC424"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8</w:t>
            </w:r>
          </w:p>
        </w:tc>
        <w:tc>
          <w:tcPr>
            <w:tcW w:w="1000" w:type="dxa"/>
            <w:tcBorders>
              <w:top w:val="nil"/>
              <w:left w:val="nil"/>
              <w:bottom w:val="single" w:sz="4" w:space="0" w:color="auto"/>
              <w:right w:val="nil"/>
            </w:tcBorders>
            <w:shd w:val="clear" w:color="auto" w:fill="auto"/>
            <w:noWrap/>
            <w:vAlign w:val="bottom"/>
            <w:hideMark/>
          </w:tcPr>
          <w:p w14:paraId="763D5D4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117</w:t>
            </w:r>
          </w:p>
        </w:tc>
      </w:tr>
      <w:tr w:rsidR="00AC1E67" w:rsidRPr="00A00187" w14:paraId="068EBDCE" w14:textId="77777777" w:rsidTr="00201CB0">
        <w:trPr>
          <w:trHeight w:val="315"/>
        </w:trPr>
        <w:tc>
          <w:tcPr>
            <w:tcW w:w="2016" w:type="dxa"/>
            <w:tcBorders>
              <w:top w:val="nil"/>
              <w:left w:val="nil"/>
              <w:bottom w:val="single" w:sz="4" w:space="0" w:color="auto"/>
              <w:right w:val="nil"/>
            </w:tcBorders>
            <w:shd w:val="clear" w:color="auto" w:fill="auto"/>
            <w:noWrap/>
            <w:vAlign w:val="bottom"/>
            <w:hideMark/>
          </w:tcPr>
          <w:p w14:paraId="60C2BC0F"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Hr. Králové</w:t>
            </w:r>
          </w:p>
        </w:tc>
        <w:tc>
          <w:tcPr>
            <w:tcW w:w="1245" w:type="dxa"/>
            <w:tcBorders>
              <w:top w:val="nil"/>
              <w:left w:val="nil"/>
              <w:bottom w:val="single" w:sz="4" w:space="0" w:color="auto"/>
              <w:right w:val="nil"/>
            </w:tcBorders>
            <w:shd w:val="clear" w:color="auto" w:fill="auto"/>
            <w:noWrap/>
            <w:vAlign w:val="bottom"/>
            <w:hideMark/>
          </w:tcPr>
          <w:p w14:paraId="29B56776"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79</w:t>
            </w:r>
          </w:p>
        </w:tc>
        <w:tc>
          <w:tcPr>
            <w:tcW w:w="1331" w:type="dxa"/>
            <w:tcBorders>
              <w:top w:val="nil"/>
              <w:left w:val="nil"/>
              <w:bottom w:val="single" w:sz="4" w:space="0" w:color="auto"/>
              <w:right w:val="nil"/>
            </w:tcBorders>
            <w:shd w:val="clear" w:color="auto" w:fill="auto"/>
            <w:noWrap/>
            <w:vAlign w:val="bottom"/>
            <w:hideMark/>
          </w:tcPr>
          <w:p w14:paraId="2F4EF5CE"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51</w:t>
            </w:r>
          </w:p>
        </w:tc>
        <w:tc>
          <w:tcPr>
            <w:tcW w:w="1626" w:type="dxa"/>
            <w:tcBorders>
              <w:top w:val="nil"/>
              <w:left w:val="nil"/>
              <w:bottom w:val="single" w:sz="4" w:space="0" w:color="auto"/>
              <w:right w:val="nil"/>
            </w:tcBorders>
            <w:shd w:val="clear" w:color="auto" w:fill="auto"/>
            <w:noWrap/>
            <w:vAlign w:val="bottom"/>
            <w:hideMark/>
          </w:tcPr>
          <w:p w14:paraId="0338B4CF"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19</w:t>
            </w:r>
          </w:p>
        </w:tc>
        <w:tc>
          <w:tcPr>
            <w:tcW w:w="1662" w:type="dxa"/>
            <w:tcBorders>
              <w:top w:val="nil"/>
              <w:left w:val="nil"/>
              <w:bottom w:val="single" w:sz="4" w:space="0" w:color="auto"/>
              <w:right w:val="nil"/>
            </w:tcBorders>
            <w:shd w:val="clear" w:color="auto" w:fill="auto"/>
            <w:noWrap/>
            <w:vAlign w:val="bottom"/>
            <w:hideMark/>
          </w:tcPr>
          <w:p w14:paraId="317D1BED"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11</w:t>
            </w:r>
          </w:p>
        </w:tc>
        <w:tc>
          <w:tcPr>
            <w:tcW w:w="1000" w:type="dxa"/>
            <w:tcBorders>
              <w:top w:val="nil"/>
              <w:left w:val="nil"/>
              <w:bottom w:val="single" w:sz="4" w:space="0" w:color="auto"/>
              <w:right w:val="nil"/>
            </w:tcBorders>
            <w:shd w:val="clear" w:color="auto" w:fill="auto"/>
            <w:noWrap/>
            <w:vAlign w:val="bottom"/>
            <w:hideMark/>
          </w:tcPr>
          <w:p w14:paraId="27A52BD1"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81</w:t>
            </w:r>
          </w:p>
        </w:tc>
      </w:tr>
      <w:tr w:rsidR="00AC1E67" w:rsidRPr="00A00187" w14:paraId="03EDC012" w14:textId="77777777" w:rsidTr="00201CB0">
        <w:trPr>
          <w:trHeight w:val="315"/>
        </w:trPr>
        <w:tc>
          <w:tcPr>
            <w:tcW w:w="2016" w:type="dxa"/>
            <w:tcBorders>
              <w:top w:val="nil"/>
              <w:left w:val="nil"/>
              <w:bottom w:val="single" w:sz="4" w:space="0" w:color="auto"/>
              <w:right w:val="nil"/>
            </w:tcBorders>
            <w:shd w:val="clear" w:color="auto" w:fill="auto"/>
            <w:noWrap/>
            <w:vAlign w:val="bottom"/>
            <w:hideMark/>
          </w:tcPr>
          <w:p w14:paraId="2D144940"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Brno</w:t>
            </w:r>
          </w:p>
        </w:tc>
        <w:tc>
          <w:tcPr>
            <w:tcW w:w="1245" w:type="dxa"/>
            <w:tcBorders>
              <w:top w:val="nil"/>
              <w:left w:val="nil"/>
              <w:bottom w:val="single" w:sz="4" w:space="0" w:color="auto"/>
              <w:right w:val="nil"/>
            </w:tcBorders>
            <w:shd w:val="clear" w:color="auto" w:fill="auto"/>
            <w:noWrap/>
            <w:vAlign w:val="bottom"/>
            <w:hideMark/>
          </w:tcPr>
          <w:p w14:paraId="7E4AE5AD"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150</w:t>
            </w:r>
          </w:p>
        </w:tc>
        <w:tc>
          <w:tcPr>
            <w:tcW w:w="1331" w:type="dxa"/>
            <w:tcBorders>
              <w:top w:val="nil"/>
              <w:left w:val="nil"/>
              <w:bottom w:val="single" w:sz="4" w:space="0" w:color="auto"/>
              <w:right w:val="nil"/>
            </w:tcBorders>
            <w:shd w:val="clear" w:color="auto" w:fill="auto"/>
            <w:noWrap/>
            <w:vAlign w:val="bottom"/>
            <w:hideMark/>
          </w:tcPr>
          <w:p w14:paraId="1A5A1E5A"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109</w:t>
            </w:r>
          </w:p>
        </w:tc>
        <w:tc>
          <w:tcPr>
            <w:tcW w:w="1626" w:type="dxa"/>
            <w:tcBorders>
              <w:top w:val="nil"/>
              <w:left w:val="nil"/>
              <w:bottom w:val="single" w:sz="4" w:space="0" w:color="auto"/>
              <w:right w:val="nil"/>
            </w:tcBorders>
            <w:shd w:val="clear" w:color="auto" w:fill="auto"/>
            <w:noWrap/>
            <w:vAlign w:val="bottom"/>
            <w:hideMark/>
          </w:tcPr>
          <w:p w14:paraId="0E4B29F5"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33</w:t>
            </w:r>
          </w:p>
        </w:tc>
        <w:tc>
          <w:tcPr>
            <w:tcW w:w="1662" w:type="dxa"/>
            <w:tcBorders>
              <w:top w:val="nil"/>
              <w:left w:val="nil"/>
              <w:bottom w:val="single" w:sz="4" w:space="0" w:color="auto"/>
              <w:right w:val="nil"/>
            </w:tcBorders>
            <w:shd w:val="clear" w:color="auto" w:fill="auto"/>
            <w:noWrap/>
            <w:vAlign w:val="bottom"/>
            <w:hideMark/>
          </w:tcPr>
          <w:p w14:paraId="7495458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18</w:t>
            </w:r>
          </w:p>
        </w:tc>
        <w:tc>
          <w:tcPr>
            <w:tcW w:w="1000" w:type="dxa"/>
            <w:tcBorders>
              <w:top w:val="nil"/>
              <w:left w:val="nil"/>
              <w:bottom w:val="single" w:sz="4" w:space="0" w:color="auto"/>
              <w:right w:val="nil"/>
            </w:tcBorders>
            <w:shd w:val="clear" w:color="auto" w:fill="auto"/>
            <w:noWrap/>
            <w:vAlign w:val="bottom"/>
            <w:hideMark/>
          </w:tcPr>
          <w:p w14:paraId="1D98A48F"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160</w:t>
            </w:r>
          </w:p>
        </w:tc>
      </w:tr>
      <w:tr w:rsidR="00AC1E67" w:rsidRPr="00A00187" w14:paraId="559E9D6D" w14:textId="77777777" w:rsidTr="00201CB0">
        <w:trPr>
          <w:trHeight w:val="330"/>
        </w:trPr>
        <w:tc>
          <w:tcPr>
            <w:tcW w:w="2016" w:type="dxa"/>
            <w:tcBorders>
              <w:top w:val="nil"/>
              <w:left w:val="nil"/>
              <w:bottom w:val="double" w:sz="6" w:space="0" w:color="auto"/>
              <w:right w:val="nil"/>
            </w:tcBorders>
            <w:shd w:val="clear" w:color="auto" w:fill="auto"/>
            <w:noWrap/>
            <w:vAlign w:val="bottom"/>
            <w:hideMark/>
          </w:tcPr>
          <w:p w14:paraId="52EE15E8"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Ostrava</w:t>
            </w:r>
          </w:p>
        </w:tc>
        <w:tc>
          <w:tcPr>
            <w:tcW w:w="1245" w:type="dxa"/>
            <w:tcBorders>
              <w:top w:val="nil"/>
              <w:left w:val="nil"/>
              <w:bottom w:val="double" w:sz="6" w:space="0" w:color="auto"/>
              <w:right w:val="nil"/>
            </w:tcBorders>
            <w:shd w:val="clear" w:color="auto" w:fill="auto"/>
            <w:noWrap/>
            <w:vAlign w:val="bottom"/>
            <w:hideMark/>
          </w:tcPr>
          <w:p w14:paraId="12CB34EF"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149</w:t>
            </w:r>
          </w:p>
        </w:tc>
        <w:tc>
          <w:tcPr>
            <w:tcW w:w="1331" w:type="dxa"/>
            <w:tcBorders>
              <w:top w:val="nil"/>
              <w:left w:val="nil"/>
              <w:bottom w:val="double" w:sz="6" w:space="0" w:color="auto"/>
              <w:right w:val="nil"/>
            </w:tcBorders>
            <w:shd w:val="clear" w:color="auto" w:fill="auto"/>
            <w:noWrap/>
            <w:vAlign w:val="bottom"/>
            <w:hideMark/>
          </w:tcPr>
          <w:p w14:paraId="18BA6B86"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82</w:t>
            </w:r>
          </w:p>
        </w:tc>
        <w:tc>
          <w:tcPr>
            <w:tcW w:w="1626" w:type="dxa"/>
            <w:tcBorders>
              <w:top w:val="nil"/>
              <w:left w:val="nil"/>
              <w:bottom w:val="double" w:sz="6" w:space="0" w:color="auto"/>
              <w:right w:val="nil"/>
            </w:tcBorders>
            <w:shd w:val="clear" w:color="auto" w:fill="auto"/>
            <w:noWrap/>
            <w:vAlign w:val="bottom"/>
            <w:hideMark/>
          </w:tcPr>
          <w:p w14:paraId="42BBBE15"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46</w:t>
            </w:r>
          </w:p>
        </w:tc>
        <w:tc>
          <w:tcPr>
            <w:tcW w:w="1662" w:type="dxa"/>
            <w:tcBorders>
              <w:top w:val="nil"/>
              <w:left w:val="nil"/>
              <w:bottom w:val="double" w:sz="6" w:space="0" w:color="auto"/>
              <w:right w:val="nil"/>
            </w:tcBorders>
            <w:shd w:val="clear" w:color="auto" w:fill="auto"/>
            <w:noWrap/>
            <w:vAlign w:val="bottom"/>
            <w:hideMark/>
          </w:tcPr>
          <w:p w14:paraId="377813A1"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13</w:t>
            </w:r>
          </w:p>
        </w:tc>
        <w:tc>
          <w:tcPr>
            <w:tcW w:w="1000" w:type="dxa"/>
            <w:tcBorders>
              <w:top w:val="nil"/>
              <w:left w:val="nil"/>
              <w:bottom w:val="double" w:sz="6" w:space="0" w:color="auto"/>
              <w:right w:val="nil"/>
            </w:tcBorders>
            <w:shd w:val="clear" w:color="auto" w:fill="auto"/>
            <w:noWrap/>
            <w:vAlign w:val="bottom"/>
            <w:hideMark/>
          </w:tcPr>
          <w:p w14:paraId="1495E5D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141</w:t>
            </w:r>
          </w:p>
        </w:tc>
      </w:tr>
      <w:tr w:rsidR="00AC1E67" w:rsidRPr="00A00187" w14:paraId="6AF5E9C6" w14:textId="77777777" w:rsidTr="00201CB0">
        <w:trPr>
          <w:trHeight w:val="345"/>
        </w:trPr>
        <w:tc>
          <w:tcPr>
            <w:tcW w:w="2016" w:type="dxa"/>
            <w:tcBorders>
              <w:top w:val="nil"/>
              <w:left w:val="nil"/>
              <w:bottom w:val="double" w:sz="6" w:space="0" w:color="auto"/>
              <w:right w:val="nil"/>
            </w:tcBorders>
            <w:shd w:val="clear" w:color="auto" w:fill="auto"/>
            <w:noWrap/>
            <w:vAlign w:val="bottom"/>
            <w:hideMark/>
          </w:tcPr>
          <w:p w14:paraId="410A4D44" w14:textId="77777777" w:rsidR="00201CB0" w:rsidRPr="00A00187" w:rsidRDefault="00201CB0" w:rsidP="00201CB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245" w:type="dxa"/>
            <w:tcBorders>
              <w:top w:val="nil"/>
              <w:left w:val="nil"/>
              <w:bottom w:val="double" w:sz="6" w:space="0" w:color="auto"/>
              <w:right w:val="nil"/>
            </w:tcBorders>
            <w:shd w:val="clear" w:color="auto" w:fill="auto"/>
            <w:noWrap/>
            <w:vAlign w:val="bottom"/>
            <w:hideMark/>
          </w:tcPr>
          <w:p w14:paraId="43430E68"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924</w:t>
            </w:r>
          </w:p>
        </w:tc>
        <w:tc>
          <w:tcPr>
            <w:tcW w:w="1331" w:type="dxa"/>
            <w:tcBorders>
              <w:top w:val="nil"/>
              <w:left w:val="nil"/>
              <w:bottom w:val="double" w:sz="6" w:space="0" w:color="auto"/>
              <w:right w:val="nil"/>
            </w:tcBorders>
            <w:shd w:val="clear" w:color="auto" w:fill="auto"/>
            <w:noWrap/>
            <w:vAlign w:val="bottom"/>
            <w:hideMark/>
          </w:tcPr>
          <w:p w14:paraId="7E8C8A6A"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616</w:t>
            </w:r>
          </w:p>
        </w:tc>
        <w:tc>
          <w:tcPr>
            <w:tcW w:w="1626" w:type="dxa"/>
            <w:tcBorders>
              <w:top w:val="nil"/>
              <w:left w:val="nil"/>
              <w:bottom w:val="double" w:sz="6" w:space="0" w:color="auto"/>
              <w:right w:val="nil"/>
            </w:tcBorders>
            <w:shd w:val="clear" w:color="auto" w:fill="auto"/>
            <w:noWrap/>
            <w:vAlign w:val="bottom"/>
            <w:hideMark/>
          </w:tcPr>
          <w:p w14:paraId="70A6EE27"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232</w:t>
            </w:r>
          </w:p>
        </w:tc>
        <w:tc>
          <w:tcPr>
            <w:tcW w:w="1662" w:type="dxa"/>
            <w:tcBorders>
              <w:top w:val="nil"/>
              <w:left w:val="nil"/>
              <w:bottom w:val="double" w:sz="6" w:space="0" w:color="auto"/>
              <w:right w:val="nil"/>
            </w:tcBorders>
            <w:shd w:val="clear" w:color="auto" w:fill="auto"/>
            <w:noWrap/>
            <w:vAlign w:val="bottom"/>
            <w:hideMark/>
          </w:tcPr>
          <w:p w14:paraId="4F0B52DE"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113</w:t>
            </w:r>
          </w:p>
        </w:tc>
        <w:tc>
          <w:tcPr>
            <w:tcW w:w="1000" w:type="dxa"/>
            <w:tcBorders>
              <w:top w:val="nil"/>
              <w:left w:val="nil"/>
              <w:bottom w:val="double" w:sz="6" w:space="0" w:color="auto"/>
              <w:right w:val="nil"/>
            </w:tcBorders>
            <w:shd w:val="clear" w:color="auto" w:fill="auto"/>
            <w:noWrap/>
            <w:vAlign w:val="bottom"/>
            <w:hideMark/>
          </w:tcPr>
          <w:p w14:paraId="0076DC81"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961</w:t>
            </w:r>
          </w:p>
        </w:tc>
      </w:tr>
      <w:tr w:rsidR="00201CB0" w:rsidRPr="00A00187" w14:paraId="25ED2D41" w14:textId="77777777" w:rsidTr="00201CB0">
        <w:trPr>
          <w:trHeight w:val="330"/>
        </w:trPr>
        <w:tc>
          <w:tcPr>
            <w:tcW w:w="2016" w:type="dxa"/>
            <w:tcBorders>
              <w:top w:val="nil"/>
              <w:left w:val="nil"/>
              <w:bottom w:val="nil"/>
              <w:right w:val="nil"/>
            </w:tcBorders>
            <w:shd w:val="clear" w:color="auto" w:fill="auto"/>
            <w:noWrap/>
            <w:vAlign w:val="bottom"/>
            <w:hideMark/>
          </w:tcPr>
          <w:p w14:paraId="77163183" w14:textId="77777777" w:rsidR="00201CB0" w:rsidRPr="00A00187" w:rsidRDefault="00201CB0" w:rsidP="00201CB0">
            <w:pPr>
              <w:spacing w:line="240" w:lineRule="auto"/>
              <w:jc w:val="center"/>
              <w:rPr>
                <w:rFonts w:eastAsia="Times New Roman"/>
                <w:b/>
                <w:bCs/>
                <w:szCs w:val="24"/>
                <w:lang w:eastAsia="cs-CZ"/>
              </w:rPr>
            </w:pPr>
          </w:p>
        </w:tc>
        <w:tc>
          <w:tcPr>
            <w:tcW w:w="1245" w:type="dxa"/>
            <w:tcBorders>
              <w:top w:val="nil"/>
              <w:left w:val="nil"/>
              <w:bottom w:val="nil"/>
              <w:right w:val="nil"/>
            </w:tcBorders>
            <w:shd w:val="clear" w:color="auto" w:fill="auto"/>
            <w:noWrap/>
            <w:vAlign w:val="bottom"/>
            <w:hideMark/>
          </w:tcPr>
          <w:p w14:paraId="29765937"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331" w:type="dxa"/>
            <w:tcBorders>
              <w:top w:val="nil"/>
              <w:left w:val="nil"/>
              <w:bottom w:val="nil"/>
              <w:right w:val="nil"/>
            </w:tcBorders>
            <w:shd w:val="clear" w:color="auto" w:fill="auto"/>
            <w:noWrap/>
            <w:vAlign w:val="bottom"/>
            <w:hideMark/>
          </w:tcPr>
          <w:p w14:paraId="3C4958BD"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626" w:type="dxa"/>
            <w:tcBorders>
              <w:top w:val="nil"/>
              <w:left w:val="nil"/>
              <w:bottom w:val="nil"/>
              <w:right w:val="nil"/>
            </w:tcBorders>
            <w:shd w:val="clear" w:color="auto" w:fill="auto"/>
            <w:noWrap/>
            <w:vAlign w:val="bottom"/>
            <w:hideMark/>
          </w:tcPr>
          <w:p w14:paraId="64DE289E"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662" w:type="dxa"/>
            <w:tcBorders>
              <w:top w:val="nil"/>
              <w:left w:val="nil"/>
              <w:bottom w:val="nil"/>
              <w:right w:val="nil"/>
            </w:tcBorders>
            <w:shd w:val="clear" w:color="auto" w:fill="auto"/>
            <w:noWrap/>
            <w:vAlign w:val="bottom"/>
            <w:hideMark/>
          </w:tcPr>
          <w:p w14:paraId="39C92D0F"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000" w:type="dxa"/>
            <w:tcBorders>
              <w:top w:val="nil"/>
              <w:left w:val="nil"/>
              <w:bottom w:val="nil"/>
              <w:right w:val="nil"/>
            </w:tcBorders>
            <w:shd w:val="clear" w:color="auto" w:fill="auto"/>
            <w:noWrap/>
            <w:vAlign w:val="bottom"/>
            <w:hideMark/>
          </w:tcPr>
          <w:p w14:paraId="75D2755B"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r>
    </w:tbl>
    <w:p w14:paraId="0C0371C3" w14:textId="7B300B72" w:rsidR="00DE65BE" w:rsidRPr="00A00187" w:rsidRDefault="00DE65BE" w:rsidP="005127A6">
      <w:pPr>
        <w:pStyle w:val="OdstavecASR"/>
      </w:pPr>
    </w:p>
    <w:p w14:paraId="4261583B" w14:textId="59D3511D" w:rsidR="00201CB0" w:rsidRPr="00A00187" w:rsidRDefault="00201CB0" w:rsidP="00201CB0">
      <w:pPr>
        <w:pStyle w:val="OdstavecASR"/>
      </w:pPr>
      <w:r w:rsidRPr="00A00187">
        <w:lastRenderedPageBreak/>
        <w:t>Velmi mírné pohyby v počtu soudců jsou vidět i mezi jednotlivými KS. Poměry mezi velikostmi úseků jsou u všech krajských soudů podobné. Existují zde ale určité odchylky, například MS v Praze má relativně menší trestní úsek. Jak je z tabulky patrné, největší je MS Praha a nejmenší je KS České Budějovice. MS Praha je asi čtyřikrát větší než KS České Budějovice.</w:t>
      </w:r>
    </w:p>
    <w:p w14:paraId="2B82A2D5" w14:textId="52AEB89A" w:rsidR="00201CB0" w:rsidRPr="00A00187" w:rsidRDefault="00201CB0" w:rsidP="00201CB0">
      <w:pPr>
        <w:pStyle w:val="OdstavecASR"/>
      </w:pPr>
      <w:r w:rsidRPr="00A00187">
        <w:t>Velikost soudů (počet soudců) je stejně jako u OS určena dle systemizace, zohledňuje tedy počet napadlých věcí. Ten pak vyplývá z ukazatelů jako je počet obyvatel, nezaměstnanost apod.</w:t>
      </w:r>
    </w:p>
    <w:p w14:paraId="4DAD7F39" w14:textId="77777777" w:rsidR="00201CB0" w:rsidRPr="00A00187" w:rsidRDefault="00201CB0" w:rsidP="00201CB0">
      <w:pPr>
        <w:pStyle w:val="OdstavecASR"/>
      </w:pPr>
      <w:r w:rsidRPr="00A00187">
        <w:t>Další graf a tabulka zobrazují podíl žen v soudnictví v časových řadách a podle soudů.</w:t>
      </w:r>
    </w:p>
    <w:p w14:paraId="7586C2AA" w14:textId="32A8C95D" w:rsidR="00201CB0" w:rsidRPr="00A00187" w:rsidRDefault="00201CB0" w:rsidP="00201CB0">
      <w:pPr>
        <w:pStyle w:val="Podnadpis"/>
        <w:rPr>
          <w:color w:val="auto"/>
        </w:rPr>
      </w:pPr>
      <w:bookmarkStart w:id="561" w:name="_Toc515871378"/>
      <w:bookmarkStart w:id="562" w:name="_Toc11135109"/>
      <w:bookmarkStart w:id="563" w:name="_Toc43841428"/>
      <w:bookmarkStart w:id="564" w:name="_Toc75952232"/>
      <w:bookmarkStart w:id="565" w:name="_Toc106106688"/>
      <w:bookmarkStart w:id="566" w:name="_Toc109802012"/>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54</w:t>
      </w:r>
      <w:r w:rsidRPr="00A00187">
        <w:rPr>
          <w:noProof/>
          <w:color w:val="auto"/>
        </w:rPr>
        <w:fldChar w:fldCharType="end"/>
      </w:r>
      <w:r w:rsidRPr="00A00187">
        <w:rPr>
          <w:color w:val="auto"/>
        </w:rPr>
        <w:t>: KS – evidenční počet soudců dle pohlaví v letech 2008–20</w:t>
      </w:r>
      <w:bookmarkEnd w:id="561"/>
      <w:bookmarkEnd w:id="562"/>
      <w:bookmarkEnd w:id="563"/>
      <w:bookmarkEnd w:id="564"/>
      <w:r w:rsidRPr="00A00187">
        <w:rPr>
          <w:color w:val="auto"/>
        </w:rPr>
        <w:t>21</w:t>
      </w:r>
      <w:bookmarkEnd w:id="565"/>
      <w:bookmarkEnd w:id="566"/>
    </w:p>
    <w:p w14:paraId="7D340ACC" w14:textId="175E7DC3" w:rsidR="00DE65BE" w:rsidRPr="00A00187" w:rsidRDefault="00201CB0" w:rsidP="005127A6">
      <w:pPr>
        <w:pStyle w:val="OdstavecASR"/>
      </w:pPr>
      <w:r w:rsidRPr="00A00187">
        <w:rPr>
          <w:noProof/>
        </w:rPr>
        <w:drawing>
          <wp:inline distT="0" distB="0" distL="0" distR="0" wp14:anchorId="227004CE" wp14:editId="2A8E39D0">
            <wp:extent cx="5029200" cy="3657600"/>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5C1D38" w14:textId="77777777" w:rsidR="00201CB0" w:rsidRPr="00A00187" w:rsidRDefault="00201CB0" w:rsidP="00201CB0">
      <w:pPr>
        <w:pStyle w:val="Podnadpis"/>
        <w:rPr>
          <w:color w:val="auto"/>
        </w:rPr>
      </w:pPr>
      <w:bookmarkStart w:id="567" w:name="_Toc515871465"/>
      <w:bookmarkStart w:id="568" w:name="_Toc11133232"/>
      <w:bookmarkStart w:id="569" w:name="_Toc43931207"/>
      <w:bookmarkStart w:id="570" w:name="_Toc75952340"/>
    </w:p>
    <w:p w14:paraId="7AC89CC8" w14:textId="2D36BD95" w:rsidR="00201CB0" w:rsidRPr="00A00187" w:rsidRDefault="00201CB0" w:rsidP="00201CB0">
      <w:pPr>
        <w:pStyle w:val="Podnadpis"/>
        <w:rPr>
          <w:color w:val="auto"/>
        </w:rPr>
      </w:pPr>
      <w:bookmarkStart w:id="571" w:name="_Toc106106798"/>
      <w:bookmarkStart w:id="572" w:name="_Toc109802121"/>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36</w:t>
      </w:r>
      <w:r w:rsidRPr="00A00187">
        <w:rPr>
          <w:noProof/>
          <w:color w:val="auto"/>
        </w:rPr>
        <w:fldChar w:fldCharType="end"/>
      </w:r>
      <w:r w:rsidRPr="00A00187">
        <w:rPr>
          <w:color w:val="auto"/>
        </w:rPr>
        <w:t>: KS – evidenční počet soudců dle pohlaví a soudů</w:t>
      </w:r>
      <w:bookmarkEnd w:id="567"/>
      <w:bookmarkEnd w:id="568"/>
      <w:bookmarkEnd w:id="569"/>
      <w:bookmarkEnd w:id="570"/>
      <w:bookmarkEnd w:id="571"/>
      <w:bookmarkEnd w:id="572"/>
    </w:p>
    <w:tbl>
      <w:tblPr>
        <w:tblW w:w="6800" w:type="dxa"/>
        <w:tblCellMar>
          <w:left w:w="70" w:type="dxa"/>
          <w:right w:w="70" w:type="dxa"/>
        </w:tblCellMar>
        <w:tblLook w:val="04A0" w:firstRow="1" w:lastRow="0" w:firstColumn="1" w:lastColumn="0" w:noHBand="0" w:noVBand="1"/>
      </w:tblPr>
      <w:tblGrid>
        <w:gridCol w:w="2496"/>
        <w:gridCol w:w="1105"/>
        <w:gridCol w:w="1631"/>
        <w:gridCol w:w="1568"/>
      </w:tblGrid>
      <w:tr w:rsidR="00AC1E67" w:rsidRPr="00A00187" w14:paraId="74A635E2" w14:textId="77777777" w:rsidTr="00201CB0">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70EEDCC7"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2736" w:type="dxa"/>
            <w:gridSpan w:val="2"/>
            <w:tcBorders>
              <w:top w:val="double" w:sz="6" w:space="0" w:color="auto"/>
              <w:left w:val="nil"/>
              <w:bottom w:val="nil"/>
              <w:right w:val="nil"/>
            </w:tcBorders>
            <w:shd w:val="clear" w:color="auto" w:fill="auto"/>
            <w:noWrap/>
            <w:vAlign w:val="center"/>
            <w:hideMark/>
          </w:tcPr>
          <w:p w14:paraId="1698AB04"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Evidenční počet</w:t>
            </w:r>
          </w:p>
        </w:tc>
        <w:tc>
          <w:tcPr>
            <w:tcW w:w="1568" w:type="dxa"/>
            <w:vMerge w:val="restart"/>
            <w:tcBorders>
              <w:top w:val="double" w:sz="6" w:space="0" w:color="auto"/>
              <w:left w:val="nil"/>
              <w:bottom w:val="double" w:sz="6" w:space="0" w:color="000000"/>
              <w:right w:val="nil"/>
            </w:tcBorders>
            <w:shd w:val="clear" w:color="auto" w:fill="auto"/>
            <w:vAlign w:val="center"/>
            <w:hideMark/>
          </w:tcPr>
          <w:p w14:paraId="79E58181" w14:textId="02CBF8DF"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Podíl žen v</w:t>
            </w:r>
            <w:r w:rsidR="00CB570A">
              <w:rPr>
                <w:rFonts w:eastAsia="Times New Roman"/>
                <w:b/>
                <w:bCs/>
                <w:szCs w:val="24"/>
                <w:lang w:eastAsia="cs-CZ"/>
              </w:rPr>
              <w:t> %</w:t>
            </w:r>
          </w:p>
        </w:tc>
      </w:tr>
      <w:tr w:rsidR="00AC1E67" w:rsidRPr="00A00187" w14:paraId="3D781DEA" w14:textId="77777777" w:rsidTr="00201CB0">
        <w:trPr>
          <w:trHeight w:val="330"/>
        </w:trPr>
        <w:tc>
          <w:tcPr>
            <w:tcW w:w="2496" w:type="dxa"/>
            <w:vMerge/>
            <w:tcBorders>
              <w:top w:val="double" w:sz="6" w:space="0" w:color="auto"/>
              <w:left w:val="nil"/>
              <w:bottom w:val="double" w:sz="6" w:space="0" w:color="000000"/>
              <w:right w:val="nil"/>
            </w:tcBorders>
            <w:vAlign w:val="center"/>
            <w:hideMark/>
          </w:tcPr>
          <w:p w14:paraId="276E2167" w14:textId="77777777" w:rsidR="00201CB0" w:rsidRPr="00A00187" w:rsidRDefault="00201CB0" w:rsidP="00201CB0">
            <w:pPr>
              <w:spacing w:line="240" w:lineRule="auto"/>
              <w:jc w:val="left"/>
              <w:rPr>
                <w:rFonts w:eastAsia="Times New Roman"/>
                <w:b/>
                <w:bCs/>
                <w:szCs w:val="24"/>
                <w:lang w:eastAsia="cs-CZ"/>
              </w:rPr>
            </w:pPr>
          </w:p>
        </w:tc>
        <w:tc>
          <w:tcPr>
            <w:tcW w:w="1105" w:type="dxa"/>
            <w:tcBorders>
              <w:top w:val="nil"/>
              <w:left w:val="nil"/>
              <w:bottom w:val="double" w:sz="6" w:space="0" w:color="auto"/>
              <w:right w:val="nil"/>
            </w:tcBorders>
            <w:shd w:val="clear" w:color="auto" w:fill="auto"/>
            <w:noWrap/>
            <w:vAlign w:val="center"/>
            <w:hideMark/>
          </w:tcPr>
          <w:p w14:paraId="47044176"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Žen</w:t>
            </w:r>
          </w:p>
        </w:tc>
        <w:tc>
          <w:tcPr>
            <w:tcW w:w="1631" w:type="dxa"/>
            <w:tcBorders>
              <w:top w:val="nil"/>
              <w:left w:val="nil"/>
              <w:bottom w:val="double" w:sz="6" w:space="0" w:color="auto"/>
              <w:right w:val="nil"/>
            </w:tcBorders>
            <w:shd w:val="clear" w:color="auto" w:fill="auto"/>
            <w:noWrap/>
            <w:vAlign w:val="center"/>
            <w:hideMark/>
          </w:tcPr>
          <w:p w14:paraId="09502BEE"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Mužů</w:t>
            </w:r>
          </w:p>
        </w:tc>
        <w:tc>
          <w:tcPr>
            <w:tcW w:w="1568" w:type="dxa"/>
            <w:vMerge/>
            <w:tcBorders>
              <w:top w:val="double" w:sz="6" w:space="0" w:color="auto"/>
              <w:left w:val="nil"/>
              <w:bottom w:val="double" w:sz="6" w:space="0" w:color="000000"/>
              <w:right w:val="nil"/>
            </w:tcBorders>
            <w:vAlign w:val="center"/>
            <w:hideMark/>
          </w:tcPr>
          <w:p w14:paraId="63B1F7B1" w14:textId="77777777" w:rsidR="00201CB0" w:rsidRPr="00A00187" w:rsidRDefault="00201CB0" w:rsidP="00201CB0">
            <w:pPr>
              <w:spacing w:line="240" w:lineRule="auto"/>
              <w:jc w:val="left"/>
              <w:rPr>
                <w:rFonts w:eastAsia="Times New Roman"/>
                <w:b/>
                <w:bCs/>
                <w:szCs w:val="24"/>
                <w:lang w:eastAsia="cs-CZ"/>
              </w:rPr>
            </w:pPr>
          </w:p>
        </w:tc>
      </w:tr>
      <w:tr w:rsidR="00AC1E67" w:rsidRPr="00A00187" w14:paraId="06BB30E0" w14:textId="77777777" w:rsidTr="00201CB0">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442060F7"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MS Praha</w:t>
            </w:r>
          </w:p>
        </w:tc>
        <w:tc>
          <w:tcPr>
            <w:tcW w:w="1105" w:type="dxa"/>
            <w:tcBorders>
              <w:top w:val="single" w:sz="4" w:space="0" w:color="auto"/>
              <w:left w:val="nil"/>
              <w:bottom w:val="single" w:sz="4" w:space="0" w:color="auto"/>
              <w:right w:val="nil"/>
            </w:tcBorders>
            <w:shd w:val="clear" w:color="auto" w:fill="auto"/>
            <w:noWrap/>
            <w:vAlign w:val="bottom"/>
            <w:hideMark/>
          </w:tcPr>
          <w:p w14:paraId="2934BE19"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144</w:t>
            </w:r>
          </w:p>
        </w:tc>
        <w:tc>
          <w:tcPr>
            <w:tcW w:w="1631" w:type="dxa"/>
            <w:tcBorders>
              <w:top w:val="single" w:sz="4" w:space="0" w:color="auto"/>
              <w:left w:val="nil"/>
              <w:bottom w:val="single" w:sz="4" w:space="0" w:color="auto"/>
              <w:right w:val="nil"/>
            </w:tcBorders>
            <w:shd w:val="clear" w:color="auto" w:fill="auto"/>
            <w:noWrap/>
            <w:vAlign w:val="bottom"/>
            <w:hideMark/>
          </w:tcPr>
          <w:p w14:paraId="676D7ACE"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84</w:t>
            </w:r>
          </w:p>
        </w:tc>
        <w:tc>
          <w:tcPr>
            <w:tcW w:w="1568" w:type="dxa"/>
            <w:tcBorders>
              <w:top w:val="single" w:sz="4" w:space="0" w:color="auto"/>
              <w:left w:val="nil"/>
              <w:bottom w:val="single" w:sz="4" w:space="0" w:color="auto"/>
              <w:right w:val="nil"/>
            </w:tcBorders>
            <w:shd w:val="clear" w:color="auto" w:fill="auto"/>
            <w:noWrap/>
            <w:vAlign w:val="bottom"/>
            <w:hideMark/>
          </w:tcPr>
          <w:p w14:paraId="6E0D13BD" w14:textId="66731F78"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63,16</w:t>
            </w:r>
          </w:p>
        </w:tc>
      </w:tr>
      <w:tr w:rsidR="00AC1E67" w:rsidRPr="00A00187" w14:paraId="1F164D33" w14:textId="77777777" w:rsidTr="00201CB0">
        <w:trPr>
          <w:trHeight w:val="315"/>
        </w:trPr>
        <w:tc>
          <w:tcPr>
            <w:tcW w:w="2496" w:type="dxa"/>
            <w:tcBorders>
              <w:top w:val="nil"/>
              <w:left w:val="nil"/>
              <w:bottom w:val="single" w:sz="4" w:space="0" w:color="auto"/>
              <w:right w:val="nil"/>
            </w:tcBorders>
            <w:shd w:val="clear" w:color="auto" w:fill="auto"/>
            <w:noWrap/>
            <w:vAlign w:val="bottom"/>
            <w:hideMark/>
          </w:tcPr>
          <w:p w14:paraId="564EB48D"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Praha</w:t>
            </w:r>
          </w:p>
        </w:tc>
        <w:tc>
          <w:tcPr>
            <w:tcW w:w="1105" w:type="dxa"/>
            <w:tcBorders>
              <w:top w:val="nil"/>
              <w:left w:val="nil"/>
              <w:bottom w:val="single" w:sz="4" w:space="0" w:color="auto"/>
              <w:right w:val="nil"/>
            </w:tcBorders>
            <w:shd w:val="clear" w:color="auto" w:fill="auto"/>
            <w:noWrap/>
            <w:vAlign w:val="bottom"/>
            <w:hideMark/>
          </w:tcPr>
          <w:p w14:paraId="2471616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63</w:t>
            </w:r>
          </w:p>
        </w:tc>
        <w:tc>
          <w:tcPr>
            <w:tcW w:w="1631" w:type="dxa"/>
            <w:tcBorders>
              <w:top w:val="nil"/>
              <w:left w:val="nil"/>
              <w:bottom w:val="single" w:sz="4" w:space="0" w:color="auto"/>
              <w:right w:val="nil"/>
            </w:tcBorders>
            <w:shd w:val="clear" w:color="auto" w:fill="auto"/>
            <w:noWrap/>
            <w:vAlign w:val="bottom"/>
            <w:hideMark/>
          </w:tcPr>
          <w:p w14:paraId="2CB1D67A"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34</w:t>
            </w:r>
          </w:p>
        </w:tc>
        <w:tc>
          <w:tcPr>
            <w:tcW w:w="1568" w:type="dxa"/>
            <w:tcBorders>
              <w:top w:val="nil"/>
              <w:left w:val="nil"/>
              <w:bottom w:val="single" w:sz="4" w:space="0" w:color="auto"/>
              <w:right w:val="nil"/>
            </w:tcBorders>
            <w:shd w:val="clear" w:color="auto" w:fill="auto"/>
            <w:noWrap/>
            <w:vAlign w:val="bottom"/>
            <w:hideMark/>
          </w:tcPr>
          <w:p w14:paraId="3D7DD30C" w14:textId="18DBE47F"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64,95</w:t>
            </w:r>
          </w:p>
        </w:tc>
      </w:tr>
      <w:tr w:rsidR="00AC1E67" w:rsidRPr="00A00187" w14:paraId="715CE137" w14:textId="77777777" w:rsidTr="00201CB0">
        <w:trPr>
          <w:trHeight w:val="315"/>
        </w:trPr>
        <w:tc>
          <w:tcPr>
            <w:tcW w:w="2496" w:type="dxa"/>
            <w:tcBorders>
              <w:top w:val="nil"/>
              <w:left w:val="nil"/>
              <w:bottom w:val="single" w:sz="4" w:space="0" w:color="auto"/>
              <w:right w:val="nil"/>
            </w:tcBorders>
            <w:shd w:val="clear" w:color="auto" w:fill="auto"/>
            <w:noWrap/>
            <w:vAlign w:val="bottom"/>
            <w:hideMark/>
          </w:tcPr>
          <w:p w14:paraId="359C6F33"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Č. Budějovice</w:t>
            </w:r>
          </w:p>
        </w:tc>
        <w:tc>
          <w:tcPr>
            <w:tcW w:w="1105" w:type="dxa"/>
            <w:tcBorders>
              <w:top w:val="nil"/>
              <w:left w:val="nil"/>
              <w:bottom w:val="single" w:sz="4" w:space="0" w:color="auto"/>
              <w:right w:val="nil"/>
            </w:tcBorders>
            <w:shd w:val="clear" w:color="auto" w:fill="auto"/>
            <w:noWrap/>
            <w:vAlign w:val="bottom"/>
            <w:hideMark/>
          </w:tcPr>
          <w:p w14:paraId="4D62D0EB"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26</w:t>
            </w:r>
          </w:p>
        </w:tc>
        <w:tc>
          <w:tcPr>
            <w:tcW w:w="1631" w:type="dxa"/>
            <w:tcBorders>
              <w:top w:val="nil"/>
              <w:left w:val="nil"/>
              <w:bottom w:val="single" w:sz="4" w:space="0" w:color="auto"/>
              <w:right w:val="nil"/>
            </w:tcBorders>
            <w:shd w:val="clear" w:color="auto" w:fill="auto"/>
            <w:noWrap/>
            <w:vAlign w:val="bottom"/>
            <w:hideMark/>
          </w:tcPr>
          <w:p w14:paraId="62F59598"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31</w:t>
            </w:r>
          </w:p>
        </w:tc>
        <w:tc>
          <w:tcPr>
            <w:tcW w:w="1568" w:type="dxa"/>
            <w:tcBorders>
              <w:top w:val="nil"/>
              <w:left w:val="nil"/>
              <w:bottom w:val="single" w:sz="4" w:space="0" w:color="auto"/>
              <w:right w:val="nil"/>
            </w:tcBorders>
            <w:shd w:val="clear" w:color="auto" w:fill="auto"/>
            <w:noWrap/>
            <w:vAlign w:val="bottom"/>
            <w:hideMark/>
          </w:tcPr>
          <w:p w14:paraId="0278DA57" w14:textId="27C29988"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45,61</w:t>
            </w:r>
          </w:p>
        </w:tc>
      </w:tr>
      <w:tr w:rsidR="00AC1E67" w:rsidRPr="00A00187" w14:paraId="07DC8C02" w14:textId="77777777" w:rsidTr="00201CB0">
        <w:trPr>
          <w:trHeight w:val="315"/>
        </w:trPr>
        <w:tc>
          <w:tcPr>
            <w:tcW w:w="2496" w:type="dxa"/>
            <w:tcBorders>
              <w:top w:val="nil"/>
              <w:left w:val="nil"/>
              <w:bottom w:val="single" w:sz="4" w:space="0" w:color="auto"/>
              <w:right w:val="nil"/>
            </w:tcBorders>
            <w:shd w:val="clear" w:color="auto" w:fill="auto"/>
            <w:noWrap/>
            <w:vAlign w:val="bottom"/>
            <w:hideMark/>
          </w:tcPr>
          <w:p w14:paraId="1339023B"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Plzeň</w:t>
            </w:r>
          </w:p>
        </w:tc>
        <w:tc>
          <w:tcPr>
            <w:tcW w:w="1105" w:type="dxa"/>
            <w:tcBorders>
              <w:top w:val="nil"/>
              <w:left w:val="nil"/>
              <w:bottom w:val="single" w:sz="4" w:space="0" w:color="auto"/>
              <w:right w:val="nil"/>
            </w:tcBorders>
            <w:shd w:val="clear" w:color="auto" w:fill="auto"/>
            <w:noWrap/>
            <w:vAlign w:val="bottom"/>
            <w:hideMark/>
          </w:tcPr>
          <w:p w14:paraId="0D175699"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45</w:t>
            </w:r>
          </w:p>
        </w:tc>
        <w:tc>
          <w:tcPr>
            <w:tcW w:w="1631" w:type="dxa"/>
            <w:tcBorders>
              <w:top w:val="nil"/>
              <w:left w:val="nil"/>
              <w:bottom w:val="single" w:sz="4" w:space="0" w:color="auto"/>
              <w:right w:val="nil"/>
            </w:tcBorders>
            <w:shd w:val="clear" w:color="auto" w:fill="auto"/>
            <w:noWrap/>
            <w:vAlign w:val="bottom"/>
            <w:hideMark/>
          </w:tcPr>
          <w:p w14:paraId="5361D1CB"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35</w:t>
            </w:r>
          </w:p>
        </w:tc>
        <w:tc>
          <w:tcPr>
            <w:tcW w:w="1568" w:type="dxa"/>
            <w:tcBorders>
              <w:top w:val="nil"/>
              <w:left w:val="nil"/>
              <w:bottom w:val="single" w:sz="4" w:space="0" w:color="auto"/>
              <w:right w:val="nil"/>
            </w:tcBorders>
            <w:shd w:val="clear" w:color="auto" w:fill="auto"/>
            <w:noWrap/>
            <w:vAlign w:val="bottom"/>
            <w:hideMark/>
          </w:tcPr>
          <w:p w14:paraId="6ABA4B02" w14:textId="6AB04056"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56,25</w:t>
            </w:r>
          </w:p>
        </w:tc>
      </w:tr>
      <w:tr w:rsidR="00AC1E67" w:rsidRPr="00A00187" w14:paraId="6D768B3F" w14:textId="77777777" w:rsidTr="00201CB0">
        <w:trPr>
          <w:trHeight w:val="315"/>
        </w:trPr>
        <w:tc>
          <w:tcPr>
            <w:tcW w:w="2496" w:type="dxa"/>
            <w:tcBorders>
              <w:top w:val="nil"/>
              <w:left w:val="nil"/>
              <w:bottom w:val="single" w:sz="4" w:space="0" w:color="auto"/>
              <w:right w:val="nil"/>
            </w:tcBorders>
            <w:shd w:val="clear" w:color="auto" w:fill="auto"/>
            <w:noWrap/>
            <w:vAlign w:val="bottom"/>
            <w:hideMark/>
          </w:tcPr>
          <w:p w14:paraId="32F3DB01"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Ústí n. Labem</w:t>
            </w:r>
          </w:p>
        </w:tc>
        <w:tc>
          <w:tcPr>
            <w:tcW w:w="1105" w:type="dxa"/>
            <w:tcBorders>
              <w:top w:val="nil"/>
              <w:left w:val="nil"/>
              <w:bottom w:val="single" w:sz="4" w:space="0" w:color="auto"/>
              <w:right w:val="nil"/>
            </w:tcBorders>
            <w:shd w:val="clear" w:color="auto" w:fill="auto"/>
            <w:noWrap/>
            <w:vAlign w:val="bottom"/>
            <w:hideMark/>
          </w:tcPr>
          <w:p w14:paraId="50258AA2"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62</w:t>
            </w:r>
          </w:p>
        </w:tc>
        <w:tc>
          <w:tcPr>
            <w:tcW w:w="1631" w:type="dxa"/>
            <w:tcBorders>
              <w:top w:val="nil"/>
              <w:left w:val="nil"/>
              <w:bottom w:val="single" w:sz="4" w:space="0" w:color="auto"/>
              <w:right w:val="nil"/>
            </w:tcBorders>
            <w:shd w:val="clear" w:color="auto" w:fill="auto"/>
            <w:noWrap/>
            <w:vAlign w:val="bottom"/>
            <w:hideMark/>
          </w:tcPr>
          <w:p w14:paraId="4B443773"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55</w:t>
            </w:r>
          </w:p>
        </w:tc>
        <w:tc>
          <w:tcPr>
            <w:tcW w:w="1568" w:type="dxa"/>
            <w:tcBorders>
              <w:top w:val="nil"/>
              <w:left w:val="nil"/>
              <w:bottom w:val="single" w:sz="4" w:space="0" w:color="auto"/>
              <w:right w:val="nil"/>
            </w:tcBorders>
            <w:shd w:val="clear" w:color="auto" w:fill="auto"/>
            <w:noWrap/>
            <w:vAlign w:val="bottom"/>
            <w:hideMark/>
          </w:tcPr>
          <w:p w14:paraId="13102560" w14:textId="6EF09D0C"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52,99</w:t>
            </w:r>
          </w:p>
        </w:tc>
      </w:tr>
      <w:tr w:rsidR="00AC1E67" w:rsidRPr="00A00187" w14:paraId="4250DCA0" w14:textId="77777777" w:rsidTr="00201CB0">
        <w:trPr>
          <w:trHeight w:val="315"/>
        </w:trPr>
        <w:tc>
          <w:tcPr>
            <w:tcW w:w="2496" w:type="dxa"/>
            <w:tcBorders>
              <w:top w:val="nil"/>
              <w:left w:val="nil"/>
              <w:bottom w:val="single" w:sz="4" w:space="0" w:color="auto"/>
              <w:right w:val="nil"/>
            </w:tcBorders>
            <w:shd w:val="clear" w:color="auto" w:fill="auto"/>
            <w:noWrap/>
            <w:vAlign w:val="bottom"/>
            <w:hideMark/>
          </w:tcPr>
          <w:p w14:paraId="77C8D2A4"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Hr. Králové</w:t>
            </w:r>
          </w:p>
        </w:tc>
        <w:tc>
          <w:tcPr>
            <w:tcW w:w="1105" w:type="dxa"/>
            <w:tcBorders>
              <w:top w:val="nil"/>
              <w:left w:val="nil"/>
              <w:bottom w:val="single" w:sz="4" w:space="0" w:color="auto"/>
              <w:right w:val="nil"/>
            </w:tcBorders>
            <w:shd w:val="clear" w:color="auto" w:fill="auto"/>
            <w:noWrap/>
            <w:vAlign w:val="bottom"/>
            <w:hideMark/>
          </w:tcPr>
          <w:p w14:paraId="6E45C700"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34</w:t>
            </w:r>
          </w:p>
        </w:tc>
        <w:tc>
          <w:tcPr>
            <w:tcW w:w="1631" w:type="dxa"/>
            <w:tcBorders>
              <w:top w:val="nil"/>
              <w:left w:val="nil"/>
              <w:bottom w:val="single" w:sz="4" w:space="0" w:color="auto"/>
              <w:right w:val="nil"/>
            </w:tcBorders>
            <w:shd w:val="clear" w:color="auto" w:fill="auto"/>
            <w:noWrap/>
            <w:vAlign w:val="bottom"/>
            <w:hideMark/>
          </w:tcPr>
          <w:p w14:paraId="05F03AB9"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47</w:t>
            </w:r>
          </w:p>
        </w:tc>
        <w:tc>
          <w:tcPr>
            <w:tcW w:w="1568" w:type="dxa"/>
            <w:tcBorders>
              <w:top w:val="nil"/>
              <w:left w:val="nil"/>
              <w:bottom w:val="single" w:sz="4" w:space="0" w:color="auto"/>
              <w:right w:val="nil"/>
            </w:tcBorders>
            <w:shd w:val="clear" w:color="auto" w:fill="auto"/>
            <w:noWrap/>
            <w:vAlign w:val="bottom"/>
            <w:hideMark/>
          </w:tcPr>
          <w:p w14:paraId="6C097816" w14:textId="045C7E8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41,98</w:t>
            </w:r>
          </w:p>
        </w:tc>
      </w:tr>
      <w:tr w:rsidR="00AC1E67" w:rsidRPr="00A00187" w14:paraId="72B9387A" w14:textId="77777777" w:rsidTr="00201CB0">
        <w:trPr>
          <w:trHeight w:val="315"/>
        </w:trPr>
        <w:tc>
          <w:tcPr>
            <w:tcW w:w="2496" w:type="dxa"/>
            <w:tcBorders>
              <w:top w:val="nil"/>
              <w:left w:val="nil"/>
              <w:bottom w:val="single" w:sz="4" w:space="0" w:color="auto"/>
              <w:right w:val="nil"/>
            </w:tcBorders>
            <w:shd w:val="clear" w:color="auto" w:fill="auto"/>
            <w:noWrap/>
            <w:vAlign w:val="bottom"/>
            <w:hideMark/>
          </w:tcPr>
          <w:p w14:paraId="332CD10C"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Brno</w:t>
            </w:r>
          </w:p>
        </w:tc>
        <w:tc>
          <w:tcPr>
            <w:tcW w:w="1105" w:type="dxa"/>
            <w:tcBorders>
              <w:top w:val="nil"/>
              <w:left w:val="nil"/>
              <w:bottom w:val="single" w:sz="4" w:space="0" w:color="auto"/>
              <w:right w:val="nil"/>
            </w:tcBorders>
            <w:shd w:val="clear" w:color="auto" w:fill="auto"/>
            <w:noWrap/>
            <w:vAlign w:val="bottom"/>
            <w:hideMark/>
          </w:tcPr>
          <w:p w14:paraId="595C9AEA"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76</w:t>
            </w:r>
          </w:p>
        </w:tc>
        <w:tc>
          <w:tcPr>
            <w:tcW w:w="1631" w:type="dxa"/>
            <w:tcBorders>
              <w:top w:val="nil"/>
              <w:left w:val="nil"/>
              <w:bottom w:val="single" w:sz="4" w:space="0" w:color="auto"/>
              <w:right w:val="nil"/>
            </w:tcBorders>
            <w:shd w:val="clear" w:color="auto" w:fill="auto"/>
            <w:noWrap/>
            <w:vAlign w:val="bottom"/>
            <w:hideMark/>
          </w:tcPr>
          <w:p w14:paraId="50AFEFE1"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84</w:t>
            </w:r>
          </w:p>
        </w:tc>
        <w:tc>
          <w:tcPr>
            <w:tcW w:w="1568" w:type="dxa"/>
            <w:tcBorders>
              <w:top w:val="nil"/>
              <w:left w:val="nil"/>
              <w:bottom w:val="single" w:sz="4" w:space="0" w:color="auto"/>
              <w:right w:val="nil"/>
            </w:tcBorders>
            <w:shd w:val="clear" w:color="auto" w:fill="auto"/>
            <w:noWrap/>
            <w:vAlign w:val="bottom"/>
            <w:hideMark/>
          </w:tcPr>
          <w:p w14:paraId="089261A9" w14:textId="1185FEB0"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47,50</w:t>
            </w:r>
          </w:p>
        </w:tc>
      </w:tr>
      <w:tr w:rsidR="00AC1E67" w:rsidRPr="00A00187" w14:paraId="6B2A7514" w14:textId="77777777" w:rsidTr="00201CB0">
        <w:trPr>
          <w:trHeight w:val="330"/>
        </w:trPr>
        <w:tc>
          <w:tcPr>
            <w:tcW w:w="2496" w:type="dxa"/>
            <w:tcBorders>
              <w:top w:val="nil"/>
              <w:left w:val="nil"/>
              <w:bottom w:val="double" w:sz="6" w:space="0" w:color="auto"/>
              <w:right w:val="nil"/>
            </w:tcBorders>
            <w:shd w:val="clear" w:color="auto" w:fill="auto"/>
            <w:noWrap/>
            <w:vAlign w:val="bottom"/>
            <w:hideMark/>
          </w:tcPr>
          <w:p w14:paraId="46B8A757"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Ostrava</w:t>
            </w:r>
          </w:p>
        </w:tc>
        <w:tc>
          <w:tcPr>
            <w:tcW w:w="1105" w:type="dxa"/>
            <w:tcBorders>
              <w:top w:val="nil"/>
              <w:left w:val="nil"/>
              <w:bottom w:val="double" w:sz="6" w:space="0" w:color="auto"/>
              <w:right w:val="nil"/>
            </w:tcBorders>
            <w:shd w:val="clear" w:color="auto" w:fill="auto"/>
            <w:noWrap/>
            <w:vAlign w:val="bottom"/>
            <w:hideMark/>
          </w:tcPr>
          <w:p w14:paraId="34F89ABC"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74</w:t>
            </w:r>
          </w:p>
        </w:tc>
        <w:tc>
          <w:tcPr>
            <w:tcW w:w="1631" w:type="dxa"/>
            <w:tcBorders>
              <w:top w:val="nil"/>
              <w:left w:val="nil"/>
              <w:bottom w:val="double" w:sz="6" w:space="0" w:color="auto"/>
              <w:right w:val="nil"/>
            </w:tcBorders>
            <w:shd w:val="clear" w:color="auto" w:fill="auto"/>
            <w:noWrap/>
            <w:vAlign w:val="bottom"/>
            <w:hideMark/>
          </w:tcPr>
          <w:p w14:paraId="4054E7E0" w14:textId="7777777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67</w:t>
            </w:r>
          </w:p>
        </w:tc>
        <w:tc>
          <w:tcPr>
            <w:tcW w:w="1568" w:type="dxa"/>
            <w:tcBorders>
              <w:top w:val="nil"/>
              <w:left w:val="nil"/>
              <w:bottom w:val="double" w:sz="6" w:space="0" w:color="auto"/>
              <w:right w:val="nil"/>
            </w:tcBorders>
            <w:shd w:val="clear" w:color="auto" w:fill="auto"/>
            <w:noWrap/>
            <w:vAlign w:val="bottom"/>
            <w:hideMark/>
          </w:tcPr>
          <w:p w14:paraId="14506474" w14:textId="79396261"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52,48</w:t>
            </w:r>
          </w:p>
        </w:tc>
      </w:tr>
      <w:tr w:rsidR="00AC1E67" w:rsidRPr="00A00187" w14:paraId="68FE113D" w14:textId="77777777" w:rsidTr="00201CB0">
        <w:trPr>
          <w:trHeight w:val="345"/>
        </w:trPr>
        <w:tc>
          <w:tcPr>
            <w:tcW w:w="2496" w:type="dxa"/>
            <w:tcBorders>
              <w:top w:val="nil"/>
              <w:left w:val="nil"/>
              <w:bottom w:val="double" w:sz="6" w:space="0" w:color="auto"/>
              <w:right w:val="nil"/>
            </w:tcBorders>
            <w:shd w:val="clear" w:color="auto" w:fill="auto"/>
            <w:noWrap/>
            <w:vAlign w:val="bottom"/>
            <w:hideMark/>
          </w:tcPr>
          <w:p w14:paraId="56DA7048" w14:textId="77777777" w:rsidR="00201CB0" w:rsidRPr="00A00187" w:rsidRDefault="00201CB0" w:rsidP="00201CB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05" w:type="dxa"/>
            <w:tcBorders>
              <w:top w:val="nil"/>
              <w:left w:val="nil"/>
              <w:bottom w:val="double" w:sz="6" w:space="0" w:color="auto"/>
              <w:right w:val="nil"/>
            </w:tcBorders>
            <w:shd w:val="clear" w:color="auto" w:fill="auto"/>
            <w:noWrap/>
            <w:vAlign w:val="bottom"/>
            <w:hideMark/>
          </w:tcPr>
          <w:p w14:paraId="15126947"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524</w:t>
            </w:r>
          </w:p>
        </w:tc>
        <w:tc>
          <w:tcPr>
            <w:tcW w:w="1631" w:type="dxa"/>
            <w:tcBorders>
              <w:top w:val="nil"/>
              <w:left w:val="nil"/>
              <w:bottom w:val="double" w:sz="6" w:space="0" w:color="auto"/>
              <w:right w:val="nil"/>
            </w:tcBorders>
            <w:shd w:val="clear" w:color="auto" w:fill="auto"/>
            <w:noWrap/>
            <w:vAlign w:val="bottom"/>
            <w:hideMark/>
          </w:tcPr>
          <w:p w14:paraId="7E5D8A94"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437</w:t>
            </w:r>
          </w:p>
        </w:tc>
        <w:tc>
          <w:tcPr>
            <w:tcW w:w="1568" w:type="dxa"/>
            <w:tcBorders>
              <w:top w:val="nil"/>
              <w:left w:val="nil"/>
              <w:bottom w:val="double" w:sz="6" w:space="0" w:color="auto"/>
              <w:right w:val="nil"/>
            </w:tcBorders>
            <w:shd w:val="clear" w:color="auto" w:fill="auto"/>
            <w:noWrap/>
            <w:vAlign w:val="bottom"/>
            <w:hideMark/>
          </w:tcPr>
          <w:p w14:paraId="659A3C09" w14:textId="327DC794"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54,53</w:t>
            </w:r>
          </w:p>
        </w:tc>
      </w:tr>
      <w:tr w:rsidR="00201CB0" w:rsidRPr="00A00187" w14:paraId="77D63B0B" w14:textId="77777777" w:rsidTr="00201CB0">
        <w:trPr>
          <w:trHeight w:val="330"/>
        </w:trPr>
        <w:tc>
          <w:tcPr>
            <w:tcW w:w="2496" w:type="dxa"/>
            <w:tcBorders>
              <w:top w:val="nil"/>
              <w:left w:val="nil"/>
              <w:bottom w:val="nil"/>
              <w:right w:val="nil"/>
            </w:tcBorders>
            <w:shd w:val="clear" w:color="auto" w:fill="auto"/>
            <w:noWrap/>
            <w:vAlign w:val="bottom"/>
            <w:hideMark/>
          </w:tcPr>
          <w:p w14:paraId="75E8478B" w14:textId="77777777" w:rsidR="00201CB0" w:rsidRPr="00A00187" w:rsidRDefault="00201CB0" w:rsidP="00201CB0">
            <w:pPr>
              <w:spacing w:line="240" w:lineRule="auto"/>
              <w:jc w:val="center"/>
              <w:rPr>
                <w:rFonts w:eastAsia="Times New Roman"/>
                <w:b/>
                <w:bCs/>
                <w:szCs w:val="24"/>
                <w:lang w:eastAsia="cs-CZ"/>
              </w:rPr>
            </w:pPr>
          </w:p>
        </w:tc>
        <w:tc>
          <w:tcPr>
            <w:tcW w:w="1105" w:type="dxa"/>
            <w:tcBorders>
              <w:top w:val="nil"/>
              <w:left w:val="nil"/>
              <w:bottom w:val="nil"/>
              <w:right w:val="nil"/>
            </w:tcBorders>
            <w:shd w:val="clear" w:color="auto" w:fill="auto"/>
            <w:noWrap/>
            <w:vAlign w:val="bottom"/>
            <w:hideMark/>
          </w:tcPr>
          <w:p w14:paraId="6B0D9F65"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631" w:type="dxa"/>
            <w:tcBorders>
              <w:top w:val="nil"/>
              <w:left w:val="nil"/>
              <w:bottom w:val="nil"/>
              <w:right w:val="nil"/>
            </w:tcBorders>
            <w:shd w:val="clear" w:color="auto" w:fill="auto"/>
            <w:noWrap/>
            <w:vAlign w:val="bottom"/>
            <w:hideMark/>
          </w:tcPr>
          <w:p w14:paraId="04A8E84C"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568" w:type="dxa"/>
            <w:tcBorders>
              <w:top w:val="nil"/>
              <w:left w:val="nil"/>
              <w:bottom w:val="nil"/>
              <w:right w:val="nil"/>
            </w:tcBorders>
            <w:shd w:val="clear" w:color="auto" w:fill="auto"/>
            <w:noWrap/>
            <w:vAlign w:val="bottom"/>
            <w:hideMark/>
          </w:tcPr>
          <w:p w14:paraId="5EE44FCC"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r>
    </w:tbl>
    <w:p w14:paraId="1F0B4FA0" w14:textId="0FFA5FEE" w:rsidR="00201CB0" w:rsidRPr="00A00187" w:rsidRDefault="00201CB0" w:rsidP="005127A6">
      <w:pPr>
        <w:pStyle w:val="OdstavecASR"/>
      </w:pPr>
    </w:p>
    <w:p w14:paraId="51B71474" w14:textId="77777777" w:rsidR="00201CB0" w:rsidRPr="00A00187" w:rsidRDefault="00201CB0" w:rsidP="00201CB0">
      <w:pPr>
        <w:pStyle w:val="OdstavecASR"/>
      </w:pPr>
      <w:r w:rsidRPr="00A00187">
        <w:lastRenderedPageBreak/>
        <w:t>Z dat můžeme vyvodit několik zajímavých závěrů:</w:t>
      </w:r>
    </w:p>
    <w:p w14:paraId="77988752" w14:textId="23D727FC" w:rsidR="00201CB0" w:rsidRPr="00A00187" w:rsidRDefault="00201CB0" w:rsidP="00201CB0">
      <w:pPr>
        <w:pStyle w:val="OdstavecASR"/>
        <w:numPr>
          <w:ilvl w:val="0"/>
          <w:numId w:val="14"/>
        </w:numPr>
      </w:pPr>
      <w:r w:rsidRPr="00A00187">
        <w:t>Stejně jako u OS působí i u krajských soudů více soudkyň než soudců. Podíl žen je ale nižší než u okresních soudů (66,87</w:t>
      </w:r>
      <w:r w:rsidR="00CB570A">
        <w:t> %</w:t>
      </w:r>
      <w:r w:rsidRPr="00A00187">
        <w:t>, viz tabulka č. 2). Jak uvidíme níže, tento jev se dále prohlub</w:t>
      </w:r>
      <w:r w:rsidR="00501D08" w:rsidRPr="00A00187">
        <w:t>uje</w:t>
      </w:r>
      <w:r w:rsidRPr="00A00187">
        <w:t xml:space="preserve"> s každým dalším stupněm soudní soustavy.</w:t>
      </w:r>
    </w:p>
    <w:p w14:paraId="318C452F" w14:textId="70EDA6BA" w:rsidR="00201CB0" w:rsidRPr="00A00187" w:rsidRDefault="00201CB0" w:rsidP="00201CB0">
      <w:pPr>
        <w:pStyle w:val="OdstavecASR"/>
        <w:numPr>
          <w:ilvl w:val="0"/>
          <w:numId w:val="14"/>
        </w:numPr>
      </w:pPr>
      <w:r w:rsidRPr="00A00187">
        <w:t>Rozdíly mezi soudy jsou výrazně větší než u okresních soudů. Nejvyšší podíl žen mezi soudci má KS Praha (65</w:t>
      </w:r>
      <w:r w:rsidR="00CB570A">
        <w:t> %</w:t>
      </w:r>
      <w:r w:rsidRPr="00A00187">
        <w:t>) a nejnižší KS Hradec Králové (42</w:t>
      </w:r>
      <w:r w:rsidR="00CB570A">
        <w:t> %</w:t>
      </w:r>
      <w:r w:rsidRPr="00A00187">
        <w:t>), což je o 23 procentních bodů méně.</w:t>
      </w:r>
    </w:p>
    <w:p w14:paraId="6D46E13B" w14:textId="6D31B88B" w:rsidR="00201CB0" w:rsidRPr="00A00187" w:rsidRDefault="00201CB0" w:rsidP="00201CB0">
      <w:pPr>
        <w:pStyle w:val="OdstavecASR"/>
        <w:numPr>
          <w:ilvl w:val="0"/>
          <w:numId w:val="14"/>
        </w:numPr>
      </w:pPr>
      <w:r w:rsidRPr="00A00187">
        <w:t>Podíl žen v krajském soudnictví velmi zvolna klesá. V roce 2008 byl podíl žen kolem 60</w:t>
      </w:r>
      <w:r w:rsidR="00CB570A">
        <w:t> %</w:t>
      </w:r>
      <w:r w:rsidRPr="00A00187">
        <w:t xml:space="preserve">, v roce 2020 je již o šest procentních bodů nižší (v průběhu roku 2017 odešlo 10 soudkyň a přišlo 12 soudců krajských soudů, v roce 2018 odešly další 4 soudkyně a přibylo 10 nových soudců krajských soudů, v roce 2019 ubylo 10 soudkyň a přibyli 2 soudci a v roce 2020 ubyly 2 soudkyně a přibylo 5 soudců). Analýza příčin této skutečnosti by překročila rámec této zprávy. Tento trend se nicméně v roce 2021 zastavil, neboť přibylo 10 soudkyň </w:t>
      </w:r>
      <w:r w:rsidR="00755920" w:rsidRPr="00A00187">
        <w:t>a</w:t>
      </w:r>
      <w:r w:rsidR="00755920">
        <w:t> </w:t>
      </w:r>
      <w:r w:rsidR="00755920" w:rsidRPr="00A00187">
        <w:t>1</w:t>
      </w:r>
      <w:r w:rsidR="00755920">
        <w:t> </w:t>
      </w:r>
      <w:r w:rsidRPr="00A00187">
        <w:t>soudce. Zde je na místě zdůraznit, že stavy jsou vždy k 1.1.</w:t>
      </w:r>
      <w:r w:rsidR="0083756A" w:rsidRPr="00A00187">
        <w:t>;</w:t>
      </w:r>
      <w:r w:rsidRPr="00A00187">
        <w:t xml:space="preserve"> později v daném roce se </w:t>
      </w:r>
      <w:r w:rsidR="0083756A" w:rsidRPr="00A00187">
        <w:t>tedy</w:t>
      </w:r>
      <w:r w:rsidRPr="00A00187">
        <w:t xml:space="preserve"> </w:t>
      </w:r>
      <w:r w:rsidR="00DB1D3B" w:rsidRPr="00A00187">
        <w:t xml:space="preserve">čísla </w:t>
      </w:r>
      <w:r w:rsidRPr="00A00187">
        <w:t>budou mírně lišit.</w:t>
      </w:r>
    </w:p>
    <w:p w14:paraId="533B875F" w14:textId="77777777" w:rsidR="00201CB0" w:rsidRPr="00A00187" w:rsidRDefault="00201CB0" w:rsidP="00201CB0">
      <w:pPr>
        <w:pStyle w:val="OdstavecASR"/>
      </w:pPr>
      <w:r w:rsidRPr="00A00187">
        <w:t>Dále uvádíme data ohledně věku soudců.</w:t>
      </w:r>
    </w:p>
    <w:p w14:paraId="2DC539EE" w14:textId="423B3550" w:rsidR="00201CB0" w:rsidRPr="00A00187" w:rsidRDefault="00201CB0" w:rsidP="00201CB0">
      <w:pPr>
        <w:pStyle w:val="Podnadpis"/>
        <w:rPr>
          <w:color w:val="auto"/>
        </w:rPr>
      </w:pPr>
      <w:bookmarkStart w:id="573" w:name="_Toc11135110"/>
      <w:bookmarkStart w:id="574" w:name="_Toc43841429"/>
      <w:bookmarkStart w:id="575" w:name="_Toc75952233"/>
      <w:bookmarkStart w:id="576" w:name="_Toc106106689"/>
      <w:bookmarkStart w:id="577" w:name="_Toc109802013"/>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55</w:t>
      </w:r>
      <w:r w:rsidRPr="00A00187">
        <w:rPr>
          <w:noProof/>
          <w:color w:val="auto"/>
        </w:rPr>
        <w:fldChar w:fldCharType="end"/>
      </w:r>
      <w:r w:rsidRPr="00A00187">
        <w:rPr>
          <w:color w:val="auto"/>
        </w:rPr>
        <w:t>: KS – věkové složení soudců v letech 2008–20</w:t>
      </w:r>
      <w:bookmarkEnd w:id="573"/>
      <w:bookmarkEnd w:id="574"/>
      <w:r w:rsidRPr="00A00187">
        <w:rPr>
          <w:color w:val="auto"/>
        </w:rPr>
        <w:t>2</w:t>
      </w:r>
      <w:bookmarkEnd w:id="575"/>
      <w:r w:rsidRPr="00A00187">
        <w:rPr>
          <w:color w:val="auto"/>
        </w:rPr>
        <w:t>1</w:t>
      </w:r>
      <w:bookmarkEnd w:id="576"/>
      <w:bookmarkEnd w:id="577"/>
    </w:p>
    <w:p w14:paraId="63BB9EFD" w14:textId="1CB2130F" w:rsidR="00201CB0" w:rsidRPr="00A00187" w:rsidRDefault="00E3369D" w:rsidP="005127A6">
      <w:pPr>
        <w:pStyle w:val="OdstavecASR"/>
      </w:pPr>
      <w:r w:rsidRPr="00E3369D">
        <w:rPr>
          <w:noProof/>
        </w:rPr>
        <w:drawing>
          <wp:inline distT="0" distB="0" distL="0" distR="0" wp14:anchorId="51FDDBB3" wp14:editId="54FF27B3">
            <wp:extent cx="5029200" cy="3657600"/>
            <wp:effectExtent l="0" t="0" r="0"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5802B36" w14:textId="77777777" w:rsidR="00201CB0" w:rsidRPr="00A00187" w:rsidRDefault="00201CB0" w:rsidP="005127A6">
      <w:pPr>
        <w:pStyle w:val="OdstavecASR"/>
      </w:pPr>
    </w:p>
    <w:p w14:paraId="7978E793" w14:textId="02226980" w:rsidR="00201CB0" w:rsidRPr="00A00187" w:rsidRDefault="00201CB0">
      <w:pPr>
        <w:spacing w:after="160" w:line="259" w:lineRule="auto"/>
        <w:jc w:val="left"/>
      </w:pPr>
      <w:r w:rsidRPr="00A00187">
        <w:br w:type="page"/>
      </w:r>
    </w:p>
    <w:p w14:paraId="1B7764DA" w14:textId="04D825B8" w:rsidR="00201CB0" w:rsidRPr="00A00187" w:rsidRDefault="00201CB0" w:rsidP="00201CB0">
      <w:pPr>
        <w:pStyle w:val="Podnadpis"/>
        <w:rPr>
          <w:color w:val="auto"/>
        </w:rPr>
      </w:pPr>
      <w:bookmarkStart w:id="578" w:name="_Toc75952341"/>
      <w:bookmarkStart w:id="579" w:name="_Toc106106799"/>
      <w:bookmarkStart w:id="580" w:name="_Toc109802122"/>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37</w:t>
      </w:r>
      <w:r w:rsidRPr="00A00187">
        <w:rPr>
          <w:noProof/>
          <w:color w:val="auto"/>
        </w:rPr>
        <w:fldChar w:fldCharType="end"/>
      </w:r>
      <w:r w:rsidRPr="00A00187">
        <w:rPr>
          <w:color w:val="auto"/>
        </w:rPr>
        <w:t>: KS – věková struktura soudců dle krajů</w:t>
      </w:r>
      <w:bookmarkEnd w:id="578"/>
      <w:bookmarkEnd w:id="579"/>
      <w:bookmarkEnd w:id="580"/>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AC1E67" w:rsidRPr="00A00187" w14:paraId="61C03F09" w14:textId="77777777" w:rsidTr="00201CB0">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4DCA784" w14:textId="57658B9C" w:rsidR="00201CB0" w:rsidRPr="00A00187" w:rsidRDefault="000C430A" w:rsidP="00201CB0">
            <w:pPr>
              <w:spacing w:line="240" w:lineRule="auto"/>
              <w:jc w:val="center"/>
              <w:rPr>
                <w:rFonts w:eastAsia="Times New Roman"/>
                <w:b/>
                <w:bCs/>
                <w:szCs w:val="24"/>
                <w:lang w:eastAsia="cs-CZ"/>
              </w:rPr>
            </w:pPr>
            <w:r w:rsidRPr="00A00187">
              <w:rPr>
                <w:rFonts w:eastAsia="Times New Roman"/>
                <w:b/>
                <w:bCs/>
                <w:szCs w:val="24"/>
                <w:lang w:eastAsia="cs-CZ"/>
              </w:rPr>
              <w:t>S</w:t>
            </w:r>
            <w:r w:rsidR="00201CB0" w:rsidRPr="00A00187">
              <w:rPr>
                <w:rFonts w:eastAsia="Times New Roman"/>
                <w:b/>
                <w:bCs/>
                <w:szCs w:val="24"/>
                <w:lang w:eastAsia="cs-CZ"/>
              </w:rPr>
              <w:t>oud</w:t>
            </w:r>
          </w:p>
        </w:tc>
        <w:tc>
          <w:tcPr>
            <w:tcW w:w="5441" w:type="dxa"/>
            <w:gridSpan w:val="4"/>
            <w:tcBorders>
              <w:top w:val="double" w:sz="6" w:space="0" w:color="auto"/>
              <w:left w:val="nil"/>
              <w:bottom w:val="nil"/>
              <w:right w:val="nil"/>
            </w:tcBorders>
            <w:shd w:val="clear" w:color="auto" w:fill="auto"/>
            <w:noWrap/>
            <w:vAlign w:val="center"/>
            <w:hideMark/>
          </w:tcPr>
          <w:p w14:paraId="60135C13"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Podíl na celkovém počtu soudců dle věku</w:t>
            </w:r>
          </w:p>
        </w:tc>
      </w:tr>
      <w:tr w:rsidR="00AC1E67" w:rsidRPr="00A00187" w14:paraId="6935EB5E" w14:textId="77777777" w:rsidTr="00201CB0">
        <w:trPr>
          <w:trHeight w:val="330"/>
        </w:trPr>
        <w:tc>
          <w:tcPr>
            <w:tcW w:w="2480" w:type="dxa"/>
            <w:vMerge/>
            <w:tcBorders>
              <w:top w:val="double" w:sz="6" w:space="0" w:color="auto"/>
              <w:left w:val="nil"/>
              <w:bottom w:val="double" w:sz="6" w:space="0" w:color="000000"/>
              <w:right w:val="nil"/>
            </w:tcBorders>
            <w:vAlign w:val="center"/>
            <w:hideMark/>
          </w:tcPr>
          <w:p w14:paraId="273F18F5" w14:textId="77777777" w:rsidR="00201CB0" w:rsidRPr="00A00187" w:rsidRDefault="00201CB0" w:rsidP="00201CB0">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3AAD3CEE"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23074CB5"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6A1671DA"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7A1A9793" w14:textId="77777777"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61 až 70 let</w:t>
            </w:r>
          </w:p>
        </w:tc>
      </w:tr>
      <w:tr w:rsidR="00AC1E67" w:rsidRPr="00A00187" w14:paraId="3936EB74" w14:textId="77777777" w:rsidTr="00201CB0">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49376D9"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38434CC8" w14:textId="0B907942"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4,82</w:t>
            </w:r>
          </w:p>
        </w:tc>
        <w:tc>
          <w:tcPr>
            <w:tcW w:w="1355" w:type="dxa"/>
            <w:tcBorders>
              <w:top w:val="single" w:sz="4" w:space="0" w:color="auto"/>
              <w:left w:val="nil"/>
              <w:bottom w:val="single" w:sz="4" w:space="0" w:color="auto"/>
              <w:right w:val="nil"/>
            </w:tcBorders>
            <w:shd w:val="clear" w:color="auto" w:fill="auto"/>
            <w:noWrap/>
            <w:vAlign w:val="bottom"/>
            <w:hideMark/>
          </w:tcPr>
          <w:p w14:paraId="08E5685B" w14:textId="5210C958"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29,39</w:t>
            </w:r>
          </w:p>
        </w:tc>
        <w:tc>
          <w:tcPr>
            <w:tcW w:w="1355" w:type="dxa"/>
            <w:tcBorders>
              <w:top w:val="single" w:sz="4" w:space="0" w:color="auto"/>
              <w:left w:val="nil"/>
              <w:bottom w:val="single" w:sz="4" w:space="0" w:color="auto"/>
              <w:right w:val="nil"/>
            </w:tcBorders>
            <w:shd w:val="clear" w:color="auto" w:fill="auto"/>
            <w:noWrap/>
            <w:vAlign w:val="bottom"/>
            <w:hideMark/>
          </w:tcPr>
          <w:p w14:paraId="63E11A69" w14:textId="1F164402"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35,96</w:t>
            </w:r>
          </w:p>
        </w:tc>
        <w:tc>
          <w:tcPr>
            <w:tcW w:w="1355" w:type="dxa"/>
            <w:tcBorders>
              <w:top w:val="single" w:sz="4" w:space="0" w:color="auto"/>
              <w:left w:val="nil"/>
              <w:bottom w:val="single" w:sz="4" w:space="0" w:color="auto"/>
              <w:right w:val="nil"/>
            </w:tcBorders>
            <w:shd w:val="clear" w:color="auto" w:fill="auto"/>
            <w:noWrap/>
            <w:vAlign w:val="bottom"/>
            <w:hideMark/>
          </w:tcPr>
          <w:p w14:paraId="4DBF268E" w14:textId="71BC3DB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29,82</w:t>
            </w:r>
          </w:p>
        </w:tc>
      </w:tr>
      <w:tr w:rsidR="00AC1E67" w:rsidRPr="00A00187" w14:paraId="290E31C8" w14:textId="77777777" w:rsidTr="00201CB0">
        <w:trPr>
          <w:trHeight w:val="315"/>
        </w:trPr>
        <w:tc>
          <w:tcPr>
            <w:tcW w:w="2480" w:type="dxa"/>
            <w:tcBorders>
              <w:top w:val="nil"/>
              <w:left w:val="nil"/>
              <w:bottom w:val="single" w:sz="4" w:space="0" w:color="auto"/>
              <w:right w:val="nil"/>
            </w:tcBorders>
            <w:shd w:val="clear" w:color="auto" w:fill="auto"/>
            <w:noWrap/>
            <w:vAlign w:val="bottom"/>
            <w:hideMark/>
          </w:tcPr>
          <w:p w14:paraId="0AF3A121"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3F791640" w14:textId="3F8B4527"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14,43</w:t>
            </w:r>
          </w:p>
        </w:tc>
        <w:tc>
          <w:tcPr>
            <w:tcW w:w="1355" w:type="dxa"/>
            <w:tcBorders>
              <w:top w:val="nil"/>
              <w:left w:val="nil"/>
              <w:bottom w:val="single" w:sz="4" w:space="0" w:color="auto"/>
              <w:right w:val="nil"/>
            </w:tcBorders>
            <w:shd w:val="clear" w:color="auto" w:fill="auto"/>
            <w:noWrap/>
            <w:vAlign w:val="bottom"/>
            <w:hideMark/>
          </w:tcPr>
          <w:p w14:paraId="235775FC" w14:textId="676022FA"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27,84</w:t>
            </w:r>
          </w:p>
        </w:tc>
        <w:tc>
          <w:tcPr>
            <w:tcW w:w="1355" w:type="dxa"/>
            <w:tcBorders>
              <w:top w:val="nil"/>
              <w:left w:val="nil"/>
              <w:bottom w:val="single" w:sz="4" w:space="0" w:color="auto"/>
              <w:right w:val="nil"/>
            </w:tcBorders>
            <w:shd w:val="clear" w:color="auto" w:fill="auto"/>
            <w:noWrap/>
            <w:vAlign w:val="bottom"/>
            <w:hideMark/>
          </w:tcPr>
          <w:p w14:paraId="6D560B20" w14:textId="776BB558"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37,11</w:t>
            </w:r>
          </w:p>
        </w:tc>
        <w:tc>
          <w:tcPr>
            <w:tcW w:w="1355" w:type="dxa"/>
            <w:tcBorders>
              <w:top w:val="nil"/>
              <w:left w:val="nil"/>
              <w:bottom w:val="single" w:sz="4" w:space="0" w:color="auto"/>
              <w:right w:val="nil"/>
            </w:tcBorders>
            <w:shd w:val="clear" w:color="auto" w:fill="auto"/>
            <w:noWrap/>
            <w:vAlign w:val="bottom"/>
            <w:hideMark/>
          </w:tcPr>
          <w:p w14:paraId="18F5CEE0" w14:textId="2B7B64A1"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20,62</w:t>
            </w:r>
          </w:p>
        </w:tc>
      </w:tr>
      <w:tr w:rsidR="00AC1E67" w:rsidRPr="00A00187" w14:paraId="6E1756BE" w14:textId="77777777" w:rsidTr="00201CB0">
        <w:trPr>
          <w:trHeight w:val="315"/>
        </w:trPr>
        <w:tc>
          <w:tcPr>
            <w:tcW w:w="2480" w:type="dxa"/>
            <w:tcBorders>
              <w:top w:val="nil"/>
              <w:left w:val="nil"/>
              <w:bottom w:val="single" w:sz="4" w:space="0" w:color="auto"/>
              <w:right w:val="nil"/>
            </w:tcBorders>
            <w:shd w:val="clear" w:color="auto" w:fill="auto"/>
            <w:noWrap/>
            <w:vAlign w:val="bottom"/>
            <w:hideMark/>
          </w:tcPr>
          <w:p w14:paraId="2098874C"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168B2695" w14:textId="485D779C"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10,53</w:t>
            </w:r>
          </w:p>
        </w:tc>
        <w:tc>
          <w:tcPr>
            <w:tcW w:w="1355" w:type="dxa"/>
            <w:tcBorders>
              <w:top w:val="nil"/>
              <w:left w:val="nil"/>
              <w:bottom w:val="single" w:sz="4" w:space="0" w:color="auto"/>
              <w:right w:val="nil"/>
            </w:tcBorders>
            <w:shd w:val="clear" w:color="auto" w:fill="auto"/>
            <w:noWrap/>
            <w:vAlign w:val="bottom"/>
            <w:hideMark/>
          </w:tcPr>
          <w:p w14:paraId="7353EFE7" w14:textId="71514936"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29,82</w:t>
            </w:r>
          </w:p>
        </w:tc>
        <w:tc>
          <w:tcPr>
            <w:tcW w:w="1355" w:type="dxa"/>
            <w:tcBorders>
              <w:top w:val="nil"/>
              <w:left w:val="nil"/>
              <w:bottom w:val="single" w:sz="4" w:space="0" w:color="auto"/>
              <w:right w:val="nil"/>
            </w:tcBorders>
            <w:shd w:val="clear" w:color="auto" w:fill="auto"/>
            <w:noWrap/>
            <w:vAlign w:val="bottom"/>
            <w:hideMark/>
          </w:tcPr>
          <w:p w14:paraId="76275F96" w14:textId="02761E64"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33,33</w:t>
            </w:r>
          </w:p>
        </w:tc>
        <w:tc>
          <w:tcPr>
            <w:tcW w:w="1355" w:type="dxa"/>
            <w:tcBorders>
              <w:top w:val="nil"/>
              <w:left w:val="nil"/>
              <w:bottom w:val="single" w:sz="4" w:space="0" w:color="auto"/>
              <w:right w:val="nil"/>
            </w:tcBorders>
            <w:shd w:val="clear" w:color="auto" w:fill="auto"/>
            <w:noWrap/>
            <w:vAlign w:val="bottom"/>
            <w:hideMark/>
          </w:tcPr>
          <w:p w14:paraId="5F8AE245" w14:textId="13490656"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26,32</w:t>
            </w:r>
          </w:p>
        </w:tc>
      </w:tr>
      <w:tr w:rsidR="00AC1E67" w:rsidRPr="00A00187" w14:paraId="76D94516" w14:textId="77777777" w:rsidTr="00201CB0">
        <w:trPr>
          <w:trHeight w:val="315"/>
        </w:trPr>
        <w:tc>
          <w:tcPr>
            <w:tcW w:w="2480" w:type="dxa"/>
            <w:tcBorders>
              <w:top w:val="nil"/>
              <w:left w:val="nil"/>
              <w:bottom w:val="single" w:sz="4" w:space="0" w:color="auto"/>
              <w:right w:val="nil"/>
            </w:tcBorders>
            <w:shd w:val="clear" w:color="auto" w:fill="auto"/>
            <w:noWrap/>
            <w:vAlign w:val="bottom"/>
            <w:hideMark/>
          </w:tcPr>
          <w:p w14:paraId="1067A386"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72F8FFC1" w14:textId="46CEC44D"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5,00</w:t>
            </w:r>
          </w:p>
        </w:tc>
        <w:tc>
          <w:tcPr>
            <w:tcW w:w="1355" w:type="dxa"/>
            <w:tcBorders>
              <w:top w:val="nil"/>
              <w:left w:val="nil"/>
              <w:bottom w:val="single" w:sz="4" w:space="0" w:color="auto"/>
              <w:right w:val="nil"/>
            </w:tcBorders>
            <w:shd w:val="clear" w:color="auto" w:fill="auto"/>
            <w:noWrap/>
            <w:vAlign w:val="bottom"/>
            <w:hideMark/>
          </w:tcPr>
          <w:p w14:paraId="5578722B" w14:textId="0C9D9A0C"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33,75</w:t>
            </w:r>
          </w:p>
        </w:tc>
        <w:tc>
          <w:tcPr>
            <w:tcW w:w="1355" w:type="dxa"/>
            <w:tcBorders>
              <w:top w:val="nil"/>
              <w:left w:val="nil"/>
              <w:bottom w:val="single" w:sz="4" w:space="0" w:color="auto"/>
              <w:right w:val="nil"/>
            </w:tcBorders>
            <w:shd w:val="clear" w:color="auto" w:fill="auto"/>
            <w:noWrap/>
            <w:vAlign w:val="bottom"/>
            <w:hideMark/>
          </w:tcPr>
          <w:p w14:paraId="08C0BA8F" w14:textId="418F4FD3"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32,50</w:t>
            </w:r>
          </w:p>
        </w:tc>
        <w:tc>
          <w:tcPr>
            <w:tcW w:w="1355" w:type="dxa"/>
            <w:tcBorders>
              <w:top w:val="nil"/>
              <w:left w:val="nil"/>
              <w:bottom w:val="single" w:sz="4" w:space="0" w:color="auto"/>
              <w:right w:val="nil"/>
            </w:tcBorders>
            <w:shd w:val="clear" w:color="auto" w:fill="auto"/>
            <w:noWrap/>
            <w:vAlign w:val="bottom"/>
            <w:hideMark/>
          </w:tcPr>
          <w:p w14:paraId="64C1B8BE" w14:textId="4B7697E0"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28,75</w:t>
            </w:r>
          </w:p>
        </w:tc>
      </w:tr>
      <w:tr w:rsidR="00AC1E67" w:rsidRPr="00A00187" w14:paraId="610B7DE3" w14:textId="77777777" w:rsidTr="00201CB0">
        <w:trPr>
          <w:trHeight w:val="315"/>
        </w:trPr>
        <w:tc>
          <w:tcPr>
            <w:tcW w:w="2480" w:type="dxa"/>
            <w:tcBorders>
              <w:top w:val="nil"/>
              <w:left w:val="nil"/>
              <w:bottom w:val="single" w:sz="4" w:space="0" w:color="auto"/>
              <w:right w:val="nil"/>
            </w:tcBorders>
            <w:shd w:val="clear" w:color="auto" w:fill="auto"/>
            <w:noWrap/>
            <w:vAlign w:val="bottom"/>
            <w:hideMark/>
          </w:tcPr>
          <w:p w14:paraId="083C44B2"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0B242321" w14:textId="584B5C8B"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6,84</w:t>
            </w:r>
          </w:p>
        </w:tc>
        <w:tc>
          <w:tcPr>
            <w:tcW w:w="1355" w:type="dxa"/>
            <w:tcBorders>
              <w:top w:val="nil"/>
              <w:left w:val="nil"/>
              <w:bottom w:val="single" w:sz="4" w:space="0" w:color="auto"/>
              <w:right w:val="nil"/>
            </w:tcBorders>
            <w:shd w:val="clear" w:color="auto" w:fill="auto"/>
            <w:noWrap/>
            <w:vAlign w:val="bottom"/>
            <w:hideMark/>
          </w:tcPr>
          <w:p w14:paraId="046460E4" w14:textId="130FC696"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51,28</w:t>
            </w:r>
          </w:p>
        </w:tc>
        <w:tc>
          <w:tcPr>
            <w:tcW w:w="1355" w:type="dxa"/>
            <w:tcBorders>
              <w:top w:val="nil"/>
              <w:left w:val="nil"/>
              <w:bottom w:val="single" w:sz="4" w:space="0" w:color="auto"/>
              <w:right w:val="nil"/>
            </w:tcBorders>
            <w:shd w:val="clear" w:color="auto" w:fill="auto"/>
            <w:noWrap/>
            <w:vAlign w:val="bottom"/>
            <w:hideMark/>
          </w:tcPr>
          <w:p w14:paraId="19E5AB46" w14:textId="06FB41FA"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29,06</w:t>
            </w:r>
          </w:p>
        </w:tc>
        <w:tc>
          <w:tcPr>
            <w:tcW w:w="1355" w:type="dxa"/>
            <w:tcBorders>
              <w:top w:val="nil"/>
              <w:left w:val="nil"/>
              <w:bottom w:val="single" w:sz="4" w:space="0" w:color="auto"/>
              <w:right w:val="nil"/>
            </w:tcBorders>
            <w:shd w:val="clear" w:color="auto" w:fill="auto"/>
            <w:noWrap/>
            <w:vAlign w:val="bottom"/>
            <w:hideMark/>
          </w:tcPr>
          <w:p w14:paraId="1AE868DC" w14:textId="65FED53B"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12,82</w:t>
            </w:r>
          </w:p>
        </w:tc>
      </w:tr>
      <w:tr w:rsidR="00AC1E67" w:rsidRPr="00A00187" w14:paraId="7F0B42D4" w14:textId="77777777" w:rsidTr="00201CB0">
        <w:trPr>
          <w:trHeight w:val="315"/>
        </w:trPr>
        <w:tc>
          <w:tcPr>
            <w:tcW w:w="2480" w:type="dxa"/>
            <w:tcBorders>
              <w:top w:val="nil"/>
              <w:left w:val="nil"/>
              <w:bottom w:val="single" w:sz="4" w:space="0" w:color="auto"/>
              <w:right w:val="nil"/>
            </w:tcBorders>
            <w:shd w:val="clear" w:color="auto" w:fill="auto"/>
            <w:noWrap/>
            <w:vAlign w:val="bottom"/>
            <w:hideMark/>
          </w:tcPr>
          <w:p w14:paraId="10E94FA0"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61A05EA7" w14:textId="4FD3BF3C"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6,17</w:t>
            </w:r>
          </w:p>
        </w:tc>
        <w:tc>
          <w:tcPr>
            <w:tcW w:w="1355" w:type="dxa"/>
            <w:tcBorders>
              <w:top w:val="nil"/>
              <w:left w:val="nil"/>
              <w:bottom w:val="single" w:sz="4" w:space="0" w:color="auto"/>
              <w:right w:val="nil"/>
            </w:tcBorders>
            <w:shd w:val="clear" w:color="auto" w:fill="auto"/>
            <w:noWrap/>
            <w:vAlign w:val="bottom"/>
            <w:hideMark/>
          </w:tcPr>
          <w:p w14:paraId="605C08FA" w14:textId="352DAF43"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25,93</w:t>
            </w:r>
          </w:p>
        </w:tc>
        <w:tc>
          <w:tcPr>
            <w:tcW w:w="1355" w:type="dxa"/>
            <w:tcBorders>
              <w:top w:val="nil"/>
              <w:left w:val="nil"/>
              <w:bottom w:val="single" w:sz="4" w:space="0" w:color="auto"/>
              <w:right w:val="nil"/>
            </w:tcBorders>
            <w:shd w:val="clear" w:color="auto" w:fill="auto"/>
            <w:noWrap/>
            <w:vAlign w:val="bottom"/>
            <w:hideMark/>
          </w:tcPr>
          <w:p w14:paraId="45D156A1" w14:textId="64A42D80"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41,98</w:t>
            </w:r>
          </w:p>
        </w:tc>
        <w:tc>
          <w:tcPr>
            <w:tcW w:w="1355" w:type="dxa"/>
            <w:tcBorders>
              <w:top w:val="nil"/>
              <w:left w:val="nil"/>
              <w:bottom w:val="single" w:sz="4" w:space="0" w:color="auto"/>
              <w:right w:val="nil"/>
            </w:tcBorders>
            <w:shd w:val="clear" w:color="auto" w:fill="auto"/>
            <w:noWrap/>
            <w:vAlign w:val="bottom"/>
            <w:hideMark/>
          </w:tcPr>
          <w:p w14:paraId="0AF54957" w14:textId="0873E596"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25,93</w:t>
            </w:r>
          </w:p>
        </w:tc>
      </w:tr>
      <w:tr w:rsidR="00AC1E67" w:rsidRPr="00A00187" w14:paraId="0AE8C7F0" w14:textId="77777777" w:rsidTr="00201CB0">
        <w:trPr>
          <w:trHeight w:val="315"/>
        </w:trPr>
        <w:tc>
          <w:tcPr>
            <w:tcW w:w="2480" w:type="dxa"/>
            <w:tcBorders>
              <w:top w:val="nil"/>
              <w:left w:val="nil"/>
              <w:bottom w:val="single" w:sz="4" w:space="0" w:color="auto"/>
              <w:right w:val="nil"/>
            </w:tcBorders>
            <w:shd w:val="clear" w:color="auto" w:fill="auto"/>
            <w:noWrap/>
            <w:vAlign w:val="bottom"/>
            <w:hideMark/>
          </w:tcPr>
          <w:p w14:paraId="6E0FB001"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6AE01344" w14:textId="3D04E9C9"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6,25</w:t>
            </w:r>
          </w:p>
        </w:tc>
        <w:tc>
          <w:tcPr>
            <w:tcW w:w="1355" w:type="dxa"/>
            <w:tcBorders>
              <w:top w:val="nil"/>
              <w:left w:val="nil"/>
              <w:bottom w:val="single" w:sz="4" w:space="0" w:color="auto"/>
              <w:right w:val="nil"/>
            </w:tcBorders>
            <w:shd w:val="clear" w:color="auto" w:fill="auto"/>
            <w:noWrap/>
            <w:vAlign w:val="bottom"/>
            <w:hideMark/>
          </w:tcPr>
          <w:p w14:paraId="3150101D" w14:textId="387469E0"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34,38</w:t>
            </w:r>
          </w:p>
        </w:tc>
        <w:tc>
          <w:tcPr>
            <w:tcW w:w="1355" w:type="dxa"/>
            <w:tcBorders>
              <w:top w:val="nil"/>
              <w:left w:val="nil"/>
              <w:bottom w:val="single" w:sz="4" w:space="0" w:color="auto"/>
              <w:right w:val="nil"/>
            </w:tcBorders>
            <w:shd w:val="clear" w:color="auto" w:fill="auto"/>
            <w:noWrap/>
            <w:vAlign w:val="bottom"/>
            <w:hideMark/>
          </w:tcPr>
          <w:p w14:paraId="6786FE7A" w14:textId="76DCD7DC"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38,13</w:t>
            </w:r>
          </w:p>
        </w:tc>
        <w:tc>
          <w:tcPr>
            <w:tcW w:w="1355" w:type="dxa"/>
            <w:tcBorders>
              <w:top w:val="nil"/>
              <w:left w:val="nil"/>
              <w:bottom w:val="single" w:sz="4" w:space="0" w:color="auto"/>
              <w:right w:val="nil"/>
            </w:tcBorders>
            <w:shd w:val="clear" w:color="auto" w:fill="auto"/>
            <w:noWrap/>
            <w:vAlign w:val="bottom"/>
            <w:hideMark/>
          </w:tcPr>
          <w:p w14:paraId="40DD7546" w14:textId="1466E7CB"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21,25</w:t>
            </w:r>
          </w:p>
        </w:tc>
      </w:tr>
      <w:tr w:rsidR="00AC1E67" w:rsidRPr="00A00187" w14:paraId="7475954F" w14:textId="77777777" w:rsidTr="00201CB0">
        <w:trPr>
          <w:trHeight w:val="330"/>
        </w:trPr>
        <w:tc>
          <w:tcPr>
            <w:tcW w:w="2480" w:type="dxa"/>
            <w:tcBorders>
              <w:top w:val="nil"/>
              <w:left w:val="nil"/>
              <w:bottom w:val="double" w:sz="6" w:space="0" w:color="auto"/>
              <w:right w:val="nil"/>
            </w:tcBorders>
            <w:shd w:val="clear" w:color="auto" w:fill="auto"/>
            <w:noWrap/>
            <w:vAlign w:val="bottom"/>
            <w:hideMark/>
          </w:tcPr>
          <w:p w14:paraId="1F4AFCEF" w14:textId="77777777" w:rsidR="00201CB0" w:rsidRPr="00A00187" w:rsidRDefault="00201CB0" w:rsidP="00201CB0">
            <w:pPr>
              <w:spacing w:line="240" w:lineRule="auto"/>
              <w:jc w:val="left"/>
              <w:rPr>
                <w:rFonts w:eastAsia="Times New Roman"/>
                <w:szCs w:val="24"/>
                <w:lang w:eastAsia="cs-CZ"/>
              </w:rPr>
            </w:pPr>
            <w:r w:rsidRPr="00A00187">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1AD61FE3" w14:textId="360C25C0"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3,55</w:t>
            </w:r>
          </w:p>
        </w:tc>
        <w:tc>
          <w:tcPr>
            <w:tcW w:w="1355" w:type="dxa"/>
            <w:tcBorders>
              <w:top w:val="nil"/>
              <w:left w:val="nil"/>
              <w:bottom w:val="double" w:sz="6" w:space="0" w:color="auto"/>
              <w:right w:val="nil"/>
            </w:tcBorders>
            <w:shd w:val="clear" w:color="auto" w:fill="auto"/>
            <w:noWrap/>
            <w:vAlign w:val="bottom"/>
            <w:hideMark/>
          </w:tcPr>
          <w:p w14:paraId="239210BF" w14:textId="295A1B28"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43,26</w:t>
            </w:r>
          </w:p>
        </w:tc>
        <w:tc>
          <w:tcPr>
            <w:tcW w:w="1355" w:type="dxa"/>
            <w:tcBorders>
              <w:top w:val="nil"/>
              <w:left w:val="nil"/>
              <w:bottom w:val="double" w:sz="6" w:space="0" w:color="auto"/>
              <w:right w:val="nil"/>
            </w:tcBorders>
            <w:shd w:val="clear" w:color="auto" w:fill="auto"/>
            <w:noWrap/>
            <w:vAlign w:val="bottom"/>
            <w:hideMark/>
          </w:tcPr>
          <w:p w14:paraId="35993B97" w14:textId="5EEB621B"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37,59</w:t>
            </w:r>
          </w:p>
        </w:tc>
        <w:tc>
          <w:tcPr>
            <w:tcW w:w="1355" w:type="dxa"/>
            <w:tcBorders>
              <w:top w:val="nil"/>
              <w:left w:val="nil"/>
              <w:bottom w:val="double" w:sz="6" w:space="0" w:color="auto"/>
              <w:right w:val="nil"/>
            </w:tcBorders>
            <w:shd w:val="clear" w:color="auto" w:fill="auto"/>
            <w:noWrap/>
            <w:vAlign w:val="bottom"/>
            <w:hideMark/>
          </w:tcPr>
          <w:p w14:paraId="528FDF47" w14:textId="60BE25ED" w:rsidR="00201CB0" w:rsidRPr="00A00187" w:rsidRDefault="00201CB0" w:rsidP="00201CB0">
            <w:pPr>
              <w:spacing w:line="240" w:lineRule="auto"/>
              <w:jc w:val="center"/>
              <w:rPr>
                <w:rFonts w:eastAsia="Times New Roman"/>
                <w:szCs w:val="24"/>
                <w:lang w:eastAsia="cs-CZ"/>
              </w:rPr>
            </w:pPr>
            <w:r w:rsidRPr="00A00187">
              <w:rPr>
                <w:rFonts w:eastAsia="Times New Roman"/>
                <w:szCs w:val="24"/>
                <w:lang w:eastAsia="cs-CZ"/>
              </w:rPr>
              <w:t>15,60</w:t>
            </w:r>
          </w:p>
        </w:tc>
      </w:tr>
      <w:tr w:rsidR="00AC1E67" w:rsidRPr="00A00187" w14:paraId="2F9B116F" w14:textId="77777777" w:rsidTr="00201CB0">
        <w:trPr>
          <w:trHeight w:val="345"/>
        </w:trPr>
        <w:tc>
          <w:tcPr>
            <w:tcW w:w="2480" w:type="dxa"/>
            <w:tcBorders>
              <w:top w:val="nil"/>
              <w:left w:val="nil"/>
              <w:bottom w:val="double" w:sz="6" w:space="0" w:color="auto"/>
              <w:right w:val="nil"/>
            </w:tcBorders>
            <w:shd w:val="clear" w:color="auto" w:fill="auto"/>
            <w:noWrap/>
            <w:vAlign w:val="bottom"/>
            <w:hideMark/>
          </w:tcPr>
          <w:p w14:paraId="5DEDF4D4" w14:textId="77777777" w:rsidR="00201CB0" w:rsidRPr="00A00187" w:rsidRDefault="00201CB0" w:rsidP="00201CB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0CD6500C" w14:textId="1F87ECAF"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6,56</w:t>
            </w:r>
          </w:p>
        </w:tc>
        <w:tc>
          <w:tcPr>
            <w:tcW w:w="1355" w:type="dxa"/>
            <w:tcBorders>
              <w:top w:val="nil"/>
              <w:left w:val="nil"/>
              <w:bottom w:val="double" w:sz="6" w:space="0" w:color="auto"/>
              <w:right w:val="nil"/>
            </w:tcBorders>
            <w:shd w:val="clear" w:color="auto" w:fill="auto"/>
            <w:noWrap/>
            <w:vAlign w:val="bottom"/>
            <w:hideMark/>
          </w:tcPr>
          <w:p w14:paraId="14C98679" w14:textId="702114B3"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34,86</w:t>
            </w:r>
          </w:p>
        </w:tc>
        <w:tc>
          <w:tcPr>
            <w:tcW w:w="1355" w:type="dxa"/>
            <w:tcBorders>
              <w:top w:val="nil"/>
              <w:left w:val="nil"/>
              <w:bottom w:val="double" w:sz="6" w:space="0" w:color="auto"/>
              <w:right w:val="nil"/>
            </w:tcBorders>
            <w:shd w:val="clear" w:color="auto" w:fill="auto"/>
            <w:noWrap/>
            <w:vAlign w:val="bottom"/>
            <w:hideMark/>
          </w:tcPr>
          <w:p w14:paraId="12388695" w14:textId="4276D15F"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35,90</w:t>
            </w:r>
          </w:p>
        </w:tc>
        <w:tc>
          <w:tcPr>
            <w:tcW w:w="1355" w:type="dxa"/>
            <w:tcBorders>
              <w:top w:val="nil"/>
              <w:left w:val="nil"/>
              <w:bottom w:val="double" w:sz="6" w:space="0" w:color="auto"/>
              <w:right w:val="nil"/>
            </w:tcBorders>
            <w:shd w:val="clear" w:color="auto" w:fill="auto"/>
            <w:noWrap/>
            <w:vAlign w:val="bottom"/>
            <w:hideMark/>
          </w:tcPr>
          <w:p w14:paraId="1D8FC591" w14:textId="50873CF6" w:rsidR="00201CB0" w:rsidRPr="00A00187" w:rsidRDefault="00201CB0" w:rsidP="00201CB0">
            <w:pPr>
              <w:spacing w:line="240" w:lineRule="auto"/>
              <w:jc w:val="center"/>
              <w:rPr>
                <w:rFonts w:eastAsia="Times New Roman"/>
                <w:b/>
                <w:bCs/>
                <w:szCs w:val="24"/>
                <w:lang w:eastAsia="cs-CZ"/>
              </w:rPr>
            </w:pPr>
            <w:r w:rsidRPr="00A00187">
              <w:rPr>
                <w:rFonts w:eastAsia="Times New Roman"/>
                <w:b/>
                <w:bCs/>
                <w:szCs w:val="24"/>
                <w:lang w:eastAsia="cs-CZ"/>
              </w:rPr>
              <w:t>22,68</w:t>
            </w:r>
          </w:p>
        </w:tc>
      </w:tr>
      <w:tr w:rsidR="00AC1E67" w:rsidRPr="00A00187" w14:paraId="379C18F2" w14:textId="77777777" w:rsidTr="00201CB0">
        <w:trPr>
          <w:trHeight w:val="330"/>
        </w:trPr>
        <w:tc>
          <w:tcPr>
            <w:tcW w:w="2480" w:type="dxa"/>
            <w:tcBorders>
              <w:top w:val="nil"/>
              <w:left w:val="nil"/>
              <w:bottom w:val="nil"/>
              <w:right w:val="nil"/>
            </w:tcBorders>
            <w:shd w:val="clear" w:color="auto" w:fill="auto"/>
            <w:noWrap/>
            <w:vAlign w:val="bottom"/>
            <w:hideMark/>
          </w:tcPr>
          <w:p w14:paraId="6AF8AD48" w14:textId="77777777" w:rsidR="00201CB0" w:rsidRPr="00A00187" w:rsidRDefault="00201CB0" w:rsidP="00201CB0">
            <w:pPr>
              <w:spacing w:line="240" w:lineRule="auto"/>
              <w:jc w:val="center"/>
              <w:rPr>
                <w:rFonts w:eastAsia="Times New Roman"/>
                <w:b/>
                <w:bCs/>
                <w:szCs w:val="24"/>
                <w:lang w:eastAsia="cs-CZ"/>
              </w:rPr>
            </w:pPr>
          </w:p>
        </w:tc>
        <w:tc>
          <w:tcPr>
            <w:tcW w:w="1376" w:type="dxa"/>
            <w:tcBorders>
              <w:top w:val="nil"/>
              <w:left w:val="nil"/>
              <w:bottom w:val="nil"/>
              <w:right w:val="nil"/>
            </w:tcBorders>
            <w:shd w:val="clear" w:color="auto" w:fill="auto"/>
            <w:noWrap/>
            <w:vAlign w:val="bottom"/>
            <w:hideMark/>
          </w:tcPr>
          <w:p w14:paraId="611C9AD1"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355" w:type="dxa"/>
            <w:tcBorders>
              <w:top w:val="nil"/>
              <w:left w:val="nil"/>
              <w:bottom w:val="nil"/>
              <w:right w:val="nil"/>
            </w:tcBorders>
            <w:shd w:val="clear" w:color="auto" w:fill="auto"/>
            <w:noWrap/>
            <w:vAlign w:val="bottom"/>
            <w:hideMark/>
          </w:tcPr>
          <w:p w14:paraId="216C20EA"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355" w:type="dxa"/>
            <w:tcBorders>
              <w:top w:val="nil"/>
              <w:left w:val="nil"/>
              <w:bottom w:val="nil"/>
              <w:right w:val="nil"/>
            </w:tcBorders>
            <w:shd w:val="clear" w:color="auto" w:fill="auto"/>
            <w:noWrap/>
            <w:vAlign w:val="bottom"/>
            <w:hideMark/>
          </w:tcPr>
          <w:p w14:paraId="4C377471"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c>
          <w:tcPr>
            <w:tcW w:w="1355" w:type="dxa"/>
            <w:tcBorders>
              <w:top w:val="nil"/>
              <w:left w:val="nil"/>
              <w:bottom w:val="nil"/>
              <w:right w:val="nil"/>
            </w:tcBorders>
            <w:shd w:val="clear" w:color="auto" w:fill="auto"/>
            <w:noWrap/>
            <w:vAlign w:val="bottom"/>
            <w:hideMark/>
          </w:tcPr>
          <w:p w14:paraId="067AFF2D" w14:textId="77777777" w:rsidR="00201CB0" w:rsidRPr="00A00187" w:rsidRDefault="00201CB0" w:rsidP="00201CB0">
            <w:pPr>
              <w:spacing w:line="240" w:lineRule="auto"/>
              <w:jc w:val="left"/>
              <w:rPr>
                <w:rFonts w:ascii="Times New Roman" w:eastAsia="Times New Roman" w:hAnsi="Times New Roman"/>
                <w:sz w:val="20"/>
                <w:szCs w:val="20"/>
                <w:lang w:eastAsia="cs-CZ"/>
              </w:rPr>
            </w:pPr>
          </w:p>
        </w:tc>
      </w:tr>
    </w:tbl>
    <w:p w14:paraId="752CAFF6" w14:textId="77777777" w:rsidR="00201CB0" w:rsidRPr="00A00187" w:rsidRDefault="00201CB0" w:rsidP="00201CB0">
      <w:pPr>
        <w:pStyle w:val="OdstavecASR"/>
      </w:pPr>
      <w:r w:rsidRPr="00A00187">
        <w:t>Z těchto dat můžeme vyvodit následující závěry:</w:t>
      </w:r>
    </w:p>
    <w:p w14:paraId="4E6771FE" w14:textId="77777777" w:rsidR="00201CB0" w:rsidRPr="00A00187" w:rsidRDefault="00201CB0" w:rsidP="00201CB0">
      <w:pPr>
        <w:pStyle w:val="OdstavecASR"/>
        <w:numPr>
          <w:ilvl w:val="0"/>
          <w:numId w:val="15"/>
        </w:numPr>
      </w:pPr>
      <w:r w:rsidRPr="00A00187">
        <w:t>Soudci u krajských soudů jsou v průměru výrazně starší než soudci u soudů okresních. To je logické, protože to plyne z kariérního postupu soudců. V naprosté většině jsou noví soudci jmenováni na okresní soudy. Někteří tam zůstanou, jiní jsou přeloženi ke krajským soudům (a později případně i k VS, NS nebo NSS). Mezi jmenováním a přeložením samozřejmě většinou uplyne několik let.</w:t>
      </w:r>
    </w:p>
    <w:p w14:paraId="718D0067" w14:textId="77777777" w:rsidR="00201CB0" w:rsidRPr="00A00187" w:rsidRDefault="00201CB0" w:rsidP="00201CB0">
      <w:pPr>
        <w:pStyle w:val="OdstavecASR"/>
        <w:numPr>
          <w:ilvl w:val="0"/>
          <w:numId w:val="15"/>
        </w:numPr>
      </w:pPr>
      <w:r w:rsidRPr="00A00187">
        <w:t>K dispozici nejsou detailní údaje o věku soudců, takže nelze přesně říct, kde jsou soudci nejmladší. Dle podílů jednotlivých skupin se ale zdá, že nejmladší soudci jsou v průměru u KS v Ústí nad Labem či KS v Praze, kde v roce 2020 došlo k výraznému omlazení, a nejstarší pravděpodobně u MS v Praze.</w:t>
      </w:r>
    </w:p>
    <w:p w14:paraId="4955552C" w14:textId="027D1BF0" w:rsidR="00201CB0" w:rsidRPr="00A00187" w:rsidRDefault="00201CB0" w:rsidP="00201CB0">
      <w:pPr>
        <w:pStyle w:val="OdstavecASR"/>
        <w:numPr>
          <w:ilvl w:val="0"/>
          <w:numId w:val="15"/>
        </w:numPr>
      </w:pPr>
      <w:r w:rsidRPr="00A00187">
        <w:t>I u KS se věk soudců postupně zvyšoval až do roku 2018, přičemž počet soudců v nejvyšší věkové kategorii zůstával v podstatě stabilní. V</w:t>
      </w:r>
      <w:r w:rsidR="00D52D86" w:rsidRPr="00A00187">
        <w:t> posledních letech pak již nedošlo prakticky k žádným změnám</w:t>
      </w:r>
      <w:r w:rsidRPr="00A00187">
        <w:t>. Důvody pro zvyšování věkového průměru jsou obdobné, plynou především ze zvyšování evidenčního počtu soudců před rokem 2006 a ze zvyšování průměrného věku jmenovaných soudců. Pokud jsou u okresních soudů v průměru starší soudci, budou logicky ke krajským soudům také překládáni starší soudci.</w:t>
      </w:r>
    </w:p>
    <w:p w14:paraId="5F3987F9" w14:textId="776022F7" w:rsidR="00CB570A" w:rsidRDefault="00D52D86" w:rsidP="00D52D86">
      <w:pPr>
        <w:pStyle w:val="OdstavecASR"/>
      </w:pPr>
      <w:r w:rsidRPr="00A00187">
        <w:t xml:space="preserve">Stejně jako u okresních soudů je na konci této části uvedeno srovnání evidenčního a plánovaného počtu za posledních </w:t>
      </w:r>
      <w:r w:rsidR="0083756A" w:rsidRPr="00A00187">
        <w:t>7</w:t>
      </w:r>
      <w:r w:rsidRPr="00A00187">
        <w:t> let. V tabulce opět vidíme, že zcela všechny krajské soudy dlouhodobě „dotují“ soudy okresní. Největší podstav má KS Praha (13</w:t>
      </w:r>
      <w:r w:rsidR="00CB570A">
        <w:t> %</w:t>
      </w:r>
      <w:r w:rsidRPr="00A00187">
        <w:t>), nejmenší KS Brno (1</w:t>
      </w:r>
      <w:r w:rsidR="00CB570A">
        <w:t> %</w:t>
      </w:r>
      <w:r w:rsidRPr="00A00187">
        <w:t xml:space="preserve">). </w:t>
      </w:r>
      <w:r w:rsidR="00A166EF" w:rsidRPr="00A00187">
        <w:br/>
        <w:t xml:space="preserve">Stejně jako </w:t>
      </w:r>
      <w:r w:rsidR="00755920" w:rsidRPr="00A00187">
        <w:t>u</w:t>
      </w:r>
      <w:r w:rsidR="00755920">
        <w:t> </w:t>
      </w:r>
      <w:r w:rsidR="00A166EF" w:rsidRPr="00A00187">
        <w:t xml:space="preserve">okresních soudů se do statistiky značně promítl rok 2021, neboť došlo k poklesu plánovaného počtu soudců, ale ne k poklesu evidenčního počtu soudců. Dlouhodobý podstav se tedy </w:t>
      </w:r>
      <w:r w:rsidR="00755920" w:rsidRPr="00A00187">
        <w:t>u</w:t>
      </w:r>
      <w:r w:rsidR="00755920">
        <w:t> </w:t>
      </w:r>
      <w:r w:rsidR="00A166EF" w:rsidRPr="00A00187">
        <w:t>všech soudů zmenšil.</w:t>
      </w:r>
    </w:p>
    <w:p w14:paraId="14A57013" w14:textId="2A8F86F7" w:rsidR="00D52D86" w:rsidRPr="00A00187" w:rsidRDefault="00D52D86">
      <w:pPr>
        <w:spacing w:after="160" w:line="259" w:lineRule="auto"/>
        <w:jc w:val="left"/>
      </w:pPr>
      <w:r w:rsidRPr="00A00187">
        <w:br w:type="page"/>
      </w:r>
    </w:p>
    <w:p w14:paraId="75DD4457" w14:textId="0DB5ADB6" w:rsidR="00D52D86" w:rsidRPr="00A00187" w:rsidRDefault="00D52D86" w:rsidP="00D52D86">
      <w:pPr>
        <w:pStyle w:val="Podnadpis"/>
        <w:rPr>
          <w:color w:val="auto"/>
        </w:rPr>
      </w:pPr>
      <w:bookmarkStart w:id="581" w:name="_Toc75952342"/>
      <w:bookmarkStart w:id="582" w:name="_Toc106106800"/>
      <w:bookmarkStart w:id="583" w:name="_Toc109802123"/>
      <w:r w:rsidRPr="00A00187">
        <w:rPr>
          <w:color w:val="auto"/>
        </w:rPr>
        <w:lastRenderedPageBreak/>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38</w:t>
      </w:r>
      <w:r w:rsidRPr="00A00187">
        <w:rPr>
          <w:noProof/>
          <w:color w:val="auto"/>
        </w:rPr>
        <w:fldChar w:fldCharType="end"/>
      </w:r>
      <w:r w:rsidRPr="00A00187">
        <w:rPr>
          <w:color w:val="auto"/>
        </w:rPr>
        <w:t>: KS – srovnání evidenčního a plánovaného počtu soudců za 7 let</w:t>
      </w:r>
      <w:bookmarkEnd w:id="581"/>
      <w:bookmarkEnd w:id="582"/>
      <w:bookmarkEnd w:id="583"/>
    </w:p>
    <w:tbl>
      <w:tblPr>
        <w:tblW w:w="7920" w:type="dxa"/>
        <w:tblCellMar>
          <w:left w:w="70" w:type="dxa"/>
          <w:right w:w="70" w:type="dxa"/>
        </w:tblCellMar>
        <w:tblLook w:val="04A0" w:firstRow="1" w:lastRow="0" w:firstColumn="1" w:lastColumn="0" w:noHBand="0" w:noVBand="1"/>
      </w:tblPr>
      <w:tblGrid>
        <w:gridCol w:w="2236"/>
        <w:gridCol w:w="1506"/>
        <w:gridCol w:w="1750"/>
        <w:gridCol w:w="2428"/>
      </w:tblGrid>
      <w:tr w:rsidR="00AC1E67" w:rsidRPr="00A00187" w14:paraId="1F71D580" w14:textId="77777777" w:rsidTr="00D52D86">
        <w:trPr>
          <w:trHeight w:val="330"/>
        </w:trPr>
        <w:tc>
          <w:tcPr>
            <w:tcW w:w="2236" w:type="dxa"/>
            <w:vMerge w:val="restart"/>
            <w:tcBorders>
              <w:top w:val="double" w:sz="6" w:space="0" w:color="auto"/>
              <w:left w:val="nil"/>
              <w:bottom w:val="double" w:sz="6" w:space="0" w:color="000000"/>
              <w:right w:val="nil"/>
            </w:tcBorders>
            <w:shd w:val="clear" w:color="auto" w:fill="auto"/>
            <w:noWrap/>
            <w:vAlign w:val="center"/>
            <w:hideMark/>
          </w:tcPr>
          <w:p w14:paraId="63CC151B" w14:textId="233BC865" w:rsidR="00D52D86" w:rsidRPr="00A00187" w:rsidRDefault="000C430A" w:rsidP="00D52D86">
            <w:pPr>
              <w:spacing w:line="240" w:lineRule="auto"/>
              <w:jc w:val="center"/>
              <w:rPr>
                <w:rFonts w:eastAsia="Times New Roman"/>
                <w:b/>
                <w:bCs/>
                <w:szCs w:val="24"/>
                <w:lang w:eastAsia="cs-CZ"/>
              </w:rPr>
            </w:pPr>
            <w:r w:rsidRPr="00A00187">
              <w:rPr>
                <w:rFonts w:eastAsia="Times New Roman"/>
                <w:b/>
                <w:bCs/>
                <w:szCs w:val="24"/>
                <w:lang w:eastAsia="cs-CZ"/>
              </w:rPr>
              <w:t>S</w:t>
            </w:r>
            <w:r w:rsidR="00D52D86" w:rsidRPr="00A00187">
              <w:rPr>
                <w:rFonts w:eastAsia="Times New Roman"/>
                <w:b/>
                <w:bCs/>
                <w:szCs w:val="24"/>
                <w:lang w:eastAsia="cs-CZ"/>
              </w:rPr>
              <w:t>oud</w:t>
            </w:r>
          </w:p>
        </w:tc>
        <w:tc>
          <w:tcPr>
            <w:tcW w:w="3256" w:type="dxa"/>
            <w:gridSpan w:val="2"/>
            <w:tcBorders>
              <w:top w:val="double" w:sz="6" w:space="0" w:color="auto"/>
              <w:left w:val="nil"/>
              <w:bottom w:val="nil"/>
              <w:right w:val="nil"/>
            </w:tcBorders>
            <w:shd w:val="clear" w:color="auto" w:fill="auto"/>
            <w:noWrap/>
            <w:vAlign w:val="bottom"/>
            <w:hideMark/>
          </w:tcPr>
          <w:p w14:paraId="275292CA" w14:textId="77777777" w:rsidR="00D52D86" w:rsidRPr="00A00187" w:rsidRDefault="00D52D86" w:rsidP="00D52D86">
            <w:pPr>
              <w:spacing w:line="240" w:lineRule="auto"/>
              <w:jc w:val="center"/>
              <w:rPr>
                <w:rFonts w:eastAsia="Times New Roman"/>
                <w:b/>
                <w:bCs/>
                <w:szCs w:val="24"/>
                <w:lang w:eastAsia="cs-CZ"/>
              </w:rPr>
            </w:pPr>
            <w:r w:rsidRPr="00A00187">
              <w:rPr>
                <w:rFonts w:eastAsia="Times New Roman"/>
                <w:b/>
                <w:bCs/>
                <w:szCs w:val="24"/>
                <w:lang w:eastAsia="cs-CZ"/>
              </w:rPr>
              <w:t>Průměrný počet soudců</w:t>
            </w:r>
          </w:p>
        </w:tc>
        <w:tc>
          <w:tcPr>
            <w:tcW w:w="2428" w:type="dxa"/>
            <w:vMerge w:val="restart"/>
            <w:tcBorders>
              <w:top w:val="double" w:sz="6" w:space="0" w:color="auto"/>
              <w:left w:val="nil"/>
              <w:bottom w:val="double" w:sz="6" w:space="0" w:color="000000"/>
              <w:right w:val="nil"/>
            </w:tcBorders>
            <w:shd w:val="clear" w:color="auto" w:fill="auto"/>
            <w:vAlign w:val="center"/>
            <w:hideMark/>
          </w:tcPr>
          <w:p w14:paraId="25D60B07" w14:textId="5CF9C221" w:rsidR="00D52D86" w:rsidRPr="00A00187" w:rsidRDefault="00D52D86" w:rsidP="00D52D86">
            <w:pPr>
              <w:spacing w:line="240" w:lineRule="auto"/>
              <w:jc w:val="center"/>
              <w:rPr>
                <w:rFonts w:eastAsia="Times New Roman"/>
                <w:b/>
                <w:bCs/>
                <w:szCs w:val="24"/>
                <w:lang w:eastAsia="cs-CZ"/>
              </w:rPr>
            </w:pPr>
            <w:r w:rsidRPr="00A00187">
              <w:rPr>
                <w:rFonts w:eastAsia="Times New Roman"/>
                <w:b/>
                <w:bCs/>
                <w:szCs w:val="24"/>
                <w:lang w:eastAsia="cs-CZ"/>
              </w:rPr>
              <w:t>Nadstav/podstav v</w:t>
            </w:r>
            <w:r w:rsidR="00CB570A">
              <w:rPr>
                <w:rFonts w:eastAsia="Times New Roman"/>
                <w:b/>
                <w:bCs/>
                <w:szCs w:val="24"/>
                <w:lang w:eastAsia="cs-CZ"/>
              </w:rPr>
              <w:t> %</w:t>
            </w:r>
          </w:p>
        </w:tc>
      </w:tr>
      <w:tr w:rsidR="00AC1E67" w:rsidRPr="00A00187" w14:paraId="62744A74" w14:textId="77777777" w:rsidTr="00D52D86">
        <w:trPr>
          <w:trHeight w:val="330"/>
        </w:trPr>
        <w:tc>
          <w:tcPr>
            <w:tcW w:w="2236" w:type="dxa"/>
            <w:vMerge/>
            <w:tcBorders>
              <w:top w:val="double" w:sz="6" w:space="0" w:color="auto"/>
              <w:left w:val="nil"/>
              <w:bottom w:val="double" w:sz="6" w:space="0" w:color="000000"/>
              <w:right w:val="nil"/>
            </w:tcBorders>
            <w:vAlign w:val="center"/>
            <w:hideMark/>
          </w:tcPr>
          <w:p w14:paraId="6D184DB0" w14:textId="77777777" w:rsidR="00D52D86" w:rsidRPr="00A00187" w:rsidRDefault="00D52D86" w:rsidP="00D52D86">
            <w:pPr>
              <w:spacing w:line="240" w:lineRule="auto"/>
              <w:jc w:val="left"/>
              <w:rPr>
                <w:rFonts w:eastAsia="Times New Roman"/>
                <w:b/>
                <w:bCs/>
                <w:szCs w:val="24"/>
                <w:lang w:eastAsia="cs-CZ"/>
              </w:rPr>
            </w:pPr>
          </w:p>
        </w:tc>
        <w:tc>
          <w:tcPr>
            <w:tcW w:w="1506" w:type="dxa"/>
            <w:tcBorders>
              <w:top w:val="nil"/>
              <w:left w:val="nil"/>
              <w:bottom w:val="double" w:sz="6" w:space="0" w:color="auto"/>
              <w:right w:val="nil"/>
            </w:tcBorders>
            <w:shd w:val="clear" w:color="auto" w:fill="auto"/>
            <w:noWrap/>
            <w:vAlign w:val="bottom"/>
            <w:hideMark/>
          </w:tcPr>
          <w:p w14:paraId="58694FFF" w14:textId="478381EA" w:rsidR="00D52D86" w:rsidRPr="00A00187" w:rsidRDefault="00D52D86" w:rsidP="00D52D86">
            <w:pPr>
              <w:spacing w:line="240" w:lineRule="auto"/>
              <w:jc w:val="center"/>
              <w:rPr>
                <w:rFonts w:eastAsia="Times New Roman"/>
                <w:b/>
                <w:bCs/>
                <w:szCs w:val="24"/>
                <w:lang w:eastAsia="cs-CZ"/>
              </w:rPr>
            </w:pPr>
            <w:r w:rsidRPr="00A00187">
              <w:rPr>
                <w:rFonts w:eastAsia="Times New Roman"/>
                <w:b/>
                <w:bCs/>
                <w:szCs w:val="24"/>
                <w:lang w:eastAsia="cs-CZ"/>
              </w:rPr>
              <w:t>Evide</w:t>
            </w:r>
            <w:r w:rsidR="006275B0" w:rsidRPr="00A00187">
              <w:rPr>
                <w:rFonts w:eastAsia="Times New Roman"/>
                <w:b/>
                <w:bCs/>
                <w:szCs w:val="24"/>
                <w:lang w:eastAsia="cs-CZ"/>
              </w:rPr>
              <w:t>n</w:t>
            </w:r>
            <w:r w:rsidRPr="00A00187">
              <w:rPr>
                <w:rFonts w:eastAsia="Times New Roman"/>
                <w:b/>
                <w:bCs/>
                <w:szCs w:val="24"/>
                <w:lang w:eastAsia="cs-CZ"/>
              </w:rPr>
              <w:t>ční</w:t>
            </w:r>
          </w:p>
        </w:tc>
        <w:tc>
          <w:tcPr>
            <w:tcW w:w="1750" w:type="dxa"/>
            <w:tcBorders>
              <w:top w:val="nil"/>
              <w:left w:val="nil"/>
              <w:bottom w:val="double" w:sz="6" w:space="0" w:color="auto"/>
              <w:right w:val="nil"/>
            </w:tcBorders>
            <w:shd w:val="clear" w:color="auto" w:fill="auto"/>
            <w:noWrap/>
            <w:vAlign w:val="bottom"/>
            <w:hideMark/>
          </w:tcPr>
          <w:p w14:paraId="5B2EDB9A" w14:textId="77777777" w:rsidR="00D52D86" w:rsidRPr="00A00187" w:rsidRDefault="00D52D86" w:rsidP="00D52D86">
            <w:pPr>
              <w:spacing w:line="240" w:lineRule="auto"/>
              <w:jc w:val="center"/>
              <w:rPr>
                <w:rFonts w:eastAsia="Times New Roman"/>
                <w:b/>
                <w:bCs/>
                <w:szCs w:val="24"/>
                <w:lang w:eastAsia="cs-CZ"/>
              </w:rPr>
            </w:pPr>
            <w:r w:rsidRPr="00A00187">
              <w:rPr>
                <w:rFonts w:eastAsia="Times New Roman"/>
                <w:b/>
                <w:bCs/>
                <w:szCs w:val="24"/>
                <w:lang w:eastAsia="cs-CZ"/>
              </w:rPr>
              <w:t>Plánovaný</w:t>
            </w:r>
          </w:p>
        </w:tc>
        <w:tc>
          <w:tcPr>
            <w:tcW w:w="2428" w:type="dxa"/>
            <w:vMerge/>
            <w:tcBorders>
              <w:top w:val="double" w:sz="6" w:space="0" w:color="auto"/>
              <w:left w:val="nil"/>
              <w:bottom w:val="double" w:sz="6" w:space="0" w:color="000000"/>
              <w:right w:val="nil"/>
            </w:tcBorders>
            <w:vAlign w:val="center"/>
            <w:hideMark/>
          </w:tcPr>
          <w:p w14:paraId="2FAB875A" w14:textId="77777777" w:rsidR="00D52D86" w:rsidRPr="00A00187" w:rsidRDefault="00D52D86" w:rsidP="00D52D86">
            <w:pPr>
              <w:spacing w:line="240" w:lineRule="auto"/>
              <w:jc w:val="left"/>
              <w:rPr>
                <w:rFonts w:eastAsia="Times New Roman"/>
                <w:b/>
                <w:bCs/>
                <w:szCs w:val="24"/>
                <w:lang w:eastAsia="cs-CZ"/>
              </w:rPr>
            </w:pPr>
          </w:p>
        </w:tc>
      </w:tr>
      <w:tr w:rsidR="00AC1E67" w:rsidRPr="00A00187" w14:paraId="73D05DA6" w14:textId="77777777" w:rsidTr="00D52D86">
        <w:trPr>
          <w:trHeight w:val="330"/>
        </w:trPr>
        <w:tc>
          <w:tcPr>
            <w:tcW w:w="2236" w:type="dxa"/>
            <w:tcBorders>
              <w:top w:val="nil"/>
              <w:left w:val="nil"/>
              <w:bottom w:val="single" w:sz="4" w:space="0" w:color="auto"/>
              <w:right w:val="nil"/>
            </w:tcBorders>
            <w:shd w:val="clear" w:color="auto" w:fill="auto"/>
            <w:noWrap/>
            <w:vAlign w:val="bottom"/>
            <w:hideMark/>
          </w:tcPr>
          <w:p w14:paraId="22593E47"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MS Praha</w:t>
            </w:r>
          </w:p>
        </w:tc>
        <w:tc>
          <w:tcPr>
            <w:tcW w:w="1506" w:type="dxa"/>
            <w:tcBorders>
              <w:top w:val="nil"/>
              <w:left w:val="nil"/>
              <w:bottom w:val="single" w:sz="4" w:space="0" w:color="auto"/>
              <w:right w:val="nil"/>
            </w:tcBorders>
            <w:shd w:val="clear" w:color="auto" w:fill="auto"/>
            <w:noWrap/>
            <w:vAlign w:val="bottom"/>
            <w:hideMark/>
          </w:tcPr>
          <w:p w14:paraId="54B6E01D" w14:textId="1696AC4E"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222,9</w:t>
            </w:r>
          </w:p>
        </w:tc>
        <w:tc>
          <w:tcPr>
            <w:tcW w:w="1750" w:type="dxa"/>
            <w:tcBorders>
              <w:top w:val="nil"/>
              <w:left w:val="nil"/>
              <w:bottom w:val="single" w:sz="4" w:space="0" w:color="auto"/>
              <w:right w:val="nil"/>
            </w:tcBorders>
            <w:shd w:val="clear" w:color="auto" w:fill="auto"/>
            <w:noWrap/>
            <w:vAlign w:val="bottom"/>
            <w:hideMark/>
          </w:tcPr>
          <w:p w14:paraId="06C0ACD4" w14:textId="605630F9"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244,7</w:t>
            </w:r>
          </w:p>
        </w:tc>
        <w:tc>
          <w:tcPr>
            <w:tcW w:w="2428" w:type="dxa"/>
            <w:tcBorders>
              <w:top w:val="nil"/>
              <w:left w:val="nil"/>
              <w:bottom w:val="single" w:sz="4" w:space="0" w:color="auto"/>
              <w:right w:val="nil"/>
            </w:tcBorders>
            <w:shd w:val="clear" w:color="auto" w:fill="auto"/>
            <w:noWrap/>
            <w:vAlign w:val="bottom"/>
            <w:hideMark/>
          </w:tcPr>
          <w:p w14:paraId="28B2F0E6"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-8.93</w:t>
            </w:r>
          </w:p>
        </w:tc>
      </w:tr>
      <w:tr w:rsidR="00AC1E67" w:rsidRPr="00A00187" w14:paraId="68D19156" w14:textId="77777777" w:rsidTr="00D52D86">
        <w:trPr>
          <w:trHeight w:val="315"/>
        </w:trPr>
        <w:tc>
          <w:tcPr>
            <w:tcW w:w="2236" w:type="dxa"/>
            <w:tcBorders>
              <w:top w:val="nil"/>
              <w:left w:val="nil"/>
              <w:bottom w:val="single" w:sz="4" w:space="0" w:color="auto"/>
              <w:right w:val="nil"/>
            </w:tcBorders>
            <w:shd w:val="clear" w:color="auto" w:fill="auto"/>
            <w:noWrap/>
            <w:vAlign w:val="bottom"/>
            <w:hideMark/>
          </w:tcPr>
          <w:p w14:paraId="1BA5AF0E"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KS Praha</w:t>
            </w:r>
          </w:p>
        </w:tc>
        <w:tc>
          <w:tcPr>
            <w:tcW w:w="1506" w:type="dxa"/>
            <w:tcBorders>
              <w:top w:val="nil"/>
              <w:left w:val="nil"/>
              <w:bottom w:val="single" w:sz="4" w:space="0" w:color="auto"/>
              <w:right w:val="nil"/>
            </w:tcBorders>
            <w:shd w:val="clear" w:color="auto" w:fill="auto"/>
            <w:noWrap/>
            <w:vAlign w:val="bottom"/>
            <w:hideMark/>
          </w:tcPr>
          <w:p w14:paraId="3E396867" w14:textId="05751298"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95,0</w:t>
            </w:r>
          </w:p>
        </w:tc>
        <w:tc>
          <w:tcPr>
            <w:tcW w:w="1750" w:type="dxa"/>
            <w:tcBorders>
              <w:top w:val="nil"/>
              <w:left w:val="nil"/>
              <w:bottom w:val="single" w:sz="4" w:space="0" w:color="auto"/>
              <w:right w:val="nil"/>
            </w:tcBorders>
            <w:shd w:val="clear" w:color="auto" w:fill="auto"/>
            <w:noWrap/>
            <w:vAlign w:val="bottom"/>
            <w:hideMark/>
          </w:tcPr>
          <w:p w14:paraId="3B6719B9" w14:textId="5F36BF8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109,3</w:t>
            </w:r>
          </w:p>
        </w:tc>
        <w:tc>
          <w:tcPr>
            <w:tcW w:w="2428" w:type="dxa"/>
            <w:tcBorders>
              <w:top w:val="nil"/>
              <w:left w:val="nil"/>
              <w:bottom w:val="single" w:sz="4" w:space="0" w:color="auto"/>
              <w:right w:val="nil"/>
            </w:tcBorders>
            <w:shd w:val="clear" w:color="auto" w:fill="auto"/>
            <w:noWrap/>
            <w:vAlign w:val="bottom"/>
            <w:hideMark/>
          </w:tcPr>
          <w:p w14:paraId="7D52B408"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-13.07</w:t>
            </w:r>
          </w:p>
        </w:tc>
      </w:tr>
      <w:tr w:rsidR="00AC1E67" w:rsidRPr="00A00187" w14:paraId="69E7D8BD" w14:textId="77777777" w:rsidTr="00D52D86">
        <w:trPr>
          <w:trHeight w:val="315"/>
        </w:trPr>
        <w:tc>
          <w:tcPr>
            <w:tcW w:w="2236" w:type="dxa"/>
            <w:tcBorders>
              <w:top w:val="nil"/>
              <w:left w:val="nil"/>
              <w:bottom w:val="single" w:sz="4" w:space="0" w:color="auto"/>
              <w:right w:val="nil"/>
            </w:tcBorders>
            <w:shd w:val="clear" w:color="auto" w:fill="auto"/>
            <w:noWrap/>
            <w:vAlign w:val="bottom"/>
            <w:hideMark/>
          </w:tcPr>
          <w:p w14:paraId="4AC188F4"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KS Č. Budějovice</w:t>
            </w:r>
          </w:p>
        </w:tc>
        <w:tc>
          <w:tcPr>
            <w:tcW w:w="1506" w:type="dxa"/>
            <w:tcBorders>
              <w:top w:val="nil"/>
              <w:left w:val="nil"/>
              <w:bottom w:val="single" w:sz="4" w:space="0" w:color="auto"/>
              <w:right w:val="nil"/>
            </w:tcBorders>
            <w:shd w:val="clear" w:color="auto" w:fill="auto"/>
            <w:noWrap/>
            <w:vAlign w:val="bottom"/>
            <w:hideMark/>
          </w:tcPr>
          <w:p w14:paraId="7DAFC404" w14:textId="0CD96E66"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55,7</w:t>
            </w:r>
          </w:p>
        </w:tc>
        <w:tc>
          <w:tcPr>
            <w:tcW w:w="1750" w:type="dxa"/>
            <w:tcBorders>
              <w:top w:val="nil"/>
              <w:left w:val="nil"/>
              <w:bottom w:val="single" w:sz="4" w:space="0" w:color="auto"/>
              <w:right w:val="nil"/>
            </w:tcBorders>
            <w:shd w:val="clear" w:color="auto" w:fill="auto"/>
            <w:noWrap/>
            <w:vAlign w:val="bottom"/>
            <w:hideMark/>
          </w:tcPr>
          <w:p w14:paraId="5AFFC350" w14:textId="4A9B5D56"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54,7</w:t>
            </w:r>
          </w:p>
        </w:tc>
        <w:tc>
          <w:tcPr>
            <w:tcW w:w="2428" w:type="dxa"/>
            <w:tcBorders>
              <w:top w:val="nil"/>
              <w:left w:val="nil"/>
              <w:bottom w:val="single" w:sz="4" w:space="0" w:color="auto"/>
              <w:right w:val="nil"/>
            </w:tcBorders>
            <w:shd w:val="clear" w:color="auto" w:fill="auto"/>
            <w:noWrap/>
            <w:vAlign w:val="bottom"/>
            <w:hideMark/>
          </w:tcPr>
          <w:p w14:paraId="20F4C9A1"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1.83</w:t>
            </w:r>
          </w:p>
        </w:tc>
      </w:tr>
      <w:tr w:rsidR="00AC1E67" w:rsidRPr="00A00187" w14:paraId="5E9140BC" w14:textId="77777777" w:rsidTr="00D52D86">
        <w:trPr>
          <w:trHeight w:val="315"/>
        </w:trPr>
        <w:tc>
          <w:tcPr>
            <w:tcW w:w="2236" w:type="dxa"/>
            <w:tcBorders>
              <w:top w:val="nil"/>
              <w:left w:val="nil"/>
              <w:bottom w:val="single" w:sz="4" w:space="0" w:color="auto"/>
              <w:right w:val="nil"/>
            </w:tcBorders>
            <w:shd w:val="clear" w:color="auto" w:fill="auto"/>
            <w:noWrap/>
            <w:vAlign w:val="bottom"/>
            <w:hideMark/>
          </w:tcPr>
          <w:p w14:paraId="7E72ADC9"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KS Plzeň</w:t>
            </w:r>
          </w:p>
        </w:tc>
        <w:tc>
          <w:tcPr>
            <w:tcW w:w="1506" w:type="dxa"/>
            <w:tcBorders>
              <w:top w:val="nil"/>
              <w:left w:val="nil"/>
              <w:bottom w:val="single" w:sz="4" w:space="0" w:color="auto"/>
              <w:right w:val="nil"/>
            </w:tcBorders>
            <w:shd w:val="clear" w:color="auto" w:fill="auto"/>
            <w:noWrap/>
            <w:vAlign w:val="bottom"/>
            <w:hideMark/>
          </w:tcPr>
          <w:p w14:paraId="10820423" w14:textId="714797D9"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76,6</w:t>
            </w:r>
          </w:p>
        </w:tc>
        <w:tc>
          <w:tcPr>
            <w:tcW w:w="1750" w:type="dxa"/>
            <w:tcBorders>
              <w:top w:val="nil"/>
              <w:left w:val="nil"/>
              <w:bottom w:val="single" w:sz="4" w:space="0" w:color="auto"/>
              <w:right w:val="nil"/>
            </w:tcBorders>
            <w:shd w:val="clear" w:color="auto" w:fill="auto"/>
            <w:noWrap/>
            <w:vAlign w:val="bottom"/>
            <w:hideMark/>
          </w:tcPr>
          <w:p w14:paraId="66E57FF7" w14:textId="2FF7D72D"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82,1</w:t>
            </w:r>
          </w:p>
        </w:tc>
        <w:tc>
          <w:tcPr>
            <w:tcW w:w="2428" w:type="dxa"/>
            <w:tcBorders>
              <w:top w:val="nil"/>
              <w:left w:val="nil"/>
              <w:bottom w:val="single" w:sz="4" w:space="0" w:color="auto"/>
              <w:right w:val="nil"/>
            </w:tcBorders>
            <w:shd w:val="clear" w:color="auto" w:fill="auto"/>
            <w:noWrap/>
            <w:vAlign w:val="bottom"/>
            <w:hideMark/>
          </w:tcPr>
          <w:p w14:paraId="0D6B0AFD"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-6.78</w:t>
            </w:r>
          </w:p>
        </w:tc>
      </w:tr>
      <w:tr w:rsidR="00AC1E67" w:rsidRPr="00A00187" w14:paraId="63DB0BF9" w14:textId="77777777" w:rsidTr="00D52D86">
        <w:trPr>
          <w:trHeight w:val="315"/>
        </w:trPr>
        <w:tc>
          <w:tcPr>
            <w:tcW w:w="2236" w:type="dxa"/>
            <w:tcBorders>
              <w:top w:val="nil"/>
              <w:left w:val="nil"/>
              <w:bottom w:val="single" w:sz="4" w:space="0" w:color="auto"/>
              <w:right w:val="nil"/>
            </w:tcBorders>
            <w:shd w:val="clear" w:color="auto" w:fill="auto"/>
            <w:noWrap/>
            <w:vAlign w:val="bottom"/>
            <w:hideMark/>
          </w:tcPr>
          <w:p w14:paraId="056D4850"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KS Ústí n. Labem</w:t>
            </w:r>
          </w:p>
        </w:tc>
        <w:tc>
          <w:tcPr>
            <w:tcW w:w="1506" w:type="dxa"/>
            <w:tcBorders>
              <w:top w:val="nil"/>
              <w:left w:val="nil"/>
              <w:bottom w:val="single" w:sz="4" w:space="0" w:color="auto"/>
              <w:right w:val="nil"/>
            </w:tcBorders>
            <w:shd w:val="clear" w:color="auto" w:fill="auto"/>
            <w:noWrap/>
            <w:vAlign w:val="bottom"/>
            <w:hideMark/>
          </w:tcPr>
          <w:p w14:paraId="4C7BDAA3" w14:textId="61DF1A9B"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112,7</w:t>
            </w:r>
          </w:p>
        </w:tc>
        <w:tc>
          <w:tcPr>
            <w:tcW w:w="1750" w:type="dxa"/>
            <w:tcBorders>
              <w:top w:val="nil"/>
              <w:left w:val="nil"/>
              <w:bottom w:val="single" w:sz="4" w:space="0" w:color="auto"/>
              <w:right w:val="nil"/>
            </w:tcBorders>
            <w:shd w:val="clear" w:color="auto" w:fill="auto"/>
            <w:noWrap/>
            <w:vAlign w:val="bottom"/>
            <w:hideMark/>
          </w:tcPr>
          <w:p w14:paraId="467F742F" w14:textId="4812BF80"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120,9</w:t>
            </w:r>
          </w:p>
        </w:tc>
        <w:tc>
          <w:tcPr>
            <w:tcW w:w="2428" w:type="dxa"/>
            <w:tcBorders>
              <w:top w:val="nil"/>
              <w:left w:val="nil"/>
              <w:bottom w:val="single" w:sz="4" w:space="0" w:color="auto"/>
              <w:right w:val="nil"/>
            </w:tcBorders>
            <w:shd w:val="clear" w:color="auto" w:fill="auto"/>
            <w:noWrap/>
            <w:vAlign w:val="bottom"/>
            <w:hideMark/>
          </w:tcPr>
          <w:p w14:paraId="2299082B"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-6.74</w:t>
            </w:r>
          </w:p>
        </w:tc>
      </w:tr>
      <w:tr w:rsidR="00AC1E67" w:rsidRPr="00A00187" w14:paraId="2EC5858E" w14:textId="77777777" w:rsidTr="00D52D86">
        <w:trPr>
          <w:trHeight w:val="315"/>
        </w:trPr>
        <w:tc>
          <w:tcPr>
            <w:tcW w:w="2236" w:type="dxa"/>
            <w:tcBorders>
              <w:top w:val="nil"/>
              <w:left w:val="nil"/>
              <w:bottom w:val="single" w:sz="4" w:space="0" w:color="auto"/>
              <w:right w:val="nil"/>
            </w:tcBorders>
            <w:shd w:val="clear" w:color="auto" w:fill="auto"/>
            <w:noWrap/>
            <w:vAlign w:val="bottom"/>
            <w:hideMark/>
          </w:tcPr>
          <w:p w14:paraId="65672BB1"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KS Hr. Králové</w:t>
            </w:r>
          </w:p>
        </w:tc>
        <w:tc>
          <w:tcPr>
            <w:tcW w:w="1506" w:type="dxa"/>
            <w:tcBorders>
              <w:top w:val="nil"/>
              <w:left w:val="nil"/>
              <w:bottom w:val="single" w:sz="4" w:space="0" w:color="auto"/>
              <w:right w:val="nil"/>
            </w:tcBorders>
            <w:shd w:val="clear" w:color="auto" w:fill="auto"/>
            <w:noWrap/>
            <w:vAlign w:val="bottom"/>
            <w:hideMark/>
          </w:tcPr>
          <w:p w14:paraId="42041625" w14:textId="25FB168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83,4</w:t>
            </w:r>
          </w:p>
        </w:tc>
        <w:tc>
          <w:tcPr>
            <w:tcW w:w="1750" w:type="dxa"/>
            <w:tcBorders>
              <w:top w:val="nil"/>
              <w:left w:val="nil"/>
              <w:bottom w:val="single" w:sz="4" w:space="0" w:color="auto"/>
              <w:right w:val="nil"/>
            </w:tcBorders>
            <w:shd w:val="clear" w:color="auto" w:fill="auto"/>
            <w:noWrap/>
            <w:vAlign w:val="bottom"/>
            <w:hideMark/>
          </w:tcPr>
          <w:p w14:paraId="31D2520C" w14:textId="79D2622D"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89,1</w:t>
            </w:r>
          </w:p>
        </w:tc>
        <w:tc>
          <w:tcPr>
            <w:tcW w:w="2428" w:type="dxa"/>
            <w:tcBorders>
              <w:top w:val="nil"/>
              <w:left w:val="nil"/>
              <w:bottom w:val="single" w:sz="4" w:space="0" w:color="auto"/>
              <w:right w:val="nil"/>
            </w:tcBorders>
            <w:shd w:val="clear" w:color="auto" w:fill="auto"/>
            <w:noWrap/>
            <w:vAlign w:val="bottom"/>
            <w:hideMark/>
          </w:tcPr>
          <w:p w14:paraId="6CA27092"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-6.41</w:t>
            </w:r>
          </w:p>
        </w:tc>
      </w:tr>
      <w:tr w:rsidR="00AC1E67" w:rsidRPr="00A00187" w14:paraId="1F61055F" w14:textId="77777777" w:rsidTr="00D52D86">
        <w:trPr>
          <w:trHeight w:val="315"/>
        </w:trPr>
        <w:tc>
          <w:tcPr>
            <w:tcW w:w="2236" w:type="dxa"/>
            <w:tcBorders>
              <w:top w:val="nil"/>
              <w:left w:val="nil"/>
              <w:bottom w:val="single" w:sz="4" w:space="0" w:color="auto"/>
              <w:right w:val="nil"/>
            </w:tcBorders>
            <w:shd w:val="clear" w:color="auto" w:fill="auto"/>
            <w:noWrap/>
            <w:vAlign w:val="bottom"/>
            <w:hideMark/>
          </w:tcPr>
          <w:p w14:paraId="6AA15D71"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KS Brno</w:t>
            </w:r>
          </w:p>
        </w:tc>
        <w:tc>
          <w:tcPr>
            <w:tcW w:w="1506" w:type="dxa"/>
            <w:tcBorders>
              <w:top w:val="nil"/>
              <w:left w:val="nil"/>
              <w:bottom w:val="single" w:sz="4" w:space="0" w:color="auto"/>
              <w:right w:val="nil"/>
            </w:tcBorders>
            <w:shd w:val="clear" w:color="auto" w:fill="auto"/>
            <w:noWrap/>
            <w:vAlign w:val="bottom"/>
            <w:hideMark/>
          </w:tcPr>
          <w:p w14:paraId="4B8AB57B" w14:textId="75DFCCD5"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162,4</w:t>
            </w:r>
          </w:p>
        </w:tc>
        <w:tc>
          <w:tcPr>
            <w:tcW w:w="1750" w:type="dxa"/>
            <w:tcBorders>
              <w:top w:val="nil"/>
              <w:left w:val="nil"/>
              <w:bottom w:val="single" w:sz="4" w:space="0" w:color="auto"/>
              <w:right w:val="nil"/>
            </w:tcBorders>
            <w:shd w:val="clear" w:color="auto" w:fill="auto"/>
            <w:noWrap/>
            <w:vAlign w:val="bottom"/>
            <w:hideMark/>
          </w:tcPr>
          <w:p w14:paraId="23610C12" w14:textId="1D5C6B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164,1</w:t>
            </w:r>
          </w:p>
        </w:tc>
        <w:tc>
          <w:tcPr>
            <w:tcW w:w="2428" w:type="dxa"/>
            <w:tcBorders>
              <w:top w:val="nil"/>
              <w:left w:val="nil"/>
              <w:bottom w:val="single" w:sz="4" w:space="0" w:color="auto"/>
              <w:right w:val="nil"/>
            </w:tcBorders>
            <w:shd w:val="clear" w:color="auto" w:fill="auto"/>
            <w:noWrap/>
            <w:vAlign w:val="bottom"/>
            <w:hideMark/>
          </w:tcPr>
          <w:p w14:paraId="5D18E6F4"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-1.04</w:t>
            </w:r>
          </w:p>
        </w:tc>
      </w:tr>
      <w:tr w:rsidR="00AC1E67" w:rsidRPr="00A00187" w14:paraId="63EB46DB" w14:textId="77777777" w:rsidTr="00D52D86">
        <w:trPr>
          <w:trHeight w:val="330"/>
        </w:trPr>
        <w:tc>
          <w:tcPr>
            <w:tcW w:w="2236" w:type="dxa"/>
            <w:tcBorders>
              <w:top w:val="nil"/>
              <w:left w:val="nil"/>
              <w:bottom w:val="double" w:sz="6" w:space="0" w:color="auto"/>
              <w:right w:val="nil"/>
            </w:tcBorders>
            <w:shd w:val="clear" w:color="auto" w:fill="auto"/>
            <w:noWrap/>
            <w:vAlign w:val="bottom"/>
            <w:hideMark/>
          </w:tcPr>
          <w:p w14:paraId="6817C21C" w14:textId="77777777" w:rsidR="00D52D86" w:rsidRPr="00A00187" w:rsidRDefault="00D52D86" w:rsidP="00D52D86">
            <w:pPr>
              <w:spacing w:line="240" w:lineRule="auto"/>
              <w:jc w:val="left"/>
              <w:rPr>
                <w:rFonts w:eastAsia="Times New Roman"/>
                <w:szCs w:val="24"/>
                <w:lang w:eastAsia="cs-CZ"/>
              </w:rPr>
            </w:pPr>
            <w:r w:rsidRPr="00A00187">
              <w:rPr>
                <w:rFonts w:eastAsia="Times New Roman"/>
                <w:szCs w:val="24"/>
                <w:lang w:eastAsia="cs-CZ"/>
              </w:rPr>
              <w:t>KS Ostrava</w:t>
            </w:r>
          </w:p>
        </w:tc>
        <w:tc>
          <w:tcPr>
            <w:tcW w:w="1506" w:type="dxa"/>
            <w:tcBorders>
              <w:top w:val="nil"/>
              <w:left w:val="nil"/>
              <w:bottom w:val="double" w:sz="6" w:space="0" w:color="auto"/>
              <w:right w:val="nil"/>
            </w:tcBorders>
            <w:shd w:val="clear" w:color="auto" w:fill="auto"/>
            <w:noWrap/>
            <w:vAlign w:val="bottom"/>
            <w:hideMark/>
          </w:tcPr>
          <w:p w14:paraId="727E99A4" w14:textId="1D2363BA"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142,3</w:t>
            </w:r>
          </w:p>
        </w:tc>
        <w:tc>
          <w:tcPr>
            <w:tcW w:w="1750" w:type="dxa"/>
            <w:tcBorders>
              <w:top w:val="nil"/>
              <w:left w:val="nil"/>
              <w:bottom w:val="double" w:sz="6" w:space="0" w:color="auto"/>
              <w:right w:val="nil"/>
            </w:tcBorders>
            <w:shd w:val="clear" w:color="auto" w:fill="auto"/>
            <w:noWrap/>
            <w:vAlign w:val="bottom"/>
            <w:hideMark/>
          </w:tcPr>
          <w:p w14:paraId="7DD910E0" w14:textId="5F3560BC"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157,7</w:t>
            </w:r>
          </w:p>
        </w:tc>
        <w:tc>
          <w:tcPr>
            <w:tcW w:w="2428" w:type="dxa"/>
            <w:tcBorders>
              <w:top w:val="nil"/>
              <w:left w:val="nil"/>
              <w:bottom w:val="double" w:sz="6" w:space="0" w:color="auto"/>
              <w:right w:val="nil"/>
            </w:tcBorders>
            <w:shd w:val="clear" w:color="auto" w:fill="auto"/>
            <w:noWrap/>
            <w:vAlign w:val="bottom"/>
            <w:hideMark/>
          </w:tcPr>
          <w:p w14:paraId="0B695B96" w14:textId="77777777" w:rsidR="00D52D86" w:rsidRPr="00A00187" w:rsidRDefault="00D52D86" w:rsidP="00D52D86">
            <w:pPr>
              <w:spacing w:line="240" w:lineRule="auto"/>
              <w:jc w:val="center"/>
              <w:rPr>
                <w:rFonts w:eastAsia="Times New Roman"/>
                <w:szCs w:val="24"/>
                <w:lang w:eastAsia="cs-CZ"/>
              </w:rPr>
            </w:pPr>
            <w:r w:rsidRPr="00A00187">
              <w:rPr>
                <w:rFonts w:eastAsia="Times New Roman"/>
                <w:szCs w:val="24"/>
                <w:lang w:eastAsia="cs-CZ"/>
              </w:rPr>
              <w:t>-9.78</w:t>
            </w:r>
          </w:p>
        </w:tc>
      </w:tr>
      <w:tr w:rsidR="00AC1E67" w:rsidRPr="00A00187" w14:paraId="5C34063F" w14:textId="77777777" w:rsidTr="00D52D86">
        <w:trPr>
          <w:trHeight w:val="345"/>
        </w:trPr>
        <w:tc>
          <w:tcPr>
            <w:tcW w:w="2236" w:type="dxa"/>
            <w:tcBorders>
              <w:top w:val="nil"/>
              <w:left w:val="nil"/>
              <w:bottom w:val="double" w:sz="6" w:space="0" w:color="auto"/>
              <w:right w:val="nil"/>
            </w:tcBorders>
            <w:shd w:val="clear" w:color="auto" w:fill="auto"/>
            <w:noWrap/>
            <w:vAlign w:val="bottom"/>
            <w:hideMark/>
          </w:tcPr>
          <w:p w14:paraId="540A36B2" w14:textId="77777777" w:rsidR="00D52D86" w:rsidRPr="00A00187" w:rsidRDefault="00D52D86" w:rsidP="00D52D86">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506" w:type="dxa"/>
            <w:tcBorders>
              <w:top w:val="nil"/>
              <w:left w:val="nil"/>
              <w:bottom w:val="double" w:sz="6" w:space="0" w:color="auto"/>
              <w:right w:val="nil"/>
            </w:tcBorders>
            <w:shd w:val="clear" w:color="auto" w:fill="auto"/>
            <w:noWrap/>
            <w:vAlign w:val="bottom"/>
            <w:hideMark/>
          </w:tcPr>
          <w:p w14:paraId="26E11D29" w14:textId="589A1EE7" w:rsidR="00D52D86" w:rsidRPr="00A00187" w:rsidRDefault="00D52D86" w:rsidP="00D52D86">
            <w:pPr>
              <w:spacing w:line="240" w:lineRule="auto"/>
              <w:jc w:val="center"/>
              <w:rPr>
                <w:rFonts w:eastAsia="Times New Roman"/>
                <w:b/>
                <w:bCs/>
                <w:szCs w:val="24"/>
                <w:lang w:eastAsia="cs-CZ"/>
              </w:rPr>
            </w:pPr>
            <w:r w:rsidRPr="00A00187">
              <w:rPr>
                <w:rFonts w:eastAsia="Times New Roman"/>
                <w:b/>
                <w:bCs/>
                <w:szCs w:val="24"/>
                <w:lang w:eastAsia="cs-CZ"/>
              </w:rPr>
              <w:t>951,0</w:t>
            </w:r>
          </w:p>
        </w:tc>
        <w:tc>
          <w:tcPr>
            <w:tcW w:w="1750" w:type="dxa"/>
            <w:tcBorders>
              <w:top w:val="nil"/>
              <w:left w:val="nil"/>
              <w:bottom w:val="double" w:sz="6" w:space="0" w:color="auto"/>
              <w:right w:val="nil"/>
            </w:tcBorders>
            <w:shd w:val="clear" w:color="auto" w:fill="auto"/>
            <w:noWrap/>
            <w:vAlign w:val="bottom"/>
            <w:hideMark/>
          </w:tcPr>
          <w:p w14:paraId="25288736" w14:textId="44A0D179" w:rsidR="00D52D86" w:rsidRPr="00A00187" w:rsidRDefault="00D52D86" w:rsidP="00D52D86">
            <w:pPr>
              <w:spacing w:line="240" w:lineRule="auto"/>
              <w:jc w:val="center"/>
              <w:rPr>
                <w:rFonts w:eastAsia="Times New Roman"/>
                <w:b/>
                <w:bCs/>
                <w:szCs w:val="24"/>
                <w:lang w:eastAsia="cs-CZ"/>
              </w:rPr>
            </w:pPr>
            <w:r w:rsidRPr="00A00187">
              <w:rPr>
                <w:rFonts w:eastAsia="Times New Roman"/>
                <w:b/>
                <w:bCs/>
                <w:szCs w:val="24"/>
                <w:lang w:eastAsia="cs-CZ"/>
              </w:rPr>
              <w:t>1022,7</w:t>
            </w:r>
          </w:p>
        </w:tc>
        <w:tc>
          <w:tcPr>
            <w:tcW w:w="2428" w:type="dxa"/>
            <w:tcBorders>
              <w:top w:val="nil"/>
              <w:left w:val="nil"/>
              <w:bottom w:val="double" w:sz="6" w:space="0" w:color="auto"/>
              <w:right w:val="nil"/>
            </w:tcBorders>
            <w:shd w:val="clear" w:color="auto" w:fill="auto"/>
            <w:noWrap/>
            <w:vAlign w:val="bottom"/>
            <w:hideMark/>
          </w:tcPr>
          <w:p w14:paraId="1ED7E9E0" w14:textId="77777777" w:rsidR="00D52D86" w:rsidRPr="00A00187" w:rsidRDefault="00D52D86" w:rsidP="00D52D86">
            <w:pPr>
              <w:spacing w:line="240" w:lineRule="auto"/>
              <w:jc w:val="center"/>
              <w:rPr>
                <w:rFonts w:eastAsia="Times New Roman"/>
                <w:b/>
                <w:bCs/>
                <w:szCs w:val="24"/>
                <w:lang w:eastAsia="cs-CZ"/>
              </w:rPr>
            </w:pPr>
            <w:r w:rsidRPr="00A00187">
              <w:rPr>
                <w:rFonts w:eastAsia="Times New Roman"/>
                <w:b/>
                <w:bCs/>
                <w:szCs w:val="24"/>
                <w:lang w:eastAsia="cs-CZ"/>
              </w:rPr>
              <w:t>-7.01</w:t>
            </w:r>
          </w:p>
        </w:tc>
      </w:tr>
      <w:tr w:rsidR="00AC1E67" w:rsidRPr="00A00187" w14:paraId="54B8995D" w14:textId="77777777" w:rsidTr="00D52D86">
        <w:trPr>
          <w:trHeight w:val="345"/>
        </w:trPr>
        <w:tc>
          <w:tcPr>
            <w:tcW w:w="2236" w:type="dxa"/>
            <w:tcBorders>
              <w:top w:val="nil"/>
              <w:left w:val="nil"/>
              <w:bottom w:val="nil"/>
              <w:right w:val="nil"/>
            </w:tcBorders>
            <w:shd w:val="clear" w:color="auto" w:fill="auto"/>
            <w:noWrap/>
            <w:vAlign w:val="bottom"/>
            <w:hideMark/>
          </w:tcPr>
          <w:p w14:paraId="52E090DA" w14:textId="77777777" w:rsidR="00D52D86" w:rsidRPr="00A00187" w:rsidRDefault="00D52D86" w:rsidP="003B4A57">
            <w:pPr>
              <w:spacing w:line="240" w:lineRule="auto"/>
              <w:rPr>
                <w:rFonts w:eastAsia="Times New Roman"/>
                <w:b/>
                <w:bCs/>
                <w:szCs w:val="24"/>
                <w:lang w:eastAsia="cs-CZ"/>
              </w:rPr>
            </w:pPr>
          </w:p>
        </w:tc>
        <w:tc>
          <w:tcPr>
            <w:tcW w:w="1506" w:type="dxa"/>
            <w:tcBorders>
              <w:top w:val="nil"/>
              <w:left w:val="nil"/>
              <w:bottom w:val="nil"/>
              <w:right w:val="nil"/>
            </w:tcBorders>
            <w:shd w:val="clear" w:color="auto" w:fill="auto"/>
            <w:noWrap/>
            <w:vAlign w:val="bottom"/>
            <w:hideMark/>
          </w:tcPr>
          <w:p w14:paraId="0C21DF9A" w14:textId="77777777" w:rsidR="00D52D86" w:rsidRPr="00A00187" w:rsidRDefault="00D52D86" w:rsidP="00D52D86">
            <w:pPr>
              <w:spacing w:line="240" w:lineRule="auto"/>
              <w:jc w:val="left"/>
              <w:rPr>
                <w:rFonts w:ascii="Times New Roman" w:eastAsia="Times New Roman" w:hAnsi="Times New Roman"/>
                <w:sz w:val="20"/>
                <w:szCs w:val="20"/>
                <w:lang w:eastAsia="cs-CZ"/>
              </w:rPr>
            </w:pPr>
          </w:p>
        </w:tc>
        <w:tc>
          <w:tcPr>
            <w:tcW w:w="1750" w:type="dxa"/>
            <w:tcBorders>
              <w:top w:val="nil"/>
              <w:left w:val="nil"/>
              <w:bottom w:val="nil"/>
              <w:right w:val="nil"/>
            </w:tcBorders>
            <w:shd w:val="clear" w:color="auto" w:fill="auto"/>
            <w:noWrap/>
            <w:vAlign w:val="bottom"/>
            <w:hideMark/>
          </w:tcPr>
          <w:p w14:paraId="0A8BD9B6" w14:textId="77777777" w:rsidR="00D52D86" w:rsidRPr="00A00187" w:rsidRDefault="00D52D86" w:rsidP="00D52D86">
            <w:pPr>
              <w:spacing w:line="240" w:lineRule="auto"/>
              <w:jc w:val="left"/>
              <w:rPr>
                <w:rFonts w:ascii="Times New Roman" w:eastAsia="Times New Roman" w:hAnsi="Times New Roman"/>
                <w:sz w:val="20"/>
                <w:szCs w:val="20"/>
                <w:lang w:eastAsia="cs-CZ"/>
              </w:rPr>
            </w:pPr>
          </w:p>
        </w:tc>
        <w:tc>
          <w:tcPr>
            <w:tcW w:w="2428" w:type="dxa"/>
            <w:tcBorders>
              <w:top w:val="nil"/>
              <w:left w:val="nil"/>
              <w:bottom w:val="nil"/>
              <w:right w:val="nil"/>
            </w:tcBorders>
            <w:shd w:val="clear" w:color="auto" w:fill="auto"/>
            <w:noWrap/>
            <w:vAlign w:val="bottom"/>
            <w:hideMark/>
          </w:tcPr>
          <w:p w14:paraId="322BC886" w14:textId="77777777" w:rsidR="00D52D86" w:rsidRPr="00A00187" w:rsidRDefault="00D52D86" w:rsidP="00D52D86">
            <w:pPr>
              <w:spacing w:line="240" w:lineRule="auto"/>
              <w:jc w:val="left"/>
              <w:rPr>
                <w:rFonts w:ascii="Times New Roman" w:eastAsia="Times New Roman" w:hAnsi="Times New Roman"/>
                <w:sz w:val="20"/>
                <w:szCs w:val="20"/>
                <w:lang w:eastAsia="cs-CZ"/>
              </w:rPr>
            </w:pPr>
          </w:p>
        </w:tc>
      </w:tr>
    </w:tbl>
    <w:p w14:paraId="685BA31F" w14:textId="7984B6C1" w:rsidR="008430BD" w:rsidRPr="00A00187" w:rsidRDefault="008430BD" w:rsidP="008430BD">
      <w:pPr>
        <w:pStyle w:val="Nadpis3"/>
        <w:numPr>
          <w:ilvl w:val="2"/>
          <w:numId w:val="1"/>
        </w:numPr>
        <w:rPr>
          <w:color w:val="auto"/>
        </w:rPr>
      </w:pPr>
      <w:bookmarkStart w:id="584" w:name="_Toc515871247"/>
      <w:bookmarkStart w:id="585" w:name="_Toc106092750"/>
      <w:bookmarkStart w:id="586" w:name="_Toc109801361"/>
      <w:r w:rsidRPr="00A00187">
        <w:rPr>
          <w:color w:val="auto"/>
        </w:rPr>
        <w:t>Zaměstnanci ve výkonu</w:t>
      </w:r>
      <w:bookmarkEnd w:id="584"/>
      <w:r w:rsidRPr="00A00187">
        <w:rPr>
          <w:color w:val="auto"/>
        </w:rPr>
        <w:t xml:space="preserve"> </w:t>
      </w:r>
      <w:r w:rsidR="00CD2266" w:rsidRPr="00A00187">
        <w:rPr>
          <w:color w:val="auto"/>
        </w:rPr>
        <w:t>a </w:t>
      </w:r>
      <w:r w:rsidRPr="00A00187">
        <w:rPr>
          <w:color w:val="auto"/>
        </w:rPr>
        <w:t>ve správě</w:t>
      </w:r>
      <w:bookmarkEnd w:id="585"/>
      <w:bookmarkEnd w:id="586"/>
    </w:p>
    <w:p w14:paraId="5C9C9D3F" w14:textId="03D759F6" w:rsidR="003B4A57" w:rsidRPr="00A00187" w:rsidRDefault="003B4A57" w:rsidP="003B4A57">
      <w:pPr>
        <w:pStyle w:val="OdstavecASR"/>
      </w:pPr>
      <w:r w:rsidRPr="00A00187">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podkapitole </w:t>
      </w:r>
      <w:r w:rsidRPr="00A00187">
        <w:fldChar w:fldCharType="begin"/>
      </w:r>
      <w:r w:rsidRPr="00A00187">
        <w:instrText xml:space="preserve"> REF _Ref10813793 \r \h  \* MERGEFORMAT </w:instrText>
      </w:r>
      <w:r w:rsidRPr="00A00187">
        <w:fldChar w:fldCharType="separate"/>
      </w:r>
      <w:r w:rsidR="00DE6B5E">
        <w:t>2.1.2</w:t>
      </w:r>
      <w:r w:rsidRPr="00A00187">
        <w:fldChar w:fldCharType="end"/>
      </w:r>
      <w:r w:rsidRPr="00A00187">
        <w:t>. Znovu tedy pracujeme s nejfrekventovanějšími pracovními pozicemi.</w:t>
      </w:r>
    </w:p>
    <w:p w14:paraId="20D3C6B0" w14:textId="39ABC3EA" w:rsidR="003B4A57" w:rsidRPr="00A00187" w:rsidRDefault="003B4A57" w:rsidP="003B4A57">
      <w:pPr>
        <w:pStyle w:val="Podnadpis"/>
        <w:rPr>
          <w:color w:val="auto"/>
        </w:rPr>
      </w:pPr>
      <w:bookmarkStart w:id="587" w:name="_Toc515871467"/>
      <w:bookmarkStart w:id="588" w:name="_Toc11133234"/>
      <w:bookmarkStart w:id="589" w:name="_Toc43931210"/>
      <w:bookmarkStart w:id="590" w:name="_Toc75952343"/>
      <w:bookmarkStart w:id="591" w:name="_Toc106106801"/>
      <w:bookmarkStart w:id="592" w:name="_Toc109802124"/>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39</w:t>
      </w:r>
      <w:r w:rsidRPr="00A00187">
        <w:rPr>
          <w:noProof/>
          <w:color w:val="auto"/>
        </w:rPr>
        <w:fldChar w:fldCharType="end"/>
      </w:r>
      <w:r w:rsidRPr="00A00187">
        <w:rPr>
          <w:color w:val="auto"/>
        </w:rPr>
        <w:t>: KS – evidenční počet zaměstnanců ve výkonu dle soudů</w:t>
      </w:r>
      <w:bookmarkEnd w:id="587"/>
      <w:bookmarkEnd w:id="588"/>
      <w:bookmarkEnd w:id="589"/>
      <w:bookmarkEnd w:id="590"/>
      <w:bookmarkEnd w:id="591"/>
      <w:bookmarkEnd w:id="592"/>
    </w:p>
    <w:tbl>
      <w:tblPr>
        <w:tblW w:w="8032" w:type="dxa"/>
        <w:tblCellMar>
          <w:left w:w="70" w:type="dxa"/>
          <w:right w:w="70" w:type="dxa"/>
        </w:tblCellMar>
        <w:tblLook w:val="04A0" w:firstRow="1" w:lastRow="0" w:firstColumn="1" w:lastColumn="0" w:noHBand="0" w:noVBand="1"/>
      </w:tblPr>
      <w:tblGrid>
        <w:gridCol w:w="2096"/>
        <w:gridCol w:w="859"/>
        <w:gridCol w:w="532"/>
        <w:gridCol w:w="624"/>
        <w:gridCol w:w="624"/>
        <w:gridCol w:w="609"/>
        <w:gridCol w:w="624"/>
        <w:gridCol w:w="624"/>
        <w:gridCol w:w="1440"/>
      </w:tblGrid>
      <w:tr w:rsidR="00AC1E67" w:rsidRPr="00A00187" w14:paraId="629A01E4" w14:textId="77777777" w:rsidTr="003B4A57">
        <w:trPr>
          <w:trHeight w:val="330"/>
        </w:trPr>
        <w:tc>
          <w:tcPr>
            <w:tcW w:w="2096" w:type="dxa"/>
            <w:vMerge w:val="restart"/>
            <w:tcBorders>
              <w:top w:val="double" w:sz="6" w:space="0" w:color="auto"/>
              <w:left w:val="nil"/>
              <w:bottom w:val="double" w:sz="6" w:space="0" w:color="000000"/>
              <w:right w:val="nil"/>
            </w:tcBorders>
            <w:shd w:val="clear" w:color="auto" w:fill="auto"/>
            <w:noWrap/>
            <w:vAlign w:val="center"/>
            <w:hideMark/>
          </w:tcPr>
          <w:p w14:paraId="418D54B5"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5936" w:type="dxa"/>
            <w:gridSpan w:val="8"/>
            <w:tcBorders>
              <w:top w:val="double" w:sz="6" w:space="0" w:color="auto"/>
              <w:left w:val="nil"/>
              <w:bottom w:val="nil"/>
              <w:right w:val="nil"/>
            </w:tcBorders>
            <w:shd w:val="clear" w:color="auto" w:fill="auto"/>
            <w:noWrap/>
            <w:vAlign w:val="bottom"/>
            <w:hideMark/>
          </w:tcPr>
          <w:p w14:paraId="65F77D97"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Počet osob</w:t>
            </w:r>
          </w:p>
        </w:tc>
      </w:tr>
      <w:tr w:rsidR="00AC1E67" w:rsidRPr="00A00187" w14:paraId="0D0C7990" w14:textId="77777777" w:rsidTr="003B4A57">
        <w:trPr>
          <w:trHeight w:val="330"/>
        </w:trPr>
        <w:tc>
          <w:tcPr>
            <w:tcW w:w="2096" w:type="dxa"/>
            <w:vMerge/>
            <w:tcBorders>
              <w:top w:val="double" w:sz="6" w:space="0" w:color="auto"/>
              <w:left w:val="nil"/>
              <w:bottom w:val="double" w:sz="6" w:space="0" w:color="000000"/>
              <w:right w:val="nil"/>
            </w:tcBorders>
            <w:vAlign w:val="center"/>
            <w:hideMark/>
          </w:tcPr>
          <w:p w14:paraId="49476138" w14:textId="77777777" w:rsidR="003B4A57" w:rsidRPr="00A00187" w:rsidRDefault="003B4A57" w:rsidP="003B4A57">
            <w:pPr>
              <w:spacing w:line="240" w:lineRule="auto"/>
              <w:jc w:val="left"/>
              <w:rPr>
                <w:rFonts w:eastAsia="Times New Roman"/>
                <w:b/>
                <w:bCs/>
                <w:szCs w:val="24"/>
                <w:lang w:eastAsia="cs-CZ"/>
              </w:rPr>
            </w:pPr>
          </w:p>
        </w:tc>
        <w:tc>
          <w:tcPr>
            <w:tcW w:w="859" w:type="dxa"/>
            <w:tcBorders>
              <w:top w:val="nil"/>
              <w:left w:val="nil"/>
              <w:bottom w:val="double" w:sz="6" w:space="0" w:color="auto"/>
              <w:right w:val="nil"/>
            </w:tcBorders>
            <w:shd w:val="clear" w:color="auto" w:fill="auto"/>
            <w:noWrap/>
            <w:vAlign w:val="bottom"/>
            <w:hideMark/>
          </w:tcPr>
          <w:p w14:paraId="52696F91"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VSÚ</w:t>
            </w:r>
          </w:p>
        </w:tc>
        <w:tc>
          <w:tcPr>
            <w:tcW w:w="532" w:type="dxa"/>
            <w:tcBorders>
              <w:top w:val="nil"/>
              <w:left w:val="nil"/>
              <w:bottom w:val="double" w:sz="6" w:space="0" w:color="auto"/>
              <w:right w:val="nil"/>
            </w:tcBorders>
            <w:shd w:val="clear" w:color="auto" w:fill="auto"/>
            <w:noWrap/>
            <w:vAlign w:val="bottom"/>
            <w:hideMark/>
          </w:tcPr>
          <w:p w14:paraId="31E9FFCB"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ST</w:t>
            </w:r>
          </w:p>
        </w:tc>
        <w:tc>
          <w:tcPr>
            <w:tcW w:w="624" w:type="dxa"/>
            <w:tcBorders>
              <w:top w:val="nil"/>
              <w:left w:val="nil"/>
              <w:bottom w:val="double" w:sz="6" w:space="0" w:color="auto"/>
              <w:right w:val="nil"/>
            </w:tcBorders>
            <w:shd w:val="clear" w:color="auto" w:fill="auto"/>
            <w:noWrap/>
            <w:vAlign w:val="bottom"/>
            <w:hideMark/>
          </w:tcPr>
          <w:p w14:paraId="7906DAB8"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A</w:t>
            </w:r>
          </w:p>
        </w:tc>
        <w:tc>
          <w:tcPr>
            <w:tcW w:w="624" w:type="dxa"/>
            <w:tcBorders>
              <w:top w:val="nil"/>
              <w:left w:val="nil"/>
              <w:bottom w:val="double" w:sz="6" w:space="0" w:color="auto"/>
              <w:right w:val="nil"/>
            </w:tcBorders>
            <w:shd w:val="clear" w:color="auto" w:fill="auto"/>
            <w:noWrap/>
            <w:vAlign w:val="bottom"/>
            <w:hideMark/>
          </w:tcPr>
          <w:p w14:paraId="1701CC18"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VK</w:t>
            </w:r>
          </w:p>
        </w:tc>
        <w:tc>
          <w:tcPr>
            <w:tcW w:w="609" w:type="dxa"/>
            <w:tcBorders>
              <w:top w:val="nil"/>
              <w:left w:val="nil"/>
              <w:bottom w:val="double" w:sz="6" w:space="0" w:color="auto"/>
              <w:right w:val="nil"/>
            </w:tcBorders>
            <w:shd w:val="clear" w:color="auto" w:fill="auto"/>
            <w:noWrap/>
            <w:vAlign w:val="bottom"/>
            <w:hideMark/>
          </w:tcPr>
          <w:p w14:paraId="3AFF62F3"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PÚ</w:t>
            </w:r>
          </w:p>
        </w:tc>
        <w:tc>
          <w:tcPr>
            <w:tcW w:w="624" w:type="dxa"/>
            <w:tcBorders>
              <w:top w:val="nil"/>
              <w:left w:val="nil"/>
              <w:bottom w:val="double" w:sz="6" w:space="0" w:color="auto"/>
              <w:right w:val="nil"/>
            </w:tcBorders>
            <w:shd w:val="clear" w:color="auto" w:fill="auto"/>
            <w:noWrap/>
            <w:vAlign w:val="bottom"/>
            <w:hideMark/>
          </w:tcPr>
          <w:p w14:paraId="7283E0E3"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Z</w:t>
            </w:r>
          </w:p>
        </w:tc>
        <w:tc>
          <w:tcPr>
            <w:tcW w:w="624" w:type="dxa"/>
            <w:tcBorders>
              <w:top w:val="nil"/>
              <w:left w:val="nil"/>
              <w:bottom w:val="double" w:sz="6" w:space="0" w:color="auto"/>
              <w:right w:val="nil"/>
            </w:tcBorders>
            <w:shd w:val="clear" w:color="auto" w:fill="auto"/>
            <w:noWrap/>
            <w:vAlign w:val="bottom"/>
            <w:hideMark/>
          </w:tcPr>
          <w:p w14:paraId="485751C9"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RV</w:t>
            </w:r>
          </w:p>
        </w:tc>
        <w:tc>
          <w:tcPr>
            <w:tcW w:w="1440" w:type="dxa"/>
            <w:tcBorders>
              <w:top w:val="nil"/>
              <w:left w:val="nil"/>
              <w:bottom w:val="double" w:sz="6" w:space="0" w:color="auto"/>
              <w:right w:val="nil"/>
            </w:tcBorders>
            <w:shd w:val="clear" w:color="auto" w:fill="auto"/>
            <w:noWrap/>
            <w:vAlign w:val="bottom"/>
            <w:hideMark/>
          </w:tcPr>
          <w:p w14:paraId="58E96675"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Celkem</w:t>
            </w:r>
          </w:p>
        </w:tc>
      </w:tr>
      <w:tr w:rsidR="00AC1E67" w:rsidRPr="00A00187" w14:paraId="7DED8233" w14:textId="77777777" w:rsidTr="003B4A57">
        <w:trPr>
          <w:trHeight w:val="330"/>
        </w:trPr>
        <w:tc>
          <w:tcPr>
            <w:tcW w:w="2096" w:type="dxa"/>
            <w:tcBorders>
              <w:top w:val="single" w:sz="4" w:space="0" w:color="auto"/>
              <w:left w:val="nil"/>
              <w:bottom w:val="single" w:sz="4" w:space="0" w:color="auto"/>
              <w:right w:val="nil"/>
            </w:tcBorders>
            <w:shd w:val="clear" w:color="auto" w:fill="auto"/>
            <w:noWrap/>
            <w:vAlign w:val="bottom"/>
            <w:hideMark/>
          </w:tcPr>
          <w:p w14:paraId="32A041BC"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MS Praha</w:t>
            </w:r>
          </w:p>
        </w:tc>
        <w:tc>
          <w:tcPr>
            <w:tcW w:w="859" w:type="dxa"/>
            <w:tcBorders>
              <w:top w:val="single" w:sz="4" w:space="0" w:color="auto"/>
              <w:left w:val="nil"/>
              <w:bottom w:val="single" w:sz="4" w:space="0" w:color="auto"/>
              <w:right w:val="nil"/>
            </w:tcBorders>
            <w:shd w:val="clear" w:color="auto" w:fill="auto"/>
            <w:noWrap/>
            <w:vAlign w:val="bottom"/>
            <w:hideMark/>
          </w:tcPr>
          <w:p w14:paraId="49069A85"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67</w:t>
            </w:r>
          </w:p>
        </w:tc>
        <w:tc>
          <w:tcPr>
            <w:tcW w:w="532" w:type="dxa"/>
            <w:tcBorders>
              <w:top w:val="single" w:sz="4" w:space="0" w:color="auto"/>
              <w:left w:val="nil"/>
              <w:bottom w:val="single" w:sz="4" w:space="0" w:color="auto"/>
              <w:right w:val="nil"/>
            </w:tcBorders>
            <w:shd w:val="clear" w:color="auto" w:fill="auto"/>
            <w:noWrap/>
            <w:vAlign w:val="bottom"/>
            <w:hideMark/>
          </w:tcPr>
          <w:p w14:paraId="1D62B643"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16</w:t>
            </w:r>
          </w:p>
        </w:tc>
        <w:tc>
          <w:tcPr>
            <w:tcW w:w="624" w:type="dxa"/>
            <w:tcBorders>
              <w:top w:val="single" w:sz="4" w:space="0" w:color="auto"/>
              <w:left w:val="nil"/>
              <w:bottom w:val="single" w:sz="4" w:space="0" w:color="auto"/>
              <w:right w:val="nil"/>
            </w:tcBorders>
            <w:shd w:val="clear" w:color="auto" w:fill="auto"/>
            <w:noWrap/>
            <w:vAlign w:val="bottom"/>
            <w:hideMark/>
          </w:tcPr>
          <w:p w14:paraId="6EF6E8ED"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109</w:t>
            </w:r>
          </w:p>
        </w:tc>
        <w:tc>
          <w:tcPr>
            <w:tcW w:w="624" w:type="dxa"/>
            <w:tcBorders>
              <w:top w:val="single" w:sz="4" w:space="0" w:color="auto"/>
              <w:left w:val="nil"/>
              <w:bottom w:val="single" w:sz="4" w:space="0" w:color="auto"/>
              <w:right w:val="nil"/>
            </w:tcBorders>
            <w:shd w:val="clear" w:color="auto" w:fill="auto"/>
            <w:noWrap/>
            <w:vAlign w:val="bottom"/>
            <w:hideMark/>
          </w:tcPr>
          <w:p w14:paraId="1152BBF8"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45</w:t>
            </w:r>
          </w:p>
        </w:tc>
        <w:tc>
          <w:tcPr>
            <w:tcW w:w="609" w:type="dxa"/>
            <w:tcBorders>
              <w:top w:val="single" w:sz="4" w:space="0" w:color="auto"/>
              <w:left w:val="nil"/>
              <w:bottom w:val="single" w:sz="4" w:space="0" w:color="auto"/>
              <w:right w:val="nil"/>
            </w:tcBorders>
            <w:shd w:val="clear" w:color="auto" w:fill="auto"/>
            <w:noWrap/>
            <w:vAlign w:val="bottom"/>
            <w:hideMark/>
          </w:tcPr>
          <w:p w14:paraId="2E01D3EA"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18</w:t>
            </w:r>
          </w:p>
        </w:tc>
        <w:tc>
          <w:tcPr>
            <w:tcW w:w="624" w:type="dxa"/>
            <w:tcBorders>
              <w:top w:val="single" w:sz="4" w:space="0" w:color="auto"/>
              <w:left w:val="nil"/>
              <w:bottom w:val="single" w:sz="4" w:space="0" w:color="auto"/>
              <w:right w:val="nil"/>
            </w:tcBorders>
            <w:shd w:val="clear" w:color="auto" w:fill="auto"/>
            <w:noWrap/>
            <w:vAlign w:val="bottom"/>
            <w:hideMark/>
          </w:tcPr>
          <w:p w14:paraId="172B820A"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97</w:t>
            </w:r>
          </w:p>
        </w:tc>
        <w:tc>
          <w:tcPr>
            <w:tcW w:w="624" w:type="dxa"/>
            <w:tcBorders>
              <w:top w:val="single" w:sz="4" w:space="0" w:color="auto"/>
              <w:left w:val="nil"/>
              <w:bottom w:val="single" w:sz="4" w:space="0" w:color="auto"/>
              <w:right w:val="nil"/>
            </w:tcBorders>
            <w:shd w:val="clear" w:color="auto" w:fill="auto"/>
            <w:noWrap/>
            <w:vAlign w:val="bottom"/>
            <w:hideMark/>
          </w:tcPr>
          <w:p w14:paraId="7B287ECA"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85</w:t>
            </w:r>
          </w:p>
        </w:tc>
        <w:tc>
          <w:tcPr>
            <w:tcW w:w="1440" w:type="dxa"/>
            <w:tcBorders>
              <w:top w:val="single" w:sz="4" w:space="0" w:color="auto"/>
              <w:left w:val="nil"/>
              <w:bottom w:val="single" w:sz="4" w:space="0" w:color="auto"/>
              <w:right w:val="nil"/>
            </w:tcBorders>
            <w:shd w:val="clear" w:color="auto" w:fill="auto"/>
            <w:noWrap/>
            <w:vAlign w:val="bottom"/>
            <w:hideMark/>
          </w:tcPr>
          <w:p w14:paraId="5B94FE52"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437</w:t>
            </w:r>
          </w:p>
        </w:tc>
      </w:tr>
      <w:tr w:rsidR="00AC1E67" w:rsidRPr="00A00187" w14:paraId="1763467C" w14:textId="77777777" w:rsidTr="003B4A57">
        <w:trPr>
          <w:trHeight w:val="315"/>
        </w:trPr>
        <w:tc>
          <w:tcPr>
            <w:tcW w:w="2096" w:type="dxa"/>
            <w:tcBorders>
              <w:top w:val="nil"/>
              <w:left w:val="nil"/>
              <w:bottom w:val="single" w:sz="4" w:space="0" w:color="auto"/>
              <w:right w:val="nil"/>
            </w:tcBorders>
            <w:shd w:val="clear" w:color="auto" w:fill="auto"/>
            <w:noWrap/>
            <w:vAlign w:val="bottom"/>
            <w:hideMark/>
          </w:tcPr>
          <w:p w14:paraId="1BA8ECBE"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KS Praha</w:t>
            </w:r>
          </w:p>
        </w:tc>
        <w:tc>
          <w:tcPr>
            <w:tcW w:w="859" w:type="dxa"/>
            <w:tcBorders>
              <w:top w:val="nil"/>
              <w:left w:val="nil"/>
              <w:bottom w:val="single" w:sz="4" w:space="0" w:color="auto"/>
              <w:right w:val="nil"/>
            </w:tcBorders>
            <w:shd w:val="clear" w:color="auto" w:fill="auto"/>
            <w:noWrap/>
            <w:vAlign w:val="bottom"/>
            <w:hideMark/>
          </w:tcPr>
          <w:p w14:paraId="3A8F059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15</w:t>
            </w:r>
          </w:p>
        </w:tc>
        <w:tc>
          <w:tcPr>
            <w:tcW w:w="532" w:type="dxa"/>
            <w:tcBorders>
              <w:top w:val="nil"/>
              <w:left w:val="nil"/>
              <w:bottom w:val="single" w:sz="4" w:space="0" w:color="auto"/>
              <w:right w:val="nil"/>
            </w:tcBorders>
            <w:shd w:val="clear" w:color="auto" w:fill="auto"/>
            <w:noWrap/>
            <w:vAlign w:val="bottom"/>
            <w:hideMark/>
          </w:tcPr>
          <w:p w14:paraId="1BD595FF"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5</w:t>
            </w:r>
          </w:p>
        </w:tc>
        <w:tc>
          <w:tcPr>
            <w:tcW w:w="624" w:type="dxa"/>
            <w:tcBorders>
              <w:top w:val="nil"/>
              <w:left w:val="nil"/>
              <w:bottom w:val="single" w:sz="4" w:space="0" w:color="auto"/>
              <w:right w:val="nil"/>
            </w:tcBorders>
            <w:shd w:val="clear" w:color="auto" w:fill="auto"/>
            <w:noWrap/>
            <w:vAlign w:val="bottom"/>
            <w:hideMark/>
          </w:tcPr>
          <w:p w14:paraId="6BE816F3"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40</w:t>
            </w:r>
          </w:p>
        </w:tc>
        <w:tc>
          <w:tcPr>
            <w:tcW w:w="624" w:type="dxa"/>
            <w:tcBorders>
              <w:top w:val="nil"/>
              <w:left w:val="nil"/>
              <w:bottom w:val="single" w:sz="4" w:space="0" w:color="auto"/>
              <w:right w:val="nil"/>
            </w:tcBorders>
            <w:shd w:val="clear" w:color="auto" w:fill="auto"/>
            <w:noWrap/>
            <w:vAlign w:val="bottom"/>
            <w:hideMark/>
          </w:tcPr>
          <w:p w14:paraId="41C554C6"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13</w:t>
            </w:r>
          </w:p>
        </w:tc>
        <w:tc>
          <w:tcPr>
            <w:tcW w:w="609" w:type="dxa"/>
            <w:tcBorders>
              <w:top w:val="nil"/>
              <w:left w:val="nil"/>
              <w:bottom w:val="single" w:sz="4" w:space="0" w:color="auto"/>
              <w:right w:val="nil"/>
            </w:tcBorders>
            <w:shd w:val="clear" w:color="auto" w:fill="auto"/>
            <w:noWrap/>
            <w:vAlign w:val="bottom"/>
            <w:hideMark/>
          </w:tcPr>
          <w:p w14:paraId="4A520A5E"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12</w:t>
            </w:r>
          </w:p>
        </w:tc>
        <w:tc>
          <w:tcPr>
            <w:tcW w:w="624" w:type="dxa"/>
            <w:tcBorders>
              <w:top w:val="nil"/>
              <w:left w:val="nil"/>
              <w:bottom w:val="single" w:sz="4" w:space="0" w:color="auto"/>
              <w:right w:val="nil"/>
            </w:tcBorders>
            <w:shd w:val="clear" w:color="auto" w:fill="auto"/>
            <w:noWrap/>
            <w:vAlign w:val="bottom"/>
            <w:hideMark/>
          </w:tcPr>
          <w:p w14:paraId="48649B34"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7</w:t>
            </w:r>
          </w:p>
        </w:tc>
        <w:tc>
          <w:tcPr>
            <w:tcW w:w="624" w:type="dxa"/>
            <w:tcBorders>
              <w:top w:val="nil"/>
              <w:left w:val="nil"/>
              <w:bottom w:val="single" w:sz="4" w:space="0" w:color="auto"/>
              <w:right w:val="nil"/>
            </w:tcBorders>
            <w:shd w:val="clear" w:color="auto" w:fill="auto"/>
            <w:noWrap/>
            <w:vAlign w:val="bottom"/>
            <w:hideMark/>
          </w:tcPr>
          <w:p w14:paraId="56A2F8AD"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54</w:t>
            </w:r>
          </w:p>
        </w:tc>
        <w:tc>
          <w:tcPr>
            <w:tcW w:w="1440" w:type="dxa"/>
            <w:tcBorders>
              <w:top w:val="nil"/>
              <w:left w:val="nil"/>
              <w:bottom w:val="single" w:sz="4" w:space="0" w:color="auto"/>
              <w:right w:val="nil"/>
            </w:tcBorders>
            <w:shd w:val="clear" w:color="auto" w:fill="auto"/>
            <w:noWrap/>
            <w:vAlign w:val="bottom"/>
            <w:hideMark/>
          </w:tcPr>
          <w:p w14:paraId="452AD612"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146</w:t>
            </w:r>
          </w:p>
        </w:tc>
      </w:tr>
      <w:tr w:rsidR="00AC1E67" w:rsidRPr="00A00187" w14:paraId="3E20CB4E" w14:textId="77777777" w:rsidTr="003B4A57">
        <w:trPr>
          <w:trHeight w:val="315"/>
        </w:trPr>
        <w:tc>
          <w:tcPr>
            <w:tcW w:w="2096" w:type="dxa"/>
            <w:tcBorders>
              <w:top w:val="nil"/>
              <w:left w:val="nil"/>
              <w:bottom w:val="single" w:sz="4" w:space="0" w:color="auto"/>
              <w:right w:val="nil"/>
            </w:tcBorders>
            <w:shd w:val="clear" w:color="auto" w:fill="auto"/>
            <w:noWrap/>
            <w:vAlign w:val="bottom"/>
            <w:hideMark/>
          </w:tcPr>
          <w:p w14:paraId="5693C3A2"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KS Č. Budějovice</w:t>
            </w:r>
          </w:p>
        </w:tc>
        <w:tc>
          <w:tcPr>
            <w:tcW w:w="859" w:type="dxa"/>
            <w:tcBorders>
              <w:top w:val="nil"/>
              <w:left w:val="nil"/>
              <w:bottom w:val="single" w:sz="4" w:space="0" w:color="auto"/>
              <w:right w:val="nil"/>
            </w:tcBorders>
            <w:shd w:val="clear" w:color="auto" w:fill="auto"/>
            <w:noWrap/>
            <w:vAlign w:val="bottom"/>
            <w:hideMark/>
          </w:tcPr>
          <w:p w14:paraId="7DC50DB7"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23</w:t>
            </w:r>
          </w:p>
        </w:tc>
        <w:tc>
          <w:tcPr>
            <w:tcW w:w="532" w:type="dxa"/>
            <w:tcBorders>
              <w:top w:val="nil"/>
              <w:left w:val="nil"/>
              <w:bottom w:val="single" w:sz="4" w:space="0" w:color="auto"/>
              <w:right w:val="nil"/>
            </w:tcBorders>
            <w:shd w:val="clear" w:color="auto" w:fill="auto"/>
            <w:noWrap/>
            <w:vAlign w:val="bottom"/>
            <w:hideMark/>
          </w:tcPr>
          <w:p w14:paraId="0BAC2CF4"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w:t>
            </w:r>
          </w:p>
        </w:tc>
        <w:tc>
          <w:tcPr>
            <w:tcW w:w="624" w:type="dxa"/>
            <w:tcBorders>
              <w:top w:val="nil"/>
              <w:left w:val="nil"/>
              <w:bottom w:val="single" w:sz="4" w:space="0" w:color="auto"/>
              <w:right w:val="nil"/>
            </w:tcBorders>
            <w:shd w:val="clear" w:color="auto" w:fill="auto"/>
            <w:noWrap/>
            <w:vAlign w:val="bottom"/>
            <w:hideMark/>
          </w:tcPr>
          <w:p w14:paraId="67454FB3"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21</w:t>
            </w:r>
          </w:p>
        </w:tc>
        <w:tc>
          <w:tcPr>
            <w:tcW w:w="624" w:type="dxa"/>
            <w:tcBorders>
              <w:top w:val="nil"/>
              <w:left w:val="nil"/>
              <w:bottom w:val="single" w:sz="4" w:space="0" w:color="auto"/>
              <w:right w:val="nil"/>
            </w:tcBorders>
            <w:shd w:val="clear" w:color="auto" w:fill="auto"/>
            <w:noWrap/>
            <w:vAlign w:val="bottom"/>
            <w:hideMark/>
          </w:tcPr>
          <w:p w14:paraId="690F75AB"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11</w:t>
            </w:r>
          </w:p>
        </w:tc>
        <w:tc>
          <w:tcPr>
            <w:tcW w:w="609" w:type="dxa"/>
            <w:tcBorders>
              <w:top w:val="nil"/>
              <w:left w:val="nil"/>
              <w:bottom w:val="single" w:sz="4" w:space="0" w:color="auto"/>
              <w:right w:val="nil"/>
            </w:tcBorders>
            <w:shd w:val="clear" w:color="auto" w:fill="auto"/>
            <w:noWrap/>
            <w:vAlign w:val="bottom"/>
            <w:hideMark/>
          </w:tcPr>
          <w:p w14:paraId="112213B1"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13</w:t>
            </w:r>
          </w:p>
        </w:tc>
        <w:tc>
          <w:tcPr>
            <w:tcW w:w="624" w:type="dxa"/>
            <w:tcBorders>
              <w:top w:val="nil"/>
              <w:left w:val="nil"/>
              <w:bottom w:val="single" w:sz="4" w:space="0" w:color="auto"/>
              <w:right w:val="nil"/>
            </w:tcBorders>
            <w:shd w:val="clear" w:color="auto" w:fill="auto"/>
            <w:noWrap/>
            <w:vAlign w:val="bottom"/>
            <w:hideMark/>
          </w:tcPr>
          <w:p w14:paraId="635A165C"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25</w:t>
            </w:r>
          </w:p>
        </w:tc>
        <w:tc>
          <w:tcPr>
            <w:tcW w:w="624" w:type="dxa"/>
            <w:tcBorders>
              <w:top w:val="nil"/>
              <w:left w:val="nil"/>
              <w:bottom w:val="single" w:sz="4" w:space="0" w:color="auto"/>
              <w:right w:val="nil"/>
            </w:tcBorders>
            <w:shd w:val="clear" w:color="auto" w:fill="auto"/>
            <w:noWrap/>
            <w:vAlign w:val="bottom"/>
            <w:hideMark/>
          </w:tcPr>
          <w:p w14:paraId="1218B5F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7</w:t>
            </w:r>
          </w:p>
        </w:tc>
        <w:tc>
          <w:tcPr>
            <w:tcW w:w="1440" w:type="dxa"/>
            <w:tcBorders>
              <w:top w:val="nil"/>
              <w:left w:val="nil"/>
              <w:bottom w:val="single" w:sz="4" w:space="0" w:color="auto"/>
              <w:right w:val="nil"/>
            </w:tcBorders>
            <w:shd w:val="clear" w:color="auto" w:fill="auto"/>
            <w:noWrap/>
            <w:vAlign w:val="bottom"/>
            <w:hideMark/>
          </w:tcPr>
          <w:p w14:paraId="5908B551"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104</w:t>
            </w:r>
          </w:p>
        </w:tc>
      </w:tr>
      <w:tr w:rsidR="00AC1E67" w:rsidRPr="00A00187" w14:paraId="25F25FCC" w14:textId="77777777" w:rsidTr="003B4A57">
        <w:trPr>
          <w:trHeight w:val="315"/>
        </w:trPr>
        <w:tc>
          <w:tcPr>
            <w:tcW w:w="2096" w:type="dxa"/>
            <w:tcBorders>
              <w:top w:val="nil"/>
              <w:left w:val="nil"/>
              <w:bottom w:val="single" w:sz="4" w:space="0" w:color="auto"/>
              <w:right w:val="nil"/>
            </w:tcBorders>
            <w:shd w:val="clear" w:color="auto" w:fill="auto"/>
            <w:noWrap/>
            <w:vAlign w:val="bottom"/>
            <w:hideMark/>
          </w:tcPr>
          <w:p w14:paraId="0B2431E0"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KS Plzeň</w:t>
            </w:r>
          </w:p>
        </w:tc>
        <w:tc>
          <w:tcPr>
            <w:tcW w:w="859" w:type="dxa"/>
            <w:tcBorders>
              <w:top w:val="nil"/>
              <w:left w:val="nil"/>
              <w:bottom w:val="single" w:sz="4" w:space="0" w:color="auto"/>
              <w:right w:val="nil"/>
            </w:tcBorders>
            <w:shd w:val="clear" w:color="auto" w:fill="auto"/>
            <w:noWrap/>
            <w:vAlign w:val="bottom"/>
            <w:hideMark/>
          </w:tcPr>
          <w:p w14:paraId="069A1D3E"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18</w:t>
            </w:r>
          </w:p>
        </w:tc>
        <w:tc>
          <w:tcPr>
            <w:tcW w:w="532" w:type="dxa"/>
            <w:tcBorders>
              <w:top w:val="nil"/>
              <w:left w:val="nil"/>
              <w:bottom w:val="single" w:sz="4" w:space="0" w:color="auto"/>
              <w:right w:val="nil"/>
            </w:tcBorders>
            <w:shd w:val="clear" w:color="auto" w:fill="auto"/>
            <w:noWrap/>
            <w:vAlign w:val="bottom"/>
            <w:hideMark/>
          </w:tcPr>
          <w:p w14:paraId="61609635"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w:t>
            </w:r>
          </w:p>
        </w:tc>
        <w:tc>
          <w:tcPr>
            <w:tcW w:w="624" w:type="dxa"/>
            <w:tcBorders>
              <w:top w:val="nil"/>
              <w:left w:val="nil"/>
              <w:bottom w:val="single" w:sz="4" w:space="0" w:color="auto"/>
              <w:right w:val="nil"/>
            </w:tcBorders>
            <w:shd w:val="clear" w:color="auto" w:fill="auto"/>
            <w:noWrap/>
            <w:vAlign w:val="bottom"/>
            <w:hideMark/>
          </w:tcPr>
          <w:p w14:paraId="516F626B"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31</w:t>
            </w:r>
          </w:p>
        </w:tc>
        <w:tc>
          <w:tcPr>
            <w:tcW w:w="624" w:type="dxa"/>
            <w:tcBorders>
              <w:top w:val="nil"/>
              <w:left w:val="nil"/>
              <w:bottom w:val="single" w:sz="4" w:space="0" w:color="auto"/>
              <w:right w:val="nil"/>
            </w:tcBorders>
            <w:shd w:val="clear" w:color="auto" w:fill="auto"/>
            <w:noWrap/>
            <w:vAlign w:val="bottom"/>
            <w:hideMark/>
          </w:tcPr>
          <w:p w14:paraId="391F83AE"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47</w:t>
            </w:r>
          </w:p>
        </w:tc>
        <w:tc>
          <w:tcPr>
            <w:tcW w:w="609" w:type="dxa"/>
            <w:tcBorders>
              <w:top w:val="nil"/>
              <w:left w:val="nil"/>
              <w:bottom w:val="single" w:sz="4" w:space="0" w:color="auto"/>
              <w:right w:val="nil"/>
            </w:tcBorders>
            <w:shd w:val="clear" w:color="auto" w:fill="auto"/>
            <w:noWrap/>
            <w:vAlign w:val="bottom"/>
            <w:hideMark/>
          </w:tcPr>
          <w:p w14:paraId="090B77C4"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9</w:t>
            </w:r>
          </w:p>
        </w:tc>
        <w:tc>
          <w:tcPr>
            <w:tcW w:w="624" w:type="dxa"/>
            <w:tcBorders>
              <w:top w:val="nil"/>
              <w:left w:val="nil"/>
              <w:bottom w:val="single" w:sz="4" w:space="0" w:color="auto"/>
              <w:right w:val="nil"/>
            </w:tcBorders>
            <w:shd w:val="clear" w:color="auto" w:fill="auto"/>
            <w:noWrap/>
            <w:vAlign w:val="bottom"/>
            <w:hideMark/>
          </w:tcPr>
          <w:p w14:paraId="17FE4D9B"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20</w:t>
            </w:r>
          </w:p>
        </w:tc>
        <w:tc>
          <w:tcPr>
            <w:tcW w:w="624" w:type="dxa"/>
            <w:tcBorders>
              <w:top w:val="nil"/>
              <w:left w:val="nil"/>
              <w:bottom w:val="single" w:sz="4" w:space="0" w:color="auto"/>
              <w:right w:val="nil"/>
            </w:tcBorders>
            <w:shd w:val="clear" w:color="auto" w:fill="auto"/>
            <w:noWrap/>
            <w:vAlign w:val="bottom"/>
            <w:hideMark/>
          </w:tcPr>
          <w:p w14:paraId="11F3FE04"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w:t>
            </w:r>
          </w:p>
        </w:tc>
        <w:tc>
          <w:tcPr>
            <w:tcW w:w="1440" w:type="dxa"/>
            <w:tcBorders>
              <w:top w:val="nil"/>
              <w:left w:val="nil"/>
              <w:bottom w:val="single" w:sz="4" w:space="0" w:color="auto"/>
              <w:right w:val="nil"/>
            </w:tcBorders>
            <w:shd w:val="clear" w:color="auto" w:fill="auto"/>
            <w:noWrap/>
            <w:vAlign w:val="bottom"/>
            <w:hideMark/>
          </w:tcPr>
          <w:p w14:paraId="58649699"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129</w:t>
            </w:r>
          </w:p>
        </w:tc>
      </w:tr>
      <w:tr w:rsidR="00AC1E67" w:rsidRPr="00A00187" w14:paraId="37A48A3E" w14:textId="77777777" w:rsidTr="003B4A57">
        <w:trPr>
          <w:trHeight w:val="315"/>
        </w:trPr>
        <w:tc>
          <w:tcPr>
            <w:tcW w:w="2096" w:type="dxa"/>
            <w:tcBorders>
              <w:top w:val="nil"/>
              <w:left w:val="nil"/>
              <w:bottom w:val="single" w:sz="4" w:space="0" w:color="auto"/>
              <w:right w:val="nil"/>
            </w:tcBorders>
            <w:shd w:val="clear" w:color="auto" w:fill="auto"/>
            <w:noWrap/>
            <w:vAlign w:val="bottom"/>
            <w:hideMark/>
          </w:tcPr>
          <w:p w14:paraId="5E51E462"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KS Ústí n. Labem</w:t>
            </w:r>
          </w:p>
        </w:tc>
        <w:tc>
          <w:tcPr>
            <w:tcW w:w="859" w:type="dxa"/>
            <w:tcBorders>
              <w:top w:val="nil"/>
              <w:left w:val="nil"/>
              <w:bottom w:val="single" w:sz="4" w:space="0" w:color="auto"/>
              <w:right w:val="nil"/>
            </w:tcBorders>
            <w:shd w:val="clear" w:color="auto" w:fill="auto"/>
            <w:noWrap/>
            <w:vAlign w:val="bottom"/>
            <w:hideMark/>
          </w:tcPr>
          <w:p w14:paraId="06B36430"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42</w:t>
            </w:r>
          </w:p>
        </w:tc>
        <w:tc>
          <w:tcPr>
            <w:tcW w:w="532" w:type="dxa"/>
            <w:tcBorders>
              <w:top w:val="nil"/>
              <w:left w:val="nil"/>
              <w:bottom w:val="single" w:sz="4" w:space="0" w:color="auto"/>
              <w:right w:val="nil"/>
            </w:tcBorders>
            <w:shd w:val="clear" w:color="auto" w:fill="auto"/>
            <w:noWrap/>
            <w:vAlign w:val="bottom"/>
            <w:hideMark/>
          </w:tcPr>
          <w:p w14:paraId="2B173E16"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22</w:t>
            </w:r>
          </w:p>
        </w:tc>
        <w:tc>
          <w:tcPr>
            <w:tcW w:w="624" w:type="dxa"/>
            <w:tcBorders>
              <w:top w:val="nil"/>
              <w:left w:val="nil"/>
              <w:bottom w:val="single" w:sz="4" w:space="0" w:color="auto"/>
              <w:right w:val="nil"/>
            </w:tcBorders>
            <w:shd w:val="clear" w:color="auto" w:fill="auto"/>
            <w:noWrap/>
            <w:vAlign w:val="bottom"/>
            <w:hideMark/>
          </w:tcPr>
          <w:p w14:paraId="35B591C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42</w:t>
            </w:r>
          </w:p>
        </w:tc>
        <w:tc>
          <w:tcPr>
            <w:tcW w:w="624" w:type="dxa"/>
            <w:tcBorders>
              <w:top w:val="nil"/>
              <w:left w:val="nil"/>
              <w:bottom w:val="single" w:sz="4" w:space="0" w:color="auto"/>
              <w:right w:val="nil"/>
            </w:tcBorders>
            <w:shd w:val="clear" w:color="auto" w:fill="auto"/>
            <w:noWrap/>
            <w:vAlign w:val="bottom"/>
            <w:hideMark/>
          </w:tcPr>
          <w:p w14:paraId="11A5890F"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26</w:t>
            </w:r>
          </w:p>
        </w:tc>
        <w:tc>
          <w:tcPr>
            <w:tcW w:w="609" w:type="dxa"/>
            <w:tcBorders>
              <w:top w:val="nil"/>
              <w:left w:val="nil"/>
              <w:bottom w:val="single" w:sz="4" w:space="0" w:color="auto"/>
              <w:right w:val="nil"/>
            </w:tcBorders>
            <w:shd w:val="clear" w:color="auto" w:fill="auto"/>
            <w:noWrap/>
            <w:vAlign w:val="bottom"/>
            <w:hideMark/>
          </w:tcPr>
          <w:p w14:paraId="1687C62A"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25</w:t>
            </w:r>
          </w:p>
        </w:tc>
        <w:tc>
          <w:tcPr>
            <w:tcW w:w="624" w:type="dxa"/>
            <w:tcBorders>
              <w:top w:val="nil"/>
              <w:left w:val="nil"/>
              <w:bottom w:val="single" w:sz="4" w:space="0" w:color="auto"/>
              <w:right w:val="nil"/>
            </w:tcBorders>
            <w:shd w:val="clear" w:color="auto" w:fill="auto"/>
            <w:noWrap/>
            <w:vAlign w:val="bottom"/>
            <w:hideMark/>
          </w:tcPr>
          <w:p w14:paraId="71C9F83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50</w:t>
            </w:r>
          </w:p>
        </w:tc>
        <w:tc>
          <w:tcPr>
            <w:tcW w:w="624" w:type="dxa"/>
            <w:tcBorders>
              <w:top w:val="nil"/>
              <w:left w:val="nil"/>
              <w:bottom w:val="single" w:sz="4" w:space="0" w:color="auto"/>
              <w:right w:val="nil"/>
            </w:tcBorders>
            <w:shd w:val="clear" w:color="auto" w:fill="auto"/>
            <w:noWrap/>
            <w:vAlign w:val="bottom"/>
            <w:hideMark/>
          </w:tcPr>
          <w:p w14:paraId="6C43862E"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22</w:t>
            </w:r>
          </w:p>
        </w:tc>
        <w:tc>
          <w:tcPr>
            <w:tcW w:w="1440" w:type="dxa"/>
            <w:tcBorders>
              <w:top w:val="nil"/>
              <w:left w:val="nil"/>
              <w:bottom w:val="single" w:sz="4" w:space="0" w:color="auto"/>
              <w:right w:val="nil"/>
            </w:tcBorders>
            <w:shd w:val="clear" w:color="auto" w:fill="auto"/>
            <w:noWrap/>
            <w:vAlign w:val="bottom"/>
            <w:hideMark/>
          </w:tcPr>
          <w:p w14:paraId="757F81D4"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229</w:t>
            </w:r>
          </w:p>
        </w:tc>
      </w:tr>
      <w:tr w:rsidR="00AC1E67" w:rsidRPr="00A00187" w14:paraId="72118650" w14:textId="77777777" w:rsidTr="003B4A57">
        <w:trPr>
          <w:trHeight w:val="315"/>
        </w:trPr>
        <w:tc>
          <w:tcPr>
            <w:tcW w:w="2096" w:type="dxa"/>
            <w:tcBorders>
              <w:top w:val="nil"/>
              <w:left w:val="nil"/>
              <w:bottom w:val="single" w:sz="4" w:space="0" w:color="auto"/>
              <w:right w:val="nil"/>
            </w:tcBorders>
            <w:shd w:val="clear" w:color="auto" w:fill="auto"/>
            <w:noWrap/>
            <w:vAlign w:val="bottom"/>
            <w:hideMark/>
          </w:tcPr>
          <w:p w14:paraId="3E58397A"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KS Hr. Králové</w:t>
            </w:r>
          </w:p>
        </w:tc>
        <w:tc>
          <w:tcPr>
            <w:tcW w:w="859" w:type="dxa"/>
            <w:tcBorders>
              <w:top w:val="nil"/>
              <w:left w:val="nil"/>
              <w:bottom w:val="single" w:sz="4" w:space="0" w:color="auto"/>
              <w:right w:val="nil"/>
            </w:tcBorders>
            <w:shd w:val="clear" w:color="auto" w:fill="auto"/>
            <w:noWrap/>
            <w:vAlign w:val="bottom"/>
            <w:hideMark/>
          </w:tcPr>
          <w:p w14:paraId="59A1C5B3"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27</w:t>
            </w:r>
          </w:p>
        </w:tc>
        <w:tc>
          <w:tcPr>
            <w:tcW w:w="532" w:type="dxa"/>
            <w:tcBorders>
              <w:top w:val="nil"/>
              <w:left w:val="nil"/>
              <w:bottom w:val="single" w:sz="4" w:space="0" w:color="auto"/>
              <w:right w:val="nil"/>
            </w:tcBorders>
            <w:shd w:val="clear" w:color="auto" w:fill="auto"/>
            <w:noWrap/>
            <w:vAlign w:val="bottom"/>
            <w:hideMark/>
          </w:tcPr>
          <w:p w14:paraId="2E2A4FB3"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6</w:t>
            </w:r>
          </w:p>
        </w:tc>
        <w:tc>
          <w:tcPr>
            <w:tcW w:w="624" w:type="dxa"/>
            <w:tcBorders>
              <w:top w:val="nil"/>
              <w:left w:val="nil"/>
              <w:bottom w:val="single" w:sz="4" w:space="0" w:color="auto"/>
              <w:right w:val="nil"/>
            </w:tcBorders>
            <w:shd w:val="clear" w:color="auto" w:fill="auto"/>
            <w:noWrap/>
            <w:vAlign w:val="bottom"/>
            <w:hideMark/>
          </w:tcPr>
          <w:p w14:paraId="2840608B"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11</w:t>
            </w:r>
          </w:p>
        </w:tc>
        <w:tc>
          <w:tcPr>
            <w:tcW w:w="624" w:type="dxa"/>
            <w:tcBorders>
              <w:top w:val="nil"/>
              <w:left w:val="nil"/>
              <w:bottom w:val="single" w:sz="4" w:space="0" w:color="auto"/>
              <w:right w:val="nil"/>
            </w:tcBorders>
            <w:shd w:val="clear" w:color="auto" w:fill="auto"/>
            <w:noWrap/>
            <w:vAlign w:val="bottom"/>
            <w:hideMark/>
          </w:tcPr>
          <w:p w14:paraId="48C47828"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25</w:t>
            </w:r>
          </w:p>
        </w:tc>
        <w:tc>
          <w:tcPr>
            <w:tcW w:w="609" w:type="dxa"/>
            <w:tcBorders>
              <w:top w:val="nil"/>
              <w:left w:val="nil"/>
              <w:bottom w:val="single" w:sz="4" w:space="0" w:color="auto"/>
              <w:right w:val="nil"/>
            </w:tcBorders>
            <w:shd w:val="clear" w:color="auto" w:fill="auto"/>
            <w:noWrap/>
            <w:vAlign w:val="bottom"/>
            <w:hideMark/>
          </w:tcPr>
          <w:p w14:paraId="3442713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13</w:t>
            </w:r>
          </w:p>
        </w:tc>
        <w:tc>
          <w:tcPr>
            <w:tcW w:w="624" w:type="dxa"/>
            <w:tcBorders>
              <w:top w:val="nil"/>
              <w:left w:val="nil"/>
              <w:bottom w:val="single" w:sz="4" w:space="0" w:color="auto"/>
              <w:right w:val="nil"/>
            </w:tcBorders>
            <w:shd w:val="clear" w:color="auto" w:fill="auto"/>
            <w:noWrap/>
            <w:vAlign w:val="bottom"/>
            <w:hideMark/>
          </w:tcPr>
          <w:p w14:paraId="73FD5CC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56</w:t>
            </w:r>
          </w:p>
        </w:tc>
        <w:tc>
          <w:tcPr>
            <w:tcW w:w="624" w:type="dxa"/>
            <w:tcBorders>
              <w:top w:val="nil"/>
              <w:left w:val="nil"/>
              <w:bottom w:val="single" w:sz="4" w:space="0" w:color="auto"/>
              <w:right w:val="nil"/>
            </w:tcBorders>
            <w:shd w:val="clear" w:color="auto" w:fill="auto"/>
            <w:noWrap/>
            <w:vAlign w:val="bottom"/>
            <w:hideMark/>
          </w:tcPr>
          <w:p w14:paraId="59DC774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0</w:t>
            </w:r>
          </w:p>
        </w:tc>
        <w:tc>
          <w:tcPr>
            <w:tcW w:w="1440" w:type="dxa"/>
            <w:tcBorders>
              <w:top w:val="nil"/>
              <w:left w:val="nil"/>
              <w:bottom w:val="single" w:sz="4" w:space="0" w:color="auto"/>
              <w:right w:val="nil"/>
            </w:tcBorders>
            <w:shd w:val="clear" w:color="auto" w:fill="auto"/>
            <w:noWrap/>
            <w:vAlign w:val="bottom"/>
            <w:hideMark/>
          </w:tcPr>
          <w:p w14:paraId="79D817AF"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138</w:t>
            </w:r>
          </w:p>
        </w:tc>
      </w:tr>
      <w:tr w:rsidR="00AC1E67" w:rsidRPr="00A00187" w14:paraId="7E099673" w14:textId="77777777" w:rsidTr="003B4A57">
        <w:trPr>
          <w:trHeight w:val="315"/>
        </w:trPr>
        <w:tc>
          <w:tcPr>
            <w:tcW w:w="2096" w:type="dxa"/>
            <w:tcBorders>
              <w:top w:val="nil"/>
              <w:left w:val="nil"/>
              <w:bottom w:val="single" w:sz="4" w:space="0" w:color="auto"/>
              <w:right w:val="nil"/>
            </w:tcBorders>
            <w:shd w:val="clear" w:color="auto" w:fill="auto"/>
            <w:noWrap/>
            <w:vAlign w:val="bottom"/>
            <w:hideMark/>
          </w:tcPr>
          <w:p w14:paraId="255AA114"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KS Brno</w:t>
            </w:r>
          </w:p>
        </w:tc>
        <w:tc>
          <w:tcPr>
            <w:tcW w:w="859" w:type="dxa"/>
            <w:tcBorders>
              <w:top w:val="nil"/>
              <w:left w:val="nil"/>
              <w:bottom w:val="single" w:sz="4" w:space="0" w:color="auto"/>
              <w:right w:val="nil"/>
            </w:tcBorders>
            <w:shd w:val="clear" w:color="auto" w:fill="auto"/>
            <w:noWrap/>
            <w:vAlign w:val="bottom"/>
            <w:hideMark/>
          </w:tcPr>
          <w:p w14:paraId="20E2330A"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48</w:t>
            </w:r>
          </w:p>
        </w:tc>
        <w:tc>
          <w:tcPr>
            <w:tcW w:w="532" w:type="dxa"/>
            <w:tcBorders>
              <w:top w:val="nil"/>
              <w:left w:val="nil"/>
              <w:bottom w:val="single" w:sz="4" w:space="0" w:color="auto"/>
              <w:right w:val="nil"/>
            </w:tcBorders>
            <w:shd w:val="clear" w:color="auto" w:fill="auto"/>
            <w:noWrap/>
            <w:vAlign w:val="bottom"/>
            <w:hideMark/>
          </w:tcPr>
          <w:p w14:paraId="20CCD802"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3</w:t>
            </w:r>
          </w:p>
        </w:tc>
        <w:tc>
          <w:tcPr>
            <w:tcW w:w="624" w:type="dxa"/>
            <w:tcBorders>
              <w:top w:val="nil"/>
              <w:left w:val="nil"/>
              <w:bottom w:val="single" w:sz="4" w:space="0" w:color="auto"/>
              <w:right w:val="nil"/>
            </w:tcBorders>
            <w:shd w:val="clear" w:color="auto" w:fill="auto"/>
            <w:noWrap/>
            <w:vAlign w:val="bottom"/>
            <w:hideMark/>
          </w:tcPr>
          <w:p w14:paraId="6D87823E"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53</w:t>
            </w:r>
          </w:p>
        </w:tc>
        <w:tc>
          <w:tcPr>
            <w:tcW w:w="624" w:type="dxa"/>
            <w:tcBorders>
              <w:top w:val="nil"/>
              <w:left w:val="nil"/>
              <w:bottom w:val="single" w:sz="4" w:space="0" w:color="auto"/>
              <w:right w:val="nil"/>
            </w:tcBorders>
            <w:shd w:val="clear" w:color="auto" w:fill="auto"/>
            <w:noWrap/>
            <w:vAlign w:val="bottom"/>
            <w:hideMark/>
          </w:tcPr>
          <w:p w14:paraId="029C633D"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37</w:t>
            </w:r>
          </w:p>
        </w:tc>
        <w:tc>
          <w:tcPr>
            <w:tcW w:w="609" w:type="dxa"/>
            <w:tcBorders>
              <w:top w:val="nil"/>
              <w:left w:val="nil"/>
              <w:bottom w:val="single" w:sz="4" w:space="0" w:color="auto"/>
              <w:right w:val="nil"/>
            </w:tcBorders>
            <w:shd w:val="clear" w:color="auto" w:fill="auto"/>
            <w:noWrap/>
            <w:vAlign w:val="bottom"/>
            <w:hideMark/>
          </w:tcPr>
          <w:p w14:paraId="4497BF0D"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23</w:t>
            </w:r>
          </w:p>
        </w:tc>
        <w:tc>
          <w:tcPr>
            <w:tcW w:w="624" w:type="dxa"/>
            <w:tcBorders>
              <w:top w:val="nil"/>
              <w:left w:val="nil"/>
              <w:bottom w:val="single" w:sz="4" w:space="0" w:color="auto"/>
              <w:right w:val="nil"/>
            </w:tcBorders>
            <w:shd w:val="clear" w:color="auto" w:fill="auto"/>
            <w:noWrap/>
            <w:vAlign w:val="bottom"/>
            <w:hideMark/>
          </w:tcPr>
          <w:p w14:paraId="0C892FCB"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77</w:t>
            </w:r>
          </w:p>
        </w:tc>
        <w:tc>
          <w:tcPr>
            <w:tcW w:w="624" w:type="dxa"/>
            <w:tcBorders>
              <w:top w:val="nil"/>
              <w:left w:val="nil"/>
              <w:bottom w:val="single" w:sz="4" w:space="0" w:color="auto"/>
              <w:right w:val="nil"/>
            </w:tcBorders>
            <w:shd w:val="clear" w:color="auto" w:fill="auto"/>
            <w:noWrap/>
            <w:vAlign w:val="bottom"/>
            <w:hideMark/>
          </w:tcPr>
          <w:p w14:paraId="05FB2F9A"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23</w:t>
            </w:r>
          </w:p>
        </w:tc>
        <w:tc>
          <w:tcPr>
            <w:tcW w:w="1440" w:type="dxa"/>
            <w:tcBorders>
              <w:top w:val="nil"/>
              <w:left w:val="nil"/>
              <w:bottom w:val="single" w:sz="4" w:space="0" w:color="auto"/>
              <w:right w:val="nil"/>
            </w:tcBorders>
            <w:shd w:val="clear" w:color="auto" w:fill="auto"/>
            <w:noWrap/>
            <w:vAlign w:val="bottom"/>
            <w:hideMark/>
          </w:tcPr>
          <w:p w14:paraId="105DEAE9"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264</w:t>
            </w:r>
          </w:p>
        </w:tc>
      </w:tr>
      <w:tr w:rsidR="00AC1E67" w:rsidRPr="00A00187" w14:paraId="51BA1F4B" w14:textId="77777777" w:rsidTr="003B4A57">
        <w:trPr>
          <w:trHeight w:val="330"/>
        </w:trPr>
        <w:tc>
          <w:tcPr>
            <w:tcW w:w="2096" w:type="dxa"/>
            <w:tcBorders>
              <w:top w:val="nil"/>
              <w:left w:val="nil"/>
              <w:bottom w:val="double" w:sz="6" w:space="0" w:color="auto"/>
              <w:right w:val="nil"/>
            </w:tcBorders>
            <w:shd w:val="clear" w:color="auto" w:fill="auto"/>
            <w:noWrap/>
            <w:vAlign w:val="bottom"/>
            <w:hideMark/>
          </w:tcPr>
          <w:p w14:paraId="50DDC79E" w14:textId="77777777" w:rsidR="003B4A57" w:rsidRPr="00A00187" w:rsidRDefault="003B4A57" w:rsidP="003B4A57">
            <w:pPr>
              <w:spacing w:line="240" w:lineRule="auto"/>
              <w:jc w:val="left"/>
              <w:rPr>
                <w:rFonts w:eastAsia="Times New Roman"/>
                <w:szCs w:val="24"/>
                <w:lang w:eastAsia="cs-CZ"/>
              </w:rPr>
            </w:pPr>
            <w:r w:rsidRPr="00A00187">
              <w:rPr>
                <w:rFonts w:eastAsia="Times New Roman"/>
                <w:szCs w:val="24"/>
                <w:lang w:eastAsia="cs-CZ"/>
              </w:rPr>
              <w:t>KS Ostrava</w:t>
            </w:r>
          </w:p>
        </w:tc>
        <w:tc>
          <w:tcPr>
            <w:tcW w:w="859" w:type="dxa"/>
            <w:tcBorders>
              <w:top w:val="nil"/>
              <w:left w:val="nil"/>
              <w:bottom w:val="double" w:sz="6" w:space="0" w:color="auto"/>
              <w:right w:val="nil"/>
            </w:tcBorders>
            <w:shd w:val="clear" w:color="auto" w:fill="auto"/>
            <w:noWrap/>
            <w:vAlign w:val="bottom"/>
            <w:hideMark/>
          </w:tcPr>
          <w:p w14:paraId="673FCC64"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54</w:t>
            </w:r>
          </w:p>
        </w:tc>
        <w:tc>
          <w:tcPr>
            <w:tcW w:w="532" w:type="dxa"/>
            <w:tcBorders>
              <w:top w:val="nil"/>
              <w:left w:val="nil"/>
              <w:bottom w:val="double" w:sz="6" w:space="0" w:color="auto"/>
              <w:right w:val="nil"/>
            </w:tcBorders>
            <w:shd w:val="clear" w:color="auto" w:fill="auto"/>
            <w:noWrap/>
            <w:vAlign w:val="bottom"/>
            <w:hideMark/>
          </w:tcPr>
          <w:p w14:paraId="159109EC"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10</w:t>
            </w:r>
          </w:p>
        </w:tc>
        <w:tc>
          <w:tcPr>
            <w:tcW w:w="624" w:type="dxa"/>
            <w:tcBorders>
              <w:top w:val="nil"/>
              <w:left w:val="nil"/>
              <w:bottom w:val="double" w:sz="6" w:space="0" w:color="auto"/>
              <w:right w:val="nil"/>
            </w:tcBorders>
            <w:shd w:val="clear" w:color="auto" w:fill="auto"/>
            <w:noWrap/>
            <w:vAlign w:val="bottom"/>
            <w:hideMark/>
          </w:tcPr>
          <w:p w14:paraId="7836644B"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48</w:t>
            </w:r>
          </w:p>
        </w:tc>
        <w:tc>
          <w:tcPr>
            <w:tcW w:w="624" w:type="dxa"/>
            <w:tcBorders>
              <w:top w:val="nil"/>
              <w:left w:val="nil"/>
              <w:bottom w:val="double" w:sz="6" w:space="0" w:color="auto"/>
              <w:right w:val="nil"/>
            </w:tcBorders>
            <w:shd w:val="clear" w:color="auto" w:fill="auto"/>
            <w:noWrap/>
            <w:vAlign w:val="bottom"/>
            <w:hideMark/>
          </w:tcPr>
          <w:p w14:paraId="59B28EF9"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34</w:t>
            </w:r>
          </w:p>
        </w:tc>
        <w:tc>
          <w:tcPr>
            <w:tcW w:w="609" w:type="dxa"/>
            <w:tcBorders>
              <w:top w:val="nil"/>
              <w:left w:val="nil"/>
              <w:bottom w:val="double" w:sz="6" w:space="0" w:color="auto"/>
              <w:right w:val="nil"/>
            </w:tcBorders>
            <w:shd w:val="clear" w:color="auto" w:fill="auto"/>
            <w:noWrap/>
            <w:vAlign w:val="bottom"/>
            <w:hideMark/>
          </w:tcPr>
          <w:p w14:paraId="3223DEDE"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29</w:t>
            </w:r>
          </w:p>
        </w:tc>
        <w:tc>
          <w:tcPr>
            <w:tcW w:w="624" w:type="dxa"/>
            <w:tcBorders>
              <w:top w:val="nil"/>
              <w:left w:val="nil"/>
              <w:bottom w:val="double" w:sz="6" w:space="0" w:color="auto"/>
              <w:right w:val="nil"/>
            </w:tcBorders>
            <w:shd w:val="clear" w:color="auto" w:fill="auto"/>
            <w:noWrap/>
            <w:vAlign w:val="bottom"/>
            <w:hideMark/>
          </w:tcPr>
          <w:p w14:paraId="2529C085"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73</w:t>
            </w:r>
          </w:p>
        </w:tc>
        <w:tc>
          <w:tcPr>
            <w:tcW w:w="624" w:type="dxa"/>
            <w:tcBorders>
              <w:top w:val="nil"/>
              <w:left w:val="nil"/>
              <w:bottom w:val="double" w:sz="6" w:space="0" w:color="auto"/>
              <w:right w:val="nil"/>
            </w:tcBorders>
            <w:shd w:val="clear" w:color="auto" w:fill="auto"/>
            <w:noWrap/>
            <w:vAlign w:val="bottom"/>
            <w:hideMark/>
          </w:tcPr>
          <w:p w14:paraId="4DCB67F0" w14:textId="77777777" w:rsidR="003B4A57" w:rsidRPr="00A00187" w:rsidRDefault="003B4A57" w:rsidP="003B4A57">
            <w:pPr>
              <w:spacing w:line="240" w:lineRule="auto"/>
              <w:jc w:val="center"/>
              <w:rPr>
                <w:rFonts w:eastAsia="Times New Roman"/>
                <w:szCs w:val="24"/>
                <w:lang w:eastAsia="cs-CZ"/>
              </w:rPr>
            </w:pPr>
            <w:r w:rsidRPr="00A00187">
              <w:rPr>
                <w:rFonts w:eastAsia="Times New Roman"/>
                <w:szCs w:val="24"/>
                <w:lang w:eastAsia="cs-CZ"/>
              </w:rPr>
              <w:t>43</w:t>
            </w:r>
          </w:p>
        </w:tc>
        <w:tc>
          <w:tcPr>
            <w:tcW w:w="1440" w:type="dxa"/>
            <w:tcBorders>
              <w:top w:val="nil"/>
              <w:left w:val="nil"/>
              <w:bottom w:val="nil"/>
              <w:right w:val="nil"/>
            </w:tcBorders>
            <w:shd w:val="clear" w:color="auto" w:fill="auto"/>
            <w:noWrap/>
            <w:vAlign w:val="bottom"/>
            <w:hideMark/>
          </w:tcPr>
          <w:p w14:paraId="0F5F2FD1"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291</w:t>
            </w:r>
          </w:p>
        </w:tc>
      </w:tr>
      <w:tr w:rsidR="00AC1E67" w:rsidRPr="00A00187" w14:paraId="7B50E9D1" w14:textId="77777777" w:rsidTr="003B4A57">
        <w:trPr>
          <w:trHeight w:val="345"/>
        </w:trPr>
        <w:tc>
          <w:tcPr>
            <w:tcW w:w="2096" w:type="dxa"/>
            <w:tcBorders>
              <w:top w:val="nil"/>
              <w:left w:val="nil"/>
              <w:bottom w:val="double" w:sz="6" w:space="0" w:color="auto"/>
              <w:right w:val="nil"/>
            </w:tcBorders>
            <w:shd w:val="clear" w:color="auto" w:fill="auto"/>
            <w:noWrap/>
            <w:vAlign w:val="bottom"/>
            <w:hideMark/>
          </w:tcPr>
          <w:p w14:paraId="6C4F6D30" w14:textId="77777777" w:rsidR="003B4A57" w:rsidRPr="00A00187" w:rsidRDefault="003B4A57" w:rsidP="003B4A57">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859" w:type="dxa"/>
            <w:tcBorders>
              <w:top w:val="nil"/>
              <w:left w:val="nil"/>
              <w:bottom w:val="double" w:sz="6" w:space="0" w:color="auto"/>
              <w:right w:val="nil"/>
            </w:tcBorders>
            <w:shd w:val="clear" w:color="auto" w:fill="auto"/>
            <w:noWrap/>
            <w:vAlign w:val="bottom"/>
            <w:hideMark/>
          </w:tcPr>
          <w:p w14:paraId="3E1CCEB0"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294</w:t>
            </w:r>
          </w:p>
        </w:tc>
        <w:tc>
          <w:tcPr>
            <w:tcW w:w="532" w:type="dxa"/>
            <w:tcBorders>
              <w:top w:val="nil"/>
              <w:left w:val="nil"/>
              <w:bottom w:val="double" w:sz="6" w:space="0" w:color="auto"/>
              <w:right w:val="nil"/>
            </w:tcBorders>
            <w:shd w:val="clear" w:color="auto" w:fill="auto"/>
            <w:noWrap/>
            <w:vAlign w:val="bottom"/>
            <w:hideMark/>
          </w:tcPr>
          <w:p w14:paraId="72320057"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68</w:t>
            </w:r>
          </w:p>
        </w:tc>
        <w:tc>
          <w:tcPr>
            <w:tcW w:w="624" w:type="dxa"/>
            <w:tcBorders>
              <w:top w:val="nil"/>
              <w:left w:val="nil"/>
              <w:bottom w:val="double" w:sz="6" w:space="0" w:color="auto"/>
              <w:right w:val="nil"/>
            </w:tcBorders>
            <w:shd w:val="clear" w:color="auto" w:fill="auto"/>
            <w:noWrap/>
            <w:vAlign w:val="bottom"/>
            <w:hideMark/>
          </w:tcPr>
          <w:p w14:paraId="0343F19C"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355</w:t>
            </w:r>
          </w:p>
        </w:tc>
        <w:tc>
          <w:tcPr>
            <w:tcW w:w="624" w:type="dxa"/>
            <w:tcBorders>
              <w:top w:val="nil"/>
              <w:left w:val="nil"/>
              <w:bottom w:val="double" w:sz="6" w:space="0" w:color="auto"/>
              <w:right w:val="nil"/>
            </w:tcBorders>
            <w:shd w:val="clear" w:color="auto" w:fill="auto"/>
            <w:noWrap/>
            <w:vAlign w:val="bottom"/>
            <w:hideMark/>
          </w:tcPr>
          <w:p w14:paraId="6098A5A4"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238</w:t>
            </w:r>
          </w:p>
        </w:tc>
        <w:tc>
          <w:tcPr>
            <w:tcW w:w="609" w:type="dxa"/>
            <w:tcBorders>
              <w:top w:val="nil"/>
              <w:left w:val="nil"/>
              <w:bottom w:val="double" w:sz="6" w:space="0" w:color="auto"/>
              <w:right w:val="nil"/>
            </w:tcBorders>
            <w:shd w:val="clear" w:color="auto" w:fill="auto"/>
            <w:noWrap/>
            <w:vAlign w:val="bottom"/>
            <w:hideMark/>
          </w:tcPr>
          <w:p w14:paraId="5B1778B8"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142</w:t>
            </w:r>
          </w:p>
        </w:tc>
        <w:tc>
          <w:tcPr>
            <w:tcW w:w="624" w:type="dxa"/>
            <w:tcBorders>
              <w:top w:val="nil"/>
              <w:left w:val="nil"/>
              <w:bottom w:val="double" w:sz="6" w:space="0" w:color="auto"/>
              <w:right w:val="nil"/>
            </w:tcBorders>
            <w:shd w:val="clear" w:color="auto" w:fill="auto"/>
            <w:noWrap/>
            <w:vAlign w:val="bottom"/>
            <w:hideMark/>
          </w:tcPr>
          <w:p w14:paraId="2E7F0A27"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405</w:t>
            </w:r>
          </w:p>
        </w:tc>
        <w:tc>
          <w:tcPr>
            <w:tcW w:w="624" w:type="dxa"/>
            <w:tcBorders>
              <w:top w:val="nil"/>
              <w:left w:val="nil"/>
              <w:bottom w:val="double" w:sz="6" w:space="0" w:color="auto"/>
              <w:right w:val="nil"/>
            </w:tcBorders>
            <w:shd w:val="clear" w:color="auto" w:fill="auto"/>
            <w:noWrap/>
            <w:vAlign w:val="bottom"/>
            <w:hideMark/>
          </w:tcPr>
          <w:p w14:paraId="5AB555CE" w14:textId="777777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236</w:t>
            </w:r>
          </w:p>
        </w:tc>
        <w:tc>
          <w:tcPr>
            <w:tcW w:w="1440" w:type="dxa"/>
            <w:tcBorders>
              <w:top w:val="double" w:sz="6" w:space="0" w:color="auto"/>
              <w:left w:val="nil"/>
              <w:bottom w:val="double" w:sz="6" w:space="0" w:color="auto"/>
              <w:right w:val="nil"/>
            </w:tcBorders>
            <w:shd w:val="clear" w:color="auto" w:fill="auto"/>
            <w:noWrap/>
            <w:vAlign w:val="bottom"/>
            <w:hideMark/>
          </w:tcPr>
          <w:p w14:paraId="79A99F4B" w14:textId="3949F977" w:rsidR="003B4A57" w:rsidRPr="00A00187" w:rsidRDefault="003B4A57" w:rsidP="003B4A57">
            <w:pPr>
              <w:spacing w:line="240" w:lineRule="auto"/>
              <w:jc w:val="center"/>
              <w:rPr>
                <w:rFonts w:eastAsia="Times New Roman"/>
                <w:b/>
                <w:bCs/>
                <w:szCs w:val="24"/>
                <w:lang w:eastAsia="cs-CZ"/>
              </w:rPr>
            </w:pPr>
            <w:r w:rsidRPr="00A00187">
              <w:rPr>
                <w:rFonts w:eastAsia="Times New Roman"/>
                <w:b/>
                <w:bCs/>
                <w:szCs w:val="24"/>
                <w:lang w:eastAsia="cs-CZ"/>
              </w:rPr>
              <w:t>1</w:t>
            </w:r>
            <w:r w:rsidR="005A4C1A">
              <w:rPr>
                <w:rFonts w:eastAsia="Times New Roman"/>
                <w:b/>
                <w:bCs/>
                <w:szCs w:val="24"/>
                <w:lang w:eastAsia="cs-CZ"/>
              </w:rPr>
              <w:t xml:space="preserve"> </w:t>
            </w:r>
            <w:r w:rsidRPr="00A00187">
              <w:rPr>
                <w:rFonts w:eastAsia="Times New Roman"/>
                <w:b/>
                <w:bCs/>
                <w:szCs w:val="24"/>
                <w:lang w:eastAsia="cs-CZ"/>
              </w:rPr>
              <w:t>738</w:t>
            </w:r>
          </w:p>
        </w:tc>
      </w:tr>
      <w:tr w:rsidR="00AC1E67" w:rsidRPr="00A00187" w14:paraId="4B375593" w14:textId="77777777" w:rsidTr="003B4A57">
        <w:trPr>
          <w:trHeight w:val="330"/>
        </w:trPr>
        <w:tc>
          <w:tcPr>
            <w:tcW w:w="2096" w:type="dxa"/>
            <w:tcBorders>
              <w:top w:val="nil"/>
              <w:left w:val="nil"/>
              <w:bottom w:val="nil"/>
              <w:right w:val="nil"/>
            </w:tcBorders>
            <w:shd w:val="clear" w:color="auto" w:fill="auto"/>
            <w:noWrap/>
            <w:vAlign w:val="bottom"/>
            <w:hideMark/>
          </w:tcPr>
          <w:p w14:paraId="6A26F494" w14:textId="77777777" w:rsidR="003B4A57" w:rsidRPr="00A00187" w:rsidRDefault="003B4A57" w:rsidP="003B4A57">
            <w:pPr>
              <w:spacing w:line="240" w:lineRule="auto"/>
              <w:jc w:val="center"/>
              <w:rPr>
                <w:rFonts w:eastAsia="Times New Roman"/>
                <w:b/>
                <w:bCs/>
                <w:szCs w:val="24"/>
                <w:lang w:eastAsia="cs-CZ"/>
              </w:rPr>
            </w:pPr>
          </w:p>
        </w:tc>
        <w:tc>
          <w:tcPr>
            <w:tcW w:w="859" w:type="dxa"/>
            <w:tcBorders>
              <w:top w:val="nil"/>
              <w:left w:val="nil"/>
              <w:bottom w:val="nil"/>
              <w:right w:val="nil"/>
            </w:tcBorders>
            <w:shd w:val="clear" w:color="auto" w:fill="auto"/>
            <w:noWrap/>
            <w:vAlign w:val="bottom"/>
            <w:hideMark/>
          </w:tcPr>
          <w:p w14:paraId="7381C321"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c>
          <w:tcPr>
            <w:tcW w:w="532" w:type="dxa"/>
            <w:tcBorders>
              <w:top w:val="nil"/>
              <w:left w:val="nil"/>
              <w:bottom w:val="nil"/>
              <w:right w:val="nil"/>
            </w:tcBorders>
            <w:shd w:val="clear" w:color="auto" w:fill="auto"/>
            <w:noWrap/>
            <w:vAlign w:val="bottom"/>
            <w:hideMark/>
          </w:tcPr>
          <w:p w14:paraId="5427C25F"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c>
          <w:tcPr>
            <w:tcW w:w="624" w:type="dxa"/>
            <w:tcBorders>
              <w:top w:val="nil"/>
              <w:left w:val="nil"/>
              <w:bottom w:val="nil"/>
              <w:right w:val="nil"/>
            </w:tcBorders>
            <w:shd w:val="clear" w:color="auto" w:fill="auto"/>
            <w:noWrap/>
            <w:vAlign w:val="bottom"/>
            <w:hideMark/>
          </w:tcPr>
          <w:p w14:paraId="14589A3F"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c>
          <w:tcPr>
            <w:tcW w:w="624" w:type="dxa"/>
            <w:tcBorders>
              <w:top w:val="nil"/>
              <w:left w:val="nil"/>
              <w:bottom w:val="nil"/>
              <w:right w:val="nil"/>
            </w:tcBorders>
            <w:shd w:val="clear" w:color="auto" w:fill="auto"/>
            <w:noWrap/>
            <w:vAlign w:val="bottom"/>
            <w:hideMark/>
          </w:tcPr>
          <w:p w14:paraId="26220D4C"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c>
          <w:tcPr>
            <w:tcW w:w="609" w:type="dxa"/>
            <w:tcBorders>
              <w:top w:val="nil"/>
              <w:left w:val="nil"/>
              <w:bottom w:val="nil"/>
              <w:right w:val="nil"/>
            </w:tcBorders>
            <w:shd w:val="clear" w:color="auto" w:fill="auto"/>
            <w:noWrap/>
            <w:vAlign w:val="bottom"/>
            <w:hideMark/>
          </w:tcPr>
          <w:p w14:paraId="0364EF1C"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c>
          <w:tcPr>
            <w:tcW w:w="624" w:type="dxa"/>
            <w:tcBorders>
              <w:top w:val="nil"/>
              <w:left w:val="nil"/>
              <w:bottom w:val="nil"/>
              <w:right w:val="nil"/>
            </w:tcBorders>
            <w:shd w:val="clear" w:color="auto" w:fill="auto"/>
            <w:noWrap/>
            <w:vAlign w:val="bottom"/>
            <w:hideMark/>
          </w:tcPr>
          <w:p w14:paraId="5235B81F"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c>
          <w:tcPr>
            <w:tcW w:w="624" w:type="dxa"/>
            <w:tcBorders>
              <w:top w:val="nil"/>
              <w:left w:val="nil"/>
              <w:bottom w:val="nil"/>
              <w:right w:val="nil"/>
            </w:tcBorders>
            <w:shd w:val="clear" w:color="auto" w:fill="auto"/>
            <w:noWrap/>
            <w:vAlign w:val="bottom"/>
            <w:hideMark/>
          </w:tcPr>
          <w:p w14:paraId="71E56AE1"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c>
          <w:tcPr>
            <w:tcW w:w="1440" w:type="dxa"/>
            <w:tcBorders>
              <w:top w:val="nil"/>
              <w:left w:val="nil"/>
              <w:bottom w:val="nil"/>
              <w:right w:val="nil"/>
            </w:tcBorders>
            <w:shd w:val="clear" w:color="auto" w:fill="auto"/>
            <w:noWrap/>
            <w:vAlign w:val="bottom"/>
            <w:hideMark/>
          </w:tcPr>
          <w:p w14:paraId="09422FFB" w14:textId="77777777" w:rsidR="003B4A57" w:rsidRPr="00A00187" w:rsidRDefault="003B4A57" w:rsidP="003B4A57">
            <w:pPr>
              <w:spacing w:line="240" w:lineRule="auto"/>
              <w:jc w:val="left"/>
              <w:rPr>
                <w:rFonts w:ascii="Times New Roman" w:eastAsia="Times New Roman" w:hAnsi="Times New Roman"/>
                <w:sz w:val="20"/>
                <w:szCs w:val="20"/>
                <w:lang w:eastAsia="cs-CZ"/>
              </w:rPr>
            </w:pPr>
          </w:p>
        </w:tc>
      </w:tr>
    </w:tbl>
    <w:p w14:paraId="14C4F6B7" w14:textId="65F4195A" w:rsidR="003B4A57" w:rsidRPr="00A00187" w:rsidRDefault="003B4A57" w:rsidP="003B4A57">
      <w:pPr>
        <w:pStyle w:val="OdstavecASR"/>
      </w:pPr>
      <w:r w:rsidRPr="00A00187">
        <w:t xml:space="preserve">Opět platí, že počet zaměstnanců ve výkonu se odvíjí od systemizace zaměstnanců ve výkonu, personální politiky soudů a situace na trhu práce. U krajských soudů je počet zaměstnanců ve výkonu v poměru k počtu soudců nižší než u okresních soudů. To je důsledkem rozdílnosti zpracovávaných agend (méně práce, kterou lze delegovat na </w:t>
      </w:r>
      <w:proofErr w:type="spellStart"/>
      <w:r w:rsidRPr="00A00187">
        <w:t>nesoudcovský</w:t>
      </w:r>
      <w:proofErr w:type="spellEnd"/>
      <w:r w:rsidRPr="00A00187">
        <w:t xml:space="preserve"> personál). Po skokovém posílení jejich stavu o 101 zaměstnanc</w:t>
      </w:r>
      <w:r w:rsidR="00180488" w:rsidRPr="00A00187">
        <w:t>ů</w:t>
      </w:r>
      <w:r w:rsidRPr="00A00187">
        <w:t xml:space="preserve"> v roce 2017 došlo ke stabilizaci počtů v roce 2018. Z 1 531 v roce 2016 vzrostl počet zaměstnanců ve výkonu na 1 632, tedy asi o 7</w:t>
      </w:r>
      <w:r w:rsidR="00CB570A">
        <w:t> %</w:t>
      </w:r>
      <w:r w:rsidRPr="00A00187">
        <w:t xml:space="preserve">, a v roce 2018 již pouze o 12 osob. Jestliže v roce 2017 byl v zásadě celý růst dán růstem počtu asistentů z 228 na 326, v roce 2018 docházelo zejména k přesunům mezi funkcemi v rámci krajských soudů. V roce 2020 došlo opět k mírnému nárustu (o 47 osob), a to především u soudů v Praze (MS Praha, KS Praha). Vzrostl především počet VSÚ a zapisovatelek. V roce 2021 se celkový počet zaměstnanců takřka </w:t>
      </w:r>
      <w:r w:rsidRPr="00A00187">
        <w:lastRenderedPageBreak/>
        <w:t xml:space="preserve">nezměnil – vzrostl </w:t>
      </w:r>
      <w:r w:rsidR="00755920" w:rsidRPr="00A00187">
        <w:t>o</w:t>
      </w:r>
      <w:r w:rsidR="00755920">
        <w:t> </w:t>
      </w:r>
      <w:r w:rsidRPr="00A00187">
        <w:t>10 na 1</w:t>
      </w:r>
      <w:r w:rsidR="005A4C1A">
        <w:t> </w:t>
      </w:r>
      <w:r w:rsidRPr="00A00187">
        <w:t xml:space="preserve">738. </w:t>
      </w:r>
      <w:r w:rsidR="0083756A" w:rsidRPr="00A00187">
        <w:t>S</w:t>
      </w:r>
      <w:r w:rsidRPr="00A00187">
        <w:t>tejn</w:t>
      </w:r>
      <w:r w:rsidR="0083756A" w:rsidRPr="00A00187">
        <w:t>ě</w:t>
      </w:r>
      <w:r w:rsidRPr="00A00187">
        <w:t xml:space="preserve"> jako </w:t>
      </w:r>
      <w:r w:rsidR="00755920" w:rsidRPr="00A00187">
        <w:t>u</w:t>
      </w:r>
      <w:r w:rsidR="00755920">
        <w:t> </w:t>
      </w:r>
      <w:r w:rsidRPr="00A00187">
        <w:t>okresních soudů</w:t>
      </w:r>
      <w:r w:rsidR="006275B0" w:rsidRPr="00A00187">
        <w:t>,</w:t>
      </w:r>
      <w:r w:rsidRPr="00A00187">
        <w:t xml:space="preserve"> došlo ke </w:t>
      </w:r>
      <w:r w:rsidR="001B7DD2" w:rsidRPr="00A00187">
        <w:t>značným</w:t>
      </w:r>
      <w:r w:rsidRPr="00A00187">
        <w:t xml:space="preserve"> přesunům mezi „kategoriemi“ zaměstnanců. </w:t>
      </w:r>
      <w:r w:rsidR="006275B0" w:rsidRPr="00A00187">
        <w:t>P</w:t>
      </w:r>
      <w:r w:rsidRPr="00A00187">
        <w:t xml:space="preserve">očet vedoucích kanceláře </w:t>
      </w:r>
      <w:r w:rsidR="0058033C" w:rsidRPr="00A00187">
        <w:t xml:space="preserve">tak například </w:t>
      </w:r>
      <w:r w:rsidRPr="00A00187">
        <w:t xml:space="preserve">klesl </w:t>
      </w:r>
      <w:r w:rsidR="00755920" w:rsidRPr="00A00187">
        <w:t>o</w:t>
      </w:r>
      <w:r w:rsidR="00755920">
        <w:t> </w:t>
      </w:r>
      <w:r w:rsidRPr="00A00187">
        <w:t xml:space="preserve">94, ale naopak stoupl počet rejstříkových vedoucí </w:t>
      </w:r>
      <w:r w:rsidR="00755920" w:rsidRPr="00A00187">
        <w:t>o</w:t>
      </w:r>
      <w:r w:rsidR="00755920">
        <w:t> </w:t>
      </w:r>
      <w:r w:rsidRPr="00A00187">
        <w:t>138 osob.</w:t>
      </w:r>
      <w:r w:rsidR="0058033C" w:rsidRPr="00A00187">
        <w:t xml:space="preserve"> Ani zde nelze vyloučit, že posun je spíše výsledkem změny pracovního zařazení konkrétních zaměstnanců než proměnou personálního obsazení.</w:t>
      </w:r>
    </w:p>
    <w:p w14:paraId="5A21BA13" w14:textId="1C7CD669" w:rsidR="003B4A57" w:rsidRPr="00A00187" w:rsidRDefault="003B4A57" w:rsidP="003B4A57">
      <w:pPr>
        <w:pStyle w:val="OdstavecASR"/>
      </w:pPr>
      <w:r w:rsidRPr="00A00187">
        <w:t>Nakonec je třeba ještě zmínit zaměstnance ve správě, kde k 1. 1. 2021 pracovalo u krajských soudů celkem 71</w:t>
      </w:r>
      <w:r w:rsidR="00C06E9C" w:rsidRPr="00A00187">
        <w:t>3</w:t>
      </w:r>
      <w:r w:rsidRPr="00A00187">
        <w:t xml:space="preserve"> osob</w:t>
      </w:r>
      <w:r w:rsidR="00C06E9C" w:rsidRPr="00A00187">
        <w:t xml:space="preserve">, což je </w:t>
      </w:r>
      <w:r w:rsidR="00755920" w:rsidRPr="00A00187">
        <w:t>o</w:t>
      </w:r>
      <w:r w:rsidR="00755920">
        <w:t> </w:t>
      </w:r>
      <w:r w:rsidR="00755920" w:rsidRPr="00A00187">
        <w:t>4</w:t>
      </w:r>
      <w:r w:rsidR="00755920">
        <w:t> </w:t>
      </w:r>
      <w:r w:rsidR="00C06E9C" w:rsidRPr="00A00187">
        <w:t xml:space="preserve">osoby </w:t>
      </w:r>
      <w:r w:rsidR="001B7DD2" w:rsidRPr="00A00187">
        <w:t>méně</w:t>
      </w:r>
      <w:r w:rsidR="00C06E9C" w:rsidRPr="00A00187">
        <w:t xml:space="preserve"> než v roce přechozím.</w:t>
      </w:r>
    </w:p>
    <w:p w14:paraId="02FD1C02" w14:textId="0E9BF91B" w:rsidR="001B7DD2" w:rsidRPr="00A00187" w:rsidRDefault="001B7DD2" w:rsidP="003B4A57">
      <w:pPr>
        <w:pStyle w:val="Nadpis3"/>
        <w:numPr>
          <w:ilvl w:val="2"/>
          <w:numId w:val="1"/>
        </w:numPr>
        <w:rPr>
          <w:color w:val="auto"/>
        </w:rPr>
      </w:pPr>
      <w:bookmarkStart w:id="593" w:name="_Toc75952085"/>
      <w:bookmarkStart w:id="594" w:name="_Toc106092751"/>
      <w:bookmarkStart w:id="595" w:name="_Toc109801362"/>
      <w:r w:rsidRPr="00A00187">
        <w:rPr>
          <w:color w:val="auto"/>
        </w:rPr>
        <w:t>Přísedící soudu</w:t>
      </w:r>
      <w:bookmarkEnd w:id="593"/>
      <w:bookmarkEnd w:id="594"/>
      <w:bookmarkEnd w:id="595"/>
    </w:p>
    <w:p w14:paraId="2065ACFF" w14:textId="0FBAF70E" w:rsidR="001B7DD2" w:rsidRPr="00A00187" w:rsidRDefault="001B7DD2" w:rsidP="001B7DD2">
      <w:r w:rsidRPr="00A00187">
        <w:t>Stejně jako předchozí rok jsou k dispozici počty přísedících dle krajů, pohlaví a věku, což umožňuje jejich bližší prozkoumání jak u okresních, tak i u krajských soudů. U krajských soudů přísedící rozhodují v prvostupňovém řízení o trestném činu, na který zákon stanoví trest odnětí svobody, jehož dolní hranice je minimálně pět let (což jsou u krajských soudů v podstatě všechna řízení). Na rozdíl od ostatních dat v této kapitole jsou údaje k 1.</w:t>
      </w:r>
      <w:r w:rsidR="005A4C1A">
        <w:t> </w:t>
      </w:r>
      <w:r w:rsidRPr="00A00187">
        <w:t>1.</w:t>
      </w:r>
      <w:r w:rsidR="005A4C1A">
        <w:t> </w:t>
      </w:r>
      <w:r w:rsidR="00E3369D" w:rsidRPr="00A00187">
        <w:t>202</w:t>
      </w:r>
      <w:r w:rsidR="00E3369D">
        <w:t>2</w:t>
      </w:r>
      <w:r w:rsidRPr="00A00187">
        <w:t>.</w:t>
      </w:r>
    </w:p>
    <w:p w14:paraId="77AA79F7" w14:textId="579139AD" w:rsidR="001B7DD2" w:rsidRPr="00A00187" w:rsidRDefault="001B7DD2" w:rsidP="001B7DD2">
      <w:pPr>
        <w:pStyle w:val="Podnadpis"/>
        <w:rPr>
          <w:color w:val="auto"/>
        </w:rPr>
      </w:pPr>
      <w:bookmarkStart w:id="596" w:name="_Toc75952344"/>
      <w:bookmarkStart w:id="597" w:name="_Toc106106802"/>
      <w:bookmarkStart w:id="598" w:name="_Toc109802125"/>
      <w:r w:rsidRPr="00A00187">
        <w:rPr>
          <w:color w:val="auto"/>
        </w:rPr>
        <w:t xml:space="preserve">Tabulka </w:t>
      </w:r>
      <w:r w:rsidRPr="00A00187">
        <w:rPr>
          <w:color w:val="auto"/>
        </w:rPr>
        <w:fldChar w:fldCharType="begin"/>
      </w:r>
      <w:r w:rsidRPr="00A00187">
        <w:rPr>
          <w:noProof/>
          <w:color w:val="auto"/>
        </w:rPr>
        <w:instrText xml:space="preserve"> SEQ Tabulka \* ARABIC </w:instrText>
      </w:r>
      <w:r w:rsidRPr="00A00187">
        <w:rPr>
          <w:color w:val="auto"/>
        </w:rPr>
        <w:fldChar w:fldCharType="separate"/>
      </w:r>
      <w:r w:rsidR="00DE6B5E">
        <w:rPr>
          <w:noProof/>
          <w:color w:val="auto"/>
        </w:rPr>
        <w:t>40</w:t>
      </w:r>
      <w:r w:rsidRPr="00A00187">
        <w:rPr>
          <w:color w:val="auto"/>
        </w:rPr>
        <w:fldChar w:fldCharType="end"/>
      </w:r>
      <w:r w:rsidRPr="00A00187">
        <w:rPr>
          <w:color w:val="auto"/>
        </w:rPr>
        <w:t>: KS – počet přísedících dle soudů a pohlaví</w:t>
      </w:r>
      <w:bookmarkEnd w:id="596"/>
      <w:bookmarkEnd w:id="597"/>
      <w:bookmarkEnd w:id="598"/>
    </w:p>
    <w:tbl>
      <w:tblPr>
        <w:tblW w:w="6540" w:type="dxa"/>
        <w:tblCellMar>
          <w:left w:w="70" w:type="dxa"/>
          <w:right w:w="70" w:type="dxa"/>
        </w:tblCellMar>
        <w:tblLook w:val="04A0" w:firstRow="1" w:lastRow="0" w:firstColumn="1" w:lastColumn="0" w:noHBand="0" w:noVBand="1"/>
      </w:tblPr>
      <w:tblGrid>
        <w:gridCol w:w="2236"/>
        <w:gridCol w:w="1941"/>
        <w:gridCol w:w="1315"/>
        <w:gridCol w:w="1048"/>
      </w:tblGrid>
      <w:tr w:rsidR="00AC1E67" w:rsidRPr="00A00187" w14:paraId="1759A27D" w14:textId="77777777" w:rsidTr="001B7DD2">
        <w:trPr>
          <w:trHeight w:val="330"/>
        </w:trPr>
        <w:tc>
          <w:tcPr>
            <w:tcW w:w="2236" w:type="dxa"/>
            <w:vMerge w:val="restart"/>
            <w:tcBorders>
              <w:top w:val="double" w:sz="6" w:space="0" w:color="auto"/>
              <w:left w:val="nil"/>
              <w:bottom w:val="double" w:sz="6" w:space="0" w:color="000000"/>
              <w:right w:val="nil"/>
            </w:tcBorders>
            <w:shd w:val="clear" w:color="auto" w:fill="auto"/>
            <w:noWrap/>
            <w:vAlign w:val="center"/>
            <w:hideMark/>
          </w:tcPr>
          <w:p w14:paraId="7BD9653A" w14:textId="2E4C273B" w:rsidR="001B7DD2" w:rsidRPr="00A00187" w:rsidRDefault="000C430A" w:rsidP="001B7DD2">
            <w:pPr>
              <w:spacing w:line="240" w:lineRule="auto"/>
              <w:jc w:val="center"/>
              <w:rPr>
                <w:rFonts w:eastAsia="Times New Roman"/>
                <w:b/>
                <w:bCs/>
                <w:szCs w:val="24"/>
                <w:lang w:eastAsia="cs-CZ"/>
              </w:rPr>
            </w:pPr>
            <w:r w:rsidRPr="00A00187">
              <w:rPr>
                <w:rFonts w:eastAsia="Times New Roman"/>
                <w:b/>
                <w:bCs/>
                <w:szCs w:val="24"/>
                <w:lang w:eastAsia="cs-CZ"/>
              </w:rPr>
              <w:t>S</w:t>
            </w:r>
            <w:r w:rsidR="001B7DD2" w:rsidRPr="00A00187">
              <w:rPr>
                <w:rFonts w:eastAsia="Times New Roman"/>
                <w:b/>
                <w:bCs/>
                <w:szCs w:val="24"/>
                <w:lang w:eastAsia="cs-CZ"/>
              </w:rPr>
              <w:t>oud</w:t>
            </w:r>
          </w:p>
        </w:tc>
        <w:tc>
          <w:tcPr>
            <w:tcW w:w="3256" w:type="dxa"/>
            <w:gridSpan w:val="2"/>
            <w:tcBorders>
              <w:top w:val="double" w:sz="6" w:space="0" w:color="auto"/>
              <w:left w:val="nil"/>
              <w:bottom w:val="nil"/>
              <w:right w:val="nil"/>
            </w:tcBorders>
            <w:shd w:val="clear" w:color="auto" w:fill="auto"/>
            <w:noWrap/>
            <w:vAlign w:val="bottom"/>
            <w:hideMark/>
          </w:tcPr>
          <w:p w14:paraId="5E0D4BB8" w14:textId="20DA6B9B" w:rsidR="001B7DD2" w:rsidRPr="00A00187" w:rsidRDefault="001B7DD2" w:rsidP="001B7DD2">
            <w:pPr>
              <w:spacing w:line="240" w:lineRule="auto"/>
              <w:jc w:val="center"/>
              <w:rPr>
                <w:rFonts w:eastAsia="Times New Roman"/>
                <w:b/>
                <w:bCs/>
                <w:szCs w:val="24"/>
                <w:lang w:eastAsia="cs-CZ"/>
              </w:rPr>
            </w:pPr>
            <w:r w:rsidRPr="00A00187">
              <w:rPr>
                <w:rFonts w:eastAsia="Times New Roman"/>
                <w:b/>
                <w:bCs/>
                <w:szCs w:val="24"/>
                <w:lang w:eastAsia="cs-CZ"/>
              </w:rPr>
              <w:t>Počet přísedících</w:t>
            </w:r>
          </w:p>
        </w:tc>
        <w:tc>
          <w:tcPr>
            <w:tcW w:w="1048" w:type="dxa"/>
            <w:vMerge w:val="restart"/>
            <w:tcBorders>
              <w:top w:val="double" w:sz="6" w:space="0" w:color="auto"/>
              <w:left w:val="nil"/>
              <w:bottom w:val="double" w:sz="6" w:space="0" w:color="000000"/>
              <w:right w:val="nil"/>
            </w:tcBorders>
            <w:shd w:val="clear" w:color="auto" w:fill="auto"/>
            <w:vAlign w:val="center"/>
            <w:hideMark/>
          </w:tcPr>
          <w:p w14:paraId="3F1EB02E" w14:textId="0223F212" w:rsidR="001B7DD2" w:rsidRPr="00A00187" w:rsidRDefault="001B7DD2" w:rsidP="001B7DD2">
            <w:pPr>
              <w:spacing w:line="240" w:lineRule="auto"/>
              <w:jc w:val="center"/>
              <w:rPr>
                <w:rFonts w:eastAsia="Times New Roman"/>
                <w:b/>
                <w:bCs/>
                <w:szCs w:val="24"/>
                <w:lang w:eastAsia="cs-CZ"/>
              </w:rPr>
            </w:pPr>
            <w:r w:rsidRPr="00A00187">
              <w:rPr>
                <w:rFonts w:eastAsia="Times New Roman"/>
                <w:b/>
                <w:bCs/>
                <w:szCs w:val="24"/>
                <w:lang w:eastAsia="cs-CZ"/>
              </w:rPr>
              <w:t>Podíl žen v</w:t>
            </w:r>
            <w:r w:rsidR="00CB570A">
              <w:rPr>
                <w:rFonts w:eastAsia="Times New Roman"/>
                <w:b/>
                <w:bCs/>
                <w:szCs w:val="24"/>
                <w:lang w:eastAsia="cs-CZ"/>
              </w:rPr>
              <w:t> %</w:t>
            </w:r>
          </w:p>
        </w:tc>
      </w:tr>
      <w:tr w:rsidR="00AC1E67" w:rsidRPr="00A00187" w14:paraId="40181C9B" w14:textId="77777777" w:rsidTr="001B7DD2">
        <w:trPr>
          <w:trHeight w:val="330"/>
        </w:trPr>
        <w:tc>
          <w:tcPr>
            <w:tcW w:w="2236" w:type="dxa"/>
            <w:vMerge/>
            <w:tcBorders>
              <w:top w:val="double" w:sz="6" w:space="0" w:color="auto"/>
              <w:left w:val="nil"/>
              <w:bottom w:val="double" w:sz="6" w:space="0" w:color="000000"/>
              <w:right w:val="nil"/>
            </w:tcBorders>
            <w:vAlign w:val="center"/>
            <w:hideMark/>
          </w:tcPr>
          <w:p w14:paraId="64BB5DB7" w14:textId="77777777" w:rsidR="001B7DD2" w:rsidRPr="00A00187" w:rsidRDefault="001B7DD2" w:rsidP="001B7DD2">
            <w:pPr>
              <w:spacing w:line="240" w:lineRule="auto"/>
              <w:jc w:val="left"/>
              <w:rPr>
                <w:rFonts w:eastAsia="Times New Roman"/>
                <w:b/>
                <w:bCs/>
                <w:szCs w:val="24"/>
                <w:lang w:eastAsia="cs-CZ"/>
              </w:rPr>
            </w:pPr>
          </w:p>
        </w:tc>
        <w:tc>
          <w:tcPr>
            <w:tcW w:w="1941" w:type="dxa"/>
            <w:tcBorders>
              <w:top w:val="nil"/>
              <w:left w:val="nil"/>
              <w:bottom w:val="double" w:sz="6" w:space="0" w:color="auto"/>
              <w:right w:val="nil"/>
            </w:tcBorders>
            <w:shd w:val="clear" w:color="auto" w:fill="auto"/>
            <w:noWrap/>
            <w:vAlign w:val="bottom"/>
            <w:hideMark/>
          </w:tcPr>
          <w:p w14:paraId="03071A30" w14:textId="77777777" w:rsidR="001B7DD2" w:rsidRPr="00A00187" w:rsidRDefault="001B7DD2" w:rsidP="001B7DD2">
            <w:pPr>
              <w:spacing w:line="240" w:lineRule="auto"/>
              <w:jc w:val="center"/>
              <w:rPr>
                <w:rFonts w:eastAsia="Times New Roman"/>
                <w:b/>
                <w:bCs/>
                <w:szCs w:val="24"/>
                <w:lang w:eastAsia="cs-CZ"/>
              </w:rPr>
            </w:pPr>
            <w:r w:rsidRPr="00A00187">
              <w:rPr>
                <w:rFonts w:eastAsia="Times New Roman"/>
                <w:b/>
                <w:bCs/>
                <w:szCs w:val="24"/>
                <w:lang w:eastAsia="cs-CZ"/>
              </w:rPr>
              <w:t>Mužů</w:t>
            </w:r>
          </w:p>
        </w:tc>
        <w:tc>
          <w:tcPr>
            <w:tcW w:w="1315" w:type="dxa"/>
            <w:tcBorders>
              <w:top w:val="nil"/>
              <w:left w:val="nil"/>
              <w:bottom w:val="double" w:sz="6" w:space="0" w:color="auto"/>
              <w:right w:val="nil"/>
            </w:tcBorders>
            <w:shd w:val="clear" w:color="auto" w:fill="auto"/>
            <w:noWrap/>
            <w:vAlign w:val="bottom"/>
            <w:hideMark/>
          </w:tcPr>
          <w:p w14:paraId="42845BB5" w14:textId="77777777" w:rsidR="001B7DD2" w:rsidRPr="00A00187" w:rsidRDefault="001B7DD2" w:rsidP="001B7DD2">
            <w:pPr>
              <w:spacing w:line="240" w:lineRule="auto"/>
              <w:jc w:val="center"/>
              <w:rPr>
                <w:rFonts w:eastAsia="Times New Roman"/>
                <w:b/>
                <w:bCs/>
                <w:szCs w:val="24"/>
                <w:lang w:eastAsia="cs-CZ"/>
              </w:rPr>
            </w:pPr>
            <w:r w:rsidRPr="00A00187">
              <w:rPr>
                <w:rFonts w:eastAsia="Times New Roman"/>
                <w:b/>
                <w:bCs/>
                <w:szCs w:val="24"/>
                <w:lang w:eastAsia="cs-CZ"/>
              </w:rPr>
              <w:t>Žen</w:t>
            </w:r>
          </w:p>
        </w:tc>
        <w:tc>
          <w:tcPr>
            <w:tcW w:w="1048" w:type="dxa"/>
            <w:vMerge/>
            <w:tcBorders>
              <w:top w:val="double" w:sz="6" w:space="0" w:color="auto"/>
              <w:left w:val="nil"/>
              <w:bottom w:val="double" w:sz="6" w:space="0" w:color="000000"/>
              <w:right w:val="nil"/>
            </w:tcBorders>
            <w:vAlign w:val="center"/>
            <w:hideMark/>
          </w:tcPr>
          <w:p w14:paraId="6ABF1867" w14:textId="77777777" w:rsidR="001B7DD2" w:rsidRPr="00A00187" w:rsidRDefault="001B7DD2" w:rsidP="001B7DD2">
            <w:pPr>
              <w:spacing w:line="240" w:lineRule="auto"/>
              <w:jc w:val="left"/>
              <w:rPr>
                <w:rFonts w:eastAsia="Times New Roman"/>
                <w:b/>
                <w:bCs/>
                <w:szCs w:val="24"/>
                <w:lang w:eastAsia="cs-CZ"/>
              </w:rPr>
            </w:pPr>
          </w:p>
        </w:tc>
      </w:tr>
      <w:tr w:rsidR="00AC1E67" w:rsidRPr="00A00187" w14:paraId="07B7CFBE" w14:textId="77777777" w:rsidTr="001B7DD2">
        <w:trPr>
          <w:trHeight w:val="330"/>
        </w:trPr>
        <w:tc>
          <w:tcPr>
            <w:tcW w:w="2236" w:type="dxa"/>
            <w:tcBorders>
              <w:top w:val="nil"/>
              <w:left w:val="nil"/>
              <w:bottom w:val="single" w:sz="4" w:space="0" w:color="auto"/>
              <w:right w:val="nil"/>
            </w:tcBorders>
            <w:shd w:val="clear" w:color="auto" w:fill="auto"/>
            <w:noWrap/>
            <w:vAlign w:val="bottom"/>
            <w:hideMark/>
          </w:tcPr>
          <w:p w14:paraId="780E4371"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MS Praha</w:t>
            </w:r>
          </w:p>
        </w:tc>
        <w:tc>
          <w:tcPr>
            <w:tcW w:w="1941" w:type="dxa"/>
            <w:tcBorders>
              <w:top w:val="nil"/>
              <w:left w:val="nil"/>
              <w:bottom w:val="single" w:sz="4" w:space="0" w:color="auto"/>
              <w:right w:val="nil"/>
            </w:tcBorders>
            <w:shd w:val="clear" w:color="auto" w:fill="auto"/>
            <w:noWrap/>
            <w:vAlign w:val="bottom"/>
            <w:hideMark/>
          </w:tcPr>
          <w:p w14:paraId="563E3DC9"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113</w:t>
            </w:r>
          </w:p>
        </w:tc>
        <w:tc>
          <w:tcPr>
            <w:tcW w:w="1315" w:type="dxa"/>
            <w:tcBorders>
              <w:top w:val="nil"/>
              <w:left w:val="nil"/>
              <w:bottom w:val="single" w:sz="4" w:space="0" w:color="auto"/>
              <w:right w:val="nil"/>
            </w:tcBorders>
            <w:shd w:val="clear" w:color="auto" w:fill="auto"/>
            <w:noWrap/>
            <w:vAlign w:val="bottom"/>
            <w:hideMark/>
          </w:tcPr>
          <w:p w14:paraId="2CD52C0D"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115</w:t>
            </w:r>
          </w:p>
        </w:tc>
        <w:tc>
          <w:tcPr>
            <w:tcW w:w="1048" w:type="dxa"/>
            <w:tcBorders>
              <w:top w:val="single" w:sz="4" w:space="0" w:color="auto"/>
              <w:left w:val="nil"/>
              <w:bottom w:val="single" w:sz="4" w:space="0" w:color="auto"/>
              <w:right w:val="nil"/>
            </w:tcBorders>
            <w:shd w:val="clear" w:color="auto" w:fill="auto"/>
            <w:noWrap/>
            <w:vAlign w:val="bottom"/>
            <w:hideMark/>
          </w:tcPr>
          <w:p w14:paraId="0907B502" w14:textId="2D98500E"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50,44</w:t>
            </w:r>
          </w:p>
        </w:tc>
      </w:tr>
      <w:tr w:rsidR="00AC1E67" w:rsidRPr="00A00187" w14:paraId="5732B5FE" w14:textId="77777777" w:rsidTr="001B7DD2">
        <w:trPr>
          <w:trHeight w:val="315"/>
        </w:trPr>
        <w:tc>
          <w:tcPr>
            <w:tcW w:w="2236" w:type="dxa"/>
            <w:tcBorders>
              <w:top w:val="nil"/>
              <w:left w:val="nil"/>
              <w:bottom w:val="single" w:sz="4" w:space="0" w:color="auto"/>
              <w:right w:val="nil"/>
            </w:tcBorders>
            <w:shd w:val="clear" w:color="auto" w:fill="auto"/>
            <w:noWrap/>
            <w:vAlign w:val="bottom"/>
            <w:hideMark/>
          </w:tcPr>
          <w:p w14:paraId="31A96079"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KS Praha</w:t>
            </w:r>
          </w:p>
        </w:tc>
        <w:tc>
          <w:tcPr>
            <w:tcW w:w="1941" w:type="dxa"/>
            <w:tcBorders>
              <w:top w:val="nil"/>
              <w:left w:val="nil"/>
              <w:bottom w:val="single" w:sz="4" w:space="0" w:color="auto"/>
              <w:right w:val="nil"/>
            </w:tcBorders>
            <w:shd w:val="clear" w:color="auto" w:fill="auto"/>
            <w:noWrap/>
            <w:vAlign w:val="bottom"/>
            <w:hideMark/>
          </w:tcPr>
          <w:p w14:paraId="49E6E17E"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43</w:t>
            </w:r>
          </w:p>
        </w:tc>
        <w:tc>
          <w:tcPr>
            <w:tcW w:w="1315" w:type="dxa"/>
            <w:tcBorders>
              <w:top w:val="nil"/>
              <w:left w:val="nil"/>
              <w:bottom w:val="single" w:sz="4" w:space="0" w:color="auto"/>
              <w:right w:val="nil"/>
            </w:tcBorders>
            <w:shd w:val="clear" w:color="auto" w:fill="auto"/>
            <w:noWrap/>
            <w:vAlign w:val="bottom"/>
            <w:hideMark/>
          </w:tcPr>
          <w:p w14:paraId="396568F4"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38</w:t>
            </w:r>
          </w:p>
        </w:tc>
        <w:tc>
          <w:tcPr>
            <w:tcW w:w="1048" w:type="dxa"/>
            <w:tcBorders>
              <w:top w:val="nil"/>
              <w:left w:val="nil"/>
              <w:bottom w:val="single" w:sz="4" w:space="0" w:color="auto"/>
              <w:right w:val="nil"/>
            </w:tcBorders>
            <w:shd w:val="clear" w:color="auto" w:fill="auto"/>
            <w:noWrap/>
            <w:vAlign w:val="bottom"/>
            <w:hideMark/>
          </w:tcPr>
          <w:p w14:paraId="02782BBD" w14:textId="15EF1E42"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46,91</w:t>
            </w:r>
          </w:p>
        </w:tc>
      </w:tr>
      <w:tr w:rsidR="00AC1E67" w:rsidRPr="00A00187" w14:paraId="7FB39211" w14:textId="77777777" w:rsidTr="001B7DD2">
        <w:trPr>
          <w:trHeight w:val="315"/>
        </w:trPr>
        <w:tc>
          <w:tcPr>
            <w:tcW w:w="2236" w:type="dxa"/>
            <w:tcBorders>
              <w:top w:val="nil"/>
              <w:left w:val="nil"/>
              <w:bottom w:val="single" w:sz="4" w:space="0" w:color="auto"/>
              <w:right w:val="nil"/>
            </w:tcBorders>
            <w:shd w:val="clear" w:color="auto" w:fill="auto"/>
            <w:noWrap/>
            <w:vAlign w:val="bottom"/>
            <w:hideMark/>
          </w:tcPr>
          <w:p w14:paraId="4F7CC44A"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KS Č. Budějovice</w:t>
            </w:r>
          </w:p>
        </w:tc>
        <w:tc>
          <w:tcPr>
            <w:tcW w:w="1941" w:type="dxa"/>
            <w:tcBorders>
              <w:top w:val="nil"/>
              <w:left w:val="nil"/>
              <w:bottom w:val="single" w:sz="4" w:space="0" w:color="auto"/>
              <w:right w:val="nil"/>
            </w:tcBorders>
            <w:shd w:val="clear" w:color="auto" w:fill="auto"/>
            <w:noWrap/>
            <w:vAlign w:val="bottom"/>
            <w:hideMark/>
          </w:tcPr>
          <w:p w14:paraId="008334C3"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16</w:t>
            </w:r>
          </w:p>
        </w:tc>
        <w:tc>
          <w:tcPr>
            <w:tcW w:w="1315" w:type="dxa"/>
            <w:tcBorders>
              <w:top w:val="nil"/>
              <w:left w:val="nil"/>
              <w:bottom w:val="single" w:sz="4" w:space="0" w:color="auto"/>
              <w:right w:val="nil"/>
            </w:tcBorders>
            <w:shd w:val="clear" w:color="auto" w:fill="auto"/>
            <w:noWrap/>
            <w:vAlign w:val="bottom"/>
            <w:hideMark/>
          </w:tcPr>
          <w:p w14:paraId="448BC334"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23</w:t>
            </w:r>
          </w:p>
        </w:tc>
        <w:tc>
          <w:tcPr>
            <w:tcW w:w="1048" w:type="dxa"/>
            <w:tcBorders>
              <w:top w:val="nil"/>
              <w:left w:val="nil"/>
              <w:bottom w:val="single" w:sz="4" w:space="0" w:color="auto"/>
              <w:right w:val="nil"/>
            </w:tcBorders>
            <w:shd w:val="clear" w:color="auto" w:fill="auto"/>
            <w:noWrap/>
            <w:vAlign w:val="bottom"/>
            <w:hideMark/>
          </w:tcPr>
          <w:p w14:paraId="40CC7BBB" w14:textId="70BE5B84"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58,97</w:t>
            </w:r>
          </w:p>
        </w:tc>
      </w:tr>
      <w:tr w:rsidR="00AC1E67" w:rsidRPr="00A00187" w14:paraId="3C30C19A" w14:textId="77777777" w:rsidTr="001B7DD2">
        <w:trPr>
          <w:trHeight w:val="315"/>
        </w:trPr>
        <w:tc>
          <w:tcPr>
            <w:tcW w:w="2236" w:type="dxa"/>
            <w:tcBorders>
              <w:top w:val="nil"/>
              <w:left w:val="nil"/>
              <w:bottom w:val="single" w:sz="4" w:space="0" w:color="auto"/>
              <w:right w:val="nil"/>
            </w:tcBorders>
            <w:shd w:val="clear" w:color="auto" w:fill="auto"/>
            <w:noWrap/>
            <w:vAlign w:val="bottom"/>
            <w:hideMark/>
          </w:tcPr>
          <w:p w14:paraId="26F78DEA"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KS Plzeň</w:t>
            </w:r>
          </w:p>
        </w:tc>
        <w:tc>
          <w:tcPr>
            <w:tcW w:w="1941" w:type="dxa"/>
            <w:tcBorders>
              <w:top w:val="nil"/>
              <w:left w:val="nil"/>
              <w:bottom w:val="single" w:sz="4" w:space="0" w:color="auto"/>
              <w:right w:val="nil"/>
            </w:tcBorders>
            <w:shd w:val="clear" w:color="auto" w:fill="auto"/>
            <w:noWrap/>
            <w:vAlign w:val="bottom"/>
            <w:hideMark/>
          </w:tcPr>
          <w:p w14:paraId="020C07AE"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44</w:t>
            </w:r>
          </w:p>
        </w:tc>
        <w:tc>
          <w:tcPr>
            <w:tcW w:w="1315" w:type="dxa"/>
            <w:tcBorders>
              <w:top w:val="nil"/>
              <w:left w:val="nil"/>
              <w:bottom w:val="single" w:sz="4" w:space="0" w:color="auto"/>
              <w:right w:val="nil"/>
            </w:tcBorders>
            <w:shd w:val="clear" w:color="auto" w:fill="auto"/>
            <w:noWrap/>
            <w:vAlign w:val="bottom"/>
            <w:hideMark/>
          </w:tcPr>
          <w:p w14:paraId="228F3E22"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28</w:t>
            </w:r>
          </w:p>
        </w:tc>
        <w:tc>
          <w:tcPr>
            <w:tcW w:w="1048" w:type="dxa"/>
            <w:tcBorders>
              <w:top w:val="nil"/>
              <w:left w:val="nil"/>
              <w:bottom w:val="single" w:sz="4" w:space="0" w:color="auto"/>
              <w:right w:val="nil"/>
            </w:tcBorders>
            <w:shd w:val="clear" w:color="auto" w:fill="auto"/>
            <w:noWrap/>
            <w:vAlign w:val="bottom"/>
            <w:hideMark/>
          </w:tcPr>
          <w:p w14:paraId="6C4F605D" w14:textId="46D170F8"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38,89</w:t>
            </w:r>
          </w:p>
        </w:tc>
      </w:tr>
      <w:tr w:rsidR="00AC1E67" w:rsidRPr="00A00187" w14:paraId="442EF78F" w14:textId="77777777" w:rsidTr="001B7DD2">
        <w:trPr>
          <w:trHeight w:val="315"/>
        </w:trPr>
        <w:tc>
          <w:tcPr>
            <w:tcW w:w="2236" w:type="dxa"/>
            <w:tcBorders>
              <w:top w:val="nil"/>
              <w:left w:val="nil"/>
              <w:bottom w:val="single" w:sz="4" w:space="0" w:color="auto"/>
              <w:right w:val="nil"/>
            </w:tcBorders>
            <w:shd w:val="clear" w:color="auto" w:fill="auto"/>
            <w:noWrap/>
            <w:vAlign w:val="bottom"/>
            <w:hideMark/>
          </w:tcPr>
          <w:p w14:paraId="3580077D"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KS Ústí n. Labem</w:t>
            </w:r>
          </w:p>
        </w:tc>
        <w:tc>
          <w:tcPr>
            <w:tcW w:w="1941" w:type="dxa"/>
            <w:tcBorders>
              <w:top w:val="nil"/>
              <w:left w:val="nil"/>
              <w:bottom w:val="single" w:sz="4" w:space="0" w:color="auto"/>
              <w:right w:val="nil"/>
            </w:tcBorders>
            <w:shd w:val="clear" w:color="auto" w:fill="auto"/>
            <w:noWrap/>
            <w:vAlign w:val="bottom"/>
            <w:hideMark/>
          </w:tcPr>
          <w:p w14:paraId="0BAC1863"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35</w:t>
            </w:r>
          </w:p>
        </w:tc>
        <w:tc>
          <w:tcPr>
            <w:tcW w:w="1315" w:type="dxa"/>
            <w:tcBorders>
              <w:top w:val="nil"/>
              <w:left w:val="nil"/>
              <w:bottom w:val="single" w:sz="4" w:space="0" w:color="auto"/>
              <w:right w:val="nil"/>
            </w:tcBorders>
            <w:shd w:val="clear" w:color="auto" w:fill="auto"/>
            <w:noWrap/>
            <w:vAlign w:val="bottom"/>
            <w:hideMark/>
          </w:tcPr>
          <w:p w14:paraId="64303680"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68</w:t>
            </w:r>
          </w:p>
        </w:tc>
        <w:tc>
          <w:tcPr>
            <w:tcW w:w="1048" w:type="dxa"/>
            <w:tcBorders>
              <w:top w:val="nil"/>
              <w:left w:val="nil"/>
              <w:bottom w:val="single" w:sz="4" w:space="0" w:color="auto"/>
              <w:right w:val="nil"/>
            </w:tcBorders>
            <w:shd w:val="clear" w:color="auto" w:fill="auto"/>
            <w:noWrap/>
            <w:vAlign w:val="bottom"/>
            <w:hideMark/>
          </w:tcPr>
          <w:p w14:paraId="28A7B09B" w14:textId="3256505A"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66,02</w:t>
            </w:r>
          </w:p>
        </w:tc>
      </w:tr>
      <w:tr w:rsidR="00AC1E67" w:rsidRPr="00A00187" w14:paraId="78A6CBF9" w14:textId="77777777" w:rsidTr="001B7DD2">
        <w:trPr>
          <w:trHeight w:val="315"/>
        </w:trPr>
        <w:tc>
          <w:tcPr>
            <w:tcW w:w="2236" w:type="dxa"/>
            <w:tcBorders>
              <w:top w:val="nil"/>
              <w:left w:val="nil"/>
              <w:bottom w:val="single" w:sz="4" w:space="0" w:color="auto"/>
              <w:right w:val="nil"/>
            </w:tcBorders>
            <w:shd w:val="clear" w:color="auto" w:fill="auto"/>
            <w:noWrap/>
            <w:vAlign w:val="bottom"/>
            <w:hideMark/>
          </w:tcPr>
          <w:p w14:paraId="58DC0D34"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KS Hr. Králové</w:t>
            </w:r>
          </w:p>
        </w:tc>
        <w:tc>
          <w:tcPr>
            <w:tcW w:w="1941" w:type="dxa"/>
            <w:tcBorders>
              <w:top w:val="nil"/>
              <w:left w:val="nil"/>
              <w:bottom w:val="single" w:sz="4" w:space="0" w:color="auto"/>
              <w:right w:val="nil"/>
            </w:tcBorders>
            <w:shd w:val="clear" w:color="auto" w:fill="auto"/>
            <w:noWrap/>
            <w:vAlign w:val="bottom"/>
            <w:hideMark/>
          </w:tcPr>
          <w:p w14:paraId="0CF35F15"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34</w:t>
            </w:r>
          </w:p>
        </w:tc>
        <w:tc>
          <w:tcPr>
            <w:tcW w:w="1315" w:type="dxa"/>
            <w:tcBorders>
              <w:top w:val="nil"/>
              <w:left w:val="nil"/>
              <w:bottom w:val="single" w:sz="4" w:space="0" w:color="auto"/>
              <w:right w:val="nil"/>
            </w:tcBorders>
            <w:shd w:val="clear" w:color="auto" w:fill="auto"/>
            <w:noWrap/>
            <w:vAlign w:val="bottom"/>
            <w:hideMark/>
          </w:tcPr>
          <w:p w14:paraId="6F935E46"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30</w:t>
            </w:r>
          </w:p>
        </w:tc>
        <w:tc>
          <w:tcPr>
            <w:tcW w:w="1048" w:type="dxa"/>
            <w:tcBorders>
              <w:top w:val="nil"/>
              <w:left w:val="nil"/>
              <w:bottom w:val="single" w:sz="4" w:space="0" w:color="auto"/>
              <w:right w:val="nil"/>
            </w:tcBorders>
            <w:shd w:val="clear" w:color="auto" w:fill="auto"/>
            <w:noWrap/>
            <w:vAlign w:val="bottom"/>
            <w:hideMark/>
          </w:tcPr>
          <w:p w14:paraId="0394A5BC" w14:textId="4979BC64"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46,88</w:t>
            </w:r>
          </w:p>
        </w:tc>
      </w:tr>
      <w:tr w:rsidR="00AC1E67" w:rsidRPr="00A00187" w14:paraId="2AB88AB4" w14:textId="77777777" w:rsidTr="001B7DD2">
        <w:trPr>
          <w:trHeight w:val="315"/>
        </w:trPr>
        <w:tc>
          <w:tcPr>
            <w:tcW w:w="2236" w:type="dxa"/>
            <w:tcBorders>
              <w:top w:val="nil"/>
              <w:left w:val="nil"/>
              <w:bottom w:val="single" w:sz="4" w:space="0" w:color="auto"/>
              <w:right w:val="nil"/>
            </w:tcBorders>
            <w:shd w:val="clear" w:color="auto" w:fill="auto"/>
            <w:noWrap/>
            <w:vAlign w:val="bottom"/>
            <w:hideMark/>
          </w:tcPr>
          <w:p w14:paraId="31EC15E1"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KS Brno</w:t>
            </w:r>
          </w:p>
        </w:tc>
        <w:tc>
          <w:tcPr>
            <w:tcW w:w="1941" w:type="dxa"/>
            <w:tcBorders>
              <w:top w:val="nil"/>
              <w:left w:val="nil"/>
              <w:bottom w:val="single" w:sz="4" w:space="0" w:color="auto"/>
              <w:right w:val="nil"/>
            </w:tcBorders>
            <w:shd w:val="clear" w:color="auto" w:fill="auto"/>
            <w:noWrap/>
            <w:vAlign w:val="bottom"/>
            <w:hideMark/>
          </w:tcPr>
          <w:p w14:paraId="49102D7B"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77</w:t>
            </w:r>
          </w:p>
        </w:tc>
        <w:tc>
          <w:tcPr>
            <w:tcW w:w="1315" w:type="dxa"/>
            <w:tcBorders>
              <w:top w:val="nil"/>
              <w:left w:val="nil"/>
              <w:bottom w:val="single" w:sz="4" w:space="0" w:color="auto"/>
              <w:right w:val="nil"/>
            </w:tcBorders>
            <w:shd w:val="clear" w:color="auto" w:fill="auto"/>
            <w:noWrap/>
            <w:vAlign w:val="bottom"/>
            <w:hideMark/>
          </w:tcPr>
          <w:p w14:paraId="0CADB23C"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86</w:t>
            </w:r>
          </w:p>
        </w:tc>
        <w:tc>
          <w:tcPr>
            <w:tcW w:w="1048" w:type="dxa"/>
            <w:tcBorders>
              <w:top w:val="nil"/>
              <w:left w:val="nil"/>
              <w:bottom w:val="single" w:sz="4" w:space="0" w:color="auto"/>
              <w:right w:val="nil"/>
            </w:tcBorders>
            <w:shd w:val="clear" w:color="auto" w:fill="auto"/>
            <w:noWrap/>
            <w:vAlign w:val="bottom"/>
            <w:hideMark/>
          </w:tcPr>
          <w:p w14:paraId="7E9B6682" w14:textId="6C93836D"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52,76</w:t>
            </w:r>
          </w:p>
        </w:tc>
      </w:tr>
      <w:tr w:rsidR="00AC1E67" w:rsidRPr="00A00187" w14:paraId="14AE6941" w14:textId="77777777" w:rsidTr="001B7DD2">
        <w:trPr>
          <w:trHeight w:val="330"/>
        </w:trPr>
        <w:tc>
          <w:tcPr>
            <w:tcW w:w="2236" w:type="dxa"/>
            <w:tcBorders>
              <w:top w:val="nil"/>
              <w:left w:val="nil"/>
              <w:bottom w:val="double" w:sz="6" w:space="0" w:color="auto"/>
              <w:right w:val="nil"/>
            </w:tcBorders>
            <w:shd w:val="clear" w:color="auto" w:fill="auto"/>
            <w:noWrap/>
            <w:vAlign w:val="bottom"/>
            <w:hideMark/>
          </w:tcPr>
          <w:p w14:paraId="04ADF070" w14:textId="77777777" w:rsidR="001B7DD2" w:rsidRPr="00A00187" w:rsidRDefault="001B7DD2" w:rsidP="001B7DD2">
            <w:pPr>
              <w:spacing w:line="240" w:lineRule="auto"/>
              <w:jc w:val="left"/>
              <w:rPr>
                <w:rFonts w:eastAsia="Times New Roman"/>
                <w:szCs w:val="24"/>
                <w:lang w:eastAsia="cs-CZ"/>
              </w:rPr>
            </w:pPr>
            <w:r w:rsidRPr="00A00187">
              <w:rPr>
                <w:rFonts w:eastAsia="Times New Roman"/>
                <w:szCs w:val="24"/>
                <w:lang w:eastAsia="cs-CZ"/>
              </w:rPr>
              <w:t>KS Ostrava</w:t>
            </w:r>
          </w:p>
        </w:tc>
        <w:tc>
          <w:tcPr>
            <w:tcW w:w="1941" w:type="dxa"/>
            <w:tcBorders>
              <w:top w:val="nil"/>
              <w:left w:val="nil"/>
              <w:bottom w:val="double" w:sz="6" w:space="0" w:color="auto"/>
              <w:right w:val="nil"/>
            </w:tcBorders>
            <w:shd w:val="clear" w:color="auto" w:fill="auto"/>
            <w:noWrap/>
            <w:vAlign w:val="bottom"/>
            <w:hideMark/>
          </w:tcPr>
          <w:p w14:paraId="1FEDB262"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101</w:t>
            </w:r>
          </w:p>
        </w:tc>
        <w:tc>
          <w:tcPr>
            <w:tcW w:w="1315" w:type="dxa"/>
            <w:tcBorders>
              <w:top w:val="nil"/>
              <w:left w:val="nil"/>
              <w:bottom w:val="double" w:sz="6" w:space="0" w:color="auto"/>
              <w:right w:val="nil"/>
            </w:tcBorders>
            <w:shd w:val="clear" w:color="auto" w:fill="auto"/>
            <w:noWrap/>
            <w:vAlign w:val="bottom"/>
            <w:hideMark/>
          </w:tcPr>
          <w:p w14:paraId="7CE12E31" w14:textId="77777777"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141</w:t>
            </w:r>
          </w:p>
        </w:tc>
        <w:tc>
          <w:tcPr>
            <w:tcW w:w="1048" w:type="dxa"/>
            <w:tcBorders>
              <w:top w:val="nil"/>
              <w:left w:val="nil"/>
              <w:bottom w:val="double" w:sz="6" w:space="0" w:color="auto"/>
              <w:right w:val="nil"/>
            </w:tcBorders>
            <w:shd w:val="clear" w:color="auto" w:fill="auto"/>
            <w:noWrap/>
            <w:vAlign w:val="bottom"/>
            <w:hideMark/>
          </w:tcPr>
          <w:p w14:paraId="65B610C6" w14:textId="31202712" w:rsidR="001B7DD2" w:rsidRPr="00A00187" w:rsidRDefault="001B7DD2" w:rsidP="001B7DD2">
            <w:pPr>
              <w:spacing w:line="240" w:lineRule="auto"/>
              <w:jc w:val="center"/>
              <w:rPr>
                <w:rFonts w:eastAsia="Times New Roman"/>
                <w:szCs w:val="24"/>
                <w:lang w:eastAsia="cs-CZ"/>
              </w:rPr>
            </w:pPr>
            <w:r w:rsidRPr="00A00187">
              <w:rPr>
                <w:rFonts w:eastAsia="Times New Roman"/>
                <w:szCs w:val="24"/>
                <w:lang w:eastAsia="cs-CZ"/>
              </w:rPr>
              <w:t>58,26</w:t>
            </w:r>
          </w:p>
        </w:tc>
      </w:tr>
      <w:tr w:rsidR="00AC1E67" w:rsidRPr="00A00187" w14:paraId="65F2745A" w14:textId="77777777" w:rsidTr="001B7DD2">
        <w:trPr>
          <w:trHeight w:val="345"/>
        </w:trPr>
        <w:tc>
          <w:tcPr>
            <w:tcW w:w="2236" w:type="dxa"/>
            <w:tcBorders>
              <w:top w:val="nil"/>
              <w:left w:val="nil"/>
              <w:bottom w:val="double" w:sz="6" w:space="0" w:color="auto"/>
              <w:right w:val="nil"/>
            </w:tcBorders>
            <w:shd w:val="clear" w:color="auto" w:fill="auto"/>
            <w:noWrap/>
            <w:vAlign w:val="bottom"/>
            <w:hideMark/>
          </w:tcPr>
          <w:p w14:paraId="0208969E" w14:textId="77777777" w:rsidR="001B7DD2" w:rsidRPr="00A00187" w:rsidRDefault="001B7DD2" w:rsidP="001B7DD2">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941" w:type="dxa"/>
            <w:tcBorders>
              <w:top w:val="nil"/>
              <w:left w:val="nil"/>
              <w:bottom w:val="double" w:sz="6" w:space="0" w:color="auto"/>
              <w:right w:val="nil"/>
            </w:tcBorders>
            <w:shd w:val="clear" w:color="auto" w:fill="auto"/>
            <w:noWrap/>
            <w:vAlign w:val="bottom"/>
            <w:hideMark/>
          </w:tcPr>
          <w:p w14:paraId="1E86E120" w14:textId="77777777" w:rsidR="001B7DD2" w:rsidRPr="00A00187" w:rsidRDefault="001B7DD2" w:rsidP="001B7DD2">
            <w:pPr>
              <w:spacing w:line="240" w:lineRule="auto"/>
              <w:jc w:val="center"/>
              <w:rPr>
                <w:rFonts w:eastAsia="Times New Roman"/>
                <w:b/>
                <w:bCs/>
                <w:szCs w:val="24"/>
                <w:lang w:eastAsia="cs-CZ"/>
              </w:rPr>
            </w:pPr>
            <w:r w:rsidRPr="00A00187">
              <w:rPr>
                <w:rFonts w:eastAsia="Times New Roman"/>
                <w:b/>
                <w:bCs/>
                <w:szCs w:val="24"/>
                <w:lang w:eastAsia="cs-CZ"/>
              </w:rPr>
              <w:t>463</w:t>
            </w:r>
          </w:p>
        </w:tc>
        <w:tc>
          <w:tcPr>
            <w:tcW w:w="1315" w:type="dxa"/>
            <w:tcBorders>
              <w:top w:val="nil"/>
              <w:left w:val="nil"/>
              <w:bottom w:val="double" w:sz="6" w:space="0" w:color="auto"/>
              <w:right w:val="nil"/>
            </w:tcBorders>
            <w:shd w:val="clear" w:color="auto" w:fill="auto"/>
            <w:noWrap/>
            <w:vAlign w:val="bottom"/>
            <w:hideMark/>
          </w:tcPr>
          <w:p w14:paraId="3777452C" w14:textId="77777777" w:rsidR="001B7DD2" w:rsidRPr="00A00187" w:rsidRDefault="001B7DD2" w:rsidP="001B7DD2">
            <w:pPr>
              <w:spacing w:line="240" w:lineRule="auto"/>
              <w:jc w:val="center"/>
              <w:rPr>
                <w:rFonts w:eastAsia="Times New Roman"/>
                <w:b/>
                <w:bCs/>
                <w:szCs w:val="24"/>
                <w:lang w:eastAsia="cs-CZ"/>
              </w:rPr>
            </w:pPr>
            <w:r w:rsidRPr="00A00187">
              <w:rPr>
                <w:rFonts w:eastAsia="Times New Roman"/>
                <w:b/>
                <w:bCs/>
                <w:szCs w:val="24"/>
                <w:lang w:eastAsia="cs-CZ"/>
              </w:rPr>
              <w:t>529</w:t>
            </w:r>
          </w:p>
        </w:tc>
        <w:tc>
          <w:tcPr>
            <w:tcW w:w="1048" w:type="dxa"/>
            <w:tcBorders>
              <w:top w:val="nil"/>
              <w:left w:val="nil"/>
              <w:bottom w:val="double" w:sz="6" w:space="0" w:color="auto"/>
              <w:right w:val="nil"/>
            </w:tcBorders>
            <w:shd w:val="clear" w:color="auto" w:fill="auto"/>
            <w:noWrap/>
            <w:vAlign w:val="bottom"/>
            <w:hideMark/>
          </w:tcPr>
          <w:p w14:paraId="75A56A78" w14:textId="2373B9DD" w:rsidR="001B7DD2" w:rsidRPr="00A00187" w:rsidRDefault="001B7DD2" w:rsidP="001B7DD2">
            <w:pPr>
              <w:spacing w:line="240" w:lineRule="auto"/>
              <w:jc w:val="center"/>
              <w:rPr>
                <w:rFonts w:eastAsia="Times New Roman"/>
                <w:b/>
                <w:bCs/>
                <w:szCs w:val="24"/>
                <w:lang w:eastAsia="cs-CZ"/>
              </w:rPr>
            </w:pPr>
            <w:r w:rsidRPr="00A00187">
              <w:rPr>
                <w:rFonts w:eastAsia="Times New Roman"/>
                <w:b/>
                <w:bCs/>
                <w:szCs w:val="24"/>
                <w:lang w:eastAsia="cs-CZ"/>
              </w:rPr>
              <w:t>53,33</w:t>
            </w:r>
          </w:p>
        </w:tc>
      </w:tr>
      <w:tr w:rsidR="00AC1E67" w:rsidRPr="00A00187" w14:paraId="043303E5" w14:textId="77777777" w:rsidTr="001B7DD2">
        <w:trPr>
          <w:trHeight w:val="345"/>
        </w:trPr>
        <w:tc>
          <w:tcPr>
            <w:tcW w:w="2236" w:type="dxa"/>
            <w:tcBorders>
              <w:top w:val="nil"/>
              <w:left w:val="nil"/>
              <w:bottom w:val="nil"/>
              <w:right w:val="nil"/>
            </w:tcBorders>
            <w:shd w:val="clear" w:color="auto" w:fill="auto"/>
            <w:noWrap/>
            <w:vAlign w:val="bottom"/>
            <w:hideMark/>
          </w:tcPr>
          <w:p w14:paraId="21669D27" w14:textId="77777777" w:rsidR="001B7DD2" w:rsidRPr="00A00187" w:rsidRDefault="001B7DD2" w:rsidP="001B7DD2">
            <w:pPr>
              <w:spacing w:line="240" w:lineRule="auto"/>
              <w:jc w:val="center"/>
              <w:rPr>
                <w:rFonts w:eastAsia="Times New Roman"/>
                <w:b/>
                <w:bCs/>
                <w:szCs w:val="24"/>
                <w:lang w:eastAsia="cs-CZ"/>
              </w:rPr>
            </w:pPr>
          </w:p>
        </w:tc>
        <w:tc>
          <w:tcPr>
            <w:tcW w:w="1941" w:type="dxa"/>
            <w:tcBorders>
              <w:top w:val="nil"/>
              <w:left w:val="nil"/>
              <w:bottom w:val="nil"/>
              <w:right w:val="nil"/>
            </w:tcBorders>
            <w:shd w:val="clear" w:color="auto" w:fill="auto"/>
            <w:noWrap/>
            <w:vAlign w:val="bottom"/>
            <w:hideMark/>
          </w:tcPr>
          <w:p w14:paraId="78A7AFB1" w14:textId="77777777" w:rsidR="001B7DD2" w:rsidRPr="00A00187" w:rsidRDefault="001B7DD2" w:rsidP="001B7DD2">
            <w:pPr>
              <w:spacing w:line="240" w:lineRule="auto"/>
              <w:jc w:val="left"/>
              <w:rPr>
                <w:rFonts w:ascii="Times New Roman" w:eastAsia="Times New Roman" w:hAnsi="Times New Roman"/>
                <w:sz w:val="20"/>
                <w:szCs w:val="20"/>
                <w:lang w:eastAsia="cs-CZ"/>
              </w:rPr>
            </w:pPr>
          </w:p>
        </w:tc>
        <w:tc>
          <w:tcPr>
            <w:tcW w:w="1315" w:type="dxa"/>
            <w:tcBorders>
              <w:top w:val="nil"/>
              <w:left w:val="nil"/>
              <w:bottom w:val="nil"/>
              <w:right w:val="nil"/>
            </w:tcBorders>
            <w:shd w:val="clear" w:color="auto" w:fill="auto"/>
            <w:noWrap/>
            <w:vAlign w:val="bottom"/>
            <w:hideMark/>
          </w:tcPr>
          <w:p w14:paraId="540C00ED" w14:textId="77777777" w:rsidR="001B7DD2" w:rsidRPr="00A00187" w:rsidRDefault="001B7DD2" w:rsidP="001B7DD2">
            <w:pPr>
              <w:spacing w:line="240" w:lineRule="auto"/>
              <w:jc w:val="left"/>
              <w:rPr>
                <w:rFonts w:ascii="Times New Roman" w:eastAsia="Times New Roman" w:hAnsi="Times New Roman"/>
                <w:sz w:val="20"/>
                <w:szCs w:val="20"/>
                <w:lang w:eastAsia="cs-CZ"/>
              </w:rPr>
            </w:pPr>
          </w:p>
        </w:tc>
        <w:tc>
          <w:tcPr>
            <w:tcW w:w="1048" w:type="dxa"/>
            <w:tcBorders>
              <w:top w:val="nil"/>
              <w:left w:val="nil"/>
              <w:bottom w:val="nil"/>
              <w:right w:val="nil"/>
            </w:tcBorders>
            <w:shd w:val="clear" w:color="auto" w:fill="auto"/>
            <w:noWrap/>
            <w:vAlign w:val="bottom"/>
            <w:hideMark/>
          </w:tcPr>
          <w:p w14:paraId="6B8C6607" w14:textId="77777777" w:rsidR="001B7DD2" w:rsidRPr="00A00187" w:rsidRDefault="001B7DD2" w:rsidP="001B7DD2">
            <w:pPr>
              <w:spacing w:line="240" w:lineRule="auto"/>
              <w:jc w:val="left"/>
              <w:rPr>
                <w:rFonts w:ascii="Times New Roman" w:eastAsia="Times New Roman" w:hAnsi="Times New Roman"/>
                <w:sz w:val="20"/>
                <w:szCs w:val="20"/>
                <w:lang w:eastAsia="cs-CZ"/>
              </w:rPr>
            </w:pPr>
          </w:p>
        </w:tc>
      </w:tr>
    </w:tbl>
    <w:p w14:paraId="34DF2B4F" w14:textId="4DEE659A" w:rsidR="001B7DD2" w:rsidRPr="00A00187" w:rsidRDefault="001B7DD2" w:rsidP="000F1418">
      <w:r w:rsidRPr="00A00187">
        <w:t>V tabulce na první pohled rozhodně zaujme srovnání s okresními soudy. Podíl mužů, kteří působí jako přísedící, je totiž u krajských soudů výrazně vyšší. U </w:t>
      </w:r>
      <w:r w:rsidR="00B16519">
        <w:t>dvou</w:t>
      </w:r>
      <w:r w:rsidRPr="00A00187">
        <w:t xml:space="preserve"> soudu dokonce působí stejně nebo více mužů než žen. Přísedících je mnohem méně než u OS, neboť počet věcí, které vyřizují, je násobně </w:t>
      </w:r>
      <w:r w:rsidR="007474D8" w:rsidRPr="00A00187">
        <w:t>nižší</w:t>
      </w:r>
      <w:r w:rsidRPr="00A00187">
        <w:t>, i když agenda KS je náročnější. Oproti předchozímu roku se mírně snížil podíl žen.</w:t>
      </w:r>
    </w:p>
    <w:p w14:paraId="64C811C1" w14:textId="52BBD7EA" w:rsidR="00CB570A" w:rsidRDefault="001B7DD2" w:rsidP="001B7DD2">
      <w:r w:rsidRPr="00A00187">
        <w:t xml:space="preserve">Další tabulka se (stejně jako u OS) zabývá věkovou strukturou. Zatímco struktura dle pohlaví se liší, věková struktura přísedících u OS a přísedících u KS je podobná. U KS je funkce přísedícího rovněž mnohem populárnější u vyšších věkových skupin. </w:t>
      </w:r>
      <w:r w:rsidR="00E31590" w:rsidRPr="00A00187">
        <w:t>58</w:t>
      </w:r>
      <w:r w:rsidR="00CB570A">
        <w:t> %</w:t>
      </w:r>
      <w:r w:rsidRPr="00A00187">
        <w:t xml:space="preserve"> (u OS 64</w:t>
      </w:r>
      <w:r w:rsidR="00CB570A">
        <w:t> %</w:t>
      </w:r>
      <w:r w:rsidRPr="00A00187">
        <w:t>) přísedících tvoří lidé ve věku 60 let a více, tedy ve většině případů v důchodovém věku. Naopak přísedící ve věku do 39</w:t>
      </w:r>
      <w:r w:rsidR="005A4C1A">
        <w:t> </w:t>
      </w:r>
      <w:r w:rsidRPr="00A00187">
        <w:t>let tvoří pouze 5,</w:t>
      </w:r>
      <w:r w:rsidR="00E31590" w:rsidRPr="00A00187">
        <w:t>9</w:t>
      </w:r>
      <w:r w:rsidRPr="00A00187">
        <w:t>5</w:t>
      </w:r>
      <w:r w:rsidR="00CB570A">
        <w:t> %</w:t>
      </w:r>
      <w:r w:rsidRPr="00A00187">
        <w:t xml:space="preserve"> (u OS </w:t>
      </w:r>
      <w:r w:rsidR="00E31590" w:rsidRPr="00A00187">
        <w:t>4</w:t>
      </w:r>
      <w:r w:rsidR="00CB570A">
        <w:t> %</w:t>
      </w:r>
      <w:r w:rsidRPr="00A00187">
        <w:t>). V průměru nejstarší jsou</w:t>
      </w:r>
      <w:r w:rsidR="00180488" w:rsidRPr="00A00187">
        <w:t>,</w:t>
      </w:r>
      <w:r w:rsidRPr="00A00187">
        <w:t xml:space="preserve"> stejně jako u OS</w:t>
      </w:r>
      <w:r w:rsidR="00180488" w:rsidRPr="00A00187">
        <w:t>,</w:t>
      </w:r>
      <w:r w:rsidRPr="00A00187">
        <w:t xml:space="preserve"> přísedící v Jihočeském kraji. V tomto kraji ale působí u KS </w:t>
      </w:r>
      <w:r w:rsidR="00E31590" w:rsidRPr="00A00187">
        <w:t>málo</w:t>
      </w:r>
      <w:r w:rsidRPr="00A00187">
        <w:t xml:space="preserve"> přísedících</w:t>
      </w:r>
      <w:r w:rsidR="00E31590" w:rsidRPr="00A00187">
        <w:t xml:space="preserve"> (jedná se </w:t>
      </w:r>
      <w:r w:rsidR="00755920" w:rsidRPr="00A00187">
        <w:t>o</w:t>
      </w:r>
      <w:r w:rsidR="00755920">
        <w:t> </w:t>
      </w:r>
      <w:r w:rsidR="00E31590" w:rsidRPr="00A00187">
        <w:t>nejmenší krajský soud)</w:t>
      </w:r>
      <w:r w:rsidRPr="00A00187">
        <w:t xml:space="preserve">. Od předchozího roku nedošlo ve složení přísedících prakticky </w:t>
      </w:r>
      <w:r w:rsidR="00755920" w:rsidRPr="00A00187">
        <w:t>k</w:t>
      </w:r>
      <w:r w:rsidR="00755920">
        <w:t> </w:t>
      </w:r>
      <w:r w:rsidRPr="00A00187">
        <w:t>žádné</w:t>
      </w:r>
      <w:r w:rsidR="00E31590" w:rsidRPr="00A00187">
        <w:t xml:space="preserve"> velké</w:t>
      </w:r>
      <w:r w:rsidRPr="00A00187">
        <w:t xml:space="preserve"> změně</w:t>
      </w:r>
      <w:r w:rsidR="00E31590" w:rsidRPr="00A00187">
        <w:t>.</w:t>
      </w:r>
    </w:p>
    <w:p w14:paraId="46E6A4AA" w14:textId="3D2237EB" w:rsidR="00B450F6" w:rsidRPr="00A00187" w:rsidRDefault="00B450F6">
      <w:pPr>
        <w:spacing w:after="160" w:line="259" w:lineRule="auto"/>
        <w:jc w:val="left"/>
      </w:pPr>
      <w:r w:rsidRPr="00A00187">
        <w:br w:type="page"/>
      </w:r>
    </w:p>
    <w:p w14:paraId="1947EB6C" w14:textId="5BE9C7BC" w:rsidR="00B450F6" w:rsidRPr="00A00187" w:rsidRDefault="00B450F6" w:rsidP="00B450F6">
      <w:pPr>
        <w:pStyle w:val="Podnadpis"/>
        <w:rPr>
          <w:color w:val="auto"/>
        </w:rPr>
      </w:pPr>
      <w:bookmarkStart w:id="599" w:name="_Toc75952345"/>
      <w:bookmarkStart w:id="600" w:name="_Toc106106803"/>
      <w:bookmarkStart w:id="601" w:name="_Toc109802126"/>
      <w:r w:rsidRPr="00A00187">
        <w:rPr>
          <w:color w:val="auto"/>
        </w:rPr>
        <w:lastRenderedPageBreak/>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41</w:t>
      </w:r>
      <w:r w:rsidRPr="00A00187">
        <w:rPr>
          <w:noProof/>
          <w:color w:val="auto"/>
        </w:rPr>
        <w:fldChar w:fldCharType="end"/>
      </w:r>
      <w:r w:rsidRPr="00A00187">
        <w:rPr>
          <w:color w:val="auto"/>
        </w:rPr>
        <w:t>: KS – počet přísedících dle soudů a věků</w:t>
      </w:r>
      <w:bookmarkEnd w:id="599"/>
      <w:bookmarkEnd w:id="600"/>
      <w:bookmarkEnd w:id="601"/>
    </w:p>
    <w:tbl>
      <w:tblPr>
        <w:tblW w:w="7652" w:type="dxa"/>
        <w:tblCellMar>
          <w:left w:w="70" w:type="dxa"/>
          <w:right w:w="70" w:type="dxa"/>
        </w:tblCellMar>
        <w:tblLook w:val="04A0" w:firstRow="1" w:lastRow="0" w:firstColumn="1" w:lastColumn="0" w:noHBand="0" w:noVBand="1"/>
      </w:tblPr>
      <w:tblGrid>
        <w:gridCol w:w="2236"/>
        <w:gridCol w:w="1141"/>
        <w:gridCol w:w="940"/>
        <w:gridCol w:w="940"/>
        <w:gridCol w:w="940"/>
        <w:gridCol w:w="1455"/>
      </w:tblGrid>
      <w:tr w:rsidR="00AC1E67" w:rsidRPr="00A00187" w14:paraId="72E3A667" w14:textId="77777777" w:rsidTr="00E31590">
        <w:trPr>
          <w:trHeight w:val="330"/>
        </w:trPr>
        <w:tc>
          <w:tcPr>
            <w:tcW w:w="2236" w:type="dxa"/>
            <w:vMerge w:val="restart"/>
            <w:tcBorders>
              <w:top w:val="double" w:sz="6" w:space="0" w:color="auto"/>
              <w:left w:val="nil"/>
              <w:bottom w:val="double" w:sz="6" w:space="0" w:color="000000"/>
              <w:right w:val="nil"/>
            </w:tcBorders>
            <w:shd w:val="clear" w:color="auto" w:fill="auto"/>
            <w:noWrap/>
            <w:vAlign w:val="center"/>
            <w:hideMark/>
          </w:tcPr>
          <w:p w14:paraId="1BFC7820" w14:textId="54364DB9" w:rsidR="00E31590" w:rsidRPr="005A4C1A" w:rsidRDefault="000C430A" w:rsidP="00E31590">
            <w:pPr>
              <w:spacing w:line="240" w:lineRule="auto"/>
              <w:jc w:val="center"/>
              <w:rPr>
                <w:rFonts w:eastAsia="Times New Roman"/>
                <w:b/>
                <w:bCs/>
                <w:szCs w:val="24"/>
                <w:lang w:eastAsia="cs-CZ"/>
              </w:rPr>
            </w:pPr>
            <w:r w:rsidRPr="005A4C1A">
              <w:rPr>
                <w:rFonts w:eastAsia="Times New Roman"/>
                <w:b/>
                <w:bCs/>
                <w:szCs w:val="24"/>
                <w:lang w:eastAsia="cs-CZ"/>
              </w:rPr>
              <w:t>S</w:t>
            </w:r>
            <w:r w:rsidR="00E31590" w:rsidRPr="005A4C1A">
              <w:rPr>
                <w:rFonts w:eastAsia="Times New Roman"/>
                <w:b/>
                <w:bCs/>
                <w:szCs w:val="24"/>
                <w:lang w:eastAsia="cs-CZ"/>
              </w:rPr>
              <w:t>oud</w:t>
            </w:r>
          </w:p>
        </w:tc>
        <w:tc>
          <w:tcPr>
            <w:tcW w:w="5416" w:type="dxa"/>
            <w:gridSpan w:val="5"/>
            <w:tcBorders>
              <w:top w:val="double" w:sz="6" w:space="0" w:color="auto"/>
              <w:left w:val="nil"/>
              <w:bottom w:val="nil"/>
              <w:right w:val="nil"/>
            </w:tcBorders>
            <w:shd w:val="clear" w:color="auto" w:fill="auto"/>
            <w:noWrap/>
            <w:vAlign w:val="bottom"/>
            <w:hideMark/>
          </w:tcPr>
          <w:p w14:paraId="3F99306D" w14:textId="403526B3"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Věková skupina (podíl v</w:t>
            </w:r>
            <w:r w:rsidR="00CB570A" w:rsidRPr="005A4C1A">
              <w:rPr>
                <w:rFonts w:eastAsia="Times New Roman"/>
                <w:b/>
                <w:bCs/>
                <w:szCs w:val="24"/>
                <w:lang w:eastAsia="cs-CZ"/>
              </w:rPr>
              <w:t> %</w:t>
            </w:r>
            <w:r w:rsidRPr="005A4C1A">
              <w:rPr>
                <w:rFonts w:eastAsia="Times New Roman"/>
                <w:b/>
                <w:bCs/>
                <w:szCs w:val="24"/>
                <w:lang w:eastAsia="cs-CZ"/>
              </w:rPr>
              <w:t>)</w:t>
            </w:r>
          </w:p>
        </w:tc>
      </w:tr>
      <w:tr w:rsidR="00AC1E67" w:rsidRPr="00A00187" w14:paraId="39E7E65A" w14:textId="77777777" w:rsidTr="00E31590">
        <w:trPr>
          <w:trHeight w:val="330"/>
        </w:trPr>
        <w:tc>
          <w:tcPr>
            <w:tcW w:w="2236" w:type="dxa"/>
            <w:vMerge/>
            <w:tcBorders>
              <w:top w:val="double" w:sz="6" w:space="0" w:color="auto"/>
              <w:left w:val="nil"/>
              <w:bottom w:val="double" w:sz="6" w:space="0" w:color="000000"/>
              <w:right w:val="nil"/>
            </w:tcBorders>
            <w:vAlign w:val="center"/>
            <w:hideMark/>
          </w:tcPr>
          <w:p w14:paraId="2273B156" w14:textId="77777777" w:rsidR="00E31590" w:rsidRPr="005A4C1A" w:rsidRDefault="00E31590" w:rsidP="00E31590">
            <w:pPr>
              <w:spacing w:line="240" w:lineRule="auto"/>
              <w:jc w:val="left"/>
              <w:rPr>
                <w:rFonts w:eastAsia="Times New Roman"/>
                <w:b/>
                <w:bCs/>
                <w:szCs w:val="24"/>
                <w:lang w:eastAsia="cs-CZ"/>
              </w:rPr>
            </w:pPr>
          </w:p>
        </w:tc>
        <w:tc>
          <w:tcPr>
            <w:tcW w:w="1141" w:type="dxa"/>
            <w:tcBorders>
              <w:top w:val="nil"/>
              <w:left w:val="nil"/>
              <w:bottom w:val="double" w:sz="6" w:space="0" w:color="auto"/>
              <w:right w:val="nil"/>
            </w:tcBorders>
            <w:shd w:val="clear" w:color="auto" w:fill="auto"/>
            <w:noWrap/>
            <w:vAlign w:val="bottom"/>
            <w:hideMark/>
          </w:tcPr>
          <w:p w14:paraId="4B66E3B8" w14:textId="6092EC0B"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30–39</w:t>
            </w:r>
          </w:p>
        </w:tc>
        <w:tc>
          <w:tcPr>
            <w:tcW w:w="940" w:type="dxa"/>
            <w:tcBorders>
              <w:top w:val="nil"/>
              <w:left w:val="nil"/>
              <w:bottom w:val="double" w:sz="6" w:space="0" w:color="auto"/>
              <w:right w:val="nil"/>
            </w:tcBorders>
            <w:shd w:val="clear" w:color="auto" w:fill="auto"/>
            <w:noWrap/>
            <w:vAlign w:val="bottom"/>
            <w:hideMark/>
          </w:tcPr>
          <w:p w14:paraId="453ADB84" w14:textId="77777777"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40-49</w:t>
            </w:r>
          </w:p>
        </w:tc>
        <w:tc>
          <w:tcPr>
            <w:tcW w:w="940" w:type="dxa"/>
            <w:tcBorders>
              <w:top w:val="nil"/>
              <w:left w:val="nil"/>
              <w:bottom w:val="double" w:sz="6" w:space="0" w:color="auto"/>
              <w:right w:val="nil"/>
            </w:tcBorders>
            <w:shd w:val="clear" w:color="auto" w:fill="auto"/>
            <w:noWrap/>
            <w:vAlign w:val="bottom"/>
            <w:hideMark/>
          </w:tcPr>
          <w:p w14:paraId="7E043057" w14:textId="77777777"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50-59</w:t>
            </w:r>
          </w:p>
        </w:tc>
        <w:tc>
          <w:tcPr>
            <w:tcW w:w="940" w:type="dxa"/>
            <w:tcBorders>
              <w:top w:val="nil"/>
              <w:left w:val="nil"/>
              <w:bottom w:val="double" w:sz="6" w:space="0" w:color="auto"/>
              <w:right w:val="nil"/>
            </w:tcBorders>
            <w:shd w:val="clear" w:color="auto" w:fill="auto"/>
            <w:noWrap/>
            <w:vAlign w:val="bottom"/>
            <w:hideMark/>
          </w:tcPr>
          <w:p w14:paraId="01BF6E33" w14:textId="77777777"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60-69</w:t>
            </w:r>
          </w:p>
        </w:tc>
        <w:tc>
          <w:tcPr>
            <w:tcW w:w="1455" w:type="dxa"/>
            <w:tcBorders>
              <w:top w:val="nil"/>
              <w:left w:val="nil"/>
              <w:bottom w:val="double" w:sz="6" w:space="0" w:color="auto"/>
              <w:right w:val="nil"/>
            </w:tcBorders>
            <w:shd w:val="clear" w:color="auto" w:fill="auto"/>
            <w:noWrap/>
            <w:vAlign w:val="bottom"/>
            <w:hideMark/>
          </w:tcPr>
          <w:p w14:paraId="27F33FEB" w14:textId="4A916279"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 xml:space="preserve">70 </w:t>
            </w:r>
            <w:r w:rsidR="00755920" w:rsidRPr="005A4C1A">
              <w:rPr>
                <w:rFonts w:eastAsia="Times New Roman"/>
                <w:b/>
                <w:bCs/>
                <w:szCs w:val="24"/>
                <w:lang w:eastAsia="cs-CZ"/>
              </w:rPr>
              <w:t>a </w:t>
            </w:r>
            <w:r w:rsidRPr="005A4C1A">
              <w:rPr>
                <w:rFonts w:eastAsia="Times New Roman"/>
                <w:b/>
                <w:bCs/>
                <w:szCs w:val="24"/>
                <w:lang w:eastAsia="cs-CZ"/>
              </w:rPr>
              <w:t>více</w:t>
            </w:r>
          </w:p>
        </w:tc>
      </w:tr>
      <w:tr w:rsidR="00AC1E67" w:rsidRPr="00A00187" w14:paraId="4AE2587B" w14:textId="77777777" w:rsidTr="00E31590">
        <w:trPr>
          <w:trHeight w:val="330"/>
        </w:trPr>
        <w:tc>
          <w:tcPr>
            <w:tcW w:w="2236" w:type="dxa"/>
            <w:tcBorders>
              <w:top w:val="nil"/>
              <w:left w:val="nil"/>
              <w:bottom w:val="single" w:sz="4" w:space="0" w:color="auto"/>
              <w:right w:val="nil"/>
            </w:tcBorders>
            <w:shd w:val="clear" w:color="auto" w:fill="auto"/>
            <w:noWrap/>
            <w:vAlign w:val="bottom"/>
            <w:hideMark/>
          </w:tcPr>
          <w:p w14:paraId="107CDC38"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MS Praha</w:t>
            </w:r>
          </w:p>
        </w:tc>
        <w:tc>
          <w:tcPr>
            <w:tcW w:w="1141" w:type="dxa"/>
            <w:tcBorders>
              <w:top w:val="nil"/>
              <w:left w:val="nil"/>
              <w:bottom w:val="single" w:sz="4" w:space="0" w:color="auto"/>
              <w:right w:val="nil"/>
            </w:tcBorders>
            <w:shd w:val="clear" w:color="auto" w:fill="auto"/>
            <w:noWrap/>
            <w:vAlign w:val="bottom"/>
            <w:hideMark/>
          </w:tcPr>
          <w:p w14:paraId="21191BCC" w14:textId="7A9F5BD6"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7,89</w:t>
            </w:r>
          </w:p>
        </w:tc>
        <w:tc>
          <w:tcPr>
            <w:tcW w:w="940" w:type="dxa"/>
            <w:tcBorders>
              <w:top w:val="nil"/>
              <w:left w:val="nil"/>
              <w:bottom w:val="single" w:sz="4" w:space="0" w:color="auto"/>
              <w:right w:val="nil"/>
            </w:tcBorders>
            <w:shd w:val="clear" w:color="auto" w:fill="auto"/>
            <w:noWrap/>
            <w:vAlign w:val="bottom"/>
            <w:hideMark/>
          </w:tcPr>
          <w:p w14:paraId="5B4C3793" w14:textId="7B69CC6B"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27,19</w:t>
            </w:r>
          </w:p>
        </w:tc>
        <w:tc>
          <w:tcPr>
            <w:tcW w:w="940" w:type="dxa"/>
            <w:tcBorders>
              <w:top w:val="nil"/>
              <w:left w:val="nil"/>
              <w:bottom w:val="single" w:sz="4" w:space="0" w:color="auto"/>
              <w:right w:val="nil"/>
            </w:tcBorders>
            <w:shd w:val="clear" w:color="auto" w:fill="auto"/>
            <w:noWrap/>
            <w:vAlign w:val="bottom"/>
            <w:hideMark/>
          </w:tcPr>
          <w:p w14:paraId="15FCF3C6" w14:textId="7A0F36AD"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23,25</w:t>
            </w:r>
          </w:p>
        </w:tc>
        <w:tc>
          <w:tcPr>
            <w:tcW w:w="940" w:type="dxa"/>
            <w:tcBorders>
              <w:top w:val="nil"/>
              <w:left w:val="nil"/>
              <w:bottom w:val="single" w:sz="4" w:space="0" w:color="auto"/>
              <w:right w:val="nil"/>
            </w:tcBorders>
            <w:shd w:val="clear" w:color="auto" w:fill="auto"/>
            <w:noWrap/>
            <w:vAlign w:val="bottom"/>
            <w:hideMark/>
          </w:tcPr>
          <w:p w14:paraId="24209F97" w14:textId="1B1ED8D0"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22,81</w:t>
            </w:r>
          </w:p>
        </w:tc>
        <w:tc>
          <w:tcPr>
            <w:tcW w:w="1455" w:type="dxa"/>
            <w:tcBorders>
              <w:top w:val="nil"/>
              <w:left w:val="nil"/>
              <w:bottom w:val="single" w:sz="4" w:space="0" w:color="auto"/>
              <w:right w:val="nil"/>
            </w:tcBorders>
            <w:shd w:val="clear" w:color="auto" w:fill="auto"/>
            <w:noWrap/>
            <w:vAlign w:val="bottom"/>
            <w:hideMark/>
          </w:tcPr>
          <w:p w14:paraId="1297213A" w14:textId="3848EF77"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18,86</w:t>
            </w:r>
          </w:p>
        </w:tc>
      </w:tr>
      <w:tr w:rsidR="00AC1E67" w:rsidRPr="00A00187" w14:paraId="1233A633" w14:textId="77777777" w:rsidTr="00E31590">
        <w:trPr>
          <w:trHeight w:val="315"/>
        </w:trPr>
        <w:tc>
          <w:tcPr>
            <w:tcW w:w="2236" w:type="dxa"/>
            <w:tcBorders>
              <w:top w:val="nil"/>
              <w:left w:val="nil"/>
              <w:bottom w:val="single" w:sz="4" w:space="0" w:color="auto"/>
              <w:right w:val="nil"/>
            </w:tcBorders>
            <w:shd w:val="clear" w:color="auto" w:fill="auto"/>
            <w:noWrap/>
            <w:vAlign w:val="bottom"/>
            <w:hideMark/>
          </w:tcPr>
          <w:p w14:paraId="6869392D"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KS Praha</w:t>
            </w:r>
          </w:p>
        </w:tc>
        <w:tc>
          <w:tcPr>
            <w:tcW w:w="1141" w:type="dxa"/>
            <w:tcBorders>
              <w:top w:val="nil"/>
              <w:left w:val="nil"/>
              <w:bottom w:val="single" w:sz="4" w:space="0" w:color="auto"/>
              <w:right w:val="nil"/>
            </w:tcBorders>
            <w:shd w:val="clear" w:color="auto" w:fill="auto"/>
            <w:noWrap/>
            <w:vAlign w:val="bottom"/>
            <w:hideMark/>
          </w:tcPr>
          <w:p w14:paraId="27C37307" w14:textId="5E169C03"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8,64</w:t>
            </w:r>
          </w:p>
        </w:tc>
        <w:tc>
          <w:tcPr>
            <w:tcW w:w="940" w:type="dxa"/>
            <w:tcBorders>
              <w:top w:val="nil"/>
              <w:left w:val="nil"/>
              <w:bottom w:val="single" w:sz="4" w:space="0" w:color="auto"/>
              <w:right w:val="nil"/>
            </w:tcBorders>
            <w:shd w:val="clear" w:color="auto" w:fill="auto"/>
            <w:noWrap/>
            <w:vAlign w:val="bottom"/>
            <w:hideMark/>
          </w:tcPr>
          <w:p w14:paraId="10209ACE" w14:textId="5E282966"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23,46</w:t>
            </w:r>
          </w:p>
        </w:tc>
        <w:tc>
          <w:tcPr>
            <w:tcW w:w="940" w:type="dxa"/>
            <w:tcBorders>
              <w:top w:val="nil"/>
              <w:left w:val="nil"/>
              <w:bottom w:val="single" w:sz="4" w:space="0" w:color="auto"/>
              <w:right w:val="nil"/>
            </w:tcBorders>
            <w:shd w:val="clear" w:color="auto" w:fill="auto"/>
            <w:noWrap/>
            <w:vAlign w:val="bottom"/>
            <w:hideMark/>
          </w:tcPr>
          <w:p w14:paraId="4DDF7A58" w14:textId="4CAB0914"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18,52</w:t>
            </w:r>
          </w:p>
        </w:tc>
        <w:tc>
          <w:tcPr>
            <w:tcW w:w="940" w:type="dxa"/>
            <w:tcBorders>
              <w:top w:val="nil"/>
              <w:left w:val="nil"/>
              <w:bottom w:val="single" w:sz="4" w:space="0" w:color="auto"/>
              <w:right w:val="nil"/>
            </w:tcBorders>
            <w:shd w:val="clear" w:color="auto" w:fill="auto"/>
            <w:noWrap/>
            <w:vAlign w:val="bottom"/>
            <w:hideMark/>
          </w:tcPr>
          <w:p w14:paraId="116573F0" w14:textId="790BE292"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19,75</w:t>
            </w:r>
          </w:p>
        </w:tc>
        <w:tc>
          <w:tcPr>
            <w:tcW w:w="1455" w:type="dxa"/>
            <w:tcBorders>
              <w:top w:val="nil"/>
              <w:left w:val="nil"/>
              <w:bottom w:val="single" w:sz="4" w:space="0" w:color="auto"/>
              <w:right w:val="nil"/>
            </w:tcBorders>
            <w:shd w:val="clear" w:color="auto" w:fill="auto"/>
            <w:noWrap/>
            <w:vAlign w:val="bottom"/>
            <w:hideMark/>
          </w:tcPr>
          <w:p w14:paraId="7C1D7C3A" w14:textId="13B21B8D"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29,63</w:t>
            </w:r>
          </w:p>
        </w:tc>
      </w:tr>
      <w:tr w:rsidR="00AC1E67" w:rsidRPr="00A00187" w14:paraId="54D001FC" w14:textId="77777777" w:rsidTr="00E31590">
        <w:trPr>
          <w:trHeight w:val="315"/>
        </w:trPr>
        <w:tc>
          <w:tcPr>
            <w:tcW w:w="2236" w:type="dxa"/>
            <w:tcBorders>
              <w:top w:val="nil"/>
              <w:left w:val="nil"/>
              <w:bottom w:val="single" w:sz="4" w:space="0" w:color="auto"/>
              <w:right w:val="nil"/>
            </w:tcBorders>
            <w:shd w:val="clear" w:color="auto" w:fill="auto"/>
            <w:noWrap/>
            <w:vAlign w:val="bottom"/>
            <w:hideMark/>
          </w:tcPr>
          <w:p w14:paraId="627BA002"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KS Č. Budějovice</w:t>
            </w:r>
          </w:p>
        </w:tc>
        <w:tc>
          <w:tcPr>
            <w:tcW w:w="1141" w:type="dxa"/>
            <w:tcBorders>
              <w:top w:val="nil"/>
              <w:left w:val="nil"/>
              <w:bottom w:val="single" w:sz="4" w:space="0" w:color="auto"/>
              <w:right w:val="nil"/>
            </w:tcBorders>
            <w:shd w:val="clear" w:color="auto" w:fill="auto"/>
            <w:noWrap/>
            <w:vAlign w:val="bottom"/>
            <w:hideMark/>
          </w:tcPr>
          <w:p w14:paraId="3BB65062" w14:textId="15A17C59"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7,69</w:t>
            </w:r>
          </w:p>
        </w:tc>
        <w:tc>
          <w:tcPr>
            <w:tcW w:w="940" w:type="dxa"/>
            <w:tcBorders>
              <w:top w:val="nil"/>
              <w:left w:val="nil"/>
              <w:bottom w:val="single" w:sz="4" w:space="0" w:color="auto"/>
              <w:right w:val="nil"/>
            </w:tcBorders>
            <w:shd w:val="clear" w:color="auto" w:fill="auto"/>
            <w:noWrap/>
            <w:vAlign w:val="bottom"/>
            <w:hideMark/>
          </w:tcPr>
          <w:p w14:paraId="5C368968" w14:textId="0C52B516"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7,69</w:t>
            </w:r>
          </w:p>
        </w:tc>
        <w:tc>
          <w:tcPr>
            <w:tcW w:w="940" w:type="dxa"/>
            <w:tcBorders>
              <w:top w:val="nil"/>
              <w:left w:val="nil"/>
              <w:bottom w:val="single" w:sz="4" w:space="0" w:color="auto"/>
              <w:right w:val="nil"/>
            </w:tcBorders>
            <w:shd w:val="clear" w:color="auto" w:fill="auto"/>
            <w:noWrap/>
            <w:vAlign w:val="bottom"/>
            <w:hideMark/>
          </w:tcPr>
          <w:p w14:paraId="33423166" w14:textId="17E38710"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10,26</w:t>
            </w:r>
          </w:p>
        </w:tc>
        <w:tc>
          <w:tcPr>
            <w:tcW w:w="940" w:type="dxa"/>
            <w:tcBorders>
              <w:top w:val="nil"/>
              <w:left w:val="nil"/>
              <w:bottom w:val="single" w:sz="4" w:space="0" w:color="auto"/>
              <w:right w:val="nil"/>
            </w:tcBorders>
            <w:shd w:val="clear" w:color="auto" w:fill="auto"/>
            <w:noWrap/>
            <w:vAlign w:val="bottom"/>
            <w:hideMark/>
          </w:tcPr>
          <w:p w14:paraId="0D6DEEFF" w14:textId="21A2C7AE"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33,33</w:t>
            </w:r>
          </w:p>
        </w:tc>
        <w:tc>
          <w:tcPr>
            <w:tcW w:w="1455" w:type="dxa"/>
            <w:tcBorders>
              <w:top w:val="nil"/>
              <w:left w:val="nil"/>
              <w:bottom w:val="single" w:sz="4" w:space="0" w:color="auto"/>
              <w:right w:val="nil"/>
            </w:tcBorders>
            <w:shd w:val="clear" w:color="auto" w:fill="auto"/>
            <w:noWrap/>
            <w:vAlign w:val="bottom"/>
            <w:hideMark/>
          </w:tcPr>
          <w:p w14:paraId="4D76776A" w14:textId="49A7CF9B"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41,03</w:t>
            </w:r>
          </w:p>
        </w:tc>
      </w:tr>
      <w:tr w:rsidR="00AC1E67" w:rsidRPr="00A00187" w14:paraId="0C85D9DE" w14:textId="77777777" w:rsidTr="00E31590">
        <w:trPr>
          <w:trHeight w:val="315"/>
        </w:trPr>
        <w:tc>
          <w:tcPr>
            <w:tcW w:w="2236" w:type="dxa"/>
            <w:tcBorders>
              <w:top w:val="nil"/>
              <w:left w:val="nil"/>
              <w:bottom w:val="single" w:sz="4" w:space="0" w:color="auto"/>
              <w:right w:val="nil"/>
            </w:tcBorders>
            <w:shd w:val="clear" w:color="auto" w:fill="auto"/>
            <w:noWrap/>
            <w:vAlign w:val="bottom"/>
            <w:hideMark/>
          </w:tcPr>
          <w:p w14:paraId="4AE910A4"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KS Plzeň</w:t>
            </w:r>
          </w:p>
        </w:tc>
        <w:tc>
          <w:tcPr>
            <w:tcW w:w="1141" w:type="dxa"/>
            <w:tcBorders>
              <w:top w:val="nil"/>
              <w:left w:val="nil"/>
              <w:bottom w:val="single" w:sz="4" w:space="0" w:color="auto"/>
              <w:right w:val="nil"/>
            </w:tcBorders>
            <w:shd w:val="clear" w:color="auto" w:fill="auto"/>
            <w:noWrap/>
            <w:vAlign w:val="bottom"/>
            <w:hideMark/>
          </w:tcPr>
          <w:p w14:paraId="6A30333A" w14:textId="7EC82B4C"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11,11</w:t>
            </w:r>
          </w:p>
        </w:tc>
        <w:tc>
          <w:tcPr>
            <w:tcW w:w="940" w:type="dxa"/>
            <w:tcBorders>
              <w:top w:val="nil"/>
              <w:left w:val="nil"/>
              <w:bottom w:val="single" w:sz="4" w:space="0" w:color="auto"/>
              <w:right w:val="nil"/>
            </w:tcBorders>
            <w:shd w:val="clear" w:color="auto" w:fill="auto"/>
            <w:noWrap/>
            <w:vAlign w:val="bottom"/>
            <w:hideMark/>
          </w:tcPr>
          <w:p w14:paraId="562A1521" w14:textId="784F8691"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18,06</w:t>
            </w:r>
          </w:p>
        </w:tc>
        <w:tc>
          <w:tcPr>
            <w:tcW w:w="940" w:type="dxa"/>
            <w:tcBorders>
              <w:top w:val="nil"/>
              <w:left w:val="nil"/>
              <w:bottom w:val="single" w:sz="4" w:space="0" w:color="auto"/>
              <w:right w:val="nil"/>
            </w:tcBorders>
            <w:shd w:val="clear" w:color="auto" w:fill="auto"/>
            <w:noWrap/>
            <w:vAlign w:val="bottom"/>
            <w:hideMark/>
          </w:tcPr>
          <w:p w14:paraId="277983C2" w14:textId="43E33BA0"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11,11</w:t>
            </w:r>
          </w:p>
        </w:tc>
        <w:tc>
          <w:tcPr>
            <w:tcW w:w="940" w:type="dxa"/>
            <w:tcBorders>
              <w:top w:val="nil"/>
              <w:left w:val="nil"/>
              <w:bottom w:val="single" w:sz="4" w:space="0" w:color="auto"/>
              <w:right w:val="nil"/>
            </w:tcBorders>
            <w:shd w:val="clear" w:color="auto" w:fill="auto"/>
            <w:noWrap/>
            <w:vAlign w:val="bottom"/>
            <w:hideMark/>
          </w:tcPr>
          <w:p w14:paraId="7BC06B1C" w14:textId="06974FFB"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26,39</w:t>
            </w:r>
          </w:p>
        </w:tc>
        <w:tc>
          <w:tcPr>
            <w:tcW w:w="1455" w:type="dxa"/>
            <w:tcBorders>
              <w:top w:val="nil"/>
              <w:left w:val="nil"/>
              <w:bottom w:val="single" w:sz="4" w:space="0" w:color="auto"/>
              <w:right w:val="nil"/>
            </w:tcBorders>
            <w:shd w:val="clear" w:color="auto" w:fill="auto"/>
            <w:noWrap/>
            <w:vAlign w:val="bottom"/>
            <w:hideMark/>
          </w:tcPr>
          <w:p w14:paraId="1FDA15DF" w14:textId="46C68391"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33,33</w:t>
            </w:r>
          </w:p>
        </w:tc>
      </w:tr>
      <w:tr w:rsidR="00AC1E67" w:rsidRPr="00A00187" w14:paraId="200E3A98" w14:textId="77777777" w:rsidTr="00E31590">
        <w:trPr>
          <w:trHeight w:val="315"/>
        </w:trPr>
        <w:tc>
          <w:tcPr>
            <w:tcW w:w="2236" w:type="dxa"/>
            <w:tcBorders>
              <w:top w:val="nil"/>
              <w:left w:val="nil"/>
              <w:bottom w:val="single" w:sz="4" w:space="0" w:color="auto"/>
              <w:right w:val="nil"/>
            </w:tcBorders>
            <w:shd w:val="clear" w:color="auto" w:fill="auto"/>
            <w:noWrap/>
            <w:vAlign w:val="bottom"/>
            <w:hideMark/>
          </w:tcPr>
          <w:p w14:paraId="0603C290"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KS Ústí n. Labem</w:t>
            </w:r>
          </w:p>
        </w:tc>
        <w:tc>
          <w:tcPr>
            <w:tcW w:w="1141" w:type="dxa"/>
            <w:tcBorders>
              <w:top w:val="nil"/>
              <w:left w:val="nil"/>
              <w:bottom w:val="single" w:sz="4" w:space="0" w:color="auto"/>
              <w:right w:val="nil"/>
            </w:tcBorders>
            <w:shd w:val="clear" w:color="auto" w:fill="auto"/>
            <w:noWrap/>
            <w:vAlign w:val="bottom"/>
            <w:hideMark/>
          </w:tcPr>
          <w:p w14:paraId="594BC888" w14:textId="777E2A23"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0,97</w:t>
            </w:r>
          </w:p>
        </w:tc>
        <w:tc>
          <w:tcPr>
            <w:tcW w:w="940" w:type="dxa"/>
            <w:tcBorders>
              <w:top w:val="nil"/>
              <w:left w:val="nil"/>
              <w:bottom w:val="single" w:sz="4" w:space="0" w:color="auto"/>
              <w:right w:val="nil"/>
            </w:tcBorders>
            <w:shd w:val="clear" w:color="auto" w:fill="auto"/>
            <w:noWrap/>
            <w:vAlign w:val="bottom"/>
            <w:hideMark/>
          </w:tcPr>
          <w:p w14:paraId="4B58E86A" w14:textId="72D64BF6"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13,59</w:t>
            </w:r>
          </w:p>
        </w:tc>
        <w:tc>
          <w:tcPr>
            <w:tcW w:w="940" w:type="dxa"/>
            <w:tcBorders>
              <w:top w:val="nil"/>
              <w:left w:val="nil"/>
              <w:bottom w:val="single" w:sz="4" w:space="0" w:color="auto"/>
              <w:right w:val="nil"/>
            </w:tcBorders>
            <w:shd w:val="clear" w:color="auto" w:fill="auto"/>
            <w:noWrap/>
            <w:vAlign w:val="bottom"/>
            <w:hideMark/>
          </w:tcPr>
          <w:p w14:paraId="2CD910A3" w14:textId="34FEDD9F"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16,50</w:t>
            </w:r>
          </w:p>
        </w:tc>
        <w:tc>
          <w:tcPr>
            <w:tcW w:w="940" w:type="dxa"/>
            <w:tcBorders>
              <w:top w:val="nil"/>
              <w:left w:val="nil"/>
              <w:bottom w:val="single" w:sz="4" w:space="0" w:color="auto"/>
              <w:right w:val="nil"/>
            </w:tcBorders>
            <w:shd w:val="clear" w:color="auto" w:fill="auto"/>
            <w:noWrap/>
            <w:vAlign w:val="bottom"/>
            <w:hideMark/>
          </w:tcPr>
          <w:p w14:paraId="1E6006CC" w14:textId="0F77F9FE"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35,92</w:t>
            </w:r>
          </w:p>
        </w:tc>
        <w:tc>
          <w:tcPr>
            <w:tcW w:w="1455" w:type="dxa"/>
            <w:tcBorders>
              <w:top w:val="nil"/>
              <w:left w:val="nil"/>
              <w:bottom w:val="single" w:sz="4" w:space="0" w:color="auto"/>
              <w:right w:val="nil"/>
            </w:tcBorders>
            <w:shd w:val="clear" w:color="auto" w:fill="auto"/>
            <w:noWrap/>
            <w:vAlign w:val="bottom"/>
            <w:hideMark/>
          </w:tcPr>
          <w:p w14:paraId="64F181D2" w14:textId="07DE2988"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33,01</w:t>
            </w:r>
          </w:p>
        </w:tc>
      </w:tr>
      <w:tr w:rsidR="00AC1E67" w:rsidRPr="00A00187" w14:paraId="1183935A" w14:textId="77777777" w:rsidTr="00E31590">
        <w:trPr>
          <w:trHeight w:val="315"/>
        </w:trPr>
        <w:tc>
          <w:tcPr>
            <w:tcW w:w="2236" w:type="dxa"/>
            <w:tcBorders>
              <w:top w:val="nil"/>
              <w:left w:val="nil"/>
              <w:bottom w:val="single" w:sz="4" w:space="0" w:color="auto"/>
              <w:right w:val="nil"/>
            </w:tcBorders>
            <w:shd w:val="clear" w:color="auto" w:fill="auto"/>
            <w:noWrap/>
            <w:vAlign w:val="bottom"/>
            <w:hideMark/>
          </w:tcPr>
          <w:p w14:paraId="5CEAA2DF"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KS Hr. Králové</w:t>
            </w:r>
          </w:p>
        </w:tc>
        <w:tc>
          <w:tcPr>
            <w:tcW w:w="1141" w:type="dxa"/>
            <w:tcBorders>
              <w:top w:val="nil"/>
              <w:left w:val="nil"/>
              <w:bottom w:val="single" w:sz="4" w:space="0" w:color="auto"/>
              <w:right w:val="nil"/>
            </w:tcBorders>
            <w:shd w:val="clear" w:color="auto" w:fill="auto"/>
            <w:noWrap/>
            <w:vAlign w:val="bottom"/>
            <w:hideMark/>
          </w:tcPr>
          <w:p w14:paraId="3077340F" w14:textId="2AD222C3"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1,56</w:t>
            </w:r>
          </w:p>
        </w:tc>
        <w:tc>
          <w:tcPr>
            <w:tcW w:w="940" w:type="dxa"/>
            <w:tcBorders>
              <w:top w:val="nil"/>
              <w:left w:val="nil"/>
              <w:bottom w:val="single" w:sz="4" w:space="0" w:color="auto"/>
              <w:right w:val="nil"/>
            </w:tcBorders>
            <w:shd w:val="clear" w:color="auto" w:fill="auto"/>
            <w:noWrap/>
            <w:vAlign w:val="bottom"/>
            <w:hideMark/>
          </w:tcPr>
          <w:p w14:paraId="6814DE44" w14:textId="56B0F236"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14,06</w:t>
            </w:r>
          </w:p>
        </w:tc>
        <w:tc>
          <w:tcPr>
            <w:tcW w:w="940" w:type="dxa"/>
            <w:tcBorders>
              <w:top w:val="nil"/>
              <w:left w:val="nil"/>
              <w:bottom w:val="single" w:sz="4" w:space="0" w:color="auto"/>
              <w:right w:val="nil"/>
            </w:tcBorders>
            <w:shd w:val="clear" w:color="auto" w:fill="auto"/>
            <w:noWrap/>
            <w:vAlign w:val="bottom"/>
            <w:hideMark/>
          </w:tcPr>
          <w:p w14:paraId="039FC719" w14:textId="514B4FD4"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20,31</w:t>
            </w:r>
          </w:p>
        </w:tc>
        <w:tc>
          <w:tcPr>
            <w:tcW w:w="940" w:type="dxa"/>
            <w:tcBorders>
              <w:top w:val="nil"/>
              <w:left w:val="nil"/>
              <w:bottom w:val="single" w:sz="4" w:space="0" w:color="auto"/>
              <w:right w:val="nil"/>
            </w:tcBorders>
            <w:shd w:val="clear" w:color="auto" w:fill="auto"/>
            <w:noWrap/>
            <w:vAlign w:val="bottom"/>
            <w:hideMark/>
          </w:tcPr>
          <w:p w14:paraId="23A5CF3E" w14:textId="77E954A0"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32,81</w:t>
            </w:r>
          </w:p>
        </w:tc>
        <w:tc>
          <w:tcPr>
            <w:tcW w:w="1455" w:type="dxa"/>
            <w:tcBorders>
              <w:top w:val="nil"/>
              <w:left w:val="nil"/>
              <w:bottom w:val="single" w:sz="4" w:space="0" w:color="auto"/>
              <w:right w:val="nil"/>
            </w:tcBorders>
            <w:shd w:val="clear" w:color="auto" w:fill="auto"/>
            <w:noWrap/>
            <w:vAlign w:val="bottom"/>
            <w:hideMark/>
          </w:tcPr>
          <w:p w14:paraId="2B0C4A1A" w14:textId="07CA4610"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31,25</w:t>
            </w:r>
          </w:p>
        </w:tc>
      </w:tr>
      <w:tr w:rsidR="00AC1E67" w:rsidRPr="00A00187" w14:paraId="17CBF6DA" w14:textId="77777777" w:rsidTr="00E31590">
        <w:trPr>
          <w:trHeight w:val="315"/>
        </w:trPr>
        <w:tc>
          <w:tcPr>
            <w:tcW w:w="2236" w:type="dxa"/>
            <w:tcBorders>
              <w:top w:val="nil"/>
              <w:left w:val="nil"/>
              <w:bottom w:val="single" w:sz="4" w:space="0" w:color="auto"/>
              <w:right w:val="nil"/>
            </w:tcBorders>
            <w:shd w:val="clear" w:color="auto" w:fill="auto"/>
            <w:noWrap/>
            <w:vAlign w:val="bottom"/>
            <w:hideMark/>
          </w:tcPr>
          <w:p w14:paraId="7FB8973E"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KS Brno</w:t>
            </w:r>
          </w:p>
        </w:tc>
        <w:tc>
          <w:tcPr>
            <w:tcW w:w="1141" w:type="dxa"/>
            <w:tcBorders>
              <w:top w:val="nil"/>
              <w:left w:val="nil"/>
              <w:bottom w:val="single" w:sz="4" w:space="0" w:color="auto"/>
              <w:right w:val="nil"/>
            </w:tcBorders>
            <w:shd w:val="clear" w:color="auto" w:fill="auto"/>
            <w:noWrap/>
            <w:vAlign w:val="bottom"/>
            <w:hideMark/>
          </w:tcPr>
          <w:p w14:paraId="678F2486" w14:textId="5A6A17D2"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4,29</w:t>
            </w:r>
          </w:p>
        </w:tc>
        <w:tc>
          <w:tcPr>
            <w:tcW w:w="940" w:type="dxa"/>
            <w:tcBorders>
              <w:top w:val="nil"/>
              <w:left w:val="nil"/>
              <w:bottom w:val="single" w:sz="4" w:space="0" w:color="auto"/>
              <w:right w:val="nil"/>
            </w:tcBorders>
            <w:shd w:val="clear" w:color="auto" w:fill="auto"/>
            <w:noWrap/>
            <w:vAlign w:val="bottom"/>
            <w:hideMark/>
          </w:tcPr>
          <w:p w14:paraId="79792462" w14:textId="0AB2393A"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10,43</w:t>
            </w:r>
          </w:p>
        </w:tc>
        <w:tc>
          <w:tcPr>
            <w:tcW w:w="940" w:type="dxa"/>
            <w:tcBorders>
              <w:top w:val="nil"/>
              <w:left w:val="nil"/>
              <w:bottom w:val="single" w:sz="4" w:space="0" w:color="auto"/>
              <w:right w:val="nil"/>
            </w:tcBorders>
            <w:shd w:val="clear" w:color="auto" w:fill="auto"/>
            <w:noWrap/>
            <w:vAlign w:val="bottom"/>
            <w:hideMark/>
          </w:tcPr>
          <w:p w14:paraId="3775BF89" w14:textId="22F33CCE"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22,70</w:t>
            </w:r>
          </w:p>
        </w:tc>
        <w:tc>
          <w:tcPr>
            <w:tcW w:w="940" w:type="dxa"/>
            <w:tcBorders>
              <w:top w:val="nil"/>
              <w:left w:val="nil"/>
              <w:bottom w:val="single" w:sz="4" w:space="0" w:color="auto"/>
              <w:right w:val="nil"/>
            </w:tcBorders>
            <w:shd w:val="clear" w:color="auto" w:fill="auto"/>
            <w:noWrap/>
            <w:vAlign w:val="bottom"/>
            <w:hideMark/>
          </w:tcPr>
          <w:p w14:paraId="3B41AF08" w14:textId="3CA7D4A9"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28,22</w:t>
            </w:r>
          </w:p>
        </w:tc>
        <w:tc>
          <w:tcPr>
            <w:tcW w:w="1455" w:type="dxa"/>
            <w:tcBorders>
              <w:top w:val="nil"/>
              <w:left w:val="nil"/>
              <w:bottom w:val="single" w:sz="4" w:space="0" w:color="auto"/>
              <w:right w:val="nil"/>
            </w:tcBorders>
            <w:shd w:val="clear" w:color="auto" w:fill="auto"/>
            <w:noWrap/>
            <w:vAlign w:val="bottom"/>
            <w:hideMark/>
          </w:tcPr>
          <w:p w14:paraId="61E48B96" w14:textId="57EB4573"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34,36</w:t>
            </w:r>
          </w:p>
        </w:tc>
      </w:tr>
      <w:tr w:rsidR="00AC1E67" w:rsidRPr="00A00187" w14:paraId="7665EBED" w14:textId="77777777" w:rsidTr="00E31590">
        <w:trPr>
          <w:trHeight w:val="330"/>
        </w:trPr>
        <w:tc>
          <w:tcPr>
            <w:tcW w:w="2236" w:type="dxa"/>
            <w:tcBorders>
              <w:top w:val="nil"/>
              <w:left w:val="nil"/>
              <w:bottom w:val="double" w:sz="6" w:space="0" w:color="auto"/>
              <w:right w:val="nil"/>
            </w:tcBorders>
            <w:shd w:val="clear" w:color="auto" w:fill="auto"/>
            <w:noWrap/>
            <w:vAlign w:val="bottom"/>
            <w:hideMark/>
          </w:tcPr>
          <w:p w14:paraId="06C9B841" w14:textId="77777777" w:rsidR="00E31590" w:rsidRPr="005A4C1A" w:rsidRDefault="00E31590" w:rsidP="00E31590">
            <w:pPr>
              <w:spacing w:line="240" w:lineRule="auto"/>
              <w:jc w:val="left"/>
              <w:rPr>
                <w:rFonts w:eastAsia="Times New Roman"/>
                <w:szCs w:val="24"/>
                <w:lang w:eastAsia="cs-CZ"/>
              </w:rPr>
            </w:pPr>
            <w:r w:rsidRPr="005A4C1A">
              <w:rPr>
                <w:rFonts w:eastAsia="Times New Roman"/>
                <w:szCs w:val="24"/>
                <w:lang w:eastAsia="cs-CZ"/>
              </w:rPr>
              <w:t>KS Ostrava</w:t>
            </w:r>
          </w:p>
        </w:tc>
        <w:tc>
          <w:tcPr>
            <w:tcW w:w="1141" w:type="dxa"/>
            <w:tcBorders>
              <w:top w:val="nil"/>
              <w:left w:val="nil"/>
              <w:bottom w:val="double" w:sz="6" w:space="0" w:color="auto"/>
              <w:right w:val="nil"/>
            </w:tcBorders>
            <w:shd w:val="clear" w:color="auto" w:fill="auto"/>
            <w:noWrap/>
            <w:vAlign w:val="bottom"/>
            <w:hideMark/>
          </w:tcPr>
          <w:p w14:paraId="03AE4BCA" w14:textId="2016D5DE"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5,79</w:t>
            </w:r>
          </w:p>
        </w:tc>
        <w:tc>
          <w:tcPr>
            <w:tcW w:w="940" w:type="dxa"/>
            <w:tcBorders>
              <w:top w:val="nil"/>
              <w:left w:val="nil"/>
              <w:bottom w:val="double" w:sz="6" w:space="0" w:color="auto"/>
              <w:right w:val="nil"/>
            </w:tcBorders>
            <w:shd w:val="clear" w:color="auto" w:fill="auto"/>
            <w:noWrap/>
            <w:vAlign w:val="bottom"/>
            <w:hideMark/>
          </w:tcPr>
          <w:p w14:paraId="509E445F" w14:textId="4777DEA4"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15,29</w:t>
            </w:r>
          </w:p>
        </w:tc>
        <w:tc>
          <w:tcPr>
            <w:tcW w:w="940" w:type="dxa"/>
            <w:tcBorders>
              <w:top w:val="nil"/>
              <w:left w:val="nil"/>
              <w:bottom w:val="double" w:sz="6" w:space="0" w:color="auto"/>
              <w:right w:val="nil"/>
            </w:tcBorders>
            <w:shd w:val="clear" w:color="auto" w:fill="auto"/>
            <w:noWrap/>
            <w:vAlign w:val="bottom"/>
            <w:hideMark/>
          </w:tcPr>
          <w:p w14:paraId="62B1CEFF" w14:textId="41F2980C"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16,53</w:t>
            </w:r>
          </w:p>
        </w:tc>
        <w:tc>
          <w:tcPr>
            <w:tcW w:w="940" w:type="dxa"/>
            <w:tcBorders>
              <w:top w:val="nil"/>
              <w:left w:val="nil"/>
              <w:bottom w:val="double" w:sz="6" w:space="0" w:color="auto"/>
              <w:right w:val="nil"/>
            </w:tcBorders>
            <w:shd w:val="clear" w:color="auto" w:fill="auto"/>
            <w:noWrap/>
            <w:vAlign w:val="bottom"/>
            <w:hideMark/>
          </w:tcPr>
          <w:p w14:paraId="5A5EE859" w14:textId="63E4B168"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34,71</w:t>
            </w:r>
          </w:p>
        </w:tc>
        <w:tc>
          <w:tcPr>
            <w:tcW w:w="1455" w:type="dxa"/>
            <w:tcBorders>
              <w:top w:val="nil"/>
              <w:left w:val="nil"/>
              <w:bottom w:val="double" w:sz="6" w:space="0" w:color="auto"/>
              <w:right w:val="nil"/>
            </w:tcBorders>
            <w:shd w:val="clear" w:color="auto" w:fill="auto"/>
            <w:noWrap/>
            <w:vAlign w:val="bottom"/>
            <w:hideMark/>
          </w:tcPr>
          <w:p w14:paraId="060484C3" w14:textId="04AA0959" w:rsidR="00E31590" w:rsidRPr="005A4C1A" w:rsidRDefault="00E31590" w:rsidP="00E31590">
            <w:pPr>
              <w:spacing w:line="240" w:lineRule="auto"/>
              <w:jc w:val="center"/>
              <w:rPr>
                <w:rFonts w:eastAsia="Times New Roman"/>
                <w:szCs w:val="24"/>
                <w:lang w:eastAsia="cs-CZ"/>
              </w:rPr>
            </w:pPr>
            <w:r w:rsidRPr="005A4C1A">
              <w:rPr>
                <w:rFonts w:eastAsia="Times New Roman"/>
                <w:szCs w:val="24"/>
                <w:lang w:eastAsia="cs-CZ"/>
              </w:rPr>
              <w:t>27,69</w:t>
            </w:r>
          </w:p>
        </w:tc>
      </w:tr>
      <w:tr w:rsidR="00AC1E67" w:rsidRPr="00A00187" w14:paraId="4B2F09EE" w14:textId="77777777" w:rsidTr="00E31590">
        <w:trPr>
          <w:trHeight w:val="345"/>
        </w:trPr>
        <w:tc>
          <w:tcPr>
            <w:tcW w:w="2236" w:type="dxa"/>
            <w:tcBorders>
              <w:top w:val="nil"/>
              <w:left w:val="nil"/>
              <w:bottom w:val="double" w:sz="6" w:space="0" w:color="auto"/>
              <w:right w:val="nil"/>
            </w:tcBorders>
            <w:shd w:val="clear" w:color="auto" w:fill="auto"/>
            <w:noWrap/>
            <w:vAlign w:val="bottom"/>
            <w:hideMark/>
          </w:tcPr>
          <w:p w14:paraId="3F18E10D" w14:textId="77777777" w:rsidR="00E31590" w:rsidRPr="005A4C1A" w:rsidRDefault="00E31590" w:rsidP="00E31590">
            <w:pPr>
              <w:spacing w:line="240" w:lineRule="auto"/>
              <w:jc w:val="left"/>
              <w:rPr>
                <w:rFonts w:eastAsia="Times New Roman"/>
                <w:b/>
                <w:bCs/>
                <w:szCs w:val="24"/>
                <w:lang w:eastAsia="cs-CZ"/>
              </w:rPr>
            </w:pPr>
            <w:r w:rsidRPr="005A4C1A">
              <w:rPr>
                <w:rFonts w:eastAsia="Times New Roman"/>
                <w:b/>
                <w:bCs/>
                <w:szCs w:val="24"/>
                <w:lang w:eastAsia="cs-CZ"/>
              </w:rPr>
              <w:t>Celkem ČR</w:t>
            </w:r>
          </w:p>
        </w:tc>
        <w:tc>
          <w:tcPr>
            <w:tcW w:w="1141" w:type="dxa"/>
            <w:tcBorders>
              <w:top w:val="nil"/>
              <w:left w:val="nil"/>
              <w:bottom w:val="double" w:sz="6" w:space="0" w:color="auto"/>
              <w:right w:val="nil"/>
            </w:tcBorders>
            <w:shd w:val="clear" w:color="auto" w:fill="auto"/>
            <w:noWrap/>
            <w:vAlign w:val="bottom"/>
            <w:hideMark/>
          </w:tcPr>
          <w:p w14:paraId="387E969A" w14:textId="38514190"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5,95</w:t>
            </w:r>
          </w:p>
        </w:tc>
        <w:tc>
          <w:tcPr>
            <w:tcW w:w="940" w:type="dxa"/>
            <w:tcBorders>
              <w:top w:val="nil"/>
              <w:left w:val="nil"/>
              <w:bottom w:val="double" w:sz="6" w:space="0" w:color="auto"/>
              <w:right w:val="nil"/>
            </w:tcBorders>
            <w:shd w:val="clear" w:color="auto" w:fill="auto"/>
            <w:noWrap/>
            <w:vAlign w:val="bottom"/>
            <w:hideMark/>
          </w:tcPr>
          <w:p w14:paraId="6B64547B" w14:textId="47B45D33"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17,54</w:t>
            </w:r>
          </w:p>
        </w:tc>
        <w:tc>
          <w:tcPr>
            <w:tcW w:w="940" w:type="dxa"/>
            <w:tcBorders>
              <w:top w:val="nil"/>
              <w:left w:val="nil"/>
              <w:bottom w:val="double" w:sz="6" w:space="0" w:color="auto"/>
              <w:right w:val="nil"/>
            </w:tcBorders>
            <w:shd w:val="clear" w:color="auto" w:fill="auto"/>
            <w:noWrap/>
            <w:vAlign w:val="bottom"/>
            <w:hideMark/>
          </w:tcPr>
          <w:p w14:paraId="0309D7EA" w14:textId="565E1D9C"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18,85</w:t>
            </w:r>
          </w:p>
        </w:tc>
        <w:tc>
          <w:tcPr>
            <w:tcW w:w="940" w:type="dxa"/>
            <w:tcBorders>
              <w:top w:val="nil"/>
              <w:left w:val="nil"/>
              <w:bottom w:val="double" w:sz="6" w:space="0" w:color="auto"/>
              <w:right w:val="nil"/>
            </w:tcBorders>
            <w:shd w:val="clear" w:color="auto" w:fill="auto"/>
            <w:noWrap/>
            <w:vAlign w:val="bottom"/>
            <w:hideMark/>
          </w:tcPr>
          <w:p w14:paraId="2BACEEC5" w14:textId="485B316E"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29,03</w:t>
            </w:r>
          </w:p>
        </w:tc>
        <w:tc>
          <w:tcPr>
            <w:tcW w:w="1455" w:type="dxa"/>
            <w:tcBorders>
              <w:top w:val="nil"/>
              <w:left w:val="nil"/>
              <w:bottom w:val="double" w:sz="6" w:space="0" w:color="auto"/>
              <w:right w:val="nil"/>
            </w:tcBorders>
            <w:shd w:val="clear" w:color="auto" w:fill="auto"/>
            <w:noWrap/>
            <w:vAlign w:val="bottom"/>
            <w:hideMark/>
          </w:tcPr>
          <w:p w14:paraId="2450CF57" w14:textId="03544BD6" w:rsidR="00E31590" w:rsidRPr="005A4C1A" w:rsidRDefault="00E31590" w:rsidP="00E31590">
            <w:pPr>
              <w:spacing w:line="240" w:lineRule="auto"/>
              <w:jc w:val="center"/>
              <w:rPr>
                <w:rFonts w:eastAsia="Times New Roman"/>
                <w:b/>
                <w:bCs/>
                <w:szCs w:val="24"/>
                <w:lang w:eastAsia="cs-CZ"/>
              </w:rPr>
            </w:pPr>
            <w:r w:rsidRPr="005A4C1A">
              <w:rPr>
                <w:rFonts w:eastAsia="Times New Roman"/>
                <w:b/>
                <w:bCs/>
                <w:szCs w:val="24"/>
                <w:lang w:eastAsia="cs-CZ"/>
              </w:rPr>
              <w:t>28,63</w:t>
            </w:r>
          </w:p>
        </w:tc>
      </w:tr>
      <w:tr w:rsidR="00E31590" w:rsidRPr="00A00187" w14:paraId="1080649A" w14:textId="77777777" w:rsidTr="00E31590">
        <w:trPr>
          <w:trHeight w:val="330"/>
        </w:trPr>
        <w:tc>
          <w:tcPr>
            <w:tcW w:w="2236" w:type="dxa"/>
            <w:tcBorders>
              <w:top w:val="nil"/>
              <w:left w:val="nil"/>
              <w:bottom w:val="nil"/>
              <w:right w:val="nil"/>
            </w:tcBorders>
            <w:shd w:val="clear" w:color="auto" w:fill="auto"/>
            <w:noWrap/>
            <w:vAlign w:val="bottom"/>
            <w:hideMark/>
          </w:tcPr>
          <w:p w14:paraId="669CDAAE" w14:textId="77777777" w:rsidR="00E31590" w:rsidRPr="00A00187" w:rsidRDefault="00E31590" w:rsidP="00E31590">
            <w:pPr>
              <w:spacing w:line="240" w:lineRule="auto"/>
              <w:jc w:val="center"/>
              <w:rPr>
                <w:rFonts w:eastAsia="Times New Roman"/>
                <w:b/>
                <w:bCs/>
                <w:szCs w:val="24"/>
                <w:lang w:eastAsia="cs-CZ"/>
              </w:rPr>
            </w:pPr>
          </w:p>
        </w:tc>
        <w:tc>
          <w:tcPr>
            <w:tcW w:w="1141" w:type="dxa"/>
            <w:tcBorders>
              <w:top w:val="nil"/>
              <w:left w:val="nil"/>
              <w:bottom w:val="nil"/>
              <w:right w:val="nil"/>
            </w:tcBorders>
            <w:shd w:val="clear" w:color="auto" w:fill="auto"/>
            <w:noWrap/>
            <w:vAlign w:val="bottom"/>
            <w:hideMark/>
          </w:tcPr>
          <w:p w14:paraId="2A7E42A4" w14:textId="77777777" w:rsidR="00E31590" w:rsidRPr="00A00187" w:rsidRDefault="00E31590" w:rsidP="00E31590">
            <w:pPr>
              <w:spacing w:line="240" w:lineRule="auto"/>
              <w:jc w:val="left"/>
              <w:rPr>
                <w:rFonts w:ascii="Times New Roman" w:eastAsia="Times New Roman" w:hAnsi="Times New Roman"/>
                <w:sz w:val="20"/>
                <w:szCs w:val="20"/>
                <w:lang w:eastAsia="cs-CZ"/>
              </w:rPr>
            </w:pPr>
          </w:p>
        </w:tc>
        <w:tc>
          <w:tcPr>
            <w:tcW w:w="940" w:type="dxa"/>
            <w:tcBorders>
              <w:top w:val="nil"/>
              <w:left w:val="nil"/>
              <w:bottom w:val="nil"/>
              <w:right w:val="nil"/>
            </w:tcBorders>
            <w:shd w:val="clear" w:color="auto" w:fill="auto"/>
            <w:noWrap/>
            <w:vAlign w:val="bottom"/>
            <w:hideMark/>
          </w:tcPr>
          <w:p w14:paraId="48CF69F7" w14:textId="77777777" w:rsidR="00E31590" w:rsidRPr="00A00187" w:rsidRDefault="00E31590" w:rsidP="00E31590">
            <w:pPr>
              <w:spacing w:line="240" w:lineRule="auto"/>
              <w:jc w:val="left"/>
              <w:rPr>
                <w:rFonts w:ascii="Times New Roman" w:eastAsia="Times New Roman" w:hAnsi="Times New Roman"/>
                <w:sz w:val="20"/>
                <w:szCs w:val="20"/>
                <w:lang w:eastAsia="cs-CZ"/>
              </w:rPr>
            </w:pPr>
          </w:p>
        </w:tc>
        <w:tc>
          <w:tcPr>
            <w:tcW w:w="940" w:type="dxa"/>
            <w:tcBorders>
              <w:top w:val="nil"/>
              <w:left w:val="nil"/>
              <w:bottom w:val="nil"/>
              <w:right w:val="nil"/>
            </w:tcBorders>
            <w:shd w:val="clear" w:color="auto" w:fill="auto"/>
            <w:noWrap/>
            <w:vAlign w:val="bottom"/>
            <w:hideMark/>
          </w:tcPr>
          <w:p w14:paraId="58210125" w14:textId="77777777" w:rsidR="00E31590" w:rsidRPr="00A00187" w:rsidRDefault="00E31590" w:rsidP="00E31590">
            <w:pPr>
              <w:spacing w:line="240" w:lineRule="auto"/>
              <w:jc w:val="left"/>
              <w:rPr>
                <w:rFonts w:ascii="Times New Roman" w:eastAsia="Times New Roman" w:hAnsi="Times New Roman"/>
                <w:sz w:val="20"/>
                <w:szCs w:val="20"/>
                <w:lang w:eastAsia="cs-CZ"/>
              </w:rPr>
            </w:pPr>
          </w:p>
        </w:tc>
        <w:tc>
          <w:tcPr>
            <w:tcW w:w="940" w:type="dxa"/>
            <w:tcBorders>
              <w:top w:val="nil"/>
              <w:left w:val="nil"/>
              <w:bottom w:val="nil"/>
              <w:right w:val="nil"/>
            </w:tcBorders>
            <w:shd w:val="clear" w:color="auto" w:fill="auto"/>
            <w:noWrap/>
            <w:vAlign w:val="bottom"/>
            <w:hideMark/>
          </w:tcPr>
          <w:p w14:paraId="0535CF2C" w14:textId="77777777" w:rsidR="00E31590" w:rsidRPr="00A00187" w:rsidRDefault="00E31590" w:rsidP="00E31590">
            <w:pPr>
              <w:spacing w:line="240" w:lineRule="auto"/>
              <w:jc w:val="left"/>
              <w:rPr>
                <w:rFonts w:ascii="Times New Roman" w:eastAsia="Times New Roman" w:hAnsi="Times New Roman"/>
                <w:sz w:val="20"/>
                <w:szCs w:val="20"/>
                <w:lang w:eastAsia="cs-CZ"/>
              </w:rPr>
            </w:pPr>
          </w:p>
        </w:tc>
        <w:tc>
          <w:tcPr>
            <w:tcW w:w="1455" w:type="dxa"/>
            <w:tcBorders>
              <w:top w:val="nil"/>
              <w:left w:val="nil"/>
              <w:bottom w:val="nil"/>
              <w:right w:val="nil"/>
            </w:tcBorders>
            <w:shd w:val="clear" w:color="auto" w:fill="auto"/>
            <w:noWrap/>
            <w:vAlign w:val="bottom"/>
            <w:hideMark/>
          </w:tcPr>
          <w:p w14:paraId="7C597F95" w14:textId="77777777" w:rsidR="00E31590" w:rsidRPr="00A00187" w:rsidRDefault="00E31590" w:rsidP="00E31590">
            <w:pPr>
              <w:spacing w:line="240" w:lineRule="auto"/>
              <w:jc w:val="left"/>
              <w:rPr>
                <w:rFonts w:ascii="Times New Roman" w:eastAsia="Times New Roman" w:hAnsi="Times New Roman"/>
                <w:sz w:val="20"/>
                <w:szCs w:val="20"/>
                <w:lang w:eastAsia="cs-CZ"/>
              </w:rPr>
            </w:pPr>
          </w:p>
        </w:tc>
      </w:tr>
    </w:tbl>
    <w:p w14:paraId="301B4B9F" w14:textId="77777777" w:rsidR="001B7DD2" w:rsidRPr="00A00187" w:rsidRDefault="001B7DD2" w:rsidP="001B7DD2"/>
    <w:p w14:paraId="2E81900B" w14:textId="77777777" w:rsidR="00D96C97" w:rsidRPr="00A00187" w:rsidRDefault="00D96C97">
      <w:pPr>
        <w:spacing w:after="160" w:line="259" w:lineRule="auto"/>
        <w:jc w:val="left"/>
        <w:rPr>
          <w:rFonts w:eastAsia="Times New Roman"/>
          <w:b/>
          <w:bCs/>
        </w:rPr>
      </w:pPr>
      <w:r w:rsidRPr="00A00187">
        <w:br w:type="page"/>
      </w:r>
    </w:p>
    <w:p w14:paraId="1095D07C" w14:textId="54FDF644" w:rsidR="008430BD" w:rsidRPr="00A00187" w:rsidRDefault="008430BD" w:rsidP="008430BD">
      <w:pPr>
        <w:pStyle w:val="Nadpis2"/>
        <w:numPr>
          <w:ilvl w:val="1"/>
          <w:numId w:val="1"/>
        </w:numPr>
        <w:spacing w:before="120"/>
        <w:rPr>
          <w:color w:val="auto"/>
        </w:rPr>
      </w:pPr>
      <w:bookmarkStart w:id="602" w:name="_Toc515871248"/>
      <w:bookmarkStart w:id="603" w:name="_Toc106092752"/>
      <w:bookmarkStart w:id="604" w:name="_Toc109801363"/>
      <w:r w:rsidRPr="00A00187">
        <w:rPr>
          <w:color w:val="auto"/>
        </w:rPr>
        <w:lastRenderedPageBreak/>
        <w:t>Prvostupňová civilní a obchodní agenda</w:t>
      </w:r>
      <w:bookmarkEnd w:id="602"/>
      <w:bookmarkEnd w:id="603"/>
      <w:bookmarkEnd w:id="604"/>
    </w:p>
    <w:p w14:paraId="21BB7146" w14:textId="77777777" w:rsidR="005A734C" w:rsidRPr="00A00187" w:rsidRDefault="005A734C" w:rsidP="005A734C">
      <w:pPr>
        <w:pStyle w:val="OdstavecASR"/>
      </w:pPr>
      <w:r w:rsidRPr="00A00187">
        <w:t>Krajské soudy vyřizují podobně jako okresní soudy větší množství prvostupňové netrestní agendy. Na rozdíl od okresních soudů vyřizují krajské soudy</w:t>
      </w:r>
      <w:r w:rsidR="00BB3FB5" w:rsidRPr="00A00187">
        <w:t>,</w:t>
      </w:r>
      <w:r w:rsidRPr="00A00187">
        <w:t xml:space="preserve"> s výjimkou KS Praha</w:t>
      </w:r>
      <w:r w:rsidR="00BB3FB5" w:rsidRPr="00A00187">
        <w:t>,</w:t>
      </w:r>
      <w:r w:rsidRPr="00A00187">
        <w:t xml:space="preserve"> </w:t>
      </w:r>
      <w:r w:rsidR="00342CAB" w:rsidRPr="00A00187">
        <w:t xml:space="preserve">též </w:t>
      </w:r>
      <w:r w:rsidRPr="00A00187">
        <w:t>věci veřejných rejstříků právnických a fyzických osob. Tato podkapitola se věnuje prvostupňové civilní (občanskoprávní) a obchodní agendě. V rámci této zprávy se jedná o rejstříky označené jako C, EC, Cm a </w:t>
      </w:r>
      <w:proofErr w:type="spellStart"/>
      <w:r w:rsidRPr="00A00187">
        <w:t>ECm</w:t>
      </w:r>
      <w:proofErr w:type="spellEnd"/>
      <w:r w:rsidRPr="00A00187">
        <w:t>.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14:paraId="2EF553A3" w14:textId="77777777" w:rsidR="005A734C" w:rsidRPr="00A00187" w:rsidRDefault="005A734C" w:rsidP="005A734C">
      <w:pPr>
        <w:pStyle w:val="Nadpis3"/>
        <w:numPr>
          <w:ilvl w:val="2"/>
          <w:numId w:val="1"/>
        </w:numPr>
        <w:rPr>
          <w:color w:val="auto"/>
        </w:rPr>
      </w:pPr>
      <w:bookmarkStart w:id="605" w:name="_Toc75952087"/>
      <w:bookmarkStart w:id="606" w:name="_Ref103764802"/>
      <w:bookmarkStart w:id="607" w:name="_Ref103764829"/>
      <w:bookmarkStart w:id="608" w:name="_Toc106092753"/>
      <w:bookmarkStart w:id="609" w:name="_Toc109801364"/>
      <w:r w:rsidRPr="00A00187">
        <w:rPr>
          <w:color w:val="auto"/>
        </w:rPr>
        <w:t>Délka řízení</w:t>
      </w:r>
      <w:bookmarkEnd w:id="605"/>
      <w:bookmarkEnd w:id="606"/>
      <w:bookmarkEnd w:id="607"/>
      <w:bookmarkEnd w:id="608"/>
      <w:bookmarkEnd w:id="609"/>
    </w:p>
    <w:p w14:paraId="328E9D2F" w14:textId="77777777" w:rsidR="00CB570A" w:rsidRDefault="005A734C" w:rsidP="005A734C">
      <w:pPr>
        <w:pStyle w:val="OdstavecASR"/>
      </w:pPr>
      <w:bookmarkStart w:id="610" w:name="_Toc515871380"/>
      <w:bookmarkStart w:id="611" w:name="_Toc11135111"/>
      <w:r w:rsidRPr="00A00187">
        <w:t>Uvádíme délky řízení v kalendářních dnech ode dne nápadu do dne konečného vyřízení soudem I. stupně zjištěné ze statistických listů.</w:t>
      </w:r>
    </w:p>
    <w:p w14:paraId="00CE4218" w14:textId="77777777" w:rsidR="00CB570A" w:rsidRDefault="005A734C" w:rsidP="005A734C">
      <w:pPr>
        <w:pStyle w:val="OdstavecASR"/>
      </w:pPr>
      <w:r w:rsidRPr="00A00187">
        <w:t xml:space="preserve">Data byla očištěna o věci s předmětem </w:t>
      </w:r>
      <w:bookmarkStart w:id="612" w:name="_Hlk98502272"/>
      <w:r w:rsidRPr="00A00187">
        <w:t xml:space="preserve">sporu </w:t>
      </w:r>
      <w:r w:rsidRPr="00A00187">
        <w:rPr>
          <w:i/>
        </w:rPr>
        <w:t>právní vztahy související se zrušením a likvidací obchodní korporace</w:t>
      </w:r>
      <w:r w:rsidRPr="00A00187">
        <w:t>.</w:t>
      </w:r>
      <w:bookmarkEnd w:id="612"/>
      <w:r w:rsidRPr="00A00187">
        <w:t xml:space="preserve"> Přestože se může jednat o administrativně náročnou agendu, především v Praze se velmi často vyskytují jednoduché a rychle vyřízené věci. Právě u tohoto soudu přitom došlo v roce 2017 k velkému nárůstu v počtu pravomocně skončených věcí (nárůst o 176</w:t>
      </w:r>
      <w:r w:rsidR="00CB570A">
        <w:t> %</w:t>
      </w:r>
      <w:r w:rsidRPr="00A00187">
        <w:t>), což samozřejmě značně ovlivňuje vykazovanou délku řízení – výrazně ji to snižuje. Stejně tak má tato kategorie sporů významný vliv na míru odvolání. Po úvaze byla proto především z důvodu zachování srovnatelnosti mezi soudními kraji a roky data využitá v této zprávě o uvedený typ sporu očištěna.</w:t>
      </w:r>
    </w:p>
    <w:p w14:paraId="777F8BDC" w14:textId="5838E42E" w:rsidR="00FC165D" w:rsidRPr="00A00187" w:rsidRDefault="00FC165D" w:rsidP="005A734C">
      <w:pPr>
        <w:pStyle w:val="OdstavecASR"/>
      </w:pPr>
      <w:r w:rsidRPr="00A00187">
        <w:t>V roce 2021 došlo k další úpravě metodiky</w:t>
      </w:r>
      <w:r w:rsidR="00BB3FB5" w:rsidRPr="00A00187">
        <w:t>.</w:t>
      </w:r>
      <w:r w:rsidRPr="00A00187">
        <w:t xml:space="preserve"> </w:t>
      </w:r>
      <w:r w:rsidR="00BB3FB5" w:rsidRPr="00A00187">
        <w:t>D</w:t>
      </w:r>
      <w:r w:rsidRPr="00A00187">
        <w:t xml:space="preserve">ata byla po úvaze očištěna </w:t>
      </w:r>
      <w:r w:rsidR="00755920" w:rsidRPr="00A00187">
        <w:t>i</w:t>
      </w:r>
      <w:r w:rsidR="00755920">
        <w:t> </w:t>
      </w:r>
      <w:r w:rsidR="00755920" w:rsidRPr="00A00187">
        <w:t>o</w:t>
      </w:r>
      <w:r w:rsidR="00755920">
        <w:t> </w:t>
      </w:r>
      <w:r w:rsidRPr="00A00187">
        <w:t xml:space="preserve">spory s předmětem sporu </w:t>
      </w:r>
      <w:bookmarkStart w:id="613" w:name="_Hlk98502296"/>
      <w:r w:rsidRPr="00A00187">
        <w:rPr>
          <w:i/>
          <w:iCs/>
        </w:rPr>
        <w:t xml:space="preserve">zrušení </w:t>
      </w:r>
      <w:r w:rsidR="00755920" w:rsidRPr="00A00187">
        <w:rPr>
          <w:i/>
          <w:iCs/>
        </w:rPr>
        <w:t>a</w:t>
      </w:r>
      <w:r w:rsidR="00755920">
        <w:rPr>
          <w:i/>
          <w:iCs/>
        </w:rPr>
        <w:t> </w:t>
      </w:r>
      <w:r w:rsidRPr="00A00187">
        <w:rPr>
          <w:i/>
          <w:iCs/>
        </w:rPr>
        <w:t>jmenování likvidátora</w:t>
      </w:r>
      <w:r w:rsidR="0050380E" w:rsidRPr="00A00187">
        <w:rPr>
          <w:i/>
          <w:iCs/>
        </w:rPr>
        <w:t xml:space="preserve"> </w:t>
      </w:r>
      <w:r w:rsidR="00755920" w:rsidRPr="00A00187">
        <w:rPr>
          <w:i/>
          <w:iCs/>
        </w:rPr>
        <w:t>u</w:t>
      </w:r>
      <w:r w:rsidR="00755920">
        <w:rPr>
          <w:i/>
          <w:iCs/>
        </w:rPr>
        <w:t> </w:t>
      </w:r>
      <w:r w:rsidR="0050380E" w:rsidRPr="00A00187">
        <w:rPr>
          <w:i/>
          <w:iCs/>
        </w:rPr>
        <w:t>jiných korporací (spolky, odborové organizace atd)</w:t>
      </w:r>
      <w:r w:rsidRPr="00A00187">
        <w:t xml:space="preserve">. </w:t>
      </w:r>
      <w:bookmarkEnd w:id="613"/>
      <w:r w:rsidR="00137AD5" w:rsidRPr="00A00187">
        <w:t xml:space="preserve">Podobně jako </w:t>
      </w:r>
      <w:r w:rsidR="00342CAB" w:rsidRPr="00A00187">
        <w:t>u </w:t>
      </w:r>
      <w:r w:rsidR="00137AD5" w:rsidRPr="00A00187">
        <w:rPr>
          <w:i/>
          <w:iCs/>
        </w:rPr>
        <w:t>právních vztahů související</w:t>
      </w:r>
      <w:r w:rsidR="00342CAB" w:rsidRPr="00A00187">
        <w:rPr>
          <w:i/>
          <w:iCs/>
        </w:rPr>
        <w:t>ch</w:t>
      </w:r>
      <w:r w:rsidR="00137AD5" w:rsidRPr="00A00187">
        <w:rPr>
          <w:i/>
          <w:iCs/>
        </w:rPr>
        <w:t xml:space="preserve"> se zrušením </w:t>
      </w:r>
      <w:r w:rsidR="00755920" w:rsidRPr="00A00187">
        <w:rPr>
          <w:i/>
          <w:iCs/>
        </w:rPr>
        <w:t>a</w:t>
      </w:r>
      <w:r w:rsidR="00755920">
        <w:rPr>
          <w:i/>
          <w:iCs/>
        </w:rPr>
        <w:t> </w:t>
      </w:r>
      <w:r w:rsidR="00137AD5" w:rsidRPr="00A00187">
        <w:rPr>
          <w:i/>
          <w:iCs/>
        </w:rPr>
        <w:t>likvidací obchodní korporace</w:t>
      </w:r>
      <w:r w:rsidRPr="00A00187">
        <w:rPr>
          <w:i/>
          <w:iCs/>
        </w:rPr>
        <w:t xml:space="preserve"> </w:t>
      </w:r>
      <w:r w:rsidRPr="00A00187">
        <w:t xml:space="preserve">se </w:t>
      </w:r>
      <w:r w:rsidR="00137AD5" w:rsidRPr="00A00187">
        <w:t xml:space="preserve">nejedná </w:t>
      </w:r>
      <w:r w:rsidR="00755920" w:rsidRPr="00A00187">
        <w:t>o</w:t>
      </w:r>
      <w:r w:rsidR="00755920">
        <w:t> </w:t>
      </w:r>
      <w:r w:rsidR="00137AD5" w:rsidRPr="00A00187">
        <w:t xml:space="preserve">typický obchodní spor </w:t>
      </w:r>
      <w:r w:rsidR="00755920" w:rsidRPr="00A00187">
        <w:t>a</w:t>
      </w:r>
      <w:r w:rsidR="00755920">
        <w:t> </w:t>
      </w:r>
      <w:r w:rsidR="00137AD5" w:rsidRPr="00A00187">
        <w:t xml:space="preserve">délka řízení je </w:t>
      </w:r>
      <w:r w:rsidR="00755920" w:rsidRPr="00A00187">
        <w:t>u</w:t>
      </w:r>
      <w:r w:rsidR="00755920">
        <w:t> </w:t>
      </w:r>
      <w:r w:rsidR="00137AD5" w:rsidRPr="00A00187">
        <w:t xml:space="preserve">těchto sporů výrazně kratší. </w:t>
      </w:r>
      <w:r w:rsidRPr="00A00187">
        <w:t xml:space="preserve">V roce 2021 došlo </w:t>
      </w:r>
      <w:r w:rsidR="00D27D0F" w:rsidRPr="00A00187">
        <w:t>asi k </w:t>
      </w:r>
      <w:r w:rsidR="00F86B11" w:rsidRPr="00A00187">
        <w:t>trojnásobnému nárůstu</w:t>
      </w:r>
      <w:r w:rsidRPr="00A00187">
        <w:t xml:space="preserve"> v počtu těchto řízení oproti roku 2020, </w:t>
      </w:r>
      <w:r w:rsidR="00755920" w:rsidRPr="00A00187">
        <w:t>a</w:t>
      </w:r>
      <w:r w:rsidR="00755920">
        <w:t> </w:t>
      </w:r>
      <w:r w:rsidRPr="00A00187">
        <w:t xml:space="preserve">to především </w:t>
      </w:r>
      <w:r w:rsidR="00755920" w:rsidRPr="00A00187">
        <w:t>u</w:t>
      </w:r>
      <w:r w:rsidR="00755920">
        <w:t> </w:t>
      </w:r>
      <w:r w:rsidRPr="00A00187">
        <w:t xml:space="preserve">MS Praha, částečně pak </w:t>
      </w:r>
      <w:r w:rsidR="00755920" w:rsidRPr="00A00187">
        <w:t>u</w:t>
      </w:r>
      <w:r w:rsidR="00755920">
        <w:t> </w:t>
      </w:r>
      <w:r w:rsidRPr="00A00187">
        <w:t xml:space="preserve">KS Brno </w:t>
      </w:r>
      <w:r w:rsidR="00755920" w:rsidRPr="00A00187">
        <w:t>a</w:t>
      </w:r>
      <w:r w:rsidR="00755920">
        <w:t> </w:t>
      </w:r>
      <w:r w:rsidRPr="00A00187">
        <w:t xml:space="preserve">KS Hradec Králové. Bez očištění dat by došlo k výraznému poklesu délky řízení (opět především </w:t>
      </w:r>
      <w:r w:rsidR="00755920" w:rsidRPr="00A00187">
        <w:t>u</w:t>
      </w:r>
      <w:r w:rsidR="00755920">
        <w:t> </w:t>
      </w:r>
      <w:r w:rsidRPr="00A00187">
        <w:t xml:space="preserve">MS Praha). Pokles délky řízení by nicméně plynul právě pouze ze změny ve složení agendy, </w:t>
      </w:r>
      <w:r w:rsidR="00342CAB" w:rsidRPr="00A00187">
        <w:t>nikoliv</w:t>
      </w:r>
      <w:r w:rsidRPr="00A00187">
        <w:t xml:space="preserve"> </w:t>
      </w:r>
      <w:r w:rsidR="00342CAB" w:rsidRPr="00A00187">
        <w:t>z</w:t>
      </w:r>
      <w:r w:rsidRPr="00A00187">
        <w:t>e zrychlení vyřizování věcí obecně.</w:t>
      </w:r>
      <w:r w:rsidR="000E0C47" w:rsidRPr="00A00187">
        <w:t xml:space="preserve"> </w:t>
      </w:r>
      <w:r w:rsidRPr="00A00187">
        <w:t xml:space="preserve">Pro ilustraci – po očištění </w:t>
      </w:r>
      <w:r w:rsidR="00755920" w:rsidRPr="00A00187">
        <w:t>o</w:t>
      </w:r>
      <w:r w:rsidR="00755920">
        <w:t> </w:t>
      </w:r>
      <w:r w:rsidRPr="00A00187">
        <w:t xml:space="preserve">tento předmět sporu </w:t>
      </w:r>
      <w:r w:rsidR="00755920" w:rsidRPr="00A00187">
        <w:t>u</w:t>
      </w:r>
      <w:r w:rsidR="00755920">
        <w:t> </w:t>
      </w:r>
      <w:r w:rsidRPr="00A00187">
        <w:t xml:space="preserve">MS Praha vykázal mediánovou délku řízení 334 dnů v roce 2020 </w:t>
      </w:r>
      <w:r w:rsidR="00755920" w:rsidRPr="00A00187">
        <w:t>a</w:t>
      </w:r>
      <w:r w:rsidR="00755920">
        <w:t> </w:t>
      </w:r>
      <w:r w:rsidRPr="00A00187">
        <w:t xml:space="preserve">321 v roce 2021. Bez očištění by ale vykázal délky řízení 260 v roce 2020 </w:t>
      </w:r>
      <w:r w:rsidR="00755920" w:rsidRPr="00A00187">
        <w:t>a</w:t>
      </w:r>
      <w:r w:rsidR="00755920">
        <w:t> </w:t>
      </w:r>
      <w:r w:rsidRPr="00A00187">
        <w:t xml:space="preserve">125 v roce 2021. Zahrnutí tohoto předmětu sporu by tedy </w:t>
      </w:r>
      <w:r w:rsidR="006C3539" w:rsidRPr="00A00187">
        <w:t xml:space="preserve">(opět) </w:t>
      </w:r>
      <w:r w:rsidRPr="00A00187">
        <w:t xml:space="preserve">výrazně zkreslilo jak porovnání mezi soudy, tak </w:t>
      </w:r>
      <w:r w:rsidR="00755920" w:rsidRPr="00A00187">
        <w:t>i</w:t>
      </w:r>
      <w:r w:rsidR="00755920">
        <w:t> </w:t>
      </w:r>
      <w:r w:rsidRPr="00A00187">
        <w:t>porovnání mezi roky.</w:t>
      </w:r>
      <w:r w:rsidR="00C82A14" w:rsidRPr="00A00187">
        <w:t xml:space="preserve"> Z tohoto důvodu byla data </w:t>
      </w:r>
      <w:r w:rsidR="00755920" w:rsidRPr="00A00187">
        <w:t>o</w:t>
      </w:r>
      <w:r w:rsidR="00755920">
        <w:t> </w:t>
      </w:r>
      <w:r w:rsidR="00C82A14" w:rsidRPr="00A00187">
        <w:t xml:space="preserve">tento spor očištěna. Očištění je zpětně aplikováno </w:t>
      </w:r>
      <w:r w:rsidR="00755920" w:rsidRPr="00A00187">
        <w:t>i</w:t>
      </w:r>
      <w:r w:rsidR="00755920">
        <w:t> </w:t>
      </w:r>
      <w:r w:rsidR="00C82A14" w:rsidRPr="00A00187">
        <w:t>na předchozí roky.</w:t>
      </w:r>
    </w:p>
    <w:p w14:paraId="20474C17" w14:textId="77777777" w:rsidR="007B1586" w:rsidRPr="00A00187" w:rsidRDefault="007B1586" w:rsidP="005A734C">
      <w:pPr>
        <w:pStyle w:val="OdstavecASR"/>
      </w:pPr>
    </w:p>
    <w:p w14:paraId="66F26452" w14:textId="4EAFC386" w:rsidR="005A734C" w:rsidRPr="00A00187" w:rsidRDefault="005A734C" w:rsidP="005A734C">
      <w:pPr>
        <w:pStyle w:val="Podnadpis"/>
        <w:rPr>
          <w:color w:val="auto"/>
        </w:rPr>
      </w:pPr>
      <w:bookmarkStart w:id="614" w:name="_Toc43841430"/>
      <w:bookmarkStart w:id="615" w:name="_Toc75952234"/>
      <w:bookmarkStart w:id="616" w:name="_Toc106106690"/>
      <w:bookmarkStart w:id="617" w:name="_Toc109802014"/>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56</w:t>
      </w:r>
      <w:r w:rsidRPr="00A00187">
        <w:rPr>
          <w:color w:val="auto"/>
        </w:rPr>
        <w:fldChar w:fldCharType="end"/>
      </w:r>
      <w:r w:rsidRPr="00A00187">
        <w:rPr>
          <w:color w:val="auto"/>
        </w:rPr>
        <w:t>: KS – délka prvostupňového civilního řízení v letech 2008–20</w:t>
      </w:r>
      <w:bookmarkEnd w:id="610"/>
      <w:bookmarkEnd w:id="611"/>
      <w:bookmarkEnd w:id="614"/>
      <w:r w:rsidRPr="00A00187">
        <w:rPr>
          <w:color w:val="auto"/>
        </w:rPr>
        <w:t>2</w:t>
      </w:r>
      <w:bookmarkEnd w:id="615"/>
      <w:r w:rsidRPr="00A00187">
        <w:rPr>
          <w:color w:val="auto"/>
        </w:rPr>
        <w:t>1</w:t>
      </w:r>
      <w:bookmarkEnd w:id="616"/>
      <w:bookmarkEnd w:id="617"/>
    </w:p>
    <w:p w14:paraId="13FBF6E8" w14:textId="5B2A8A34" w:rsidR="00963EB1" w:rsidRPr="00A00187" w:rsidRDefault="0089209F" w:rsidP="00963EB1">
      <w:pPr>
        <w:rPr>
          <w:lang w:val="en-GB"/>
        </w:rPr>
      </w:pPr>
      <w:r w:rsidRPr="00A00187">
        <w:rPr>
          <w:noProof/>
          <w:lang w:val="en-GB"/>
        </w:rPr>
        <w:drawing>
          <wp:inline distT="0" distB="0" distL="0" distR="0" wp14:anchorId="1C1ED2B0" wp14:editId="2BBBB564">
            <wp:extent cx="5025390" cy="3657600"/>
            <wp:effectExtent l="0" t="0" r="381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FFB0F69" w14:textId="10F86A56" w:rsidR="007B1586" w:rsidRPr="00A00187" w:rsidRDefault="007B1586" w:rsidP="00963EB1">
      <w:pPr>
        <w:rPr>
          <w:lang w:val="en-GB"/>
        </w:rPr>
      </w:pPr>
    </w:p>
    <w:p w14:paraId="3411126D" w14:textId="01B57072" w:rsidR="00342CAB" w:rsidRPr="00A00187" w:rsidRDefault="007B1586" w:rsidP="007B1586">
      <w:pPr>
        <w:pStyle w:val="OdstavecASR"/>
      </w:pPr>
      <w:r w:rsidRPr="00A00187">
        <w:t>Závěry plynoucí z časové řad</w:t>
      </w:r>
      <w:r w:rsidR="00BB3FB5" w:rsidRPr="00A00187">
        <w:t>y</w:t>
      </w:r>
      <w:r w:rsidRPr="00A00187">
        <w:t xml:space="preserve"> jsou samozřejmě ovlivněny výše uvedenou </w:t>
      </w:r>
      <w:r w:rsidR="00342CAB" w:rsidRPr="00A00187">
        <w:t xml:space="preserve">změnou </w:t>
      </w:r>
      <w:r w:rsidRPr="00A00187">
        <w:t>metodiky.</w:t>
      </w:r>
      <w:r w:rsidR="00755920">
        <w:t xml:space="preserve"> </w:t>
      </w:r>
      <w:r w:rsidR="00755920" w:rsidRPr="00A00187">
        <w:t>V</w:t>
      </w:r>
      <w:r w:rsidR="00755920">
        <w:t> </w:t>
      </w:r>
      <w:r w:rsidRPr="00A00187">
        <w:t xml:space="preserve">časové řadě na grafu jsou zajímavé především extrémy – vysoká délka řízení v roce 2008 </w:t>
      </w:r>
      <w:r w:rsidR="00755920" w:rsidRPr="00A00187">
        <w:t>a</w:t>
      </w:r>
      <w:r w:rsidR="00755920">
        <w:t> </w:t>
      </w:r>
      <w:r w:rsidRPr="00A00187">
        <w:t xml:space="preserve">pak od roku 2017 </w:t>
      </w:r>
      <w:r w:rsidR="00755920" w:rsidRPr="00A00187">
        <w:t>a</w:t>
      </w:r>
      <w:r w:rsidR="00755920">
        <w:t> </w:t>
      </w:r>
      <w:r w:rsidRPr="00A00187">
        <w:t>dále a nízká délka řízení v roce 2011. Do jisté míry to může vyplývat ze změn ve vedení statistik. Data totiž není možné úplně očistit a zbavit je tak výkyvů, které jsou způsobeny metodologickými změnami. Mezi roky 2008 a 2009 se ale zjevně jedná o reálný pokles v délce řízení. V té době (nebo spíše ještě dříve, protože v délce řízení se změny projevují se zpožděním) zřejmě došlo k výraznému urychlení civilního soudního řízení. Nárůst v délce řízení po roce 2015 je ale zřejmě minimálně částečně dán změnami v metodice vykazování statistik.</w:t>
      </w:r>
    </w:p>
    <w:p w14:paraId="0155A4F4" w14:textId="2A0A6830" w:rsidR="00CB570A" w:rsidRDefault="007B1586" w:rsidP="007B1586">
      <w:pPr>
        <w:pStyle w:val="OdstavecASR"/>
      </w:pPr>
      <w:r w:rsidRPr="00A00187">
        <w:t xml:space="preserve">Absolutní hodnoty průměru i percentilu 90 jsou </w:t>
      </w:r>
      <w:r w:rsidR="00755920" w:rsidRPr="00A00187">
        <w:t>u</w:t>
      </w:r>
      <w:r w:rsidR="00755920">
        <w:t> </w:t>
      </w:r>
      <w:r w:rsidR="00342CAB" w:rsidRPr="00A00187">
        <w:t xml:space="preserve">očištěných dat </w:t>
      </w:r>
      <w:r w:rsidRPr="00A00187">
        <w:t xml:space="preserve">velmi vysoké – celorepublikový percentil 90 je více než 10 let a celorepublikový průměr asi 3,5 roku. </w:t>
      </w:r>
      <w:r w:rsidR="00755920" w:rsidRPr="00A00187">
        <w:t>U</w:t>
      </w:r>
      <w:r w:rsidR="00755920">
        <w:t> </w:t>
      </w:r>
      <w:r w:rsidRPr="00A00187">
        <w:t xml:space="preserve">KS </w:t>
      </w:r>
      <w:r w:rsidR="00755920" w:rsidRPr="00A00187">
        <w:t>v</w:t>
      </w:r>
      <w:r w:rsidR="00755920">
        <w:t> </w:t>
      </w:r>
      <w:r w:rsidRPr="00A00187">
        <w:t xml:space="preserve">Ostravě (který má percentil 90 </w:t>
      </w:r>
      <w:r w:rsidR="00755920" w:rsidRPr="00A00187">
        <w:t>v</w:t>
      </w:r>
      <w:r w:rsidR="00755920">
        <w:t> </w:t>
      </w:r>
      <w:r w:rsidRPr="00A00187">
        <w:t xml:space="preserve">tomto roce nejvyšší) činí percentil 90 přes 22 let. Histogram ukazuje, že tento rok </w:t>
      </w:r>
      <w:r w:rsidR="00104E7A" w:rsidRPr="00A00187">
        <w:t>9</w:t>
      </w:r>
      <w:r w:rsidR="00CB570A">
        <w:t> %</w:t>
      </w:r>
      <w:r w:rsidRPr="00A00187">
        <w:t xml:space="preserve"> řízení trv</w:t>
      </w:r>
      <w:r w:rsidR="00104E7A" w:rsidRPr="00A00187">
        <w:t>alo</w:t>
      </w:r>
      <w:r w:rsidRPr="00A00187">
        <w:t xml:space="preserve"> déle než 4 000 dnů (11 let).</w:t>
      </w:r>
    </w:p>
    <w:p w14:paraId="519A4215" w14:textId="03CA4214" w:rsidR="00FA391A" w:rsidRPr="00A00187" w:rsidRDefault="00FA391A">
      <w:pPr>
        <w:spacing w:after="160" w:line="259" w:lineRule="auto"/>
        <w:jc w:val="left"/>
      </w:pPr>
      <w:r w:rsidRPr="00A00187">
        <w:br w:type="page"/>
      </w:r>
    </w:p>
    <w:p w14:paraId="61DAAEA6" w14:textId="4D85FEA1" w:rsidR="007B1586" w:rsidRPr="00A00187" w:rsidRDefault="00225795" w:rsidP="00225795">
      <w:pPr>
        <w:pStyle w:val="Podnadpis"/>
        <w:rPr>
          <w:color w:val="auto"/>
        </w:rPr>
      </w:pPr>
      <w:bookmarkStart w:id="618" w:name="_Toc106106691"/>
      <w:bookmarkStart w:id="619" w:name="_Toc109802015"/>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57</w:t>
      </w:r>
      <w:r w:rsidRPr="00A00187">
        <w:rPr>
          <w:color w:val="auto"/>
        </w:rPr>
        <w:fldChar w:fldCharType="end"/>
      </w:r>
      <w:r w:rsidRPr="00A00187">
        <w:rPr>
          <w:color w:val="auto"/>
        </w:rPr>
        <w:t>: KS – distribuce délek prvostupňového civilního řízení</w:t>
      </w:r>
      <w:bookmarkEnd w:id="618"/>
      <w:bookmarkEnd w:id="619"/>
    </w:p>
    <w:p w14:paraId="6863B807" w14:textId="4FB76CB2" w:rsidR="00225795" w:rsidRPr="00A00187" w:rsidRDefault="00104E7A" w:rsidP="007B1586">
      <w:pPr>
        <w:pStyle w:val="OdstavecASR"/>
      </w:pPr>
      <w:r w:rsidRPr="00A00187">
        <w:rPr>
          <w:noProof/>
        </w:rPr>
        <w:drawing>
          <wp:inline distT="0" distB="0" distL="0" distR="0" wp14:anchorId="2DECE11C" wp14:editId="6131D4A3">
            <wp:extent cx="5025390" cy="3657600"/>
            <wp:effectExtent l="0" t="0" r="3810"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5CC78DA" w14:textId="70453BD4" w:rsidR="00225795" w:rsidRPr="00A00187" w:rsidRDefault="00225795" w:rsidP="007B1586">
      <w:pPr>
        <w:pStyle w:val="OdstavecASR"/>
      </w:pPr>
    </w:p>
    <w:p w14:paraId="3D0C1FC8" w14:textId="77777777" w:rsidR="006C3539" w:rsidRPr="00A00187" w:rsidRDefault="006C3539" w:rsidP="006C3539">
      <w:pPr>
        <w:pStyle w:val="OdstavecASR"/>
      </w:pPr>
      <w:r w:rsidRPr="00A00187">
        <w:t>Situace je nicméně lepší, než by se z výše uvedeného mohlo zdát, a to z následujících důvodů:</w:t>
      </w:r>
    </w:p>
    <w:p w14:paraId="152C0DC3" w14:textId="4ECEA1BB" w:rsidR="006C3539" w:rsidRPr="00A00187" w:rsidRDefault="006C3539" w:rsidP="006C3539">
      <w:pPr>
        <w:pStyle w:val="OdstavecASR"/>
        <w:numPr>
          <w:ilvl w:val="0"/>
          <w:numId w:val="15"/>
        </w:numPr>
      </w:pPr>
      <w:r w:rsidRPr="00A00187">
        <w:t>Jak je vidět v další podkapitole, počet nevyřízených věcí trvale klesá. Od roku 2011 klesl počet nevyřízených věcí téměř na třetinu (44 618 na 13 636, t</w:t>
      </w:r>
      <w:r w:rsidR="00342CAB" w:rsidRPr="00A00187">
        <w:t>edy</w:t>
      </w:r>
      <w:r w:rsidRPr="00A00187">
        <w:t xml:space="preserve"> takřka o 70</w:t>
      </w:r>
      <w:r w:rsidR="00CB570A">
        <w:t> %</w:t>
      </w:r>
      <w:r w:rsidRPr="00A00187">
        <w:t xml:space="preserve">). V tom samozřejmě hraje velkou roli i převod vybrané agendy na OS. V roce 2020 došlo k dalšímu velkému poklesu v počtu nevyřízených věcí, markantní je </w:t>
      </w:r>
      <w:r w:rsidR="00342CAB" w:rsidRPr="00A00187">
        <w:t>to</w:t>
      </w:r>
      <w:r w:rsidRPr="00A00187">
        <w:t xml:space="preserve"> především u KS v Ústí nad Labem a KS v Ostravě. Oba soudy vykázaly velmi vysokou míru vyřizování (150</w:t>
      </w:r>
      <w:r w:rsidR="00CB570A">
        <w:t> %</w:t>
      </w:r>
      <w:r w:rsidRPr="00A00187">
        <w:t xml:space="preserve"> a 132</w:t>
      </w:r>
      <w:r w:rsidR="00CB570A">
        <w:t> %</w:t>
      </w:r>
      <w:r w:rsidRPr="00A00187">
        <w:t>).</w:t>
      </w:r>
    </w:p>
    <w:p w14:paraId="35D8DED6" w14:textId="77777777" w:rsidR="006C3539" w:rsidRPr="00A00187" w:rsidRDefault="006C3539" w:rsidP="006C3539">
      <w:pPr>
        <w:pStyle w:val="OdstavecASR"/>
        <w:numPr>
          <w:ilvl w:val="0"/>
          <w:numId w:val="15"/>
        </w:numPr>
      </w:pPr>
      <w:r w:rsidRPr="00A00187">
        <w:t>Počty déle nevyřízených věcí (přes 3 roky, přes 5 let či přes 7 let) v posledních letech klesají. To také samozřejmě může ovlivnit vykázanou délku řízení.</w:t>
      </w:r>
    </w:p>
    <w:p w14:paraId="5BE98C7C" w14:textId="5B37F341" w:rsidR="006C3539" w:rsidRPr="00A00187" w:rsidRDefault="006C3539" w:rsidP="006C3539">
      <w:pPr>
        <w:pStyle w:val="OdstavecASR"/>
        <w:numPr>
          <w:ilvl w:val="0"/>
          <w:numId w:val="15"/>
        </w:numPr>
      </w:pPr>
      <w:r w:rsidRPr="00A00187">
        <w:t>Především je však velká část věcí přerušena z důvodu rozhodnutí o úpadku či konkursu</w:t>
      </w:r>
      <w:r w:rsidR="00BB3FB5" w:rsidRPr="00A00187">
        <w:t xml:space="preserve"> s tím, že</w:t>
      </w:r>
      <w:r w:rsidRPr="00A00187">
        <w:t xml:space="preserve"> do vykazované délky řízení se tato doba promítne. Data ze statistických listů bohužel neumožňují očištění o tuto dobu nebo o řízení, která byla takto přerušena</w:t>
      </w:r>
      <w:r w:rsidR="00BB3FB5" w:rsidRPr="00A00187">
        <w:t>, přestože by takovéto očištění bylo korektní</w:t>
      </w:r>
      <w:r w:rsidR="0022214F" w:rsidRPr="00A00187">
        <w:t>.</w:t>
      </w:r>
      <w:r w:rsidRPr="00A00187">
        <w:t xml:space="preserve"> Můžeme alespoň odhadnout, jak velký vliv </w:t>
      </w:r>
      <w:r w:rsidR="00342CAB" w:rsidRPr="00A00187">
        <w:t>tato kategorie věcí</w:t>
      </w:r>
      <w:r w:rsidRPr="00A00187">
        <w:t xml:space="preserve"> </w:t>
      </w:r>
      <w:r w:rsidR="00342CAB" w:rsidRPr="00A00187">
        <w:t>má</w:t>
      </w:r>
      <w:r w:rsidRPr="00A00187">
        <w:t>. Například data z výkazů ukazují, že k 31. 12. 2016 bylo v rejstříku Cm nevyřízeno déle než 5 let 5 214 věcí. Z toho bylo z důvodu rozhodnutí o úpadku/prohlášení konkursu přerušeno 3 614 věcí, tedy asi 69</w:t>
      </w:r>
      <w:r w:rsidR="00CB570A">
        <w:t> %</w:t>
      </w:r>
      <w:r w:rsidRPr="00A00187">
        <w:t>. Tyto věci se samozřejmě nakonec objeví ve statistických listech a výrazně ovlivní délku řízení. Velká část z nich ale nevypovídá o fungování soudu.</w:t>
      </w:r>
    </w:p>
    <w:p w14:paraId="1DF20F8A" w14:textId="74290BEB" w:rsidR="006C3539" w:rsidRPr="00A00187" w:rsidRDefault="006C3539" w:rsidP="006C3539">
      <w:pPr>
        <w:pStyle w:val="OdstavecASR"/>
        <w:numPr>
          <w:ilvl w:val="0"/>
          <w:numId w:val="15"/>
        </w:numPr>
      </w:pPr>
      <w:r w:rsidRPr="00A00187">
        <w:t xml:space="preserve">Z výše </w:t>
      </w:r>
      <w:r w:rsidR="00104E7A" w:rsidRPr="00A00187">
        <w:t xml:space="preserve">uvedeného důvodu doporučujeme sledovat </w:t>
      </w:r>
      <w:r w:rsidR="00755920" w:rsidRPr="00A00187">
        <w:t>u</w:t>
      </w:r>
      <w:r w:rsidR="00755920">
        <w:t> </w:t>
      </w:r>
      <w:r w:rsidR="00104E7A" w:rsidRPr="00A00187">
        <w:t xml:space="preserve">této agendy v zásadě jen medián (který </w:t>
      </w:r>
      <w:r w:rsidR="00342CAB" w:rsidRPr="00A00187">
        <w:t>činí</w:t>
      </w:r>
      <w:r w:rsidR="00104E7A" w:rsidRPr="00A00187">
        <w:t xml:space="preserve"> dlouhodobě as</w:t>
      </w:r>
      <w:r w:rsidR="00342CAB" w:rsidRPr="00A00187">
        <w:t>i</w:t>
      </w:r>
      <w:r w:rsidR="00104E7A" w:rsidRPr="00A00187">
        <w:t xml:space="preserve"> rok). Průměr </w:t>
      </w:r>
      <w:r w:rsidR="00755920" w:rsidRPr="00A00187">
        <w:t>a</w:t>
      </w:r>
      <w:r w:rsidR="00755920">
        <w:t> </w:t>
      </w:r>
      <w:r w:rsidR="00104E7A" w:rsidRPr="00A00187">
        <w:t xml:space="preserve">percentil 90 jsou příliš ovlivněny malým počtem věcí, které </w:t>
      </w:r>
      <w:r w:rsidR="00342CAB" w:rsidRPr="00A00187">
        <w:t xml:space="preserve">vykazují </w:t>
      </w:r>
      <w:r w:rsidR="00104E7A" w:rsidRPr="00A00187">
        <w:t xml:space="preserve">obrovskou délku řízení právě kvůli přerušení </w:t>
      </w:r>
      <w:r w:rsidR="00755920" w:rsidRPr="00A00187">
        <w:t>z</w:t>
      </w:r>
      <w:r w:rsidR="00755920">
        <w:t> </w:t>
      </w:r>
      <w:r w:rsidR="00104E7A" w:rsidRPr="00A00187">
        <w:t xml:space="preserve">důvodu rozhodnutí </w:t>
      </w:r>
      <w:r w:rsidR="00755920" w:rsidRPr="00A00187">
        <w:lastRenderedPageBreak/>
        <w:t>o</w:t>
      </w:r>
      <w:r w:rsidR="00755920">
        <w:t> </w:t>
      </w:r>
      <w:r w:rsidR="00104E7A" w:rsidRPr="00A00187">
        <w:t xml:space="preserve">úpadku či konkursu. Průměr </w:t>
      </w:r>
      <w:r w:rsidR="00755920" w:rsidRPr="00A00187">
        <w:t>a</w:t>
      </w:r>
      <w:r w:rsidR="00755920">
        <w:t> </w:t>
      </w:r>
      <w:r w:rsidR="00104E7A" w:rsidRPr="00A00187">
        <w:t xml:space="preserve">percentil jsou </w:t>
      </w:r>
      <w:r w:rsidR="00342CAB" w:rsidRPr="00A00187">
        <w:t xml:space="preserve">tak </w:t>
      </w:r>
      <w:r w:rsidR="00104E7A" w:rsidRPr="00A00187">
        <w:t>uvedeny spíše kvůli zachování stejného formátu v rámci této zprávy.</w:t>
      </w:r>
    </w:p>
    <w:p w14:paraId="45999154" w14:textId="315F425E" w:rsidR="008430BD" w:rsidRPr="00A00187" w:rsidRDefault="008430BD" w:rsidP="008430BD">
      <w:pPr>
        <w:pStyle w:val="Nadpis3"/>
        <w:numPr>
          <w:ilvl w:val="2"/>
          <w:numId w:val="1"/>
        </w:numPr>
        <w:rPr>
          <w:color w:val="auto"/>
        </w:rPr>
      </w:pPr>
      <w:bookmarkStart w:id="620" w:name="_Toc515871250"/>
      <w:bookmarkStart w:id="621" w:name="_Toc106092754"/>
      <w:bookmarkStart w:id="622" w:name="_Toc109801365"/>
      <w:r w:rsidRPr="00A00187">
        <w:rPr>
          <w:color w:val="auto"/>
        </w:rPr>
        <w:t>Vyřizování věcí</w:t>
      </w:r>
      <w:bookmarkEnd w:id="620"/>
      <w:bookmarkEnd w:id="621"/>
      <w:bookmarkEnd w:id="622"/>
    </w:p>
    <w:p w14:paraId="6F817D94" w14:textId="77777777" w:rsidR="00CB570A" w:rsidRDefault="00DD37BE" w:rsidP="00DD37BE">
      <w:pPr>
        <w:pStyle w:val="OdstavecASR"/>
      </w:pPr>
      <w:r w:rsidRPr="00A00187">
        <w:t xml:space="preserve">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w:t>
      </w:r>
      <w:r w:rsidR="004A77F4" w:rsidRPr="00A00187">
        <w:t>má</w:t>
      </w:r>
      <w:r w:rsidR="00D27D0F" w:rsidRPr="00A00187">
        <w:t xml:space="preserve"> </w:t>
      </w:r>
      <w:r w:rsidRPr="00A00187">
        <w:t>v posledních letech zjevn</w:t>
      </w:r>
      <w:r w:rsidR="004A77F4" w:rsidRPr="00A00187">
        <w:t>ou</w:t>
      </w:r>
      <w:r w:rsidRPr="00A00187">
        <w:t xml:space="preserve"> klesající </w:t>
      </w:r>
      <w:r w:rsidR="004A77F4" w:rsidRPr="00A00187">
        <w:t xml:space="preserve">tendenci, která </w:t>
      </w:r>
      <w:r w:rsidRPr="00A00187">
        <w:t>se zastavil</w:t>
      </w:r>
      <w:r w:rsidR="004A77F4" w:rsidRPr="00A00187">
        <w:t>a</w:t>
      </w:r>
      <w:r w:rsidRPr="00A00187">
        <w:t xml:space="preserve"> až v roce 2017, kdy se počet příchozích věcí oproti roku 2016 zvýšil. V letech 2018 až 2020 opět došlo k</w:t>
      </w:r>
      <w:r w:rsidR="004A77F4" w:rsidRPr="00A00187">
        <w:t> </w:t>
      </w:r>
      <w:r w:rsidRPr="00A00187">
        <w:t>poklesu</w:t>
      </w:r>
      <w:r w:rsidR="004A77F4" w:rsidRPr="00A00187">
        <w:t>, přičemž</w:t>
      </w:r>
      <w:r w:rsidR="00D27D0F" w:rsidRPr="00A00187">
        <w:t xml:space="preserve"> </w:t>
      </w:r>
      <w:r w:rsidRPr="00A00187">
        <w:t xml:space="preserve">v roce 2021 se počet příchozích věcí </w:t>
      </w:r>
      <w:r w:rsidR="004A77F4" w:rsidRPr="00A00187">
        <w:t xml:space="preserve">opět </w:t>
      </w:r>
      <w:r w:rsidR="00D27D0F" w:rsidRPr="00A00187">
        <w:t>nepatrně</w:t>
      </w:r>
      <w:r w:rsidRPr="00A00187">
        <w:t xml:space="preserve"> zvýšil.</w:t>
      </w:r>
    </w:p>
    <w:p w14:paraId="3512CFAA" w14:textId="4DA5DFA4" w:rsidR="00DD37BE" w:rsidRPr="00A00187" w:rsidRDefault="00DD37BE" w:rsidP="00DD37BE">
      <w:pPr>
        <w:pStyle w:val="OdstavecASR"/>
      </w:pPr>
      <w:r w:rsidRPr="00A00187">
        <w:t>Hlubší analýza zmíněného klesajícího trendu přesahuje rozsah této zprávy. V krátkosti však můžeme uvést, že za pokles v nápadu je do velké míry zodpovědný již dříve zmíněný převod velkého množství obchodních řízení z krajských soudů na okresní v roce 2014 (v návaznosti na o. z. se změnila věcná příslušnost těchto řízení). Graf níže zobrazuje vývoj v počtu příchozích, vyřízených a nevyřízených věcí. Z grafů vyplývají především dvě věci:</w:t>
      </w:r>
    </w:p>
    <w:p w14:paraId="2DB57D3B" w14:textId="77777777" w:rsidR="00DD37BE" w:rsidRPr="00A00187" w:rsidRDefault="00DD37BE" w:rsidP="00DD37BE">
      <w:pPr>
        <w:pStyle w:val="OdstavecASR"/>
        <w:numPr>
          <w:ilvl w:val="0"/>
          <w:numId w:val="15"/>
        </w:numPr>
      </w:pPr>
      <w:r w:rsidRPr="00A00187">
        <w:t>Naprostou většinu prvostupňové občanskoprávní a obchodněprávní agendy tvoří rejstřík Cm, tedy obchodněprávní spory.</w:t>
      </w:r>
    </w:p>
    <w:p w14:paraId="26921D6C" w14:textId="1D6C30F5" w:rsidR="00DD37BE" w:rsidRPr="00A00187" w:rsidRDefault="00DD37BE" w:rsidP="00DD37BE">
      <w:pPr>
        <w:pStyle w:val="OdstavecASR"/>
        <w:numPr>
          <w:ilvl w:val="0"/>
          <w:numId w:val="15"/>
        </w:numPr>
      </w:pPr>
      <w:r w:rsidRPr="00A00187">
        <w:t>Výše zmíněný převod obchodněprávní agendy na okresní soudy hrál velkou roli. Pokles v příchozích věcech byl ale očividně způsoben i dalšími faktory. K poklesu došlo i v jiných letech než jen mezi roky 2013 a 2014 a </w:t>
      </w:r>
      <w:r w:rsidR="00342CAB" w:rsidRPr="00A00187">
        <w:t>představuje obecný trend</w:t>
      </w:r>
      <w:r w:rsidRPr="00A00187">
        <w:t>.</w:t>
      </w:r>
    </w:p>
    <w:p w14:paraId="2E81D95B" w14:textId="1CDB6ADB" w:rsidR="00DD37BE" w:rsidRPr="00A00187" w:rsidRDefault="00DD37BE" w:rsidP="00DD37BE">
      <w:pPr>
        <w:pStyle w:val="Podnadpis"/>
        <w:rPr>
          <w:color w:val="auto"/>
        </w:rPr>
      </w:pPr>
      <w:bookmarkStart w:id="623" w:name="_Toc515871382"/>
      <w:bookmarkStart w:id="624" w:name="_Toc11135113"/>
      <w:bookmarkStart w:id="625" w:name="_Toc43841432"/>
      <w:bookmarkStart w:id="626" w:name="_Toc75952235"/>
      <w:bookmarkStart w:id="627" w:name="_Toc106106692"/>
      <w:bookmarkStart w:id="628" w:name="_Toc109802016"/>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58</w:t>
      </w:r>
      <w:r w:rsidR="008457EB" w:rsidRPr="00A00187">
        <w:rPr>
          <w:noProof/>
          <w:color w:val="auto"/>
        </w:rPr>
        <w:fldChar w:fldCharType="end"/>
      </w:r>
      <w:r w:rsidRPr="00A00187">
        <w:rPr>
          <w:color w:val="auto"/>
        </w:rPr>
        <w:t>: KS – vyřizování prvostupňových civilních věcí v letech 2008–</w:t>
      </w:r>
      <w:bookmarkEnd w:id="623"/>
      <w:bookmarkEnd w:id="624"/>
      <w:r w:rsidRPr="00A00187">
        <w:rPr>
          <w:color w:val="auto"/>
        </w:rPr>
        <w:t>20</w:t>
      </w:r>
      <w:bookmarkEnd w:id="625"/>
      <w:r w:rsidRPr="00A00187">
        <w:rPr>
          <w:color w:val="auto"/>
        </w:rPr>
        <w:t>2</w:t>
      </w:r>
      <w:bookmarkEnd w:id="626"/>
      <w:r w:rsidRPr="00A00187">
        <w:rPr>
          <w:color w:val="auto"/>
        </w:rPr>
        <w:t>1</w:t>
      </w:r>
      <w:bookmarkEnd w:id="627"/>
      <w:bookmarkEnd w:id="628"/>
    </w:p>
    <w:p w14:paraId="2E967E39" w14:textId="26135790" w:rsidR="00DD37BE" w:rsidRPr="00A00187" w:rsidRDefault="00DD37BE" w:rsidP="00DD37BE">
      <w:r w:rsidRPr="00A00187">
        <w:rPr>
          <w:noProof/>
        </w:rPr>
        <w:drawing>
          <wp:inline distT="0" distB="0" distL="0" distR="0" wp14:anchorId="26E1D72B" wp14:editId="57DBCB4E">
            <wp:extent cx="5025390" cy="3657600"/>
            <wp:effectExtent l="0" t="0" r="381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4F475608" w14:textId="7EBC5322" w:rsidR="00DD37BE" w:rsidRPr="00A00187" w:rsidRDefault="00DD37BE" w:rsidP="00DD37BE"/>
    <w:p w14:paraId="19CE4494" w14:textId="77777777" w:rsidR="00DD37BE" w:rsidRPr="00A00187" w:rsidRDefault="00DD37BE" w:rsidP="00DD37BE"/>
    <w:p w14:paraId="274839CB" w14:textId="78F3801D" w:rsidR="00DD37BE" w:rsidRPr="00A00187" w:rsidRDefault="00DD37BE">
      <w:pPr>
        <w:spacing w:after="160" w:line="259" w:lineRule="auto"/>
        <w:jc w:val="left"/>
      </w:pPr>
      <w:r w:rsidRPr="00A00187">
        <w:br w:type="page"/>
      </w:r>
    </w:p>
    <w:p w14:paraId="408EB879" w14:textId="56EFCDCD" w:rsidR="00DD37BE" w:rsidRPr="00A00187" w:rsidRDefault="00DD37BE" w:rsidP="00DD37BE">
      <w:pPr>
        <w:pStyle w:val="Podnadpis"/>
        <w:rPr>
          <w:color w:val="auto"/>
        </w:rPr>
      </w:pPr>
      <w:bookmarkStart w:id="629" w:name="_Toc75952236"/>
      <w:bookmarkStart w:id="630" w:name="_Toc106106693"/>
      <w:bookmarkStart w:id="631" w:name="_Toc109802017"/>
      <w:r w:rsidRPr="00A00187">
        <w:rPr>
          <w:color w:val="auto"/>
        </w:rPr>
        <w:lastRenderedPageBreak/>
        <w:t xml:space="preserve">Graf </w:t>
      </w:r>
      <w:r w:rsidRPr="00A00187">
        <w:rPr>
          <w:color w:val="auto"/>
        </w:rPr>
        <w:fldChar w:fldCharType="begin"/>
      </w:r>
      <w:r w:rsidRPr="00A00187">
        <w:rPr>
          <w:noProof/>
          <w:color w:val="auto"/>
        </w:rPr>
        <w:instrText xml:space="preserve"> SEQ Graf \* ARABIC </w:instrText>
      </w:r>
      <w:r w:rsidRPr="00A00187">
        <w:rPr>
          <w:color w:val="auto"/>
        </w:rPr>
        <w:fldChar w:fldCharType="separate"/>
      </w:r>
      <w:r w:rsidR="00DE6B5E">
        <w:rPr>
          <w:noProof/>
          <w:color w:val="auto"/>
        </w:rPr>
        <w:t>59</w:t>
      </w:r>
      <w:r w:rsidRPr="00A00187">
        <w:rPr>
          <w:color w:val="auto"/>
        </w:rPr>
        <w:fldChar w:fldCharType="end"/>
      </w:r>
      <w:r w:rsidRPr="00A00187">
        <w:rPr>
          <w:color w:val="auto"/>
        </w:rPr>
        <w:t>: KS – vyřizování věcí v letech 2008–202</w:t>
      </w:r>
      <w:r w:rsidR="0050380E" w:rsidRPr="00A00187">
        <w:rPr>
          <w:color w:val="auto"/>
        </w:rPr>
        <w:t>1</w:t>
      </w:r>
      <w:r w:rsidRPr="00A00187">
        <w:rPr>
          <w:color w:val="auto"/>
        </w:rPr>
        <w:t>, pouze rejstřík Cm</w:t>
      </w:r>
      <w:bookmarkEnd w:id="629"/>
      <w:bookmarkEnd w:id="630"/>
      <w:bookmarkEnd w:id="631"/>
    </w:p>
    <w:p w14:paraId="3086DB10" w14:textId="5D60307D" w:rsidR="00DD37BE" w:rsidRPr="00A00187" w:rsidRDefault="00612CFD" w:rsidP="00DD37BE">
      <w:r w:rsidRPr="00A00187">
        <w:rPr>
          <w:noProof/>
        </w:rPr>
        <w:drawing>
          <wp:inline distT="0" distB="0" distL="0" distR="0" wp14:anchorId="1C3E6CBC" wp14:editId="2E390ACD">
            <wp:extent cx="5029200" cy="36576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7730D0" w14:textId="27988D4F" w:rsidR="00DD37BE" w:rsidRPr="00A00187" w:rsidRDefault="00DD37BE" w:rsidP="00DD37BE"/>
    <w:p w14:paraId="72EAFE5B" w14:textId="3199CC78" w:rsidR="0050380E" w:rsidRPr="00A00187" w:rsidRDefault="0050380E" w:rsidP="0050380E">
      <w:pPr>
        <w:pStyle w:val="Podnadpis"/>
        <w:rPr>
          <w:color w:val="auto"/>
        </w:rPr>
      </w:pPr>
      <w:bookmarkStart w:id="632" w:name="_Toc106106804"/>
      <w:bookmarkStart w:id="633" w:name="_Toc109802127"/>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42</w:t>
      </w:r>
      <w:r w:rsidRPr="00A00187">
        <w:rPr>
          <w:color w:val="auto"/>
        </w:rPr>
        <w:fldChar w:fldCharType="end"/>
      </w:r>
      <w:r w:rsidRPr="00A00187">
        <w:rPr>
          <w:color w:val="auto"/>
        </w:rPr>
        <w:t>: KS – vyřizování prvostupňových civilních věcí dle soudů</w:t>
      </w:r>
      <w:bookmarkEnd w:id="632"/>
      <w:bookmarkEnd w:id="633"/>
    </w:p>
    <w:tbl>
      <w:tblPr>
        <w:tblW w:w="9279" w:type="dxa"/>
        <w:tblCellMar>
          <w:left w:w="70" w:type="dxa"/>
          <w:right w:w="70" w:type="dxa"/>
        </w:tblCellMar>
        <w:tblLook w:val="04A0" w:firstRow="1" w:lastRow="0" w:firstColumn="1" w:lastColumn="0" w:noHBand="0" w:noVBand="1"/>
      </w:tblPr>
      <w:tblGrid>
        <w:gridCol w:w="2036"/>
        <w:gridCol w:w="941"/>
        <w:gridCol w:w="1069"/>
        <w:gridCol w:w="916"/>
        <w:gridCol w:w="932"/>
        <w:gridCol w:w="910"/>
        <w:gridCol w:w="945"/>
        <w:gridCol w:w="14"/>
        <w:gridCol w:w="1502"/>
        <w:gridCol w:w="14"/>
      </w:tblGrid>
      <w:tr w:rsidR="00AC1E67" w:rsidRPr="00A00187" w14:paraId="2F0874FC" w14:textId="77777777" w:rsidTr="0022214F">
        <w:trPr>
          <w:gridAfter w:val="1"/>
          <w:wAfter w:w="14" w:type="dxa"/>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356CFEC3" w14:textId="3C80096C" w:rsidR="0050380E" w:rsidRPr="00A00187" w:rsidRDefault="000C430A" w:rsidP="0050380E">
            <w:pPr>
              <w:spacing w:line="240" w:lineRule="auto"/>
              <w:jc w:val="center"/>
              <w:rPr>
                <w:rFonts w:eastAsia="Times New Roman"/>
                <w:b/>
                <w:bCs/>
                <w:szCs w:val="24"/>
                <w:lang w:eastAsia="cs-CZ"/>
              </w:rPr>
            </w:pPr>
            <w:r w:rsidRPr="00A00187">
              <w:rPr>
                <w:rFonts w:eastAsia="Times New Roman"/>
                <w:b/>
                <w:bCs/>
                <w:szCs w:val="24"/>
                <w:lang w:eastAsia="cs-CZ"/>
              </w:rPr>
              <w:t>S</w:t>
            </w:r>
            <w:r w:rsidR="0050380E" w:rsidRPr="00A00187">
              <w:rPr>
                <w:rFonts w:eastAsia="Times New Roman"/>
                <w:b/>
                <w:bCs/>
                <w:szCs w:val="24"/>
                <w:lang w:eastAsia="cs-CZ"/>
              </w:rPr>
              <w:t>oud</w:t>
            </w:r>
          </w:p>
        </w:tc>
        <w:tc>
          <w:tcPr>
            <w:tcW w:w="5713" w:type="dxa"/>
            <w:gridSpan w:val="6"/>
            <w:tcBorders>
              <w:top w:val="double" w:sz="6" w:space="0" w:color="auto"/>
              <w:left w:val="nil"/>
              <w:bottom w:val="nil"/>
              <w:right w:val="single" w:sz="4" w:space="0" w:color="000000"/>
            </w:tcBorders>
            <w:shd w:val="clear" w:color="auto" w:fill="auto"/>
            <w:noWrap/>
            <w:vAlign w:val="center"/>
            <w:hideMark/>
          </w:tcPr>
          <w:p w14:paraId="31764CB1" w14:textId="77777777"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gridSpan w:val="2"/>
            <w:vMerge w:val="restart"/>
            <w:tcBorders>
              <w:top w:val="double" w:sz="6" w:space="0" w:color="auto"/>
              <w:left w:val="nil"/>
              <w:bottom w:val="double" w:sz="6" w:space="0" w:color="000000"/>
              <w:right w:val="nil"/>
            </w:tcBorders>
            <w:shd w:val="clear" w:color="auto" w:fill="auto"/>
            <w:vAlign w:val="center"/>
            <w:hideMark/>
          </w:tcPr>
          <w:p w14:paraId="2268F194" w14:textId="77777777"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14060A7B" w14:textId="77777777" w:rsidTr="000C430A">
        <w:trPr>
          <w:gridAfter w:val="1"/>
          <w:wAfter w:w="14" w:type="dxa"/>
          <w:trHeight w:val="330"/>
        </w:trPr>
        <w:tc>
          <w:tcPr>
            <w:tcW w:w="2036" w:type="dxa"/>
            <w:vMerge/>
            <w:tcBorders>
              <w:top w:val="double" w:sz="6" w:space="0" w:color="auto"/>
              <w:left w:val="nil"/>
              <w:bottom w:val="double" w:sz="6" w:space="0" w:color="000000"/>
              <w:right w:val="nil"/>
            </w:tcBorders>
            <w:vAlign w:val="center"/>
            <w:hideMark/>
          </w:tcPr>
          <w:p w14:paraId="727CC68E" w14:textId="77777777" w:rsidR="0050380E" w:rsidRPr="00A00187" w:rsidRDefault="0050380E" w:rsidP="0050380E">
            <w:pPr>
              <w:spacing w:line="240" w:lineRule="auto"/>
              <w:jc w:val="left"/>
              <w:rPr>
                <w:rFonts w:eastAsia="Times New Roman"/>
                <w:b/>
                <w:bCs/>
                <w:szCs w:val="24"/>
                <w:lang w:eastAsia="cs-CZ"/>
              </w:rPr>
            </w:pPr>
          </w:p>
        </w:tc>
        <w:tc>
          <w:tcPr>
            <w:tcW w:w="2010" w:type="dxa"/>
            <w:gridSpan w:val="2"/>
            <w:tcBorders>
              <w:top w:val="nil"/>
              <w:left w:val="nil"/>
              <w:bottom w:val="double" w:sz="6" w:space="0" w:color="auto"/>
              <w:right w:val="nil"/>
            </w:tcBorders>
            <w:shd w:val="clear" w:color="auto" w:fill="auto"/>
            <w:noWrap/>
            <w:vAlign w:val="center"/>
            <w:hideMark/>
          </w:tcPr>
          <w:p w14:paraId="37DA1BB7" w14:textId="77777777"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84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5660523" w14:textId="77777777"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855" w:type="dxa"/>
            <w:gridSpan w:val="2"/>
            <w:tcBorders>
              <w:top w:val="nil"/>
              <w:left w:val="nil"/>
              <w:bottom w:val="double" w:sz="6" w:space="0" w:color="auto"/>
              <w:right w:val="single" w:sz="4" w:space="0" w:color="000000"/>
            </w:tcBorders>
            <w:shd w:val="clear" w:color="auto" w:fill="auto"/>
            <w:noWrap/>
            <w:vAlign w:val="center"/>
            <w:hideMark/>
          </w:tcPr>
          <w:p w14:paraId="75DFD864" w14:textId="77777777"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gridSpan w:val="2"/>
            <w:vMerge/>
            <w:tcBorders>
              <w:top w:val="double" w:sz="6" w:space="0" w:color="auto"/>
              <w:left w:val="nil"/>
              <w:bottom w:val="double" w:sz="6" w:space="0" w:color="000000"/>
              <w:right w:val="nil"/>
            </w:tcBorders>
            <w:vAlign w:val="center"/>
            <w:hideMark/>
          </w:tcPr>
          <w:p w14:paraId="277D7BE0" w14:textId="77777777" w:rsidR="0050380E" w:rsidRPr="00A00187" w:rsidRDefault="0050380E" w:rsidP="0050380E">
            <w:pPr>
              <w:spacing w:line="240" w:lineRule="auto"/>
              <w:jc w:val="left"/>
              <w:rPr>
                <w:rFonts w:eastAsia="Times New Roman"/>
                <w:b/>
                <w:bCs/>
                <w:szCs w:val="24"/>
                <w:lang w:eastAsia="cs-CZ"/>
              </w:rPr>
            </w:pPr>
          </w:p>
        </w:tc>
      </w:tr>
      <w:tr w:rsidR="00AC1E67" w:rsidRPr="00A00187" w14:paraId="3999E511" w14:textId="77777777" w:rsidTr="0022214F">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46CCDCD0"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MS Praha</w:t>
            </w:r>
          </w:p>
        </w:tc>
        <w:tc>
          <w:tcPr>
            <w:tcW w:w="941" w:type="dxa"/>
            <w:tcBorders>
              <w:top w:val="single" w:sz="4" w:space="0" w:color="auto"/>
              <w:left w:val="nil"/>
              <w:bottom w:val="single" w:sz="4" w:space="0" w:color="auto"/>
              <w:right w:val="nil"/>
            </w:tcBorders>
            <w:shd w:val="clear" w:color="auto" w:fill="auto"/>
            <w:noWrap/>
            <w:vAlign w:val="bottom"/>
            <w:hideMark/>
          </w:tcPr>
          <w:p w14:paraId="3C3FE005"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12 875</w:t>
            </w:r>
          </w:p>
        </w:tc>
        <w:tc>
          <w:tcPr>
            <w:tcW w:w="1069" w:type="dxa"/>
            <w:tcBorders>
              <w:top w:val="single" w:sz="4" w:space="0" w:color="auto"/>
              <w:left w:val="nil"/>
              <w:bottom w:val="single" w:sz="4" w:space="0" w:color="auto"/>
              <w:right w:val="nil"/>
            </w:tcBorders>
            <w:shd w:val="clear" w:color="auto" w:fill="auto"/>
            <w:noWrap/>
            <w:vAlign w:val="center"/>
            <w:hideMark/>
          </w:tcPr>
          <w:p w14:paraId="7981EC17" w14:textId="61B538B5"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c>
          <w:tcPr>
            <w:tcW w:w="916" w:type="dxa"/>
            <w:tcBorders>
              <w:top w:val="single" w:sz="4" w:space="0" w:color="auto"/>
              <w:left w:val="single" w:sz="4" w:space="0" w:color="auto"/>
              <w:bottom w:val="single" w:sz="4" w:space="0" w:color="auto"/>
              <w:right w:val="nil"/>
            </w:tcBorders>
            <w:shd w:val="clear" w:color="auto" w:fill="auto"/>
            <w:noWrap/>
            <w:vAlign w:val="bottom"/>
            <w:hideMark/>
          </w:tcPr>
          <w:p w14:paraId="084B2B1D"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11 483</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14:paraId="46C1BBA5" w14:textId="35711569"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910" w:type="dxa"/>
            <w:tcBorders>
              <w:top w:val="single" w:sz="4" w:space="0" w:color="auto"/>
              <w:left w:val="nil"/>
              <w:bottom w:val="single" w:sz="4" w:space="0" w:color="auto"/>
              <w:right w:val="nil"/>
            </w:tcBorders>
            <w:shd w:val="clear" w:color="auto" w:fill="auto"/>
            <w:noWrap/>
            <w:vAlign w:val="bottom"/>
            <w:hideMark/>
          </w:tcPr>
          <w:p w14:paraId="1148870E"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5 597</w:t>
            </w:r>
          </w:p>
        </w:tc>
        <w:tc>
          <w:tcPr>
            <w:tcW w:w="9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71DCF5" w14:textId="170F9C18"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c>
          <w:tcPr>
            <w:tcW w:w="1516" w:type="dxa"/>
            <w:gridSpan w:val="2"/>
            <w:tcBorders>
              <w:top w:val="nil"/>
              <w:left w:val="nil"/>
              <w:bottom w:val="single" w:sz="4" w:space="0" w:color="auto"/>
              <w:right w:val="nil"/>
            </w:tcBorders>
            <w:shd w:val="clear" w:color="auto" w:fill="auto"/>
            <w:noWrap/>
            <w:vAlign w:val="center"/>
            <w:hideMark/>
          </w:tcPr>
          <w:p w14:paraId="793677AB" w14:textId="0942F8F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89</w:t>
            </w:r>
            <w:r w:rsidR="00D71CE7" w:rsidRPr="00A00187">
              <w:rPr>
                <w:rFonts w:eastAsia="Times New Roman"/>
                <w:szCs w:val="24"/>
                <w:lang w:eastAsia="cs-CZ"/>
              </w:rPr>
              <w:t>,</w:t>
            </w:r>
            <w:r w:rsidRPr="00A00187">
              <w:rPr>
                <w:rFonts w:eastAsia="Times New Roman"/>
                <w:szCs w:val="24"/>
                <w:lang w:eastAsia="cs-CZ"/>
              </w:rPr>
              <w:t>2</w:t>
            </w:r>
            <w:r w:rsidR="00CB570A">
              <w:rPr>
                <w:rFonts w:eastAsia="Times New Roman"/>
                <w:szCs w:val="24"/>
                <w:lang w:eastAsia="cs-CZ"/>
              </w:rPr>
              <w:t> %</w:t>
            </w:r>
          </w:p>
        </w:tc>
      </w:tr>
      <w:tr w:rsidR="00AC1E67" w:rsidRPr="00A00187" w14:paraId="69851E8A" w14:textId="77777777" w:rsidTr="0022214F">
        <w:trPr>
          <w:trHeight w:val="315"/>
        </w:trPr>
        <w:tc>
          <w:tcPr>
            <w:tcW w:w="2036" w:type="dxa"/>
            <w:tcBorders>
              <w:top w:val="nil"/>
              <w:left w:val="nil"/>
              <w:bottom w:val="single" w:sz="4" w:space="0" w:color="auto"/>
              <w:right w:val="nil"/>
            </w:tcBorders>
            <w:shd w:val="clear" w:color="auto" w:fill="auto"/>
            <w:noWrap/>
            <w:vAlign w:val="bottom"/>
            <w:hideMark/>
          </w:tcPr>
          <w:p w14:paraId="5FF58016"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KS Praha</w:t>
            </w:r>
          </w:p>
        </w:tc>
        <w:tc>
          <w:tcPr>
            <w:tcW w:w="941" w:type="dxa"/>
            <w:tcBorders>
              <w:top w:val="nil"/>
              <w:left w:val="nil"/>
              <w:bottom w:val="single" w:sz="4" w:space="0" w:color="auto"/>
              <w:right w:val="nil"/>
            </w:tcBorders>
            <w:shd w:val="clear" w:color="auto" w:fill="auto"/>
            <w:noWrap/>
            <w:vAlign w:val="bottom"/>
            <w:hideMark/>
          </w:tcPr>
          <w:p w14:paraId="683FADB2"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588</w:t>
            </w:r>
          </w:p>
        </w:tc>
        <w:tc>
          <w:tcPr>
            <w:tcW w:w="1069" w:type="dxa"/>
            <w:tcBorders>
              <w:top w:val="nil"/>
              <w:left w:val="nil"/>
              <w:bottom w:val="single" w:sz="4" w:space="0" w:color="auto"/>
              <w:right w:val="nil"/>
            </w:tcBorders>
            <w:shd w:val="clear" w:color="auto" w:fill="auto"/>
            <w:noWrap/>
            <w:vAlign w:val="center"/>
            <w:hideMark/>
          </w:tcPr>
          <w:p w14:paraId="6DF78078" w14:textId="004D5A83"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916" w:type="dxa"/>
            <w:tcBorders>
              <w:top w:val="nil"/>
              <w:left w:val="single" w:sz="4" w:space="0" w:color="auto"/>
              <w:bottom w:val="single" w:sz="4" w:space="0" w:color="auto"/>
              <w:right w:val="nil"/>
            </w:tcBorders>
            <w:shd w:val="clear" w:color="auto" w:fill="auto"/>
            <w:noWrap/>
            <w:vAlign w:val="bottom"/>
            <w:hideMark/>
          </w:tcPr>
          <w:p w14:paraId="4B0870A2"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684</w:t>
            </w:r>
          </w:p>
        </w:tc>
        <w:tc>
          <w:tcPr>
            <w:tcW w:w="932" w:type="dxa"/>
            <w:tcBorders>
              <w:top w:val="nil"/>
              <w:left w:val="nil"/>
              <w:bottom w:val="single" w:sz="4" w:space="0" w:color="auto"/>
              <w:right w:val="single" w:sz="4" w:space="0" w:color="auto"/>
            </w:tcBorders>
            <w:shd w:val="clear" w:color="auto" w:fill="auto"/>
            <w:noWrap/>
            <w:vAlign w:val="center"/>
            <w:hideMark/>
          </w:tcPr>
          <w:p w14:paraId="1DD5C634" w14:textId="4E4F224E"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910" w:type="dxa"/>
            <w:tcBorders>
              <w:top w:val="nil"/>
              <w:left w:val="nil"/>
              <w:bottom w:val="single" w:sz="4" w:space="0" w:color="auto"/>
              <w:right w:val="nil"/>
            </w:tcBorders>
            <w:shd w:val="clear" w:color="auto" w:fill="auto"/>
            <w:noWrap/>
            <w:vAlign w:val="bottom"/>
            <w:hideMark/>
          </w:tcPr>
          <w:p w14:paraId="2D217A14"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394</w:t>
            </w:r>
          </w:p>
        </w:tc>
        <w:tc>
          <w:tcPr>
            <w:tcW w:w="959" w:type="dxa"/>
            <w:gridSpan w:val="2"/>
            <w:tcBorders>
              <w:top w:val="nil"/>
              <w:left w:val="nil"/>
              <w:bottom w:val="single" w:sz="4" w:space="0" w:color="auto"/>
              <w:right w:val="single" w:sz="4" w:space="0" w:color="auto"/>
            </w:tcBorders>
            <w:shd w:val="clear" w:color="auto" w:fill="auto"/>
            <w:noWrap/>
            <w:vAlign w:val="center"/>
            <w:hideMark/>
          </w:tcPr>
          <w:p w14:paraId="78552C27" w14:textId="4CE40169"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c>
          <w:tcPr>
            <w:tcW w:w="1516" w:type="dxa"/>
            <w:gridSpan w:val="2"/>
            <w:tcBorders>
              <w:top w:val="nil"/>
              <w:left w:val="nil"/>
              <w:bottom w:val="single" w:sz="4" w:space="0" w:color="auto"/>
              <w:right w:val="nil"/>
            </w:tcBorders>
            <w:shd w:val="clear" w:color="auto" w:fill="auto"/>
            <w:noWrap/>
            <w:vAlign w:val="center"/>
            <w:hideMark/>
          </w:tcPr>
          <w:p w14:paraId="768BBAAB" w14:textId="5F5C269A"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116</w:t>
            </w:r>
            <w:r w:rsidR="00D71CE7" w:rsidRPr="00A00187">
              <w:rPr>
                <w:rFonts w:eastAsia="Times New Roman"/>
                <w:szCs w:val="24"/>
                <w:lang w:eastAsia="cs-CZ"/>
              </w:rPr>
              <w:t>,</w:t>
            </w:r>
            <w:r w:rsidRPr="00A00187">
              <w:rPr>
                <w:rFonts w:eastAsia="Times New Roman"/>
                <w:szCs w:val="24"/>
                <w:lang w:eastAsia="cs-CZ"/>
              </w:rPr>
              <w:t>3</w:t>
            </w:r>
            <w:r w:rsidR="00CB570A">
              <w:rPr>
                <w:rFonts w:eastAsia="Times New Roman"/>
                <w:szCs w:val="24"/>
                <w:lang w:eastAsia="cs-CZ"/>
              </w:rPr>
              <w:t> %</w:t>
            </w:r>
          </w:p>
        </w:tc>
      </w:tr>
      <w:tr w:rsidR="00AC1E67" w:rsidRPr="00A00187" w14:paraId="1664F2B3" w14:textId="77777777" w:rsidTr="0022214F">
        <w:trPr>
          <w:trHeight w:val="315"/>
        </w:trPr>
        <w:tc>
          <w:tcPr>
            <w:tcW w:w="2036" w:type="dxa"/>
            <w:tcBorders>
              <w:top w:val="nil"/>
              <w:left w:val="nil"/>
              <w:bottom w:val="single" w:sz="4" w:space="0" w:color="auto"/>
              <w:right w:val="nil"/>
            </w:tcBorders>
            <w:shd w:val="clear" w:color="auto" w:fill="auto"/>
            <w:noWrap/>
            <w:vAlign w:val="bottom"/>
            <w:hideMark/>
          </w:tcPr>
          <w:p w14:paraId="32F18E0B"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KS Č. Budějovice</w:t>
            </w:r>
          </w:p>
        </w:tc>
        <w:tc>
          <w:tcPr>
            <w:tcW w:w="941" w:type="dxa"/>
            <w:tcBorders>
              <w:top w:val="nil"/>
              <w:left w:val="nil"/>
              <w:bottom w:val="single" w:sz="4" w:space="0" w:color="auto"/>
              <w:right w:val="nil"/>
            </w:tcBorders>
            <w:shd w:val="clear" w:color="auto" w:fill="auto"/>
            <w:noWrap/>
            <w:vAlign w:val="bottom"/>
            <w:hideMark/>
          </w:tcPr>
          <w:p w14:paraId="77E303C6"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450</w:t>
            </w:r>
          </w:p>
        </w:tc>
        <w:tc>
          <w:tcPr>
            <w:tcW w:w="1069" w:type="dxa"/>
            <w:tcBorders>
              <w:top w:val="nil"/>
              <w:left w:val="nil"/>
              <w:bottom w:val="single" w:sz="4" w:space="0" w:color="auto"/>
              <w:right w:val="nil"/>
            </w:tcBorders>
            <w:shd w:val="clear" w:color="auto" w:fill="auto"/>
            <w:noWrap/>
            <w:vAlign w:val="center"/>
            <w:hideMark/>
          </w:tcPr>
          <w:p w14:paraId="5B14C395" w14:textId="32961681"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916" w:type="dxa"/>
            <w:tcBorders>
              <w:top w:val="nil"/>
              <w:left w:val="single" w:sz="4" w:space="0" w:color="auto"/>
              <w:bottom w:val="single" w:sz="4" w:space="0" w:color="auto"/>
              <w:right w:val="nil"/>
            </w:tcBorders>
            <w:shd w:val="clear" w:color="auto" w:fill="auto"/>
            <w:noWrap/>
            <w:vAlign w:val="bottom"/>
            <w:hideMark/>
          </w:tcPr>
          <w:p w14:paraId="46A00053"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476</w:t>
            </w:r>
          </w:p>
        </w:tc>
        <w:tc>
          <w:tcPr>
            <w:tcW w:w="932" w:type="dxa"/>
            <w:tcBorders>
              <w:top w:val="nil"/>
              <w:left w:val="nil"/>
              <w:bottom w:val="single" w:sz="4" w:space="0" w:color="auto"/>
              <w:right w:val="single" w:sz="4" w:space="0" w:color="auto"/>
            </w:tcBorders>
            <w:shd w:val="clear" w:color="auto" w:fill="auto"/>
            <w:noWrap/>
            <w:vAlign w:val="center"/>
            <w:hideMark/>
          </w:tcPr>
          <w:p w14:paraId="033937CA" w14:textId="4CE3D6EA"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910" w:type="dxa"/>
            <w:tcBorders>
              <w:top w:val="nil"/>
              <w:left w:val="nil"/>
              <w:bottom w:val="single" w:sz="4" w:space="0" w:color="auto"/>
              <w:right w:val="nil"/>
            </w:tcBorders>
            <w:shd w:val="clear" w:color="auto" w:fill="auto"/>
            <w:noWrap/>
            <w:vAlign w:val="bottom"/>
            <w:hideMark/>
          </w:tcPr>
          <w:p w14:paraId="451DE65F"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335</w:t>
            </w:r>
          </w:p>
        </w:tc>
        <w:tc>
          <w:tcPr>
            <w:tcW w:w="959" w:type="dxa"/>
            <w:gridSpan w:val="2"/>
            <w:tcBorders>
              <w:top w:val="nil"/>
              <w:left w:val="nil"/>
              <w:bottom w:val="single" w:sz="4" w:space="0" w:color="auto"/>
              <w:right w:val="single" w:sz="4" w:space="0" w:color="auto"/>
            </w:tcBorders>
            <w:shd w:val="clear" w:color="auto" w:fill="auto"/>
            <w:noWrap/>
            <w:vAlign w:val="center"/>
            <w:hideMark/>
          </w:tcPr>
          <w:p w14:paraId="271BA7E0" w14:textId="6216F7ED"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516" w:type="dxa"/>
            <w:gridSpan w:val="2"/>
            <w:tcBorders>
              <w:top w:val="nil"/>
              <w:left w:val="nil"/>
              <w:bottom w:val="single" w:sz="4" w:space="0" w:color="auto"/>
              <w:right w:val="nil"/>
            </w:tcBorders>
            <w:shd w:val="clear" w:color="auto" w:fill="auto"/>
            <w:noWrap/>
            <w:vAlign w:val="center"/>
            <w:hideMark/>
          </w:tcPr>
          <w:p w14:paraId="6B04134A" w14:textId="53A0CA91"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105</w:t>
            </w:r>
            <w:r w:rsidR="00D71CE7" w:rsidRPr="00A00187">
              <w:rPr>
                <w:rFonts w:eastAsia="Times New Roman"/>
                <w:szCs w:val="24"/>
                <w:lang w:eastAsia="cs-CZ"/>
              </w:rPr>
              <w:t>,</w:t>
            </w:r>
            <w:r w:rsidRPr="00A00187">
              <w:rPr>
                <w:rFonts w:eastAsia="Times New Roman"/>
                <w:szCs w:val="24"/>
                <w:lang w:eastAsia="cs-CZ"/>
              </w:rPr>
              <w:t>8</w:t>
            </w:r>
            <w:r w:rsidR="00CB570A">
              <w:rPr>
                <w:rFonts w:eastAsia="Times New Roman"/>
                <w:szCs w:val="24"/>
                <w:lang w:eastAsia="cs-CZ"/>
              </w:rPr>
              <w:t> %</w:t>
            </w:r>
          </w:p>
        </w:tc>
      </w:tr>
      <w:tr w:rsidR="00AC1E67" w:rsidRPr="00A00187" w14:paraId="01FC8E7A" w14:textId="77777777" w:rsidTr="0022214F">
        <w:trPr>
          <w:trHeight w:val="315"/>
        </w:trPr>
        <w:tc>
          <w:tcPr>
            <w:tcW w:w="2036" w:type="dxa"/>
            <w:tcBorders>
              <w:top w:val="nil"/>
              <w:left w:val="nil"/>
              <w:bottom w:val="single" w:sz="4" w:space="0" w:color="auto"/>
              <w:right w:val="nil"/>
            </w:tcBorders>
            <w:shd w:val="clear" w:color="auto" w:fill="auto"/>
            <w:noWrap/>
            <w:vAlign w:val="bottom"/>
            <w:hideMark/>
          </w:tcPr>
          <w:p w14:paraId="39BF7766"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KS Plzeň</w:t>
            </w:r>
          </w:p>
        </w:tc>
        <w:tc>
          <w:tcPr>
            <w:tcW w:w="941" w:type="dxa"/>
            <w:tcBorders>
              <w:top w:val="nil"/>
              <w:left w:val="nil"/>
              <w:bottom w:val="single" w:sz="4" w:space="0" w:color="auto"/>
              <w:right w:val="nil"/>
            </w:tcBorders>
            <w:shd w:val="clear" w:color="auto" w:fill="auto"/>
            <w:noWrap/>
            <w:vAlign w:val="bottom"/>
            <w:hideMark/>
          </w:tcPr>
          <w:p w14:paraId="01544AA4"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851</w:t>
            </w:r>
          </w:p>
        </w:tc>
        <w:tc>
          <w:tcPr>
            <w:tcW w:w="1069" w:type="dxa"/>
            <w:tcBorders>
              <w:top w:val="nil"/>
              <w:left w:val="nil"/>
              <w:bottom w:val="single" w:sz="4" w:space="0" w:color="auto"/>
              <w:right w:val="nil"/>
            </w:tcBorders>
            <w:shd w:val="clear" w:color="auto" w:fill="auto"/>
            <w:noWrap/>
            <w:vAlign w:val="center"/>
            <w:hideMark/>
          </w:tcPr>
          <w:p w14:paraId="19C02D1A" w14:textId="42EA0E35"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916" w:type="dxa"/>
            <w:tcBorders>
              <w:top w:val="nil"/>
              <w:left w:val="single" w:sz="4" w:space="0" w:color="auto"/>
              <w:bottom w:val="single" w:sz="4" w:space="0" w:color="auto"/>
              <w:right w:val="nil"/>
            </w:tcBorders>
            <w:shd w:val="clear" w:color="auto" w:fill="auto"/>
            <w:noWrap/>
            <w:vAlign w:val="bottom"/>
            <w:hideMark/>
          </w:tcPr>
          <w:p w14:paraId="7C8F08C6"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810</w:t>
            </w:r>
          </w:p>
        </w:tc>
        <w:tc>
          <w:tcPr>
            <w:tcW w:w="932" w:type="dxa"/>
            <w:tcBorders>
              <w:top w:val="nil"/>
              <w:left w:val="nil"/>
              <w:bottom w:val="single" w:sz="4" w:space="0" w:color="auto"/>
              <w:right w:val="single" w:sz="4" w:space="0" w:color="auto"/>
            </w:tcBorders>
            <w:shd w:val="clear" w:color="auto" w:fill="auto"/>
            <w:noWrap/>
            <w:vAlign w:val="center"/>
            <w:hideMark/>
          </w:tcPr>
          <w:p w14:paraId="16508077" w14:textId="5BB89AE9"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-49</w:t>
            </w:r>
            <w:r w:rsidR="00CB570A">
              <w:rPr>
                <w:rFonts w:eastAsia="Times New Roman"/>
                <w:sz w:val="20"/>
                <w:szCs w:val="20"/>
                <w:lang w:eastAsia="cs-CZ"/>
              </w:rPr>
              <w:t> %</w:t>
            </w:r>
          </w:p>
        </w:tc>
        <w:tc>
          <w:tcPr>
            <w:tcW w:w="910" w:type="dxa"/>
            <w:tcBorders>
              <w:top w:val="nil"/>
              <w:left w:val="nil"/>
              <w:bottom w:val="single" w:sz="4" w:space="0" w:color="auto"/>
              <w:right w:val="nil"/>
            </w:tcBorders>
            <w:shd w:val="clear" w:color="auto" w:fill="auto"/>
            <w:noWrap/>
            <w:vAlign w:val="bottom"/>
            <w:hideMark/>
          </w:tcPr>
          <w:p w14:paraId="295D2016"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678</w:t>
            </w:r>
          </w:p>
        </w:tc>
        <w:tc>
          <w:tcPr>
            <w:tcW w:w="959" w:type="dxa"/>
            <w:gridSpan w:val="2"/>
            <w:tcBorders>
              <w:top w:val="nil"/>
              <w:left w:val="nil"/>
              <w:bottom w:val="single" w:sz="4" w:space="0" w:color="auto"/>
              <w:right w:val="single" w:sz="4" w:space="0" w:color="auto"/>
            </w:tcBorders>
            <w:shd w:val="clear" w:color="auto" w:fill="auto"/>
            <w:noWrap/>
            <w:vAlign w:val="center"/>
            <w:hideMark/>
          </w:tcPr>
          <w:p w14:paraId="74A4B113" w14:textId="263236AF"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516" w:type="dxa"/>
            <w:gridSpan w:val="2"/>
            <w:tcBorders>
              <w:top w:val="nil"/>
              <w:left w:val="nil"/>
              <w:bottom w:val="single" w:sz="4" w:space="0" w:color="auto"/>
              <w:right w:val="nil"/>
            </w:tcBorders>
            <w:shd w:val="clear" w:color="auto" w:fill="auto"/>
            <w:noWrap/>
            <w:vAlign w:val="center"/>
            <w:hideMark/>
          </w:tcPr>
          <w:p w14:paraId="6D2A11DF" w14:textId="559617FA"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95</w:t>
            </w:r>
            <w:r w:rsidR="00D71CE7" w:rsidRPr="00A00187">
              <w:rPr>
                <w:rFonts w:eastAsia="Times New Roman"/>
                <w:szCs w:val="24"/>
                <w:lang w:eastAsia="cs-CZ"/>
              </w:rPr>
              <w:t>,</w:t>
            </w:r>
            <w:r w:rsidRPr="00A00187">
              <w:rPr>
                <w:rFonts w:eastAsia="Times New Roman"/>
                <w:szCs w:val="24"/>
                <w:lang w:eastAsia="cs-CZ"/>
              </w:rPr>
              <w:t>2</w:t>
            </w:r>
            <w:r w:rsidR="00CB570A">
              <w:rPr>
                <w:rFonts w:eastAsia="Times New Roman"/>
                <w:szCs w:val="24"/>
                <w:lang w:eastAsia="cs-CZ"/>
              </w:rPr>
              <w:t> %</w:t>
            </w:r>
          </w:p>
        </w:tc>
      </w:tr>
      <w:tr w:rsidR="00AC1E67" w:rsidRPr="00A00187" w14:paraId="0497FD33" w14:textId="77777777" w:rsidTr="0022214F">
        <w:trPr>
          <w:trHeight w:val="315"/>
        </w:trPr>
        <w:tc>
          <w:tcPr>
            <w:tcW w:w="2036" w:type="dxa"/>
            <w:tcBorders>
              <w:top w:val="nil"/>
              <w:left w:val="nil"/>
              <w:bottom w:val="single" w:sz="4" w:space="0" w:color="auto"/>
              <w:right w:val="nil"/>
            </w:tcBorders>
            <w:shd w:val="clear" w:color="auto" w:fill="auto"/>
            <w:noWrap/>
            <w:vAlign w:val="bottom"/>
            <w:hideMark/>
          </w:tcPr>
          <w:p w14:paraId="50F2988A"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KS Ústí n. Labem</w:t>
            </w:r>
          </w:p>
        </w:tc>
        <w:tc>
          <w:tcPr>
            <w:tcW w:w="941" w:type="dxa"/>
            <w:tcBorders>
              <w:top w:val="nil"/>
              <w:left w:val="nil"/>
              <w:bottom w:val="single" w:sz="4" w:space="0" w:color="auto"/>
              <w:right w:val="nil"/>
            </w:tcBorders>
            <w:shd w:val="clear" w:color="auto" w:fill="auto"/>
            <w:noWrap/>
            <w:vAlign w:val="bottom"/>
            <w:hideMark/>
          </w:tcPr>
          <w:p w14:paraId="05D2C526"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940</w:t>
            </w:r>
          </w:p>
        </w:tc>
        <w:tc>
          <w:tcPr>
            <w:tcW w:w="1069" w:type="dxa"/>
            <w:tcBorders>
              <w:top w:val="nil"/>
              <w:left w:val="nil"/>
              <w:bottom w:val="single" w:sz="4" w:space="0" w:color="auto"/>
              <w:right w:val="nil"/>
            </w:tcBorders>
            <w:shd w:val="clear" w:color="auto" w:fill="auto"/>
            <w:noWrap/>
            <w:vAlign w:val="center"/>
            <w:hideMark/>
          </w:tcPr>
          <w:p w14:paraId="01E1F336" w14:textId="282FEA16"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916" w:type="dxa"/>
            <w:tcBorders>
              <w:top w:val="nil"/>
              <w:left w:val="single" w:sz="4" w:space="0" w:color="auto"/>
              <w:bottom w:val="single" w:sz="4" w:space="0" w:color="auto"/>
              <w:right w:val="nil"/>
            </w:tcBorders>
            <w:shd w:val="clear" w:color="auto" w:fill="auto"/>
            <w:noWrap/>
            <w:vAlign w:val="bottom"/>
            <w:hideMark/>
          </w:tcPr>
          <w:p w14:paraId="543C1F21"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1407</w:t>
            </w:r>
          </w:p>
        </w:tc>
        <w:tc>
          <w:tcPr>
            <w:tcW w:w="932" w:type="dxa"/>
            <w:tcBorders>
              <w:top w:val="nil"/>
              <w:left w:val="nil"/>
              <w:bottom w:val="single" w:sz="4" w:space="0" w:color="auto"/>
              <w:right w:val="single" w:sz="4" w:space="0" w:color="auto"/>
            </w:tcBorders>
            <w:shd w:val="clear" w:color="auto" w:fill="auto"/>
            <w:noWrap/>
            <w:vAlign w:val="center"/>
            <w:hideMark/>
          </w:tcPr>
          <w:p w14:paraId="21831DE4" w14:textId="541BB68F"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-29</w:t>
            </w:r>
            <w:r w:rsidR="00CB570A">
              <w:rPr>
                <w:rFonts w:eastAsia="Times New Roman"/>
                <w:sz w:val="20"/>
                <w:szCs w:val="20"/>
                <w:lang w:eastAsia="cs-CZ"/>
              </w:rPr>
              <w:t> %</w:t>
            </w:r>
          </w:p>
        </w:tc>
        <w:tc>
          <w:tcPr>
            <w:tcW w:w="910" w:type="dxa"/>
            <w:tcBorders>
              <w:top w:val="nil"/>
              <w:left w:val="nil"/>
              <w:bottom w:val="single" w:sz="4" w:space="0" w:color="auto"/>
              <w:right w:val="nil"/>
            </w:tcBorders>
            <w:shd w:val="clear" w:color="auto" w:fill="auto"/>
            <w:noWrap/>
            <w:vAlign w:val="bottom"/>
            <w:hideMark/>
          </w:tcPr>
          <w:p w14:paraId="3E1E89B2" w14:textId="7794227B"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w:t>
            </w:r>
            <w:r w:rsidR="00D71CE7" w:rsidRPr="00A00187">
              <w:rPr>
                <w:rFonts w:eastAsia="Times New Roman"/>
                <w:szCs w:val="24"/>
                <w:lang w:eastAsia="cs-CZ"/>
              </w:rPr>
              <w:t xml:space="preserve"> </w:t>
            </w:r>
            <w:r w:rsidRPr="00A00187">
              <w:rPr>
                <w:rFonts w:eastAsia="Times New Roman"/>
                <w:szCs w:val="24"/>
                <w:lang w:eastAsia="cs-CZ"/>
              </w:rPr>
              <w:t>299</w:t>
            </w:r>
          </w:p>
        </w:tc>
        <w:tc>
          <w:tcPr>
            <w:tcW w:w="959" w:type="dxa"/>
            <w:gridSpan w:val="2"/>
            <w:tcBorders>
              <w:top w:val="nil"/>
              <w:left w:val="nil"/>
              <w:bottom w:val="single" w:sz="4" w:space="0" w:color="auto"/>
              <w:right w:val="single" w:sz="4" w:space="0" w:color="auto"/>
            </w:tcBorders>
            <w:shd w:val="clear" w:color="auto" w:fill="auto"/>
            <w:noWrap/>
            <w:vAlign w:val="center"/>
            <w:hideMark/>
          </w:tcPr>
          <w:p w14:paraId="349551A6" w14:textId="6F68AD84"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-26</w:t>
            </w:r>
            <w:r w:rsidR="00CB570A">
              <w:rPr>
                <w:rFonts w:eastAsia="Times New Roman"/>
                <w:sz w:val="20"/>
                <w:szCs w:val="20"/>
                <w:lang w:eastAsia="cs-CZ"/>
              </w:rPr>
              <w:t> %</w:t>
            </w:r>
          </w:p>
        </w:tc>
        <w:tc>
          <w:tcPr>
            <w:tcW w:w="1516" w:type="dxa"/>
            <w:gridSpan w:val="2"/>
            <w:tcBorders>
              <w:top w:val="nil"/>
              <w:left w:val="nil"/>
              <w:bottom w:val="single" w:sz="4" w:space="0" w:color="auto"/>
              <w:right w:val="nil"/>
            </w:tcBorders>
            <w:shd w:val="clear" w:color="auto" w:fill="auto"/>
            <w:noWrap/>
            <w:vAlign w:val="center"/>
            <w:hideMark/>
          </w:tcPr>
          <w:p w14:paraId="5F6A1AEE" w14:textId="65B505A9"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149</w:t>
            </w:r>
            <w:r w:rsidR="00D71CE7" w:rsidRPr="00A00187">
              <w:rPr>
                <w:rFonts w:eastAsia="Times New Roman"/>
                <w:szCs w:val="24"/>
                <w:lang w:eastAsia="cs-CZ"/>
              </w:rPr>
              <w:t>,</w:t>
            </w:r>
            <w:r w:rsidRPr="00A00187">
              <w:rPr>
                <w:rFonts w:eastAsia="Times New Roman"/>
                <w:szCs w:val="24"/>
                <w:lang w:eastAsia="cs-CZ"/>
              </w:rPr>
              <w:t>7</w:t>
            </w:r>
            <w:r w:rsidR="00CB570A">
              <w:rPr>
                <w:rFonts w:eastAsia="Times New Roman"/>
                <w:szCs w:val="24"/>
                <w:lang w:eastAsia="cs-CZ"/>
              </w:rPr>
              <w:t> %</w:t>
            </w:r>
          </w:p>
        </w:tc>
      </w:tr>
      <w:tr w:rsidR="00AC1E67" w:rsidRPr="00A00187" w14:paraId="043CA363" w14:textId="77777777" w:rsidTr="0022214F">
        <w:trPr>
          <w:trHeight w:val="315"/>
        </w:trPr>
        <w:tc>
          <w:tcPr>
            <w:tcW w:w="2036" w:type="dxa"/>
            <w:tcBorders>
              <w:top w:val="nil"/>
              <w:left w:val="nil"/>
              <w:bottom w:val="single" w:sz="4" w:space="0" w:color="auto"/>
              <w:right w:val="nil"/>
            </w:tcBorders>
            <w:shd w:val="clear" w:color="auto" w:fill="auto"/>
            <w:noWrap/>
            <w:vAlign w:val="bottom"/>
            <w:hideMark/>
          </w:tcPr>
          <w:p w14:paraId="55D92DBF"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KS Hr. Králové</w:t>
            </w:r>
          </w:p>
        </w:tc>
        <w:tc>
          <w:tcPr>
            <w:tcW w:w="941" w:type="dxa"/>
            <w:tcBorders>
              <w:top w:val="nil"/>
              <w:left w:val="nil"/>
              <w:bottom w:val="single" w:sz="4" w:space="0" w:color="auto"/>
              <w:right w:val="nil"/>
            </w:tcBorders>
            <w:shd w:val="clear" w:color="auto" w:fill="auto"/>
            <w:noWrap/>
            <w:vAlign w:val="bottom"/>
            <w:hideMark/>
          </w:tcPr>
          <w:p w14:paraId="07BCD647" w14:textId="4DD3801A"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w:t>
            </w:r>
            <w:r w:rsidR="00D71CE7" w:rsidRPr="00A00187">
              <w:rPr>
                <w:rFonts w:eastAsia="Times New Roman"/>
                <w:szCs w:val="24"/>
                <w:lang w:eastAsia="cs-CZ"/>
              </w:rPr>
              <w:t xml:space="preserve"> </w:t>
            </w:r>
            <w:r w:rsidRPr="00A00187">
              <w:rPr>
                <w:rFonts w:eastAsia="Times New Roman"/>
                <w:szCs w:val="24"/>
                <w:lang w:eastAsia="cs-CZ"/>
              </w:rPr>
              <w:t>886</w:t>
            </w:r>
          </w:p>
        </w:tc>
        <w:tc>
          <w:tcPr>
            <w:tcW w:w="1069" w:type="dxa"/>
            <w:tcBorders>
              <w:top w:val="nil"/>
              <w:left w:val="nil"/>
              <w:bottom w:val="single" w:sz="4" w:space="0" w:color="auto"/>
              <w:right w:val="nil"/>
            </w:tcBorders>
            <w:shd w:val="clear" w:color="auto" w:fill="auto"/>
            <w:noWrap/>
            <w:vAlign w:val="center"/>
            <w:hideMark/>
          </w:tcPr>
          <w:p w14:paraId="727505C1" w14:textId="513417DF"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916" w:type="dxa"/>
            <w:tcBorders>
              <w:top w:val="nil"/>
              <w:left w:val="single" w:sz="4" w:space="0" w:color="auto"/>
              <w:bottom w:val="single" w:sz="4" w:space="0" w:color="auto"/>
              <w:right w:val="nil"/>
            </w:tcBorders>
            <w:shd w:val="clear" w:color="auto" w:fill="auto"/>
            <w:noWrap/>
            <w:vAlign w:val="bottom"/>
            <w:hideMark/>
          </w:tcPr>
          <w:p w14:paraId="0E6AC483" w14:textId="45E63E63"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w:t>
            </w:r>
            <w:r w:rsidR="00D71CE7" w:rsidRPr="00A00187">
              <w:rPr>
                <w:rFonts w:eastAsia="Times New Roman"/>
                <w:szCs w:val="24"/>
                <w:lang w:eastAsia="cs-CZ"/>
              </w:rPr>
              <w:t xml:space="preserve"> </w:t>
            </w:r>
            <w:r w:rsidRPr="00A00187">
              <w:rPr>
                <w:rFonts w:eastAsia="Times New Roman"/>
                <w:szCs w:val="24"/>
                <w:lang w:eastAsia="cs-CZ"/>
              </w:rPr>
              <w:t>808</w:t>
            </w:r>
          </w:p>
        </w:tc>
        <w:tc>
          <w:tcPr>
            <w:tcW w:w="932" w:type="dxa"/>
            <w:tcBorders>
              <w:top w:val="nil"/>
              <w:left w:val="nil"/>
              <w:bottom w:val="single" w:sz="4" w:space="0" w:color="auto"/>
              <w:right w:val="single" w:sz="4" w:space="0" w:color="auto"/>
            </w:tcBorders>
            <w:shd w:val="clear" w:color="auto" w:fill="auto"/>
            <w:noWrap/>
            <w:vAlign w:val="center"/>
            <w:hideMark/>
          </w:tcPr>
          <w:p w14:paraId="310191C2" w14:textId="46376497"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10" w:type="dxa"/>
            <w:tcBorders>
              <w:top w:val="nil"/>
              <w:left w:val="nil"/>
              <w:bottom w:val="single" w:sz="4" w:space="0" w:color="auto"/>
              <w:right w:val="nil"/>
            </w:tcBorders>
            <w:shd w:val="clear" w:color="auto" w:fill="auto"/>
            <w:noWrap/>
            <w:vAlign w:val="bottom"/>
            <w:hideMark/>
          </w:tcPr>
          <w:p w14:paraId="244193D9" w14:textId="5AAE9B99"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w:t>
            </w:r>
            <w:r w:rsidR="00D71CE7" w:rsidRPr="00A00187">
              <w:rPr>
                <w:rFonts w:eastAsia="Times New Roman"/>
                <w:szCs w:val="24"/>
                <w:lang w:eastAsia="cs-CZ"/>
              </w:rPr>
              <w:t xml:space="preserve"> </w:t>
            </w:r>
            <w:r w:rsidRPr="00A00187">
              <w:rPr>
                <w:rFonts w:eastAsia="Times New Roman"/>
                <w:szCs w:val="24"/>
                <w:lang w:eastAsia="cs-CZ"/>
              </w:rPr>
              <w:t>123</w:t>
            </w:r>
          </w:p>
        </w:tc>
        <w:tc>
          <w:tcPr>
            <w:tcW w:w="959" w:type="dxa"/>
            <w:gridSpan w:val="2"/>
            <w:tcBorders>
              <w:top w:val="nil"/>
              <w:left w:val="nil"/>
              <w:bottom w:val="single" w:sz="4" w:space="0" w:color="auto"/>
              <w:right w:val="single" w:sz="4" w:space="0" w:color="auto"/>
            </w:tcBorders>
            <w:shd w:val="clear" w:color="auto" w:fill="auto"/>
            <w:noWrap/>
            <w:vAlign w:val="center"/>
            <w:hideMark/>
          </w:tcPr>
          <w:p w14:paraId="02D1B38B" w14:textId="1DD587E8"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516" w:type="dxa"/>
            <w:gridSpan w:val="2"/>
            <w:tcBorders>
              <w:top w:val="nil"/>
              <w:left w:val="nil"/>
              <w:bottom w:val="single" w:sz="4" w:space="0" w:color="auto"/>
              <w:right w:val="nil"/>
            </w:tcBorders>
            <w:shd w:val="clear" w:color="auto" w:fill="auto"/>
            <w:noWrap/>
            <w:vAlign w:val="center"/>
            <w:hideMark/>
          </w:tcPr>
          <w:p w14:paraId="41E18874" w14:textId="30E3AC34"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95</w:t>
            </w:r>
            <w:r w:rsidR="00D71CE7" w:rsidRPr="00A00187">
              <w:rPr>
                <w:rFonts w:eastAsia="Times New Roman"/>
                <w:szCs w:val="24"/>
                <w:lang w:eastAsia="cs-CZ"/>
              </w:rPr>
              <w:t>,</w:t>
            </w:r>
            <w:r w:rsidRPr="00A00187">
              <w:rPr>
                <w:rFonts w:eastAsia="Times New Roman"/>
                <w:szCs w:val="24"/>
                <w:lang w:eastAsia="cs-CZ"/>
              </w:rPr>
              <w:t>9</w:t>
            </w:r>
            <w:r w:rsidR="00CB570A">
              <w:rPr>
                <w:rFonts w:eastAsia="Times New Roman"/>
                <w:szCs w:val="24"/>
                <w:lang w:eastAsia="cs-CZ"/>
              </w:rPr>
              <w:t> %</w:t>
            </w:r>
          </w:p>
        </w:tc>
      </w:tr>
      <w:tr w:rsidR="00AC1E67" w:rsidRPr="00A00187" w14:paraId="44A99E5D" w14:textId="77777777" w:rsidTr="0022214F">
        <w:trPr>
          <w:trHeight w:val="315"/>
        </w:trPr>
        <w:tc>
          <w:tcPr>
            <w:tcW w:w="2036" w:type="dxa"/>
            <w:tcBorders>
              <w:top w:val="nil"/>
              <w:left w:val="nil"/>
              <w:bottom w:val="single" w:sz="4" w:space="0" w:color="auto"/>
              <w:right w:val="nil"/>
            </w:tcBorders>
            <w:shd w:val="clear" w:color="auto" w:fill="auto"/>
            <w:noWrap/>
            <w:vAlign w:val="bottom"/>
            <w:hideMark/>
          </w:tcPr>
          <w:p w14:paraId="2554BDE5"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KS Brno</w:t>
            </w:r>
          </w:p>
        </w:tc>
        <w:tc>
          <w:tcPr>
            <w:tcW w:w="941" w:type="dxa"/>
            <w:tcBorders>
              <w:top w:val="nil"/>
              <w:left w:val="nil"/>
              <w:bottom w:val="single" w:sz="4" w:space="0" w:color="auto"/>
              <w:right w:val="nil"/>
            </w:tcBorders>
            <w:shd w:val="clear" w:color="auto" w:fill="auto"/>
            <w:noWrap/>
            <w:vAlign w:val="bottom"/>
            <w:hideMark/>
          </w:tcPr>
          <w:p w14:paraId="3F05C51F" w14:textId="7777777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3175</w:t>
            </w:r>
          </w:p>
        </w:tc>
        <w:tc>
          <w:tcPr>
            <w:tcW w:w="1069" w:type="dxa"/>
            <w:tcBorders>
              <w:top w:val="nil"/>
              <w:left w:val="nil"/>
              <w:bottom w:val="single" w:sz="4" w:space="0" w:color="auto"/>
              <w:right w:val="nil"/>
            </w:tcBorders>
            <w:shd w:val="clear" w:color="auto" w:fill="auto"/>
            <w:noWrap/>
            <w:vAlign w:val="center"/>
            <w:hideMark/>
          </w:tcPr>
          <w:p w14:paraId="5B680250" w14:textId="5684A399"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916" w:type="dxa"/>
            <w:tcBorders>
              <w:top w:val="nil"/>
              <w:left w:val="single" w:sz="4" w:space="0" w:color="auto"/>
              <w:bottom w:val="single" w:sz="4" w:space="0" w:color="auto"/>
              <w:right w:val="nil"/>
            </w:tcBorders>
            <w:shd w:val="clear" w:color="auto" w:fill="auto"/>
            <w:noWrap/>
            <w:vAlign w:val="bottom"/>
            <w:hideMark/>
          </w:tcPr>
          <w:p w14:paraId="402D9EEA" w14:textId="2CF426BF"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3</w:t>
            </w:r>
            <w:r w:rsidR="00D71CE7" w:rsidRPr="00A00187">
              <w:rPr>
                <w:rFonts w:eastAsia="Times New Roman"/>
                <w:szCs w:val="24"/>
                <w:lang w:eastAsia="cs-CZ"/>
              </w:rPr>
              <w:t xml:space="preserve"> </w:t>
            </w:r>
            <w:r w:rsidRPr="00A00187">
              <w:rPr>
                <w:rFonts w:eastAsia="Times New Roman"/>
                <w:szCs w:val="24"/>
                <w:lang w:eastAsia="cs-CZ"/>
              </w:rPr>
              <w:t>481</w:t>
            </w:r>
          </w:p>
        </w:tc>
        <w:tc>
          <w:tcPr>
            <w:tcW w:w="932" w:type="dxa"/>
            <w:tcBorders>
              <w:top w:val="nil"/>
              <w:left w:val="nil"/>
              <w:bottom w:val="single" w:sz="4" w:space="0" w:color="auto"/>
              <w:right w:val="single" w:sz="4" w:space="0" w:color="auto"/>
            </w:tcBorders>
            <w:shd w:val="clear" w:color="auto" w:fill="auto"/>
            <w:noWrap/>
            <w:vAlign w:val="center"/>
            <w:hideMark/>
          </w:tcPr>
          <w:p w14:paraId="31364768" w14:textId="561ACA1F"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910" w:type="dxa"/>
            <w:tcBorders>
              <w:top w:val="nil"/>
              <w:left w:val="nil"/>
              <w:bottom w:val="single" w:sz="4" w:space="0" w:color="auto"/>
              <w:right w:val="nil"/>
            </w:tcBorders>
            <w:shd w:val="clear" w:color="auto" w:fill="auto"/>
            <w:noWrap/>
            <w:vAlign w:val="bottom"/>
            <w:hideMark/>
          </w:tcPr>
          <w:p w14:paraId="0A5E36CD" w14:textId="51D104B6"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2</w:t>
            </w:r>
            <w:r w:rsidR="00D71CE7" w:rsidRPr="00A00187">
              <w:rPr>
                <w:rFonts w:eastAsia="Times New Roman"/>
                <w:szCs w:val="24"/>
                <w:lang w:eastAsia="cs-CZ"/>
              </w:rPr>
              <w:t xml:space="preserve"> </w:t>
            </w:r>
            <w:r w:rsidRPr="00A00187">
              <w:rPr>
                <w:rFonts w:eastAsia="Times New Roman"/>
                <w:szCs w:val="24"/>
                <w:lang w:eastAsia="cs-CZ"/>
              </w:rPr>
              <w:t>837</w:t>
            </w:r>
          </w:p>
        </w:tc>
        <w:tc>
          <w:tcPr>
            <w:tcW w:w="959" w:type="dxa"/>
            <w:gridSpan w:val="2"/>
            <w:tcBorders>
              <w:top w:val="nil"/>
              <w:left w:val="nil"/>
              <w:bottom w:val="single" w:sz="4" w:space="0" w:color="auto"/>
              <w:right w:val="single" w:sz="4" w:space="0" w:color="auto"/>
            </w:tcBorders>
            <w:shd w:val="clear" w:color="auto" w:fill="auto"/>
            <w:noWrap/>
            <w:vAlign w:val="center"/>
            <w:hideMark/>
          </w:tcPr>
          <w:p w14:paraId="5B691E07" w14:textId="23CB98F0"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516" w:type="dxa"/>
            <w:gridSpan w:val="2"/>
            <w:tcBorders>
              <w:top w:val="nil"/>
              <w:left w:val="nil"/>
              <w:bottom w:val="single" w:sz="4" w:space="0" w:color="auto"/>
              <w:right w:val="nil"/>
            </w:tcBorders>
            <w:shd w:val="clear" w:color="auto" w:fill="auto"/>
            <w:noWrap/>
            <w:vAlign w:val="center"/>
            <w:hideMark/>
          </w:tcPr>
          <w:p w14:paraId="6AB1DE4A" w14:textId="4A6B9161"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109</w:t>
            </w:r>
            <w:r w:rsidR="00D71CE7" w:rsidRPr="00A00187">
              <w:rPr>
                <w:rFonts w:eastAsia="Times New Roman"/>
                <w:szCs w:val="24"/>
                <w:lang w:eastAsia="cs-CZ"/>
              </w:rPr>
              <w:t>,</w:t>
            </w:r>
            <w:r w:rsidRPr="00A00187">
              <w:rPr>
                <w:rFonts w:eastAsia="Times New Roman"/>
                <w:szCs w:val="24"/>
                <w:lang w:eastAsia="cs-CZ"/>
              </w:rPr>
              <w:t>6</w:t>
            </w:r>
            <w:r w:rsidR="00CB570A">
              <w:rPr>
                <w:rFonts w:eastAsia="Times New Roman"/>
                <w:szCs w:val="24"/>
                <w:lang w:eastAsia="cs-CZ"/>
              </w:rPr>
              <w:t> %</w:t>
            </w:r>
          </w:p>
        </w:tc>
      </w:tr>
      <w:tr w:rsidR="00AC1E67" w:rsidRPr="00A00187" w14:paraId="767DC34F" w14:textId="77777777" w:rsidTr="0022214F">
        <w:trPr>
          <w:trHeight w:val="330"/>
        </w:trPr>
        <w:tc>
          <w:tcPr>
            <w:tcW w:w="2036" w:type="dxa"/>
            <w:tcBorders>
              <w:top w:val="nil"/>
              <w:left w:val="nil"/>
              <w:bottom w:val="double" w:sz="6" w:space="0" w:color="auto"/>
              <w:right w:val="nil"/>
            </w:tcBorders>
            <w:shd w:val="clear" w:color="auto" w:fill="auto"/>
            <w:noWrap/>
            <w:vAlign w:val="bottom"/>
            <w:hideMark/>
          </w:tcPr>
          <w:p w14:paraId="3A2D3BB0" w14:textId="77777777" w:rsidR="0050380E" w:rsidRPr="00A00187" w:rsidRDefault="0050380E" w:rsidP="0050380E">
            <w:pPr>
              <w:spacing w:line="240" w:lineRule="auto"/>
              <w:jc w:val="left"/>
              <w:rPr>
                <w:rFonts w:eastAsia="Times New Roman"/>
                <w:szCs w:val="24"/>
                <w:lang w:eastAsia="cs-CZ"/>
              </w:rPr>
            </w:pPr>
            <w:r w:rsidRPr="00A00187">
              <w:rPr>
                <w:rFonts w:eastAsia="Times New Roman"/>
                <w:szCs w:val="24"/>
                <w:lang w:eastAsia="cs-CZ"/>
              </w:rPr>
              <w:t>KS Ostrava</w:t>
            </w:r>
          </w:p>
        </w:tc>
        <w:tc>
          <w:tcPr>
            <w:tcW w:w="941" w:type="dxa"/>
            <w:tcBorders>
              <w:top w:val="nil"/>
              <w:left w:val="nil"/>
              <w:bottom w:val="double" w:sz="6" w:space="0" w:color="auto"/>
              <w:right w:val="nil"/>
            </w:tcBorders>
            <w:shd w:val="clear" w:color="auto" w:fill="auto"/>
            <w:noWrap/>
            <w:vAlign w:val="bottom"/>
            <w:hideMark/>
          </w:tcPr>
          <w:p w14:paraId="7457A9F9" w14:textId="426C3FAC"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2</w:t>
            </w:r>
            <w:r w:rsidR="00D71CE7" w:rsidRPr="00A00187">
              <w:rPr>
                <w:rFonts w:eastAsia="Times New Roman"/>
                <w:szCs w:val="24"/>
                <w:lang w:eastAsia="cs-CZ"/>
              </w:rPr>
              <w:t xml:space="preserve"> </w:t>
            </w:r>
            <w:r w:rsidRPr="00A00187">
              <w:rPr>
                <w:rFonts w:eastAsia="Times New Roman"/>
                <w:szCs w:val="24"/>
                <w:lang w:eastAsia="cs-CZ"/>
              </w:rPr>
              <w:t>588</w:t>
            </w:r>
          </w:p>
        </w:tc>
        <w:tc>
          <w:tcPr>
            <w:tcW w:w="1069" w:type="dxa"/>
            <w:tcBorders>
              <w:top w:val="nil"/>
              <w:left w:val="nil"/>
              <w:bottom w:val="double" w:sz="6" w:space="0" w:color="auto"/>
              <w:right w:val="nil"/>
            </w:tcBorders>
            <w:shd w:val="clear" w:color="auto" w:fill="auto"/>
            <w:noWrap/>
            <w:vAlign w:val="center"/>
            <w:hideMark/>
          </w:tcPr>
          <w:p w14:paraId="6220A9E5" w14:textId="3984F967"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-39</w:t>
            </w:r>
            <w:r w:rsidR="00CB570A">
              <w:rPr>
                <w:rFonts w:eastAsia="Times New Roman"/>
                <w:sz w:val="20"/>
                <w:szCs w:val="20"/>
                <w:lang w:eastAsia="cs-CZ"/>
              </w:rPr>
              <w:t> %</w:t>
            </w:r>
          </w:p>
        </w:tc>
        <w:tc>
          <w:tcPr>
            <w:tcW w:w="916" w:type="dxa"/>
            <w:tcBorders>
              <w:top w:val="nil"/>
              <w:left w:val="single" w:sz="4" w:space="0" w:color="auto"/>
              <w:bottom w:val="double" w:sz="6" w:space="0" w:color="auto"/>
              <w:right w:val="nil"/>
            </w:tcBorders>
            <w:shd w:val="clear" w:color="auto" w:fill="auto"/>
            <w:noWrap/>
            <w:vAlign w:val="bottom"/>
            <w:hideMark/>
          </w:tcPr>
          <w:p w14:paraId="1A229A86" w14:textId="2D7F2B81"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3</w:t>
            </w:r>
            <w:r w:rsidR="00D71CE7" w:rsidRPr="00A00187">
              <w:rPr>
                <w:rFonts w:eastAsia="Times New Roman"/>
                <w:szCs w:val="24"/>
                <w:lang w:eastAsia="cs-CZ"/>
              </w:rPr>
              <w:t xml:space="preserve"> </w:t>
            </w:r>
            <w:r w:rsidRPr="00A00187">
              <w:rPr>
                <w:rFonts w:eastAsia="Times New Roman"/>
                <w:szCs w:val="24"/>
                <w:lang w:eastAsia="cs-CZ"/>
              </w:rPr>
              <w:t>428</w:t>
            </w:r>
          </w:p>
        </w:tc>
        <w:tc>
          <w:tcPr>
            <w:tcW w:w="932" w:type="dxa"/>
            <w:tcBorders>
              <w:top w:val="nil"/>
              <w:left w:val="nil"/>
              <w:bottom w:val="double" w:sz="6" w:space="0" w:color="auto"/>
              <w:right w:val="single" w:sz="4" w:space="0" w:color="auto"/>
            </w:tcBorders>
            <w:shd w:val="clear" w:color="auto" w:fill="auto"/>
            <w:noWrap/>
            <w:vAlign w:val="center"/>
            <w:hideMark/>
          </w:tcPr>
          <w:p w14:paraId="3C8EC279" w14:textId="5CC8FC39"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910" w:type="dxa"/>
            <w:tcBorders>
              <w:top w:val="nil"/>
              <w:left w:val="nil"/>
              <w:bottom w:val="double" w:sz="6" w:space="0" w:color="auto"/>
              <w:right w:val="nil"/>
            </w:tcBorders>
            <w:shd w:val="clear" w:color="auto" w:fill="auto"/>
            <w:noWrap/>
            <w:vAlign w:val="bottom"/>
            <w:hideMark/>
          </w:tcPr>
          <w:p w14:paraId="4BC773D9" w14:textId="08FBCA17"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w:t>
            </w:r>
            <w:r w:rsidR="00D71CE7" w:rsidRPr="00A00187">
              <w:rPr>
                <w:rFonts w:eastAsia="Times New Roman"/>
                <w:szCs w:val="24"/>
                <w:lang w:eastAsia="cs-CZ"/>
              </w:rPr>
              <w:t xml:space="preserve"> </w:t>
            </w:r>
            <w:r w:rsidRPr="00A00187">
              <w:rPr>
                <w:rFonts w:eastAsia="Times New Roman"/>
                <w:szCs w:val="24"/>
                <w:lang w:eastAsia="cs-CZ"/>
              </w:rPr>
              <w:t>372</w:t>
            </w:r>
          </w:p>
        </w:tc>
        <w:tc>
          <w:tcPr>
            <w:tcW w:w="959" w:type="dxa"/>
            <w:gridSpan w:val="2"/>
            <w:tcBorders>
              <w:top w:val="nil"/>
              <w:left w:val="nil"/>
              <w:bottom w:val="double" w:sz="6" w:space="0" w:color="auto"/>
              <w:right w:val="single" w:sz="4" w:space="0" w:color="auto"/>
            </w:tcBorders>
            <w:shd w:val="clear" w:color="auto" w:fill="auto"/>
            <w:noWrap/>
            <w:vAlign w:val="center"/>
            <w:hideMark/>
          </w:tcPr>
          <w:p w14:paraId="3DB42825" w14:textId="54B6F7DE" w:rsidR="0050380E" w:rsidRPr="00A00187" w:rsidRDefault="0050380E" w:rsidP="00641DB9">
            <w:pPr>
              <w:spacing w:line="240" w:lineRule="auto"/>
              <w:jc w:val="center"/>
              <w:rPr>
                <w:rFonts w:eastAsia="Times New Roman"/>
                <w:sz w:val="20"/>
                <w:szCs w:val="20"/>
                <w:lang w:eastAsia="cs-CZ"/>
              </w:rPr>
            </w:pPr>
            <w:r w:rsidRPr="00A00187">
              <w:rPr>
                <w:rFonts w:eastAsia="Times New Roman"/>
                <w:sz w:val="20"/>
                <w:szCs w:val="20"/>
                <w:lang w:eastAsia="cs-CZ"/>
              </w:rPr>
              <w:t>-38</w:t>
            </w:r>
            <w:r w:rsidR="00CB570A">
              <w:rPr>
                <w:rFonts w:eastAsia="Times New Roman"/>
                <w:sz w:val="20"/>
                <w:szCs w:val="20"/>
                <w:lang w:eastAsia="cs-CZ"/>
              </w:rPr>
              <w:t> %</w:t>
            </w:r>
          </w:p>
        </w:tc>
        <w:tc>
          <w:tcPr>
            <w:tcW w:w="1516" w:type="dxa"/>
            <w:gridSpan w:val="2"/>
            <w:tcBorders>
              <w:top w:val="nil"/>
              <w:left w:val="nil"/>
              <w:bottom w:val="nil"/>
              <w:right w:val="nil"/>
            </w:tcBorders>
            <w:shd w:val="clear" w:color="auto" w:fill="auto"/>
            <w:noWrap/>
            <w:vAlign w:val="center"/>
            <w:hideMark/>
          </w:tcPr>
          <w:p w14:paraId="4374E4E3" w14:textId="2AFEB949" w:rsidR="0050380E" w:rsidRPr="00A00187" w:rsidRDefault="0050380E" w:rsidP="0050380E">
            <w:pPr>
              <w:spacing w:line="240" w:lineRule="auto"/>
              <w:jc w:val="center"/>
              <w:rPr>
                <w:rFonts w:eastAsia="Times New Roman"/>
                <w:szCs w:val="24"/>
                <w:lang w:eastAsia="cs-CZ"/>
              </w:rPr>
            </w:pPr>
            <w:r w:rsidRPr="00A00187">
              <w:rPr>
                <w:rFonts w:eastAsia="Times New Roman"/>
                <w:szCs w:val="24"/>
                <w:lang w:eastAsia="cs-CZ"/>
              </w:rPr>
              <w:t>132</w:t>
            </w:r>
            <w:r w:rsidR="00D71CE7" w:rsidRPr="00A00187">
              <w:rPr>
                <w:rFonts w:eastAsia="Times New Roman"/>
                <w:szCs w:val="24"/>
                <w:lang w:eastAsia="cs-CZ"/>
              </w:rPr>
              <w:t>,</w:t>
            </w:r>
            <w:r w:rsidRPr="00A00187">
              <w:rPr>
                <w:rFonts w:eastAsia="Times New Roman"/>
                <w:szCs w:val="24"/>
                <w:lang w:eastAsia="cs-CZ"/>
              </w:rPr>
              <w:t>5</w:t>
            </w:r>
            <w:r w:rsidR="00CB570A">
              <w:rPr>
                <w:rFonts w:eastAsia="Times New Roman"/>
                <w:szCs w:val="24"/>
                <w:lang w:eastAsia="cs-CZ"/>
              </w:rPr>
              <w:t> %</w:t>
            </w:r>
          </w:p>
        </w:tc>
      </w:tr>
      <w:tr w:rsidR="00AC1E67" w:rsidRPr="00A00187" w14:paraId="7A5B4816" w14:textId="77777777" w:rsidTr="0022214F">
        <w:trPr>
          <w:trHeight w:val="345"/>
        </w:trPr>
        <w:tc>
          <w:tcPr>
            <w:tcW w:w="2036" w:type="dxa"/>
            <w:tcBorders>
              <w:top w:val="nil"/>
              <w:left w:val="nil"/>
              <w:bottom w:val="double" w:sz="6" w:space="0" w:color="auto"/>
              <w:right w:val="nil"/>
            </w:tcBorders>
            <w:shd w:val="clear" w:color="auto" w:fill="auto"/>
            <w:noWrap/>
            <w:vAlign w:val="bottom"/>
            <w:hideMark/>
          </w:tcPr>
          <w:p w14:paraId="51BAAEA6" w14:textId="77777777" w:rsidR="0050380E" w:rsidRPr="00A00187" w:rsidRDefault="0050380E" w:rsidP="0050380E">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941" w:type="dxa"/>
            <w:tcBorders>
              <w:top w:val="nil"/>
              <w:left w:val="nil"/>
              <w:bottom w:val="double" w:sz="6" w:space="0" w:color="auto"/>
              <w:right w:val="nil"/>
            </w:tcBorders>
            <w:shd w:val="clear" w:color="auto" w:fill="auto"/>
            <w:noWrap/>
            <w:vAlign w:val="bottom"/>
            <w:hideMark/>
          </w:tcPr>
          <w:p w14:paraId="01CB0760" w14:textId="4DE4C1EC"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23</w:t>
            </w:r>
            <w:r w:rsidR="00D71CE7" w:rsidRPr="00A00187">
              <w:rPr>
                <w:rFonts w:eastAsia="Times New Roman"/>
                <w:b/>
                <w:bCs/>
                <w:szCs w:val="24"/>
                <w:lang w:eastAsia="cs-CZ"/>
              </w:rPr>
              <w:t xml:space="preserve"> </w:t>
            </w:r>
            <w:r w:rsidRPr="00A00187">
              <w:rPr>
                <w:rFonts w:eastAsia="Times New Roman"/>
                <w:b/>
                <w:bCs/>
                <w:szCs w:val="24"/>
                <w:lang w:eastAsia="cs-CZ"/>
              </w:rPr>
              <w:t>353</w:t>
            </w:r>
          </w:p>
        </w:tc>
        <w:tc>
          <w:tcPr>
            <w:tcW w:w="1069" w:type="dxa"/>
            <w:tcBorders>
              <w:top w:val="nil"/>
              <w:left w:val="nil"/>
              <w:bottom w:val="double" w:sz="6" w:space="0" w:color="auto"/>
              <w:right w:val="nil"/>
            </w:tcBorders>
            <w:shd w:val="clear" w:color="auto" w:fill="auto"/>
            <w:noWrap/>
            <w:vAlign w:val="center"/>
            <w:hideMark/>
          </w:tcPr>
          <w:p w14:paraId="64E6A505" w14:textId="3D60AF92" w:rsidR="0050380E" w:rsidRPr="00A00187" w:rsidRDefault="0050380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w:t>
            </w:r>
            <w:r w:rsidR="00CB570A">
              <w:rPr>
                <w:rFonts w:eastAsia="Times New Roman"/>
                <w:b/>
                <w:bCs/>
                <w:sz w:val="20"/>
                <w:szCs w:val="20"/>
                <w:lang w:eastAsia="cs-CZ"/>
              </w:rPr>
              <w:t> %</w:t>
            </w:r>
          </w:p>
        </w:tc>
        <w:tc>
          <w:tcPr>
            <w:tcW w:w="916" w:type="dxa"/>
            <w:tcBorders>
              <w:top w:val="nil"/>
              <w:left w:val="single" w:sz="4" w:space="0" w:color="auto"/>
              <w:bottom w:val="double" w:sz="6" w:space="0" w:color="auto"/>
              <w:right w:val="nil"/>
            </w:tcBorders>
            <w:shd w:val="clear" w:color="auto" w:fill="auto"/>
            <w:noWrap/>
            <w:vAlign w:val="bottom"/>
            <w:hideMark/>
          </w:tcPr>
          <w:p w14:paraId="7F55A507" w14:textId="02B4BD99"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23</w:t>
            </w:r>
            <w:r w:rsidR="00D71CE7" w:rsidRPr="00A00187">
              <w:rPr>
                <w:rFonts w:eastAsia="Times New Roman"/>
                <w:b/>
                <w:bCs/>
                <w:szCs w:val="24"/>
                <w:lang w:eastAsia="cs-CZ"/>
              </w:rPr>
              <w:t xml:space="preserve"> </w:t>
            </w:r>
            <w:r w:rsidRPr="00A00187">
              <w:rPr>
                <w:rFonts w:eastAsia="Times New Roman"/>
                <w:b/>
                <w:bCs/>
                <w:szCs w:val="24"/>
                <w:lang w:eastAsia="cs-CZ"/>
              </w:rPr>
              <w:t>577</w:t>
            </w:r>
          </w:p>
        </w:tc>
        <w:tc>
          <w:tcPr>
            <w:tcW w:w="932" w:type="dxa"/>
            <w:tcBorders>
              <w:top w:val="nil"/>
              <w:left w:val="nil"/>
              <w:bottom w:val="double" w:sz="6" w:space="0" w:color="auto"/>
              <w:right w:val="single" w:sz="4" w:space="0" w:color="auto"/>
            </w:tcBorders>
            <w:shd w:val="clear" w:color="auto" w:fill="auto"/>
            <w:noWrap/>
            <w:vAlign w:val="center"/>
            <w:hideMark/>
          </w:tcPr>
          <w:p w14:paraId="13A90A30" w14:textId="2581054E" w:rsidR="0050380E" w:rsidRPr="00A00187" w:rsidRDefault="0050380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c>
          <w:tcPr>
            <w:tcW w:w="910" w:type="dxa"/>
            <w:tcBorders>
              <w:top w:val="nil"/>
              <w:left w:val="nil"/>
              <w:bottom w:val="double" w:sz="6" w:space="0" w:color="auto"/>
              <w:right w:val="nil"/>
            </w:tcBorders>
            <w:shd w:val="clear" w:color="auto" w:fill="auto"/>
            <w:noWrap/>
            <w:vAlign w:val="bottom"/>
            <w:hideMark/>
          </w:tcPr>
          <w:p w14:paraId="56F884AA" w14:textId="6ADA3FDE"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13</w:t>
            </w:r>
            <w:r w:rsidR="00D71CE7" w:rsidRPr="00A00187">
              <w:rPr>
                <w:rFonts w:eastAsia="Times New Roman"/>
                <w:b/>
                <w:bCs/>
                <w:szCs w:val="24"/>
                <w:lang w:eastAsia="cs-CZ"/>
              </w:rPr>
              <w:t xml:space="preserve"> </w:t>
            </w:r>
            <w:r w:rsidRPr="00A00187">
              <w:rPr>
                <w:rFonts w:eastAsia="Times New Roman"/>
                <w:b/>
                <w:bCs/>
                <w:szCs w:val="24"/>
                <w:lang w:eastAsia="cs-CZ"/>
              </w:rPr>
              <w:t>635</w:t>
            </w:r>
          </w:p>
        </w:tc>
        <w:tc>
          <w:tcPr>
            <w:tcW w:w="959" w:type="dxa"/>
            <w:gridSpan w:val="2"/>
            <w:tcBorders>
              <w:top w:val="nil"/>
              <w:left w:val="nil"/>
              <w:bottom w:val="double" w:sz="6" w:space="0" w:color="auto"/>
              <w:right w:val="single" w:sz="4" w:space="0" w:color="auto"/>
            </w:tcBorders>
            <w:shd w:val="clear" w:color="auto" w:fill="auto"/>
            <w:noWrap/>
            <w:vAlign w:val="center"/>
            <w:hideMark/>
          </w:tcPr>
          <w:p w14:paraId="17065490" w14:textId="0A4FE0D6" w:rsidR="0050380E" w:rsidRPr="00A00187" w:rsidRDefault="0050380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1516" w:type="dxa"/>
            <w:gridSpan w:val="2"/>
            <w:tcBorders>
              <w:top w:val="double" w:sz="6" w:space="0" w:color="auto"/>
              <w:left w:val="nil"/>
              <w:bottom w:val="double" w:sz="6" w:space="0" w:color="auto"/>
              <w:right w:val="nil"/>
            </w:tcBorders>
            <w:shd w:val="clear" w:color="auto" w:fill="auto"/>
            <w:noWrap/>
            <w:vAlign w:val="center"/>
            <w:hideMark/>
          </w:tcPr>
          <w:p w14:paraId="68E6D3E1" w14:textId="55618490" w:rsidR="0050380E" w:rsidRPr="00A00187" w:rsidRDefault="0050380E" w:rsidP="0050380E">
            <w:pPr>
              <w:spacing w:line="240" w:lineRule="auto"/>
              <w:jc w:val="center"/>
              <w:rPr>
                <w:rFonts w:eastAsia="Times New Roman"/>
                <w:b/>
                <w:bCs/>
                <w:szCs w:val="24"/>
                <w:lang w:eastAsia="cs-CZ"/>
              </w:rPr>
            </w:pPr>
            <w:r w:rsidRPr="00A00187">
              <w:rPr>
                <w:rFonts w:eastAsia="Times New Roman"/>
                <w:b/>
                <w:bCs/>
                <w:szCs w:val="24"/>
                <w:lang w:eastAsia="cs-CZ"/>
              </w:rPr>
              <w:t>101</w:t>
            </w:r>
            <w:r w:rsidR="00D71CE7" w:rsidRPr="00A00187">
              <w:rPr>
                <w:rFonts w:eastAsia="Times New Roman"/>
                <w:b/>
                <w:bCs/>
                <w:szCs w:val="24"/>
                <w:lang w:eastAsia="cs-CZ"/>
              </w:rPr>
              <w:t>,</w:t>
            </w:r>
            <w:r w:rsidRPr="00A00187">
              <w:rPr>
                <w:rFonts w:eastAsia="Times New Roman"/>
                <w:b/>
                <w:bCs/>
                <w:szCs w:val="24"/>
                <w:lang w:eastAsia="cs-CZ"/>
              </w:rPr>
              <w:t>0</w:t>
            </w:r>
            <w:r w:rsidR="00CB570A">
              <w:rPr>
                <w:rFonts w:eastAsia="Times New Roman"/>
                <w:b/>
                <w:bCs/>
                <w:szCs w:val="24"/>
                <w:lang w:eastAsia="cs-CZ"/>
              </w:rPr>
              <w:t> %</w:t>
            </w:r>
          </w:p>
        </w:tc>
      </w:tr>
      <w:tr w:rsidR="00AC1E67" w:rsidRPr="00A00187" w14:paraId="3166D847" w14:textId="77777777" w:rsidTr="0022214F">
        <w:trPr>
          <w:trHeight w:val="330"/>
        </w:trPr>
        <w:tc>
          <w:tcPr>
            <w:tcW w:w="2036" w:type="dxa"/>
            <w:tcBorders>
              <w:top w:val="nil"/>
              <w:left w:val="nil"/>
              <w:bottom w:val="nil"/>
              <w:right w:val="nil"/>
            </w:tcBorders>
            <w:shd w:val="clear" w:color="auto" w:fill="auto"/>
            <w:noWrap/>
            <w:vAlign w:val="bottom"/>
            <w:hideMark/>
          </w:tcPr>
          <w:p w14:paraId="1AE95CAB" w14:textId="77777777" w:rsidR="0050380E" w:rsidRPr="00A00187" w:rsidRDefault="0050380E" w:rsidP="0050380E">
            <w:pPr>
              <w:spacing w:line="240" w:lineRule="auto"/>
              <w:jc w:val="center"/>
              <w:rPr>
                <w:rFonts w:eastAsia="Times New Roman"/>
                <w:b/>
                <w:bCs/>
                <w:szCs w:val="24"/>
                <w:lang w:eastAsia="cs-CZ"/>
              </w:rPr>
            </w:pPr>
          </w:p>
        </w:tc>
        <w:tc>
          <w:tcPr>
            <w:tcW w:w="941" w:type="dxa"/>
            <w:tcBorders>
              <w:top w:val="nil"/>
              <w:left w:val="nil"/>
              <w:bottom w:val="nil"/>
              <w:right w:val="nil"/>
            </w:tcBorders>
            <w:shd w:val="clear" w:color="auto" w:fill="auto"/>
            <w:noWrap/>
            <w:vAlign w:val="bottom"/>
            <w:hideMark/>
          </w:tcPr>
          <w:p w14:paraId="0594DC86" w14:textId="77777777" w:rsidR="0050380E" w:rsidRPr="00A00187" w:rsidRDefault="0050380E" w:rsidP="0050380E">
            <w:pPr>
              <w:spacing w:line="240" w:lineRule="auto"/>
              <w:jc w:val="left"/>
              <w:rPr>
                <w:rFonts w:ascii="Times New Roman" w:eastAsia="Times New Roman" w:hAnsi="Times New Roman"/>
                <w:sz w:val="20"/>
                <w:szCs w:val="20"/>
                <w:lang w:eastAsia="cs-CZ"/>
              </w:rPr>
            </w:pPr>
          </w:p>
        </w:tc>
        <w:tc>
          <w:tcPr>
            <w:tcW w:w="1069" w:type="dxa"/>
            <w:tcBorders>
              <w:top w:val="nil"/>
              <w:left w:val="nil"/>
              <w:bottom w:val="nil"/>
              <w:right w:val="nil"/>
            </w:tcBorders>
            <w:shd w:val="clear" w:color="auto" w:fill="auto"/>
            <w:noWrap/>
            <w:vAlign w:val="bottom"/>
            <w:hideMark/>
          </w:tcPr>
          <w:p w14:paraId="3ADCB056" w14:textId="77777777" w:rsidR="0050380E" w:rsidRPr="00A00187" w:rsidRDefault="0050380E" w:rsidP="0050380E">
            <w:pPr>
              <w:spacing w:line="240" w:lineRule="auto"/>
              <w:jc w:val="left"/>
              <w:rPr>
                <w:rFonts w:ascii="Times New Roman" w:eastAsia="Times New Roman" w:hAnsi="Times New Roman"/>
                <w:sz w:val="20"/>
                <w:szCs w:val="20"/>
                <w:lang w:eastAsia="cs-CZ"/>
              </w:rPr>
            </w:pPr>
          </w:p>
        </w:tc>
        <w:tc>
          <w:tcPr>
            <w:tcW w:w="916" w:type="dxa"/>
            <w:tcBorders>
              <w:top w:val="nil"/>
              <w:left w:val="nil"/>
              <w:bottom w:val="nil"/>
              <w:right w:val="nil"/>
            </w:tcBorders>
            <w:shd w:val="clear" w:color="auto" w:fill="auto"/>
            <w:noWrap/>
            <w:vAlign w:val="bottom"/>
            <w:hideMark/>
          </w:tcPr>
          <w:p w14:paraId="3F659ACD" w14:textId="77777777" w:rsidR="0050380E" w:rsidRPr="00A00187" w:rsidRDefault="0050380E" w:rsidP="0050380E">
            <w:pPr>
              <w:spacing w:line="240" w:lineRule="auto"/>
              <w:jc w:val="left"/>
              <w:rPr>
                <w:rFonts w:ascii="Times New Roman" w:eastAsia="Times New Roman" w:hAnsi="Times New Roman"/>
                <w:sz w:val="20"/>
                <w:szCs w:val="20"/>
                <w:lang w:eastAsia="cs-CZ"/>
              </w:rPr>
            </w:pPr>
          </w:p>
        </w:tc>
        <w:tc>
          <w:tcPr>
            <w:tcW w:w="932" w:type="dxa"/>
            <w:tcBorders>
              <w:top w:val="nil"/>
              <w:left w:val="nil"/>
              <w:bottom w:val="nil"/>
              <w:right w:val="nil"/>
            </w:tcBorders>
            <w:shd w:val="clear" w:color="auto" w:fill="auto"/>
            <w:noWrap/>
            <w:vAlign w:val="bottom"/>
            <w:hideMark/>
          </w:tcPr>
          <w:p w14:paraId="37F06FDB" w14:textId="77777777" w:rsidR="0050380E" w:rsidRPr="00A00187" w:rsidRDefault="0050380E" w:rsidP="0050380E">
            <w:pPr>
              <w:spacing w:line="240" w:lineRule="auto"/>
              <w:jc w:val="left"/>
              <w:rPr>
                <w:rFonts w:ascii="Times New Roman" w:eastAsia="Times New Roman" w:hAnsi="Times New Roman"/>
                <w:sz w:val="20"/>
                <w:szCs w:val="20"/>
                <w:lang w:eastAsia="cs-CZ"/>
              </w:rPr>
            </w:pPr>
          </w:p>
        </w:tc>
        <w:tc>
          <w:tcPr>
            <w:tcW w:w="910" w:type="dxa"/>
            <w:tcBorders>
              <w:top w:val="nil"/>
              <w:left w:val="nil"/>
              <w:bottom w:val="nil"/>
              <w:right w:val="nil"/>
            </w:tcBorders>
            <w:shd w:val="clear" w:color="auto" w:fill="auto"/>
            <w:noWrap/>
            <w:vAlign w:val="bottom"/>
            <w:hideMark/>
          </w:tcPr>
          <w:p w14:paraId="1E00060B" w14:textId="77777777" w:rsidR="0050380E" w:rsidRPr="00A00187" w:rsidRDefault="0050380E" w:rsidP="0050380E">
            <w:pPr>
              <w:spacing w:line="240" w:lineRule="auto"/>
              <w:jc w:val="left"/>
              <w:rPr>
                <w:rFonts w:ascii="Times New Roman" w:eastAsia="Times New Roman" w:hAnsi="Times New Roman"/>
                <w:sz w:val="20"/>
                <w:szCs w:val="20"/>
                <w:lang w:eastAsia="cs-CZ"/>
              </w:rPr>
            </w:pPr>
          </w:p>
        </w:tc>
        <w:tc>
          <w:tcPr>
            <w:tcW w:w="959" w:type="dxa"/>
            <w:gridSpan w:val="2"/>
            <w:tcBorders>
              <w:top w:val="nil"/>
              <w:left w:val="nil"/>
              <w:bottom w:val="nil"/>
              <w:right w:val="nil"/>
            </w:tcBorders>
            <w:shd w:val="clear" w:color="auto" w:fill="auto"/>
            <w:noWrap/>
            <w:vAlign w:val="bottom"/>
            <w:hideMark/>
          </w:tcPr>
          <w:p w14:paraId="01F4938A" w14:textId="77777777" w:rsidR="0050380E" w:rsidRPr="00A00187" w:rsidRDefault="0050380E" w:rsidP="00641DB9">
            <w:pPr>
              <w:spacing w:line="240" w:lineRule="auto"/>
              <w:jc w:val="center"/>
              <w:rPr>
                <w:rFonts w:ascii="Times New Roman" w:eastAsia="Times New Roman" w:hAnsi="Times New Roman"/>
                <w:sz w:val="20"/>
                <w:szCs w:val="20"/>
                <w:lang w:eastAsia="cs-CZ"/>
              </w:rPr>
            </w:pPr>
          </w:p>
        </w:tc>
        <w:tc>
          <w:tcPr>
            <w:tcW w:w="1516" w:type="dxa"/>
            <w:gridSpan w:val="2"/>
            <w:tcBorders>
              <w:top w:val="nil"/>
              <w:left w:val="nil"/>
              <w:bottom w:val="nil"/>
              <w:right w:val="nil"/>
            </w:tcBorders>
            <w:shd w:val="clear" w:color="auto" w:fill="auto"/>
            <w:noWrap/>
            <w:vAlign w:val="bottom"/>
            <w:hideMark/>
          </w:tcPr>
          <w:p w14:paraId="1ECCC9CF" w14:textId="77777777" w:rsidR="0050380E" w:rsidRPr="00A00187" w:rsidRDefault="0050380E" w:rsidP="0050380E">
            <w:pPr>
              <w:spacing w:line="240" w:lineRule="auto"/>
              <w:jc w:val="left"/>
              <w:rPr>
                <w:rFonts w:ascii="Times New Roman" w:eastAsia="Times New Roman" w:hAnsi="Times New Roman"/>
                <w:sz w:val="20"/>
                <w:szCs w:val="20"/>
                <w:lang w:eastAsia="cs-CZ"/>
              </w:rPr>
            </w:pPr>
          </w:p>
        </w:tc>
      </w:tr>
    </w:tbl>
    <w:p w14:paraId="03BE63DB" w14:textId="321884EB" w:rsidR="0050380E" w:rsidRPr="00A00187" w:rsidRDefault="00755920" w:rsidP="00D71CE7">
      <w:pPr>
        <w:pStyle w:val="OdstavecASR"/>
      </w:pPr>
      <w:r w:rsidRPr="00A00187">
        <w:t>V</w:t>
      </w:r>
      <w:r>
        <w:t> </w:t>
      </w:r>
      <w:r w:rsidR="0050380E" w:rsidRPr="00A00187">
        <w:t xml:space="preserve">tabulce </w:t>
      </w:r>
      <w:r w:rsidR="00CE43B7" w:rsidRPr="00A00187">
        <w:t xml:space="preserve">můžeme vysledovat několik </w:t>
      </w:r>
      <w:r w:rsidR="0050380E" w:rsidRPr="00A00187">
        <w:t xml:space="preserve">zajímavých </w:t>
      </w:r>
      <w:r w:rsidR="00CE43B7" w:rsidRPr="00A00187">
        <w:t xml:space="preserve">skutečností, </w:t>
      </w:r>
      <w:r w:rsidRPr="00A00187">
        <w:t>a</w:t>
      </w:r>
      <w:r>
        <w:t> </w:t>
      </w:r>
      <w:r w:rsidR="00CE43B7" w:rsidRPr="00A00187">
        <w:t>to</w:t>
      </w:r>
      <w:r w:rsidR="0050380E" w:rsidRPr="00A00187">
        <w:t>:</w:t>
      </w:r>
    </w:p>
    <w:p w14:paraId="3A098121" w14:textId="286BF080" w:rsidR="0050380E" w:rsidRPr="00A00187" w:rsidRDefault="0050380E" w:rsidP="00D71CE7">
      <w:pPr>
        <w:pStyle w:val="OdstavecASR"/>
        <w:numPr>
          <w:ilvl w:val="0"/>
          <w:numId w:val="34"/>
        </w:numPr>
      </w:pPr>
      <w:r w:rsidRPr="00A00187">
        <w:t>Velké rozdíly mezi mírami vyřizování mezi soudy. Žádný soud neklesl příliš pod 100</w:t>
      </w:r>
      <w:r w:rsidR="00CB570A">
        <w:t> %</w:t>
      </w:r>
      <w:r w:rsidRPr="00A00187">
        <w:t>, ale některé soudy jsou vysoko nad 100</w:t>
      </w:r>
      <w:r w:rsidR="00CB570A">
        <w:t> %</w:t>
      </w:r>
      <w:r w:rsidRPr="00A00187">
        <w:t xml:space="preserve"> (KS Ústí nad Labem </w:t>
      </w:r>
      <w:r w:rsidR="00755920" w:rsidRPr="00A00187">
        <w:t>a</w:t>
      </w:r>
      <w:r w:rsidR="00755920">
        <w:t> </w:t>
      </w:r>
      <w:r w:rsidRPr="00A00187">
        <w:t>KS Ostrava</w:t>
      </w:r>
      <w:r w:rsidR="00856C68" w:rsidRPr="00A00187">
        <w:t>).</w:t>
      </w:r>
    </w:p>
    <w:p w14:paraId="19ABAE26" w14:textId="27B5265E" w:rsidR="0050380E" w:rsidRPr="00A00187" w:rsidRDefault="0050380E" w:rsidP="00D71CE7">
      <w:pPr>
        <w:pStyle w:val="OdstavecASR"/>
        <w:numPr>
          <w:ilvl w:val="0"/>
          <w:numId w:val="34"/>
        </w:numPr>
      </w:pPr>
      <w:r w:rsidRPr="00A00187">
        <w:t xml:space="preserve">Velký nárůst v počtu příchozích věcí </w:t>
      </w:r>
      <w:r w:rsidR="00755920" w:rsidRPr="00A00187">
        <w:t>u</w:t>
      </w:r>
      <w:r w:rsidR="00755920">
        <w:t> </w:t>
      </w:r>
      <w:r w:rsidRPr="00A00187">
        <w:t>MS Praha</w:t>
      </w:r>
      <w:r w:rsidR="00CE43B7" w:rsidRPr="00A00187">
        <w:t>, který</w:t>
      </w:r>
      <w:r w:rsidRPr="00A00187">
        <w:t xml:space="preserve"> je zřejmě dán právě výše diskutovaným přírůstkem </w:t>
      </w:r>
      <w:r w:rsidR="00CE43B7" w:rsidRPr="00A00187">
        <w:t xml:space="preserve">věcí týkajících se </w:t>
      </w:r>
      <w:r w:rsidR="00D71CE7" w:rsidRPr="00A00187">
        <w:rPr>
          <w:i/>
          <w:iCs/>
        </w:rPr>
        <w:t xml:space="preserve">zrušení </w:t>
      </w:r>
      <w:r w:rsidR="00755920" w:rsidRPr="00A00187">
        <w:rPr>
          <w:i/>
          <w:iCs/>
        </w:rPr>
        <w:t>a</w:t>
      </w:r>
      <w:r w:rsidR="00755920">
        <w:rPr>
          <w:i/>
          <w:iCs/>
        </w:rPr>
        <w:t> </w:t>
      </w:r>
      <w:r w:rsidR="00D71CE7" w:rsidRPr="00A00187">
        <w:rPr>
          <w:i/>
          <w:iCs/>
        </w:rPr>
        <w:t xml:space="preserve">jmenování likvidátora </w:t>
      </w:r>
      <w:r w:rsidR="00755920" w:rsidRPr="00A00187">
        <w:rPr>
          <w:i/>
          <w:iCs/>
        </w:rPr>
        <w:t>u</w:t>
      </w:r>
      <w:r w:rsidR="00755920">
        <w:rPr>
          <w:i/>
          <w:iCs/>
        </w:rPr>
        <w:t> </w:t>
      </w:r>
      <w:r w:rsidR="00D71CE7" w:rsidRPr="00A00187">
        <w:rPr>
          <w:i/>
          <w:iCs/>
        </w:rPr>
        <w:t>jiných korporací</w:t>
      </w:r>
      <w:r w:rsidR="00D71CE7" w:rsidRPr="00A00187">
        <w:t>.</w:t>
      </w:r>
    </w:p>
    <w:p w14:paraId="18F495E9" w14:textId="5FA0556B" w:rsidR="00CB570A" w:rsidRDefault="00D71CE7" w:rsidP="00D71CE7">
      <w:pPr>
        <w:pStyle w:val="OdstavecASR"/>
        <w:numPr>
          <w:ilvl w:val="0"/>
          <w:numId w:val="34"/>
        </w:numPr>
      </w:pPr>
      <w:r w:rsidRPr="00A00187">
        <w:t xml:space="preserve">Naopak velký pokles v počtu příchozích věcí </w:t>
      </w:r>
      <w:r w:rsidR="00755920" w:rsidRPr="00A00187">
        <w:t>u</w:t>
      </w:r>
      <w:r w:rsidR="00755920">
        <w:t> </w:t>
      </w:r>
      <w:r w:rsidRPr="00A00187">
        <w:t>KS v</w:t>
      </w:r>
      <w:r w:rsidR="00381A53" w:rsidRPr="00A00187">
        <w:t> </w:t>
      </w:r>
      <w:r w:rsidRPr="00A00187">
        <w:t>Ostravě</w:t>
      </w:r>
      <w:r w:rsidR="00381A53" w:rsidRPr="00A00187">
        <w:t xml:space="preserve">, který postrádá jednoznačné vysvětlení. Podrobná analýza by se musela zaměřit na vývoj předmětů sporů vykazovaných v posledních několika letech, přesahuje však rozsah </w:t>
      </w:r>
      <w:r w:rsidR="00755920" w:rsidRPr="00A00187">
        <w:t>a</w:t>
      </w:r>
      <w:r w:rsidR="00755920">
        <w:t> </w:t>
      </w:r>
      <w:r w:rsidR="00381A53" w:rsidRPr="00A00187">
        <w:t>účel této zprávy</w:t>
      </w:r>
      <w:r w:rsidRPr="00A00187">
        <w:t>.</w:t>
      </w:r>
    </w:p>
    <w:p w14:paraId="6C3CEE9D" w14:textId="60E7114A" w:rsidR="008430BD" w:rsidRPr="00A00187" w:rsidRDefault="008430BD" w:rsidP="008430BD">
      <w:pPr>
        <w:pStyle w:val="Nadpis3"/>
        <w:numPr>
          <w:ilvl w:val="2"/>
          <w:numId w:val="1"/>
        </w:numPr>
        <w:rPr>
          <w:color w:val="auto"/>
        </w:rPr>
      </w:pPr>
      <w:bookmarkStart w:id="634" w:name="_Toc106092755"/>
      <w:bookmarkStart w:id="635" w:name="_Toc109801366"/>
      <w:r w:rsidRPr="00A00187">
        <w:rPr>
          <w:color w:val="auto"/>
        </w:rPr>
        <w:lastRenderedPageBreak/>
        <w:t>Vyřizování v přepočtu na soudce</w:t>
      </w:r>
      <w:bookmarkEnd w:id="634"/>
      <w:bookmarkEnd w:id="635"/>
    </w:p>
    <w:p w14:paraId="7B6E1FA3" w14:textId="6AC9BB01" w:rsidR="006C1DC1" w:rsidRPr="00A00187" w:rsidRDefault="006C1DC1" w:rsidP="006C1DC1">
      <w:pPr>
        <w:pStyle w:val="OdstavecASR"/>
      </w:pPr>
      <w:r w:rsidRPr="00A00187">
        <w:t>Stejně jako u OS má Ministerstvo spravedlnosti k dispozici přesnější data o počtu soudců, která budou využita pro přepočet, neboť umožňují oddělit soudce vyřizující prvostupňovou agendu od soudců, kteří vyřizují agendu odvolací. V těchto datech tedy je zahrnut skutečný počet soudců (skutečných úvazků), kteří se zabývají prvostupňovou občanskoprávní a obchodněprávní agendou. Soudci, kteří se zabývají insolvencemi, incidenčními spory a obchodním rejstříkem zde započten</w:t>
      </w:r>
      <w:r w:rsidR="00CE43B7" w:rsidRPr="00A00187">
        <w:t>i</w:t>
      </w:r>
      <w:r w:rsidRPr="00A00187">
        <w:t xml:space="preserve"> nejsou. Přepočet na soudce je uveden v tabulce níže.</w:t>
      </w:r>
    </w:p>
    <w:p w14:paraId="6AF21F63" w14:textId="2F4D79A1" w:rsidR="00DE02E8" w:rsidRPr="00A00187" w:rsidRDefault="00DE02E8" w:rsidP="00DE02E8">
      <w:pPr>
        <w:pStyle w:val="Podnadpis"/>
        <w:rPr>
          <w:color w:val="auto"/>
        </w:rPr>
      </w:pPr>
      <w:bookmarkStart w:id="636" w:name="_Toc75952348"/>
      <w:bookmarkStart w:id="637" w:name="_Toc106106805"/>
      <w:bookmarkStart w:id="638" w:name="_Toc109802128"/>
      <w:r w:rsidRPr="00A00187">
        <w:rPr>
          <w:color w:val="auto"/>
        </w:rPr>
        <w:t xml:space="preserve">Tabulka </w:t>
      </w:r>
      <w:r w:rsidR="008457EB" w:rsidRPr="00A00187">
        <w:rPr>
          <w:color w:val="auto"/>
        </w:rPr>
        <w:fldChar w:fldCharType="begin"/>
      </w:r>
      <w:r w:rsidR="008457EB" w:rsidRPr="00A00187">
        <w:rPr>
          <w:color w:val="auto"/>
        </w:rPr>
        <w:instrText xml:space="preserve"> SEQ Tabulka \* ARABIC </w:instrText>
      </w:r>
      <w:r w:rsidR="008457EB" w:rsidRPr="00A00187">
        <w:rPr>
          <w:color w:val="auto"/>
        </w:rPr>
        <w:fldChar w:fldCharType="separate"/>
      </w:r>
      <w:r w:rsidR="00DE6B5E">
        <w:rPr>
          <w:noProof/>
          <w:color w:val="auto"/>
        </w:rPr>
        <w:t>43</w:t>
      </w:r>
      <w:r w:rsidR="008457EB" w:rsidRPr="00A00187">
        <w:rPr>
          <w:noProof/>
          <w:color w:val="auto"/>
        </w:rPr>
        <w:fldChar w:fldCharType="end"/>
      </w:r>
      <w:r w:rsidRPr="00A00187">
        <w:rPr>
          <w:color w:val="auto"/>
        </w:rPr>
        <w:t xml:space="preserve">: KS – </w:t>
      </w:r>
      <w:proofErr w:type="spellStart"/>
      <w:r w:rsidRPr="00A00187">
        <w:rPr>
          <w:color w:val="auto"/>
        </w:rPr>
        <w:t>vyřiz</w:t>
      </w:r>
      <w:proofErr w:type="spellEnd"/>
      <w:r w:rsidR="001C0095">
        <w:rPr>
          <w:color w:val="auto"/>
        </w:rPr>
        <w:t>.</w:t>
      </w:r>
      <w:r w:rsidRPr="00A00187">
        <w:rPr>
          <w:color w:val="auto"/>
        </w:rPr>
        <w:t xml:space="preserve"> </w:t>
      </w:r>
      <w:proofErr w:type="spellStart"/>
      <w:r w:rsidRPr="00A00187">
        <w:rPr>
          <w:color w:val="auto"/>
        </w:rPr>
        <w:t>prvostupň</w:t>
      </w:r>
      <w:proofErr w:type="spellEnd"/>
      <w:r w:rsidR="001C0095">
        <w:rPr>
          <w:color w:val="auto"/>
        </w:rPr>
        <w:t>.</w:t>
      </w:r>
      <w:r w:rsidRPr="00A00187">
        <w:rPr>
          <w:color w:val="auto"/>
        </w:rPr>
        <w:t xml:space="preserve"> civil. věcí na skutečný úvazek dle soudů</w:t>
      </w:r>
      <w:bookmarkEnd w:id="636"/>
      <w:bookmarkEnd w:id="637"/>
      <w:bookmarkEnd w:id="638"/>
    </w:p>
    <w:tbl>
      <w:tblPr>
        <w:tblW w:w="9000" w:type="dxa"/>
        <w:tblCellMar>
          <w:left w:w="70" w:type="dxa"/>
          <w:right w:w="70" w:type="dxa"/>
        </w:tblCellMar>
        <w:tblLook w:val="04A0" w:firstRow="1" w:lastRow="0" w:firstColumn="1" w:lastColumn="0" w:noHBand="0" w:noVBand="1"/>
      </w:tblPr>
      <w:tblGrid>
        <w:gridCol w:w="1836"/>
        <w:gridCol w:w="1028"/>
        <w:gridCol w:w="1102"/>
        <w:gridCol w:w="953"/>
        <w:gridCol w:w="1092"/>
        <w:gridCol w:w="953"/>
        <w:gridCol w:w="1092"/>
        <w:gridCol w:w="944"/>
      </w:tblGrid>
      <w:tr w:rsidR="00AC1E67" w:rsidRPr="00A00187" w14:paraId="04525F6B" w14:textId="77777777" w:rsidTr="00DE02E8">
        <w:trPr>
          <w:trHeight w:val="330"/>
        </w:trPr>
        <w:tc>
          <w:tcPr>
            <w:tcW w:w="1836" w:type="dxa"/>
            <w:vMerge w:val="restart"/>
            <w:tcBorders>
              <w:top w:val="double" w:sz="6" w:space="0" w:color="auto"/>
              <w:left w:val="nil"/>
              <w:bottom w:val="double" w:sz="6" w:space="0" w:color="000000"/>
              <w:right w:val="nil"/>
            </w:tcBorders>
            <w:shd w:val="clear" w:color="auto" w:fill="auto"/>
            <w:noWrap/>
            <w:vAlign w:val="center"/>
            <w:hideMark/>
          </w:tcPr>
          <w:p w14:paraId="37293880" w14:textId="77777777"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1028" w:type="dxa"/>
            <w:vMerge w:val="restart"/>
            <w:tcBorders>
              <w:top w:val="double" w:sz="6" w:space="0" w:color="auto"/>
              <w:left w:val="nil"/>
              <w:bottom w:val="double" w:sz="6" w:space="0" w:color="000000"/>
              <w:right w:val="nil"/>
            </w:tcBorders>
            <w:shd w:val="clear" w:color="auto" w:fill="auto"/>
            <w:vAlign w:val="center"/>
            <w:hideMark/>
          </w:tcPr>
          <w:p w14:paraId="43695746" w14:textId="77777777"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136" w:type="dxa"/>
            <w:gridSpan w:val="6"/>
            <w:tcBorders>
              <w:top w:val="double" w:sz="6" w:space="0" w:color="auto"/>
              <w:left w:val="nil"/>
              <w:bottom w:val="nil"/>
              <w:right w:val="nil"/>
            </w:tcBorders>
            <w:shd w:val="clear" w:color="auto" w:fill="auto"/>
            <w:noWrap/>
            <w:vAlign w:val="center"/>
            <w:hideMark/>
          </w:tcPr>
          <w:p w14:paraId="3B45EAED" w14:textId="77777777"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Počet věcí na úvazek</w:t>
            </w:r>
          </w:p>
        </w:tc>
      </w:tr>
      <w:tr w:rsidR="00AC1E67" w:rsidRPr="00A00187" w14:paraId="3FF03C9B" w14:textId="77777777" w:rsidTr="00DE02E8">
        <w:trPr>
          <w:trHeight w:val="330"/>
        </w:trPr>
        <w:tc>
          <w:tcPr>
            <w:tcW w:w="1836" w:type="dxa"/>
            <w:vMerge/>
            <w:tcBorders>
              <w:top w:val="double" w:sz="6" w:space="0" w:color="auto"/>
              <w:left w:val="nil"/>
              <w:bottom w:val="double" w:sz="6" w:space="0" w:color="000000"/>
              <w:right w:val="nil"/>
            </w:tcBorders>
            <w:vAlign w:val="center"/>
            <w:hideMark/>
          </w:tcPr>
          <w:p w14:paraId="67232CC3" w14:textId="77777777" w:rsidR="00DE02E8" w:rsidRPr="00A00187" w:rsidRDefault="00DE02E8" w:rsidP="00DE02E8">
            <w:pPr>
              <w:spacing w:line="240" w:lineRule="auto"/>
              <w:jc w:val="left"/>
              <w:rPr>
                <w:rFonts w:eastAsia="Times New Roman"/>
                <w:b/>
                <w:bCs/>
                <w:szCs w:val="24"/>
                <w:lang w:eastAsia="cs-CZ"/>
              </w:rPr>
            </w:pPr>
          </w:p>
        </w:tc>
        <w:tc>
          <w:tcPr>
            <w:tcW w:w="1028" w:type="dxa"/>
            <w:vMerge/>
            <w:tcBorders>
              <w:top w:val="double" w:sz="6" w:space="0" w:color="auto"/>
              <w:left w:val="nil"/>
              <w:bottom w:val="double" w:sz="6" w:space="0" w:color="000000"/>
              <w:right w:val="nil"/>
            </w:tcBorders>
            <w:vAlign w:val="center"/>
            <w:hideMark/>
          </w:tcPr>
          <w:p w14:paraId="4B792B14" w14:textId="77777777" w:rsidR="00DE02E8" w:rsidRPr="00A00187" w:rsidRDefault="00DE02E8" w:rsidP="00DE02E8">
            <w:pPr>
              <w:spacing w:line="240" w:lineRule="auto"/>
              <w:jc w:val="left"/>
              <w:rPr>
                <w:rFonts w:eastAsia="Times New Roman"/>
                <w:b/>
                <w:bCs/>
                <w:szCs w:val="24"/>
                <w:lang w:eastAsia="cs-CZ"/>
              </w:rPr>
            </w:pPr>
          </w:p>
        </w:tc>
        <w:tc>
          <w:tcPr>
            <w:tcW w:w="2055" w:type="dxa"/>
            <w:gridSpan w:val="2"/>
            <w:tcBorders>
              <w:top w:val="nil"/>
              <w:left w:val="nil"/>
              <w:bottom w:val="double" w:sz="6" w:space="0" w:color="auto"/>
              <w:right w:val="nil"/>
            </w:tcBorders>
            <w:shd w:val="clear" w:color="auto" w:fill="auto"/>
            <w:noWrap/>
            <w:vAlign w:val="center"/>
            <w:hideMark/>
          </w:tcPr>
          <w:p w14:paraId="027669DF" w14:textId="77777777"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04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3C84E0E" w14:textId="77777777"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2036" w:type="dxa"/>
            <w:gridSpan w:val="2"/>
            <w:tcBorders>
              <w:top w:val="nil"/>
              <w:left w:val="nil"/>
              <w:bottom w:val="double" w:sz="6" w:space="0" w:color="auto"/>
              <w:right w:val="nil"/>
            </w:tcBorders>
            <w:shd w:val="clear" w:color="auto" w:fill="auto"/>
            <w:noWrap/>
            <w:vAlign w:val="center"/>
            <w:hideMark/>
          </w:tcPr>
          <w:p w14:paraId="066731DA" w14:textId="77777777"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10D7EB22" w14:textId="77777777" w:rsidTr="00DE02E8">
        <w:trPr>
          <w:trHeight w:val="330"/>
        </w:trPr>
        <w:tc>
          <w:tcPr>
            <w:tcW w:w="1836" w:type="dxa"/>
            <w:tcBorders>
              <w:top w:val="single" w:sz="4" w:space="0" w:color="auto"/>
              <w:left w:val="nil"/>
              <w:bottom w:val="single" w:sz="4" w:space="0" w:color="auto"/>
              <w:right w:val="nil"/>
            </w:tcBorders>
            <w:shd w:val="clear" w:color="auto" w:fill="auto"/>
            <w:noWrap/>
            <w:vAlign w:val="bottom"/>
            <w:hideMark/>
          </w:tcPr>
          <w:p w14:paraId="7E51D9ED"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MS Praha</w:t>
            </w:r>
          </w:p>
        </w:tc>
        <w:tc>
          <w:tcPr>
            <w:tcW w:w="1028" w:type="dxa"/>
            <w:tcBorders>
              <w:top w:val="single" w:sz="4" w:space="0" w:color="auto"/>
              <w:left w:val="nil"/>
              <w:bottom w:val="single" w:sz="4" w:space="0" w:color="auto"/>
              <w:right w:val="nil"/>
            </w:tcBorders>
            <w:shd w:val="clear" w:color="auto" w:fill="auto"/>
            <w:noWrap/>
            <w:vAlign w:val="bottom"/>
            <w:hideMark/>
          </w:tcPr>
          <w:p w14:paraId="25224E36" w14:textId="77777777"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24</w:t>
            </w:r>
          </w:p>
        </w:tc>
        <w:tc>
          <w:tcPr>
            <w:tcW w:w="1102" w:type="dxa"/>
            <w:tcBorders>
              <w:top w:val="single" w:sz="4" w:space="0" w:color="auto"/>
              <w:left w:val="nil"/>
              <w:bottom w:val="single" w:sz="4" w:space="0" w:color="auto"/>
              <w:right w:val="nil"/>
            </w:tcBorders>
            <w:shd w:val="clear" w:color="auto" w:fill="auto"/>
            <w:noWrap/>
            <w:vAlign w:val="bottom"/>
            <w:hideMark/>
          </w:tcPr>
          <w:p w14:paraId="301F43DC" w14:textId="5A2CC365"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536</w:t>
            </w:r>
            <w:r w:rsidR="005E729B" w:rsidRPr="00A00187">
              <w:rPr>
                <w:rFonts w:eastAsia="Times New Roman"/>
                <w:szCs w:val="24"/>
                <w:lang w:eastAsia="cs-CZ"/>
              </w:rPr>
              <w:t>,</w:t>
            </w:r>
            <w:r w:rsidRPr="00A00187">
              <w:rPr>
                <w:rFonts w:eastAsia="Times New Roman"/>
                <w:szCs w:val="24"/>
                <w:lang w:eastAsia="cs-CZ"/>
              </w:rPr>
              <w:t>46</w:t>
            </w:r>
          </w:p>
        </w:tc>
        <w:tc>
          <w:tcPr>
            <w:tcW w:w="953" w:type="dxa"/>
            <w:tcBorders>
              <w:top w:val="single" w:sz="4" w:space="0" w:color="auto"/>
              <w:left w:val="nil"/>
              <w:bottom w:val="single" w:sz="4" w:space="0" w:color="auto"/>
              <w:right w:val="nil"/>
            </w:tcBorders>
            <w:shd w:val="clear" w:color="auto" w:fill="auto"/>
            <w:noWrap/>
            <w:vAlign w:val="center"/>
            <w:hideMark/>
          </w:tcPr>
          <w:p w14:paraId="3A7B2B62" w14:textId="5E5ACDA4"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+29</w:t>
            </w:r>
            <w:r w:rsidR="00CB570A">
              <w:rPr>
                <w:rFonts w:eastAsia="Times New Roman"/>
                <w:sz w:val="20"/>
                <w:szCs w:val="20"/>
                <w:lang w:eastAsia="cs-CZ"/>
              </w:rPr>
              <w:t> %</w:t>
            </w:r>
          </w:p>
        </w:tc>
        <w:tc>
          <w:tcPr>
            <w:tcW w:w="1092" w:type="dxa"/>
            <w:tcBorders>
              <w:top w:val="nil"/>
              <w:left w:val="single" w:sz="4" w:space="0" w:color="auto"/>
              <w:bottom w:val="single" w:sz="4" w:space="0" w:color="auto"/>
              <w:right w:val="nil"/>
            </w:tcBorders>
            <w:shd w:val="clear" w:color="auto" w:fill="auto"/>
            <w:noWrap/>
            <w:vAlign w:val="bottom"/>
            <w:hideMark/>
          </w:tcPr>
          <w:p w14:paraId="223C2DFD" w14:textId="75311326"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478</w:t>
            </w:r>
            <w:r w:rsidR="005E729B" w:rsidRPr="00A00187">
              <w:rPr>
                <w:rFonts w:eastAsia="Times New Roman"/>
                <w:szCs w:val="24"/>
                <w:lang w:eastAsia="cs-CZ"/>
              </w:rPr>
              <w:t>,</w:t>
            </w:r>
            <w:r w:rsidRPr="00A00187">
              <w:rPr>
                <w:rFonts w:eastAsia="Times New Roman"/>
                <w:szCs w:val="24"/>
                <w:lang w:eastAsia="cs-CZ"/>
              </w:rPr>
              <w:t>46</w:t>
            </w:r>
          </w:p>
        </w:tc>
        <w:tc>
          <w:tcPr>
            <w:tcW w:w="953" w:type="dxa"/>
            <w:tcBorders>
              <w:top w:val="nil"/>
              <w:left w:val="nil"/>
              <w:bottom w:val="single" w:sz="4" w:space="0" w:color="auto"/>
              <w:right w:val="single" w:sz="4" w:space="0" w:color="auto"/>
            </w:tcBorders>
            <w:shd w:val="clear" w:color="auto" w:fill="auto"/>
            <w:noWrap/>
            <w:vAlign w:val="center"/>
            <w:hideMark/>
          </w:tcPr>
          <w:p w14:paraId="79BCFF26" w14:textId="36768180"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092" w:type="dxa"/>
            <w:tcBorders>
              <w:top w:val="single" w:sz="4" w:space="0" w:color="auto"/>
              <w:left w:val="nil"/>
              <w:bottom w:val="single" w:sz="4" w:space="0" w:color="auto"/>
              <w:right w:val="nil"/>
            </w:tcBorders>
            <w:shd w:val="clear" w:color="auto" w:fill="auto"/>
            <w:noWrap/>
            <w:vAlign w:val="bottom"/>
            <w:hideMark/>
          </w:tcPr>
          <w:p w14:paraId="62955681" w14:textId="20D6015F"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233</w:t>
            </w:r>
            <w:r w:rsidR="005E729B" w:rsidRPr="00A00187">
              <w:rPr>
                <w:rFonts w:eastAsia="Times New Roman"/>
                <w:szCs w:val="24"/>
                <w:lang w:eastAsia="cs-CZ"/>
              </w:rPr>
              <w:t>,</w:t>
            </w:r>
            <w:r w:rsidRPr="00A00187">
              <w:rPr>
                <w:rFonts w:eastAsia="Times New Roman"/>
                <w:szCs w:val="24"/>
                <w:lang w:eastAsia="cs-CZ"/>
              </w:rPr>
              <w:t>21</w:t>
            </w:r>
          </w:p>
        </w:tc>
        <w:tc>
          <w:tcPr>
            <w:tcW w:w="944" w:type="dxa"/>
            <w:tcBorders>
              <w:top w:val="single" w:sz="4" w:space="0" w:color="auto"/>
              <w:left w:val="nil"/>
              <w:bottom w:val="single" w:sz="4" w:space="0" w:color="auto"/>
              <w:right w:val="nil"/>
            </w:tcBorders>
            <w:shd w:val="clear" w:color="auto" w:fill="auto"/>
            <w:noWrap/>
            <w:vAlign w:val="center"/>
            <w:hideMark/>
          </w:tcPr>
          <w:p w14:paraId="16247CE4" w14:textId="413C54FF"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+34</w:t>
            </w:r>
            <w:r w:rsidR="00CB570A">
              <w:rPr>
                <w:rFonts w:eastAsia="Times New Roman"/>
                <w:sz w:val="20"/>
                <w:szCs w:val="20"/>
                <w:lang w:eastAsia="cs-CZ"/>
              </w:rPr>
              <w:t> %</w:t>
            </w:r>
          </w:p>
        </w:tc>
      </w:tr>
      <w:tr w:rsidR="00AC1E67" w:rsidRPr="00A00187" w14:paraId="4EF8B5DD" w14:textId="77777777" w:rsidTr="00DE02E8">
        <w:trPr>
          <w:trHeight w:val="315"/>
        </w:trPr>
        <w:tc>
          <w:tcPr>
            <w:tcW w:w="1836" w:type="dxa"/>
            <w:tcBorders>
              <w:top w:val="nil"/>
              <w:left w:val="nil"/>
              <w:bottom w:val="single" w:sz="4" w:space="0" w:color="auto"/>
              <w:right w:val="nil"/>
            </w:tcBorders>
            <w:shd w:val="clear" w:color="auto" w:fill="auto"/>
            <w:noWrap/>
            <w:vAlign w:val="bottom"/>
            <w:hideMark/>
          </w:tcPr>
          <w:p w14:paraId="46642296"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KS Praha</w:t>
            </w:r>
          </w:p>
        </w:tc>
        <w:tc>
          <w:tcPr>
            <w:tcW w:w="1028" w:type="dxa"/>
            <w:tcBorders>
              <w:top w:val="nil"/>
              <w:left w:val="nil"/>
              <w:bottom w:val="single" w:sz="4" w:space="0" w:color="auto"/>
              <w:right w:val="nil"/>
            </w:tcBorders>
            <w:shd w:val="clear" w:color="auto" w:fill="auto"/>
            <w:noWrap/>
            <w:vAlign w:val="bottom"/>
            <w:hideMark/>
          </w:tcPr>
          <w:p w14:paraId="0A8FA6EB" w14:textId="77777777"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4</w:t>
            </w:r>
          </w:p>
        </w:tc>
        <w:tc>
          <w:tcPr>
            <w:tcW w:w="1102" w:type="dxa"/>
            <w:tcBorders>
              <w:top w:val="nil"/>
              <w:left w:val="nil"/>
              <w:bottom w:val="single" w:sz="4" w:space="0" w:color="auto"/>
              <w:right w:val="nil"/>
            </w:tcBorders>
            <w:shd w:val="clear" w:color="auto" w:fill="auto"/>
            <w:noWrap/>
            <w:vAlign w:val="bottom"/>
            <w:hideMark/>
          </w:tcPr>
          <w:p w14:paraId="4403315B" w14:textId="78EE9AF1"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147</w:t>
            </w:r>
            <w:r w:rsidR="005E729B" w:rsidRPr="00A00187">
              <w:rPr>
                <w:rFonts w:eastAsia="Times New Roman"/>
                <w:szCs w:val="24"/>
                <w:lang w:eastAsia="cs-CZ"/>
              </w:rPr>
              <w:t>,</w:t>
            </w:r>
            <w:r w:rsidRPr="00A00187">
              <w:rPr>
                <w:rFonts w:eastAsia="Times New Roman"/>
                <w:szCs w:val="24"/>
                <w:lang w:eastAsia="cs-CZ"/>
              </w:rPr>
              <w:t>00</w:t>
            </w:r>
          </w:p>
        </w:tc>
        <w:tc>
          <w:tcPr>
            <w:tcW w:w="953" w:type="dxa"/>
            <w:tcBorders>
              <w:top w:val="nil"/>
              <w:left w:val="nil"/>
              <w:bottom w:val="single" w:sz="4" w:space="0" w:color="auto"/>
              <w:right w:val="nil"/>
            </w:tcBorders>
            <w:shd w:val="clear" w:color="auto" w:fill="auto"/>
            <w:noWrap/>
            <w:vAlign w:val="center"/>
            <w:hideMark/>
          </w:tcPr>
          <w:p w14:paraId="49893B70" w14:textId="5C900403"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-40</w:t>
            </w:r>
            <w:r w:rsidR="00CB570A">
              <w:rPr>
                <w:rFonts w:eastAsia="Times New Roman"/>
                <w:sz w:val="20"/>
                <w:szCs w:val="20"/>
                <w:lang w:eastAsia="cs-CZ"/>
              </w:rPr>
              <w:t> %</w:t>
            </w:r>
          </w:p>
        </w:tc>
        <w:tc>
          <w:tcPr>
            <w:tcW w:w="1092" w:type="dxa"/>
            <w:tcBorders>
              <w:top w:val="nil"/>
              <w:left w:val="single" w:sz="4" w:space="0" w:color="auto"/>
              <w:bottom w:val="single" w:sz="4" w:space="0" w:color="auto"/>
              <w:right w:val="nil"/>
            </w:tcBorders>
            <w:shd w:val="clear" w:color="auto" w:fill="auto"/>
            <w:noWrap/>
            <w:vAlign w:val="bottom"/>
            <w:hideMark/>
          </w:tcPr>
          <w:p w14:paraId="30BA0730" w14:textId="46163F58"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171</w:t>
            </w:r>
            <w:r w:rsidR="005E729B" w:rsidRPr="00A00187">
              <w:rPr>
                <w:rFonts w:eastAsia="Times New Roman"/>
                <w:szCs w:val="24"/>
                <w:lang w:eastAsia="cs-CZ"/>
              </w:rPr>
              <w:t>,</w:t>
            </w:r>
            <w:r w:rsidRPr="00A00187">
              <w:rPr>
                <w:rFonts w:eastAsia="Times New Roman"/>
                <w:szCs w:val="24"/>
                <w:lang w:eastAsia="cs-CZ"/>
              </w:rPr>
              <w:t>00</w:t>
            </w:r>
          </w:p>
        </w:tc>
        <w:tc>
          <w:tcPr>
            <w:tcW w:w="953" w:type="dxa"/>
            <w:tcBorders>
              <w:top w:val="nil"/>
              <w:left w:val="nil"/>
              <w:bottom w:val="single" w:sz="4" w:space="0" w:color="auto"/>
              <w:right w:val="single" w:sz="4" w:space="0" w:color="auto"/>
            </w:tcBorders>
            <w:shd w:val="clear" w:color="auto" w:fill="auto"/>
            <w:noWrap/>
            <w:vAlign w:val="center"/>
            <w:hideMark/>
          </w:tcPr>
          <w:p w14:paraId="6BB28B8F" w14:textId="7B52E70F"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-39</w:t>
            </w:r>
            <w:r w:rsidR="00CB570A">
              <w:rPr>
                <w:rFonts w:eastAsia="Times New Roman"/>
                <w:sz w:val="20"/>
                <w:szCs w:val="20"/>
                <w:lang w:eastAsia="cs-CZ"/>
              </w:rPr>
              <w:t> %</w:t>
            </w:r>
          </w:p>
        </w:tc>
        <w:tc>
          <w:tcPr>
            <w:tcW w:w="1092" w:type="dxa"/>
            <w:tcBorders>
              <w:top w:val="nil"/>
              <w:left w:val="nil"/>
              <w:bottom w:val="single" w:sz="4" w:space="0" w:color="auto"/>
              <w:right w:val="nil"/>
            </w:tcBorders>
            <w:shd w:val="clear" w:color="auto" w:fill="auto"/>
            <w:noWrap/>
            <w:vAlign w:val="bottom"/>
            <w:hideMark/>
          </w:tcPr>
          <w:p w14:paraId="3BA0E5F6" w14:textId="471C856C"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98</w:t>
            </w:r>
            <w:r w:rsidR="005E729B" w:rsidRPr="00A00187">
              <w:rPr>
                <w:rFonts w:eastAsia="Times New Roman"/>
                <w:szCs w:val="24"/>
                <w:lang w:eastAsia="cs-CZ"/>
              </w:rPr>
              <w:t>,</w:t>
            </w:r>
            <w:r w:rsidRPr="00A00187">
              <w:rPr>
                <w:rFonts w:eastAsia="Times New Roman"/>
                <w:szCs w:val="24"/>
                <w:lang w:eastAsia="cs-CZ"/>
              </w:rPr>
              <w:t>50</w:t>
            </w:r>
          </w:p>
        </w:tc>
        <w:tc>
          <w:tcPr>
            <w:tcW w:w="944" w:type="dxa"/>
            <w:tcBorders>
              <w:top w:val="nil"/>
              <w:left w:val="nil"/>
              <w:bottom w:val="single" w:sz="4" w:space="0" w:color="auto"/>
              <w:right w:val="nil"/>
            </w:tcBorders>
            <w:shd w:val="clear" w:color="auto" w:fill="auto"/>
            <w:noWrap/>
            <w:vAlign w:val="center"/>
            <w:hideMark/>
          </w:tcPr>
          <w:p w14:paraId="26A2CF55" w14:textId="42959620"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-40</w:t>
            </w:r>
            <w:r w:rsidR="00CB570A">
              <w:rPr>
                <w:rFonts w:eastAsia="Times New Roman"/>
                <w:sz w:val="20"/>
                <w:szCs w:val="20"/>
                <w:lang w:eastAsia="cs-CZ"/>
              </w:rPr>
              <w:t> %</w:t>
            </w:r>
          </w:p>
        </w:tc>
      </w:tr>
      <w:tr w:rsidR="00AC1E67" w:rsidRPr="00A00187" w14:paraId="0C25AC72" w14:textId="77777777" w:rsidTr="00DE02E8">
        <w:trPr>
          <w:trHeight w:val="315"/>
        </w:trPr>
        <w:tc>
          <w:tcPr>
            <w:tcW w:w="1836" w:type="dxa"/>
            <w:tcBorders>
              <w:top w:val="nil"/>
              <w:left w:val="nil"/>
              <w:bottom w:val="single" w:sz="4" w:space="0" w:color="auto"/>
              <w:right w:val="nil"/>
            </w:tcBorders>
            <w:shd w:val="clear" w:color="auto" w:fill="auto"/>
            <w:noWrap/>
            <w:vAlign w:val="bottom"/>
            <w:hideMark/>
          </w:tcPr>
          <w:p w14:paraId="3665ABCA"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KS Č. Budějovice</w:t>
            </w:r>
          </w:p>
        </w:tc>
        <w:tc>
          <w:tcPr>
            <w:tcW w:w="1028" w:type="dxa"/>
            <w:tcBorders>
              <w:top w:val="nil"/>
              <w:left w:val="nil"/>
              <w:bottom w:val="single" w:sz="4" w:space="0" w:color="auto"/>
              <w:right w:val="nil"/>
            </w:tcBorders>
            <w:shd w:val="clear" w:color="auto" w:fill="auto"/>
            <w:noWrap/>
            <w:vAlign w:val="bottom"/>
            <w:hideMark/>
          </w:tcPr>
          <w:p w14:paraId="757C2950" w14:textId="617928BB"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6</w:t>
            </w:r>
            <w:r w:rsidR="005E729B" w:rsidRPr="00A00187">
              <w:rPr>
                <w:rFonts w:eastAsia="Times New Roman"/>
                <w:szCs w:val="24"/>
                <w:lang w:eastAsia="cs-CZ"/>
              </w:rPr>
              <w:t>,</w:t>
            </w:r>
            <w:r w:rsidRPr="00A00187">
              <w:rPr>
                <w:rFonts w:eastAsia="Times New Roman"/>
                <w:szCs w:val="24"/>
                <w:lang w:eastAsia="cs-CZ"/>
              </w:rPr>
              <w:t>4</w:t>
            </w:r>
          </w:p>
        </w:tc>
        <w:tc>
          <w:tcPr>
            <w:tcW w:w="1102" w:type="dxa"/>
            <w:tcBorders>
              <w:top w:val="nil"/>
              <w:left w:val="nil"/>
              <w:bottom w:val="single" w:sz="4" w:space="0" w:color="auto"/>
              <w:right w:val="nil"/>
            </w:tcBorders>
            <w:shd w:val="clear" w:color="auto" w:fill="auto"/>
            <w:noWrap/>
            <w:vAlign w:val="bottom"/>
            <w:hideMark/>
          </w:tcPr>
          <w:p w14:paraId="3749E676" w14:textId="5D4462E9"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70</w:t>
            </w:r>
            <w:r w:rsidR="005E729B" w:rsidRPr="00A00187">
              <w:rPr>
                <w:rFonts w:eastAsia="Times New Roman"/>
                <w:szCs w:val="24"/>
                <w:lang w:eastAsia="cs-CZ"/>
              </w:rPr>
              <w:t>,</w:t>
            </w:r>
            <w:r w:rsidRPr="00A00187">
              <w:rPr>
                <w:rFonts w:eastAsia="Times New Roman"/>
                <w:szCs w:val="24"/>
                <w:lang w:eastAsia="cs-CZ"/>
              </w:rPr>
              <w:t>31</w:t>
            </w:r>
          </w:p>
        </w:tc>
        <w:tc>
          <w:tcPr>
            <w:tcW w:w="953" w:type="dxa"/>
            <w:tcBorders>
              <w:top w:val="nil"/>
              <w:left w:val="nil"/>
              <w:bottom w:val="single" w:sz="4" w:space="0" w:color="auto"/>
              <w:right w:val="nil"/>
            </w:tcBorders>
            <w:shd w:val="clear" w:color="auto" w:fill="auto"/>
            <w:noWrap/>
            <w:vAlign w:val="center"/>
            <w:hideMark/>
          </w:tcPr>
          <w:p w14:paraId="291B1536" w14:textId="1BF6D576"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-41</w:t>
            </w:r>
            <w:r w:rsidR="00CB570A">
              <w:rPr>
                <w:rFonts w:eastAsia="Times New Roman"/>
                <w:sz w:val="20"/>
                <w:szCs w:val="20"/>
                <w:lang w:eastAsia="cs-CZ"/>
              </w:rPr>
              <w:t> %</w:t>
            </w:r>
          </w:p>
        </w:tc>
        <w:tc>
          <w:tcPr>
            <w:tcW w:w="1092" w:type="dxa"/>
            <w:tcBorders>
              <w:top w:val="nil"/>
              <w:left w:val="single" w:sz="4" w:space="0" w:color="auto"/>
              <w:bottom w:val="single" w:sz="4" w:space="0" w:color="auto"/>
              <w:right w:val="nil"/>
            </w:tcBorders>
            <w:shd w:val="clear" w:color="auto" w:fill="auto"/>
            <w:noWrap/>
            <w:vAlign w:val="bottom"/>
            <w:hideMark/>
          </w:tcPr>
          <w:p w14:paraId="0F097204" w14:textId="691DC9C6"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74</w:t>
            </w:r>
            <w:r w:rsidR="005E729B" w:rsidRPr="00A00187">
              <w:rPr>
                <w:rFonts w:eastAsia="Times New Roman"/>
                <w:szCs w:val="24"/>
                <w:lang w:eastAsia="cs-CZ"/>
              </w:rPr>
              <w:t>,</w:t>
            </w:r>
            <w:r w:rsidRPr="00A00187">
              <w:rPr>
                <w:rFonts w:eastAsia="Times New Roman"/>
                <w:szCs w:val="24"/>
                <w:lang w:eastAsia="cs-CZ"/>
              </w:rPr>
              <w:t>38</w:t>
            </w:r>
          </w:p>
        </w:tc>
        <w:tc>
          <w:tcPr>
            <w:tcW w:w="953" w:type="dxa"/>
            <w:tcBorders>
              <w:top w:val="nil"/>
              <w:left w:val="nil"/>
              <w:bottom w:val="single" w:sz="4" w:space="0" w:color="auto"/>
              <w:right w:val="single" w:sz="4" w:space="0" w:color="auto"/>
            </w:tcBorders>
            <w:shd w:val="clear" w:color="auto" w:fill="auto"/>
            <w:noWrap/>
            <w:vAlign w:val="center"/>
            <w:hideMark/>
          </w:tcPr>
          <w:p w14:paraId="7867BC2C" w14:textId="3677294E"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-49</w:t>
            </w:r>
            <w:r w:rsidR="00CB570A">
              <w:rPr>
                <w:rFonts w:eastAsia="Times New Roman"/>
                <w:sz w:val="20"/>
                <w:szCs w:val="20"/>
                <w:lang w:eastAsia="cs-CZ"/>
              </w:rPr>
              <w:t> %</w:t>
            </w:r>
          </w:p>
        </w:tc>
        <w:tc>
          <w:tcPr>
            <w:tcW w:w="1092" w:type="dxa"/>
            <w:tcBorders>
              <w:top w:val="nil"/>
              <w:left w:val="nil"/>
              <w:bottom w:val="single" w:sz="4" w:space="0" w:color="auto"/>
              <w:right w:val="nil"/>
            </w:tcBorders>
            <w:shd w:val="clear" w:color="auto" w:fill="auto"/>
            <w:noWrap/>
            <w:vAlign w:val="bottom"/>
            <w:hideMark/>
          </w:tcPr>
          <w:p w14:paraId="3EAAD115" w14:textId="48D45A33"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52</w:t>
            </w:r>
            <w:r w:rsidR="005E729B" w:rsidRPr="00A00187">
              <w:rPr>
                <w:rFonts w:eastAsia="Times New Roman"/>
                <w:szCs w:val="24"/>
                <w:lang w:eastAsia="cs-CZ"/>
              </w:rPr>
              <w:t>,</w:t>
            </w:r>
            <w:r w:rsidRPr="00A00187">
              <w:rPr>
                <w:rFonts w:eastAsia="Times New Roman"/>
                <w:szCs w:val="24"/>
                <w:lang w:eastAsia="cs-CZ"/>
              </w:rPr>
              <w:t>34</w:t>
            </w:r>
          </w:p>
        </w:tc>
        <w:tc>
          <w:tcPr>
            <w:tcW w:w="944" w:type="dxa"/>
            <w:tcBorders>
              <w:top w:val="nil"/>
              <w:left w:val="nil"/>
              <w:bottom w:val="single" w:sz="4" w:space="0" w:color="auto"/>
              <w:right w:val="nil"/>
            </w:tcBorders>
            <w:shd w:val="clear" w:color="auto" w:fill="auto"/>
            <w:noWrap/>
            <w:vAlign w:val="center"/>
            <w:hideMark/>
          </w:tcPr>
          <w:p w14:paraId="3A23D817" w14:textId="7FAD1B25"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-48</w:t>
            </w:r>
            <w:r w:rsidR="00CB570A">
              <w:rPr>
                <w:rFonts w:eastAsia="Times New Roman"/>
                <w:sz w:val="20"/>
                <w:szCs w:val="20"/>
                <w:lang w:eastAsia="cs-CZ"/>
              </w:rPr>
              <w:t> %</w:t>
            </w:r>
          </w:p>
        </w:tc>
      </w:tr>
      <w:tr w:rsidR="00AC1E67" w:rsidRPr="00A00187" w14:paraId="57869E62" w14:textId="77777777" w:rsidTr="00DE02E8">
        <w:trPr>
          <w:trHeight w:val="315"/>
        </w:trPr>
        <w:tc>
          <w:tcPr>
            <w:tcW w:w="1836" w:type="dxa"/>
            <w:tcBorders>
              <w:top w:val="nil"/>
              <w:left w:val="nil"/>
              <w:bottom w:val="single" w:sz="4" w:space="0" w:color="auto"/>
              <w:right w:val="nil"/>
            </w:tcBorders>
            <w:shd w:val="clear" w:color="auto" w:fill="auto"/>
            <w:noWrap/>
            <w:vAlign w:val="bottom"/>
            <w:hideMark/>
          </w:tcPr>
          <w:p w14:paraId="1C554CD6"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KS Plzeň</w:t>
            </w:r>
          </w:p>
        </w:tc>
        <w:tc>
          <w:tcPr>
            <w:tcW w:w="1028" w:type="dxa"/>
            <w:tcBorders>
              <w:top w:val="nil"/>
              <w:left w:val="nil"/>
              <w:bottom w:val="single" w:sz="4" w:space="0" w:color="auto"/>
              <w:right w:val="nil"/>
            </w:tcBorders>
            <w:shd w:val="clear" w:color="auto" w:fill="auto"/>
            <w:noWrap/>
            <w:vAlign w:val="bottom"/>
            <w:hideMark/>
          </w:tcPr>
          <w:p w14:paraId="0F7162CB" w14:textId="189E0A1D"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4</w:t>
            </w:r>
            <w:r w:rsidR="005E729B" w:rsidRPr="00A00187">
              <w:rPr>
                <w:rFonts w:eastAsia="Times New Roman"/>
                <w:szCs w:val="24"/>
                <w:lang w:eastAsia="cs-CZ"/>
              </w:rPr>
              <w:t>,</w:t>
            </w:r>
            <w:r w:rsidRPr="00A00187">
              <w:rPr>
                <w:rFonts w:eastAsia="Times New Roman"/>
                <w:szCs w:val="24"/>
                <w:lang w:eastAsia="cs-CZ"/>
              </w:rPr>
              <w:t>25</w:t>
            </w:r>
          </w:p>
        </w:tc>
        <w:tc>
          <w:tcPr>
            <w:tcW w:w="1102" w:type="dxa"/>
            <w:tcBorders>
              <w:top w:val="nil"/>
              <w:left w:val="nil"/>
              <w:bottom w:val="single" w:sz="4" w:space="0" w:color="auto"/>
              <w:right w:val="nil"/>
            </w:tcBorders>
            <w:shd w:val="clear" w:color="auto" w:fill="auto"/>
            <w:noWrap/>
            <w:vAlign w:val="bottom"/>
            <w:hideMark/>
          </w:tcPr>
          <w:p w14:paraId="0BE7D04E" w14:textId="72F3D2ED"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200</w:t>
            </w:r>
            <w:r w:rsidR="005E729B" w:rsidRPr="00A00187">
              <w:rPr>
                <w:rFonts w:eastAsia="Times New Roman"/>
                <w:szCs w:val="24"/>
                <w:lang w:eastAsia="cs-CZ"/>
              </w:rPr>
              <w:t>,</w:t>
            </w:r>
            <w:r w:rsidRPr="00A00187">
              <w:rPr>
                <w:rFonts w:eastAsia="Times New Roman"/>
                <w:szCs w:val="24"/>
                <w:lang w:eastAsia="cs-CZ"/>
              </w:rPr>
              <w:t>24</w:t>
            </w:r>
          </w:p>
        </w:tc>
        <w:tc>
          <w:tcPr>
            <w:tcW w:w="953" w:type="dxa"/>
            <w:tcBorders>
              <w:top w:val="nil"/>
              <w:left w:val="nil"/>
              <w:bottom w:val="single" w:sz="4" w:space="0" w:color="auto"/>
              <w:right w:val="nil"/>
            </w:tcBorders>
            <w:shd w:val="clear" w:color="auto" w:fill="auto"/>
            <w:noWrap/>
            <w:vAlign w:val="center"/>
            <w:hideMark/>
          </w:tcPr>
          <w:p w14:paraId="572EE98C" w14:textId="6767D8B2"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2" w:type="dxa"/>
            <w:tcBorders>
              <w:top w:val="nil"/>
              <w:left w:val="single" w:sz="4" w:space="0" w:color="auto"/>
              <w:bottom w:val="single" w:sz="4" w:space="0" w:color="auto"/>
              <w:right w:val="nil"/>
            </w:tcBorders>
            <w:shd w:val="clear" w:color="auto" w:fill="auto"/>
            <w:noWrap/>
            <w:vAlign w:val="bottom"/>
            <w:hideMark/>
          </w:tcPr>
          <w:p w14:paraId="3DC275F4" w14:textId="203A8F1E"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190</w:t>
            </w:r>
            <w:r w:rsidR="005E729B" w:rsidRPr="00A00187">
              <w:rPr>
                <w:rFonts w:eastAsia="Times New Roman"/>
                <w:szCs w:val="24"/>
                <w:lang w:eastAsia="cs-CZ"/>
              </w:rPr>
              <w:t>,</w:t>
            </w:r>
            <w:r w:rsidRPr="00A00187">
              <w:rPr>
                <w:rFonts w:eastAsia="Times New Roman"/>
                <w:szCs w:val="24"/>
                <w:lang w:eastAsia="cs-CZ"/>
              </w:rPr>
              <w:t>59</w:t>
            </w:r>
          </w:p>
        </w:tc>
        <w:tc>
          <w:tcPr>
            <w:tcW w:w="953" w:type="dxa"/>
            <w:tcBorders>
              <w:top w:val="nil"/>
              <w:left w:val="nil"/>
              <w:bottom w:val="single" w:sz="4" w:space="0" w:color="auto"/>
              <w:right w:val="single" w:sz="4" w:space="0" w:color="auto"/>
            </w:tcBorders>
            <w:shd w:val="clear" w:color="auto" w:fill="auto"/>
            <w:noWrap/>
            <w:vAlign w:val="center"/>
            <w:hideMark/>
          </w:tcPr>
          <w:p w14:paraId="6833E02A" w14:textId="14785CBF"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-40</w:t>
            </w:r>
            <w:r w:rsidR="00CB570A">
              <w:rPr>
                <w:rFonts w:eastAsia="Times New Roman"/>
                <w:sz w:val="20"/>
                <w:szCs w:val="20"/>
                <w:lang w:eastAsia="cs-CZ"/>
              </w:rPr>
              <w:t> %</w:t>
            </w:r>
          </w:p>
        </w:tc>
        <w:tc>
          <w:tcPr>
            <w:tcW w:w="1092" w:type="dxa"/>
            <w:tcBorders>
              <w:top w:val="nil"/>
              <w:left w:val="nil"/>
              <w:bottom w:val="single" w:sz="4" w:space="0" w:color="auto"/>
              <w:right w:val="nil"/>
            </w:tcBorders>
            <w:shd w:val="clear" w:color="auto" w:fill="auto"/>
            <w:noWrap/>
            <w:vAlign w:val="bottom"/>
            <w:hideMark/>
          </w:tcPr>
          <w:p w14:paraId="292B92E3" w14:textId="3908BD66"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159</w:t>
            </w:r>
            <w:r w:rsidR="005E729B" w:rsidRPr="00A00187">
              <w:rPr>
                <w:rFonts w:eastAsia="Times New Roman"/>
                <w:szCs w:val="24"/>
                <w:lang w:eastAsia="cs-CZ"/>
              </w:rPr>
              <w:t>,</w:t>
            </w:r>
            <w:r w:rsidRPr="00A00187">
              <w:rPr>
                <w:rFonts w:eastAsia="Times New Roman"/>
                <w:szCs w:val="24"/>
                <w:lang w:eastAsia="cs-CZ"/>
              </w:rPr>
              <w:t>53</w:t>
            </w:r>
          </w:p>
        </w:tc>
        <w:tc>
          <w:tcPr>
            <w:tcW w:w="944" w:type="dxa"/>
            <w:tcBorders>
              <w:top w:val="nil"/>
              <w:left w:val="nil"/>
              <w:bottom w:val="single" w:sz="4" w:space="0" w:color="auto"/>
              <w:right w:val="nil"/>
            </w:tcBorders>
            <w:shd w:val="clear" w:color="auto" w:fill="auto"/>
            <w:noWrap/>
            <w:vAlign w:val="center"/>
            <w:hideMark/>
          </w:tcPr>
          <w:p w14:paraId="07AEC9F6" w14:textId="2EF74C42"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r>
      <w:tr w:rsidR="00AC1E67" w:rsidRPr="00A00187" w14:paraId="35F6CD58" w14:textId="77777777" w:rsidTr="00DE02E8">
        <w:trPr>
          <w:trHeight w:val="315"/>
        </w:trPr>
        <w:tc>
          <w:tcPr>
            <w:tcW w:w="1836" w:type="dxa"/>
            <w:tcBorders>
              <w:top w:val="nil"/>
              <w:left w:val="nil"/>
              <w:bottom w:val="single" w:sz="4" w:space="0" w:color="auto"/>
              <w:right w:val="nil"/>
            </w:tcBorders>
            <w:shd w:val="clear" w:color="auto" w:fill="auto"/>
            <w:noWrap/>
            <w:vAlign w:val="bottom"/>
            <w:hideMark/>
          </w:tcPr>
          <w:p w14:paraId="62770265"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KS Ústí n. Labem</w:t>
            </w:r>
          </w:p>
        </w:tc>
        <w:tc>
          <w:tcPr>
            <w:tcW w:w="1028" w:type="dxa"/>
            <w:tcBorders>
              <w:top w:val="nil"/>
              <w:left w:val="nil"/>
              <w:bottom w:val="single" w:sz="4" w:space="0" w:color="auto"/>
              <w:right w:val="nil"/>
            </w:tcBorders>
            <w:shd w:val="clear" w:color="auto" w:fill="auto"/>
            <w:noWrap/>
            <w:vAlign w:val="bottom"/>
            <w:hideMark/>
          </w:tcPr>
          <w:p w14:paraId="0AA3D302" w14:textId="611DBEB6"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6</w:t>
            </w:r>
            <w:r w:rsidR="005E729B" w:rsidRPr="00A00187">
              <w:rPr>
                <w:rFonts w:eastAsia="Times New Roman"/>
                <w:szCs w:val="24"/>
                <w:lang w:eastAsia="cs-CZ"/>
              </w:rPr>
              <w:t>,</w:t>
            </w:r>
            <w:r w:rsidRPr="00A00187">
              <w:rPr>
                <w:rFonts w:eastAsia="Times New Roman"/>
                <w:szCs w:val="24"/>
                <w:lang w:eastAsia="cs-CZ"/>
              </w:rPr>
              <w:t>53</w:t>
            </w:r>
          </w:p>
        </w:tc>
        <w:tc>
          <w:tcPr>
            <w:tcW w:w="1102" w:type="dxa"/>
            <w:tcBorders>
              <w:top w:val="nil"/>
              <w:left w:val="nil"/>
              <w:bottom w:val="single" w:sz="4" w:space="0" w:color="auto"/>
              <w:right w:val="nil"/>
            </w:tcBorders>
            <w:shd w:val="clear" w:color="auto" w:fill="auto"/>
            <w:noWrap/>
            <w:vAlign w:val="bottom"/>
            <w:hideMark/>
          </w:tcPr>
          <w:p w14:paraId="49E29FEF" w14:textId="68ADCF41"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143</w:t>
            </w:r>
            <w:r w:rsidR="005E729B" w:rsidRPr="00A00187">
              <w:rPr>
                <w:rFonts w:eastAsia="Times New Roman"/>
                <w:szCs w:val="24"/>
                <w:lang w:eastAsia="cs-CZ"/>
              </w:rPr>
              <w:t>,</w:t>
            </w:r>
            <w:r w:rsidRPr="00A00187">
              <w:rPr>
                <w:rFonts w:eastAsia="Times New Roman"/>
                <w:szCs w:val="24"/>
                <w:lang w:eastAsia="cs-CZ"/>
              </w:rPr>
              <w:t>95</w:t>
            </w:r>
          </w:p>
        </w:tc>
        <w:tc>
          <w:tcPr>
            <w:tcW w:w="953" w:type="dxa"/>
            <w:tcBorders>
              <w:top w:val="nil"/>
              <w:left w:val="nil"/>
              <w:bottom w:val="single" w:sz="4" w:space="0" w:color="auto"/>
              <w:right w:val="nil"/>
            </w:tcBorders>
            <w:shd w:val="clear" w:color="auto" w:fill="auto"/>
            <w:noWrap/>
            <w:vAlign w:val="center"/>
            <w:hideMark/>
          </w:tcPr>
          <w:p w14:paraId="161E741C" w14:textId="15F113C9"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2" w:type="dxa"/>
            <w:tcBorders>
              <w:top w:val="nil"/>
              <w:left w:val="single" w:sz="4" w:space="0" w:color="auto"/>
              <w:bottom w:val="single" w:sz="4" w:space="0" w:color="auto"/>
              <w:right w:val="nil"/>
            </w:tcBorders>
            <w:shd w:val="clear" w:color="auto" w:fill="auto"/>
            <w:noWrap/>
            <w:vAlign w:val="bottom"/>
            <w:hideMark/>
          </w:tcPr>
          <w:p w14:paraId="2959194F" w14:textId="445D23E5"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215</w:t>
            </w:r>
            <w:r w:rsidR="005E729B" w:rsidRPr="00A00187">
              <w:rPr>
                <w:rFonts w:eastAsia="Times New Roman"/>
                <w:szCs w:val="24"/>
                <w:lang w:eastAsia="cs-CZ"/>
              </w:rPr>
              <w:t>,</w:t>
            </w:r>
            <w:r w:rsidRPr="00A00187">
              <w:rPr>
                <w:rFonts w:eastAsia="Times New Roman"/>
                <w:szCs w:val="24"/>
                <w:lang w:eastAsia="cs-CZ"/>
              </w:rPr>
              <w:t>47</w:t>
            </w:r>
          </w:p>
        </w:tc>
        <w:tc>
          <w:tcPr>
            <w:tcW w:w="953" w:type="dxa"/>
            <w:tcBorders>
              <w:top w:val="nil"/>
              <w:left w:val="nil"/>
              <w:bottom w:val="single" w:sz="4" w:space="0" w:color="auto"/>
              <w:right w:val="single" w:sz="4" w:space="0" w:color="auto"/>
            </w:tcBorders>
            <w:shd w:val="clear" w:color="auto" w:fill="auto"/>
            <w:noWrap/>
            <w:vAlign w:val="center"/>
            <w:hideMark/>
          </w:tcPr>
          <w:p w14:paraId="5A2CBBF2" w14:textId="688AC2D5"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c>
          <w:tcPr>
            <w:tcW w:w="1092" w:type="dxa"/>
            <w:tcBorders>
              <w:top w:val="nil"/>
              <w:left w:val="nil"/>
              <w:bottom w:val="single" w:sz="4" w:space="0" w:color="auto"/>
              <w:right w:val="nil"/>
            </w:tcBorders>
            <w:shd w:val="clear" w:color="auto" w:fill="auto"/>
            <w:noWrap/>
            <w:vAlign w:val="bottom"/>
            <w:hideMark/>
          </w:tcPr>
          <w:p w14:paraId="0133215D" w14:textId="05CCBE23"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198</w:t>
            </w:r>
            <w:r w:rsidR="005E729B" w:rsidRPr="00A00187">
              <w:rPr>
                <w:rFonts w:eastAsia="Times New Roman"/>
                <w:szCs w:val="24"/>
                <w:lang w:eastAsia="cs-CZ"/>
              </w:rPr>
              <w:t>,</w:t>
            </w:r>
            <w:r w:rsidRPr="00A00187">
              <w:rPr>
                <w:rFonts w:eastAsia="Times New Roman"/>
                <w:szCs w:val="24"/>
                <w:lang w:eastAsia="cs-CZ"/>
              </w:rPr>
              <w:t>93</w:t>
            </w:r>
          </w:p>
        </w:tc>
        <w:tc>
          <w:tcPr>
            <w:tcW w:w="944" w:type="dxa"/>
            <w:tcBorders>
              <w:top w:val="nil"/>
              <w:left w:val="nil"/>
              <w:bottom w:val="single" w:sz="4" w:space="0" w:color="auto"/>
              <w:right w:val="nil"/>
            </w:tcBorders>
            <w:shd w:val="clear" w:color="auto" w:fill="auto"/>
            <w:noWrap/>
            <w:vAlign w:val="center"/>
            <w:hideMark/>
          </w:tcPr>
          <w:p w14:paraId="21939639" w14:textId="60355684"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r>
      <w:tr w:rsidR="00AC1E67" w:rsidRPr="00A00187" w14:paraId="4C72A8EC" w14:textId="77777777" w:rsidTr="00DE02E8">
        <w:trPr>
          <w:trHeight w:val="315"/>
        </w:trPr>
        <w:tc>
          <w:tcPr>
            <w:tcW w:w="1836" w:type="dxa"/>
            <w:tcBorders>
              <w:top w:val="nil"/>
              <w:left w:val="nil"/>
              <w:bottom w:val="single" w:sz="4" w:space="0" w:color="auto"/>
              <w:right w:val="nil"/>
            </w:tcBorders>
            <w:shd w:val="clear" w:color="auto" w:fill="auto"/>
            <w:noWrap/>
            <w:vAlign w:val="bottom"/>
            <w:hideMark/>
          </w:tcPr>
          <w:p w14:paraId="583076A1"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KS Hr. Králové</w:t>
            </w:r>
          </w:p>
        </w:tc>
        <w:tc>
          <w:tcPr>
            <w:tcW w:w="1028" w:type="dxa"/>
            <w:tcBorders>
              <w:top w:val="nil"/>
              <w:left w:val="nil"/>
              <w:bottom w:val="single" w:sz="4" w:space="0" w:color="auto"/>
              <w:right w:val="nil"/>
            </w:tcBorders>
            <w:shd w:val="clear" w:color="auto" w:fill="auto"/>
            <w:noWrap/>
            <w:vAlign w:val="bottom"/>
            <w:hideMark/>
          </w:tcPr>
          <w:p w14:paraId="5643F5EC" w14:textId="77777777"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6</w:t>
            </w:r>
          </w:p>
        </w:tc>
        <w:tc>
          <w:tcPr>
            <w:tcW w:w="1102" w:type="dxa"/>
            <w:tcBorders>
              <w:top w:val="nil"/>
              <w:left w:val="nil"/>
              <w:bottom w:val="single" w:sz="4" w:space="0" w:color="auto"/>
              <w:right w:val="nil"/>
            </w:tcBorders>
            <w:shd w:val="clear" w:color="auto" w:fill="auto"/>
            <w:noWrap/>
            <w:vAlign w:val="bottom"/>
            <w:hideMark/>
          </w:tcPr>
          <w:p w14:paraId="083E4D1C" w14:textId="13B17449"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314</w:t>
            </w:r>
            <w:r w:rsidR="005E729B" w:rsidRPr="00A00187">
              <w:rPr>
                <w:rFonts w:eastAsia="Times New Roman"/>
                <w:szCs w:val="24"/>
                <w:lang w:eastAsia="cs-CZ"/>
              </w:rPr>
              <w:t>,</w:t>
            </w:r>
            <w:r w:rsidRPr="00A00187">
              <w:rPr>
                <w:rFonts w:eastAsia="Times New Roman"/>
                <w:szCs w:val="24"/>
                <w:lang w:eastAsia="cs-CZ"/>
              </w:rPr>
              <w:t>33</w:t>
            </w:r>
          </w:p>
        </w:tc>
        <w:tc>
          <w:tcPr>
            <w:tcW w:w="953" w:type="dxa"/>
            <w:tcBorders>
              <w:top w:val="nil"/>
              <w:left w:val="nil"/>
              <w:bottom w:val="single" w:sz="4" w:space="0" w:color="auto"/>
              <w:right w:val="nil"/>
            </w:tcBorders>
            <w:shd w:val="clear" w:color="auto" w:fill="auto"/>
            <w:noWrap/>
            <w:vAlign w:val="center"/>
            <w:hideMark/>
          </w:tcPr>
          <w:p w14:paraId="5920CDA3" w14:textId="5C90C7CE"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+42</w:t>
            </w:r>
            <w:r w:rsidR="00CB570A">
              <w:rPr>
                <w:rFonts w:eastAsia="Times New Roman"/>
                <w:sz w:val="20"/>
                <w:szCs w:val="20"/>
                <w:lang w:eastAsia="cs-CZ"/>
              </w:rPr>
              <w:t> %</w:t>
            </w:r>
          </w:p>
        </w:tc>
        <w:tc>
          <w:tcPr>
            <w:tcW w:w="1092" w:type="dxa"/>
            <w:tcBorders>
              <w:top w:val="nil"/>
              <w:left w:val="single" w:sz="4" w:space="0" w:color="auto"/>
              <w:bottom w:val="single" w:sz="4" w:space="0" w:color="auto"/>
              <w:right w:val="nil"/>
            </w:tcBorders>
            <w:shd w:val="clear" w:color="auto" w:fill="auto"/>
            <w:noWrap/>
            <w:vAlign w:val="bottom"/>
            <w:hideMark/>
          </w:tcPr>
          <w:p w14:paraId="5A7DD555" w14:textId="7A21513C"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301</w:t>
            </w:r>
            <w:r w:rsidR="005E729B" w:rsidRPr="00A00187">
              <w:rPr>
                <w:rFonts w:eastAsia="Times New Roman"/>
                <w:szCs w:val="24"/>
                <w:lang w:eastAsia="cs-CZ"/>
              </w:rPr>
              <w:t>,</w:t>
            </w:r>
            <w:r w:rsidRPr="00A00187">
              <w:rPr>
                <w:rFonts w:eastAsia="Times New Roman"/>
                <w:szCs w:val="24"/>
                <w:lang w:eastAsia="cs-CZ"/>
              </w:rPr>
              <w:t>33</w:t>
            </w:r>
          </w:p>
        </w:tc>
        <w:tc>
          <w:tcPr>
            <w:tcW w:w="953" w:type="dxa"/>
            <w:tcBorders>
              <w:top w:val="nil"/>
              <w:left w:val="nil"/>
              <w:bottom w:val="single" w:sz="4" w:space="0" w:color="auto"/>
              <w:right w:val="single" w:sz="4" w:space="0" w:color="auto"/>
            </w:tcBorders>
            <w:shd w:val="clear" w:color="auto" w:fill="auto"/>
            <w:noWrap/>
            <w:vAlign w:val="center"/>
            <w:hideMark/>
          </w:tcPr>
          <w:p w14:paraId="286E0608" w14:textId="2E614F1B"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+47</w:t>
            </w:r>
            <w:r w:rsidR="00CB570A">
              <w:rPr>
                <w:rFonts w:eastAsia="Times New Roman"/>
                <w:sz w:val="20"/>
                <w:szCs w:val="20"/>
                <w:lang w:eastAsia="cs-CZ"/>
              </w:rPr>
              <w:t> %</w:t>
            </w:r>
          </w:p>
        </w:tc>
        <w:tc>
          <w:tcPr>
            <w:tcW w:w="1092" w:type="dxa"/>
            <w:tcBorders>
              <w:top w:val="nil"/>
              <w:left w:val="nil"/>
              <w:bottom w:val="single" w:sz="4" w:space="0" w:color="auto"/>
              <w:right w:val="nil"/>
            </w:tcBorders>
            <w:shd w:val="clear" w:color="auto" w:fill="auto"/>
            <w:noWrap/>
            <w:vAlign w:val="bottom"/>
            <w:hideMark/>
          </w:tcPr>
          <w:p w14:paraId="1FEA26D1" w14:textId="23405EE7"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187</w:t>
            </w:r>
            <w:r w:rsidR="005E729B" w:rsidRPr="00A00187">
              <w:rPr>
                <w:rFonts w:eastAsia="Times New Roman"/>
                <w:szCs w:val="24"/>
                <w:lang w:eastAsia="cs-CZ"/>
              </w:rPr>
              <w:t>,</w:t>
            </w:r>
            <w:r w:rsidRPr="00A00187">
              <w:rPr>
                <w:rFonts w:eastAsia="Times New Roman"/>
                <w:szCs w:val="24"/>
                <w:lang w:eastAsia="cs-CZ"/>
              </w:rPr>
              <w:t>17</w:t>
            </w:r>
          </w:p>
        </w:tc>
        <w:tc>
          <w:tcPr>
            <w:tcW w:w="944" w:type="dxa"/>
            <w:tcBorders>
              <w:top w:val="nil"/>
              <w:left w:val="nil"/>
              <w:bottom w:val="single" w:sz="4" w:space="0" w:color="auto"/>
              <w:right w:val="nil"/>
            </w:tcBorders>
            <w:shd w:val="clear" w:color="auto" w:fill="auto"/>
            <w:noWrap/>
            <w:vAlign w:val="center"/>
            <w:hideMark/>
          </w:tcPr>
          <w:p w14:paraId="74DFE575" w14:textId="7944FE49"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+65</w:t>
            </w:r>
            <w:r w:rsidR="00CB570A">
              <w:rPr>
                <w:rFonts w:eastAsia="Times New Roman"/>
                <w:sz w:val="20"/>
                <w:szCs w:val="20"/>
                <w:lang w:eastAsia="cs-CZ"/>
              </w:rPr>
              <w:t> %</w:t>
            </w:r>
          </w:p>
        </w:tc>
      </w:tr>
      <w:tr w:rsidR="00AC1E67" w:rsidRPr="00A00187" w14:paraId="6B43C590" w14:textId="77777777" w:rsidTr="00DE02E8">
        <w:trPr>
          <w:trHeight w:val="315"/>
        </w:trPr>
        <w:tc>
          <w:tcPr>
            <w:tcW w:w="1836" w:type="dxa"/>
            <w:tcBorders>
              <w:top w:val="nil"/>
              <w:left w:val="nil"/>
              <w:bottom w:val="single" w:sz="4" w:space="0" w:color="auto"/>
              <w:right w:val="nil"/>
            </w:tcBorders>
            <w:shd w:val="clear" w:color="auto" w:fill="auto"/>
            <w:noWrap/>
            <w:vAlign w:val="bottom"/>
            <w:hideMark/>
          </w:tcPr>
          <w:p w14:paraId="65C74378"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KS Brno</w:t>
            </w:r>
          </w:p>
        </w:tc>
        <w:tc>
          <w:tcPr>
            <w:tcW w:w="1028" w:type="dxa"/>
            <w:tcBorders>
              <w:top w:val="nil"/>
              <w:left w:val="nil"/>
              <w:bottom w:val="single" w:sz="4" w:space="0" w:color="auto"/>
              <w:right w:val="nil"/>
            </w:tcBorders>
            <w:shd w:val="clear" w:color="auto" w:fill="auto"/>
            <w:noWrap/>
            <w:vAlign w:val="bottom"/>
            <w:hideMark/>
          </w:tcPr>
          <w:p w14:paraId="2874355A" w14:textId="77777777"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15</w:t>
            </w:r>
          </w:p>
        </w:tc>
        <w:tc>
          <w:tcPr>
            <w:tcW w:w="1102" w:type="dxa"/>
            <w:tcBorders>
              <w:top w:val="nil"/>
              <w:left w:val="nil"/>
              <w:bottom w:val="single" w:sz="4" w:space="0" w:color="auto"/>
              <w:right w:val="nil"/>
            </w:tcBorders>
            <w:shd w:val="clear" w:color="auto" w:fill="auto"/>
            <w:noWrap/>
            <w:vAlign w:val="bottom"/>
            <w:hideMark/>
          </w:tcPr>
          <w:p w14:paraId="0D2F809C" w14:textId="5841D858"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211</w:t>
            </w:r>
            <w:r w:rsidR="005E729B" w:rsidRPr="00A00187">
              <w:rPr>
                <w:rFonts w:eastAsia="Times New Roman"/>
                <w:szCs w:val="24"/>
                <w:lang w:eastAsia="cs-CZ"/>
              </w:rPr>
              <w:t>,</w:t>
            </w:r>
            <w:r w:rsidRPr="00A00187">
              <w:rPr>
                <w:rFonts w:eastAsia="Times New Roman"/>
                <w:szCs w:val="24"/>
                <w:lang w:eastAsia="cs-CZ"/>
              </w:rPr>
              <w:t>67</w:t>
            </w:r>
          </w:p>
        </w:tc>
        <w:tc>
          <w:tcPr>
            <w:tcW w:w="953" w:type="dxa"/>
            <w:tcBorders>
              <w:top w:val="nil"/>
              <w:left w:val="nil"/>
              <w:bottom w:val="single" w:sz="4" w:space="0" w:color="auto"/>
              <w:right w:val="nil"/>
            </w:tcBorders>
            <w:shd w:val="clear" w:color="auto" w:fill="auto"/>
            <w:noWrap/>
            <w:vAlign w:val="center"/>
            <w:hideMark/>
          </w:tcPr>
          <w:p w14:paraId="72659C03" w14:textId="394E161C"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1092" w:type="dxa"/>
            <w:tcBorders>
              <w:top w:val="nil"/>
              <w:left w:val="single" w:sz="4" w:space="0" w:color="auto"/>
              <w:bottom w:val="single" w:sz="4" w:space="0" w:color="auto"/>
              <w:right w:val="nil"/>
            </w:tcBorders>
            <w:shd w:val="clear" w:color="auto" w:fill="auto"/>
            <w:noWrap/>
            <w:vAlign w:val="bottom"/>
            <w:hideMark/>
          </w:tcPr>
          <w:p w14:paraId="3F1F19E6" w14:textId="605E3CAA"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232</w:t>
            </w:r>
            <w:r w:rsidR="005E729B" w:rsidRPr="00A00187">
              <w:rPr>
                <w:rFonts w:eastAsia="Times New Roman"/>
                <w:szCs w:val="24"/>
                <w:lang w:eastAsia="cs-CZ"/>
              </w:rPr>
              <w:t>,</w:t>
            </w:r>
            <w:r w:rsidRPr="00A00187">
              <w:rPr>
                <w:rFonts w:eastAsia="Times New Roman"/>
                <w:szCs w:val="24"/>
                <w:lang w:eastAsia="cs-CZ"/>
              </w:rPr>
              <w:t>07</w:t>
            </w:r>
          </w:p>
        </w:tc>
        <w:tc>
          <w:tcPr>
            <w:tcW w:w="953" w:type="dxa"/>
            <w:tcBorders>
              <w:top w:val="nil"/>
              <w:left w:val="nil"/>
              <w:bottom w:val="single" w:sz="4" w:space="0" w:color="auto"/>
              <w:right w:val="single" w:sz="4" w:space="0" w:color="auto"/>
            </w:tcBorders>
            <w:shd w:val="clear" w:color="auto" w:fill="auto"/>
            <w:noWrap/>
            <w:vAlign w:val="center"/>
            <w:hideMark/>
          </w:tcPr>
          <w:p w14:paraId="27315B4E" w14:textId="66247D99"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2" w:type="dxa"/>
            <w:tcBorders>
              <w:top w:val="nil"/>
              <w:left w:val="nil"/>
              <w:bottom w:val="single" w:sz="4" w:space="0" w:color="auto"/>
              <w:right w:val="nil"/>
            </w:tcBorders>
            <w:shd w:val="clear" w:color="auto" w:fill="auto"/>
            <w:noWrap/>
            <w:vAlign w:val="bottom"/>
            <w:hideMark/>
          </w:tcPr>
          <w:p w14:paraId="2B889581" w14:textId="2A5FEE99"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189</w:t>
            </w:r>
            <w:r w:rsidR="005E729B" w:rsidRPr="00A00187">
              <w:rPr>
                <w:rFonts w:eastAsia="Times New Roman"/>
                <w:szCs w:val="24"/>
                <w:lang w:eastAsia="cs-CZ"/>
              </w:rPr>
              <w:t>,</w:t>
            </w:r>
            <w:r w:rsidRPr="00A00187">
              <w:rPr>
                <w:rFonts w:eastAsia="Times New Roman"/>
                <w:szCs w:val="24"/>
                <w:lang w:eastAsia="cs-CZ"/>
              </w:rPr>
              <w:t>13</w:t>
            </w:r>
          </w:p>
        </w:tc>
        <w:tc>
          <w:tcPr>
            <w:tcW w:w="944" w:type="dxa"/>
            <w:tcBorders>
              <w:top w:val="nil"/>
              <w:left w:val="nil"/>
              <w:bottom w:val="single" w:sz="4" w:space="0" w:color="auto"/>
              <w:right w:val="nil"/>
            </w:tcBorders>
            <w:shd w:val="clear" w:color="auto" w:fill="auto"/>
            <w:noWrap/>
            <w:vAlign w:val="center"/>
            <w:hideMark/>
          </w:tcPr>
          <w:p w14:paraId="31DC4B5C" w14:textId="66DC2BC8"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r>
      <w:tr w:rsidR="00AC1E67" w:rsidRPr="00A00187" w14:paraId="57F55A4E" w14:textId="77777777" w:rsidTr="00DE02E8">
        <w:trPr>
          <w:trHeight w:val="330"/>
        </w:trPr>
        <w:tc>
          <w:tcPr>
            <w:tcW w:w="1836" w:type="dxa"/>
            <w:tcBorders>
              <w:top w:val="nil"/>
              <w:left w:val="nil"/>
              <w:bottom w:val="double" w:sz="6" w:space="0" w:color="auto"/>
              <w:right w:val="nil"/>
            </w:tcBorders>
            <w:shd w:val="clear" w:color="auto" w:fill="auto"/>
            <w:noWrap/>
            <w:vAlign w:val="bottom"/>
            <w:hideMark/>
          </w:tcPr>
          <w:p w14:paraId="21FF078C" w14:textId="77777777" w:rsidR="00DE02E8" w:rsidRPr="00A00187" w:rsidRDefault="00DE02E8" w:rsidP="00DE02E8">
            <w:pPr>
              <w:spacing w:line="240" w:lineRule="auto"/>
              <w:jc w:val="left"/>
              <w:rPr>
                <w:rFonts w:eastAsia="Times New Roman"/>
                <w:szCs w:val="24"/>
                <w:lang w:eastAsia="cs-CZ"/>
              </w:rPr>
            </w:pPr>
            <w:r w:rsidRPr="00A00187">
              <w:rPr>
                <w:rFonts w:eastAsia="Times New Roman"/>
                <w:szCs w:val="24"/>
                <w:lang w:eastAsia="cs-CZ"/>
              </w:rPr>
              <w:t>KS Ostrava</w:t>
            </w:r>
          </w:p>
        </w:tc>
        <w:tc>
          <w:tcPr>
            <w:tcW w:w="1028" w:type="dxa"/>
            <w:tcBorders>
              <w:top w:val="nil"/>
              <w:left w:val="nil"/>
              <w:bottom w:val="double" w:sz="6" w:space="0" w:color="auto"/>
              <w:right w:val="nil"/>
            </w:tcBorders>
            <w:shd w:val="clear" w:color="auto" w:fill="auto"/>
            <w:noWrap/>
            <w:vAlign w:val="bottom"/>
            <w:hideMark/>
          </w:tcPr>
          <w:p w14:paraId="4FD13E6E" w14:textId="6EBA0068"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14</w:t>
            </w:r>
            <w:r w:rsidR="005E729B" w:rsidRPr="00A00187">
              <w:rPr>
                <w:rFonts w:eastAsia="Times New Roman"/>
                <w:szCs w:val="24"/>
                <w:lang w:eastAsia="cs-CZ"/>
              </w:rPr>
              <w:t>,</w:t>
            </w:r>
            <w:r w:rsidRPr="00A00187">
              <w:rPr>
                <w:rFonts w:eastAsia="Times New Roman"/>
                <w:szCs w:val="24"/>
                <w:lang w:eastAsia="cs-CZ"/>
              </w:rPr>
              <w:t>7</w:t>
            </w:r>
          </w:p>
        </w:tc>
        <w:tc>
          <w:tcPr>
            <w:tcW w:w="1102" w:type="dxa"/>
            <w:tcBorders>
              <w:top w:val="nil"/>
              <w:left w:val="nil"/>
              <w:bottom w:val="double" w:sz="6" w:space="0" w:color="auto"/>
              <w:right w:val="nil"/>
            </w:tcBorders>
            <w:shd w:val="clear" w:color="auto" w:fill="auto"/>
            <w:noWrap/>
            <w:vAlign w:val="bottom"/>
            <w:hideMark/>
          </w:tcPr>
          <w:p w14:paraId="2954E11F" w14:textId="72E54B80"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176</w:t>
            </w:r>
            <w:r w:rsidR="005E729B" w:rsidRPr="00A00187">
              <w:rPr>
                <w:rFonts w:eastAsia="Times New Roman"/>
                <w:szCs w:val="24"/>
                <w:lang w:eastAsia="cs-CZ"/>
              </w:rPr>
              <w:t>,</w:t>
            </w:r>
            <w:r w:rsidRPr="00A00187">
              <w:rPr>
                <w:rFonts w:eastAsia="Times New Roman"/>
                <w:szCs w:val="24"/>
                <w:lang w:eastAsia="cs-CZ"/>
              </w:rPr>
              <w:t>05</w:t>
            </w:r>
          </w:p>
        </w:tc>
        <w:tc>
          <w:tcPr>
            <w:tcW w:w="953" w:type="dxa"/>
            <w:tcBorders>
              <w:top w:val="nil"/>
              <w:left w:val="nil"/>
              <w:bottom w:val="double" w:sz="6" w:space="0" w:color="auto"/>
              <w:right w:val="nil"/>
            </w:tcBorders>
            <w:shd w:val="clear" w:color="auto" w:fill="auto"/>
            <w:noWrap/>
            <w:vAlign w:val="center"/>
            <w:hideMark/>
          </w:tcPr>
          <w:p w14:paraId="384D2FF7" w14:textId="03B2F5B6"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-38</w:t>
            </w:r>
            <w:r w:rsidR="00CB570A">
              <w:rPr>
                <w:rFonts w:eastAsia="Times New Roman"/>
                <w:sz w:val="20"/>
                <w:szCs w:val="20"/>
                <w:lang w:eastAsia="cs-CZ"/>
              </w:rPr>
              <w:t> %</w:t>
            </w:r>
          </w:p>
        </w:tc>
        <w:tc>
          <w:tcPr>
            <w:tcW w:w="1092" w:type="dxa"/>
            <w:tcBorders>
              <w:top w:val="nil"/>
              <w:left w:val="single" w:sz="4" w:space="0" w:color="auto"/>
              <w:bottom w:val="double" w:sz="6" w:space="0" w:color="auto"/>
              <w:right w:val="nil"/>
            </w:tcBorders>
            <w:shd w:val="clear" w:color="auto" w:fill="auto"/>
            <w:noWrap/>
            <w:vAlign w:val="bottom"/>
            <w:hideMark/>
          </w:tcPr>
          <w:p w14:paraId="0435D812" w14:textId="2EDCF21B"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233</w:t>
            </w:r>
            <w:r w:rsidR="005E729B" w:rsidRPr="00A00187">
              <w:rPr>
                <w:rFonts w:eastAsia="Times New Roman"/>
                <w:szCs w:val="24"/>
                <w:lang w:eastAsia="cs-CZ"/>
              </w:rPr>
              <w:t>,</w:t>
            </w:r>
            <w:r w:rsidRPr="00A00187">
              <w:rPr>
                <w:rFonts w:eastAsia="Times New Roman"/>
                <w:szCs w:val="24"/>
                <w:lang w:eastAsia="cs-CZ"/>
              </w:rPr>
              <w:t>20</w:t>
            </w:r>
          </w:p>
        </w:tc>
        <w:tc>
          <w:tcPr>
            <w:tcW w:w="953" w:type="dxa"/>
            <w:tcBorders>
              <w:top w:val="nil"/>
              <w:left w:val="nil"/>
              <w:bottom w:val="double" w:sz="6" w:space="0" w:color="auto"/>
              <w:right w:val="single" w:sz="4" w:space="0" w:color="auto"/>
            </w:tcBorders>
            <w:shd w:val="clear" w:color="auto" w:fill="auto"/>
            <w:noWrap/>
            <w:vAlign w:val="center"/>
            <w:hideMark/>
          </w:tcPr>
          <w:p w14:paraId="20AEED01" w14:textId="20F338AA"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092" w:type="dxa"/>
            <w:tcBorders>
              <w:top w:val="nil"/>
              <w:left w:val="nil"/>
              <w:bottom w:val="double" w:sz="6" w:space="0" w:color="auto"/>
              <w:right w:val="nil"/>
            </w:tcBorders>
            <w:shd w:val="clear" w:color="auto" w:fill="auto"/>
            <w:noWrap/>
            <w:vAlign w:val="bottom"/>
            <w:hideMark/>
          </w:tcPr>
          <w:p w14:paraId="71C6F742" w14:textId="691A941B" w:rsidR="00DE02E8" w:rsidRPr="00A00187" w:rsidRDefault="00DE02E8" w:rsidP="00DE02E8">
            <w:pPr>
              <w:spacing w:line="240" w:lineRule="auto"/>
              <w:jc w:val="center"/>
              <w:rPr>
                <w:rFonts w:eastAsia="Times New Roman"/>
                <w:szCs w:val="24"/>
                <w:lang w:eastAsia="cs-CZ"/>
              </w:rPr>
            </w:pPr>
            <w:r w:rsidRPr="00A00187">
              <w:rPr>
                <w:rFonts w:eastAsia="Times New Roman"/>
                <w:szCs w:val="24"/>
                <w:lang w:eastAsia="cs-CZ"/>
              </w:rPr>
              <w:t>93</w:t>
            </w:r>
            <w:r w:rsidR="005E729B" w:rsidRPr="00A00187">
              <w:rPr>
                <w:rFonts w:eastAsia="Times New Roman"/>
                <w:szCs w:val="24"/>
                <w:lang w:eastAsia="cs-CZ"/>
              </w:rPr>
              <w:t>,</w:t>
            </w:r>
            <w:r w:rsidRPr="00A00187">
              <w:rPr>
                <w:rFonts w:eastAsia="Times New Roman"/>
                <w:szCs w:val="24"/>
                <w:lang w:eastAsia="cs-CZ"/>
              </w:rPr>
              <w:t>33</w:t>
            </w:r>
          </w:p>
        </w:tc>
        <w:tc>
          <w:tcPr>
            <w:tcW w:w="944" w:type="dxa"/>
            <w:tcBorders>
              <w:top w:val="nil"/>
              <w:left w:val="nil"/>
              <w:bottom w:val="double" w:sz="6" w:space="0" w:color="auto"/>
              <w:right w:val="nil"/>
            </w:tcBorders>
            <w:shd w:val="clear" w:color="auto" w:fill="auto"/>
            <w:noWrap/>
            <w:vAlign w:val="center"/>
            <w:hideMark/>
          </w:tcPr>
          <w:p w14:paraId="79088C25" w14:textId="27887BD6" w:rsidR="00DE02E8" w:rsidRPr="00A00187" w:rsidRDefault="00DE02E8" w:rsidP="00641DB9">
            <w:pPr>
              <w:spacing w:line="240" w:lineRule="auto"/>
              <w:jc w:val="center"/>
              <w:rPr>
                <w:rFonts w:eastAsia="Times New Roman"/>
                <w:sz w:val="20"/>
                <w:szCs w:val="20"/>
                <w:lang w:eastAsia="cs-CZ"/>
              </w:rPr>
            </w:pPr>
            <w:r w:rsidRPr="00A00187">
              <w:rPr>
                <w:rFonts w:eastAsia="Times New Roman"/>
                <w:sz w:val="20"/>
                <w:szCs w:val="20"/>
                <w:lang w:eastAsia="cs-CZ"/>
              </w:rPr>
              <w:t>-37</w:t>
            </w:r>
            <w:r w:rsidR="00CB570A">
              <w:rPr>
                <w:rFonts w:eastAsia="Times New Roman"/>
                <w:sz w:val="20"/>
                <w:szCs w:val="20"/>
                <w:lang w:eastAsia="cs-CZ"/>
              </w:rPr>
              <w:t> %</w:t>
            </w:r>
          </w:p>
        </w:tc>
      </w:tr>
      <w:tr w:rsidR="00AC1E67" w:rsidRPr="00A00187" w14:paraId="3541E453" w14:textId="77777777" w:rsidTr="00DE02E8">
        <w:trPr>
          <w:trHeight w:val="345"/>
        </w:trPr>
        <w:tc>
          <w:tcPr>
            <w:tcW w:w="1836" w:type="dxa"/>
            <w:tcBorders>
              <w:top w:val="nil"/>
              <w:left w:val="nil"/>
              <w:bottom w:val="double" w:sz="6" w:space="0" w:color="auto"/>
              <w:right w:val="nil"/>
            </w:tcBorders>
            <w:shd w:val="clear" w:color="auto" w:fill="auto"/>
            <w:noWrap/>
            <w:vAlign w:val="bottom"/>
            <w:hideMark/>
          </w:tcPr>
          <w:p w14:paraId="7A964DB4" w14:textId="77777777" w:rsidR="00DE02E8" w:rsidRPr="00A00187" w:rsidRDefault="00DE02E8" w:rsidP="00DE02E8">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28" w:type="dxa"/>
            <w:tcBorders>
              <w:top w:val="nil"/>
              <w:left w:val="nil"/>
              <w:bottom w:val="double" w:sz="6" w:space="0" w:color="auto"/>
              <w:right w:val="nil"/>
            </w:tcBorders>
            <w:shd w:val="clear" w:color="auto" w:fill="auto"/>
            <w:noWrap/>
            <w:vAlign w:val="bottom"/>
            <w:hideMark/>
          </w:tcPr>
          <w:p w14:paraId="732FFDC1" w14:textId="069F31FE"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80</w:t>
            </w:r>
            <w:r w:rsidR="005E729B" w:rsidRPr="00A00187">
              <w:rPr>
                <w:rFonts w:eastAsia="Times New Roman"/>
                <w:b/>
                <w:bCs/>
                <w:szCs w:val="24"/>
                <w:lang w:eastAsia="cs-CZ"/>
              </w:rPr>
              <w:t>,</w:t>
            </w:r>
            <w:r w:rsidRPr="00A00187">
              <w:rPr>
                <w:rFonts w:eastAsia="Times New Roman"/>
                <w:b/>
                <w:bCs/>
                <w:szCs w:val="24"/>
                <w:lang w:eastAsia="cs-CZ"/>
              </w:rPr>
              <w:t>88</w:t>
            </w:r>
          </w:p>
        </w:tc>
        <w:tc>
          <w:tcPr>
            <w:tcW w:w="1102" w:type="dxa"/>
            <w:tcBorders>
              <w:top w:val="nil"/>
              <w:left w:val="nil"/>
              <w:bottom w:val="double" w:sz="6" w:space="0" w:color="auto"/>
              <w:right w:val="nil"/>
            </w:tcBorders>
            <w:shd w:val="clear" w:color="auto" w:fill="auto"/>
            <w:noWrap/>
            <w:vAlign w:val="bottom"/>
            <w:hideMark/>
          </w:tcPr>
          <w:p w14:paraId="1326CFA0" w14:textId="503DD5D5"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288</w:t>
            </w:r>
            <w:r w:rsidR="005E729B" w:rsidRPr="00A00187">
              <w:rPr>
                <w:rFonts w:eastAsia="Times New Roman"/>
                <w:b/>
                <w:bCs/>
                <w:szCs w:val="24"/>
                <w:lang w:eastAsia="cs-CZ"/>
              </w:rPr>
              <w:t>,</w:t>
            </w:r>
            <w:r w:rsidRPr="00A00187">
              <w:rPr>
                <w:rFonts w:eastAsia="Times New Roman"/>
                <w:b/>
                <w:bCs/>
                <w:szCs w:val="24"/>
                <w:lang w:eastAsia="cs-CZ"/>
              </w:rPr>
              <w:t>74</w:t>
            </w:r>
          </w:p>
        </w:tc>
        <w:tc>
          <w:tcPr>
            <w:tcW w:w="953" w:type="dxa"/>
            <w:tcBorders>
              <w:top w:val="nil"/>
              <w:left w:val="nil"/>
              <w:bottom w:val="double" w:sz="6" w:space="0" w:color="auto"/>
              <w:right w:val="nil"/>
            </w:tcBorders>
            <w:shd w:val="clear" w:color="auto" w:fill="auto"/>
            <w:noWrap/>
            <w:vAlign w:val="center"/>
            <w:hideMark/>
          </w:tcPr>
          <w:p w14:paraId="52F7E000" w14:textId="0388E9D0" w:rsidR="00DE02E8" w:rsidRPr="00A00187" w:rsidRDefault="00DE02E8"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1092" w:type="dxa"/>
            <w:tcBorders>
              <w:top w:val="nil"/>
              <w:left w:val="single" w:sz="4" w:space="0" w:color="auto"/>
              <w:bottom w:val="double" w:sz="6" w:space="0" w:color="auto"/>
              <w:right w:val="nil"/>
            </w:tcBorders>
            <w:shd w:val="clear" w:color="auto" w:fill="auto"/>
            <w:noWrap/>
            <w:vAlign w:val="bottom"/>
            <w:hideMark/>
          </w:tcPr>
          <w:p w14:paraId="0A5946A8" w14:textId="3391AAED"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291</w:t>
            </w:r>
            <w:r w:rsidR="005E729B" w:rsidRPr="00A00187">
              <w:rPr>
                <w:rFonts w:eastAsia="Times New Roman"/>
                <w:b/>
                <w:bCs/>
                <w:szCs w:val="24"/>
                <w:lang w:eastAsia="cs-CZ"/>
              </w:rPr>
              <w:t>,</w:t>
            </w:r>
            <w:r w:rsidRPr="00A00187">
              <w:rPr>
                <w:rFonts w:eastAsia="Times New Roman"/>
                <w:b/>
                <w:bCs/>
                <w:szCs w:val="24"/>
                <w:lang w:eastAsia="cs-CZ"/>
              </w:rPr>
              <w:t>51</w:t>
            </w:r>
          </w:p>
        </w:tc>
        <w:tc>
          <w:tcPr>
            <w:tcW w:w="953" w:type="dxa"/>
            <w:tcBorders>
              <w:top w:val="nil"/>
              <w:left w:val="nil"/>
              <w:bottom w:val="double" w:sz="6" w:space="0" w:color="auto"/>
              <w:right w:val="single" w:sz="4" w:space="0" w:color="auto"/>
            </w:tcBorders>
            <w:shd w:val="clear" w:color="auto" w:fill="auto"/>
            <w:noWrap/>
            <w:vAlign w:val="center"/>
            <w:hideMark/>
          </w:tcPr>
          <w:p w14:paraId="1DF848AA" w14:textId="2DD1A2AF" w:rsidR="00DE02E8" w:rsidRPr="00A00187" w:rsidRDefault="00DE02E8"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-6</w:t>
            </w:r>
            <w:r w:rsidR="00CB570A">
              <w:rPr>
                <w:rFonts w:eastAsia="Times New Roman"/>
                <w:b/>
                <w:bCs/>
                <w:sz w:val="20"/>
                <w:szCs w:val="20"/>
                <w:lang w:eastAsia="cs-CZ"/>
              </w:rPr>
              <w:t> %</w:t>
            </w:r>
          </w:p>
        </w:tc>
        <w:tc>
          <w:tcPr>
            <w:tcW w:w="1092" w:type="dxa"/>
            <w:tcBorders>
              <w:top w:val="nil"/>
              <w:left w:val="nil"/>
              <w:bottom w:val="double" w:sz="6" w:space="0" w:color="auto"/>
              <w:right w:val="nil"/>
            </w:tcBorders>
            <w:shd w:val="clear" w:color="auto" w:fill="auto"/>
            <w:noWrap/>
            <w:vAlign w:val="bottom"/>
            <w:hideMark/>
          </w:tcPr>
          <w:p w14:paraId="59086CFC" w14:textId="084B8209" w:rsidR="00DE02E8" w:rsidRPr="00A00187" w:rsidRDefault="00DE02E8" w:rsidP="00DE02E8">
            <w:pPr>
              <w:spacing w:line="240" w:lineRule="auto"/>
              <w:jc w:val="center"/>
              <w:rPr>
                <w:rFonts w:eastAsia="Times New Roman"/>
                <w:b/>
                <w:bCs/>
                <w:szCs w:val="24"/>
                <w:lang w:eastAsia="cs-CZ"/>
              </w:rPr>
            </w:pPr>
            <w:r w:rsidRPr="00A00187">
              <w:rPr>
                <w:rFonts w:eastAsia="Times New Roman"/>
                <w:b/>
                <w:bCs/>
                <w:szCs w:val="24"/>
                <w:lang w:eastAsia="cs-CZ"/>
              </w:rPr>
              <w:t>168</w:t>
            </w:r>
            <w:r w:rsidR="005E729B" w:rsidRPr="00A00187">
              <w:rPr>
                <w:rFonts w:eastAsia="Times New Roman"/>
                <w:b/>
                <w:bCs/>
                <w:szCs w:val="24"/>
                <w:lang w:eastAsia="cs-CZ"/>
              </w:rPr>
              <w:t>,</w:t>
            </w:r>
            <w:r w:rsidRPr="00A00187">
              <w:rPr>
                <w:rFonts w:eastAsia="Times New Roman"/>
                <w:b/>
                <w:bCs/>
                <w:szCs w:val="24"/>
                <w:lang w:eastAsia="cs-CZ"/>
              </w:rPr>
              <w:t>58</w:t>
            </w:r>
          </w:p>
        </w:tc>
        <w:tc>
          <w:tcPr>
            <w:tcW w:w="944" w:type="dxa"/>
            <w:tcBorders>
              <w:top w:val="nil"/>
              <w:left w:val="nil"/>
              <w:bottom w:val="double" w:sz="6" w:space="0" w:color="auto"/>
              <w:right w:val="nil"/>
            </w:tcBorders>
            <w:shd w:val="clear" w:color="auto" w:fill="auto"/>
            <w:noWrap/>
            <w:vAlign w:val="center"/>
            <w:hideMark/>
          </w:tcPr>
          <w:p w14:paraId="3349E779" w14:textId="3A0394F6" w:rsidR="00DE02E8" w:rsidRPr="00A00187" w:rsidRDefault="00DE02E8"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w:t>
            </w:r>
            <w:r w:rsidR="00CB570A">
              <w:rPr>
                <w:rFonts w:eastAsia="Times New Roman"/>
                <w:b/>
                <w:bCs/>
                <w:sz w:val="20"/>
                <w:szCs w:val="20"/>
                <w:lang w:eastAsia="cs-CZ"/>
              </w:rPr>
              <w:t> %</w:t>
            </w:r>
          </w:p>
        </w:tc>
      </w:tr>
      <w:tr w:rsidR="00AC1E67" w:rsidRPr="00A00187" w14:paraId="20C3CAC0" w14:textId="77777777" w:rsidTr="003811B0">
        <w:trPr>
          <w:trHeight w:val="330"/>
        </w:trPr>
        <w:tc>
          <w:tcPr>
            <w:tcW w:w="1836" w:type="dxa"/>
            <w:tcBorders>
              <w:top w:val="nil"/>
              <w:left w:val="nil"/>
              <w:bottom w:val="nil"/>
              <w:right w:val="nil"/>
            </w:tcBorders>
            <w:shd w:val="clear" w:color="auto" w:fill="auto"/>
            <w:noWrap/>
            <w:vAlign w:val="bottom"/>
          </w:tcPr>
          <w:p w14:paraId="3BE1160D" w14:textId="293FCA6D" w:rsidR="00DE02E8" w:rsidRPr="00A00187" w:rsidRDefault="00DE02E8" w:rsidP="00DE02E8">
            <w:pPr>
              <w:spacing w:line="240" w:lineRule="auto"/>
              <w:jc w:val="center"/>
              <w:rPr>
                <w:rFonts w:eastAsia="Times New Roman"/>
                <w:b/>
                <w:bCs/>
                <w:sz w:val="20"/>
                <w:szCs w:val="20"/>
                <w:lang w:eastAsia="cs-CZ"/>
              </w:rPr>
            </w:pPr>
          </w:p>
        </w:tc>
        <w:tc>
          <w:tcPr>
            <w:tcW w:w="1028" w:type="dxa"/>
            <w:tcBorders>
              <w:top w:val="nil"/>
              <w:left w:val="nil"/>
              <w:bottom w:val="nil"/>
              <w:right w:val="nil"/>
            </w:tcBorders>
            <w:shd w:val="clear" w:color="auto" w:fill="auto"/>
            <w:noWrap/>
            <w:vAlign w:val="bottom"/>
          </w:tcPr>
          <w:p w14:paraId="4517B8A7" w14:textId="77777777" w:rsidR="00DE02E8" w:rsidRPr="00A00187" w:rsidRDefault="00DE02E8" w:rsidP="00DE02E8">
            <w:pPr>
              <w:spacing w:line="240" w:lineRule="auto"/>
              <w:jc w:val="left"/>
              <w:rPr>
                <w:rFonts w:ascii="Times New Roman" w:eastAsia="Times New Roman" w:hAnsi="Times New Roman"/>
                <w:sz w:val="20"/>
                <w:szCs w:val="20"/>
                <w:lang w:eastAsia="cs-CZ"/>
              </w:rPr>
            </w:pPr>
          </w:p>
        </w:tc>
        <w:tc>
          <w:tcPr>
            <w:tcW w:w="1102" w:type="dxa"/>
            <w:tcBorders>
              <w:top w:val="nil"/>
              <w:left w:val="nil"/>
              <w:bottom w:val="nil"/>
              <w:right w:val="nil"/>
            </w:tcBorders>
            <w:shd w:val="clear" w:color="auto" w:fill="auto"/>
            <w:noWrap/>
            <w:vAlign w:val="bottom"/>
          </w:tcPr>
          <w:p w14:paraId="3A13C6E5" w14:textId="77777777" w:rsidR="00DE02E8" w:rsidRPr="00A00187" w:rsidRDefault="00DE02E8" w:rsidP="00DE02E8">
            <w:pPr>
              <w:spacing w:line="240" w:lineRule="auto"/>
              <w:jc w:val="left"/>
              <w:rPr>
                <w:rFonts w:ascii="Times New Roman" w:eastAsia="Times New Roman" w:hAnsi="Times New Roman"/>
                <w:sz w:val="20"/>
                <w:szCs w:val="20"/>
                <w:lang w:eastAsia="cs-CZ"/>
              </w:rPr>
            </w:pPr>
          </w:p>
        </w:tc>
        <w:tc>
          <w:tcPr>
            <w:tcW w:w="953" w:type="dxa"/>
            <w:tcBorders>
              <w:top w:val="nil"/>
              <w:left w:val="nil"/>
              <w:bottom w:val="nil"/>
              <w:right w:val="nil"/>
            </w:tcBorders>
            <w:shd w:val="clear" w:color="auto" w:fill="auto"/>
            <w:noWrap/>
            <w:vAlign w:val="bottom"/>
          </w:tcPr>
          <w:p w14:paraId="23C20C12" w14:textId="77777777" w:rsidR="00DE02E8" w:rsidRPr="00A00187" w:rsidRDefault="00DE02E8" w:rsidP="00641DB9">
            <w:pPr>
              <w:spacing w:line="240" w:lineRule="auto"/>
              <w:jc w:val="center"/>
              <w:rPr>
                <w:rFonts w:ascii="Times New Roman" w:eastAsia="Times New Roman" w:hAnsi="Times New Roman"/>
                <w:sz w:val="20"/>
                <w:szCs w:val="20"/>
                <w:lang w:eastAsia="cs-CZ"/>
              </w:rPr>
            </w:pPr>
          </w:p>
        </w:tc>
        <w:tc>
          <w:tcPr>
            <w:tcW w:w="1092" w:type="dxa"/>
            <w:tcBorders>
              <w:top w:val="nil"/>
              <w:left w:val="nil"/>
              <w:bottom w:val="nil"/>
              <w:right w:val="nil"/>
            </w:tcBorders>
            <w:shd w:val="clear" w:color="auto" w:fill="auto"/>
            <w:noWrap/>
            <w:vAlign w:val="bottom"/>
          </w:tcPr>
          <w:p w14:paraId="6655CFF3" w14:textId="77777777" w:rsidR="00DE02E8" w:rsidRPr="00A00187" w:rsidRDefault="00DE02E8" w:rsidP="00DE02E8">
            <w:pPr>
              <w:spacing w:line="240" w:lineRule="auto"/>
              <w:jc w:val="left"/>
              <w:rPr>
                <w:rFonts w:ascii="Times New Roman" w:eastAsia="Times New Roman" w:hAnsi="Times New Roman"/>
                <w:sz w:val="20"/>
                <w:szCs w:val="20"/>
                <w:lang w:eastAsia="cs-CZ"/>
              </w:rPr>
            </w:pPr>
          </w:p>
        </w:tc>
        <w:tc>
          <w:tcPr>
            <w:tcW w:w="953" w:type="dxa"/>
            <w:tcBorders>
              <w:top w:val="nil"/>
              <w:left w:val="nil"/>
              <w:bottom w:val="nil"/>
              <w:right w:val="nil"/>
            </w:tcBorders>
            <w:shd w:val="clear" w:color="auto" w:fill="auto"/>
            <w:noWrap/>
            <w:vAlign w:val="bottom"/>
          </w:tcPr>
          <w:p w14:paraId="05178D13" w14:textId="77777777" w:rsidR="00DE02E8" w:rsidRPr="00A00187" w:rsidRDefault="00DE02E8" w:rsidP="00641DB9">
            <w:pPr>
              <w:spacing w:line="240" w:lineRule="auto"/>
              <w:jc w:val="center"/>
              <w:rPr>
                <w:rFonts w:ascii="Times New Roman" w:eastAsia="Times New Roman" w:hAnsi="Times New Roman"/>
                <w:sz w:val="20"/>
                <w:szCs w:val="20"/>
                <w:lang w:eastAsia="cs-CZ"/>
              </w:rPr>
            </w:pPr>
          </w:p>
        </w:tc>
        <w:tc>
          <w:tcPr>
            <w:tcW w:w="1092" w:type="dxa"/>
            <w:tcBorders>
              <w:top w:val="nil"/>
              <w:left w:val="nil"/>
              <w:bottom w:val="nil"/>
              <w:right w:val="nil"/>
            </w:tcBorders>
            <w:shd w:val="clear" w:color="auto" w:fill="auto"/>
            <w:noWrap/>
            <w:vAlign w:val="bottom"/>
            <w:hideMark/>
          </w:tcPr>
          <w:p w14:paraId="738BC5AD" w14:textId="77777777" w:rsidR="00DE02E8" w:rsidRPr="00A00187" w:rsidRDefault="00DE02E8" w:rsidP="00DE02E8">
            <w:pPr>
              <w:spacing w:line="240" w:lineRule="auto"/>
              <w:jc w:val="left"/>
              <w:rPr>
                <w:rFonts w:ascii="Times New Roman" w:eastAsia="Times New Roman" w:hAnsi="Times New Roman"/>
                <w:sz w:val="20"/>
                <w:szCs w:val="20"/>
                <w:lang w:eastAsia="cs-CZ"/>
              </w:rPr>
            </w:pPr>
          </w:p>
        </w:tc>
        <w:tc>
          <w:tcPr>
            <w:tcW w:w="944" w:type="dxa"/>
            <w:tcBorders>
              <w:top w:val="nil"/>
              <w:left w:val="nil"/>
              <w:bottom w:val="nil"/>
              <w:right w:val="nil"/>
            </w:tcBorders>
            <w:shd w:val="clear" w:color="auto" w:fill="auto"/>
            <w:noWrap/>
            <w:vAlign w:val="bottom"/>
            <w:hideMark/>
          </w:tcPr>
          <w:p w14:paraId="542B6B64" w14:textId="77777777" w:rsidR="00DE02E8" w:rsidRPr="00A00187" w:rsidRDefault="00DE02E8" w:rsidP="00641DB9">
            <w:pPr>
              <w:spacing w:line="240" w:lineRule="auto"/>
              <w:jc w:val="center"/>
              <w:rPr>
                <w:rFonts w:ascii="Times New Roman" w:eastAsia="Times New Roman" w:hAnsi="Times New Roman"/>
                <w:sz w:val="20"/>
                <w:szCs w:val="20"/>
                <w:lang w:eastAsia="cs-CZ"/>
              </w:rPr>
            </w:pPr>
          </w:p>
        </w:tc>
      </w:tr>
    </w:tbl>
    <w:p w14:paraId="290742D2" w14:textId="77777777" w:rsidR="00DE02E8" w:rsidRPr="00A00187" w:rsidRDefault="00DE02E8" w:rsidP="00DE02E8">
      <w:pPr>
        <w:pStyle w:val="OdstavecASR"/>
      </w:pPr>
      <w:r w:rsidRPr="00A00187">
        <w:t>Z tabulky vyplývá několik zajímavých údajů, například:</w:t>
      </w:r>
    </w:p>
    <w:p w14:paraId="169B4BAE" w14:textId="77777777" w:rsidR="00DE02E8" w:rsidRPr="00A00187" w:rsidRDefault="00DE02E8" w:rsidP="00DE02E8">
      <w:pPr>
        <w:pStyle w:val="OdstavecASR"/>
        <w:numPr>
          <w:ilvl w:val="0"/>
          <w:numId w:val="23"/>
        </w:numPr>
      </w:pPr>
      <w:r w:rsidRPr="00A00187">
        <w:t>Méně než jedna šestina soudců na civilním úseku se zabývá prvostupňovou agendou. Prvostupňový úsek je tedy poměrně malý.</w:t>
      </w:r>
    </w:p>
    <w:p w14:paraId="5EB3206F" w14:textId="77777777" w:rsidR="00DE02E8" w:rsidRPr="00A00187" w:rsidRDefault="00DE02E8" w:rsidP="00DE02E8">
      <w:pPr>
        <w:pStyle w:val="OdstavecASR"/>
        <w:numPr>
          <w:ilvl w:val="0"/>
          <w:numId w:val="23"/>
        </w:numPr>
      </w:pPr>
      <w:r w:rsidRPr="00A00187">
        <w:t>Mezi soudy jsou velké rozdíly v přepočtu věcí na soudce. U počtu nevyřízených věcí to plyne z celkové zatíženosti soudu i počtu soudců, kteří se danou agendou zabývají. Nicméně počet příchozích věcí (a tím v zásadě i vyřízených věcí) je zohledněn v systemizaci, takže by mezi soudy měly být menší rozdíly. Pro rozdíly může být několik vysvětlení:</w:t>
      </w:r>
    </w:p>
    <w:p w14:paraId="18F03471" w14:textId="77777777" w:rsidR="00DE02E8" w:rsidRPr="00A00187" w:rsidRDefault="00DE02E8" w:rsidP="00DE02E8">
      <w:pPr>
        <w:pStyle w:val="OdstavecASR"/>
        <w:numPr>
          <w:ilvl w:val="1"/>
          <w:numId w:val="23"/>
        </w:numPr>
      </w:pPr>
      <w:r w:rsidRPr="00A00187">
        <w:t>Počet soudců je u některých soudů malý, dočasný výpadek i jednoho soudce proto může hrát velkou roli v datech.</w:t>
      </w:r>
    </w:p>
    <w:p w14:paraId="52189F07" w14:textId="77777777" w:rsidR="00DE02E8" w:rsidRPr="00A00187" w:rsidRDefault="00DE02E8" w:rsidP="00DE02E8">
      <w:pPr>
        <w:pStyle w:val="OdstavecASR"/>
        <w:numPr>
          <w:ilvl w:val="1"/>
          <w:numId w:val="23"/>
        </w:numPr>
      </w:pPr>
      <w:r w:rsidRPr="00A00187">
        <w:t>Některé KS tuto agendu mohly posílit kvůli vysokému počtu nedodělků, případně z jiných důvodů.</w:t>
      </w:r>
    </w:p>
    <w:p w14:paraId="1599B06E" w14:textId="379890CB" w:rsidR="00DE02E8" w:rsidRPr="00A00187" w:rsidRDefault="00DE02E8" w:rsidP="00DE02E8">
      <w:pPr>
        <w:pStyle w:val="OdstavecASR"/>
        <w:numPr>
          <w:ilvl w:val="1"/>
          <w:numId w:val="23"/>
        </w:numPr>
      </w:pPr>
      <w:r w:rsidRPr="00A00187">
        <w:t>Přestože se Ministerstvo spravedlnosti snaží přesně definovat metodiku sběru dat, nelze garantovat jejich přesnost na 100</w:t>
      </w:r>
      <w:r w:rsidR="00CB570A">
        <w:t> %</w:t>
      </w:r>
      <w:r w:rsidRPr="00A00187">
        <w:t>. Jednotlivé soudy totiž mohou zvolit k vyplňování datových tabulek poněkud odlišný přístup.</w:t>
      </w:r>
    </w:p>
    <w:p w14:paraId="61FB7882" w14:textId="511A7C7B" w:rsidR="00CB570A" w:rsidRDefault="00DE02E8" w:rsidP="003811B0">
      <w:pPr>
        <w:pStyle w:val="OdstavecASR"/>
        <w:numPr>
          <w:ilvl w:val="0"/>
          <w:numId w:val="23"/>
        </w:numPr>
      </w:pPr>
      <w:r w:rsidRPr="00A00187">
        <w:t xml:space="preserve">Jak je již výše zmíněno, rozdíly jsou </w:t>
      </w:r>
      <w:r w:rsidR="00381A53" w:rsidRPr="00A00187">
        <w:t xml:space="preserve">patrné </w:t>
      </w:r>
      <w:r w:rsidRPr="00A00187">
        <w:t xml:space="preserve">i u stejného soudu mezi jednotlivými roky. Mezi roky na úrovni ČR prakticky nedošlo ke změně, ale </w:t>
      </w:r>
      <w:r w:rsidR="00755920" w:rsidRPr="00A00187">
        <w:t>u</w:t>
      </w:r>
      <w:r w:rsidR="00755920">
        <w:t> </w:t>
      </w:r>
      <w:r w:rsidRPr="00A00187">
        <w:t xml:space="preserve">jednotlivých soudů ano (například pokles </w:t>
      </w:r>
      <w:r w:rsidR="00755920" w:rsidRPr="00A00187">
        <w:t>u</w:t>
      </w:r>
      <w:r w:rsidR="00755920">
        <w:t> </w:t>
      </w:r>
      <w:r w:rsidRPr="00A00187">
        <w:t xml:space="preserve">KS v Hradci Králové či naopak nárůst </w:t>
      </w:r>
      <w:r w:rsidR="00755920" w:rsidRPr="00A00187">
        <w:t>u</w:t>
      </w:r>
      <w:r w:rsidR="00755920">
        <w:t> </w:t>
      </w:r>
      <w:r w:rsidRPr="00A00187">
        <w:t xml:space="preserve">KS v Českých Budějovicích). Zřejmě dochází k přesunům mezi úseky v rámci soudu, roli ale určitě bude hrát i to, jak soudy ke </w:t>
      </w:r>
      <w:r w:rsidRPr="00A00187">
        <w:lastRenderedPageBreak/>
        <w:t xml:space="preserve">sběru dat přistoupily. V neposlední řadě je třeba pamatovat na to, že se jedná </w:t>
      </w:r>
      <w:r w:rsidR="00755920" w:rsidRPr="00A00187">
        <w:t>o</w:t>
      </w:r>
      <w:r w:rsidR="00755920">
        <w:t> </w:t>
      </w:r>
      <w:r w:rsidRPr="00A00187">
        <w:t xml:space="preserve">stavovou veličinu k 1.1. K přesunu může tedy docházet </w:t>
      </w:r>
      <w:r w:rsidR="00755920" w:rsidRPr="00A00187">
        <w:t>i</w:t>
      </w:r>
      <w:r w:rsidR="00755920">
        <w:t> </w:t>
      </w:r>
      <w:r w:rsidRPr="00A00187">
        <w:t>v průběhu roku.</w:t>
      </w:r>
    </w:p>
    <w:p w14:paraId="5B5C2E27" w14:textId="7A27BFF1" w:rsidR="008430BD" w:rsidRPr="00A00187" w:rsidRDefault="008430BD" w:rsidP="008430BD">
      <w:pPr>
        <w:pStyle w:val="Nadpis3"/>
        <w:keepNext w:val="0"/>
        <w:numPr>
          <w:ilvl w:val="2"/>
          <w:numId w:val="1"/>
        </w:numPr>
        <w:rPr>
          <w:color w:val="auto"/>
        </w:rPr>
      </w:pPr>
      <w:bookmarkStart w:id="639" w:name="_Toc515871251"/>
      <w:bookmarkStart w:id="640" w:name="_Toc106092756"/>
      <w:bookmarkStart w:id="641" w:name="_Toc109801367"/>
      <w:proofErr w:type="spellStart"/>
      <w:r w:rsidRPr="00A00187">
        <w:rPr>
          <w:color w:val="auto"/>
        </w:rPr>
        <w:t>Disposition</w:t>
      </w:r>
      <w:proofErr w:type="spellEnd"/>
      <w:r w:rsidRPr="00A00187">
        <w:rPr>
          <w:color w:val="auto"/>
        </w:rPr>
        <w:t xml:space="preserve"> </w:t>
      </w:r>
      <w:proofErr w:type="spellStart"/>
      <w:r w:rsidRPr="00A00187">
        <w:rPr>
          <w:color w:val="auto"/>
        </w:rPr>
        <w:t>time</w:t>
      </w:r>
      <w:bookmarkEnd w:id="639"/>
      <w:proofErr w:type="spellEnd"/>
      <w:r w:rsidRPr="00A00187">
        <w:rPr>
          <w:color w:val="auto"/>
        </w:rPr>
        <w:t xml:space="preserve"> (dispoziční čas)</w:t>
      </w:r>
      <w:bookmarkEnd w:id="640"/>
      <w:bookmarkEnd w:id="641"/>
    </w:p>
    <w:p w14:paraId="651B814E" w14:textId="6241A6F4" w:rsidR="00CB570A" w:rsidRDefault="005E729B" w:rsidP="005E729B">
      <w:pPr>
        <w:pStyle w:val="OdstavecASR"/>
      </w:pPr>
      <w:r w:rsidRPr="00A00187">
        <w:t>Od roku 2010 do roku 2019 byl vývoj DT celkem stabilizovaný okolo hodnoty 240 kalendářních dnů a konkrétní hodnota v daném roce vždy závis</w:t>
      </w:r>
      <w:r w:rsidR="00381A53" w:rsidRPr="00A00187">
        <w:t>ela</w:t>
      </w:r>
      <w:r w:rsidRPr="00A00187">
        <w:t xml:space="preserve"> na vzájemném poměru a vývoji mezi počtem nevyřízených a vyřízených věcí. V roce 2020 došlo k dalšímu poklesu, což je dáno poklesem v počtu nevyřízených věcí. DT </w:t>
      </w:r>
      <w:r w:rsidR="00A223E5" w:rsidRPr="00A00187">
        <w:t>tak byl</w:t>
      </w:r>
      <w:r w:rsidRPr="00A00187">
        <w:t xml:space="preserve"> </w:t>
      </w:r>
      <w:r w:rsidR="007474D8" w:rsidRPr="00A00187">
        <w:t>nejnižší</w:t>
      </w:r>
      <w:r w:rsidRPr="00A00187">
        <w:t xml:space="preserve"> za sledované období.</w:t>
      </w:r>
      <w:r w:rsidR="00A223E5" w:rsidRPr="00A00187">
        <w:t xml:space="preserve"> V roce 2021 </w:t>
      </w:r>
      <w:r w:rsidR="00FA7F02" w:rsidRPr="00A00187">
        <w:t xml:space="preserve">DT mírně </w:t>
      </w:r>
      <w:r w:rsidR="00A223E5" w:rsidRPr="00A00187">
        <w:t xml:space="preserve">narostl, jedná se ale </w:t>
      </w:r>
      <w:r w:rsidR="00755920" w:rsidRPr="00A00187">
        <w:t>o</w:t>
      </w:r>
      <w:r w:rsidR="00755920">
        <w:t> </w:t>
      </w:r>
      <w:r w:rsidR="00A223E5" w:rsidRPr="00A00187">
        <w:t>marginální změnu.</w:t>
      </w:r>
    </w:p>
    <w:p w14:paraId="2134B9BB" w14:textId="074B0C17" w:rsidR="005E729B" w:rsidRPr="00A00187" w:rsidRDefault="005E729B" w:rsidP="005E729B">
      <w:pPr>
        <w:pStyle w:val="OdstavecASR"/>
      </w:pPr>
      <w:r w:rsidRPr="00A00187">
        <w:t xml:space="preserve">Připomínáme, že DT je doba, za kterou by soud vyřídil všechny nevyřízené věci, které u něj v daném roce </w:t>
      </w:r>
      <w:r w:rsidR="00733A9C" w:rsidRPr="00A00187">
        <w:t>„</w:t>
      </w:r>
      <w:r w:rsidRPr="00A00187">
        <w:t>leží</w:t>
      </w:r>
      <w:r w:rsidR="00733A9C" w:rsidRPr="00A00187">
        <w:t>“</w:t>
      </w:r>
      <w:r w:rsidRPr="00A00187">
        <w:t>, pokud by pracoval stejným tempem a neměl žádný nový nápad ani obživu věcí. Nejde tedy o průměrnou délk</w:t>
      </w:r>
      <w:r w:rsidR="00733A9C" w:rsidRPr="00A00187">
        <w:t>u</w:t>
      </w:r>
      <w:r w:rsidRPr="00A00187">
        <w:t xml:space="preserve"> řízení a DT není závislý na velikosti soudu; proto se hodí k vzájemnému srovnávání během let nebo mezi soudy.</w:t>
      </w:r>
    </w:p>
    <w:p w14:paraId="38B1F5D3" w14:textId="142B8FA6" w:rsidR="004A35A3" w:rsidRPr="00A00187" w:rsidRDefault="004A35A3" w:rsidP="004A35A3">
      <w:pPr>
        <w:pStyle w:val="Podnadpis"/>
        <w:rPr>
          <w:color w:val="auto"/>
        </w:rPr>
      </w:pPr>
      <w:bookmarkStart w:id="642" w:name="_Toc515871384"/>
      <w:bookmarkStart w:id="643" w:name="_Toc11135115"/>
      <w:bookmarkStart w:id="644" w:name="_Toc43841434"/>
      <w:bookmarkStart w:id="645" w:name="_Toc75952237"/>
      <w:bookmarkStart w:id="646" w:name="_Toc106106694"/>
      <w:bookmarkStart w:id="647" w:name="_Toc10980201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60</w:t>
      </w:r>
      <w:r w:rsidRPr="00A00187">
        <w:rPr>
          <w:color w:val="auto"/>
        </w:rPr>
        <w:fldChar w:fldCharType="end"/>
      </w:r>
      <w:r w:rsidRPr="00A00187">
        <w:rPr>
          <w:color w:val="auto"/>
        </w:rPr>
        <w:t>: KS – DT prvostupňového civilního řízení v letech 2008–</w:t>
      </w:r>
      <w:bookmarkEnd w:id="642"/>
      <w:bookmarkEnd w:id="643"/>
      <w:r w:rsidRPr="00A00187">
        <w:rPr>
          <w:color w:val="auto"/>
        </w:rPr>
        <w:t>20</w:t>
      </w:r>
      <w:bookmarkEnd w:id="644"/>
      <w:r w:rsidRPr="00A00187">
        <w:rPr>
          <w:color w:val="auto"/>
        </w:rPr>
        <w:t>2</w:t>
      </w:r>
      <w:bookmarkEnd w:id="645"/>
      <w:r w:rsidRPr="00A00187">
        <w:rPr>
          <w:color w:val="auto"/>
        </w:rPr>
        <w:t>1</w:t>
      </w:r>
      <w:bookmarkEnd w:id="646"/>
      <w:bookmarkEnd w:id="647"/>
    </w:p>
    <w:p w14:paraId="23A23E27" w14:textId="12FEC272" w:rsidR="004A35A3" w:rsidRPr="00A00187" w:rsidRDefault="002D066A" w:rsidP="005E729B">
      <w:pPr>
        <w:pStyle w:val="OdstavecASR"/>
      </w:pPr>
      <w:r w:rsidRPr="00A00187">
        <w:rPr>
          <w:noProof/>
        </w:rPr>
        <w:drawing>
          <wp:inline distT="0" distB="0" distL="0" distR="0" wp14:anchorId="6DB14507" wp14:editId="72721558">
            <wp:extent cx="5025390" cy="3657600"/>
            <wp:effectExtent l="0" t="0" r="381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55788D9" w14:textId="77777777" w:rsidR="002B75F7" w:rsidRPr="00A00187" w:rsidRDefault="002B75F7" w:rsidP="00B46251">
      <w:pPr>
        <w:pStyle w:val="OdstavecASR"/>
      </w:pPr>
    </w:p>
    <w:p w14:paraId="2E18C1B3" w14:textId="312662F4" w:rsidR="00B46251" w:rsidRDefault="00B46251" w:rsidP="00B46251">
      <w:pPr>
        <w:pStyle w:val="OdstavecASR"/>
      </w:pPr>
      <w:r w:rsidRPr="00A00187">
        <w:t>V tabulce níže vidíme, že DT se</w:t>
      </w:r>
      <w:r w:rsidR="00A223E5" w:rsidRPr="00A00187">
        <w:t xml:space="preserve"> více než zdvojnásobil </w:t>
      </w:r>
      <w:r w:rsidR="00755920" w:rsidRPr="00A00187">
        <w:t>u</w:t>
      </w:r>
      <w:r w:rsidR="00755920">
        <w:t> </w:t>
      </w:r>
      <w:r w:rsidR="00A223E5" w:rsidRPr="00A00187">
        <w:t>KS v Plzni.</w:t>
      </w:r>
      <w:r w:rsidR="002B75F7" w:rsidRPr="00A00187">
        <w:t xml:space="preserve"> </w:t>
      </w:r>
      <w:r w:rsidR="00381A53" w:rsidRPr="00A00187">
        <w:t xml:space="preserve">Na první pohled taková změna samozřejmě vyvolává obavy </w:t>
      </w:r>
      <w:r w:rsidR="00755920" w:rsidRPr="00A00187">
        <w:t>a</w:t>
      </w:r>
      <w:r w:rsidR="00755920">
        <w:t> </w:t>
      </w:r>
      <w:r w:rsidR="00381A53" w:rsidRPr="00A00187">
        <w:t>je proto třeba</w:t>
      </w:r>
      <w:r w:rsidR="002B75F7" w:rsidRPr="00A00187">
        <w:t xml:space="preserve"> ji</w:t>
      </w:r>
      <w:r w:rsidR="00381A53" w:rsidRPr="00A00187">
        <w:t xml:space="preserve"> </w:t>
      </w:r>
      <w:r w:rsidR="00511C0E" w:rsidRPr="00A00187">
        <w:t>podrobit další analýze</w:t>
      </w:r>
      <w:r w:rsidR="00733A9C" w:rsidRPr="00A00187">
        <w:t>.</w:t>
      </w:r>
      <w:r w:rsidR="000E0C47" w:rsidRPr="00A00187">
        <w:t xml:space="preserve"> </w:t>
      </w:r>
      <w:r w:rsidR="00AC36B1" w:rsidRPr="00A00187">
        <w:t xml:space="preserve">Za prvé v roce 2020 DT klesl téměř </w:t>
      </w:r>
      <w:r w:rsidR="00755920" w:rsidRPr="00A00187">
        <w:t>o</w:t>
      </w:r>
      <w:r w:rsidR="00755920">
        <w:t> </w:t>
      </w:r>
      <w:r w:rsidR="00AC36B1" w:rsidRPr="00A00187">
        <w:t xml:space="preserve">polovinu </w:t>
      </w:r>
      <w:r w:rsidR="00755920" w:rsidRPr="00A00187">
        <w:t>a</w:t>
      </w:r>
      <w:r w:rsidR="00755920">
        <w:t> </w:t>
      </w:r>
      <w:r w:rsidR="00AC36B1" w:rsidRPr="00A00187">
        <w:t xml:space="preserve">nyní se tedy vlastně pouze vrací na předchozí úroveň. </w:t>
      </w:r>
      <w:r w:rsidR="00FE71AA" w:rsidRPr="00A00187">
        <w:t xml:space="preserve">Za druhé </w:t>
      </w:r>
      <w:r w:rsidR="00AC36B1" w:rsidRPr="00A00187">
        <w:t xml:space="preserve">je třeba </w:t>
      </w:r>
      <w:r w:rsidR="00FE71AA" w:rsidRPr="00A00187">
        <w:t>porovnat</w:t>
      </w:r>
      <w:r w:rsidR="00AC36B1" w:rsidRPr="00A00187">
        <w:t xml:space="preserve"> míru vyřizování. Ta je asi 95</w:t>
      </w:r>
      <w:r w:rsidR="00CB570A">
        <w:t> %</w:t>
      </w:r>
      <w:r w:rsidR="00FE71AA" w:rsidRPr="00A00187">
        <w:t xml:space="preserve"> </w:t>
      </w:r>
      <w:r w:rsidR="00755920" w:rsidRPr="00A00187">
        <w:t>a</w:t>
      </w:r>
      <w:r w:rsidR="00755920">
        <w:t> </w:t>
      </w:r>
      <w:r w:rsidR="00AC36B1" w:rsidRPr="00A00187">
        <w:t xml:space="preserve">počet nevyřízených věcí </w:t>
      </w:r>
      <w:r w:rsidR="00733A9C" w:rsidRPr="00A00187">
        <w:t xml:space="preserve">tak </w:t>
      </w:r>
      <w:r w:rsidR="00AC36B1" w:rsidRPr="00A00187">
        <w:t xml:space="preserve">stoupl jen mírně. Naopak v roce 2020 byla </w:t>
      </w:r>
      <w:r w:rsidR="00733A9C" w:rsidRPr="00A00187">
        <w:t xml:space="preserve">míra vyřizování </w:t>
      </w:r>
      <w:r w:rsidR="00AC36B1" w:rsidRPr="00A00187">
        <w:t>165</w:t>
      </w:r>
      <w:r w:rsidR="00CB570A">
        <w:t> %</w:t>
      </w:r>
      <w:r w:rsidR="00AC36B1" w:rsidRPr="00A00187">
        <w:t xml:space="preserve"> </w:t>
      </w:r>
      <w:r w:rsidR="00FE71AA" w:rsidRPr="00A00187">
        <w:t xml:space="preserve">v důsledku </w:t>
      </w:r>
      <w:r w:rsidR="00AC36B1" w:rsidRPr="00A00187">
        <w:t>velké</w:t>
      </w:r>
      <w:r w:rsidR="00FE71AA" w:rsidRPr="00A00187">
        <w:t>ho</w:t>
      </w:r>
      <w:r w:rsidR="00AC36B1" w:rsidRPr="00A00187">
        <w:t xml:space="preserve"> počtu vyřízených věcí. </w:t>
      </w:r>
      <w:r w:rsidR="00AA2188" w:rsidRPr="00A00187">
        <w:t xml:space="preserve">Vzhledem </w:t>
      </w:r>
      <w:r w:rsidR="00775006" w:rsidRPr="00A00187">
        <w:t>k </w:t>
      </w:r>
      <w:r w:rsidR="00AC36B1" w:rsidRPr="00A00187">
        <w:t xml:space="preserve">výrazně nadprůměrnému roku 2020 se </w:t>
      </w:r>
      <w:r w:rsidR="00381A53" w:rsidRPr="00A00187">
        <w:t>tak na</w:t>
      </w:r>
      <w:r w:rsidR="00AC36B1" w:rsidRPr="00A00187">
        <w:t xml:space="preserve"> první pohled může </w:t>
      </w:r>
      <w:r w:rsidR="00AA2188" w:rsidRPr="00A00187">
        <w:t xml:space="preserve">tedy </w:t>
      </w:r>
      <w:r w:rsidR="00AC36B1" w:rsidRPr="00A00187">
        <w:t xml:space="preserve">zdát, že </w:t>
      </w:r>
      <w:r w:rsidR="00FE71AA" w:rsidRPr="00A00187">
        <w:t>se tento soud potýkal s</w:t>
      </w:r>
      <w:r w:rsidR="002B75F7" w:rsidRPr="00A00187">
        <w:t> </w:t>
      </w:r>
      <w:r w:rsidR="00FE71AA" w:rsidRPr="00A00187">
        <w:t>problémy</w:t>
      </w:r>
      <w:r w:rsidR="00733A9C" w:rsidRPr="00A00187">
        <w:t>, nicméně</w:t>
      </w:r>
      <w:r w:rsidR="00AC36B1" w:rsidRPr="00A00187">
        <w:t xml:space="preserve"> </w:t>
      </w:r>
      <w:r w:rsidR="00733A9C" w:rsidRPr="00A00187">
        <w:t>v</w:t>
      </w:r>
      <w:r w:rsidR="00AC36B1" w:rsidRPr="00A00187">
        <w:t>e skutečnosti se jen mírně zvýšil počet nevyřízených věcí</w:t>
      </w:r>
      <w:r w:rsidR="002B75F7" w:rsidRPr="00A00187">
        <w:t>.</w:t>
      </w:r>
    </w:p>
    <w:p w14:paraId="2F2EDEB6" w14:textId="77777777" w:rsidR="00641DB9" w:rsidRPr="00A00187" w:rsidRDefault="00641DB9" w:rsidP="00B46251">
      <w:pPr>
        <w:pStyle w:val="OdstavecASR"/>
      </w:pPr>
    </w:p>
    <w:p w14:paraId="67ED5CC3" w14:textId="3A7BDF4F" w:rsidR="00B46251" w:rsidRPr="00A00187" w:rsidRDefault="00B46251" w:rsidP="00B46251">
      <w:pPr>
        <w:pStyle w:val="Podnadpis"/>
        <w:rPr>
          <w:color w:val="auto"/>
        </w:rPr>
      </w:pPr>
      <w:bookmarkStart w:id="648" w:name="_Toc515871470"/>
      <w:bookmarkStart w:id="649" w:name="_Toc11133237"/>
      <w:bookmarkStart w:id="650" w:name="_Toc43931216"/>
      <w:bookmarkStart w:id="651" w:name="_Toc75952349"/>
      <w:bookmarkStart w:id="652" w:name="_Toc106106806"/>
      <w:bookmarkStart w:id="653" w:name="_Toc109802129"/>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44</w:t>
      </w:r>
      <w:r w:rsidRPr="00A00187">
        <w:rPr>
          <w:color w:val="auto"/>
        </w:rPr>
        <w:fldChar w:fldCharType="end"/>
      </w:r>
      <w:r w:rsidRPr="00A00187">
        <w:rPr>
          <w:color w:val="auto"/>
        </w:rPr>
        <w:t>: KS – DT prvostupňového civilního řízení dle soudů</w:t>
      </w:r>
      <w:bookmarkEnd w:id="648"/>
      <w:bookmarkEnd w:id="649"/>
      <w:bookmarkEnd w:id="650"/>
      <w:bookmarkEnd w:id="651"/>
      <w:bookmarkEnd w:id="652"/>
      <w:bookmarkEnd w:id="653"/>
    </w:p>
    <w:tbl>
      <w:tblPr>
        <w:tblW w:w="5992" w:type="dxa"/>
        <w:tblCellMar>
          <w:left w:w="70" w:type="dxa"/>
          <w:right w:w="70" w:type="dxa"/>
        </w:tblCellMar>
        <w:tblLook w:val="04A0" w:firstRow="1" w:lastRow="0" w:firstColumn="1" w:lastColumn="0" w:noHBand="0" w:noVBand="1"/>
      </w:tblPr>
      <w:tblGrid>
        <w:gridCol w:w="2796"/>
        <w:gridCol w:w="1116"/>
        <w:gridCol w:w="2080"/>
      </w:tblGrid>
      <w:tr w:rsidR="00AC1E67" w:rsidRPr="00A00187" w14:paraId="2A4FA3B2" w14:textId="77777777" w:rsidTr="00A223E5">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400B3F0B" w14:textId="77777777" w:rsidR="00A223E5" w:rsidRPr="00A00187" w:rsidRDefault="00A223E5" w:rsidP="00A223E5">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196" w:type="dxa"/>
            <w:gridSpan w:val="2"/>
            <w:tcBorders>
              <w:top w:val="double" w:sz="6" w:space="0" w:color="auto"/>
              <w:left w:val="nil"/>
              <w:bottom w:val="double" w:sz="6" w:space="0" w:color="auto"/>
              <w:right w:val="nil"/>
            </w:tcBorders>
            <w:shd w:val="clear" w:color="auto" w:fill="auto"/>
            <w:noWrap/>
            <w:vAlign w:val="center"/>
            <w:hideMark/>
          </w:tcPr>
          <w:p w14:paraId="0A7E4CA9" w14:textId="77777777" w:rsidR="00A223E5" w:rsidRPr="00A00187" w:rsidRDefault="00A223E5" w:rsidP="00A223E5">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322940E4" w14:textId="77777777" w:rsidTr="00A223E5">
        <w:trPr>
          <w:trHeight w:val="330"/>
        </w:trPr>
        <w:tc>
          <w:tcPr>
            <w:tcW w:w="2796" w:type="dxa"/>
            <w:tcBorders>
              <w:top w:val="nil"/>
              <w:left w:val="nil"/>
              <w:bottom w:val="single" w:sz="4" w:space="0" w:color="auto"/>
              <w:right w:val="nil"/>
            </w:tcBorders>
            <w:shd w:val="clear" w:color="auto" w:fill="auto"/>
            <w:noWrap/>
            <w:vAlign w:val="bottom"/>
            <w:hideMark/>
          </w:tcPr>
          <w:p w14:paraId="4C47B543"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MS Praha</w:t>
            </w:r>
          </w:p>
        </w:tc>
        <w:tc>
          <w:tcPr>
            <w:tcW w:w="1116" w:type="dxa"/>
            <w:tcBorders>
              <w:top w:val="nil"/>
              <w:left w:val="nil"/>
              <w:bottom w:val="single" w:sz="4" w:space="0" w:color="auto"/>
              <w:right w:val="nil"/>
            </w:tcBorders>
            <w:shd w:val="clear" w:color="auto" w:fill="auto"/>
            <w:noWrap/>
            <w:vAlign w:val="bottom"/>
            <w:hideMark/>
          </w:tcPr>
          <w:p w14:paraId="76019DC2"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178</w:t>
            </w:r>
          </w:p>
        </w:tc>
        <w:tc>
          <w:tcPr>
            <w:tcW w:w="2080" w:type="dxa"/>
            <w:tcBorders>
              <w:top w:val="nil"/>
              <w:left w:val="nil"/>
              <w:bottom w:val="single" w:sz="4" w:space="0" w:color="auto"/>
              <w:right w:val="nil"/>
            </w:tcBorders>
            <w:shd w:val="clear" w:color="auto" w:fill="auto"/>
            <w:noWrap/>
            <w:vAlign w:val="center"/>
            <w:hideMark/>
          </w:tcPr>
          <w:p w14:paraId="370E1430" w14:textId="3422B326"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r>
      <w:tr w:rsidR="00AC1E67" w:rsidRPr="00A00187" w14:paraId="6EB4F1AF" w14:textId="77777777" w:rsidTr="00A223E5">
        <w:trPr>
          <w:trHeight w:val="315"/>
        </w:trPr>
        <w:tc>
          <w:tcPr>
            <w:tcW w:w="2796" w:type="dxa"/>
            <w:tcBorders>
              <w:top w:val="nil"/>
              <w:left w:val="nil"/>
              <w:bottom w:val="single" w:sz="4" w:space="0" w:color="auto"/>
              <w:right w:val="nil"/>
            </w:tcBorders>
            <w:shd w:val="clear" w:color="auto" w:fill="auto"/>
            <w:noWrap/>
            <w:vAlign w:val="bottom"/>
            <w:hideMark/>
          </w:tcPr>
          <w:p w14:paraId="73AB414B"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KS Praha</w:t>
            </w:r>
          </w:p>
        </w:tc>
        <w:tc>
          <w:tcPr>
            <w:tcW w:w="1116" w:type="dxa"/>
            <w:tcBorders>
              <w:top w:val="nil"/>
              <w:left w:val="nil"/>
              <w:bottom w:val="single" w:sz="4" w:space="0" w:color="auto"/>
              <w:right w:val="nil"/>
            </w:tcBorders>
            <w:shd w:val="clear" w:color="auto" w:fill="auto"/>
            <w:noWrap/>
            <w:vAlign w:val="bottom"/>
            <w:hideMark/>
          </w:tcPr>
          <w:p w14:paraId="0BF4CB9E"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210</w:t>
            </w:r>
          </w:p>
        </w:tc>
        <w:tc>
          <w:tcPr>
            <w:tcW w:w="2080" w:type="dxa"/>
            <w:tcBorders>
              <w:top w:val="nil"/>
              <w:left w:val="nil"/>
              <w:bottom w:val="single" w:sz="4" w:space="0" w:color="auto"/>
              <w:right w:val="nil"/>
            </w:tcBorders>
            <w:shd w:val="clear" w:color="auto" w:fill="auto"/>
            <w:noWrap/>
            <w:vAlign w:val="center"/>
            <w:hideMark/>
          </w:tcPr>
          <w:p w14:paraId="49341921" w14:textId="323F9A23"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r>
      <w:tr w:rsidR="00AC1E67" w:rsidRPr="00A00187" w14:paraId="6E98DBB0" w14:textId="77777777" w:rsidTr="00A223E5">
        <w:trPr>
          <w:trHeight w:val="315"/>
        </w:trPr>
        <w:tc>
          <w:tcPr>
            <w:tcW w:w="2796" w:type="dxa"/>
            <w:tcBorders>
              <w:top w:val="nil"/>
              <w:left w:val="nil"/>
              <w:bottom w:val="single" w:sz="4" w:space="0" w:color="auto"/>
              <w:right w:val="nil"/>
            </w:tcBorders>
            <w:shd w:val="clear" w:color="auto" w:fill="auto"/>
            <w:noWrap/>
            <w:vAlign w:val="bottom"/>
            <w:hideMark/>
          </w:tcPr>
          <w:p w14:paraId="2EA8B997"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KS Č. Budějovice</w:t>
            </w:r>
          </w:p>
        </w:tc>
        <w:tc>
          <w:tcPr>
            <w:tcW w:w="1116" w:type="dxa"/>
            <w:tcBorders>
              <w:top w:val="nil"/>
              <w:left w:val="nil"/>
              <w:bottom w:val="single" w:sz="4" w:space="0" w:color="auto"/>
              <w:right w:val="nil"/>
            </w:tcBorders>
            <w:shd w:val="clear" w:color="auto" w:fill="auto"/>
            <w:noWrap/>
            <w:vAlign w:val="bottom"/>
            <w:hideMark/>
          </w:tcPr>
          <w:p w14:paraId="19E4A8CE"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257</w:t>
            </w:r>
          </w:p>
        </w:tc>
        <w:tc>
          <w:tcPr>
            <w:tcW w:w="2080" w:type="dxa"/>
            <w:tcBorders>
              <w:top w:val="nil"/>
              <w:left w:val="nil"/>
              <w:bottom w:val="single" w:sz="4" w:space="0" w:color="auto"/>
              <w:right w:val="nil"/>
            </w:tcBorders>
            <w:shd w:val="clear" w:color="auto" w:fill="auto"/>
            <w:noWrap/>
            <w:vAlign w:val="center"/>
            <w:hideMark/>
          </w:tcPr>
          <w:p w14:paraId="742C9D3B" w14:textId="4D0908AE"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57835C62" w14:textId="77777777" w:rsidTr="00A223E5">
        <w:trPr>
          <w:trHeight w:val="315"/>
        </w:trPr>
        <w:tc>
          <w:tcPr>
            <w:tcW w:w="2796" w:type="dxa"/>
            <w:tcBorders>
              <w:top w:val="nil"/>
              <w:left w:val="nil"/>
              <w:bottom w:val="single" w:sz="4" w:space="0" w:color="auto"/>
              <w:right w:val="nil"/>
            </w:tcBorders>
            <w:shd w:val="clear" w:color="auto" w:fill="auto"/>
            <w:noWrap/>
            <w:vAlign w:val="bottom"/>
            <w:hideMark/>
          </w:tcPr>
          <w:p w14:paraId="7930E77E"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KS Plzeň</w:t>
            </w:r>
          </w:p>
        </w:tc>
        <w:tc>
          <w:tcPr>
            <w:tcW w:w="1116" w:type="dxa"/>
            <w:tcBorders>
              <w:top w:val="nil"/>
              <w:left w:val="nil"/>
              <w:bottom w:val="single" w:sz="4" w:space="0" w:color="auto"/>
              <w:right w:val="nil"/>
            </w:tcBorders>
            <w:shd w:val="clear" w:color="auto" w:fill="auto"/>
            <w:noWrap/>
            <w:vAlign w:val="bottom"/>
            <w:hideMark/>
          </w:tcPr>
          <w:p w14:paraId="642DD704"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306</w:t>
            </w:r>
          </w:p>
        </w:tc>
        <w:tc>
          <w:tcPr>
            <w:tcW w:w="2080" w:type="dxa"/>
            <w:tcBorders>
              <w:top w:val="nil"/>
              <w:left w:val="nil"/>
              <w:bottom w:val="single" w:sz="4" w:space="0" w:color="auto"/>
              <w:right w:val="nil"/>
            </w:tcBorders>
            <w:shd w:val="clear" w:color="auto" w:fill="auto"/>
            <w:noWrap/>
            <w:vAlign w:val="center"/>
            <w:hideMark/>
          </w:tcPr>
          <w:p w14:paraId="4D9E933D" w14:textId="6E9EDE7D"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+107</w:t>
            </w:r>
            <w:r w:rsidR="00CB570A">
              <w:rPr>
                <w:rFonts w:eastAsia="Times New Roman"/>
                <w:sz w:val="20"/>
                <w:szCs w:val="20"/>
                <w:lang w:eastAsia="cs-CZ"/>
              </w:rPr>
              <w:t> %</w:t>
            </w:r>
          </w:p>
        </w:tc>
      </w:tr>
      <w:tr w:rsidR="00AC1E67" w:rsidRPr="00A00187" w14:paraId="15FC0444" w14:textId="77777777" w:rsidTr="00A223E5">
        <w:trPr>
          <w:trHeight w:val="315"/>
        </w:trPr>
        <w:tc>
          <w:tcPr>
            <w:tcW w:w="2796" w:type="dxa"/>
            <w:tcBorders>
              <w:top w:val="nil"/>
              <w:left w:val="nil"/>
              <w:bottom w:val="single" w:sz="4" w:space="0" w:color="auto"/>
              <w:right w:val="nil"/>
            </w:tcBorders>
            <w:shd w:val="clear" w:color="auto" w:fill="auto"/>
            <w:noWrap/>
            <w:vAlign w:val="bottom"/>
            <w:hideMark/>
          </w:tcPr>
          <w:p w14:paraId="657BF18B"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KS Ústí n. Labem</w:t>
            </w:r>
          </w:p>
        </w:tc>
        <w:tc>
          <w:tcPr>
            <w:tcW w:w="1116" w:type="dxa"/>
            <w:tcBorders>
              <w:top w:val="nil"/>
              <w:left w:val="nil"/>
              <w:bottom w:val="single" w:sz="4" w:space="0" w:color="auto"/>
              <w:right w:val="nil"/>
            </w:tcBorders>
            <w:shd w:val="clear" w:color="auto" w:fill="auto"/>
            <w:noWrap/>
            <w:vAlign w:val="bottom"/>
            <w:hideMark/>
          </w:tcPr>
          <w:p w14:paraId="5EEE4872"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337</w:t>
            </w:r>
          </w:p>
        </w:tc>
        <w:tc>
          <w:tcPr>
            <w:tcW w:w="2080" w:type="dxa"/>
            <w:tcBorders>
              <w:top w:val="nil"/>
              <w:left w:val="nil"/>
              <w:bottom w:val="single" w:sz="4" w:space="0" w:color="auto"/>
              <w:right w:val="nil"/>
            </w:tcBorders>
            <w:shd w:val="clear" w:color="auto" w:fill="auto"/>
            <w:noWrap/>
            <w:vAlign w:val="center"/>
            <w:hideMark/>
          </w:tcPr>
          <w:p w14:paraId="765E2D47" w14:textId="5FCA5519"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r>
      <w:tr w:rsidR="00AC1E67" w:rsidRPr="00A00187" w14:paraId="002A1D10" w14:textId="77777777" w:rsidTr="00A223E5">
        <w:trPr>
          <w:trHeight w:val="315"/>
        </w:trPr>
        <w:tc>
          <w:tcPr>
            <w:tcW w:w="2796" w:type="dxa"/>
            <w:tcBorders>
              <w:top w:val="nil"/>
              <w:left w:val="nil"/>
              <w:bottom w:val="single" w:sz="4" w:space="0" w:color="auto"/>
              <w:right w:val="nil"/>
            </w:tcBorders>
            <w:shd w:val="clear" w:color="auto" w:fill="auto"/>
            <w:noWrap/>
            <w:vAlign w:val="bottom"/>
            <w:hideMark/>
          </w:tcPr>
          <w:p w14:paraId="003C67C5"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KS Hr. Králové</w:t>
            </w:r>
          </w:p>
        </w:tc>
        <w:tc>
          <w:tcPr>
            <w:tcW w:w="1116" w:type="dxa"/>
            <w:tcBorders>
              <w:top w:val="nil"/>
              <w:left w:val="nil"/>
              <w:bottom w:val="single" w:sz="4" w:space="0" w:color="auto"/>
              <w:right w:val="nil"/>
            </w:tcBorders>
            <w:shd w:val="clear" w:color="auto" w:fill="auto"/>
            <w:noWrap/>
            <w:vAlign w:val="bottom"/>
            <w:hideMark/>
          </w:tcPr>
          <w:p w14:paraId="2865937C"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227</w:t>
            </w:r>
          </w:p>
        </w:tc>
        <w:tc>
          <w:tcPr>
            <w:tcW w:w="2080" w:type="dxa"/>
            <w:tcBorders>
              <w:top w:val="nil"/>
              <w:left w:val="nil"/>
              <w:bottom w:val="single" w:sz="4" w:space="0" w:color="auto"/>
              <w:right w:val="nil"/>
            </w:tcBorders>
            <w:shd w:val="clear" w:color="auto" w:fill="auto"/>
            <w:noWrap/>
            <w:vAlign w:val="center"/>
            <w:hideMark/>
          </w:tcPr>
          <w:p w14:paraId="5BD7C840" w14:textId="702F8B4D"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6A9F8933" w14:textId="77777777" w:rsidTr="00A223E5">
        <w:trPr>
          <w:trHeight w:val="315"/>
        </w:trPr>
        <w:tc>
          <w:tcPr>
            <w:tcW w:w="2796" w:type="dxa"/>
            <w:tcBorders>
              <w:top w:val="nil"/>
              <w:left w:val="nil"/>
              <w:bottom w:val="single" w:sz="4" w:space="0" w:color="auto"/>
              <w:right w:val="nil"/>
            </w:tcBorders>
            <w:shd w:val="clear" w:color="auto" w:fill="auto"/>
            <w:noWrap/>
            <w:vAlign w:val="bottom"/>
            <w:hideMark/>
          </w:tcPr>
          <w:p w14:paraId="6AA9B22C"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KS Brno</w:t>
            </w:r>
          </w:p>
        </w:tc>
        <w:tc>
          <w:tcPr>
            <w:tcW w:w="1116" w:type="dxa"/>
            <w:tcBorders>
              <w:top w:val="nil"/>
              <w:left w:val="nil"/>
              <w:bottom w:val="single" w:sz="4" w:space="0" w:color="auto"/>
              <w:right w:val="nil"/>
            </w:tcBorders>
            <w:shd w:val="clear" w:color="auto" w:fill="auto"/>
            <w:noWrap/>
            <w:vAlign w:val="bottom"/>
            <w:hideMark/>
          </w:tcPr>
          <w:p w14:paraId="0B252725"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297</w:t>
            </w:r>
          </w:p>
        </w:tc>
        <w:tc>
          <w:tcPr>
            <w:tcW w:w="2080" w:type="dxa"/>
            <w:tcBorders>
              <w:top w:val="nil"/>
              <w:left w:val="nil"/>
              <w:bottom w:val="single" w:sz="4" w:space="0" w:color="auto"/>
              <w:right w:val="nil"/>
            </w:tcBorders>
            <w:shd w:val="clear" w:color="auto" w:fill="auto"/>
            <w:noWrap/>
            <w:vAlign w:val="center"/>
            <w:hideMark/>
          </w:tcPr>
          <w:p w14:paraId="2B5B5A2F" w14:textId="6B000666"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r>
      <w:tr w:rsidR="00AC1E67" w:rsidRPr="00A00187" w14:paraId="679CB535" w14:textId="77777777" w:rsidTr="00A223E5">
        <w:trPr>
          <w:trHeight w:val="330"/>
        </w:trPr>
        <w:tc>
          <w:tcPr>
            <w:tcW w:w="2796" w:type="dxa"/>
            <w:tcBorders>
              <w:top w:val="nil"/>
              <w:left w:val="nil"/>
              <w:bottom w:val="double" w:sz="6" w:space="0" w:color="auto"/>
              <w:right w:val="nil"/>
            </w:tcBorders>
            <w:shd w:val="clear" w:color="auto" w:fill="auto"/>
            <w:noWrap/>
            <w:vAlign w:val="bottom"/>
            <w:hideMark/>
          </w:tcPr>
          <w:p w14:paraId="055F585A" w14:textId="77777777" w:rsidR="00A223E5" w:rsidRPr="00A00187" w:rsidRDefault="00A223E5" w:rsidP="00A223E5">
            <w:pPr>
              <w:spacing w:line="240" w:lineRule="auto"/>
              <w:jc w:val="left"/>
              <w:rPr>
                <w:rFonts w:eastAsia="Times New Roman"/>
                <w:szCs w:val="24"/>
                <w:lang w:eastAsia="cs-CZ"/>
              </w:rPr>
            </w:pPr>
            <w:r w:rsidRPr="00A00187">
              <w:rPr>
                <w:rFonts w:eastAsia="Times New Roman"/>
                <w:szCs w:val="24"/>
                <w:lang w:eastAsia="cs-CZ"/>
              </w:rPr>
              <w:t>KS Ostrava</w:t>
            </w:r>
          </w:p>
        </w:tc>
        <w:tc>
          <w:tcPr>
            <w:tcW w:w="1116" w:type="dxa"/>
            <w:tcBorders>
              <w:top w:val="nil"/>
              <w:left w:val="nil"/>
              <w:bottom w:val="double" w:sz="6" w:space="0" w:color="auto"/>
              <w:right w:val="nil"/>
            </w:tcBorders>
            <w:shd w:val="clear" w:color="auto" w:fill="auto"/>
            <w:noWrap/>
            <w:vAlign w:val="bottom"/>
            <w:hideMark/>
          </w:tcPr>
          <w:p w14:paraId="35CD1A9C" w14:textId="77777777" w:rsidR="00A223E5" w:rsidRPr="00A00187" w:rsidRDefault="00A223E5" w:rsidP="00A223E5">
            <w:pPr>
              <w:spacing w:line="240" w:lineRule="auto"/>
              <w:jc w:val="center"/>
              <w:rPr>
                <w:rFonts w:eastAsia="Times New Roman"/>
                <w:szCs w:val="24"/>
                <w:lang w:eastAsia="cs-CZ"/>
              </w:rPr>
            </w:pPr>
            <w:r w:rsidRPr="00A00187">
              <w:rPr>
                <w:rFonts w:eastAsia="Times New Roman"/>
                <w:szCs w:val="24"/>
                <w:lang w:eastAsia="cs-CZ"/>
              </w:rPr>
              <w:t>146</w:t>
            </w:r>
          </w:p>
        </w:tc>
        <w:tc>
          <w:tcPr>
            <w:tcW w:w="2080" w:type="dxa"/>
            <w:tcBorders>
              <w:top w:val="nil"/>
              <w:left w:val="nil"/>
              <w:bottom w:val="double" w:sz="6" w:space="0" w:color="auto"/>
              <w:right w:val="nil"/>
            </w:tcBorders>
            <w:shd w:val="clear" w:color="auto" w:fill="auto"/>
            <w:noWrap/>
            <w:vAlign w:val="center"/>
            <w:hideMark/>
          </w:tcPr>
          <w:p w14:paraId="1882A911" w14:textId="7B0279F3" w:rsidR="00A223E5" w:rsidRPr="00A00187" w:rsidRDefault="00A223E5" w:rsidP="00641DB9">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r>
      <w:tr w:rsidR="00AC1E67" w:rsidRPr="00A00187" w14:paraId="06AFEF98" w14:textId="77777777" w:rsidTr="00A223E5">
        <w:trPr>
          <w:trHeight w:val="345"/>
        </w:trPr>
        <w:tc>
          <w:tcPr>
            <w:tcW w:w="2796" w:type="dxa"/>
            <w:tcBorders>
              <w:top w:val="nil"/>
              <w:left w:val="nil"/>
              <w:bottom w:val="double" w:sz="6" w:space="0" w:color="auto"/>
              <w:right w:val="nil"/>
            </w:tcBorders>
            <w:shd w:val="clear" w:color="auto" w:fill="auto"/>
            <w:noWrap/>
            <w:vAlign w:val="bottom"/>
            <w:hideMark/>
          </w:tcPr>
          <w:p w14:paraId="01E0AFC3" w14:textId="77777777" w:rsidR="00A223E5" w:rsidRPr="00A00187" w:rsidRDefault="00A223E5" w:rsidP="00A223E5">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16" w:type="dxa"/>
            <w:tcBorders>
              <w:top w:val="nil"/>
              <w:left w:val="nil"/>
              <w:bottom w:val="double" w:sz="6" w:space="0" w:color="auto"/>
              <w:right w:val="nil"/>
            </w:tcBorders>
            <w:shd w:val="clear" w:color="auto" w:fill="auto"/>
            <w:noWrap/>
            <w:vAlign w:val="bottom"/>
            <w:hideMark/>
          </w:tcPr>
          <w:p w14:paraId="23C388D5" w14:textId="77777777" w:rsidR="00A223E5" w:rsidRPr="00A00187" w:rsidRDefault="00A223E5" w:rsidP="00A223E5">
            <w:pPr>
              <w:spacing w:line="240" w:lineRule="auto"/>
              <w:jc w:val="center"/>
              <w:rPr>
                <w:rFonts w:eastAsia="Times New Roman"/>
                <w:b/>
                <w:bCs/>
                <w:szCs w:val="24"/>
                <w:lang w:eastAsia="cs-CZ"/>
              </w:rPr>
            </w:pPr>
            <w:r w:rsidRPr="00A00187">
              <w:rPr>
                <w:rFonts w:eastAsia="Times New Roman"/>
                <w:b/>
                <w:bCs/>
                <w:szCs w:val="24"/>
                <w:lang w:eastAsia="cs-CZ"/>
              </w:rPr>
              <w:t>211</w:t>
            </w:r>
          </w:p>
        </w:tc>
        <w:tc>
          <w:tcPr>
            <w:tcW w:w="2080" w:type="dxa"/>
            <w:tcBorders>
              <w:top w:val="nil"/>
              <w:left w:val="nil"/>
              <w:bottom w:val="double" w:sz="6" w:space="0" w:color="auto"/>
              <w:right w:val="nil"/>
            </w:tcBorders>
            <w:shd w:val="clear" w:color="auto" w:fill="auto"/>
            <w:noWrap/>
            <w:vAlign w:val="center"/>
            <w:hideMark/>
          </w:tcPr>
          <w:p w14:paraId="1F6527AE" w14:textId="290D6C12" w:rsidR="00A223E5" w:rsidRPr="00A00187" w:rsidRDefault="00A223E5"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w:t>
            </w:r>
            <w:r w:rsidR="00CB570A">
              <w:rPr>
                <w:rFonts w:eastAsia="Times New Roman"/>
                <w:b/>
                <w:bCs/>
                <w:sz w:val="20"/>
                <w:szCs w:val="20"/>
                <w:lang w:eastAsia="cs-CZ"/>
              </w:rPr>
              <w:t> %</w:t>
            </w:r>
          </w:p>
        </w:tc>
      </w:tr>
      <w:tr w:rsidR="00AC1E67" w:rsidRPr="00A00187" w14:paraId="349EE10E" w14:textId="77777777" w:rsidTr="00A223E5">
        <w:trPr>
          <w:trHeight w:val="330"/>
        </w:trPr>
        <w:tc>
          <w:tcPr>
            <w:tcW w:w="2796" w:type="dxa"/>
            <w:tcBorders>
              <w:top w:val="nil"/>
              <w:left w:val="nil"/>
              <w:bottom w:val="nil"/>
              <w:right w:val="nil"/>
            </w:tcBorders>
            <w:shd w:val="clear" w:color="auto" w:fill="auto"/>
            <w:noWrap/>
            <w:vAlign w:val="bottom"/>
            <w:hideMark/>
          </w:tcPr>
          <w:p w14:paraId="2687423B" w14:textId="77777777" w:rsidR="00A223E5" w:rsidRPr="00A00187" w:rsidRDefault="00A223E5" w:rsidP="00A223E5">
            <w:pPr>
              <w:spacing w:line="240" w:lineRule="auto"/>
              <w:jc w:val="center"/>
              <w:rPr>
                <w:rFonts w:eastAsia="Times New Roman"/>
                <w:b/>
                <w:bCs/>
                <w:sz w:val="20"/>
                <w:szCs w:val="20"/>
                <w:lang w:eastAsia="cs-CZ"/>
              </w:rPr>
            </w:pPr>
          </w:p>
        </w:tc>
        <w:tc>
          <w:tcPr>
            <w:tcW w:w="1116" w:type="dxa"/>
            <w:tcBorders>
              <w:top w:val="nil"/>
              <w:left w:val="nil"/>
              <w:bottom w:val="nil"/>
              <w:right w:val="nil"/>
            </w:tcBorders>
            <w:shd w:val="clear" w:color="auto" w:fill="auto"/>
            <w:noWrap/>
            <w:vAlign w:val="bottom"/>
            <w:hideMark/>
          </w:tcPr>
          <w:p w14:paraId="2E04AB20" w14:textId="77777777" w:rsidR="00A223E5" w:rsidRPr="00A00187" w:rsidRDefault="00A223E5" w:rsidP="00A223E5">
            <w:pPr>
              <w:spacing w:line="240" w:lineRule="auto"/>
              <w:jc w:val="left"/>
              <w:rPr>
                <w:rFonts w:ascii="Times New Roman" w:eastAsia="Times New Roman" w:hAnsi="Times New Roman"/>
                <w:sz w:val="20"/>
                <w:szCs w:val="20"/>
                <w:lang w:eastAsia="cs-CZ"/>
              </w:rPr>
            </w:pPr>
          </w:p>
        </w:tc>
        <w:tc>
          <w:tcPr>
            <w:tcW w:w="2080" w:type="dxa"/>
            <w:tcBorders>
              <w:top w:val="nil"/>
              <w:left w:val="nil"/>
              <w:bottom w:val="nil"/>
              <w:right w:val="nil"/>
            </w:tcBorders>
            <w:shd w:val="clear" w:color="auto" w:fill="auto"/>
            <w:noWrap/>
            <w:vAlign w:val="bottom"/>
            <w:hideMark/>
          </w:tcPr>
          <w:p w14:paraId="0425AE5D" w14:textId="77777777" w:rsidR="00A223E5" w:rsidRPr="00A00187" w:rsidRDefault="00A223E5" w:rsidP="00641DB9">
            <w:pPr>
              <w:spacing w:line="240" w:lineRule="auto"/>
              <w:jc w:val="center"/>
              <w:rPr>
                <w:rFonts w:ascii="Times New Roman" w:eastAsia="Times New Roman" w:hAnsi="Times New Roman"/>
                <w:sz w:val="20"/>
                <w:szCs w:val="20"/>
                <w:lang w:eastAsia="cs-CZ"/>
              </w:rPr>
            </w:pPr>
          </w:p>
        </w:tc>
      </w:tr>
    </w:tbl>
    <w:p w14:paraId="108E928D" w14:textId="77777777" w:rsidR="008430BD" w:rsidRPr="00A00187" w:rsidRDefault="008430BD" w:rsidP="008430BD">
      <w:pPr>
        <w:pStyle w:val="Nadpis3"/>
        <w:numPr>
          <w:ilvl w:val="2"/>
          <w:numId w:val="1"/>
        </w:numPr>
        <w:rPr>
          <w:color w:val="auto"/>
        </w:rPr>
      </w:pPr>
      <w:bookmarkStart w:id="654" w:name="_Toc106092757"/>
      <w:bookmarkStart w:id="655" w:name="_Toc109801368"/>
      <w:r w:rsidRPr="00A00187">
        <w:rPr>
          <w:color w:val="auto"/>
        </w:rPr>
        <w:t>Další statistiky</w:t>
      </w:r>
      <w:bookmarkEnd w:id="654"/>
      <w:bookmarkEnd w:id="655"/>
    </w:p>
    <w:p w14:paraId="0F357CCC" w14:textId="773ADE8B" w:rsidR="00AC36B1" w:rsidRPr="00A00187" w:rsidRDefault="00AC36B1" w:rsidP="00AC36B1">
      <w:pPr>
        <w:pStyle w:val="OdstavecASR"/>
      </w:pPr>
      <w:r w:rsidRPr="00A00187">
        <w:t xml:space="preserve">U krajských soudů uvádíme stejné dvě </w:t>
      </w:r>
      <w:r w:rsidRPr="00A00187">
        <w:rPr>
          <w:i/>
        </w:rPr>
        <w:t>další statistiky</w:t>
      </w:r>
      <w:r w:rsidRPr="00A00187">
        <w:t xml:space="preserve"> jako u soudů okresních, tj. míru odvolání a míru změny rozsudku. Díky tomu je tyto statistiky možné porovnat mezi okresními a krajskými soudy. Dále </w:t>
      </w:r>
      <w:r w:rsidR="007925D5" w:rsidRPr="00A00187">
        <w:t>jsou uvedeny nejčastější předměty sporu.</w:t>
      </w:r>
    </w:p>
    <w:p w14:paraId="12015B54" w14:textId="2A534467" w:rsidR="00AC36B1" w:rsidRPr="00A00187" w:rsidRDefault="00AC36B1" w:rsidP="0064349A">
      <w:pPr>
        <w:pStyle w:val="OdstavecASR"/>
        <w:keepNext/>
        <w:outlineLvl w:val="3"/>
        <w:rPr>
          <w:b/>
        </w:rPr>
      </w:pPr>
      <w:r w:rsidRPr="00A00187">
        <w:rPr>
          <w:b/>
        </w:rPr>
        <w:t>Míra odvolání</w:t>
      </w:r>
    </w:p>
    <w:p w14:paraId="0A45D8E2" w14:textId="6DF3CB71" w:rsidR="00CB570A" w:rsidRDefault="007504E8" w:rsidP="007504E8">
      <w:pPr>
        <w:pStyle w:val="OdstavecASR"/>
      </w:pPr>
      <w:r w:rsidRPr="00A00187">
        <w:t xml:space="preserve">Vypočtená míra odvolání byla již v letech 2017 až 2020 ovlivněna především očištěním dat o věci s předmětem sporu </w:t>
      </w:r>
      <w:r w:rsidRPr="00A00187">
        <w:rPr>
          <w:i/>
        </w:rPr>
        <w:t>právní vztahy související se zrušením a likvidací obchodních korporací</w:t>
      </w:r>
      <w:r w:rsidRPr="00A00187">
        <w:t xml:space="preserve"> (viz podkapitola </w:t>
      </w:r>
      <w:r w:rsidR="000C430A" w:rsidRPr="00A00187">
        <w:fldChar w:fldCharType="begin"/>
      </w:r>
      <w:r w:rsidR="000C430A" w:rsidRPr="00A00187">
        <w:instrText xml:space="preserve"> REF _Ref103764802 \r \h </w:instrText>
      </w:r>
      <w:r w:rsidR="005C6C65" w:rsidRPr="00A00187">
        <w:instrText xml:space="preserve"> \* MERGEFORMAT </w:instrText>
      </w:r>
      <w:r w:rsidR="000C430A" w:rsidRPr="00A00187">
        <w:fldChar w:fldCharType="separate"/>
      </w:r>
      <w:r w:rsidR="00DE6B5E">
        <w:t>3.2.1</w:t>
      </w:r>
      <w:r w:rsidR="000C430A" w:rsidRPr="00A00187">
        <w:fldChar w:fldCharType="end"/>
      </w:r>
      <w:r w:rsidRPr="00A00187">
        <w:t>.</w:t>
      </w:r>
      <w:r w:rsidR="003B24D9" w:rsidRPr="00A00187">
        <w:t>)</w:t>
      </w:r>
      <w:r w:rsidR="00F2278E" w:rsidRPr="00A00187">
        <w:t>.</w:t>
      </w:r>
      <w:r w:rsidRPr="00A00187">
        <w:t xml:space="preserve"> V letošním roce byla míra odvolání rovněž očištěna </w:t>
      </w:r>
      <w:r w:rsidR="00755920" w:rsidRPr="00A00187">
        <w:t>o</w:t>
      </w:r>
      <w:r w:rsidR="00755920">
        <w:t> </w:t>
      </w:r>
      <w:r w:rsidR="003F1DB2" w:rsidRPr="00A00187">
        <w:t xml:space="preserve">věci </w:t>
      </w:r>
      <w:r w:rsidR="00381A53" w:rsidRPr="00A00187">
        <w:t>s </w:t>
      </w:r>
      <w:r w:rsidR="003F1DB2" w:rsidRPr="00A00187">
        <w:t xml:space="preserve">předmětem sporu </w:t>
      </w:r>
      <w:r w:rsidR="003F1DB2" w:rsidRPr="00A00187">
        <w:rPr>
          <w:i/>
          <w:iCs/>
        </w:rPr>
        <w:t xml:space="preserve">zrušení </w:t>
      </w:r>
      <w:r w:rsidR="000D5984" w:rsidRPr="00A00187">
        <w:rPr>
          <w:i/>
          <w:iCs/>
        </w:rPr>
        <w:t>a </w:t>
      </w:r>
      <w:r w:rsidR="003F1DB2" w:rsidRPr="00A00187">
        <w:rPr>
          <w:i/>
          <w:iCs/>
        </w:rPr>
        <w:t xml:space="preserve">jmenování likvidátora </w:t>
      </w:r>
      <w:r w:rsidR="00755920" w:rsidRPr="00A00187">
        <w:rPr>
          <w:i/>
          <w:iCs/>
        </w:rPr>
        <w:t>u</w:t>
      </w:r>
      <w:r w:rsidR="00755920">
        <w:rPr>
          <w:i/>
          <w:iCs/>
        </w:rPr>
        <w:t> </w:t>
      </w:r>
      <w:r w:rsidR="003F1DB2" w:rsidRPr="00A00187">
        <w:rPr>
          <w:i/>
          <w:iCs/>
        </w:rPr>
        <w:t>jiných korporací (spolky, odborové organizace atd.)</w:t>
      </w:r>
      <w:r w:rsidR="00381A53" w:rsidRPr="00A00187">
        <w:t>;</w:t>
      </w:r>
      <w:r w:rsidR="003F1DB2" w:rsidRPr="00A00187">
        <w:t xml:space="preserve"> </w:t>
      </w:r>
      <w:r w:rsidR="00381A53" w:rsidRPr="00A00187">
        <w:t>více</w:t>
      </w:r>
      <w:r w:rsidR="003F1DB2" w:rsidRPr="00A00187">
        <w:t xml:space="preserve"> opět viz podkapitola </w:t>
      </w:r>
      <w:r w:rsidR="000C430A" w:rsidRPr="00A00187">
        <w:fldChar w:fldCharType="begin"/>
      </w:r>
      <w:r w:rsidR="000C430A" w:rsidRPr="00A00187">
        <w:instrText xml:space="preserve"> REF _Ref103764829 \r \h </w:instrText>
      </w:r>
      <w:r w:rsidR="00A00187">
        <w:instrText xml:space="preserve"> \* MERGEFORMAT </w:instrText>
      </w:r>
      <w:r w:rsidR="000C430A" w:rsidRPr="00A00187">
        <w:fldChar w:fldCharType="separate"/>
      </w:r>
      <w:r w:rsidR="00DE6B5E">
        <w:t>3.2.1</w:t>
      </w:r>
      <w:r w:rsidR="000C430A" w:rsidRPr="00A00187">
        <w:fldChar w:fldCharType="end"/>
      </w:r>
      <w:r w:rsidR="003F1DB2" w:rsidRPr="00A00187">
        <w:t>.</w:t>
      </w:r>
      <w:r w:rsidR="009D6DBE" w:rsidRPr="00A00187">
        <w:t xml:space="preserve"> Za účelem srovnání opět došlo ke změně </w:t>
      </w:r>
      <w:r w:rsidR="00755920" w:rsidRPr="00A00187">
        <w:t>i</w:t>
      </w:r>
      <w:r w:rsidR="00755920">
        <w:t> </w:t>
      </w:r>
      <w:r w:rsidR="009D6DBE" w:rsidRPr="00A00187">
        <w:t>zpětně.</w:t>
      </w:r>
    </w:p>
    <w:p w14:paraId="4F439893" w14:textId="767A5B22" w:rsidR="009D6DBE" w:rsidRPr="00A00187" w:rsidRDefault="009D6DBE" w:rsidP="009D6DBE">
      <w:pPr>
        <w:pStyle w:val="Podnadpis"/>
        <w:rPr>
          <w:color w:val="auto"/>
        </w:rPr>
      </w:pPr>
      <w:bookmarkStart w:id="656" w:name="_Toc515871471"/>
      <w:bookmarkStart w:id="657" w:name="_Toc11133238"/>
      <w:bookmarkStart w:id="658" w:name="_Toc43931217"/>
      <w:bookmarkStart w:id="659" w:name="_Toc75952350"/>
      <w:bookmarkStart w:id="660" w:name="_Toc106106807"/>
      <w:bookmarkStart w:id="661" w:name="_Toc109802130"/>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45</w:t>
      </w:r>
      <w:r w:rsidRPr="00A00187">
        <w:rPr>
          <w:color w:val="auto"/>
        </w:rPr>
        <w:fldChar w:fldCharType="end"/>
      </w:r>
      <w:r w:rsidRPr="00A00187">
        <w:rPr>
          <w:color w:val="auto"/>
        </w:rPr>
        <w:t>: KS – míra odvolání dle soudů v civilním řízení</w:t>
      </w:r>
      <w:bookmarkEnd w:id="656"/>
      <w:bookmarkEnd w:id="657"/>
      <w:bookmarkEnd w:id="658"/>
      <w:bookmarkEnd w:id="659"/>
      <w:bookmarkEnd w:id="660"/>
      <w:bookmarkEnd w:id="661"/>
    </w:p>
    <w:tbl>
      <w:tblPr>
        <w:tblW w:w="6332" w:type="dxa"/>
        <w:tblCellMar>
          <w:left w:w="70" w:type="dxa"/>
          <w:right w:w="70" w:type="dxa"/>
        </w:tblCellMar>
        <w:tblLook w:val="04A0" w:firstRow="1" w:lastRow="0" w:firstColumn="1" w:lastColumn="0" w:noHBand="0" w:noVBand="1"/>
      </w:tblPr>
      <w:tblGrid>
        <w:gridCol w:w="2796"/>
        <w:gridCol w:w="1439"/>
        <w:gridCol w:w="2097"/>
      </w:tblGrid>
      <w:tr w:rsidR="00AC1E67" w:rsidRPr="00A00187" w14:paraId="4A5026C8" w14:textId="77777777" w:rsidTr="009D6DBE">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38EB0E0D" w14:textId="77777777" w:rsidR="009D6DBE" w:rsidRPr="00A00187" w:rsidRDefault="009D6DBE" w:rsidP="009D6DBE">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536" w:type="dxa"/>
            <w:gridSpan w:val="2"/>
            <w:tcBorders>
              <w:top w:val="double" w:sz="6" w:space="0" w:color="auto"/>
              <w:left w:val="nil"/>
              <w:bottom w:val="double" w:sz="6" w:space="0" w:color="auto"/>
              <w:right w:val="nil"/>
            </w:tcBorders>
            <w:shd w:val="clear" w:color="auto" w:fill="auto"/>
            <w:noWrap/>
            <w:vAlign w:val="center"/>
            <w:hideMark/>
          </w:tcPr>
          <w:p w14:paraId="2C86CC16" w14:textId="28A4CFB3" w:rsidR="009D6DBE" w:rsidRPr="00A00187" w:rsidRDefault="009D6DBE" w:rsidP="009D6DBE">
            <w:pPr>
              <w:spacing w:line="240" w:lineRule="auto"/>
              <w:jc w:val="center"/>
              <w:rPr>
                <w:rFonts w:eastAsia="Times New Roman"/>
                <w:b/>
                <w:bCs/>
                <w:szCs w:val="24"/>
                <w:lang w:eastAsia="cs-CZ"/>
              </w:rPr>
            </w:pPr>
            <w:r w:rsidRPr="00A00187">
              <w:rPr>
                <w:rFonts w:eastAsia="Times New Roman"/>
                <w:b/>
                <w:bCs/>
                <w:szCs w:val="24"/>
                <w:lang w:eastAsia="cs-CZ"/>
              </w:rPr>
              <w:t>Míra odvolání (v</w:t>
            </w:r>
            <w:r w:rsidR="00CB570A">
              <w:rPr>
                <w:rFonts w:eastAsia="Times New Roman"/>
                <w:b/>
                <w:bCs/>
                <w:szCs w:val="24"/>
                <w:lang w:eastAsia="cs-CZ"/>
              </w:rPr>
              <w:t> %</w:t>
            </w:r>
            <w:r w:rsidRPr="00A00187">
              <w:rPr>
                <w:rFonts w:eastAsia="Times New Roman"/>
                <w:b/>
                <w:bCs/>
                <w:szCs w:val="24"/>
                <w:lang w:eastAsia="cs-CZ"/>
              </w:rPr>
              <w:t xml:space="preserve">) </w:t>
            </w:r>
          </w:p>
        </w:tc>
      </w:tr>
      <w:tr w:rsidR="00AC1E67" w:rsidRPr="00A00187" w14:paraId="5AA70C62" w14:textId="77777777" w:rsidTr="009D6DBE">
        <w:trPr>
          <w:trHeight w:val="330"/>
        </w:trPr>
        <w:tc>
          <w:tcPr>
            <w:tcW w:w="2796" w:type="dxa"/>
            <w:tcBorders>
              <w:top w:val="nil"/>
              <w:left w:val="nil"/>
              <w:bottom w:val="single" w:sz="4" w:space="0" w:color="auto"/>
              <w:right w:val="nil"/>
            </w:tcBorders>
            <w:shd w:val="clear" w:color="auto" w:fill="auto"/>
            <w:noWrap/>
            <w:vAlign w:val="bottom"/>
            <w:hideMark/>
          </w:tcPr>
          <w:p w14:paraId="7FECA8BC"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MS Praha</w:t>
            </w:r>
          </w:p>
        </w:tc>
        <w:tc>
          <w:tcPr>
            <w:tcW w:w="1439" w:type="dxa"/>
            <w:tcBorders>
              <w:top w:val="nil"/>
              <w:left w:val="nil"/>
              <w:bottom w:val="single" w:sz="4" w:space="0" w:color="auto"/>
              <w:right w:val="nil"/>
            </w:tcBorders>
            <w:shd w:val="clear" w:color="auto" w:fill="auto"/>
            <w:noWrap/>
            <w:vAlign w:val="bottom"/>
            <w:hideMark/>
          </w:tcPr>
          <w:p w14:paraId="35122B95" w14:textId="5E657DDA"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36</w:t>
            </w:r>
            <w:r w:rsidR="00BB5B7C" w:rsidRPr="00A00187">
              <w:rPr>
                <w:rFonts w:eastAsia="Times New Roman"/>
                <w:szCs w:val="24"/>
                <w:lang w:eastAsia="cs-CZ"/>
              </w:rPr>
              <w:t>,</w:t>
            </w:r>
            <w:r w:rsidRPr="00A00187">
              <w:rPr>
                <w:rFonts w:eastAsia="Times New Roman"/>
                <w:szCs w:val="24"/>
                <w:lang w:eastAsia="cs-CZ"/>
              </w:rPr>
              <w:t>13</w:t>
            </w:r>
            <w:r w:rsidR="00CB570A">
              <w:rPr>
                <w:rFonts w:eastAsia="Times New Roman"/>
                <w:szCs w:val="24"/>
                <w:lang w:eastAsia="cs-CZ"/>
              </w:rPr>
              <w:t> %</w:t>
            </w:r>
          </w:p>
        </w:tc>
        <w:tc>
          <w:tcPr>
            <w:tcW w:w="2097" w:type="dxa"/>
            <w:tcBorders>
              <w:top w:val="nil"/>
              <w:left w:val="nil"/>
              <w:bottom w:val="single" w:sz="4" w:space="0" w:color="auto"/>
              <w:right w:val="nil"/>
            </w:tcBorders>
            <w:shd w:val="clear" w:color="auto" w:fill="auto"/>
            <w:noWrap/>
            <w:vAlign w:val="center"/>
            <w:hideMark/>
          </w:tcPr>
          <w:p w14:paraId="151ED391" w14:textId="47C21086"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+4</w:t>
            </w:r>
            <w:r w:rsidR="00BB5B7C" w:rsidRPr="00A00187">
              <w:rPr>
                <w:rFonts w:eastAsia="Times New Roman"/>
                <w:sz w:val="20"/>
                <w:szCs w:val="20"/>
                <w:lang w:eastAsia="cs-CZ"/>
              </w:rPr>
              <w:t>,</w:t>
            </w:r>
            <w:r w:rsidR="00755920" w:rsidRPr="00A00187">
              <w:rPr>
                <w:rFonts w:eastAsia="Times New Roman"/>
                <w:sz w:val="20"/>
                <w:szCs w:val="20"/>
                <w:lang w:eastAsia="cs-CZ"/>
              </w:rPr>
              <w:t>3</w:t>
            </w:r>
            <w:r w:rsidR="00755920">
              <w:rPr>
                <w:rFonts w:eastAsia="Times New Roman"/>
                <w:sz w:val="20"/>
                <w:szCs w:val="20"/>
                <w:lang w:eastAsia="cs-CZ"/>
              </w:rPr>
              <w:t xml:space="preserve">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51CD65E" w14:textId="77777777" w:rsidTr="009D6DBE">
        <w:trPr>
          <w:trHeight w:val="315"/>
        </w:trPr>
        <w:tc>
          <w:tcPr>
            <w:tcW w:w="2796" w:type="dxa"/>
            <w:tcBorders>
              <w:top w:val="nil"/>
              <w:left w:val="nil"/>
              <w:bottom w:val="single" w:sz="4" w:space="0" w:color="auto"/>
              <w:right w:val="nil"/>
            </w:tcBorders>
            <w:shd w:val="clear" w:color="auto" w:fill="auto"/>
            <w:noWrap/>
            <w:vAlign w:val="bottom"/>
            <w:hideMark/>
          </w:tcPr>
          <w:p w14:paraId="5592F9F8"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KS Praha</w:t>
            </w:r>
          </w:p>
        </w:tc>
        <w:tc>
          <w:tcPr>
            <w:tcW w:w="1439" w:type="dxa"/>
            <w:tcBorders>
              <w:top w:val="nil"/>
              <w:left w:val="nil"/>
              <w:bottom w:val="single" w:sz="4" w:space="0" w:color="auto"/>
              <w:right w:val="nil"/>
            </w:tcBorders>
            <w:shd w:val="clear" w:color="auto" w:fill="auto"/>
            <w:noWrap/>
            <w:vAlign w:val="bottom"/>
            <w:hideMark/>
          </w:tcPr>
          <w:p w14:paraId="028C8E4B" w14:textId="0E94CFAC"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29</w:t>
            </w:r>
            <w:r w:rsidR="00BB5B7C" w:rsidRPr="00A00187">
              <w:rPr>
                <w:rFonts w:eastAsia="Times New Roman"/>
                <w:szCs w:val="24"/>
                <w:lang w:eastAsia="cs-CZ"/>
              </w:rPr>
              <w:t>,</w:t>
            </w:r>
            <w:r w:rsidRPr="00A00187">
              <w:rPr>
                <w:rFonts w:eastAsia="Times New Roman"/>
                <w:szCs w:val="24"/>
                <w:lang w:eastAsia="cs-CZ"/>
              </w:rPr>
              <w:t>63</w:t>
            </w:r>
            <w:r w:rsidR="00CB570A">
              <w:rPr>
                <w:rFonts w:eastAsia="Times New Roman"/>
                <w:szCs w:val="24"/>
                <w:lang w:eastAsia="cs-CZ"/>
              </w:rPr>
              <w:t> %</w:t>
            </w:r>
          </w:p>
        </w:tc>
        <w:tc>
          <w:tcPr>
            <w:tcW w:w="2097" w:type="dxa"/>
            <w:tcBorders>
              <w:top w:val="nil"/>
              <w:left w:val="nil"/>
              <w:bottom w:val="single" w:sz="4" w:space="0" w:color="auto"/>
              <w:right w:val="nil"/>
            </w:tcBorders>
            <w:shd w:val="clear" w:color="auto" w:fill="auto"/>
            <w:noWrap/>
            <w:vAlign w:val="center"/>
            <w:hideMark/>
          </w:tcPr>
          <w:p w14:paraId="653B75A3" w14:textId="03130F2A"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+7</w:t>
            </w:r>
            <w:r w:rsidR="00BB5B7C" w:rsidRPr="00A00187">
              <w:rPr>
                <w:rFonts w:eastAsia="Times New Roman"/>
                <w:sz w:val="20"/>
                <w:szCs w:val="20"/>
                <w:lang w:eastAsia="cs-CZ"/>
              </w:rPr>
              <w:t>,</w:t>
            </w:r>
            <w:r w:rsidRPr="00A00187">
              <w:rPr>
                <w:rFonts w:eastAsia="Times New Roman"/>
                <w:sz w:val="20"/>
                <w:szCs w:val="20"/>
                <w:lang w:eastAsia="cs-CZ"/>
              </w:rPr>
              <w:t xml:space="preserve">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09621DB" w14:textId="77777777" w:rsidTr="009D6DBE">
        <w:trPr>
          <w:trHeight w:val="315"/>
        </w:trPr>
        <w:tc>
          <w:tcPr>
            <w:tcW w:w="2796" w:type="dxa"/>
            <w:tcBorders>
              <w:top w:val="nil"/>
              <w:left w:val="nil"/>
              <w:bottom w:val="single" w:sz="4" w:space="0" w:color="auto"/>
              <w:right w:val="nil"/>
            </w:tcBorders>
            <w:shd w:val="clear" w:color="auto" w:fill="auto"/>
            <w:noWrap/>
            <w:vAlign w:val="bottom"/>
            <w:hideMark/>
          </w:tcPr>
          <w:p w14:paraId="2E58B110"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KS Č. Budějovice</w:t>
            </w:r>
          </w:p>
        </w:tc>
        <w:tc>
          <w:tcPr>
            <w:tcW w:w="1439" w:type="dxa"/>
            <w:tcBorders>
              <w:top w:val="nil"/>
              <w:left w:val="nil"/>
              <w:bottom w:val="single" w:sz="4" w:space="0" w:color="auto"/>
              <w:right w:val="nil"/>
            </w:tcBorders>
            <w:shd w:val="clear" w:color="auto" w:fill="auto"/>
            <w:noWrap/>
            <w:vAlign w:val="bottom"/>
            <w:hideMark/>
          </w:tcPr>
          <w:p w14:paraId="1B8D6F48" w14:textId="6F2726E6"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38</w:t>
            </w:r>
            <w:r w:rsidR="00BB5B7C" w:rsidRPr="00A00187">
              <w:rPr>
                <w:rFonts w:eastAsia="Times New Roman"/>
                <w:szCs w:val="24"/>
                <w:lang w:eastAsia="cs-CZ"/>
              </w:rPr>
              <w:t>,</w:t>
            </w:r>
            <w:r w:rsidRPr="00A00187">
              <w:rPr>
                <w:rFonts w:eastAsia="Times New Roman"/>
                <w:szCs w:val="24"/>
                <w:lang w:eastAsia="cs-CZ"/>
              </w:rPr>
              <w:t>19</w:t>
            </w:r>
            <w:r w:rsidR="00CB570A">
              <w:rPr>
                <w:rFonts w:eastAsia="Times New Roman"/>
                <w:szCs w:val="24"/>
                <w:lang w:eastAsia="cs-CZ"/>
              </w:rPr>
              <w:t> %</w:t>
            </w:r>
          </w:p>
        </w:tc>
        <w:tc>
          <w:tcPr>
            <w:tcW w:w="2097" w:type="dxa"/>
            <w:tcBorders>
              <w:top w:val="nil"/>
              <w:left w:val="nil"/>
              <w:bottom w:val="single" w:sz="4" w:space="0" w:color="auto"/>
              <w:right w:val="nil"/>
            </w:tcBorders>
            <w:shd w:val="clear" w:color="auto" w:fill="auto"/>
            <w:noWrap/>
            <w:vAlign w:val="center"/>
            <w:hideMark/>
          </w:tcPr>
          <w:p w14:paraId="1BF2E70A" w14:textId="6CF8AB8F"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+5</w:t>
            </w:r>
            <w:r w:rsidR="00BB5B7C" w:rsidRPr="00A00187">
              <w:rPr>
                <w:rFonts w:eastAsia="Times New Roman"/>
                <w:sz w:val="20"/>
                <w:szCs w:val="20"/>
                <w:lang w:eastAsia="cs-CZ"/>
              </w:rPr>
              <w:t>,</w:t>
            </w:r>
            <w:r w:rsidRPr="00A00187">
              <w:rPr>
                <w:rFonts w:eastAsia="Times New Roman"/>
                <w:sz w:val="20"/>
                <w:szCs w:val="20"/>
                <w:lang w:eastAsia="cs-CZ"/>
              </w:rPr>
              <w:t xml:space="preserve">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0DEA3829" w14:textId="77777777" w:rsidTr="009D6DBE">
        <w:trPr>
          <w:trHeight w:val="315"/>
        </w:trPr>
        <w:tc>
          <w:tcPr>
            <w:tcW w:w="2796" w:type="dxa"/>
            <w:tcBorders>
              <w:top w:val="nil"/>
              <w:left w:val="nil"/>
              <w:bottom w:val="single" w:sz="4" w:space="0" w:color="auto"/>
              <w:right w:val="nil"/>
            </w:tcBorders>
            <w:shd w:val="clear" w:color="auto" w:fill="auto"/>
            <w:noWrap/>
            <w:vAlign w:val="bottom"/>
            <w:hideMark/>
          </w:tcPr>
          <w:p w14:paraId="2A9DA361"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KS Plzeň</w:t>
            </w:r>
          </w:p>
        </w:tc>
        <w:tc>
          <w:tcPr>
            <w:tcW w:w="1439" w:type="dxa"/>
            <w:tcBorders>
              <w:top w:val="nil"/>
              <w:left w:val="nil"/>
              <w:bottom w:val="single" w:sz="4" w:space="0" w:color="auto"/>
              <w:right w:val="nil"/>
            </w:tcBorders>
            <w:shd w:val="clear" w:color="auto" w:fill="auto"/>
            <w:noWrap/>
            <w:vAlign w:val="bottom"/>
            <w:hideMark/>
          </w:tcPr>
          <w:p w14:paraId="7C918B63" w14:textId="0B4D92B7"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23</w:t>
            </w:r>
            <w:r w:rsidR="00BB5B7C" w:rsidRPr="00A00187">
              <w:rPr>
                <w:rFonts w:eastAsia="Times New Roman"/>
                <w:szCs w:val="24"/>
                <w:lang w:eastAsia="cs-CZ"/>
              </w:rPr>
              <w:t>,</w:t>
            </w:r>
            <w:r w:rsidRPr="00A00187">
              <w:rPr>
                <w:rFonts w:eastAsia="Times New Roman"/>
                <w:szCs w:val="24"/>
                <w:lang w:eastAsia="cs-CZ"/>
              </w:rPr>
              <w:t>10</w:t>
            </w:r>
            <w:r w:rsidR="00CB570A">
              <w:rPr>
                <w:rFonts w:eastAsia="Times New Roman"/>
                <w:szCs w:val="24"/>
                <w:lang w:eastAsia="cs-CZ"/>
              </w:rPr>
              <w:t> %</w:t>
            </w:r>
          </w:p>
        </w:tc>
        <w:tc>
          <w:tcPr>
            <w:tcW w:w="2097" w:type="dxa"/>
            <w:tcBorders>
              <w:top w:val="nil"/>
              <w:left w:val="nil"/>
              <w:bottom w:val="single" w:sz="4" w:space="0" w:color="auto"/>
              <w:right w:val="nil"/>
            </w:tcBorders>
            <w:shd w:val="clear" w:color="auto" w:fill="auto"/>
            <w:noWrap/>
            <w:vAlign w:val="center"/>
            <w:hideMark/>
          </w:tcPr>
          <w:p w14:paraId="769D5C48" w14:textId="4B6E7D9C"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+2</w:t>
            </w:r>
            <w:r w:rsidR="00BB5B7C" w:rsidRPr="00A00187">
              <w:rPr>
                <w:rFonts w:eastAsia="Times New Roman"/>
                <w:sz w:val="20"/>
                <w:szCs w:val="20"/>
                <w:lang w:eastAsia="cs-CZ"/>
              </w:rPr>
              <w:t>,</w:t>
            </w:r>
            <w:r w:rsidRPr="00A00187">
              <w:rPr>
                <w:rFonts w:eastAsia="Times New Roman"/>
                <w:sz w:val="20"/>
                <w:szCs w:val="20"/>
                <w:lang w:eastAsia="cs-CZ"/>
              </w:rPr>
              <w:t xml:space="preserve">2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44FF49B" w14:textId="77777777" w:rsidTr="009D6DBE">
        <w:trPr>
          <w:trHeight w:val="315"/>
        </w:trPr>
        <w:tc>
          <w:tcPr>
            <w:tcW w:w="2796" w:type="dxa"/>
            <w:tcBorders>
              <w:top w:val="nil"/>
              <w:left w:val="nil"/>
              <w:bottom w:val="single" w:sz="4" w:space="0" w:color="auto"/>
              <w:right w:val="nil"/>
            </w:tcBorders>
            <w:shd w:val="clear" w:color="auto" w:fill="auto"/>
            <w:noWrap/>
            <w:vAlign w:val="bottom"/>
            <w:hideMark/>
          </w:tcPr>
          <w:p w14:paraId="6D793610"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KS Ústí n. Labem</w:t>
            </w:r>
          </w:p>
        </w:tc>
        <w:tc>
          <w:tcPr>
            <w:tcW w:w="1439" w:type="dxa"/>
            <w:tcBorders>
              <w:top w:val="nil"/>
              <w:left w:val="nil"/>
              <w:bottom w:val="single" w:sz="4" w:space="0" w:color="auto"/>
              <w:right w:val="nil"/>
            </w:tcBorders>
            <w:shd w:val="clear" w:color="auto" w:fill="auto"/>
            <w:noWrap/>
            <w:vAlign w:val="bottom"/>
            <w:hideMark/>
          </w:tcPr>
          <w:p w14:paraId="5E1BF45A" w14:textId="7E1F240C"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15</w:t>
            </w:r>
            <w:r w:rsidR="00BB5B7C" w:rsidRPr="00A00187">
              <w:rPr>
                <w:rFonts w:eastAsia="Times New Roman"/>
                <w:szCs w:val="24"/>
                <w:lang w:eastAsia="cs-CZ"/>
              </w:rPr>
              <w:t>,</w:t>
            </w:r>
            <w:r w:rsidRPr="00A00187">
              <w:rPr>
                <w:rFonts w:eastAsia="Times New Roman"/>
                <w:szCs w:val="24"/>
                <w:lang w:eastAsia="cs-CZ"/>
              </w:rPr>
              <w:t>56</w:t>
            </w:r>
            <w:r w:rsidR="00CB570A">
              <w:rPr>
                <w:rFonts w:eastAsia="Times New Roman"/>
                <w:szCs w:val="24"/>
                <w:lang w:eastAsia="cs-CZ"/>
              </w:rPr>
              <w:t> %</w:t>
            </w:r>
          </w:p>
        </w:tc>
        <w:tc>
          <w:tcPr>
            <w:tcW w:w="2097" w:type="dxa"/>
            <w:tcBorders>
              <w:top w:val="nil"/>
              <w:left w:val="nil"/>
              <w:bottom w:val="single" w:sz="4" w:space="0" w:color="auto"/>
              <w:right w:val="nil"/>
            </w:tcBorders>
            <w:shd w:val="clear" w:color="auto" w:fill="auto"/>
            <w:noWrap/>
            <w:vAlign w:val="center"/>
            <w:hideMark/>
          </w:tcPr>
          <w:p w14:paraId="717A1A4D" w14:textId="677B83EC"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-0</w:t>
            </w:r>
            <w:r w:rsidR="00BB5B7C" w:rsidRPr="00A00187">
              <w:rPr>
                <w:rFonts w:eastAsia="Times New Roman"/>
                <w:sz w:val="20"/>
                <w:szCs w:val="20"/>
                <w:lang w:eastAsia="cs-CZ"/>
              </w:rPr>
              <w:t>,</w:t>
            </w:r>
            <w:r w:rsidRPr="00A00187">
              <w:rPr>
                <w:rFonts w:eastAsia="Times New Roman"/>
                <w:sz w:val="20"/>
                <w:szCs w:val="20"/>
                <w:lang w:eastAsia="cs-CZ"/>
              </w:rPr>
              <w:t xml:space="preserve">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FA15C76" w14:textId="77777777" w:rsidTr="009D6DBE">
        <w:trPr>
          <w:trHeight w:val="315"/>
        </w:trPr>
        <w:tc>
          <w:tcPr>
            <w:tcW w:w="2796" w:type="dxa"/>
            <w:tcBorders>
              <w:top w:val="nil"/>
              <w:left w:val="nil"/>
              <w:bottom w:val="single" w:sz="4" w:space="0" w:color="auto"/>
              <w:right w:val="nil"/>
            </w:tcBorders>
            <w:shd w:val="clear" w:color="auto" w:fill="auto"/>
            <w:noWrap/>
            <w:vAlign w:val="bottom"/>
            <w:hideMark/>
          </w:tcPr>
          <w:p w14:paraId="3A67C93B"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KS Hr. Králové</w:t>
            </w:r>
          </w:p>
        </w:tc>
        <w:tc>
          <w:tcPr>
            <w:tcW w:w="1439" w:type="dxa"/>
            <w:tcBorders>
              <w:top w:val="nil"/>
              <w:left w:val="nil"/>
              <w:bottom w:val="single" w:sz="4" w:space="0" w:color="auto"/>
              <w:right w:val="nil"/>
            </w:tcBorders>
            <w:shd w:val="clear" w:color="auto" w:fill="auto"/>
            <w:noWrap/>
            <w:vAlign w:val="bottom"/>
            <w:hideMark/>
          </w:tcPr>
          <w:p w14:paraId="3A9FBE11" w14:textId="7F5C424E"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13</w:t>
            </w:r>
            <w:r w:rsidR="00BB5B7C" w:rsidRPr="00A00187">
              <w:rPr>
                <w:rFonts w:eastAsia="Times New Roman"/>
                <w:szCs w:val="24"/>
                <w:lang w:eastAsia="cs-CZ"/>
              </w:rPr>
              <w:t>,</w:t>
            </w:r>
            <w:r w:rsidRPr="00A00187">
              <w:rPr>
                <w:rFonts w:eastAsia="Times New Roman"/>
                <w:szCs w:val="24"/>
                <w:lang w:eastAsia="cs-CZ"/>
              </w:rPr>
              <w:t>70</w:t>
            </w:r>
            <w:r w:rsidR="00CB570A">
              <w:rPr>
                <w:rFonts w:eastAsia="Times New Roman"/>
                <w:szCs w:val="24"/>
                <w:lang w:eastAsia="cs-CZ"/>
              </w:rPr>
              <w:t> %</w:t>
            </w:r>
          </w:p>
        </w:tc>
        <w:tc>
          <w:tcPr>
            <w:tcW w:w="2097" w:type="dxa"/>
            <w:tcBorders>
              <w:top w:val="nil"/>
              <w:left w:val="nil"/>
              <w:bottom w:val="single" w:sz="4" w:space="0" w:color="auto"/>
              <w:right w:val="nil"/>
            </w:tcBorders>
            <w:shd w:val="clear" w:color="auto" w:fill="auto"/>
            <w:noWrap/>
            <w:vAlign w:val="center"/>
            <w:hideMark/>
          </w:tcPr>
          <w:p w14:paraId="1D4B5FA7" w14:textId="54AC1F18"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+0</w:t>
            </w:r>
            <w:r w:rsidR="00BB5B7C" w:rsidRPr="00A00187">
              <w:rPr>
                <w:rFonts w:eastAsia="Times New Roman"/>
                <w:sz w:val="20"/>
                <w:szCs w:val="20"/>
                <w:lang w:eastAsia="cs-CZ"/>
              </w:rPr>
              <w:t>,</w:t>
            </w:r>
            <w:r w:rsidRPr="00A00187">
              <w:rPr>
                <w:rFonts w:eastAsia="Times New Roman"/>
                <w:sz w:val="20"/>
                <w:szCs w:val="20"/>
                <w:lang w:eastAsia="cs-CZ"/>
              </w:rPr>
              <w:t xml:space="preserve">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450C54C" w14:textId="77777777" w:rsidTr="009D6DBE">
        <w:trPr>
          <w:trHeight w:val="315"/>
        </w:trPr>
        <w:tc>
          <w:tcPr>
            <w:tcW w:w="2796" w:type="dxa"/>
            <w:tcBorders>
              <w:top w:val="nil"/>
              <w:left w:val="nil"/>
              <w:bottom w:val="single" w:sz="4" w:space="0" w:color="auto"/>
              <w:right w:val="nil"/>
            </w:tcBorders>
            <w:shd w:val="clear" w:color="auto" w:fill="auto"/>
            <w:noWrap/>
            <w:vAlign w:val="bottom"/>
            <w:hideMark/>
          </w:tcPr>
          <w:p w14:paraId="1C65100F"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KS Brno</w:t>
            </w:r>
          </w:p>
        </w:tc>
        <w:tc>
          <w:tcPr>
            <w:tcW w:w="1439" w:type="dxa"/>
            <w:tcBorders>
              <w:top w:val="nil"/>
              <w:left w:val="nil"/>
              <w:bottom w:val="single" w:sz="4" w:space="0" w:color="auto"/>
              <w:right w:val="nil"/>
            </w:tcBorders>
            <w:shd w:val="clear" w:color="auto" w:fill="auto"/>
            <w:noWrap/>
            <w:vAlign w:val="bottom"/>
            <w:hideMark/>
          </w:tcPr>
          <w:p w14:paraId="6C25C638" w14:textId="74978227"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14</w:t>
            </w:r>
            <w:r w:rsidR="00BB5B7C" w:rsidRPr="00A00187">
              <w:rPr>
                <w:rFonts w:eastAsia="Times New Roman"/>
                <w:szCs w:val="24"/>
                <w:lang w:eastAsia="cs-CZ"/>
              </w:rPr>
              <w:t>,</w:t>
            </w:r>
            <w:r w:rsidRPr="00A00187">
              <w:rPr>
                <w:rFonts w:eastAsia="Times New Roman"/>
                <w:szCs w:val="24"/>
                <w:lang w:eastAsia="cs-CZ"/>
              </w:rPr>
              <w:t>26</w:t>
            </w:r>
            <w:r w:rsidR="00CB570A">
              <w:rPr>
                <w:rFonts w:eastAsia="Times New Roman"/>
                <w:szCs w:val="24"/>
                <w:lang w:eastAsia="cs-CZ"/>
              </w:rPr>
              <w:t> %</w:t>
            </w:r>
          </w:p>
        </w:tc>
        <w:tc>
          <w:tcPr>
            <w:tcW w:w="2097" w:type="dxa"/>
            <w:tcBorders>
              <w:top w:val="nil"/>
              <w:left w:val="nil"/>
              <w:bottom w:val="single" w:sz="4" w:space="0" w:color="auto"/>
              <w:right w:val="nil"/>
            </w:tcBorders>
            <w:shd w:val="clear" w:color="auto" w:fill="auto"/>
            <w:noWrap/>
            <w:vAlign w:val="center"/>
            <w:hideMark/>
          </w:tcPr>
          <w:p w14:paraId="00324A15" w14:textId="10D557B3"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+1</w:t>
            </w:r>
            <w:r w:rsidR="00BB5B7C" w:rsidRPr="00A00187">
              <w:rPr>
                <w:rFonts w:eastAsia="Times New Roman"/>
                <w:sz w:val="20"/>
                <w:szCs w:val="20"/>
                <w:lang w:eastAsia="cs-CZ"/>
              </w:rPr>
              <w:t>,</w:t>
            </w:r>
            <w:r w:rsidRPr="00A00187">
              <w:rPr>
                <w:rFonts w:eastAsia="Times New Roman"/>
                <w:sz w:val="20"/>
                <w:szCs w:val="20"/>
                <w:lang w:eastAsia="cs-CZ"/>
              </w:rPr>
              <w:t xml:space="preserve">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4A6C1EE" w14:textId="77777777" w:rsidTr="009D6DBE">
        <w:trPr>
          <w:trHeight w:val="330"/>
        </w:trPr>
        <w:tc>
          <w:tcPr>
            <w:tcW w:w="2796" w:type="dxa"/>
            <w:tcBorders>
              <w:top w:val="nil"/>
              <w:left w:val="nil"/>
              <w:bottom w:val="double" w:sz="6" w:space="0" w:color="auto"/>
              <w:right w:val="nil"/>
            </w:tcBorders>
            <w:shd w:val="clear" w:color="auto" w:fill="auto"/>
            <w:noWrap/>
            <w:vAlign w:val="bottom"/>
            <w:hideMark/>
          </w:tcPr>
          <w:p w14:paraId="49ADBAE5" w14:textId="77777777" w:rsidR="009D6DBE" w:rsidRPr="00A00187" w:rsidRDefault="009D6DBE" w:rsidP="009D6DBE">
            <w:pPr>
              <w:spacing w:line="240" w:lineRule="auto"/>
              <w:jc w:val="left"/>
              <w:rPr>
                <w:rFonts w:eastAsia="Times New Roman"/>
                <w:szCs w:val="24"/>
                <w:lang w:eastAsia="cs-CZ"/>
              </w:rPr>
            </w:pPr>
            <w:r w:rsidRPr="00A00187">
              <w:rPr>
                <w:rFonts w:eastAsia="Times New Roman"/>
                <w:szCs w:val="24"/>
                <w:lang w:eastAsia="cs-CZ"/>
              </w:rPr>
              <w:t>KS Ostrava</w:t>
            </w:r>
          </w:p>
        </w:tc>
        <w:tc>
          <w:tcPr>
            <w:tcW w:w="1439" w:type="dxa"/>
            <w:tcBorders>
              <w:top w:val="nil"/>
              <w:left w:val="nil"/>
              <w:bottom w:val="double" w:sz="6" w:space="0" w:color="auto"/>
              <w:right w:val="nil"/>
            </w:tcBorders>
            <w:shd w:val="clear" w:color="auto" w:fill="auto"/>
            <w:noWrap/>
            <w:vAlign w:val="bottom"/>
            <w:hideMark/>
          </w:tcPr>
          <w:p w14:paraId="28E7B397" w14:textId="218531BD" w:rsidR="009D6DBE" w:rsidRPr="00A00187" w:rsidRDefault="009D6DBE" w:rsidP="009D6DBE">
            <w:pPr>
              <w:spacing w:line="240" w:lineRule="auto"/>
              <w:jc w:val="center"/>
              <w:rPr>
                <w:rFonts w:eastAsia="Times New Roman"/>
                <w:szCs w:val="24"/>
                <w:lang w:eastAsia="cs-CZ"/>
              </w:rPr>
            </w:pPr>
            <w:r w:rsidRPr="00A00187">
              <w:rPr>
                <w:rFonts w:eastAsia="Times New Roman"/>
                <w:szCs w:val="24"/>
                <w:lang w:eastAsia="cs-CZ"/>
              </w:rPr>
              <w:t>12</w:t>
            </w:r>
            <w:r w:rsidR="00BB5B7C" w:rsidRPr="00A00187">
              <w:rPr>
                <w:rFonts w:eastAsia="Times New Roman"/>
                <w:szCs w:val="24"/>
                <w:lang w:eastAsia="cs-CZ"/>
              </w:rPr>
              <w:t>,</w:t>
            </w:r>
            <w:r w:rsidRPr="00A00187">
              <w:rPr>
                <w:rFonts w:eastAsia="Times New Roman"/>
                <w:szCs w:val="24"/>
                <w:lang w:eastAsia="cs-CZ"/>
              </w:rPr>
              <w:t>92</w:t>
            </w:r>
            <w:r w:rsidR="00CB570A">
              <w:rPr>
                <w:rFonts w:eastAsia="Times New Roman"/>
                <w:szCs w:val="24"/>
                <w:lang w:eastAsia="cs-CZ"/>
              </w:rPr>
              <w:t> %</w:t>
            </w:r>
          </w:p>
        </w:tc>
        <w:tc>
          <w:tcPr>
            <w:tcW w:w="2097" w:type="dxa"/>
            <w:tcBorders>
              <w:top w:val="nil"/>
              <w:left w:val="nil"/>
              <w:bottom w:val="nil"/>
              <w:right w:val="nil"/>
            </w:tcBorders>
            <w:shd w:val="clear" w:color="auto" w:fill="auto"/>
            <w:noWrap/>
            <w:vAlign w:val="center"/>
            <w:hideMark/>
          </w:tcPr>
          <w:p w14:paraId="5BE17DDF" w14:textId="7B6C1D61" w:rsidR="009D6DBE" w:rsidRPr="00A00187" w:rsidRDefault="009D6DBE" w:rsidP="00BB5B7C">
            <w:pPr>
              <w:spacing w:line="240" w:lineRule="auto"/>
              <w:jc w:val="center"/>
              <w:rPr>
                <w:rFonts w:eastAsia="Times New Roman"/>
                <w:sz w:val="20"/>
                <w:szCs w:val="20"/>
                <w:lang w:eastAsia="cs-CZ"/>
              </w:rPr>
            </w:pPr>
            <w:r w:rsidRPr="00A00187">
              <w:rPr>
                <w:rFonts w:eastAsia="Times New Roman"/>
                <w:sz w:val="20"/>
                <w:szCs w:val="20"/>
                <w:lang w:eastAsia="cs-CZ"/>
              </w:rPr>
              <w:t>-11</w:t>
            </w:r>
            <w:r w:rsidR="00BB5B7C" w:rsidRPr="00A00187">
              <w:rPr>
                <w:rFonts w:eastAsia="Times New Roman"/>
                <w:sz w:val="20"/>
                <w:szCs w:val="20"/>
                <w:lang w:eastAsia="cs-CZ"/>
              </w:rPr>
              <w:t>,</w:t>
            </w:r>
            <w:r w:rsidRPr="00A00187">
              <w:rPr>
                <w:rFonts w:eastAsia="Times New Roman"/>
                <w:sz w:val="20"/>
                <w:szCs w:val="20"/>
                <w:lang w:eastAsia="cs-CZ"/>
              </w:rPr>
              <w:t xml:space="preserve">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1893E59" w14:textId="77777777" w:rsidTr="009D6DBE">
        <w:trPr>
          <w:trHeight w:val="345"/>
        </w:trPr>
        <w:tc>
          <w:tcPr>
            <w:tcW w:w="2796" w:type="dxa"/>
            <w:tcBorders>
              <w:top w:val="nil"/>
              <w:left w:val="nil"/>
              <w:bottom w:val="double" w:sz="6" w:space="0" w:color="auto"/>
              <w:right w:val="nil"/>
            </w:tcBorders>
            <w:shd w:val="clear" w:color="auto" w:fill="auto"/>
            <w:noWrap/>
            <w:vAlign w:val="bottom"/>
            <w:hideMark/>
          </w:tcPr>
          <w:p w14:paraId="3C6AB335" w14:textId="77777777" w:rsidR="009D6DBE" w:rsidRPr="00A00187" w:rsidRDefault="009D6DBE" w:rsidP="009D6DBE">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439" w:type="dxa"/>
            <w:tcBorders>
              <w:top w:val="nil"/>
              <w:left w:val="nil"/>
              <w:bottom w:val="double" w:sz="6" w:space="0" w:color="auto"/>
              <w:right w:val="nil"/>
            </w:tcBorders>
            <w:shd w:val="clear" w:color="auto" w:fill="auto"/>
            <w:noWrap/>
            <w:vAlign w:val="bottom"/>
            <w:hideMark/>
          </w:tcPr>
          <w:p w14:paraId="6469D9E2" w14:textId="4AA57D73" w:rsidR="009D6DBE" w:rsidRPr="00A00187" w:rsidRDefault="009D6DBE" w:rsidP="009D6DBE">
            <w:pPr>
              <w:spacing w:line="240" w:lineRule="auto"/>
              <w:jc w:val="center"/>
              <w:rPr>
                <w:rFonts w:eastAsia="Times New Roman"/>
                <w:b/>
                <w:bCs/>
                <w:szCs w:val="24"/>
                <w:lang w:eastAsia="cs-CZ"/>
              </w:rPr>
            </w:pPr>
            <w:r w:rsidRPr="00A00187">
              <w:rPr>
                <w:rFonts w:eastAsia="Times New Roman"/>
                <w:b/>
                <w:bCs/>
                <w:szCs w:val="24"/>
                <w:lang w:eastAsia="cs-CZ"/>
              </w:rPr>
              <w:t>23</w:t>
            </w:r>
            <w:r w:rsidR="00BB5B7C" w:rsidRPr="00A00187">
              <w:rPr>
                <w:rFonts w:eastAsia="Times New Roman"/>
                <w:b/>
                <w:bCs/>
                <w:szCs w:val="24"/>
                <w:lang w:eastAsia="cs-CZ"/>
              </w:rPr>
              <w:t>,</w:t>
            </w:r>
            <w:r w:rsidRPr="00A00187">
              <w:rPr>
                <w:rFonts w:eastAsia="Times New Roman"/>
                <w:b/>
                <w:bCs/>
                <w:szCs w:val="24"/>
                <w:lang w:eastAsia="cs-CZ"/>
              </w:rPr>
              <w:t>97</w:t>
            </w:r>
            <w:r w:rsidR="00CB570A">
              <w:rPr>
                <w:rFonts w:eastAsia="Times New Roman"/>
                <w:b/>
                <w:bCs/>
                <w:szCs w:val="24"/>
                <w:lang w:eastAsia="cs-CZ"/>
              </w:rPr>
              <w:t> %</w:t>
            </w:r>
          </w:p>
        </w:tc>
        <w:tc>
          <w:tcPr>
            <w:tcW w:w="2097" w:type="dxa"/>
            <w:tcBorders>
              <w:top w:val="double" w:sz="6" w:space="0" w:color="auto"/>
              <w:left w:val="nil"/>
              <w:bottom w:val="double" w:sz="6" w:space="0" w:color="auto"/>
              <w:right w:val="nil"/>
            </w:tcBorders>
            <w:shd w:val="clear" w:color="auto" w:fill="auto"/>
            <w:noWrap/>
            <w:vAlign w:val="center"/>
            <w:hideMark/>
          </w:tcPr>
          <w:p w14:paraId="4BD8A6F1" w14:textId="687816EF" w:rsidR="009D6DBE" w:rsidRPr="00A00187" w:rsidRDefault="009D6DBE" w:rsidP="00BB5B7C">
            <w:pPr>
              <w:spacing w:line="240" w:lineRule="auto"/>
              <w:jc w:val="center"/>
              <w:rPr>
                <w:rFonts w:eastAsia="Times New Roman"/>
                <w:b/>
                <w:bCs/>
                <w:sz w:val="20"/>
                <w:szCs w:val="20"/>
                <w:lang w:eastAsia="cs-CZ"/>
              </w:rPr>
            </w:pPr>
            <w:r w:rsidRPr="00A00187">
              <w:rPr>
                <w:rFonts w:eastAsia="Times New Roman"/>
                <w:b/>
                <w:bCs/>
                <w:sz w:val="20"/>
                <w:szCs w:val="20"/>
                <w:lang w:eastAsia="cs-CZ"/>
              </w:rPr>
              <w:t>+0</w:t>
            </w:r>
            <w:r w:rsidR="00BB5B7C" w:rsidRPr="00A00187">
              <w:rPr>
                <w:rFonts w:eastAsia="Times New Roman"/>
                <w:b/>
                <w:bCs/>
                <w:sz w:val="20"/>
                <w:szCs w:val="20"/>
                <w:lang w:eastAsia="cs-CZ"/>
              </w:rPr>
              <w:t>,</w:t>
            </w:r>
            <w:r w:rsidRPr="00A00187">
              <w:rPr>
                <w:rFonts w:eastAsia="Times New Roman"/>
                <w:b/>
                <w:bCs/>
                <w:sz w:val="20"/>
                <w:szCs w:val="20"/>
                <w:lang w:eastAsia="cs-CZ"/>
              </w:rPr>
              <w:t xml:space="preserve">3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C1E67" w:rsidRPr="00A00187" w14:paraId="3BC21CCE" w14:textId="77777777" w:rsidTr="009D6DBE">
        <w:trPr>
          <w:trHeight w:val="330"/>
        </w:trPr>
        <w:tc>
          <w:tcPr>
            <w:tcW w:w="2796" w:type="dxa"/>
            <w:tcBorders>
              <w:top w:val="nil"/>
              <w:left w:val="nil"/>
              <w:bottom w:val="nil"/>
              <w:right w:val="nil"/>
            </w:tcBorders>
            <w:shd w:val="clear" w:color="auto" w:fill="auto"/>
            <w:noWrap/>
            <w:vAlign w:val="bottom"/>
            <w:hideMark/>
          </w:tcPr>
          <w:p w14:paraId="1929AB29" w14:textId="77777777" w:rsidR="009D6DBE" w:rsidRPr="00A00187" w:rsidRDefault="009D6DBE" w:rsidP="009D6DBE">
            <w:pPr>
              <w:spacing w:line="240" w:lineRule="auto"/>
              <w:jc w:val="right"/>
              <w:rPr>
                <w:rFonts w:eastAsia="Times New Roman"/>
                <w:b/>
                <w:bCs/>
                <w:sz w:val="20"/>
                <w:szCs w:val="20"/>
                <w:lang w:eastAsia="cs-CZ"/>
              </w:rPr>
            </w:pPr>
          </w:p>
        </w:tc>
        <w:tc>
          <w:tcPr>
            <w:tcW w:w="1439" w:type="dxa"/>
            <w:tcBorders>
              <w:top w:val="nil"/>
              <w:left w:val="nil"/>
              <w:bottom w:val="nil"/>
              <w:right w:val="nil"/>
            </w:tcBorders>
            <w:shd w:val="clear" w:color="auto" w:fill="auto"/>
            <w:noWrap/>
            <w:vAlign w:val="bottom"/>
            <w:hideMark/>
          </w:tcPr>
          <w:p w14:paraId="6E97FAAA" w14:textId="77777777" w:rsidR="009D6DBE" w:rsidRPr="00A00187" w:rsidRDefault="009D6DBE" w:rsidP="009D6DBE">
            <w:pPr>
              <w:spacing w:line="240" w:lineRule="auto"/>
              <w:jc w:val="left"/>
              <w:rPr>
                <w:rFonts w:ascii="Times New Roman" w:eastAsia="Times New Roman" w:hAnsi="Times New Roman"/>
                <w:sz w:val="20"/>
                <w:szCs w:val="20"/>
                <w:lang w:eastAsia="cs-CZ"/>
              </w:rPr>
            </w:pPr>
          </w:p>
        </w:tc>
        <w:tc>
          <w:tcPr>
            <w:tcW w:w="2097" w:type="dxa"/>
            <w:tcBorders>
              <w:top w:val="nil"/>
              <w:left w:val="nil"/>
              <w:bottom w:val="nil"/>
              <w:right w:val="nil"/>
            </w:tcBorders>
            <w:shd w:val="clear" w:color="auto" w:fill="auto"/>
            <w:noWrap/>
            <w:vAlign w:val="bottom"/>
            <w:hideMark/>
          </w:tcPr>
          <w:p w14:paraId="5778437E" w14:textId="77777777" w:rsidR="009D6DBE" w:rsidRPr="00A00187" w:rsidRDefault="009D6DBE" w:rsidP="009D6DBE">
            <w:pPr>
              <w:spacing w:line="240" w:lineRule="auto"/>
              <w:jc w:val="left"/>
              <w:rPr>
                <w:rFonts w:ascii="Times New Roman" w:eastAsia="Times New Roman" w:hAnsi="Times New Roman"/>
                <w:sz w:val="20"/>
                <w:szCs w:val="20"/>
                <w:lang w:eastAsia="cs-CZ"/>
              </w:rPr>
            </w:pPr>
          </w:p>
        </w:tc>
      </w:tr>
    </w:tbl>
    <w:p w14:paraId="1785F54D" w14:textId="5B86B108" w:rsidR="00BB5B7C" w:rsidRPr="00A00187" w:rsidRDefault="00BB5B7C" w:rsidP="00BB5B7C">
      <w:pPr>
        <w:pStyle w:val="OdstavecASR"/>
      </w:pPr>
      <w:r w:rsidRPr="00A00187">
        <w:t xml:space="preserve">V tabulce výše vidíme značné rozdíly mezi jednotlivými soudy. </w:t>
      </w:r>
      <w:r w:rsidR="00381A53" w:rsidRPr="00A00187">
        <w:t>Zároveň se m</w:t>
      </w:r>
      <w:r w:rsidRPr="00A00187">
        <w:t xml:space="preserve">íra odvolání skokově snížila </w:t>
      </w:r>
      <w:r w:rsidR="00755920" w:rsidRPr="00A00187">
        <w:t>u</w:t>
      </w:r>
      <w:r w:rsidR="00755920">
        <w:t> </w:t>
      </w:r>
      <w:r w:rsidRPr="00A00187">
        <w:t xml:space="preserve">KS v Ostravě </w:t>
      </w:r>
      <w:r w:rsidR="00755920" w:rsidRPr="00A00187">
        <w:t>a</w:t>
      </w:r>
      <w:r w:rsidR="00755920">
        <w:t> </w:t>
      </w:r>
      <w:r w:rsidRPr="00A00187">
        <w:t>naopak</w:t>
      </w:r>
      <w:r w:rsidR="00511C0E" w:rsidRPr="00A00187">
        <w:t xml:space="preserve"> se</w:t>
      </w:r>
      <w:r w:rsidRPr="00A00187">
        <w:t xml:space="preserve"> skokově zvýšila </w:t>
      </w:r>
      <w:r w:rsidR="00755920" w:rsidRPr="00A00187">
        <w:t>u</w:t>
      </w:r>
      <w:r w:rsidR="00755920">
        <w:t> </w:t>
      </w:r>
      <w:r w:rsidRPr="00A00187">
        <w:t xml:space="preserve">KS </w:t>
      </w:r>
      <w:r w:rsidR="00755920">
        <w:t>v </w:t>
      </w:r>
      <w:r w:rsidRPr="00A00187">
        <w:t xml:space="preserve">Praze. I u ostatních soudů došlo k nemalým změnám. </w:t>
      </w:r>
      <w:r w:rsidR="00381A53" w:rsidRPr="00A00187">
        <w:t>Ani n</w:t>
      </w:r>
      <w:r w:rsidRPr="00A00187">
        <w:t xml:space="preserve">a úrovni </w:t>
      </w:r>
      <w:r w:rsidR="00381A53" w:rsidRPr="00A00187">
        <w:t xml:space="preserve">jednotlivých </w:t>
      </w:r>
      <w:r w:rsidRPr="00A00187">
        <w:t xml:space="preserve">soudů </w:t>
      </w:r>
      <w:r w:rsidR="00381A53" w:rsidRPr="00A00187">
        <w:t xml:space="preserve">tak </w:t>
      </w:r>
      <w:r w:rsidRPr="00A00187">
        <w:t>není míra odvolání stabilní.</w:t>
      </w:r>
    </w:p>
    <w:p w14:paraId="09205083" w14:textId="77777777" w:rsidR="00BB5B7C" w:rsidRPr="00A00187" w:rsidRDefault="00BB5B7C" w:rsidP="00BB5B7C">
      <w:pPr>
        <w:pStyle w:val="OdstavecASR"/>
      </w:pPr>
      <w:r w:rsidRPr="00A00187">
        <w:t>Při srovnání s tabulkou 14 vidíme, že u krajských soudů zůstává míra odvolání asi třikrát vyšší než u soudů okresních. To souvisí s náročností a závažností vyřizované agendy.</w:t>
      </w:r>
    </w:p>
    <w:p w14:paraId="26D5E3C5" w14:textId="77777777" w:rsidR="003319F3" w:rsidRPr="0064349A" w:rsidRDefault="003319F3" w:rsidP="008E7EBD">
      <w:pPr>
        <w:pStyle w:val="Podnadpis"/>
        <w:outlineLvl w:val="3"/>
        <w:rPr>
          <w:color w:val="auto"/>
          <w:spacing w:val="0"/>
        </w:rPr>
      </w:pPr>
      <w:bookmarkStart w:id="662" w:name="_Toc515871472"/>
      <w:bookmarkStart w:id="663" w:name="_Toc11133239"/>
      <w:bookmarkStart w:id="664" w:name="_Toc43931218"/>
      <w:r w:rsidRPr="0064349A">
        <w:rPr>
          <w:color w:val="auto"/>
          <w:spacing w:val="0"/>
        </w:rPr>
        <w:lastRenderedPageBreak/>
        <w:t>Míra změny rozsudku</w:t>
      </w:r>
    </w:p>
    <w:p w14:paraId="768FC5D8" w14:textId="04094FE3" w:rsidR="003319F3" w:rsidRPr="00A00187" w:rsidRDefault="003319F3" w:rsidP="003319F3">
      <w:pPr>
        <w:pStyle w:val="Podnadpis"/>
        <w:rPr>
          <w:color w:val="auto"/>
        </w:rPr>
      </w:pPr>
      <w:bookmarkStart w:id="665" w:name="_Toc75952351"/>
      <w:bookmarkStart w:id="666" w:name="_Toc106106808"/>
      <w:bookmarkStart w:id="667" w:name="_Toc109802131"/>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46</w:t>
      </w:r>
      <w:r w:rsidRPr="00A00187">
        <w:rPr>
          <w:color w:val="auto"/>
        </w:rPr>
        <w:fldChar w:fldCharType="end"/>
      </w:r>
      <w:r w:rsidRPr="00A00187">
        <w:rPr>
          <w:color w:val="auto"/>
        </w:rPr>
        <w:t>: KS – míra změny rozsudku dle soudů v civilním řízení</w:t>
      </w:r>
      <w:bookmarkEnd w:id="662"/>
      <w:bookmarkEnd w:id="663"/>
      <w:bookmarkEnd w:id="664"/>
      <w:bookmarkEnd w:id="665"/>
      <w:bookmarkEnd w:id="666"/>
      <w:bookmarkEnd w:id="667"/>
    </w:p>
    <w:tbl>
      <w:tblPr>
        <w:tblW w:w="7012" w:type="dxa"/>
        <w:tblCellMar>
          <w:left w:w="70" w:type="dxa"/>
          <w:right w:w="70" w:type="dxa"/>
        </w:tblCellMar>
        <w:tblLook w:val="04A0" w:firstRow="1" w:lastRow="0" w:firstColumn="1" w:lastColumn="0" w:noHBand="0" w:noVBand="1"/>
      </w:tblPr>
      <w:tblGrid>
        <w:gridCol w:w="2796"/>
        <w:gridCol w:w="1740"/>
        <w:gridCol w:w="2476"/>
      </w:tblGrid>
      <w:tr w:rsidR="00AC1E67" w:rsidRPr="00A00187" w14:paraId="1397EDEC" w14:textId="77777777" w:rsidTr="003319F3">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067B1CAD" w14:textId="77777777" w:rsidR="003319F3" w:rsidRPr="00A00187" w:rsidRDefault="003319F3" w:rsidP="003319F3">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4216" w:type="dxa"/>
            <w:gridSpan w:val="2"/>
            <w:tcBorders>
              <w:top w:val="double" w:sz="6" w:space="0" w:color="auto"/>
              <w:left w:val="nil"/>
              <w:bottom w:val="double" w:sz="6" w:space="0" w:color="auto"/>
              <w:right w:val="nil"/>
            </w:tcBorders>
            <w:shd w:val="clear" w:color="auto" w:fill="auto"/>
            <w:noWrap/>
            <w:vAlign w:val="center"/>
            <w:hideMark/>
          </w:tcPr>
          <w:p w14:paraId="3C07D58A" w14:textId="16FC16E7" w:rsidR="003319F3" w:rsidRPr="00A00187" w:rsidRDefault="003319F3" w:rsidP="003319F3">
            <w:pPr>
              <w:spacing w:line="240" w:lineRule="auto"/>
              <w:jc w:val="center"/>
              <w:rPr>
                <w:rFonts w:eastAsia="Times New Roman"/>
                <w:b/>
                <w:bCs/>
                <w:szCs w:val="24"/>
                <w:lang w:eastAsia="cs-CZ"/>
              </w:rPr>
            </w:pPr>
            <w:r w:rsidRPr="00A00187">
              <w:rPr>
                <w:rFonts w:eastAsia="Times New Roman"/>
                <w:b/>
                <w:bCs/>
                <w:szCs w:val="24"/>
                <w:lang w:eastAsia="cs-CZ"/>
              </w:rPr>
              <w:t>Míra změny rozsudku</w:t>
            </w:r>
          </w:p>
        </w:tc>
      </w:tr>
      <w:tr w:rsidR="00AC1E67" w:rsidRPr="00A00187" w14:paraId="672D377C" w14:textId="77777777" w:rsidTr="003319F3">
        <w:trPr>
          <w:trHeight w:val="330"/>
        </w:trPr>
        <w:tc>
          <w:tcPr>
            <w:tcW w:w="2796" w:type="dxa"/>
            <w:tcBorders>
              <w:top w:val="nil"/>
              <w:left w:val="nil"/>
              <w:bottom w:val="single" w:sz="4" w:space="0" w:color="auto"/>
              <w:right w:val="nil"/>
            </w:tcBorders>
            <w:shd w:val="clear" w:color="auto" w:fill="auto"/>
            <w:noWrap/>
            <w:vAlign w:val="bottom"/>
            <w:hideMark/>
          </w:tcPr>
          <w:p w14:paraId="468F2198"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MS Praha</w:t>
            </w:r>
          </w:p>
        </w:tc>
        <w:tc>
          <w:tcPr>
            <w:tcW w:w="1740" w:type="dxa"/>
            <w:tcBorders>
              <w:top w:val="nil"/>
              <w:left w:val="nil"/>
              <w:bottom w:val="single" w:sz="4" w:space="0" w:color="auto"/>
              <w:right w:val="nil"/>
            </w:tcBorders>
            <w:shd w:val="clear" w:color="auto" w:fill="auto"/>
            <w:noWrap/>
            <w:vAlign w:val="bottom"/>
            <w:hideMark/>
          </w:tcPr>
          <w:p w14:paraId="7C089A28" w14:textId="779F0E1F"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48,40</w:t>
            </w:r>
            <w:r w:rsidR="00CB570A">
              <w:rPr>
                <w:rFonts w:eastAsia="Times New Roman"/>
                <w:szCs w:val="24"/>
                <w:lang w:eastAsia="cs-CZ"/>
              </w:rPr>
              <w:t> %</w:t>
            </w:r>
          </w:p>
        </w:tc>
        <w:tc>
          <w:tcPr>
            <w:tcW w:w="2476" w:type="dxa"/>
            <w:tcBorders>
              <w:top w:val="nil"/>
              <w:left w:val="nil"/>
              <w:bottom w:val="single" w:sz="4" w:space="0" w:color="auto"/>
              <w:right w:val="nil"/>
            </w:tcBorders>
            <w:shd w:val="clear" w:color="auto" w:fill="auto"/>
            <w:noWrap/>
            <w:vAlign w:val="center"/>
            <w:hideMark/>
          </w:tcPr>
          <w:p w14:paraId="710EFDD8" w14:textId="6F4A7206"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-3,9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B389E9E" w14:textId="77777777" w:rsidTr="003319F3">
        <w:trPr>
          <w:trHeight w:val="315"/>
        </w:trPr>
        <w:tc>
          <w:tcPr>
            <w:tcW w:w="2796" w:type="dxa"/>
            <w:tcBorders>
              <w:top w:val="nil"/>
              <w:left w:val="nil"/>
              <w:bottom w:val="single" w:sz="4" w:space="0" w:color="auto"/>
              <w:right w:val="nil"/>
            </w:tcBorders>
            <w:shd w:val="clear" w:color="auto" w:fill="auto"/>
            <w:noWrap/>
            <w:vAlign w:val="bottom"/>
            <w:hideMark/>
          </w:tcPr>
          <w:p w14:paraId="4CB67F2A"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KS Praha</w:t>
            </w:r>
          </w:p>
        </w:tc>
        <w:tc>
          <w:tcPr>
            <w:tcW w:w="1740" w:type="dxa"/>
            <w:tcBorders>
              <w:top w:val="nil"/>
              <w:left w:val="nil"/>
              <w:bottom w:val="single" w:sz="4" w:space="0" w:color="auto"/>
              <w:right w:val="nil"/>
            </w:tcBorders>
            <w:shd w:val="clear" w:color="auto" w:fill="auto"/>
            <w:noWrap/>
            <w:vAlign w:val="bottom"/>
            <w:hideMark/>
          </w:tcPr>
          <w:p w14:paraId="10395669" w14:textId="57693691"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59,18</w:t>
            </w:r>
            <w:r w:rsidR="00CB570A">
              <w:rPr>
                <w:rFonts w:eastAsia="Times New Roman"/>
                <w:szCs w:val="24"/>
                <w:lang w:eastAsia="cs-CZ"/>
              </w:rPr>
              <w:t> %</w:t>
            </w:r>
          </w:p>
        </w:tc>
        <w:tc>
          <w:tcPr>
            <w:tcW w:w="2476" w:type="dxa"/>
            <w:tcBorders>
              <w:top w:val="nil"/>
              <w:left w:val="nil"/>
              <w:bottom w:val="single" w:sz="4" w:space="0" w:color="auto"/>
              <w:right w:val="nil"/>
            </w:tcBorders>
            <w:shd w:val="clear" w:color="auto" w:fill="auto"/>
            <w:noWrap/>
            <w:vAlign w:val="center"/>
            <w:hideMark/>
          </w:tcPr>
          <w:p w14:paraId="02B4C00F" w14:textId="61ECF3BF"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-4,3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FEB9C7E" w14:textId="77777777" w:rsidTr="003319F3">
        <w:trPr>
          <w:trHeight w:val="315"/>
        </w:trPr>
        <w:tc>
          <w:tcPr>
            <w:tcW w:w="2796" w:type="dxa"/>
            <w:tcBorders>
              <w:top w:val="nil"/>
              <w:left w:val="nil"/>
              <w:bottom w:val="single" w:sz="4" w:space="0" w:color="auto"/>
              <w:right w:val="nil"/>
            </w:tcBorders>
            <w:shd w:val="clear" w:color="auto" w:fill="auto"/>
            <w:noWrap/>
            <w:vAlign w:val="bottom"/>
            <w:hideMark/>
          </w:tcPr>
          <w:p w14:paraId="762A02D1"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KS Č. Budějovice</w:t>
            </w:r>
          </w:p>
        </w:tc>
        <w:tc>
          <w:tcPr>
            <w:tcW w:w="1740" w:type="dxa"/>
            <w:tcBorders>
              <w:top w:val="nil"/>
              <w:left w:val="nil"/>
              <w:bottom w:val="single" w:sz="4" w:space="0" w:color="auto"/>
              <w:right w:val="nil"/>
            </w:tcBorders>
            <w:shd w:val="clear" w:color="auto" w:fill="auto"/>
            <w:noWrap/>
            <w:vAlign w:val="bottom"/>
            <w:hideMark/>
          </w:tcPr>
          <w:p w14:paraId="44BB0097" w14:textId="328353B8"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48,44</w:t>
            </w:r>
            <w:r w:rsidR="00CB570A">
              <w:rPr>
                <w:rFonts w:eastAsia="Times New Roman"/>
                <w:szCs w:val="24"/>
                <w:lang w:eastAsia="cs-CZ"/>
              </w:rPr>
              <w:t> %</w:t>
            </w:r>
          </w:p>
        </w:tc>
        <w:tc>
          <w:tcPr>
            <w:tcW w:w="2476" w:type="dxa"/>
            <w:tcBorders>
              <w:top w:val="nil"/>
              <w:left w:val="nil"/>
              <w:bottom w:val="single" w:sz="4" w:space="0" w:color="auto"/>
              <w:right w:val="nil"/>
            </w:tcBorders>
            <w:shd w:val="clear" w:color="auto" w:fill="auto"/>
            <w:noWrap/>
            <w:vAlign w:val="center"/>
            <w:hideMark/>
          </w:tcPr>
          <w:p w14:paraId="551273A6" w14:textId="44D57178"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-14,7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301B297" w14:textId="77777777" w:rsidTr="003319F3">
        <w:trPr>
          <w:trHeight w:val="315"/>
        </w:trPr>
        <w:tc>
          <w:tcPr>
            <w:tcW w:w="2796" w:type="dxa"/>
            <w:tcBorders>
              <w:top w:val="nil"/>
              <w:left w:val="nil"/>
              <w:bottom w:val="single" w:sz="4" w:space="0" w:color="auto"/>
              <w:right w:val="nil"/>
            </w:tcBorders>
            <w:shd w:val="clear" w:color="auto" w:fill="auto"/>
            <w:noWrap/>
            <w:vAlign w:val="bottom"/>
            <w:hideMark/>
          </w:tcPr>
          <w:p w14:paraId="4CDF6AE9"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KS Plzeň</w:t>
            </w:r>
          </w:p>
        </w:tc>
        <w:tc>
          <w:tcPr>
            <w:tcW w:w="1740" w:type="dxa"/>
            <w:tcBorders>
              <w:top w:val="nil"/>
              <w:left w:val="nil"/>
              <w:bottom w:val="single" w:sz="4" w:space="0" w:color="auto"/>
              <w:right w:val="nil"/>
            </w:tcBorders>
            <w:shd w:val="clear" w:color="auto" w:fill="auto"/>
            <w:noWrap/>
            <w:vAlign w:val="bottom"/>
            <w:hideMark/>
          </w:tcPr>
          <w:p w14:paraId="32153E05" w14:textId="01F9C0FE"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42,25</w:t>
            </w:r>
            <w:r w:rsidR="00CB570A">
              <w:rPr>
                <w:rFonts w:eastAsia="Times New Roman"/>
                <w:szCs w:val="24"/>
                <w:lang w:eastAsia="cs-CZ"/>
              </w:rPr>
              <w:t> %</w:t>
            </w:r>
          </w:p>
        </w:tc>
        <w:tc>
          <w:tcPr>
            <w:tcW w:w="2476" w:type="dxa"/>
            <w:tcBorders>
              <w:top w:val="nil"/>
              <w:left w:val="nil"/>
              <w:bottom w:val="single" w:sz="4" w:space="0" w:color="auto"/>
              <w:right w:val="nil"/>
            </w:tcBorders>
            <w:shd w:val="clear" w:color="auto" w:fill="auto"/>
            <w:noWrap/>
            <w:vAlign w:val="center"/>
            <w:hideMark/>
          </w:tcPr>
          <w:p w14:paraId="73F90354" w14:textId="784AA9FC"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-14,5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36ED8E6" w14:textId="77777777" w:rsidTr="003319F3">
        <w:trPr>
          <w:trHeight w:val="315"/>
        </w:trPr>
        <w:tc>
          <w:tcPr>
            <w:tcW w:w="2796" w:type="dxa"/>
            <w:tcBorders>
              <w:top w:val="nil"/>
              <w:left w:val="nil"/>
              <w:bottom w:val="single" w:sz="4" w:space="0" w:color="auto"/>
              <w:right w:val="nil"/>
            </w:tcBorders>
            <w:shd w:val="clear" w:color="auto" w:fill="auto"/>
            <w:noWrap/>
            <w:vAlign w:val="bottom"/>
            <w:hideMark/>
          </w:tcPr>
          <w:p w14:paraId="632D151C"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KS Ústí n. Labem</w:t>
            </w:r>
          </w:p>
        </w:tc>
        <w:tc>
          <w:tcPr>
            <w:tcW w:w="1740" w:type="dxa"/>
            <w:tcBorders>
              <w:top w:val="nil"/>
              <w:left w:val="nil"/>
              <w:bottom w:val="single" w:sz="4" w:space="0" w:color="auto"/>
              <w:right w:val="nil"/>
            </w:tcBorders>
            <w:shd w:val="clear" w:color="auto" w:fill="auto"/>
            <w:noWrap/>
            <w:vAlign w:val="bottom"/>
            <w:hideMark/>
          </w:tcPr>
          <w:p w14:paraId="538FAD3C" w14:textId="36BD1EE8"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50,00</w:t>
            </w:r>
            <w:r w:rsidR="00CB570A">
              <w:rPr>
                <w:rFonts w:eastAsia="Times New Roman"/>
                <w:szCs w:val="24"/>
                <w:lang w:eastAsia="cs-CZ"/>
              </w:rPr>
              <w:t> %</w:t>
            </w:r>
          </w:p>
        </w:tc>
        <w:tc>
          <w:tcPr>
            <w:tcW w:w="2476" w:type="dxa"/>
            <w:tcBorders>
              <w:top w:val="nil"/>
              <w:left w:val="nil"/>
              <w:bottom w:val="single" w:sz="4" w:space="0" w:color="auto"/>
              <w:right w:val="nil"/>
            </w:tcBorders>
            <w:shd w:val="clear" w:color="auto" w:fill="auto"/>
            <w:noWrap/>
            <w:vAlign w:val="center"/>
            <w:hideMark/>
          </w:tcPr>
          <w:p w14:paraId="49F5BD60" w14:textId="2BF9160E"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+0,8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783E7C4" w14:textId="77777777" w:rsidTr="003319F3">
        <w:trPr>
          <w:trHeight w:val="315"/>
        </w:trPr>
        <w:tc>
          <w:tcPr>
            <w:tcW w:w="2796" w:type="dxa"/>
            <w:tcBorders>
              <w:top w:val="nil"/>
              <w:left w:val="nil"/>
              <w:bottom w:val="single" w:sz="4" w:space="0" w:color="auto"/>
              <w:right w:val="nil"/>
            </w:tcBorders>
            <w:shd w:val="clear" w:color="auto" w:fill="auto"/>
            <w:noWrap/>
            <w:vAlign w:val="bottom"/>
            <w:hideMark/>
          </w:tcPr>
          <w:p w14:paraId="7E83E543"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KS Hr. Králové</w:t>
            </w:r>
          </w:p>
        </w:tc>
        <w:tc>
          <w:tcPr>
            <w:tcW w:w="1740" w:type="dxa"/>
            <w:tcBorders>
              <w:top w:val="nil"/>
              <w:left w:val="nil"/>
              <w:bottom w:val="single" w:sz="4" w:space="0" w:color="auto"/>
              <w:right w:val="nil"/>
            </w:tcBorders>
            <w:shd w:val="clear" w:color="auto" w:fill="auto"/>
            <w:noWrap/>
            <w:vAlign w:val="bottom"/>
            <w:hideMark/>
          </w:tcPr>
          <w:p w14:paraId="24FF4955" w14:textId="06B6DEFC"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50,98</w:t>
            </w:r>
            <w:r w:rsidR="00CB570A">
              <w:rPr>
                <w:rFonts w:eastAsia="Times New Roman"/>
                <w:szCs w:val="24"/>
                <w:lang w:eastAsia="cs-CZ"/>
              </w:rPr>
              <w:t> %</w:t>
            </w:r>
          </w:p>
        </w:tc>
        <w:tc>
          <w:tcPr>
            <w:tcW w:w="2476" w:type="dxa"/>
            <w:tcBorders>
              <w:top w:val="nil"/>
              <w:left w:val="nil"/>
              <w:bottom w:val="single" w:sz="4" w:space="0" w:color="auto"/>
              <w:right w:val="nil"/>
            </w:tcBorders>
            <w:shd w:val="clear" w:color="auto" w:fill="auto"/>
            <w:noWrap/>
            <w:vAlign w:val="center"/>
            <w:hideMark/>
          </w:tcPr>
          <w:p w14:paraId="70ACFD72" w14:textId="7C2133DD"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+7,1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2240C88E" w14:textId="77777777" w:rsidTr="003319F3">
        <w:trPr>
          <w:trHeight w:val="315"/>
        </w:trPr>
        <w:tc>
          <w:tcPr>
            <w:tcW w:w="2796" w:type="dxa"/>
            <w:tcBorders>
              <w:top w:val="nil"/>
              <w:left w:val="nil"/>
              <w:bottom w:val="single" w:sz="4" w:space="0" w:color="auto"/>
              <w:right w:val="nil"/>
            </w:tcBorders>
            <w:shd w:val="clear" w:color="auto" w:fill="auto"/>
            <w:noWrap/>
            <w:vAlign w:val="bottom"/>
            <w:hideMark/>
          </w:tcPr>
          <w:p w14:paraId="5A5F0CAA"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KS Brno</w:t>
            </w:r>
          </w:p>
        </w:tc>
        <w:tc>
          <w:tcPr>
            <w:tcW w:w="1740" w:type="dxa"/>
            <w:tcBorders>
              <w:top w:val="nil"/>
              <w:left w:val="nil"/>
              <w:bottom w:val="single" w:sz="4" w:space="0" w:color="auto"/>
              <w:right w:val="nil"/>
            </w:tcBorders>
            <w:shd w:val="clear" w:color="auto" w:fill="auto"/>
            <w:noWrap/>
            <w:vAlign w:val="bottom"/>
            <w:hideMark/>
          </w:tcPr>
          <w:p w14:paraId="0B75B405" w14:textId="617378C6"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42,50</w:t>
            </w:r>
            <w:r w:rsidR="00CB570A">
              <w:rPr>
                <w:rFonts w:eastAsia="Times New Roman"/>
                <w:szCs w:val="24"/>
                <w:lang w:eastAsia="cs-CZ"/>
              </w:rPr>
              <w:t> %</w:t>
            </w:r>
          </w:p>
        </w:tc>
        <w:tc>
          <w:tcPr>
            <w:tcW w:w="2476" w:type="dxa"/>
            <w:tcBorders>
              <w:top w:val="nil"/>
              <w:left w:val="nil"/>
              <w:bottom w:val="single" w:sz="4" w:space="0" w:color="auto"/>
              <w:right w:val="nil"/>
            </w:tcBorders>
            <w:shd w:val="clear" w:color="auto" w:fill="auto"/>
            <w:noWrap/>
            <w:vAlign w:val="center"/>
            <w:hideMark/>
          </w:tcPr>
          <w:p w14:paraId="3D87EAA0" w14:textId="574EF220"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-2,6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D42C75F" w14:textId="77777777" w:rsidTr="003319F3">
        <w:trPr>
          <w:trHeight w:val="330"/>
        </w:trPr>
        <w:tc>
          <w:tcPr>
            <w:tcW w:w="2796" w:type="dxa"/>
            <w:tcBorders>
              <w:top w:val="nil"/>
              <w:left w:val="nil"/>
              <w:bottom w:val="double" w:sz="6" w:space="0" w:color="auto"/>
              <w:right w:val="nil"/>
            </w:tcBorders>
            <w:shd w:val="clear" w:color="auto" w:fill="auto"/>
            <w:noWrap/>
            <w:vAlign w:val="bottom"/>
            <w:hideMark/>
          </w:tcPr>
          <w:p w14:paraId="2A5AAD8E" w14:textId="77777777" w:rsidR="003319F3" w:rsidRPr="00A00187" w:rsidRDefault="003319F3" w:rsidP="003319F3">
            <w:pPr>
              <w:spacing w:line="240" w:lineRule="auto"/>
              <w:jc w:val="left"/>
              <w:rPr>
                <w:rFonts w:eastAsia="Times New Roman"/>
                <w:szCs w:val="24"/>
                <w:lang w:eastAsia="cs-CZ"/>
              </w:rPr>
            </w:pPr>
            <w:r w:rsidRPr="00A00187">
              <w:rPr>
                <w:rFonts w:eastAsia="Times New Roman"/>
                <w:szCs w:val="24"/>
                <w:lang w:eastAsia="cs-CZ"/>
              </w:rPr>
              <w:t>KS Ostrava</w:t>
            </w:r>
          </w:p>
        </w:tc>
        <w:tc>
          <w:tcPr>
            <w:tcW w:w="1740" w:type="dxa"/>
            <w:tcBorders>
              <w:top w:val="nil"/>
              <w:left w:val="nil"/>
              <w:bottom w:val="double" w:sz="6" w:space="0" w:color="auto"/>
              <w:right w:val="nil"/>
            </w:tcBorders>
            <w:shd w:val="clear" w:color="auto" w:fill="auto"/>
            <w:noWrap/>
            <w:vAlign w:val="bottom"/>
            <w:hideMark/>
          </w:tcPr>
          <w:p w14:paraId="73C0DC60" w14:textId="198F8735" w:rsidR="003319F3" w:rsidRPr="00A00187" w:rsidRDefault="003319F3" w:rsidP="003319F3">
            <w:pPr>
              <w:spacing w:line="240" w:lineRule="auto"/>
              <w:jc w:val="center"/>
              <w:rPr>
                <w:rFonts w:eastAsia="Times New Roman"/>
                <w:szCs w:val="24"/>
                <w:lang w:eastAsia="cs-CZ"/>
              </w:rPr>
            </w:pPr>
            <w:r w:rsidRPr="00A00187">
              <w:rPr>
                <w:rFonts w:eastAsia="Times New Roman"/>
                <w:szCs w:val="24"/>
                <w:lang w:eastAsia="cs-CZ"/>
              </w:rPr>
              <w:t>36,56</w:t>
            </w:r>
            <w:r w:rsidR="00CB570A">
              <w:rPr>
                <w:rFonts w:eastAsia="Times New Roman"/>
                <w:szCs w:val="24"/>
                <w:lang w:eastAsia="cs-CZ"/>
              </w:rPr>
              <w:t> %</w:t>
            </w:r>
          </w:p>
        </w:tc>
        <w:tc>
          <w:tcPr>
            <w:tcW w:w="2476" w:type="dxa"/>
            <w:tcBorders>
              <w:top w:val="nil"/>
              <w:left w:val="nil"/>
              <w:bottom w:val="nil"/>
              <w:right w:val="nil"/>
            </w:tcBorders>
            <w:shd w:val="clear" w:color="auto" w:fill="auto"/>
            <w:noWrap/>
            <w:vAlign w:val="center"/>
            <w:hideMark/>
          </w:tcPr>
          <w:p w14:paraId="48D34D21" w14:textId="76578F9C" w:rsidR="003319F3" w:rsidRPr="00A00187" w:rsidRDefault="003319F3" w:rsidP="003319F3">
            <w:pPr>
              <w:spacing w:line="240" w:lineRule="auto"/>
              <w:jc w:val="center"/>
              <w:rPr>
                <w:rFonts w:eastAsia="Times New Roman"/>
                <w:sz w:val="20"/>
                <w:szCs w:val="20"/>
                <w:lang w:eastAsia="cs-CZ"/>
              </w:rPr>
            </w:pPr>
            <w:r w:rsidRPr="00A00187">
              <w:rPr>
                <w:rFonts w:eastAsia="Times New Roman"/>
                <w:sz w:val="20"/>
                <w:szCs w:val="20"/>
                <w:lang w:eastAsia="cs-CZ"/>
              </w:rPr>
              <w:t xml:space="preserve">-18,1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6E4E652" w14:textId="77777777" w:rsidTr="003319F3">
        <w:trPr>
          <w:trHeight w:val="345"/>
        </w:trPr>
        <w:tc>
          <w:tcPr>
            <w:tcW w:w="2796" w:type="dxa"/>
            <w:tcBorders>
              <w:top w:val="nil"/>
              <w:left w:val="nil"/>
              <w:bottom w:val="double" w:sz="6" w:space="0" w:color="auto"/>
              <w:right w:val="nil"/>
            </w:tcBorders>
            <w:shd w:val="clear" w:color="auto" w:fill="auto"/>
            <w:noWrap/>
            <w:vAlign w:val="bottom"/>
            <w:hideMark/>
          </w:tcPr>
          <w:p w14:paraId="35E7864B" w14:textId="77777777" w:rsidR="003319F3" w:rsidRPr="00A00187" w:rsidRDefault="003319F3" w:rsidP="003319F3">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740" w:type="dxa"/>
            <w:tcBorders>
              <w:top w:val="nil"/>
              <w:left w:val="nil"/>
              <w:bottom w:val="double" w:sz="6" w:space="0" w:color="auto"/>
              <w:right w:val="nil"/>
            </w:tcBorders>
            <w:shd w:val="clear" w:color="auto" w:fill="auto"/>
            <w:noWrap/>
            <w:vAlign w:val="bottom"/>
            <w:hideMark/>
          </w:tcPr>
          <w:p w14:paraId="0E17AB9D" w14:textId="46E5E1DE" w:rsidR="003319F3" w:rsidRPr="00A00187" w:rsidRDefault="003319F3" w:rsidP="003319F3">
            <w:pPr>
              <w:spacing w:line="240" w:lineRule="auto"/>
              <w:jc w:val="center"/>
              <w:rPr>
                <w:rFonts w:eastAsia="Times New Roman"/>
                <w:b/>
                <w:bCs/>
                <w:szCs w:val="24"/>
                <w:lang w:eastAsia="cs-CZ"/>
              </w:rPr>
            </w:pPr>
            <w:r w:rsidRPr="00A00187">
              <w:rPr>
                <w:rFonts w:eastAsia="Times New Roman"/>
                <w:b/>
                <w:bCs/>
                <w:szCs w:val="24"/>
                <w:lang w:eastAsia="cs-CZ"/>
              </w:rPr>
              <w:t>47,65</w:t>
            </w:r>
            <w:r w:rsidR="00CB570A">
              <w:rPr>
                <w:rFonts w:eastAsia="Times New Roman"/>
                <w:b/>
                <w:bCs/>
                <w:szCs w:val="24"/>
                <w:lang w:eastAsia="cs-CZ"/>
              </w:rPr>
              <w:t> %</w:t>
            </w:r>
          </w:p>
        </w:tc>
        <w:tc>
          <w:tcPr>
            <w:tcW w:w="2476" w:type="dxa"/>
            <w:tcBorders>
              <w:top w:val="double" w:sz="6" w:space="0" w:color="auto"/>
              <w:left w:val="nil"/>
              <w:bottom w:val="double" w:sz="6" w:space="0" w:color="auto"/>
              <w:right w:val="nil"/>
            </w:tcBorders>
            <w:shd w:val="clear" w:color="auto" w:fill="auto"/>
            <w:noWrap/>
            <w:vAlign w:val="center"/>
            <w:hideMark/>
          </w:tcPr>
          <w:p w14:paraId="3D1F5AA3" w14:textId="1D2B733B" w:rsidR="003319F3" w:rsidRPr="00A00187" w:rsidRDefault="003319F3" w:rsidP="003319F3">
            <w:pPr>
              <w:spacing w:line="240" w:lineRule="auto"/>
              <w:jc w:val="center"/>
              <w:rPr>
                <w:rFonts w:eastAsia="Times New Roman"/>
                <w:b/>
                <w:bCs/>
                <w:sz w:val="20"/>
                <w:szCs w:val="20"/>
                <w:lang w:eastAsia="cs-CZ"/>
              </w:rPr>
            </w:pPr>
            <w:r w:rsidRPr="00A00187">
              <w:rPr>
                <w:rFonts w:eastAsia="Times New Roman"/>
                <w:b/>
                <w:bCs/>
                <w:sz w:val="20"/>
                <w:szCs w:val="20"/>
                <w:lang w:eastAsia="cs-CZ"/>
              </w:rPr>
              <w:t xml:space="preserve">-5,4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C1E67" w:rsidRPr="00A00187" w14:paraId="5125F2E1" w14:textId="77777777" w:rsidTr="003319F3">
        <w:trPr>
          <w:trHeight w:val="330"/>
        </w:trPr>
        <w:tc>
          <w:tcPr>
            <w:tcW w:w="2796" w:type="dxa"/>
            <w:tcBorders>
              <w:top w:val="nil"/>
              <w:left w:val="nil"/>
              <w:bottom w:val="nil"/>
              <w:right w:val="nil"/>
            </w:tcBorders>
            <w:shd w:val="clear" w:color="auto" w:fill="auto"/>
            <w:noWrap/>
            <w:vAlign w:val="bottom"/>
            <w:hideMark/>
          </w:tcPr>
          <w:p w14:paraId="4664C017" w14:textId="77777777" w:rsidR="003319F3" w:rsidRPr="00A00187" w:rsidRDefault="003319F3" w:rsidP="003319F3">
            <w:pPr>
              <w:spacing w:line="240" w:lineRule="auto"/>
              <w:jc w:val="right"/>
              <w:rPr>
                <w:rFonts w:eastAsia="Times New Roman"/>
                <w:b/>
                <w:bCs/>
                <w:sz w:val="20"/>
                <w:szCs w:val="20"/>
                <w:lang w:eastAsia="cs-CZ"/>
              </w:rPr>
            </w:pPr>
          </w:p>
        </w:tc>
        <w:tc>
          <w:tcPr>
            <w:tcW w:w="1740" w:type="dxa"/>
            <w:tcBorders>
              <w:top w:val="nil"/>
              <w:left w:val="nil"/>
              <w:bottom w:val="nil"/>
              <w:right w:val="nil"/>
            </w:tcBorders>
            <w:shd w:val="clear" w:color="auto" w:fill="auto"/>
            <w:noWrap/>
            <w:vAlign w:val="bottom"/>
            <w:hideMark/>
          </w:tcPr>
          <w:p w14:paraId="222A0634" w14:textId="77777777" w:rsidR="003319F3" w:rsidRPr="00A00187" w:rsidRDefault="003319F3" w:rsidP="003319F3">
            <w:pPr>
              <w:spacing w:line="240" w:lineRule="auto"/>
              <w:jc w:val="left"/>
              <w:rPr>
                <w:rFonts w:ascii="Times New Roman" w:eastAsia="Times New Roman" w:hAnsi="Times New Roman"/>
                <w:sz w:val="20"/>
                <w:szCs w:val="20"/>
                <w:lang w:eastAsia="cs-CZ"/>
              </w:rPr>
            </w:pPr>
          </w:p>
        </w:tc>
        <w:tc>
          <w:tcPr>
            <w:tcW w:w="2476" w:type="dxa"/>
            <w:tcBorders>
              <w:top w:val="nil"/>
              <w:left w:val="nil"/>
              <w:bottom w:val="nil"/>
              <w:right w:val="nil"/>
            </w:tcBorders>
            <w:shd w:val="clear" w:color="auto" w:fill="auto"/>
            <w:noWrap/>
            <w:vAlign w:val="bottom"/>
            <w:hideMark/>
          </w:tcPr>
          <w:p w14:paraId="413CB62F" w14:textId="77777777" w:rsidR="003319F3" w:rsidRPr="00A00187" w:rsidRDefault="003319F3" w:rsidP="003319F3">
            <w:pPr>
              <w:spacing w:line="240" w:lineRule="auto"/>
              <w:jc w:val="left"/>
              <w:rPr>
                <w:rFonts w:ascii="Times New Roman" w:eastAsia="Times New Roman" w:hAnsi="Times New Roman"/>
                <w:sz w:val="20"/>
                <w:szCs w:val="20"/>
                <w:lang w:eastAsia="cs-CZ"/>
              </w:rPr>
            </w:pPr>
          </w:p>
        </w:tc>
      </w:tr>
    </w:tbl>
    <w:p w14:paraId="7004F771" w14:textId="217ACEB7" w:rsidR="00EE0FAE" w:rsidRPr="00A00187" w:rsidRDefault="00EE0FAE" w:rsidP="00EE0FAE">
      <w:pPr>
        <w:pStyle w:val="OdstavecASR"/>
      </w:pPr>
      <w:r w:rsidRPr="00A00187">
        <w:t>Rozdíly mezi jednotlivými soudy v míře změny rozsudku jsou rovněž poměrně vysoké. Rozdíly jsou velké i u soudů mezi jednotlivými lety (viz především KS České Budějovice, KS Plzeň a KS Ostrava). Míra změny rozsudku je také vyšší než u okresních soudů, tentokrát asi o 5 procentních bodů.</w:t>
      </w:r>
    </w:p>
    <w:p w14:paraId="46C6F546" w14:textId="5A6314E0" w:rsidR="00EE0FAE" w:rsidRPr="00A00187" w:rsidRDefault="00EE0FAE" w:rsidP="00EE0FAE">
      <w:pPr>
        <w:pStyle w:val="OdstavecASR"/>
      </w:pPr>
      <w:r w:rsidRPr="00A00187">
        <w:t xml:space="preserve">Celková míra změny rozsudku je nejvyšší </w:t>
      </w:r>
      <w:r w:rsidR="00755920" w:rsidRPr="00A00187">
        <w:t>u</w:t>
      </w:r>
      <w:r w:rsidR="00755920">
        <w:t> </w:t>
      </w:r>
      <w:r w:rsidRPr="00A00187">
        <w:t xml:space="preserve">KS v Českých Budějovicích. Nejnižší je u KS v Ostravě </w:t>
      </w:r>
      <w:r w:rsidR="00AA2188" w:rsidRPr="00A00187">
        <w:t xml:space="preserve">vzhledem </w:t>
      </w:r>
      <w:r w:rsidR="00755920" w:rsidRPr="00A00187">
        <w:t>k</w:t>
      </w:r>
      <w:r w:rsidR="00755920">
        <w:t> </w:t>
      </w:r>
      <w:r w:rsidRPr="00A00187">
        <w:t xml:space="preserve">velkému poklesu jak v míře odvolání, tak </w:t>
      </w:r>
      <w:r w:rsidR="00755920" w:rsidRPr="00A00187">
        <w:t>i</w:t>
      </w:r>
      <w:r w:rsidR="00755920">
        <w:t> </w:t>
      </w:r>
      <w:r w:rsidRPr="00A00187">
        <w:t>v míře změny rozsudku v tomto roce.</w:t>
      </w:r>
    </w:p>
    <w:p w14:paraId="65234453" w14:textId="171D43B5" w:rsidR="0027234A" w:rsidRPr="00A00187" w:rsidRDefault="0027234A" w:rsidP="0027234A">
      <w:pPr>
        <w:pStyle w:val="OdstavecASR"/>
      </w:pPr>
      <w:r w:rsidRPr="00A00187">
        <w:t>Nakonec ještě krátce porovnáme poslední</w:t>
      </w:r>
      <w:r w:rsidR="00AA2188" w:rsidRPr="00A00187">
        <w:t>ch</w:t>
      </w:r>
      <w:r w:rsidRPr="00A00187">
        <w:t xml:space="preserve"> pět let. Údaje </w:t>
      </w:r>
      <w:r w:rsidR="00755920" w:rsidRPr="00A00187">
        <w:t>o</w:t>
      </w:r>
      <w:r w:rsidR="00755920">
        <w:t> </w:t>
      </w:r>
      <w:r w:rsidR="00453C90" w:rsidRPr="00A00187">
        <w:t>míře odvolání, míře změny rozsudk</w:t>
      </w:r>
      <w:r w:rsidR="00CB059A" w:rsidRPr="00A00187">
        <w:t>u</w:t>
      </w:r>
      <w:r w:rsidR="00453C90" w:rsidRPr="00A00187">
        <w:t xml:space="preserve"> </w:t>
      </w:r>
      <w:r w:rsidR="00755920" w:rsidRPr="00A00187">
        <w:t>i</w:t>
      </w:r>
      <w:r w:rsidR="00755920">
        <w:t> </w:t>
      </w:r>
      <w:r w:rsidR="00453C90" w:rsidRPr="00A00187">
        <w:t>celkové míře změny rozsudku jsou následující:</w:t>
      </w:r>
    </w:p>
    <w:p w14:paraId="64BA8CCF" w14:textId="3DB97ABB" w:rsidR="0027234A" w:rsidRPr="00A00187" w:rsidRDefault="0027234A" w:rsidP="0027234A">
      <w:pPr>
        <w:pStyle w:val="OdstavecASR"/>
      </w:pPr>
      <w:r w:rsidRPr="00A00187">
        <w:t>2016: 1</w:t>
      </w:r>
      <w:r w:rsidR="00714BF4" w:rsidRPr="00A00187">
        <w:t>5</w:t>
      </w:r>
      <w:r w:rsidRPr="00A00187">
        <w:t>,</w:t>
      </w:r>
      <w:r w:rsidR="00714BF4" w:rsidRPr="00A00187">
        <w:t>62</w:t>
      </w:r>
      <w:r w:rsidR="00CB570A">
        <w:t> %</w:t>
      </w:r>
      <w:r w:rsidRPr="00A00187">
        <w:t> × 50,</w:t>
      </w:r>
      <w:r w:rsidR="0071700D" w:rsidRPr="00A00187">
        <w:t>51</w:t>
      </w:r>
      <w:r w:rsidR="00CB570A">
        <w:t> %</w:t>
      </w:r>
      <w:r w:rsidRPr="00A00187">
        <w:t> = 7,</w:t>
      </w:r>
      <w:r w:rsidR="0071700D" w:rsidRPr="00A00187">
        <w:t>90</w:t>
      </w:r>
      <w:r w:rsidR="00CB570A">
        <w:t> %</w:t>
      </w:r>
    </w:p>
    <w:p w14:paraId="63B8DFD4" w14:textId="0154A18B" w:rsidR="0027234A" w:rsidRPr="00A00187" w:rsidRDefault="0027234A" w:rsidP="0027234A">
      <w:pPr>
        <w:pStyle w:val="OdstavecASR"/>
      </w:pPr>
      <w:r w:rsidRPr="00A00187">
        <w:t>2017: 19,</w:t>
      </w:r>
      <w:r w:rsidR="00714BF4" w:rsidRPr="00A00187">
        <w:t>67</w:t>
      </w:r>
      <w:r w:rsidR="00CB570A">
        <w:t> %</w:t>
      </w:r>
      <w:r w:rsidRPr="00A00187">
        <w:t> × 50,</w:t>
      </w:r>
      <w:r w:rsidR="0071700D" w:rsidRPr="00A00187">
        <w:t>34</w:t>
      </w:r>
      <w:r w:rsidR="00CB570A">
        <w:t> %</w:t>
      </w:r>
      <w:r w:rsidRPr="00A00187">
        <w:t> = 9,</w:t>
      </w:r>
      <w:r w:rsidR="0071700D" w:rsidRPr="00A00187">
        <w:t>90</w:t>
      </w:r>
      <w:r w:rsidR="00CB570A">
        <w:t> %</w:t>
      </w:r>
    </w:p>
    <w:p w14:paraId="466FA0CE" w14:textId="6DBE81A3" w:rsidR="0027234A" w:rsidRPr="00A00187" w:rsidRDefault="0027234A" w:rsidP="0027234A">
      <w:pPr>
        <w:pStyle w:val="OdstavecASR"/>
      </w:pPr>
      <w:r w:rsidRPr="00A00187">
        <w:t>2018: 2</w:t>
      </w:r>
      <w:r w:rsidR="00714BF4" w:rsidRPr="00A00187">
        <w:t>4</w:t>
      </w:r>
      <w:r w:rsidRPr="00A00187">
        <w:t>,</w:t>
      </w:r>
      <w:r w:rsidR="00714BF4" w:rsidRPr="00A00187">
        <w:t>88</w:t>
      </w:r>
      <w:r w:rsidR="00CB570A">
        <w:t> %</w:t>
      </w:r>
      <w:r w:rsidRPr="00A00187">
        <w:t> × 5</w:t>
      </w:r>
      <w:r w:rsidR="0071700D" w:rsidRPr="00A00187">
        <w:t>0</w:t>
      </w:r>
      <w:r w:rsidRPr="00A00187">
        <w:t>,</w:t>
      </w:r>
      <w:r w:rsidR="0071700D" w:rsidRPr="00A00187">
        <w:t>76</w:t>
      </w:r>
      <w:r w:rsidR="00CB570A">
        <w:t> %</w:t>
      </w:r>
      <w:r w:rsidRPr="00A00187">
        <w:t> = 1</w:t>
      </w:r>
      <w:r w:rsidR="0071700D" w:rsidRPr="00A00187">
        <w:t>2</w:t>
      </w:r>
      <w:r w:rsidRPr="00A00187">
        <w:t>,</w:t>
      </w:r>
      <w:r w:rsidR="0071700D" w:rsidRPr="00A00187">
        <w:t>63</w:t>
      </w:r>
      <w:r w:rsidR="00CB570A">
        <w:t> %</w:t>
      </w:r>
    </w:p>
    <w:p w14:paraId="4378E20B" w14:textId="47548848" w:rsidR="0027234A" w:rsidRPr="00A00187" w:rsidRDefault="0027234A" w:rsidP="0027234A">
      <w:pPr>
        <w:pStyle w:val="OdstavecASR"/>
      </w:pPr>
      <w:r w:rsidRPr="00A00187">
        <w:t>2019: 2</w:t>
      </w:r>
      <w:r w:rsidR="00714BF4" w:rsidRPr="00A00187">
        <w:t>4</w:t>
      </w:r>
      <w:r w:rsidRPr="00A00187">
        <w:t>,</w:t>
      </w:r>
      <w:r w:rsidR="00714BF4" w:rsidRPr="00A00187">
        <w:t>20</w:t>
      </w:r>
      <w:r w:rsidR="00CB570A">
        <w:t> %</w:t>
      </w:r>
      <w:r w:rsidRPr="00A00187">
        <w:t> × 51,8</w:t>
      </w:r>
      <w:r w:rsidR="0071700D" w:rsidRPr="00A00187">
        <w:t>1</w:t>
      </w:r>
      <w:r w:rsidR="00CB570A">
        <w:t> %</w:t>
      </w:r>
      <w:r w:rsidRPr="00A00187">
        <w:t> = 1</w:t>
      </w:r>
      <w:r w:rsidR="0071700D" w:rsidRPr="00A00187">
        <w:t>2</w:t>
      </w:r>
      <w:r w:rsidRPr="00A00187">
        <w:t>,</w:t>
      </w:r>
      <w:r w:rsidR="0071700D" w:rsidRPr="00A00187">
        <w:t>54</w:t>
      </w:r>
      <w:r w:rsidR="00CB570A">
        <w:t> %</w:t>
      </w:r>
    </w:p>
    <w:p w14:paraId="0F84865B" w14:textId="31284874" w:rsidR="0027234A" w:rsidRPr="00A00187" w:rsidRDefault="0027234A" w:rsidP="0027234A">
      <w:pPr>
        <w:pStyle w:val="OdstavecASR"/>
      </w:pPr>
      <w:r w:rsidRPr="00A00187">
        <w:t>2020: 2</w:t>
      </w:r>
      <w:r w:rsidR="00714BF4" w:rsidRPr="00A00187">
        <w:t>3</w:t>
      </w:r>
      <w:r w:rsidRPr="00A00187">
        <w:t>,</w:t>
      </w:r>
      <w:r w:rsidR="00714BF4" w:rsidRPr="00A00187">
        <w:t>64</w:t>
      </w:r>
      <w:r w:rsidR="00CB570A">
        <w:t> %</w:t>
      </w:r>
      <w:r w:rsidRPr="00A00187">
        <w:t> × 53,0</w:t>
      </w:r>
      <w:r w:rsidR="0071700D" w:rsidRPr="00A00187">
        <w:t>3</w:t>
      </w:r>
      <w:r w:rsidR="00CB570A">
        <w:t> %</w:t>
      </w:r>
      <w:r w:rsidRPr="00A00187">
        <w:t> = 1</w:t>
      </w:r>
      <w:r w:rsidR="0071700D" w:rsidRPr="00A00187">
        <w:t>2</w:t>
      </w:r>
      <w:r w:rsidRPr="00A00187">
        <w:t>,</w:t>
      </w:r>
      <w:r w:rsidR="0071700D" w:rsidRPr="00A00187">
        <w:t>54</w:t>
      </w:r>
      <w:r w:rsidR="00CB570A">
        <w:t> %</w:t>
      </w:r>
    </w:p>
    <w:p w14:paraId="5BF0DF8E" w14:textId="574FB0FA" w:rsidR="00714BF4" w:rsidRPr="00A00187" w:rsidRDefault="00714BF4" w:rsidP="0027234A">
      <w:pPr>
        <w:pStyle w:val="OdstavecASR"/>
      </w:pPr>
      <w:r w:rsidRPr="00A00187">
        <w:t>202</w:t>
      </w:r>
      <w:r w:rsidR="0071700D" w:rsidRPr="00A00187">
        <w:t>1</w:t>
      </w:r>
      <w:r w:rsidRPr="00A00187">
        <w:t>: 23,97</w:t>
      </w:r>
      <w:r w:rsidR="00CB570A">
        <w:t> %</w:t>
      </w:r>
      <w:r w:rsidRPr="00A00187">
        <w:t xml:space="preserve"> × </w:t>
      </w:r>
      <w:r w:rsidR="0071700D" w:rsidRPr="00A00187">
        <w:t>47</w:t>
      </w:r>
      <w:r w:rsidRPr="00A00187">
        <w:t>,</w:t>
      </w:r>
      <w:r w:rsidR="0071700D" w:rsidRPr="00A00187">
        <w:t>65</w:t>
      </w:r>
      <w:r w:rsidR="00CB570A">
        <w:t> %</w:t>
      </w:r>
      <w:r w:rsidRPr="00A00187">
        <w:t> = 11,</w:t>
      </w:r>
      <w:r w:rsidR="0071700D" w:rsidRPr="00A00187">
        <w:t>42</w:t>
      </w:r>
      <w:r w:rsidR="00CB570A">
        <w:t> %</w:t>
      </w:r>
    </w:p>
    <w:p w14:paraId="6A231A09" w14:textId="0F29865D" w:rsidR="0027234A" w:rsidRPr="00A00187" w:rsidRDefault="0027234A" w:rsidP="0027234A">
      <w:pPr>
        <w:pStyle w:val="OdstavecASR"/>
      </w:pPr>
      <w:r w:rsidRPr="00A00187">
        <w:t>Míra celkové změny rozsudku se v letech 2016 až 2018 zvýšila více než o polovinu. Mezi roky 2018 a 2020 zůstala téměř konstantní</w:t>
      </w:r>
      <w:r w:rsidR="008D70D9" w:rsidRPr="00A00187">
        <w:t xml:space="preserve"> </w:t>
      </w:r>
      <w:r w:rsidR="00755920" w:rsidRPr="00A00187">
        <w:t>a</w:t>
      </w:r>
      <w:r w:rsidR="00755920">
        <w:t> </w:t>
      </w:r>
      <w:r w:rsidR="008D70D9" w:rsidRPr="00A00187">
        <w:t>v roce 2021 mírně klesla.</w:t>
      </w:r>
      <w:r w:rsidRPr="00A00187">
        <w:t xml:space="preserve"> Pro připomenutí tento ukazatel znamená, že téměř u 12</w:t>
      </w:r>
      <w:r w:rsidR="00CB570A">
        <w:t> %</w:t>
      </w:r>
      <w:r w:rsidRPr="00A00187">
        <w:t> pravomocných rozhodnutí krajských soudů v civilních věcech došlo ke změně rozsudku.</w:t>
      </w:r>
    </w:p>
    <w:p w14:paraId="34F31FC2" w14:textId="74AC2362" w:rsidR="00EE0FAE" w:rsidRPr="00A00187" w:rsidRDefault="007925D5" w:rsidP="007F73C9">
      <w:pPr>
        <w:pStyle w:val="OdstavecASR"/>
        <w:keepNext/>
        <w:outlineLvl w:val="3"/>
        <w:rPr>
          <w:b/>
          <w:bCs/>
        </w:rPr>
      </w:pPr>
      <w:r w:rsidRPr="00A00187">
        <w:rPr>
          <w:b/>
          <w:bCs/>
        </w:rPr>
        <w:t>Nejčastější předměty sporu</w:t>
      </w:r>
    </w:p>
    <w:p w14:paraId="1673C25E" w14:textId="23F55C1E" w:rsidR="00EE0FAE" w:rsidRPr="00A00187" w:rsidRDefault="008F3399" w:rsidP="00EE0FAE">
      <w:pPr>
        <w:pStyle w:val="OdstavecASR"/>
      </w:pPr>
      <w:r w:rsidRPr="00A00187">
        <w:t xml:space="preserve">Závěrem této podkapitoly </w:t>
      </w:r>
      <w:r w:rsidR="006F01DD" w:rsidRPr="00A00187">
        <w:t>se zaměříme</w:t>
      </w:r>
      <w:r w:rsidR="007925D5" w:rsidRPr="00A00187">
        <w:t xml:space="preserve"> </w:t>
      </w:r>
      <w:r w:rsidR="006F01DD" w:rsidRPr="00A00187">
        <w:t xml:space="preserve">na </w:t>
      </w:r>
      <w:r w:rsidR="007925D5" w:rsidRPr="00A00187">
        <w:t>nejčastější předměty spor</w:t>
      </w:r>
      <w:r w:rsidR="002B75F7" w:rsidRPr="00A00187">
        <w:t>ů</w:t>
      </w:r>
      <w:r w:rsidR="007925D5" w:rsidRPr="00A00187">
        <w:t xml:space="preserve">, kterými se soudy v roce 2021 zabývaly. Data jsou očištěna stejně jako </w:t>
      </w:r>
      <w:r w:rsidR="00755920" w:rsidRPr="00A00187">
        <w:t>u</w:t>
      </w:r>
      <w:r w:rsidR="00755920">
        <w:t> </w:t>
      </w:r>
      <w:r w:rsidR="007925D5" w:rsidRPr="00A00187">
        <w:t xml:space="preserve">délky řízení, míry odvolání </w:t>
      </w:r>
      <w:r w:rsidR="00755920" w:rsidRPr="00A00187">
        <w:t>a</w:t>
      </w:r>
      <w:r w:rsidR="00755920">
        <w:t> </w:t>
      </w:r>
      <w:r w:rsidR="007925D5" w:rsidRPr="00A00187">
        <w:t xml:space="preserve">míry změny rozsudku. Jak je uvedeno výše, </w:t>
      </w:r>
      <w:r w:rsidR="007925D5" w:rsidRPr="00A00187">
        <w:rPr>
          <w:i/>
          <w:iCs/>
        </w:rPr>
        <w:t xml:space="preserve">zrušení </w:t>
      </w:r>
      <w:r w:rsidR="00755920" w:rsidRPr="00A00187">
        <w:rPr>
          <w:i/>
          <w:iCs/>
        </w:rPr>
        <w:t>a</w:t>
      </w:r>
      <w:r w:rsidR="00755920">
        <w:rPr>
          <w:i/>
          <w:iCs/>
        </w:rPr>
        <w:t> </w:t>
      </w:r>
      <w:r w:rsidR="007925D5" w:rsidRPr="00A00187">
        <w:rPr>
          <w:i/>
          <w:iCs/>
        </w:rPr>
        <w:t xml:space="preserve">jmenování likvidátora </w:t>
      </w:r>
      <w:r w:rsidR="00755920" w:rsidRPr="00A00187">
        <w:rPr>
          <w:i/>
          <w:iCs/>
        </w:rPr>
        <w:t>u</w:t>
      </w:r>
      <w:r w:rsidR="00755920">
        <w:rPr>
          <w:i/>
          <w:iCs/>
        </w:rPr>
        <w:t> </w:t>
      </w:r>
      <w:r w:rsidR="007925D5" w:rsidRPr="00A00187">
        <w:rPr>
          <w:i/>
          <w:iCs/>
        </w:rPr>
        <w:t xml:space="preserve">obchodních </w:t>
      </w:r>
      <w:r w:rsidR="00755920" w:rsidRPr="00A00187">
        <w:rPr>
          <w:i/>
          <w:iCs/>
        </w:rPr>
        <w:t>i</w:t>
      </w:r>
      <w:r w:rsidR="00755920">
        <w:rPr>
          <w:i/>
          <w:iCs/>
        </w:rPr>
        <w:t> </w:t>
      </w:r>
      <w:r w:rsidR="007925D5" w:rsidRPr="00A00187">
        <w:rPr>
          <w:i/>
          <w:iCs/>
        </w:rPr>
        <w:t>jiných korporací (spolky, odborové organizace atd</w:t>
      </w:r>
      <w:r w:rsidR="00511C0E" w:rsidRPr="00A00187">
        <w:rPr>
          <w:i/>
          <w:iCs/>
        </w:rPr>
        <w:t>.</w:t>
      </w:r>
      <w:r w:rsidR="007925D5" w:rsidRPr="00A00187">
        <w:rPr>
          <w:i/>
          <w:iCs/>
        </w:rPr>
        <w:t>)</w:t>
      </w:r>
      <w:r w:rsidR="007925D5" w:rsidRPr="00A00187">
        <w:t xml:space="preserve"> tvoří velkou část agendy, především pak </w:t>
      </w:r>
      <w:r w:rsidR="00755920" w:rsidRPr="00A00187">
        <w:t>u</w:t>
      </w:r>
      <w:r w:rsidR="00755920">
        <w:t> </w:t>
      </w:r>
      <w:r w:rsidR="007925D5" w:rsidRPr="00A00187">
        <w:t xml:space="preserve">MS v Praze. </w:t>
      </w:r>
      <w:r w:rsidR="00006A2F" w:rsidRPr="00A00187">
        <w:t xml:space="preserve">Tato statistika je tedy zaměřena </w:t>
      </w:r>
      <w:r w:rsidR="007925D5" w:rsidRPr="00A00187">
        <w:t>na složení agendy ostatních obchodních (</w:t>
      </w:r>
      <w:r w:rsidR="00755920" w:rsidRPr="00A00187">
        <w:t>a</w:t>
      </w:r>
      <w:r w:rsidR="00755920">
        <w:t> </w:t>
      </w:r>
      <w:r w:rsidR="007925D5" w:rsidRPr="00A00187">
        <w:t>civilních</w:t>
      </w:r>
      <w:r w:rsidR="00006A2F" w:rsidRPr="00A00187">
        <w:t>)</w:t>
      </w:r>
      <w:r w:rsidR="007925D5" w:rsidRPr="00A00187">
        <w:t xml:space="preserve"> sporů. V tabulce je uvedeno </w:t>
      </w:r>
      <w:r w:rsidR="00AE33E4" w:rsidRPr="00A00187">
        <w:t>pět</w:t>
      </w:r>
      <w:r w:rsidR="007925D5" w:rsidRPr="00A00187">
        <w:t xml:space="preserve"> nejběžnějších </w:t>
      </w:r>
      <w:r w:rsidR="00291B4A" w:rsidRPr="00A00187">
        <w:t xml:space="preserve">sporů </w:t>
      </w:r>
      <w:r w:rsidR="00755920" w:rsidRPr="00A00187">
        <w:t>a</w:t>
      </w:r>
      <w:r w:rsidR="00755920">
        <w:t> </w:t>
      </w:r>
      <w:r w:rsidR="00291B4A" w:rsidRPr="00A00187">
        <w:t>jejich procentuální zastoupení vzhledem k celkové</w:t>
      </w:r>
      <w:r w:rsidR="00006A2F" w:rsidRPr="00A00187">
        <w:t>mu</w:t>
      </w:r>
      <w:r w:rsidR="00291B4A" w:rsidRPr="00A00187">
        <w:t xml:space="preserve"> počtu pravomocně skončených věcí.</w:t>
      </w:r>
    </w:p>
    <w:p w14:paraId="5773E20F" w14:textId="7B9B891A" w:rsidR="007504E8" w:rsidRPr="00A00187" w:rsidRDefault="00291B4A" w:rsidP="00291B4A">
      <w:pPr>
        <w:pStyle w:val="Podnadpis"/>
        <w:rPr>
          <w:color w:val="auto"/>
        </w:rPr>
      </w:pPr>
      <w:bookmarkStart w:id="668" w:name="_Toc75952352"/>
      <w:bookmarkStart w:id="669" w:name="_Toc106106809"/>
      <w:bookmarkStart w:id="670" w:name="_Toc109802132"/>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47</w:t>
      </w:r>
      <w:r w:rsidRPr="00A00187">
        <w:rPr>
          <w:color w:val="auto"/>
        </w:rPr>
        <w:fldChar w:fldCharType="end"/>
      </w:r>
      <w:r w:rsidRPr="00A00187">
        <w:rPr>
          <w:color w:val="auto"/>
        </w:rPr>
        <w:t xml:space="preserve">: KS – </w:t>
      </w:r>
      <w:bookmarkEnd w:id="668"/>
      <w:r w:rsidRPr="00A00187">
        <w:rPr>
          <w:color w:val="auto"/>
        </w:rPr>
        <w:t>nejčastější předměty sporu</w:t>
      </w:r>
      <w:bookmarkEnd w:id="669"/>
      <w:bookmarkEnd w:id="670"/>
    </w:p>
    <w:tbl>
      <w:tblPr>
        <w:tblW w:w="6912" w:type="dxa"/>
        <w:tblCellMar>
          <w:left w:w="70" w:type="dxa"/>
          <w:right w:w="70" w:type="dxa"/>
        </w:tblCellMar>
        <w:tblLook w:val="04A0" w:firstRow="1" w:lastRow="0" w:firstColumn="1" w:lastColumn="0" w:noHBand="0" w:noVBand="1"/>
      </w:tblPr>
      <w:tblGrid>
        <w:gridCol w:w="5836"/>
        <w:gridCol w:w="1076"/>
      </w:tblGrid>
      <w:tr w:rsidR="00396CDF" w:rsidRPr="00396CDF" w14:paraId="6825DB70" w14:textId="77777777" w:rsidTr="00396CDF">
        <w:trPr>
          <w:trHeight w:val="345"/>
        </w:trPr>
        <w:tc>
          <w:tcPr>
            <w:tcW w:w="5836" w:type="dxa"/>
            <w:tcBorders>
              <w:top w:val="double" w:sz="6" w:space="0" w:color="auto"/>
              <w:left w:val="nil"/>
              <w:bottom w:val="double" w:sz="6" w:space="0" w:color="auto"/>
              <w:right w:val="nil"/>
            </w:tcBorders>
            <w:shd w:val="clear" w:color="auto" w:fill="auto"/>
            <w:noWrap/>
            <w:vAlign w:val="center"/>
            <w:hideMark/>
          </w:tcPr>
          <w:p w14:paraId="3731E145" w14:textId="77777777" w:rsidR="00396CDF" w:rsidRPr="00396CDF" w:rsidRDefault="00396CDF" w:rsidP="00396CDF">
            <w:pPr>
              <w:spacing w:line="240" w:lineRule="auto"/>
              <w:jc w:val="center"/>
              <w:rPr>
                <w:rFonts w:eastAsia="Times New Roman"/>
                <w:b/>
                <w:bCs/>
                <w:color w:val="000000"/>
                <w:szCs w:val="24"/>
                <w:lang w:eastAsia="cs-CZ"/>
              </w:rPr>
            </w:pPr>
            <w:r w:rsidRPr="00396CDF">
              <w:rPr>
                <w:rFonts w:eastAsia="Times New Roman"/>
                <w:b/>
                <w:bCs/>
                <w:color w:val="000000"/>
                <w:szCs w:val="24"/>
                <w:lang w:eastAsia="cs-CZ"/>
              </w:rPr>
              <w:t>Předmět sporu</w:t>
            </w:r>
          </w:p>
        </w:tc>
        <w:tc>
          <w:tcPr>
            <w:tcW w:w="1076" w:type="dxa"/>
            <w:tcBorders>
              <w:top w:val="double" w:sz="6" w:space="0" w:color="auto"/>
              <w:left w:val="nil"/>
              <w:bottom w:val="double" w:sz="6" w:space="0" w:color="auto"/>
              <w:right w:val="nil"/>
            </w:tcBorders>
            <w:shd w:val="clear" w:color="auto" w:fill="auto"/>
            <w:noWrap/>
            <w:vAlign w:val="center"/>
            <w:hideMark/>
          </w:tcPr>
          <w:p w14:paraId="0F9BD422" w14:textId="77777777" w:rsidR="00396CDF" w:rsidRPr="00396CDF" w:rsidRDefault="00396CDF" w:rsidP="00396CDF">
            <w:pPr>
              <w:spacing w:line="240" w:lineRule="auto"/>
              <w:jc w:val="center"/>
              <w:rPr>
                <w:rFonts w:eastAsia="Times New Roman"/>
                <w:b/>
                <w:bCs/>
                <w:color w:val="000000"/>
                <w:szCs w:val="24"/>
                <w:lang w:eastAsia="cs-CZ"/>
              </w:rPr>
            </w:pPr>
            <w:r w:rsidRPr="00396CDF">
              <w:rPr>
                <w:rFonts w:eastAsia="Times New Roman"/>
                <w:b/>
                <w:bCs/>
                <w:color w:val="000000"/>
                <w:szCs w:val="24"/>
                <w:lang w:eastAsia="cs-CZ"/>
              </w:rPr>
              <w:t>Podíl</w:t>
            </w:r>
          </w:p>
        </w:tc>
      </w:tr>
      <w:tr w:rsidR="00396CDF" w:rsidRPr="00396CDF" w14:paraId="24387A2C" w14:textId="77777777" w:rsidTr="00396CDF">
        <w:trPr>
          <w:trHeight w:val="330"/>
        </w:trPr>
        <w:tc>
          <w:tcPr>
            <w:tcW w:w="5836" w:type="dxa"/>
            <w:tcBorders>
              <w:top w:val="nil"/>
              <w:left w:val="nil"/>
              <w:bottom w:val="single" w:sz="4" w:space="0" w:color="auto"/>
              <w:right w:val="nil"/>
            </w:tcBorders>
            <w:shd w:val="clear" w:color="auto" w:fill="auto"/>
            <w:noWrap/>
            <w:vAlign w:val="bottom"/>
            <w:hideMark/>
          </w:tcPr>
          <w:p w14:paraId="0F6055A5" w14:textId="77777777" w:rsidR="00396CDF" w:rsidRPr="00396CDF" w:rsidRDefault="00396CDF" w:rsidP="00396CDF">
            <w:pPr>
              <w:spacing w:line="240" w:lineRule="auto"/>
              <w:jc w:val="left"/>
              <w:rPr>
                <w:rFonts w:eastAsia="Times New Roman"/>
                <w:color w:val="000000"/>
                <w:szCs w:val="24"/>
                <w:lang w:eastAsia="cs-CZ"/>
              </w:rPr>
            </w:pPr>
            <w:r w:rsidRPr="00396CDF">
              <w:rPr>
                <w:rFonts w:eastAsia="Times New Roman"/>
                <w:color w:val="000000"/>
                <w:szCs w:val="24"/>
                <w:lang w:eastAsia="cs-CZ"/>
              </w:rPr>
              <w:t xml:space="preserve">Spory ze směnek </w:t>
            </w:r>
          </w:p>
        </w:tc>
        <w:tc>
          <w:tcPr>
            <w:tcW w:w="1076" w:type="dxa"/>
            <w:tcBorders>
              <w:top w:val="nil"/>
              <w:left w:val="nil"/>
              <w:bottom w:val="single" w:sz="4" w:space="0" w:color="auto"/>
              <w:right w:val="nil"/>
            </w:tcBorders>
            <w:shd w:val="clear" w:color="auto" w:fill="auto"/>
            <w:noWrap/>
            <w:vAlign w:val="bottom"/>
            <w:hideMark/>
          </w:tcPr>
          <w:p w14:paraId="7DC25B60" w14:textId="75B3EAD1" w:rsidR="00396CDF" w:rsidRPr="00396CDF" w:rsidRDefault="00396CDF" w:rsidP="00396CDF">
            <w:pPr>
              <w:spacing w:line="240" w:lineRule="auto"/>
              <w:jc w:val="center"/>
              <w:rPr>
                <w:rFonts w:eastAsia="Times New Roman"/>
                <w:color w:val="000000"/>
                <w:szCs w:val="24"/>
                <w:lang w:eastAsia="cs-CZ"/>
              </w:rPr>
            </w:pPr>
            <w:r w:rsidRPr="00396CDF">
              <w:rPr>
                <w:rFonts w:eastAsia="Times New Roman"/>
                <w:color w:val="000000"/>
                <w:szCs w:val="24"/>
                <w:lang w:eastAsia="cs-CZ"/>
              </w:rPr>
              <w:t>38</w:t>
            </w:r>
            <w:r w:rsidR="008E7EBD">
              <w:rPr>
                <w:rFonts w:eastAsia="Times New Roman"/>
                <w:color w:val="000000"/>
                <w:szCs w:val="24"/>
                <w:lang w:eastAsia="cs-CZ"/>
              </w:rPr>
              <w:t>,</w:t>
            </w:r>
            <w:r w:rsidRPr="00396CDF">
              <w:rPr>
                <w:rFonts w:eastAsia="Times New Roman"/>
                <w:color w:val="000000"/>
                <w:szCs w:val="24"/>
                <w:lang w:eastAsia="cs-CZ"/>
              </w:rPr>
              <w:t>86</w:t>
            </w:r>
            <w:r w:rsidR="00CB570A">
              <w:rPr>
                <w:rFonts w:eastAsia="Times New Roman"/>
                <w:color w:val="000000"/>
                <w:szCs w:val="24"/>
                <w:lang w:eastAsia="cs-CZ"/>
              </w:rPr>
              <w:t> %</w:t>
            </w:r>
          </w:p>
        </w:tc>
      </w:tr>
      <w:tr w:rsidR="00396CDF" w:rsidRPr="00396CDF" w14:paraId="6D5B55C7" w14:textId="77777777" w:rsidTr="00396CDF">
        <w:trPr>
          <w:trHeight w:val="315"/>
        </w:trPr>
        <w:tc>
          <w:tcPr>
            <w:tcW w:w="5836" w:type="dxa"/>
            <w:tcBorders>
              <w:top w:val="nil"/>
              <w:left w:val="nil"/>
              <w:bottom w:val="single" w:sz="4" w:space="0" w:color="auto"/>
              <w:right w:val="nil"/>
            </w:tcBorders>
            <w:shd w:val="clear" w:color="auto" w:fill="auto"/>
            <w:noWrap/>
            <w:vAlign w:val="bottom"/>
            <w:hideMark/>
          </w:tcPr>
          <w:p w14:paraId="25B3AD0C" w14:textId="6454CE61" w:rsidR="00396CDF" w:rsidRPr="00396CDF" w:rsidRDefault="00396CDF" w:rsidP="00396CDF">
            <w:pPr>
              <w:spacing w:line="240" w:lineRule="auto"/>
              <w:jc w:val="left"/>
              <w:rPr>
                <w:rFonts w:eastAsia="Times New Roman"/>
                <w:color w:val="000000"/>
                <w:szCs w:val="24"/>
                <w:lang w:eastAsia="cs-CZ"/>
              </w:rPr>
            </w:pPr>
            <w:r w:rsidRPr="00396CDF">
              <w:rPr>
                <w:rFonts w:eastAsia="Times New Roman"/>
                <w:color w:val="000000"/>
                <w:szCs w:val="24"/>
                <w:lang w:eastAsia="cs-CZ"/>
              </w:rPr>
              <w:t xml:space="preserve">Autorský </w:t>
            </w:r>
            <w:r w:rsidRPr="00A00187">
              <w:rPr>
                <w:rFonts w:eastAsia="Times New Roman"/>
                <w:color w:val="000000"/>
                <w:szCs w:val="24"/>
                <w:lang w:eastAsia="cs-CZ"/>
              </w:rPr>
              <w:t>zákon – spory</w:t>
            </w:r>
            <w:r w:rsidRPr="00396CDF">
              <w:rPr>
                <w:rFonts w:eastAsia="Times New Roman"/>
                <w:color w:val="000000"/>
                <w:szCs w:val="24"/>
                <w:lang w:eastAsia="cs-CZ"/>
              </w:rPr>
              <w:t xml:space="preserve"> vycházející </w:t>
            </w:r>
            <w:r w:rsidR="00755920" w:rsidRPr="00396CDF">
              <w:rPr>
                <w:rFonts w:eastAsia="Times New Roman"/>
                <w:color w:val="000000"/>
                <w:szCs w:val="24"/>
                <w:lang w:eastAsia="cs-CZ"/>
              </w:rPr>
              <w:t>z</w:t>
            </w:r>
            <w:r w:rsidR="00755920">
              <w:rPr>
                <w:rFonts w:eastAsia="Times New Roman"/>
                <w:color w:val="000000"/>
                <w:szCs w:val="24"/>
                <w:lang w:eastAsia="cs-CZ"/>
              </w:rPr>
              <w:t> </w:t>
            </w:r>
            <w:r w:rsidRPr="00396CDF">
              <w:rPr>
                <w:rFonts w:eastAsia="Times New Roman"/>
                <w:color w:val="000000"/>
                <w:szCs w:val="24"/>
                <w:lang w:eastAsia="cs-CZ"/>
              </w:rPr>
              <w:t>kolektivní správy práv</w:t>
            </w:r>
          </w:p>
        </w:tc>
        <w:tc>
          <w:tcPr>
            <w:tcW w:w="1076" w:type="dxa"/>
            <w:tcBorders>
              <w:top w:val="nil"/>
              <w:left w:val="nil"/>
              <w:bottom w:val="single" w:sz="4" w:space="0" w:color="auto"/>
              <w:right w:val="nil"/>
            </w:tcBorders>
            <w:shd w:val="clear" w:color="auto" w:fill="auto"/>
            <w:noWrap/>
            <w:vAlign w:val="bottom"/>
            <w:hideMark/>
          </w:tcPr>
          <w:p w14:paraId="79026EA3" w14:textId="609BDBE9" w:rsidR="00396CDF" w:rsidRPr="00396CDF" w:rsidRDefault="00396CDF" w:rsidP="00396CDF">
            <w:pPr>
              <w:spacing w:line="240" w:lineRule="auto"/>
              <w:jc w:val="center"/>
              <w:rPr>
                <w:rFonts w:eastAsia="Times New Roman"/>
                <w:color w:val="000000"/>
                <w:szCs w:val="24"/>
                <w:lang w:eastAsia="cs-CZ"/>
              </w:rPr>
            </w:pPr>
            <w:r w:rsidRPr="00396CDF">
              <w:rPr>
                <w:rFonts w:eastAsia="Times New Roman"/>
                <w:color w:val="000000"/>
                <w:szCs w:val="24"/>
                <w:lang w:eastAsia="cs-CZ"/>
              </w:rPr>
              <w:t>4</w:t>
            </w:r>
            <w:r w:rsidR="008E7EBD">
              <w:rPr>
                <w:rFonts w:eastAsia="Times New Roman"/>
                <w:color w:val="000000"/>
                <w:szCs w:val="24"/>
                <w:lang w:eastAsia="cs-CZ"/>
              </w:rPr>
              <w:t>,</w:t>
            </w:r>
            <w:r w:rsidRPr="00396CDF">
              <w:rPr>
                <w:rFonts w:eastAsia="Times New Roman"/>
                <w:color w:val="000000"/>
                <w:szCs w:val="24"/>
                <w:lang w:eastAsia="cs-CZ"/>
              </w:rPr>
              <w:t>79</w:t>
            </w:r>
            <w:r w:rsidR="00CB570A">
              <w:rPr>
                <w:rFonts w:eastAsia="Times New Roman"/>
                <w:color w:val="000000"/>
                <w:szCs w:val="24"/>
                <w:lang w:eastAsia="cs-CZ"/>
              </w:rPr>
              <w:t> %</w:t>
            </w:r>
          </w:p>
        </w:tc>
      </w:tr>
      <w:tr w:rsidR="00396CDF" w:rsidRPr="00396CDF" w14:paraId="69DB098C" w14:textId="77777777" w:rsidTr="00396CDF">
        <w:trPr>
          <w:trHeight w:val="630"/>
        </w:trPr>
        <w:tc>
          <w:tcPr>
            <w:tcW w:w="5836" w:type="dxa"/>
            <w:tcBorders>
              <w:top w:val="nil"/>
              <w:left w:val="nil"/>
              <w:bottom w:val="single" w:sz="4" w:space="0" w:color="auto"/>
              <w:right w:val="nil"/>
            </w:tcBorders>
            <w:shd w:val="clear" w:color="auto" w:fill="auto"/>
            <w:vAlign w:val="bottom"/>
            <w:hideMark/>
          </w:tcPr>
          <w:p w14:paraId="63F6A927" w14:textId="429B21A2" w:rsidR="00396CDF" w:rsidRPr="00396CDF" w:rsidRDefault="00396CDF" w:rsidP="00396CDF">
            <w:pPr>
              <w:spacing w:line="240" w:lineRule="auto"/>
              <w:jc w:val="left"/>
              <w:rPr>
                <w:rFonts w:eastAsia="Times New Roman"/>
                <w:color w:val="000000"/>
                <w:szCs w:val="24"/>
                <w:lang w:eastAsia="cs-CZ"/>
              </w:rPr>
            </w:pPr>
            <w:r w:rsidRPr="00396CDF">
              <w:rPr>
                <w:rFonts w:eastAsia="Times New Roman"/>
                <w:color w:val="000000"/>
                <w:szCs w:val="24"/>
                <w:lang w:eastAsia="cs-CZ"/>
              </w:rPr>
              <w:t xml:space="preserve">Vztahy podnikatelů </w:t>
            </w:r>
            <w:r w:rsidR="00755920" w:rsidRPr="00396CDF">
              <w:rPr>
                <w:rFonts w:eastAsia="Times New Roman"/>
                <w:color w:val="000000"/>
                <w:szCs w:val="24"/>
                <w:lang w:eastAsia="cs-CZ"/>
              </w:rPr>
              <w:t>a</w:t>
            </w:r>
            <w:r w:rsidR="00755920">
              <w:rPr>
                <w:rFonts w:eastAsia="Times New Roman"/>
                <w:color w:val="000000"/>
                <w:szCs w:val="24"/>
                <w:lang w:eastAsia="cs-CZ"/>
              </w:rPr>
              <w:t> </w:t>
            </w:r>
            <w:r w:rsidRPr="00396CDF">
              <w:rPr>
                <w:rFonts w:eastAsia="Times New Roman"/>
                <w:color w:val="000000"/>
                <w:szCs w:val="24"/>
                <w:lang w:eastAsia="cs-CZ"/>
              </w:rPr>
              <w:t>právnických osob (včetně insolvenčních správců) - ostatní</w:t>
            </w:r>
          </w:p>
        </w:tc>
        <w:tc>
          <w:tcPr>
            <w:tcW w:w="1076" w:type="dxa"/>
            <w:tcBorders>
              <w:top w:val="nil"/>
              <w:left w:val="nil"/>
              <w:bottom w:val="single" w:sz="4" w:space="0" w:color="auto"/>
              <w:right w:val="nil"/>
            </w:tcBorders>
            <w:shd w:val="clear" w:color="auto" w:fill="auto"/>
            <w:noWrap/>
            <w:vAlign w:val="center"/>
            <w:hideMark/>
          </w:tcPr>
          <w:p w14:paraId="08C432BC" w14:textId="62353281" w:rsidR="00396CDF" w:rsidRPr="00396CDF" w:rsidRDefault="00396CDF" w:rsidP="00396CDF">
            <w:pPr>
              <w:spacing w:line="240" w:lineRule="auto"/>
              <w:jc w:val="center"/>
              <w:rPr>
                <w:rFonts w:eastAsia="Times New Roman"/>
                <w:color w:val="000000"/>
                <w:szCs w:val="24"/>
                <w:lang w:eastAsia="cs-CZ"/>
              </w:rPr>
            </w:pPr>
            <w:r w:rsidRPr="00396CDF">
              <w:rPr>
                <w:rFonts w:eastAsia="Times New Roman"/>
                <w:color w:val="000000"/>
                <w:szCs w:val="24"/>
                <w:lang w:eastAsia="cs-CZ"/>
              </w:rPr>
              <w:t>4</w:t>
            </w:r>
            <w:r w:rsidR="008E7EBD">
              <w:rPr>
                <w:rFonts w:eastAsia="Times New Roman"/>
                <w:color w:val="000000"/>
                <w:szCs w:val="24"/>
                <w:lang w:eastAsia="cs-CZ"/>
              </w:rPr>
              <w:t>,</w:t>
            </w:r>
            <w:r w:rsidRPr="00396CDF">
              <w:rPr>
                <w:rFonts w:eastAsia="Times New Roman"/>
                <w:color w:val="000000"/>
                <w:szCs w:val="24"/>
                <w:lang w:eastAsia="cs-CZ"/>
              </w:rPr>
              <w:t>73</w:t>
            </w:r>
            <w:r w:rsidR="00CB570A">
              <w:rPr>
                <w:rFonts w:eastAsia="Times New Roman"/>
                <w:color w:val="000000"/>
                <w:szCs w:val="24"/>
                <w:lang w:eastAsia="cs-CZ"/>
              </w:rPr>
              <w:t> %</w:t>
            </w:r>
          </w:p>
        </w:tc>
      </w:tr>
      <w:tr w:rsidR="00396CDF" w:rsidRPr="00396CDF" w14:paraId="53642BDC" w14:textId="77777777" w:rsidTr="00396CDF">
        <w:trPr>
          <w:trHeight w:val="315"/>
        </w:trPr>
        <w:tc>
          <w:tcPr>
            <w:tcW w:w="5836" w:type="dxa"/>
            <w:tcBorders>
              <w:top w:val="nil"/>
              <w:left w:val="nil"/>
              <w:bottom w:val="single" w:sz="4" w:space="0" w:color="auto"/>
              <w:right w:val="nil"/>
            </w:tcBorders>
            <w:shd w:val="clear" w:color="auto" w:fill="auto"/>
            <w:vAlign w:val="bottom"/>
            <w:hideMark/>
          </w:tcPr>
          <w:p w14:paraId="130A22FE" w14:textId="27B161BD" w:rsidR="00396CDF" w:rsidRPr="00396CDF" w:rsidRDefault="00396CDF" w:rsidP="00396CDF">
            <w:pPr>
              <w:spacing w:line="240" w:lineRule="auto"/>
              <w:jc w:val="left"/>
              <w:rPr>
                <w:rFonts w:eastAsia="Times New Roman"/>
                <w:color w:val="000000"/>
                <w:szCs w:val="24"/>
                <w:lang w:eastAsia="cs-CZ"/>
              </w:rPr>
            </w:pPr>
            <w:r w:rsidRPr="00396CDF">
              <w:rPr>
                <w:rFonts w:eastAsia="Times New Roman"/>
                <w:color w:val="000000"/>
                <w:szCs w:val="24"/>
                <w:lang w:eastAsia="cs-CZ"/>
              </w:rPr>
              <w:t xml:space="preserve">Spory </w:t>
            </w:r>
            <w:r w:rsidR="00755920" w:rsidRPr="00396CDF">
              <w:rPr>
                <w:rFonts w:eastAsia="Times New Roman"/>
                <w:color w:val="000000"/>
                <w:szCs w:val="24"/>
                <w:lang w:eastAsia="cs-CZ"/>
              </w:rPr>
              <w:t>z</w:t>
            </w:r>
            <w:r w:rsidR="00755920">
              <w:rPr>
                <w:rFonts w:eastAsia="Times New Roman"/>
                <w:color w:val="000000"/>
                <w:szCs w:val="24"/>
                <w:lang w:eastAsia="cs-CZ"/>
              </w:rPr>
              <w:t> </w:t>
            </w:r>
            <w:r w:rsidRPr="00396CDF">
              <w:rPr>
                <w:rFonts w:eastAsia="Times New Roman"/>
                <w:color w:val="000000"/>
                <w:szCs w:val="24"/>
                <w:lang w:eastAsia="cs-CZ"/>
              </w:rPr>
              <w:t>autorského práva</w:t>
            </w:r>
          </w:p>
        </w:tc>
        <w:tc>
          <w:tcPr>
            <w:tcW w:w="1076" w:type="dxa"/>
            <w:tcBorders>
              <w:top w:val="nil"/>
              <w:left w:val="nil"/>
              <w:bottom w:val="single" w:sz="4" w:space="0" w:color="auto"/>
              <w:right w:val="nil"/>
            </w:tcBorders>
            <w:shd w:val="clear" w:color="auto" w:fill="auto"/>
            <w:noWrap/>
            <w:vAlign w:val="center"/>
            <w:hideMark/>
          </w:tcPr>
          <w:p w14:paraId="06ED29AB" w14:textId="6C242584" w:rsidR="00396CDF" w:rsidRPr="00396CDF" w:rsidRDefault="00396CDF" w:rsidP="00396CDF">
            <w:pPr>
              <w:spacing w:line="240" w:lineRule="auto"/>
              <w:jc w:val="center"/>
              <w:rPr>
                <w:rFonts w:eastAsia="Times New Roman"/>
                <w:color w:val="000000"/>
                <w:szCs w:val="24"/>
                <w:lang w:eastAsia="cs-CZ"/>
              </w:rPr>
            </w:pPr>
            <w:r w:rsidRPr="00396CDF">
              <w:rPr>
                <w:rFonts w:eastAsia="Times New Roman"/>
                <w:color w:val="000000"/>
                <w:szCs w:val="24"/>
                <w:lang w:eastAsia="cs-CZ"/>
              </w:rPr>
              <w:t>3</w:t>
            </w:r>
            <w:r w:rsidR="008E7EBD">
              <w:rPr>
                <w:rFonts w:eastAsia="Times New Roman"/>
                <w:color w:val="000000"/>
                <w:szCs w:val="24"/>
                <w:lang w:eastAsia="cs-CZ"/>
              </w:rPr>
              <w:t>,</w:t>
            </w:r>
            <w:r w:rsidRPr="00396CDF">
              <w:rPr>
                <w:rFonts w:eastAsia="Times New Roman"/>
                <w:color w:val="000000"/>
                <w:szCs w:val="24"/>
                <w:lang w:eastAsia="cs-CZ"/>
              </w:rPr>
              <w:t>41</w:t>
            </w:r>
            <w:r w:rsidR="00CB570A">
              <w:rPr>
                <w:rFonts w:eastAsia="Times New Roman"/>
                <w:color w:val="000000"/>
                <w:szCs w:val="24"/>
                <w:lang w:eastAsia="cs-CZ"/>
              </w:rPr>
              <w:t> %</w:t>
            </w:r>
          </w:p>
        </w:tc>
      </w:tr>
      <w:tr w:rsidR="00396CDF" w:rsidRPr="00396CDF" w14:paraId="64C79C1E" w14:textId="77777777" w:rsidTr="00396CDF">
        <w:trPr>
          <w:trHeight w:val="330"/>
        </w:trPr>
        <w:tc>
          <w:tcPr>
            <w:tcW w:w="5836" w:type="dxa"/>
            <w:tcBorders>
              <w:top w:val="nil"/>
              <w:left w:val="nil"/>
              <w:bottom w:val="double" w:sz="6" w:space="0" w:color="auto"/>
              <w:right w:val="nil"/>
            </w:tcBorders>
            <w:shd w:val="clear" w:color="auto" w:fill="auto"/>
            <w:noWrap/>
            <w:vAlign w:val="bottom"/>
            <w:hideMark/>
          </w:tcPr>
          <w:p w14:paraId="44F36D3D" w14:textId="723BF5F0" w:rsidR="00396CDF" w:rsidRPr="00396CDF" w:rsidRDefault="00396CDF" w:rsidP="00396CDF">
            <w:pPr>
              <w:spacing w:line="240" w:lineRule="auto"/>
              <w:jc w:val="left"/>
              <w:rPr>
                <w:rFonts w:eastAsia="Times New Roman"/>
                <w:color w:val="000000"/>
                <w:szCs w:val="24"/>
                <w:lang w:eastAsia="cs-CZ"/>
              </w:rPr>
            </w:pPr>
            <w:r w:rsidRPr="00396CDF">
              <w:rPr>
                <w:rFonts w:eastAsia="Times New Roman"/>
                <w:color w:val="000000"/>
                <w:szCs w:val="24"/>
                <w:lang w:eastAsia="cs-CZ"/>
              </w:rPr>
              <w:t xml:space="preserve">Spory </w:t>
            </w:r>
            <w:r w:rsidR="00755920" w:rsidRPr="00396CDF">
              <w:rPr>
                <w:rFonts w:eastAsia="Times New Roman"/>
                <w:color w:val="000000"/>
                <w:szCs w:val="24"/>
                <w:lang w:eastAsia="cs-CZ"/>
              </w:rPr>
              <w:t>z</w:t>
            </w:r>
            <w:r w:rsidR="00755920">
              <w:rPr>
                <w:rFonts w:eastAsia="Times New Roman"/>
                <w:color w:val="000000"/>
                <w:szCs w:val="24"/>
                <w:lang w:eastAsia="cs-CZ"/>
              </w:rPr>
              <w:t> </w:t>
            </w:r>
            <w:r w:rsidRPr="00396CDF">
              <w:rPr>
                <w:rFonts w:eastAsia="Times New Roman"/>
                <w:color w:val="000000"/>
                <w:szCs w:val="24"/>
                <w:lang w:eastAsia="cs-CZ"/>
              </w:rPr>
              <w:t xml:space="preserve">prodeje zboží </w:t>
            </w:r>
            <w:r w:rsidR="00755920" w:rsidRPr="00396CDF">
              <w:rPr>
                <w:rFonts w:eastAsia="Times New Roman"/>
                <w:color w:val="000000"/>
                <w:szCs w:val="24"/>
                <w:lang w:eastAsia="cs-CZ"/>
              </w:rPr>
              <w:t>v</w:t>
            </w:r>
            <w:r w:rsidR="00755920">
              <w:rPr>
                <w:rFonts w:eastAsia="Times New Roman"/>
                <w:color w:val="000000"/>
                <w:szCs w:val="24"/>
                <w:lang w:eastAsia="cs-CZ"/>
              </w:rPr>
              <w:t> </w:t>
            </w:r>
            <w:r w:rsidRPr="00396CDF">
              <w:rPr>
                <w:rFonts w:eastAsia="Times New Roman"/>
                <w:color w:val="000000"/>
                <w:szCs w:val="24"/>
                <w:lang w:eastAsia="cs-CZ"/>
              </w:rPr>
              <w:t>obchodě, zaplacení kupní ceny</w:t>
            </w:r>
          </w:p>
        </w:tc>
        <w:tc>
          <w:tcPr>
            <w:tcW w:w="1076" w:type="dxa"/>
            <w:tcBorders>
              <w:top w:val="nil"/>
              <w:left w:val="nil"/>
              <w:bottom w:val="double" w:sz="6" w:space="0" w:color="auto"/>
              <w:right w:val="nil"/>
            </w:tcBorders>
            <w:shd w:val="clear" w:color="auto" w:fill="auto"/>
            <w:noWrap/>
            <w:vAlign w:val="bottom"/>
            <w:hideMark/>
          </w:tcPr>
          <w:p w14:paraId="49B2A097" w14:textId="0688A36B" w:rsidR="00396CDF" w:rsidRPr="00396CDF" w:rsidRDefault="00396CDF" w:rsidP="00396CDF">
            <w:pPr>
              <w:spacing w:line="240" w:lineRule="auto"/>
              <w:jc w:val="center"/>
              <w:rPr>
                <w:rFonts w:eastAsia="Times New Roman"/>
                <w:color w:val="000000"/>
                <w:szCs w:val="24"/>
                <w:lang w:eastAsia="cs-CZ"/>
              </w:rPr>
            </w:pPr>
            <w:r w:rsidRPr="00396CDF">
              <w:rPr>
                <w:rFonts w:eastAsia="Times New Roman"/>
                <w:color w:val="000000"/>
                <w:szCs w:val="24"/>
                <w:lang w:eastAsia="cs-CZ"/>
              </w:rPr>
              <w:t>3</w:t>
            </w:r>
            <w:r w:rsidR="008E7EBD">
              <w:rPr>
                <w:rFonts w:eastAsia="Times New Roman"/>
                <w:color w:val="000000"/>
                <w:szCs w:val="24"/>
                <w:lang w:eastAsia="cs-CZ"/>
              </w:rPr>
              <w:t>,</w:t>
            </w:r>
            <w:r w:rsidRPr="00396CDF">
              <w:rPr>
                <w:rFonts w:eastAsia="Times New Roman"/>
                <w:color w:val="000000"/>
                <w:szCs w:val="24"/>
                <w:lang w:eastAsia="cs-CZ"/>
              </w:rPr>
              <w:t>07</w:t>
            </w:r>
            <w:r w:rsidR="00CB570A">
              <w:rPr>
                <w:rFonts w:eastAsia="Times New Roman"/>
                <w:color w:val="000000"/>
                <w:szCs w:val="24"/>
                <w:lang w:eastAsia="cs-CZ"/>
              </w:rPr>
              <w:t> %</w:t>
            </w:r>
          </w:p>
        </w:tc>
      </w:tr>
      <w:tr w:rsidR="00396CDF" w:rsidRPr="00396CDF" w14:paraId="564E44EE" w14:textId="77777777" w:rsidTr="00396CDF">
        <w:trPr>
          <w:trHeight w:val="330"/>
        </w:trPr>
        <w:tc>
          <w:tcPr>
            <w:tcW w:w="5836" w:type="dxa"/>
            <w:tcBorders>
              <w:top w:val="nil"/>
              <w:left w:val="nil"/>
              <w:bottom w:val="nil"/>
              <w:right w:val="nil"/>
            </w:tcBorders>
            <w:shd w:val="clear" w:color="auto" w:fill="auto"/>
            <w:noWrap/>
            <w:vAlign w:val="bottom"/>
            <w:hideMark/>
          </w:tcPr>
          <w:p w14:paraId="58BD0DE1" w14:textId="77777777" w:rsidR="00396CDF" w:rsidRPr="00396CDF" w:rsidRDefault="00396CDF" w:rsidP="00396CDF">
            <w:pPr>
              <w:spacing w:line="240" w:lineRule="auto"/>
              <w:jc w:val="center"/>
              <w:rPr>
                <w:rFonts w:eastAsia="Times New Roman"/>
                <w:color w:val="000000"/>
                <w:szCs w:val="24"/>
                <w:lang w:eastAsia="cs-CZ"/>
              </w:rPr>
            </w:pPr>
          </w:p>
        </w:tc>
        <w:tc>
          <w:tcPr>
            <w:tcW w:w="1076" w:type="dxa"/>
            <w:tcBorders>
              <w:top w:val="nil"/>
              <w:left w:val="nil"/>
              <w:bottom w:val="nil"/>
              <w:right w:val="nil"/>
            </w:tcBorders>
            <w:shd w:val="clear" w:color="auto" w:fill="auto"/>
            <w:noWrap/>
            <w:vAlign w:val="bottom"/>
            <w:hideMark/>
          </w:tcPr>
          <w:p w14:paraId="67CA488D" w14:textId="77777777" w:rsidR="00396CDF" w:rsidRPr="00396CDF" w:rsidRDefault="00396CDF" w:rsidP="00396CDF">
            <w:pPr>
              <w:spacing w:line="240" w:lineRule="auto"/>
              <w:jc w:val="left"/>
              <w:rPr>
                <w:rFonts w:ascii="Times New Roman" w:eastAsia="Times New Roman" w:hAnsi="Times New Roman"/>
                <w:sz w:val="20"/>
                <w:szCs w:val="20"/>
                <w:lang w:eastAsia="cs-CZ"/>
              </w:rPr>
            </w:pPr>
          </w:p>
        </w:tc>
      </w:tr>
    </w:tbl>
    <w:p w14:paraId="2BC5DCC1" w14:textId="180E6954" w:rsidR="00CB570A" w:rsidRDefault="00755920" w:rsidP="00AC36B1">
      <w:pPr>
        <w:pStyle w:val="OdstavecASR"/>
        <w:rPr>
          <w:bCs/>
        </w:rPr>
      </w:pPr>
      <w:r w:rsidRPr="00A00187">
        <w:rPr>
          <w:bCs/>
        </w:rPr>
        <w:t>Z</w:t>
      </w:r>
      <w:r>
        <w:rPr>
          <w:bCs/>
        </w:rPr>
        <w:t> </w:t>
      </w:r>
      <w:r w:rsidR="00006A2F" w:rsidRPr="00A00187">
        <w:rPr>
          <w:bCs/>
        </w:rPr>
        <w:t>výše uvedených dat vyplývá</w:t>
      </w:r>
      <w:r w:rsidR="006B6005" w:rsidRPr="00A00187">
        <w:rPr>
          <w:bCs/>
        </w:rPr>
        <w:t xml:space="preserve">, že (po očištění </w:t>
      </w:r>
      <w:r w:rsidRPr="00A00187">
        <w:rPr>
          <w:bCs/>
        </w:rPr>
        <w:t>o</w:t>
      </w:r>
      <w:r>
        <w:rPr>
          <w:bCs/>
        </w:rPr>
        <w:t> </w:t>
      </w:r>
      <w:r w:rsidR="00006A2F" w:rsidRPr="00A00187">
        <w:rPr>
          <w:bCs/>
        </w:rPr>
        <w:t xml:space="preserve">věci týkající se </w:t>
      </w:r>
      <w:r w:rsidR="006B6005" w:rsidRPr="00A00187">
        <w:rPr>
          <w:bCs/>
        </w:rPr>
        <w:t xml:space="preserve">zrušení </w:t>
      </w:r>
      <w:r w:rsidRPr="00A00187">
        <w:rPr>
          <w:bCs/>
        </w:rPr>
        <w:t>a</w:t>
      </w:r>
      <w:r>
        <w:rPr>
          <w:bCs/>
        </w:rPr>
        <w:t> </w:t>
      </w:r>
      <w:r w:rsidR="006B6005" w:rsidRPr="00A00187">
        <w:rPr>
          <w:bCs/>
        </w:rPr>
        <w:t xml:space="preserve">jmenování likvidátora) jsou </w:t>
      </w:r>
      <w:r w:rsidR="006F01DD" w:rsidRPr="00A00187">
        <w:rPr>
          <w:bCs/>
        </w:rPr>
        <w:t xml:space="preserve">jednoznačně nejčastějším sporem </w:t>
      </w:r>
      <w:r w:rsidR="006B6005" w:rsidRPr="00A00187">
        <w:rPr>
          <w:bCs/>
        </w:rPr>
        <w:t xml:space="preserve">spory ze směnek, </w:t>
      </w:r>
      <w:r w:rsidRPr="00A00187">
        <w:rPr>
          <w:bCs/>
        </w:rPr>
        <w:t>a</w:t>
      </w:r>
      <w:r>
        <w:rPr>
          <w:bCs/>
        </w:rPr>
        <w:t> </w:t>
      </w:r>
      <w:r w:rsidR="006B6005" w:rsidRPr="00A00187">
        <w:rPr>
          <w:bCs/>
        </w:rPr>
        <w:t>to dlouhodobě.</w:t>
      </w:r>
      <w:r w:rsidR="000E0C47" w:rsidRPr="00A00187">
        <w:rPr>
          <w:bCs/>
        </w:rPr>
        <w:t xml:space="preserve"> </w:t>
      </w:r>
      <w:r w:rsidR="003E0ABD" w:rsidRPr="00A00187">
        <w:rPr>
          <w:bCs/>
        </w:rPr>
        <w:t xml:space="preserve">Ostatní spory jsou v porovnání </w:t>
      </w:r>
      <w:r w:rsidR="006F01DD" w:rsidRPr="00A00187">
        <w:rPr>
          <w:bCs/>
        </w:rPr>
        <w:t xml:space="preserve">se spory ze směnek </w:t>
      </w:r>
      <w:r w:rsidR="003E0ABD" w:rsidRPr="00A00187">
        <w:rPr>
          <w:bCs/>
        </w:rPr>
        <w:t xml:space="preserve">zastoupeny </w:t>
      </w:r>
      <w:r w:rsidR="006F01DD" w:rsidRPr="00A00187">
        <w:rPr>
          <w:bCs/>
        </w:rPr>
        <w:t xml:space="preserve">střídmě </w:t>
      </w:r>
      <w:r w:rsidRPr="00A00187">
        <w:rPr>
          <w:bCs/>
        </w:rPr>
        <w:t>a</w:t>
      </w:r>
      <w:r>
        <w:rPr>
          <w:bCs/>
        </w:rPr>
        <w:t> </w:t>
      </w:r>
      <w:r w:rsidR="006F01DD" w:rsidRPr="00A00187">
        <w:rPr>
          <w:bCs/>
        </w:rPr>
        <w:t xml:space="preserve">jejich </w:t>
      </w:r>
      <w:r w:rsidR="0031438E" w:rsidRPr="00A00187">
        <w:rPr>
          <w:bCs/>
        </w:rPr>
        <w:t>množství</w:t>
      </w:r>
      <w:r w:rsidR="006F01DD" w:rsidRPr="00A00187">
        <w:rPr>
          <w:bCs/>
        </w:rPr>
        <w:t xml:space="preserve"> se může v průběhu let lišit. </w:t>
      </w:r>
      <w:r w:rsidR="0031438E" w:rsidRPr="00A00187">
        <w:rPr>
          <w:bCs/>
        </w:rPr>
        <w:t xml:space="preserve">V roce 2021 se soudy z tohoto okruhu sporů zabývaly nejčastěji </w:t>
      </w:r>
      <w:r w:rsidR="003E0ABD" w:rsidRPr="00A00187">
        <w:rPr>
          <w:bCs/>
        </w:rPr>
        <w:t>spory vycházející</w:t>
      </w:r>
      <w:r w:rsidR="00511C0E" w:rsidRPr="00A00187">
        <w:rPr>
          <w:bCs/>
        </w:rPr>
        <w:t>mi</w:t>
      </w:r>
      <w:r w:rsidR="003E0ABD" w:rsidRPr="00A00187">
        <w:rPr>
          <w:bCs/>
        </w:rPr>
        <w:t xml:space="preserve"> z autorského práva.</w:t>
      </w:r>
    </w:p>
    <w:p w14:paraId="5B833EBF" w14:textId="349DFB7E" w:rsidR="008430BD" w:rsidRPr="00A00187" w:rsidRDefault="008430BD" w:rsidP="008430BD">
      <w:pPr>
        <w:spacing w:line="240" w:lineRule="auto"/>
        <w:jc w:val="left"/>
      </w:pPr>
      <w:r w:rsidRPr="00A00187">
        <w:br w:type="page"/>
      </w:r>
    </w:p>
    <w:p w14:paraId="550AFBA1" w14:textId="17521F44" w:rsidR="008430BD" w:rsidRPr="00A00187" w:rsidRDefault="008430BD" w:rsidP="008430BD">
      <w:pPr>
        <w:pStyle w:val="Nadpis2"/>
        <w:numPr>
          <w:ilvl w:val="1"/>
          <w:numId w:val="1"/>
        </w:numPr>
        <w:spacing w:before="120"/>
        <w:rPr>
          <w:color w:val="auto"/>
        </w:rPr>
      </w:pPr>
      <w:bookmarkStart w:id="671" w:name="_Toc515871253"/>
      <w:bookmarkStart w:id="672" w:name="_Toc106092758"/>
      <w:bookmarkStart w:id="673" w:name="_Toc109801369"/>
      <w:r w:rsidRPr="00A00187">
        <w:rPr>
          <w:color w:val="auto"/>
        </w:rPr>
        <w:lastRenderedPageBreak/>
        <w:t>Civilní odvolací agenda</w:t>
      </w:r>
      <w:bookmarkEnd w:id="671"/>
      <w:bookmarkEnd w:id="672"/>
      <w:bookmarkEnd w:id="673"/>
    </w:p>
    <w:p w14:paraId="337E8125" w14:textId="3E9F313B" w:rsidR="003E0ABD" w:rsidRPr="00A00187" w:rsidRDefault="003E0ABD" w:rsidP="003E0ABD">
      <w:pPr>
        <w:pStyle w:val="OdstavecASR"/>
      </w:pPr>
      <w:r w:rsidRPr="00A00187">
        <w:t>Odvolací civilní agenda je ve výkazech vedena pod označením Co a zahrnuje širokou škálu věcí. Jedná se o všechny druhy civilního řízení, ve kterých bylo podáno odvolání proti rozhodnutí soudů prvního stupně, včetně odvolání proti rozhodnutí soudního exekutora. Do agendy Co tedy spadají i odvolání ve věcech, které nejsou v kapitolách </w:t>
      </w:r>
      <w:r w:rsidRPr="00A00187">
        <w:fldChar w:fldCharType="begin"/>
      </w:r>
      <w:r w:rsidRPr="00A00187">
        <w:instrText xml:space="preserve"> REF _Ref9425277 \r \h  \* MERGEFORMAT </w:instrText>
      </w:r>
      <w:r w:rsidRPr="00A00187">
        <w:fldChar w:fldCharType="separate"/>
      </w:r>
      <w:r w:rsidR="00DE6B5E">
        <w:t>2.2</w:t>
      </w:r>
      <w:r w:rsidRPr="00A00187">
        <w:fldChar w:fldCharType="end"/>
      </w:r>
      <w:r w:rsidRPr="00A00187">
        <w:t xml:space="preserve"> a </w:t>
      </w:r>
      <w:r w:rsidRPr="00A00187">
        <w:fldChar w:fldCharType="begin"/>
      </w:r>
      <w:r w:rsidRPr="00A00187">
        <w:instrText xml:space="preserve"> REF _Ref511307913 \r \h  \* MERGEFORMAT </w:instrText>
      </w:r>
      <w:r w:rsidRPr="00A00187">
        <w:fldChar w:fldCharType="separate"/>
      </w:r>
      <w:r w:rsidR="00DE6B5E">
        <w:t>2.5</w:t>
      </w:r>
      <w:r w:rsidRPr="00A00187">
        <w:fldChar w:fldCharType="end"/>
      </w:r>
      <w:r w:rsidRPr="00A00187">
        <w:t xml:space="preserve"> zahrnuty.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Data byla očištěna stejným způsobem jako u civilní agendy u okresních soudů. Data ze statistických listů se týkají pouze odvolání, která byla podána v meritu věci.</w:t>
      </w:r>
    </w:p>
    <w:p w14:paraId="1AF6E8AA" w14:textId="1296840F" w:rsidR="008430BD" w:rsidRPr="00A00187" w:rsidRDefault="008430BD" w:rsidP="008430BD">
      <w:pPr>
        <w:pStyle w:val="Nadpis3"/>
        <w:numPr>
          <w:ilvl w:val="2"/>
          <w:numId w:val="1"/>
        </w:numPr>
        <w:rPr>
          <w:color w:val="auto"/>
        </w:rPr>
      </w:pPr>
      <w:bookmarkStart w:id="674" w:name="_Toc515871254"/>
      <w:bookmarkStart w:id="675" w:name="_Toc106092759"/>
      <w:bookmarkStart w:id="676" w:name="_Toc109801370"/>
      <w:r w:rsidRPr="00A00187">
        <w:rPr>
          <w:color w:val="auto"/>
        </w:rPr>
        <w:t>Délka řízení</w:t>
      </w:r>
      <w:bookmarkEnd w:id="674"/>
      <w:bookmarkEnd w:id="675"/>
      <w:bookmarkEnd w:id="676"/>
    </w:p>
    <w:p w14:paraId="3354F011" w14:textId="5519D48B" w:rsidR="002C060C" w:rsidRPr="00A00187" w:rsidRDefault="002C060C" w:rsidP="002C060C">
      <w:r w:rsidRPr="00A00187">
        <w:t xml:space="preserve">Jedná se o délku řízení v kalendářních dnech ode dne nápadu u odvolacího soudu do dne vyřízení věci odvolacím soudem. Délky řízení jsou výrazně nižší než délky řízení prvostupňové agendy u OS, ale díky razantnímu snižování délek řízení u OS již nejde v případě průměrné hodnoty o 3,6násobek jako v roce 2014, ale přibližně o dvojnásobek. Násobný rozdíl je dán tím, že </w:t>
      </w:r>
      <w:r w:rsidR="00EB1138" w:rsidRPr="00A00187">
        <w:t>soud, který rozhodoval v prvním stupni, se věcí zabývá obšírněji oproti soudu odvolacímu (druhého stupně).</w:t>
      </w:r>
      <w:r w:rsidRPr="00A00187">
        <w:t xml:space="preserve"> Krajský soud přezkoumává </w:t>
      </w:r>
      <w:r w:rsidR="004B69FD" w:rsidRPr="00A00187">
        <w:t xml:space="preserve">totiž </w:t>
      </w:r>
      <w:r w:rsidRPr="00A00187">
        <w:t>rozhodnutí OS pouze v mezích podaného odvolání a až na výjimky nezjišťuje skutkový stav.</w:t>
      </w:r>
    </w:p>
    <w:p w14:paraId="4D654415" w14:textId="6C42D958" w:rsidR="002C060C" w:rsidRPr="00A00187" w:rsidRDefault="002C060C" w:rsidP="002C060C">
      <w:pPr>
        <w:pStyle w:val="Podnadpis"/>
        <w:rPr>
          <w:color w:val="auto"/>
        </w:rPr>
      </w:pPr>
      <w:bookmarkStart w:id="677" w:name="_Toc43841435"/>
      <w:bookmarkStart w:id="678" w:name="_Toc75952238"/>
      <w:bookmarkStart w:id="679" w:name="_Toc106106695"/>
      <w:bookmarkStart w:id="680" w:name="_Toc10980201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61</w:t>
      </w:r>
      <w:r w:rsidRPr="00A00187">
        <w:rPr>
          <w:color w:val="auto"/>
        </w:rPr>
        <w:fldChar w:fldCharType="end"/>
      </w:r>
      <w:r w:rsidRPr="00A00187">
        <w:rPr>
          <w:color w:val="auto"/>
        </w:rPr>
        <w:t>: KS – délka odvolacího civilního řízení v letech 2010–20</w:t>
      </w:r>
      <w:bookmarkEnd w:id="677"/>
      <w:r w:rsidRPr="00A00187">
        <w:rPr>
          <w:color w:val="auto"/>
        </w:rPr>
        <w:t>2</w:t>
      </w:r>
      <w:bookmarkEnd w:id="678"/>
      <w:r w:rsidR="0013473D" w:rsidRPr="00A00187">
        <w:rPr>
          <w:color w:val="auto"/>
        </w:rPr>
        <w:t>1</w:t>
      </w:r>
      <w:bookmarkEnd w:id="679"/>
      <w:bookmarkEnd w:id="680"/>
    </w:p>
    <w:p w14:paraId="14538AB3" w14:textId="5BD4C438" w:rsidR="002C060C" w:rsidRPr="00A00187" w:rsidRDefault="0013473D" w:rsidP="002C060C">
      <w:r w:rsidRPr="00A00187">
        <w:rPr>
          <w:noProof/>
        </w:rPr>
        <w:drawing>
          <wp:inline distT="0" distB="0" distL="0" distR="0" wp14:anchorId="0210F696" wp14:editId="48E6DDB8">
            <wp:extent cx="5025390" cy="3657600"/>
            <wp:effectExtent l="0" t="0" r="381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DB0255F" w14:textId="77777777" w:rsidR="00CB570A" w:rsidRDefault="002C060C" w:rsidP="002C060C">
      <w:pPr>
        <w:pStyle w:val="OdstavecASR"/>
      </w:pPr>
      <w:r w:rsidRPr="00A00187">
        <w:t>Od roku 2013 jsou délky řízení velmi stabilní a poměrně nízké. Odvolání proti věcem z rejstříků C okresních soudů lze tedy z hlediska délek řízení označit za stabilní a celkem bezproblémovou agendu. Nezdá se, že by délky řízení byly nějak ovlivněny pandemií COVID</w:t>
      </w:r>
      <w:r w:rsidRPr="00A00187">
        <w:noBreakHyphen/>
        <w:t>19 a ani u jednotlivých soudů nedošlo k velkým změnám.</w:t>
      </w:r>
    </w:p>
    <w:p w14:paraId="32EEFC14" w14:textId="778E3175" w:rsidR="002C060C" w:rsidRPr="00A00187" w:rsidRDefault="002C060C" w:rsidP="002C060C">
      <w:pPr>
        <w:pStyle w:val="Podnadpis"/>
        <w:rPr>
          <w:color w:val="auto"/>
        </w:rPr>
      </w:pPr>
      <w:bookmarkStart w:id="681" w:name="_Toc515871475"/>
      <w:bookmarkStart w:id="682" w:name="_Toc11133243"/>
      <w:bookmarkStart w:id="683" w:name="_Toc43931221"/>
      <w:bookmarkStart w:id="684" w:name="_Toc75952354"/>
      <w:bookmarkStart w:id="685" w:name="_Toc106106810"/>
      <w:bookmarkStart w:id="686" w:name="_Toc109802133"/>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48</w:t>
      </w:r>
      <w:r w:rsidRPr="00A00187">
        <w:rPr>
          <w:color w:val="auto"/>
        </w:rPr>
        <w:fldChar w:fldCharType="end"/>
      </w:r>
      <w:r w:rsidRPr="00A00187">
        <w:rPr>
          <w:color w:val="auto"/>
        </w:rPr>
        <w:t>: KS – délky odvolacího civilního řízení dle soudů</w:t>
      </w:r>
      <w:bookmarkEnd w:id="681"/>
      <w:bookmarkEnd w:id="682"/>
      <w:bookmarkEnd w:id="683"/>
      <w:bookmarkEnd w:id="684"/>
      <w:bookmarkEnd w:id="685"/>
      <w:bookmarkEnd w:id="686"/>
    </w:p>
    <w:tbl>
      <w:tblPr>
        <w:tblW w:w="7553" w:type="dxa"/>
        <w:tblCellMar>
          <w:left w:w="70" w:type="dxa"/>
          <w:right w:w="70" w:type="dxa"/>
        </w:tblCellMar>
        <w:tblLook w:val="04A0" w:firstRow="1" w:lastRow="0" w:firstColumn="1" w:lastColumn="0" w:noHBand="0" w:noVBand="1"/>
      </w:tblPr>
      <w:tblGrid>
        <w:gridCol w:w="2496"/>
        <w:gridCol w:w="665"/>
        <w:gridCol w:w="1064"/>
        <w:gridCol w:w="675"/>
        <w:gridCol w:w="924"/>
        <w:gridCol w:w="675"/>
        <w:gridCol w:w="1054"/>
      </w:tblGrid>
      <w:tr w:rsidR="00AC1E67" w:rsidRPr="00A00187" w14:paraId="5FEAC8EF" w14:textId="77777777" w:rsidTr="00177D82">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722E45BC" w14:textId="1372BB7A" w:rsidR="00177D82" w:rsidRPr="00A00187" w:rsidRDefault="00A8348B" w:rsidP="00177D82">
            <w:pPr>
              <w:spacing w:line="240" w:lineRule="auto"/>
              <w:jc w:val="center"/>
              <w:rPr>
                <w:rFonts w:eastAsia="Times New Roman"/>
                <w:b/>
                <w:bCs/>
                <w:szCs w:val="24"/>
                <w:lang w:eastAsia="cs-CZ"/>
              </w:rPr>
            </w:pPr>
            <w:r w:rsidRPr="00A00187">
              <w:rPr>
                <w:rFonts w:eastAsia="Times New Roman"/>
                <w:b/>
                <w:bCs/>
                <w:szCs w:val="24"/>
                <w:lang w:eastAsia="cs-CZ"/>
              </w:rPr>
              <w:t>S</w:t>
            </w:r>
            <w:r w:rsidR="00177D82" w:rsidRPr="00A00187">
              <w:rPr>
                <w:rFonts w:eastAsia="Times New Roman"/>
                <w:b/>
                <w:bCs/>
                <w:szCs w:val="24"/>
                <w:lang w:eastAsia="cs-CZ"/>
              </w:rPr>
              <w:t>oud</w:t>
            </w:r>
          </w:p>
        </w:tc>
        <w:tc>
          <w:tcPr>
            <w:tcW w:w="5057" w:type="dxa"/>
            <w:gridSpan w:val="6"/>
            <w:tcBorders>
              <w:top w:val="double" w:sz="6" w:space="0" w:color="auto"/>
              <w:left w:val="nil"/>
              <w:bottom w:val="nil"/>
              <w:right w:val="nil"/>
            </w:tcBorders>
            <w:shd w:val="clear" w:color="auto" w:fill="auto"/>
            <w:noWrap/>
            <w:vAlign w:val="center"/>
            <w:hideMark/>
          </w:tcPr>
          <w:p w14:paraId="74363DB9" w14:textId="77777777" w:rsidR="00177D82" w:rsidRPr="00A00187" w:rsidRDefault="00177D82" w:rsidP="00177D82">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1342A765" w14:textId="77777777" w:rsidTr="00177D82">
        <w:trPr>
          <w:trHeight w:val="330"/>
        </w:trPr>
        <w:tc>
          <w:tcPr>
            <w:tcW w:w="2496" w:type="dxa"/>
            <w:vMerge/>
            <w:tcBorders>
              <w:top w:val="double" w:sz="6" w:space="0" w:color="auto"/>
              <w:left w:val="nil"/>
              <w:bottom w:val="double" w:sz="6" w:space="0" w:color="000000"/>
              <w:right w:val="nil"/>
            </w:tcBorders>
            <w:vAlign w:val="center"/>
            <w:hideMark/>
          </w:tcPr>
          <w:p w14:paraId="4D2B53DD" w14:textId="77777777" w:rsidR="00177D82" w:rsidRPr="00A00187" w:rsidRDefault="00177D82" w:rsidP="00177D82">
            <w:pPr>
              <w:spacing w:line="240" w:lineRule="auto"/>
              <w:jc w:val="left"/>
              <w:rPr>
                <w:rFonts w:eastAsia="Times New Roman"/>
                <w:b/>
                <w:bCs/>
                <w:szCs w:val="24"/>
                <w:lang w:eastAsia="cs-CZ"/>
              </w:rPr>
            </w:pPr>
          </w:p>
        </w:tc>
        <w:tc>
          <w:tcPr>
            <w:tcW w:w="1729" w:type="dxa"/>
            <w:gridSpan w:val="2"/>
            <w:tcBorders>
              <w:top w:val="nil"/>
              <w:left w:val="nil"/>
              <w:bottom w:val="double" w:sz="6" w:space="0" w:color="auto"/>
              <w:right w:val="nil"/>
            </w:tcBorders>
            <w:shd w:val="clear" w:color="auto" w:fill="auto"/>
            <w:noWrap/>
            <w:vAlign w:val="center"/>
            <w:hideMark/>
          </w:tcPr>
          <w:p w14:paraId="123D135D" w14:textId="77777777" w:rsidR="00177D82" w:rsidRPr="00A00187" w:rsidRDefault="00177D82" w:rsidP="00177D82">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159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C1C949A" w14:textId="77777777" w:rsidR="00177D82" w:rsidRPr="00A00187" w:rsidRDefault="00177D82" w:rsidP="00177D82">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1729" w:type="dxa"/>
            <w:gridSpan w:val="2"/>
            <w:tcBorders>
              <w:top w:val="nil"/>
              <w:left w:val="nil"/>
              <w:bottom w:val="double" w:sz="6" w:space="0" w:color="auto"/>
              <w:right w:val="nil"/>
            </w:tcBorders>
            <w:shd w:val="clear" w:color="auto" w:fill="auto"/>
            <w:noWrap/>
            <w:vAlign w:val="center"/>
            <w:hideMark/>
          </w:tcPr>
          <w:p w14:paraId="7F7DAC29" w14:textId="77777777" w:rsidR="00177D82" w:rsidRPr="00A00187" w:rsidRDefault="00177D82" w:rsidP="00177D82">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25E7C6E7" w14:textId="77777777" w:rsidTr="00177D82">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7F1C82F6"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MS Praha</w:t>
            </w:r>
          </w:p>
        </w:tc>
        <w:tc>
          <w:tcPr>
            <w:tcW w:w="665" w:type="dxa"/>
            <w:tcBorders>
              <w:top w:val="single" w:sz="4" w:space="0" w:color="auto"/>
              <w:left w:val="nil"/>
              <w:bottom w:val="single" w:sz="4" w:space="0" w:color="auto"/>
              <w:right w:val="nil"/>
            </w:tcBorders>
            <w:shd w:val="clear" w:color="auto" w:fill="auto"/>
            <w:noWrap/>
            <w:vAlign w:val="bottom"/>
            <w:hideMark/>
          </w:tcPr>
          <w:p w14:paraId="03D91D31"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73</w:t>
            </w:r>
          </w:p>
        </w:tc>
        <w:tc>
          <w:tcPr>
            <w:tcW w:w="1064" w:type="dxa"/>
            <w:tcBorders>
              <w:top w:val="single" w:sz="4" w:space="0" w:color="auto"/>
              <w:left w:val="nil"/>
              <w:bottom w:val="single" w:sz="4" w:space="0" w:color="auto"/>
              <w:right w:val="nil"/>
            </w:tcBorders>
            <w:shd w:val="clear" w:color="auto" w:fill="auto"/>
            <w:noWrap/>
            <w:vAlign w:val="center"/>
            <w:hideMark/>
          </w:tcPr>
          <w:p w14:paraId="3B41A429" w14:textId="3B83EDB0"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675" w:type="dxa"/>
            <w:tcBorders>
              <w:top w:val="nil"/>
              <w:left w:val="single" w:sz="4" w:space="0" w:color="auto"/>
              <w:bottom w:val="single" w:sz="4" w:space="0" w:color="auto"/>
              <w:right w:val="nil"/>
            </w:tcBorders>
            <w:shd w:val="clear" w:color="auto" w:fill="auto"/>
            <w:noWrap/>
            <w:vAlign w:val="bottom"/>
            <w:hideMark/>
          </w:tcPr>
          <w:p w14:paraId="60439E0C"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50</w:t>
            </w:r>
          </w:p>
        </w:tc>
        <w:tc>
          <w:tcPr>
            <w:tcW w:w="924" w:type="dxa"/>
            <w:tcBorders>
              <w:top w:val="nil"/>
              <w:left w:val="nil"/>
              <w:bottom w:val="single" w:sz="4" w:space="0" w:color="auto"/>
              <w:right w:val="single" w:sz="4" w:space="0" w:color="auto"/>
            </w:tcBorders>
            <w:shd w:val="clear" w:color="auto" w:fill="auto"/>
            <w:noWrap/>
            <w:vAlign w:val="center"/>
            <w:hideMark/>
          </w:tcPr>
          <w:p w14:paraId="1D131471" w14:textId="3DD614D2"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675" w:type="dxa"/>
            <w:tcBorders>
              <w:top w:val="single" w:sz="4" w:space="0" w:color="auto"/>
              <w:left w:val="nil"/>
              <w:bottom w:val="single" w:sz="4" w:space="0" w:color="auto"/>
              <w:right w:val="nil"/>
            </w:tcBorders>
            <w:shd w:val="clear" w:color="auto" w:fill="auto"/>
            <w:noWrap/>
            <w:vAlign w:val="bottom"/>
            <w:hideMark/>
          </w:tcPr>
          <w:p w14:paraId="000403FA"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139</w:t>
            </w:r>
          </w:p>
        </w:tc>
        <w:tc>
          <w:tcPr>
            <w:tcW w:w="1054" w:type="dxa"/>
            <w:tcBorders>
              <w:top w:val="single" w:sz="4" w:space="0" w:color="auto"/>
              <w:left w:val="nil"/>
              <w:bottom w:val="single" w:sz="4" w:space="0" w:color="auto"/>
              <w:right w:val="nil"/>
            </w:tcBorders>
            <w:shd w:val="clear" w:color="auto" w:fill="auto"/>
            <w:noWrap/>
            <w:vAlign w:val="center"/>
            <w:hideMark/>
          </w:tcPr>
          <w:p w14:paraId="351947E4" w14:textId="125CB6BE"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r>
      <w:tr w:rsidR="00AC1E67" w:rsidRPr="00A00187" w14:paraId="1E09E264" w14:textId="77777777" w:rsidTr="00177D82">
        <w:trPr>
          <w:trHeight w:val="315"/>
        </w:trPr>
        <w:tc>
          <w:tcPr>
            <w:tcW w:w="2496" w:type="dxa"/>
            <w:tcBorders>
              <w:top w:val="nil"/>
              <w:left w:val="nil"/>
              <w:bottom w:val="single" w:sz="4" w:space="0" w:color="auto"/>
              <w:right w:val="nil"/>
            </w:tcBorders>
            <w:shd w:val="clear" w:color="auto" w:fill="auto"/>
            <w:noWrap/>
            <w:vAlign w:val="bottom"/>
            <w:hideMark/>
          </w:tcPr>
          <w:p w14:paraId="47C661C0"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KS Praha</w:t>
            </w:r>
          </w:p>
        </w:tc>
        <w:tc>
          <w:tcPr>
            <w:tcW w:w="665" w:type="dxa"/>
            <w:tcBorders>
              <w:top w:val="nil"/>
              <w:left w:val="nil"/>
              <w:bottom w:val="single" w:sz="4" w:space="0" w:color="auto"/>
              <w:right w:val="nil"/>
            </w:tcBorders>
            <w:shd w:val="clear" w:color="auto" w:fill="auto"/>
            <w:noWrap/>
            <w:vAlign w:val="bottom"/>
            <w:hideMark/>
          </w:tcPr>
          <w:p w14:paraId="20A0CC12"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92</w:t>
            </w:r>
          </w:p>
        </w:tc>
        <w:tc>
          <w:tcPr>
            <w:tcW w:w="1064" w:type="dxa"/>
            <w:tcBorders>
              <w:top w:val="nil"/>
              <w:left w:val="nil"/>
              <w:bottom w:val="single" w:sz="4" w:space="0" w:color="auto"/>
              <w:right w:val="nil"/>
            </w:tcBorders>
            <w:shd w:val="clear" w:color="auto" w:fill="auto"/>
            <w:noWrap/>
            <w:vAlign w:val="center"/>
            <w:hideMark/>
          </w:tcPr>
          <w:p w14:paraId="53C18B15" w14:textId="3FA2E132"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675" w:type="dxa"/>
            <w:tcBorders>
              <w:top w:val="nil"/>
              <w:left w:val="single" w:sz="4" w:space="0" w:color="auto"/>
              <w:bottom w:val="single" w:sz="4" w:space="0" w:color="auto"/>
              <w:right w:val="nil"/>
            </w:tcBorders>
            <w:shd w:val="clear" w:color="auto" w:fill="auto"/>
            <w:noWrap/>
            <w:vAlign w:val="bottom"/>
            <w:hideMark/>
          </w:tcPr>
          <w:p w14:paraId="4301757A"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59</w:t>
            </w:r>
          </w:p>
        </w:tc>
        <w:tc>
          <w:tcPr>
            <w:tcW w:w="924" w:type="dxa"/>
            <w:tcBorders>
              <w:top w:val="nil"/>
              <w:left w:val="nil"/>
              <w:bottom w:val="single" w:sz="4" w:space="0" w:color="auto"/>
              <w:right w:val="single" w:sz="4" w:space="0" w:color="auto"/>
            </w:tcBorders>
            <w:shd w:val="clear" w:color="auto" w:fill="auto"/>
            <w:noWrap/>
            <w:vAlign w:val="center"/>
            <w:hideMark/>
          </w:tcPr>
          <w:p w14:paraId="2A04A2C9" w14:textId="0A2D93CF"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675" w:type="dxa"/>
            <w:tcBorders>
              <w:top w:val="nil"/>
              <w:left w:val="nil"/>
              <w:bottom w:val="single" w:sz="4" w:space="0" w:color="auto"/>
              <w:right w:val="nil"/>
            </w:tcBorders>
            <w:shd w:val="clear" w:color="auto" w:fill="auto"/>
            <w:noWrap/>
            <w:vAlign w:val="bottom"/>
            <w:hideMark/>
          </w:tcPr>
          <w:p w14:paraId="0EE5CE37"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173</w:t>
            </w:r>
          </w:p>
        </w:tc>
        <w:tc>
          <w:tcPr>
            <w:tcW w:w="1054" w:type="dxa"/>
            <w:tcBorders>
              <w:top w:val="nil"/>
              <w:left w:val="nil"/>
              <w:bottom w:val="single" w:sz="4" w:space="0" w:color="auto"/>
              <w:right w:val="nil"/>
            </w:tcBorders>
            <w:shd w:val="clear" w:color="auto" w:fill="auto"/>
            <w:noWrap/>
            <w:vAlign w:val="center"/>
            <w:hideMark/>
          </w:tcPr>
          <w:p w14:paraId="2124DB9D" w14:textId="48F292A6"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60A44F98" w14:textId="77777777" w:rsidTr="00177D82">
        <w:trPr>
          <w:trHeight w:val="315"/>
        </w:trPr>
        <w:tc>
          <w:tcPr>
            <w:tcW w:w="2496" w:type="dxa"/>
            <w:tcBorders>
              <w:top w:val="nil"/>
              <w:left w:val="nil"/>
              <w:bottom w:val="single" w:sz="4" w:space="0" w:color="auto"/>
              <w:right w:val="nil"/>
            </w:tcBorders>
            <w:shd w:val="clear" w:color="auto" w:fill="auto"/>
            <w:noWrap/>
            <w:vAlign w:val="bottom"/>
            <w:hideMark/>
          </w:tcPr>
          <w:p w14:paraId="7C3ECD52"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KS Č. Budějovice</w:t>
            </w:r>
          </w:p>
        </w:tc>
        <w:tc>
          <w:tcPr>
            <w:tcW w:w="665" w:type="dxa"/>
            <w:tcBorders>
              <w:top w:val="nil"/>
              <w:left w:val="nil"/>
              <w:bottom w:val="single" w:sz="4" w:space="0" w:color="auto"/>
              <w:right w:val="nil"/>
            </w:tcBorders>
            <w:shd w:val="clear" w:color="auto" w:fill="auto"/>
            <w:noWrap/>
            <w:vAlign w:val="bottom"/>
            <w:hideMark/>
          </w:tcPr>
          <w:p w14:paraId="1057CF6F"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91</w:t>
            </w:r>
          </w:p>
        </w:tc>
        <w:tc>
          <w:tcPr>
            <w:tcW w:w="1064" w:type="dxa"/>
            <w:tcBorders>
              <w:top w:val="nil"/>
              <w:left w:val="nil"/>
              <w:bottom w:val="single" w:sz="4" w:space="0" w:color="auto"/>
              <w:right w:val="nil"/>
            </w:tcBorders>
            <w:shd w:val="clear" w:color="auto" w:fill="auto"/>
            <w:noWrap/>
            <w:vAlign w:val="center"/>
            <w:hideMark/>
          </w:tcPr>
          <w:p w14:paraId="13BD868E" w14:textId="5988094C"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675" w:type="dxa"/>
            <w:tcBorders>
              <w:top w:val="nil"/>
              <w:left w:val="single" w:sz="4" w:space="0" w:color="auto"/>
              <w:bottom w:val="single" w:sz="4" w:space="0" w:color="auto"/>
              <w:right w:val="nil"/>
            </w:tcBorders>
            <w:shd w:val="clear" w:color="auto" w:fill="auto"/>
            <w:noWrap/>
            <w:vAlign w:val="bottom"/>
            <w:hideMark/>
          </w:tcPr>
          <w:p w14:paraId="68DFB606"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56</w:t>
            </w:r>
          </w:p>
        </w:tc>
        <w:tc>
          <w:tcPr>
            <w:tcW w:w="924" w:type="dxa"/>
            <w:tcBorders>
              <w:top w:val="nil"/>
              <w:left w:val="nil"/>
              <w:bottom w:val="single" w:sz="4" w:space="0" w:color="auto"/>
              <w:right w:val="single" w:sz="4" w:space="0" w:color="auto"/>
            </w:tcBorders>
            <w:shd w:val="clear" w:color="auto" w:fill="auto"/>
            <w:noWrap/>
            <w:vAlign w:val="center"/>
            <w:hideMark/>
          </w:tcPr>
          <w:p w14:paraId="6956E61C" w14:textId="7DDE6267"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675" w:type="dxa"/>
            <w:tcBorders>
              <w:top w:val="nil"/>
              <w:left w:val="nil"/>
              <w:bottom w:val="single" w:sz="4" w:space="0" w:color="auto"/>
              <w:right w:val="nil"/>
            </w:tcBorders>
            <w:shd w:val="clear" w:color="auto" w:fill="auto"/>
            <w:noWrap/>
            <w:vAlign w:val="bottom"/>
            <w:hideMark/>
          </w:tcPr>
          <w:p w14:paraId="45C6A985"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166</w:t>
            </w:r>
          </w:p>
        </w:tc>
        <w:tc>
          <w:tcPr>
            <w:tcW w:w="1054" w:type="dxa"/>
            <w:tcBorders>
              <w:top w:val="nil"/>
              <w:left w:val="nil"/>
              <w:bottom w:val="single" w:sz="4" w:space="0" w:color="auto"/>
              <w:right w:val="nil"/>
            </w:tcBorders>
            <w:shd w:val="clear" w:color="auto" w:fill="auto"/>
            <w:noWrap/>
            <w:vAlign w:val="center"/>
            <w:hideMark/>
          </w:tcPr>
          <w:p w14:paraId="71623BFD" w14:textId="4BBFD7C1"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r>
      <w:tr w:rsidR="00AC1E67" w:rsidRPr="00A00187" w14:paraId="4896476A" w14:textId="77777777" w:rsidTr="00177D82">
        <w:trPr>
          <w:trHeight w:val="315"/>
        </w:trPr>
        <w:tc>
          <w:tcPr>
            <w:tcW w:w="2496" w:type="dxa"/>
            <w:tcBorders>
              <w:top w:val="nil"/>
              <w:left w:val="nil"/>
              <w:bottom w:val="single" w:sz="4" w:space="0" w:color="auto"/>
              <w:right w:val="nil"/>
            </w:tcBorders>
            <w:shd w:val="clear" w:color="auto" w:fill="auto"/>
            <w:noWrap/>
            <w:vAlign w:val="bottom"/>
            <w:hideMark/>
          </w:tcPr>
          <w:p w14:paraId="1A8E6FA2"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KS Plzeň</w:t>
            </w:r>
          </w:p>
        </w:tc>
        <w:tc>
          <w:tcPr>
            <w:tcW w:w="665" w:type="dxa"/>
            <w:tcBorders>
              <w:top w:val="nil"/>
              <w:left w:val="nil"/>
              <w:bottom w:val="single" w:sz="4" w:space="0" w:color="auto"/>
              <w:right w:val="nil"/>
            </w:tcBorders>
            <w:shd w:val="clear" w:color="auto" w:fill="auto"/>
            <w:noWrap/>
            <w:vAlign w:val="bottom"/>
            <w:hideMark/>
          </w:tcPr>
          <w:p w14:paraId="655D6587"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75</w:t>
            </w:r>
          </w:p>
        </w:tc>
        <w:tc>
          <w:tcPr>
            <w:tcW w:w="1064" w:type="dxa"/>
            <w:tcBorders>
              <w:top w:val="nil"/>
              <w:left w:val="nil"/>
              <w:bottom w:val="single" w:sz="4" w:space="0" w:color="auto"/>
              <w:right w:val="nil"/>
            </w:tcBorders>
            <w:shd w:val="clear" w:color="auto" w:fill="auto"/>
            <w:noWrap/>
            <w:vAlign w:val="center"/>
            <w:hideMark/>
          </w:tcPr>
          <w:p w14:paraId="4B0CD76A" w14:textId="31445ED2"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675" w:type="dxa"/>
            <w:tcBorders>
              <w:top w:val="nil"/>
              <w:left w:val="single" w:sz="4" w:space="0" w:color="auto"/>
              <w:bottom w:val="single" w:sz="4" w:space="0" w:color="auto"/>
              <w:right w:val="nil"/>
            </w:tcBorders>
            <w:shd w:val="clear" w:color="auto" w:fill="auto"/>
            <w:noWrap/>
            <w:vAlign w:val="bottom"/>
            <w:hideMark/>
          </w:tcPr>
          <w:p w14:paraId="46B0E283"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47</w:t>
            </w:r>
          </w:p>
        </w:tc>
        <w:tc>
          <w:tcPr>
            <w:tcW w:w="924" w:type="dxa"/>
            <w:tcBorders>
              <w:top w:val="nil"/>
              <w:left w:val="nil"/>
              <w:bottom w:val="single" w:sz="4" w:space="0" w:color="auto"/>
              <w:right w:val="single" w:sz="4" w:space="0" w:color="auto"/>
            </w:tcBorders>
            <w:shd w:val="clear" w:color="auto" w:fill="auto"/>
            <w:noWrap/>
            <w:vAlign w:val="center"/>
            <w:hideMark/>
          </w:tcPr>
          <w:p w14:paraId="0AEE8FBD" w14:textId="58ECB5D7"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675" w:type="dxa"/>
            <w:tcBorders>
              <w:top w:val="nil"/>
              <w:left w:val="nil"/>
              <w:bottom w:val="single" w:sz="4" w:space="0" w:color="auto"/>
              <w:right w:val="nil"/>
            </w:tcBorders>
            <w:shd w:val="clear" w:color="auto" w:fill="auto"/>
            <w:noWrap/>
            <w:vAlign w:val="bottom"/>
            <w:hideMark/>
          </w:tcPr>
          <w:p w14:paraId="7D0CF875"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149</w:t>
            </w:r>
          </w:p>
        </w:tc>
        <w:tc>
          <w:tcPr>
            <w:tcW w:w="1054" w:type="dxa"/>
            <w:tcBorders>
              <w:top w:val="nil"/>
              <w:left w:val="nil"/>
              <w:bottom w:val="single" w:sz="4" w:space="0" w:color="auto"/>
              <w:right w:val="nil"/>
            </w:tcBorders>
            <w:shd w:val="clear" w:color="auto" w:fill="auto"/>
            <w:noWrap/>
            <w:vAlign w:val="center"/>
            <w:hideMark/>
          </w:tcPr>
          <w:p w14:paraId="75A4A68C" w14:textId="4A74755E"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5A216E9E" w14:textId="77777777" w:rsidTr="00177D82">
        <w:trPr>
          <w:trHeight w:val="315"/>
        </w:trPr>
        <w:tc>
          <w:tcPr>
            <w:tcW w:w="2496" w:type="dxa"/>
            <w:tcBorders>
              <w:top w:val="nil"/>
              <w:left w:val="nil"/>
              <w:bottom w:val="single" w:sz="4" w:space="0" w:color="auto"/>
              <w:right w:val="nil"/>
            </w:tcBorders>
            <w:shd w:val="clear" w:color="auto" w:fill="auto"/>
            <w:noWrap/>
            <w:vAlign w:val="bottom"/>
            <w:hideMark/>
          </w:tcPr>
          <w:p w14:paraId="483E7F67"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KS Ústí n. Labem</w:t>
            </w:r>
          </w:p>
        </w:tc>
        <w:tc>
          <w:tcPr>
            <w:tcW w:w="665" w:type="dxa"/>
            <w:tcBorders>
              <w:top w:val="nil"/>
              <w:left w:val="nil"/>
              <w:bottom w:val="single" w:sz="4" w:space="0" w:color="auto"/>
              <w:right w:val="nil"/>
            </w:tcBorders>
            <w:shd w:val="clear" w:color="auto" w:fill="auto"/>
            <w:noWrap/>
            <w:vAlign w:val="bottom"/>
            <w:hideMark/>
          </w:tcPr>
          <w:p w14:paraId="20AA80B7"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197</w:t>
            </w:r>
          </w:p>
        </w:tc>
        <w:tc>
          <w:tcPr>
            <w:tcW w:w="1064" w:type="dxa"/>
            <w:tcBorders>
              <w:top w:val="nil"/>
              <w:left w:val="nil"/>
              <w:bottom w:val="single" w:sz="4" w:space="0" w:color="auto"/>
              <w:right w:val="nil"/>
            </w:tcBorders>
            <w:shd w:val="clear" w:color="auto" w:fill="auto"/>
            <w:noWrap/>
            <w:vAlign w:val="center"/>
            <w:hideMark/>
          </w:tcPr>
          <w:p w14:paraId="4818AE58" w14:textId="31292A59"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+29</w:t>
            </w:r>
            <w:r w:rsidR="00CB570A">
              <w:rPr>
                <w:rFonts w:eastAsia="Times New Roman"/>
                <w:sz w:val="20"/>
                <w:szCs w:val="20"/>
                <w:lang w:eastAsia="cs-CZ"/>
              </w:rPr>
              <w:t> %</w:t>
            </w:r>
          </w:p>
        </w:tc>
        <w:tc>
          <w:tcPr>
            <w:tcW w:w="675" w:type="dxa"/>
            <w:tcBorders>
              <w:top w:val="nil"/>
              <w:left w:val="single" w:sz="4" w:space="0" w:color="auto"/>
              <w:bottom w:val="single" w:sz="4" w:space="0" w:color="auto"/>
              <w:right w:val="nil"/>
            </w:tcBorders>
            <w:shd w:val="clear" w:color="auto" w:fill="auto"/>
            <w:noWrap/>
            <w:vAlign w:val="bottom"/>
            <w:hideMark/>
          </w:tcPr>
          <w:p w14:paraId="75E532D8"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104</w:t>
            </w:r>
          </w:p>
        </w:tc>
        <w:tc>
          <w:tcPr>
            <w:tcW w:w="924" w:type="dxa"/>
            <w:tcBorders>
              <w:top w:val="nil"/>
              <w:left w:val="nil"/>
              <w:bottom w:val="single" w:sz="4" w:space="0" w:color="auto"/>
              <w:right w:val="single" w:sz="4" w:space="0" w:color="auto"/>
            </w:tcBorders>
            <w:shd w:val="clear" w:color="auto" w:fill="auto"/>
            <w:noWrap/>
            <w:vAlign w:val="center"/>
            <w:hideMark/>
          </w:tcPr>
          <w:p w14:paraId="74DC703E" w14:textId="267E7C86"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675" w:type="dxa"/>
            <w:tcBorders>
              <w:top w:val="nil"/>
              <w:left w:val="nil"/>
              <w:bottom w:val="single" w:sz="4" w:space="0" w:color="auto"/>
              <w:right w:val="nil"/>
            </w:tcBorders>
            <w:shd w:val="clear" w:color="auto" w:fill="auto"/>
            <w:noWrap/>
            <w:vAlign w:val="bottom"/>
            <w:hideMark/>
          </w:tcPr>
          <w:p w14:paraId="47CAEA64"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353</w:t>
            </w:r>
          </w:p>
        </w:tc>
        <w:tc>
          <w:tcPr>
            <w:tcW w:w="1054" w:type="dxa"/>
            <w:tcBorders>
              <w:top w:val="nil"/>
              <w:left w:val="nil"/>
              <w:bottom w:val="single" w:sz="4" w:space="0" w:color="auto"/>
              <w:right w:val="nil"/>
            </w:tcBorders>
            <w:shd w:val="clear" w:color="auto" w:fill="auto"/>
            <w:noWrap/>
            <w:vAlign w:val="center"/>
            <w:hideMark/>
          </w:tcPr>
          <w:p w14:paraId="4E8EDF82" w14:textId="77E4D662"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1174B044" w14:textId="77777777" w:rsidTr="00177D82">
        <w:trPr>
          <w:trHeight w:val="315"/>
        </w:trPr>
        <w:tc>
          <w:tcPr>
            <w:tcW w:w="2496" w:type="dxa"/>
            <w:tcBorders>
              <w:top w:val="nil"/>
              <w:left w:val="nil"/>
              <w:bottom w:val="single" w:sz="4" w:space="0" w:color="auto"/>
              <w:right w:val="nil"/>
            </w:tcBorders>
            <w:shd w:val="clear" w:color="auto" w:fill="auto"/>
            <w:noWrap/>
            <w:vAlign w:val="bottom"/>
            <w:hideMark/>
          </w:tcPr>
          <w:p w14:paraId="4F9D8EEB"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KS Hr. Králové</w:t>
            </w:r>
          </w:p>
        </w:tc>
        <w:tc>
          <w:tcPr>
            <w:tcW w:w="665" w:type="dxa"/>
            <w:tcBorders>
              <w:top w:val="nil"/>
              <w:left w:val="nil"/>
              <w:bottom w:val="single" w:sz="4" w:space="0" w:color="auto"/>
              <w:right w:val="nil"/>
            </w:tcBorders>
            <w:shd w:val="clear" w:color="auto" w:fill="auto"/>
            <w:noWrap/>
            <w:vAlign w:val="bottom"/>
            <w:hideMark/>
          </w:tcPr>
          <w:p w14:paraId="6A80C04F"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97</w:t>
            </w:r>
          </w:p>
        </w:tc>
        <w:tc>
          <w:tcPr>
            <w:tcW w:w="1064" w:type="dxa"/>
            <w:tcBorders>
              <w:top w:val="nil"/>
              <w:left w:val="nil"/>
              <w:bottom w:val="single" w:sz="4" w:space="0" w:color="auto"/>
              <w:right w:val="nil"/>
            </w:tcBorders>
            <w:shd w:val="clear" w:color="auto" w:fill="auto"/>
            <w:noWrap/>
            <w:vAlign w:val="center"/>
            <w:hideMark/>
          </w:tcPr>
          <w:p w14:paraId="685E88F6" w14:textId="4CCD6161"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675" w:type="dxa"/>
            <w:tcBorders>
              <w:top w:val="nil"/>
              <w:left w:val="single" w:sz="4" w:space="0" w:color="auto"/>
              <w:bottom w:val="single" w:sz="4" w:space="0" w:color="auto"/>
              <w:right w:val="nil"/>
            </w:tcBorders>
            <w:shd w:val="clear" w:color="auto" w:fill="auto"/>
            <w:noWrap/>
            <w:vAlign w:val="bottom"/>
            <w:hideMark/>
          </w:tcPr>
          <w:p w14:paraId="0DB945A6"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65</w:t>
            </w:r>
          </w:p>
        </w:tc>
        <w:tc>
          <w:tcPr>
            <w:tcW w:w="924" w:type="dxa"/>
            <w:tcBorders>
              <w:top w:val="nil"/>
              <w:left w:val="nil"/>
              <w:bottom w:val="single" w:sz="4" w:space="0" w:color="auto"/>
              <w:right w:val="single" w:sz="4" w:space="0" w:color="auto"/>
            </w:tcBorders>
            <w:shd w:val="clear" w:color="auto" w:fill="auto"/>
            <w:noWrap/>
            <w:vAlign w:val="center"/>
            <w:hideMark/>
          </w:tcPr>
          <w:p w14:paraId="17B1A396" w14:textId="51341534"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675" w:type="dxa"/>
            <w:tcBorders>
              <w:top w:val="nil"/>
              <w:left w:val="nil"/>
              <w:bottom w:val="single" w:sz="4" w:space="0" w:color="auto"/>
              <w:right w:val="nil"/>
            </w:tcBorders>
            <w:shd w:val="clear" w:color="auto" w:fill="auto"/>
            <w:noWrap/>
            <w:vAlign w:val="bottom"/>
            <w:hideMark/>
          </w:tcPr>
          <w:p w14:paraId="14DD6066"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160</w:t>
            </w:r>
          </w:p>
        </w:tc>
        <w:tc>
          <w:tcPr>
            <w:tcW w:w="1054" w:type="dxa"/>
            <w:tcBorders>
              <w:top w:val="nil"/>
              <w:left w:val="nil"/>
              <w:bottom w:val="single" w:sz="4" w:space="0" w:color="auto"/>
              <w:right w:val="nil"/>
            </w:tcBorders>
            <w:shd w:val="clear" w:color="auto" w:fill="auto"/>
            <w:noWrap/>
            <w:vAlign w:val="center"/>
            <w:hideMark/>
          </w:tcPr>
          <w:p w14:paraId="0BC7F7A8" w14:textId="6579852B"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764CE72D" w14:textId="77777777" w:rsidTr="00177D82">
        <w:trPr>
          <w:trHeight w:val="315"/>
        </w:trPr>
        <w:tc>
          <w:tcPr>
            <w:tcW w:w="2496" w:type="dxa"/>
            <w:tcBorders>
              <w:top w:val="nil"/>
              <w:left w:val="nil"/>
              <w:bottom w:val="single" w:sz="4" w:space="0" w:color="auto"/>
              <w:right w:val="nil"/>
            </w:tcBorders>
            <w:shd w:val="clear" w:color="auto" w:fill="auto"/>
            <w:noWrap/>
            <w:vAlign w:val="bottom"/>
            <w:hideMark/>
          </w:tcPr>
          <w:p w14:paraId="449AD813"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KS Brno</w:t>
            </w:r>
          </w:p>
        </w:tc>
        <w:tc>
          <w:tcPr>
            <w:tcW w:w="665" w:type="dxa"/>
            <w:tcBorders>
              <w:top w:val="nil"/>
              <w:left w:val="nil"/>
              <w:bottom w:val="single" w:sz="4" w:space="0" w:color="auto"/>
              <w:right w:val="nil"/>
            </w:tcBorders>
            <w:shd w:val="clear" w:color="auto" w:fill="auto"/>
            <w:noWrap/>
            <w:vAlign w:val="bottom"/>
            <w:hideMark/>
          </w:tcPr>
          <w:p w14:paraId="036033A9"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306</w:t>
            </w:r>
          </w:p>
        </w:tc>
        <w:tc>
          <w:tcPr>
            <w:tcW w:w="1064" w:type="dxa"/>
            <w:tcBorders>
              <w:top w:val="nil"/>
              <w:left w:val="nil"/>
              <w:bottom w:val="single" w:sz="4" w:space="0" w:color="auto"/>
              <w:right w:val="nil"/>
            </w:tcBorders>
            <w:shd w:val="clear" w:color="auto" w:fill="auto"/>
            <w:noWrap/>
            <w:vAlign w:val="center"/>
            <w:hideMark/>
          </w:tcPr>
          <w:p w14:paraId="1CAA9D4F" w14:textId="700D87CF"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675" w:type="dxa"/>
            <w:tcBorders>
              <w:top w:val="nil"/>
              <w:left w:val="single" w:sz="4" w:space="0" w:color="auto"/>
              <w:bottom w:val="single" w:sz="4" w:space="0" w:color="auto"/>
              <w:right w:val="nil"/>
            </w:tcBorders>
            <w:shd w:val="clear" w:color="auto" w:fill="auto"/>
            <w:noWrap/>
            <w:vAlign w:val="bottom"/>
            <w:hideMark/>
          </w:tcPr>
          <w:p w14:paraId="58619B0B"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166</w:t>
            </w:r>
          </w:p>
        </w:tc>
        <w:tc>
          <w:tcPr>
            <w:tcW w:w="924" w:type="dxa"/>
            <w:tcBorders>
              <w:top w:val="nil"/>
              <w:left w:val="nil"/>
              <w:bottom w:val="single" w:sz="4" w:space="0" w:color="auto"/>
              <w:right w:val="single" w:sz="4" w:space="0" w:color="auto"/>
            </w:tcBorders>
            <w:shd w:val="clear" w:color="auto" w:fill="auto"/>
            <w:noWrap/>
            <w:vAlign w:val="center"/>
            <w:hideMark/>
          </w:tcPr>
          <w:p w14:paraId="3385C971" w14:textId="30258A7F"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675" w:type="dxa"/>
            <w:tcBorders>
              <w:top w:val="nil"/>
              <w:left w:val="nil"/>
              <w:bottom w:val="single" w:sz="4" w:space="0" w:color="auto"/>
              <w:right w:val="nil"/>
            </w:tcBorders>
            <w:shd w:val="clear" w:color="auto" w:fill="auto"/>
            <w:noWrap/>
            <w:vAlign w:val="bottom"/>
            <w:hideMark/>
          </w:tcPr>
          <w:p w14:paraId="2E8DC2BA"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601</w:t>
            </w:r>
          </w:p>
        </w:tc>
        <w:tc>
          <w:tcPr>
            <w:tcW w:w="1054" w:type="dxa"/>
            <w:tcBorders>
              <w:top w:val="nil"/>
              <w:left w:val="nil"/>
              <w:bottom w:val="single" w:sz="4" w:space="0" w:color="auto"/>
              <w:right w:val="nil"/>
            </w:tcBorders>
            <w:shd w:val="clear" w:color="auto" w:fill="auto"/>
            <w:noWrap/>
            <w:vAlign w:val="center"/>
            <w:hideMark/>
          </w:tcPr>
          <w:p w14:paraId="0F7428C6" w14:textId="27A8AC1D"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3D345E80" w14:textId="77777777" w:rsidTr="00177D82">
        <w:trPr>
          <w:trHeight w:val="330"/>
        </w:trPr>
        <w:tc>
          <w:tcPr>
            <w:tcW w:w="2496" w:type="dxa"/>
            <w:tcBorders>
              <w:top w:val="nil"/>
              <w:left w:val="nil"/>
              <w:bottom w:val="double" w:sz="6" w:space="0" w:color="auto"/>
              <w:right w:val="nil"/>
            </w:tcBorders>
            <w:shd w:val="clear" w:color="auto" w:fill="auto"/>
            <w:noWrap/>
            <w:vAlign w:val="bottom"/>
            <w:hideMark/>
          </w:tcPr>
          <w:p w14:paraId="7F4DB2D6" w14:textId="77777777" w:rsidR="00177D82" w:rsidRPr="00A00187" w:rsidRDefault="00177D82" w:rsidP="00177D82">
            <w:pPr>
              <w:spacing w:line="240" w:lineRule="auto"/>
              <w:jc w:val="left"/>
              <w:rPr>
                <w:rFonts w:eastAsia="Times New Roman"/>
                <w:szCs w:val="24"/>
                <w:lang w:eastAsia="cs-CZ"/>
              </w:rPr>
            </w:pPr>
            <w:r w:rsidRPr="00A00187">
              <w:rPr>
                <w:rFonts w:eastAsia="Times New Roman"/>
                <w:szCs w:val="24"/>
                <w:lang w:eastAsia="cs-CZ"/>
              </w:rPr>
              <w:t>KS Ostrava</w:t>
            </w:r>
          </w:p>
        </w:tc>
        <w:tc>
          <w:tcPr>
            <w:tcW w:w="665" w:type="dxa"/>
            <w:tcBorders>
              <w:top w:val="nil"/>
              <w:left w:val="nil"/>
              <w:bottom w:val="double" w:sz="6" w:space="0" w:color="auto"/>
              <w:right w:val="nil"/>
            </w:tcBorders>
            <w:shd w:val="clear" w:color="auto" w:fill="auto"/>
            <w:noWrap/>
            <w:vAlign w:val="bottom"/>
            <w:hideMark/>
          </w:tcPr>
          <w:p w14:paraId="62D2C7EE"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100</w:t>
            </w:r>
          </w:p>
        </w:tc>
        <w:tc>
          <w:tcPr>
            <w:tcW w:w="1064" w:type="dxa"/>
            <w:tcBorders>
              <w:top w:val="nil"/>
              <w:left w:val="nil"/>
              <w:bottom w:val="double" w:sz="6" w:space="0" w:color="auto"/>
              <w:right w:val="nil"/>
            </w:tcBorders>
            <w:shd w:val="clear" w:color="auto" w:fill="auto"/>
            <w:noWrap/>
            <w:vAlign w:val="center"/>
            <w:hideMark/>
          </w:tcPr>
          <w:p w14:paraId="4B4CEFF8" w14:textId="76B98987"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675" w:type="dxa"/>
            <w:tcBorders>
              <w:top w:val="nil"/>
              <w:left w:val="single" w:sz="4" w:space="0" w:color="auto"/>
              <w:bottom w:val="double" w:sz="6" w:space="0" w:color="auto"/>
              <w:right w:val="nil"/>
            </w:tcBorders>
            <w:shd w:val="clear" w:color="auto" w:fill="auto"/>
            <w:noWrap/>
            <w:vAlign w:val="bottom"/>
            <w:hideMark/>
          </w:tcPr>
          <w:p w14:paraId="619ED642"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68</w:t>
            </w:r>
          </w:p>
        </w:tc>
        <w:tc>
          <w:tcPr>
            <w:tcW w:w="924" w:type="dxa"/>
            <w:tcBorders>
              <w:top w:val="nil"/>
              <w:left w:val="nil"/>
              <w:bottom w:val="double" w:sz="6" w:space="0" w:color="auto"/>
              <w:right w:val="single" w:sz="4" w:space="0" w:color="auto"/>
            </w:tcBorders>
            <w:shd w:val="clear" w:color="auto" w:fill="auto"/>
            <w:noWrap/>
            <w:vAlign w:val="center"/>
            <w:hideMark/>
          </w:tcPr>
          <w:p w14:paraId="258E81A9" w14:textId="49BA10E1"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675" w:type="dxa"/>
            <w:tcBorders>
              <w:top w:val="nil"/>
              <w:left w:val="nil"/>
              <w:bottom w:val="double" w:sz="6" w:space="0" w:color="auto"/>
              <w:right w:val="nil"/>
            </w:tcBorders>
            <w:shd w:val="clear" w:color="auto" w:fill="auto"/>
            <w:noWrap/>
            <w:vAlign w:val="bottom"/>
            <w:hideMark/>
          </w:tcPr>
          <w:p w14:paraId="67110882" w14:textId="77777777" w:rsidR="00177D82" w:rsidRPr="00A00187" w:rsidRDefault="00177D82" w:rsidP="00177D82">
            <w:pPr>
              <w:spacing w:line="240" w:lineRule="auto"/>
              <w:jc w:val="center"/>
              <w:rPr>
                <w:rFonts w:eastAsia="Times New Roman"/>
                <w:szCs w:val="24"/>
                <w:lang w:eastAsia="cs-CZ"/>
              </w:rPr>
            </w:pPr>
            <w:r w:rsidRPr="00A00187">
              <w:rPr>
                <w:rFonts w:eastAsia="Times New Roman"/>
                <w:szCs w:val="24"/>
                <w:lang w:eastAsia="cs-CZ"/>
              </w:rPr>
              <w:t>216</w:t>
            </w:r>
          </w:p>
        </w:tc>
        <w:tc>
          <w:tcPr>
            <w:tcW w:w="1054" w:type="dxa"/>
            <w:tcBorders>
              <w:top w:val="nil"/>
              <w:left w:val="nil"/>
              <w:bottom w:val="double" w:sz="6" w:space="0" w:color="auto"/>
              <w:right w:val="nil"/>
            </w:tcBorders>
            <w:shd w:val="clear" w:color="auto" w:fill="auto"/>
            <w:noWrap/>
            <w:vAlign w:val="center"/>
            <w:hideMark/>
          </w:tcPr>
          <w:p w14:paraId="13805472" w14:textId="13C2703A" w:rsidR="00177D82" w:rsidRPr="00A00187" w:rsidRDefault="00177D82" w:rsidP="00177D82">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47F312B6" w14:textId="77777777" w:rsidTr="00177D82">
        <w:trPr>
          <w:trHeight w:val="345"/>
        </w:trPr>
        <w:tc>
          <w:tcPr>
            <w:tcW w:w="2496" w:type="dxa"/>
            <w:tcBorders>
              <w:top w:val="nil"/>
              <w:left w:val="nil"/>
              <w:bottom w:val="double" w:sz="6" w:space="0" w:color="auto"/>
              <w:right w:val="nil"/>
            </w:tcBorders>
            <w:shd w:val="clear" w:color="auto" w:fill="auto"/>
            <w:noWrap/>
            <w:vAlign w:val="bottom"/>
            <w:hideMark/>
          </w:tcPr>
          <w:p w14:paraId="1D1A1A1C" w14:textId="77777777" w:rsidR="00177D82" w:rsidRPr="00A00187" w:rsidRDefault="00177D82" w:rsidP="00177D82">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665" w:type="dxa"/>
            <w:tcBorders>
              <w:top w:val="nil"/>
              <w:left w:val="nil"/>
              <w:bottom w:val="double" w:sz="6" w:space="0" w:color="auto"/>
              <w:right w:val="nil"/>
            </w:tcBorders>
            <w:shd w:val="clear" w:color="auto" w:fill="auto"/>
            <w:noWrap/>
            <w:vAlign w:val="bottom"/>
            <w:hideMark/>
          </w:tcPr>
          <w:p w14:paraId="0D687433" w14:textId="77777777" w:rsidR="00177D82" w:rsidRPr="00A00187" w:rsidRDefault="00177D82" w:rsidP="00177D82">
            <w:pPr>
              <w:spacing w:line="240" w:lineRule="auto"/>
              <w:jc w:val="center"/>
              <w:rPr>
                <w:rFonts w:eastAsia="Times New Roman"/>
                <w:b/>
                <w:bCs/>
                <w:szCs w:val="24"/>
                <w:lang w:eastAsia="cs-CZ"/>
              </w:rPr>
            </w:pPr>
            <w:r w:rsidRPr="00A00187">
              <w:rPr>
                <w:rFonts w:eastAsia="Times New Roman"/>
                <w:b/>
                <w:bCs/>
                <w:szCs w:val="24"/>
                <w:lang w:eastAsia="cs-CZ"/>
              </w:rPr>
              <w:t>126</w:t>
            </w:r>
          </w:p>
        </w:tc>
        <w:tc>
          <w:tcPr>
            <w:tcW w:w="1064" w:type="dxa"/>
            <w:tcBorders>
              <w:top w:val="nil"/>
              <w:left w:val="nil"/>
              <w:bottom w:val="double" w:sz="6" w:space="0" w:color="auto"/>
              <w:right w:val="nil"/>
            </w:tcBorders>
            <w:shd w:val="clear" w:color="auto" w:fill="auto"/>
            <w:noWrap/>
            <w:vAlign w:val="center"/>
            <w:hideMark/>
          </w:tcPr>
          <w:p w14:paraId="7B3E7BB3" w14:textId="4188EB79" w:rsidR="00177D82" w:rsidRPr="00A00187" w:rsidRDefault="00177D82" w:rsidP="00177D82">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675" w:type="dxa"/>
            <w:tcBorders>
              <w:top w:val="nil"/>
              <w:left w:val="single" w:sz="4" w:space="0" w:color="auto"/>
              <w:bottom w:val="double" w:sz="6" w:space="0" w:color="auto"/>
              <w:right w:val="nil"/>
            </w:tcBorders>
            <w:shd w:val="clear" w:color="auto" w:fill="auto"/>
            <w:noWrap/>
            <w:vAlign w:val="bottom"/>
            <w:hideMark/>
          </w:tcPr>
          <w:p w14:paraId="271C848E" w14:textId="77777777" w:rsidR="00177D82" w:rsidRPr="00A00187" w:rsidRDefault="00177D82" w:rsidP="00177D82">
            <w:pPr>
              <w:spacing w:line="240" w:lineRule="auto"/>
              <w:jc w:val="center"/>
              <w:rPr>
                <w:rFonts w:eastAsia="Times New Roman"/>
                <w:b/>
                <w:bCs/>
                <w:szCs w:val="24"/>
                <w:lang w:eastAsia="cs-CZ"/>
              </w:rPr>
            </w:pPr>
            <w:r w:rsidRPr="00A00187">
              <w:rPr>
                <w:rFonts w:eastAsia="Times New Roman"/>
                <w:b/>
                <w:bCs/>
                <w:szCs w:val="24"/>
                <w:lang w:eastAsia="cs-CZ"/>
              </w:rPr>
              <w:t>62</w:t>
            </w:r>
          </w:p>
        </w:tc>
        <w:tc>
          <w:tcPr>
            <w:tcW w:w="924" w:type="dxa"/>
            <w:tcBorders>
              <w:top w:val="nil"/>
              <w:left w:val="nil"/>
              <w:bottom w:val="double" w:sz="6" w:space="0" w:color="auto"/>
              <w:right w:val="single" w:sz="4" w:space="0" w:color="auto"/>
            </w:tcBorders>
            <w:shd w:val="clear" w:color="auto" w:fill="auto"/>
            <w:noWrap/>
            <w:vAlign w:val="center"/>
            <w:hideMark/>
          </w:tcPr>
          <w:p w14:paraId="0C15FF40" w14:textId="6A77FAC4" w:rsidR="00177D82" w:rsidRPr="00A00187" w:rsidRDefault="00177D82" w:rsidP="00177D82">
            <w:pPr>
              <w:spacing w:line="240" w:lineRule="auto"/>
              <w:jc w:val="center"/>
              <w:rPr>
                <w:rFonts w:eastAsia="Times New Roman"/>
                <w:b/>
                <w:bCs/>
                <w:sz w:val="20"/>
                <w:szCs w:val="20"/>
                <w:lang w:eastAsia="cs-CZ"/>
              </w:rPr>
            </w:pPr>
            <w:r w:rsidRPr="00A00187">
              <w:rPr>
                <w:rFonts w:eastAsia="Times New Roman"/>
                <w:b/>
                <w:bCs/>
                <w:sz w:val="20"/>
                <w:szCs w:val="20"/>
                <w:lang w:eastAsia="cs-CZ"/>
              </w:rPr>
              <w:t>-11</w:t>
            </w:r>
            <w:r w:rsidR="00CB570A">
              <w:rPr>
                <w:rFonts w:eastAsia="Times New Roman"/>
                <w:b/>
                <w:bCs/>
                <w:sz w:val="20"/>
                <w:szCs w:val="20"/>
                <w:lang w:eastAsia="cs-CZ"/>
              </w:rPr>
              <w:t> %</w:t>
            </w:r>
          </w:p>
        </w:tc>
        <w:tc>
          <w:tcPr>
            <w:tcW w:w="675" w:type="dxa"/>
            <w:tcBorders>
              <w:top w:val="nil"/>
              <w:left w:val="nil"/>
              <w:bottom w:val="double" w:sz="6" w:space="0" w:color="auto"/>
              <w:right w:val="nil"/>
            </w:tcBorders>
            <w:shd w:val="clear" w:color="auto" w:fill="auto"/>
            <w:noWrap/>
            <w:vAlign w:val="bottom"/>
            <w:hideMark/>
          </w:tcPr>
          <w:p w14:paraId="42EDEE8D" w14:textId="77777777" w:rsidR="00177D82" w:rsidRPr="00A00187" w:rsidRDefault="00177D82" w:rsidP="00177D82">
            <w:pPr>
              <w:spacing w:line="240" w:lineRule="auto"/>
              <w:jc w:val="center"/>
              <w:rPr>
                <w:rFonts w:eastAsia="Times New Roman"/>
                <w:b/>
                <w:bCs/>
                <w:szCs w:val="24"/>
                <w:lang w:eastAsia="cs-CZ"/>
              </w:rPr>
            </w:pPr>
            <w:r w:rsidRPr="00A00187">
              <w:rPr>
                <w:rFonts w:eastAsia="Times New Roman"/>
                <w:b/>
                <w:bCs/>
                <w:szCs w:val="24"/>
                <w:lang w:eastAsia="cs-CZ"/>
              </w:rPr>
              <w:t>265</w:t>
            </w:r>
          </w:p>
        </w:tc>
        <w:tc>
          <w:tcPr>
            <w:tcW w:w="1054" w:type="dxa"/>
            <w:tcBorders>
              <w:top w:val="nil"/>
              <w:left w:val="nil"/>
              <w:bottom w:val="double" w:sz="6" w:space="0" w:color="auto"/>
              <w:right w:val="nil"/>
            </w:tcBorders>
            <w:shd w:val="clear" w:color="auto" w:fill="auto"/>
            <w:noWrap/>
            <w:vAlign w:val="center"/>
            <w:hideMark/>
          </w:tcPr>
          <w:p w14:paraId="3CE568D2" w14:textId="73B6C797" w:rsidR="00177D82" w:rsidRPr="00A00187" w:rsidRDefault="00177D82" w:rsidP="00177D82">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r>
      <w:tr w:rsidR="00AC1E67" w:rsidRPr="00A00187" w14:paraId="74862D44" w14:textId="77777777" w:rsidTr="00177D82">
        <w:trPr>
          <w:trHeight w:val="330"/>
        </w:trPr>
        <w:tc>
          <w:tcPr>
            <w:tcW w:w="2496" w:type="dxa"/>
            <w:tcBorders>
              <w:top w:val="nil"/>
              <w:left w:val="nil"/>
              <w:bottom w:val="nil"/>
              <w:right w:val="nil"/>
            </w:tcBorders>
            <w:shd w:val="clear" w:color="auto" w:fill="auto"/>
            <w:noWrap/>
            <w:vAlign w:val="bottom"/>
            <w:hideMark/>
          </w:tcPr>
          <w:p w14:paraId="5321A276" w14:textId="77777777" w:rsidR="00177D82" w:rsidRPr="00A00187" w:rsidRDefault="00177D82" w:rsidP="00177D82">
            <w:pPr>
              <w:spacing w:line="240" w:lineRule="auto"/>
              <w:jc w:val="right"/>
              <w:rPr>
                <w:rFonts w:eastAsia="Times New Roman"/>
                <w:b/>
                <w:bCs/>
                <w:sz w:val="20"/>
                <w:szCs w:val="20"/>
                <w:lang w:eastAsia="cs-CZ"/>
              </w:rPr>
            </w:pPr>
          </w:p>
        </w:tc>
        <w:tc>
          <w:tcPr>
            <w:tcW w:w="665" w:type="dxa"/>
            <w:tcBorders>
              <w:top w:val="nil"/>
              <w:left w:val="nil"/>
              <w:bottom w:val="nil"/>
              <w:right w:val="nil"/>
            </w:tcBorders>
            <w:shd w:val="clear" w:color="auto" w:fill="auto"/>
            <w:noWrap/>
            <w:vAlign w:val="bottom"/>
            <w:hideMark/>
          </w:tcPr>
          <w:p w14:paraId="4C627A9C" w14:textId="77777777" w:rsidR="00177D82" w:rsidRPr="00A00187" w:rsidRDefault="00177D82" w:rsidP="00177D82">
            <w:pPr>
              <w:spacing w:line="240" w:lineRule="auto"/>
              <w:jc w:val="left"/>
              <w:rPr>
                <w:rFonts w:ascii="Times New Roman" w:eastAsia="Times New Roman" w:hAnsi="Times New Roman"/>
                <w:sz w:val="20"/>
                <w:szCs w:val="20"/>
                <w:lang w:eastAsia="cs-CZ"/>
              </w:rPr>
            </w:pPr>
          </w:p>
        </w:tc>
        <w:tc>
          <w:tcPr>
            <w:tcW w:w="1064" w:type="dxa"/>
            <w:tcBorders>
              <w:top w:val="nil"/>
              <w:left w:val="nil"/>
              <w:bottom w:val="nil"/>
              <w:right w:val="nil"/>
            </w:tcBorders>
            <w:shd w:val="clear" w:color="auto" w:fill="auto"/>
            <w:noWrap/>
            <w:vAlign w:val="bottom"/>
            <w:hideMark/>
          </w:tcPr>
          <w:p w14:paraId="7906822B" w14:textId="77777777" w:rsidR="00177D82" w:rsidRPr="00A00187" w:rsidRDefault="00177D82" w:rsidP="00177D82">
            <w:pPr>
              <w:spacing w:line="240" w:lineRule="auto"/>
              <w:jc w:val="left"/>
              <w:rPr>
                <w:rFonts w:ascii="Times New Roman" w:eastAsia="Times New Roman" w:hAnsi="Times New Roman"/>
                <w:sz w:val="20"/>
                <w:szCs w:val="20"/>
                <w:lang w:eastAsia="cs-CZ"/>
              </w:rPr>
            </w:pPr>
          </w:p>
        </w:tc>
        <w:tc>
          <w:tcPr>
            <w:tcW w:w="675" w:type="dxa"/>
            <w:tcBorders>
              <w:top w:val="nil"/>
              <w:left w:val="nil"/>
              <w:bottom w:val="nil"/>
              <w:right w:val="nil"/>
            </w:tcBorders>
            <w:shd w:val="clear" w:color="auto" w:fill="auto"/>
            <w:noWrap/>
            <w:vAlign w:val="bottom"/>
            <w:hideMark/>
          </w:tcPr>
          <w:p w14:paraId="09BCA11D" w14:textId="77777777" w:rsidR="00177D82" w:rsidRPr="00A00187" w:rsidRDefault="00177D82" w:rsidP="00177D82">
            <w:pPr>
              <w:spacing w:line="240" w:lineRule="auto"/>
              <w:jc w:val="left"/>
              <w:rPr>
                <w:rFonts w:ascii="Times New Roman" w:eastAsia="Times New Roman" w:hAnsi="Times New Roman"/>
                <w:sz w:val="20"/>
                <w:szCs w:val="20"/>
                <w:lang w:eastAsia="cs-CZ"/>
              </w:rPr>
            </w:pPr>
          </w:p>
        </w:tc>
        <w:tc>
          <w:tcPr>
            <w:tcW w:w="924" w:type="dxa"/>
            <w:tcBorders>
              <w:top w:val="nil"/>
              <w:left w:val="nil"/>
              <w:bottom w:val="nil"/>
              <w:right w:val="nil"/>
            </w:tcBorders>
            <w:shd w:val="clear" w:color="auto" w:fill="auto"/>
            <w:noWrap/>
            <w:vAlign w:val="bottom"/>
            <w:hideMark/>
          </w:tcPr>
          <w:p w14:paraId="247D81D2" w14:textId="77777777" w:rsidR="00177D82" w:rsidRPr="00A00187" w:rsidRDefault="00177D82" w:rsidP="00177D82">
            <w:pPr>
              <w:spacing w:line="240" w:lineRule="auto"/>
              <w:jc w:val="left"/>
              <w:rPr>
                <w:rFonts w:ascii="Times New Roman" w:eastAsia="Times New Roman" w:hAnsi="Times New Roman"/>
                <w:sz w:val="20"/>
                <w:szCs w:val="20"/>
                <w:lang w:eastAsia="cs-CZ"/>
              </w:rPr>
            </w:pPr>
          </w:p>
        </w:tc>
        <w:tc>
          <w:tcPr>
            <w:tcW w:w="675" w:type="dxa"/>
            <w:tcBorders>
              <w:top w:val="nil"/>
              <w:left w:val="nil"/>
              <w:bottom w:val="nil"/>
              <w:right w:val="nil"/>
            </w:tcBorders>
            <w:shd w:val="clear" w:color="auto" w:fill="auto"/>
            <w:noWrap/>
            <w:vAlign w:val="bottom"/>
            <w:hideMark/>
          </w:tcPr>
          <w:p w14:paraId="7DEA162C" w14:textId="77777777" w:rsidR="00177D82" w:rsidRPr="00A00187" w:rsidRDefault="00177D82" w:rsidP="00177D82">
            <w:pPr>
              <w:spacing w:line="240" w:lineRule="auto"/>
              <w:jc w:val="left"/>
              <w:rPr>
                <w:rFonts w:ascii="Times New Roman" w:eastAsia="Times New Roman" w:hAnsi="Times New Roman"/>
                <w:sz w:val="20"/>
                <w:szCs w:val="20"/>
                <w:lang w:eastAsia="cs-CZ"/>
              </w:rPr>
            </w:pPr>
          </w:p>
        </w:tc>
        <w:tc>
          <w:tcPr>
            <w:tcW w:w="1054" w:type="dxa"/>
            <w:tcBorders>
              <w:top w:val="nil"/>
              <w:left w:val="nil"/>
              <w:bottom w:val="nil"/>
              <w:right w:val="nil"/>
            </w:tcBorders>
            <w:shd w:val="clear" w:color="auto" w:fill="auto"/>
            <w:noWrap/>
            <w:vAlign w:val="bottom"/>
            <w:hideMark/>
          </w:tcPr>
          <w:p w14:paraId="1861A1BA" w14:textId="77777777" w:rsidR="00177D82" w:rsidRPr="00A00187" w:rsidRDefault="00177D82" w:rsidP="00177D82">
            <w:pPr>
              <w:spacing w:line="240" w:lineRule="auto"/>
              <w:jc w:val="left"/>
              <w:rPr>
                <w:rFonts w:ascii="Times New Roman" w:eastAsia="Times New Roman" w:hAnsi="Times New Roman"/>
                <w:sz w:val="20"/>
                <w:szCs w:val="20"/>
                <w:lang w:eastAsia="cs-CZ"/>
              </w:rPr>
            </w:pPr>
          </w:p>
        </w:tc>
      </w:tr>
    </w:tbl>
    <w:p w14:paraId="0668C876" w14:textId="284032CE" w:rsidR="00177D82" w:rsidRPr="00A00187" w:rsidRDefault="00177D82" w:rsidP="00177D82">
      <w:pPr>
        <w:pStyle w:val="OdstavecASR"/>
      </w:pPr>
      <w:r w:rsidRPr="00A00187">
        <w:t>V tabulce vidíme, že nejvyšší délky odvolacího civilního řízení vykazuje KS Brno (a to již několik let při ročních kladných i záporných výkyvech) a KS Ústí nad Labem.</w:t>
      </w:r>
    </w:p>
    <w:p w14:paraId="7CDF0877" w14:textId="77777777" w:rsidR="00177D82" w:rsidRPr="00A00187" w:rsidRDefault="00177D82" w:rsidP="00177D82">
      <w:pPr>
        <w:pStyle w:val="OdstavecASR"/>
      </w:pPr>
      <w:bookmarkStart w:id="687" w:name="_Hlk103943015"/>
      <w:r w:rsidRPr="00A00187">
        <w:t>Jelikož KS Brno dlouhodobě vykazuje nejvyšší délky civilního odvolacího řízení, zaměřilo se Ministerstvo spravedlnosti společně se soudem na předmětná data hlouběji. Výsledkem je zjištění, že KS Brno postupuje v určité situaci, která nastane v rámci odvolacího řízení, odlišně od ostatních krajských soudů. Tato odlišnost však spočívá převážně v administrativním postupu, nikoliv v rozhodovací činnosti.</w:t>
      </w:r>
    </w:p>
    <w:bookmarkEnd w:id="687"/>
    <w:p w14:paraId="1354C6E0" w14:textId="77777777" w:rsidR="00177D82" w:rsidRPr="00A00187" w:rsidRDefault="00177D82" w:rsidP="00177D82">
      <w:pPr>
        <w:pStyle w:val="OdstavecASR"/>
      </w:pPr>
      <w:r w:rsidRPr="00A00187">
        <w:t>Podívejme se ještě na rozložení délek odvolacích řízení pomocí histogramu. Připomínáme, že stejně jako u okresních soudů je šířka jednoho intervalu (sloupce) 25 dnů. Pro lepší přehlednost uvádíme všechny délky řízení delší než 800 dnů v jednom sloupci (na grafu nejvíce vpravo). Z histogramu pak můžeme opět vyčíst další informace o délkách řízení. Například:</w:t>
      </w:r>
    </w:p>
    <w:p w14:paraId="365E4CC7" w14:textId="04AD14B3" w:rsidR="00177D82" w:rsidRPr="00A00187" w:rsidRDefault="00177D82" w:rsidP="00177D82">
      <w:pPr>
        <w:pStyle w:val="Odstavecseseznamem"/>
        <w:numPr>
          <w:ilvl w:val="0"/>
          <w:numId w:val="24"/>
        </w:numPr>
      </w:pPr>
      <w:r w:rsidRPr="00A00187">
        <w:t>Asi 40</w:t>
      </w:r>
      <w:r w:rsidR="00CB570A">
        <w:t> %</w:t>
      </w:r>
      <w:r w:rsidRPr="00A00187">
        <w:t> věcí je vyřízeno do 50 dnů, což je více než v roce 2020.</w:t>
      </w:r>
    </w:p>
    <w:p w14:paraId="5AB43A1E" w14:textId="3855CE06" w:rsidR="00177D82" w:rsidRPr="00A00187" w:rsidRDefault="00177D82" w:rsidP="00177D82">
      <w:pPr>
        <w:pStyle w:val="Odstavecseseznamem"/>
        <w:numPr>
          <w:ilvl w:val="0"/>
          <w:numId w:val="24"/>
        </w:numPr>
      </w:pPr>
      <w:r w:rsidRPr="00A00187">
        <w:t>Asi 3</w:t>
      </w:r>
      <w:r w:rsidR="00CB570A">
        <w:t> %</w:t>
      </w:r>
      <w:r w:rsidRPr="00A00187">
        <w:t> všech odvolání v civilním řízení u KS trvá déle než 800 kalendářních dnů.</w:t>
      </w:r>
    </w:p>
    <w:p w14:paraId="4F268A35" w14:textId="41E9C65A" w:rsidR="00177D82" w:rsidRPr="00A00187" w:rsidRDefault="00177D82" w:rsidP="00177D82">
      <w:pPr>
        <w:pStyle w:val="Odstavecseseznamem"/>
        <w:numPr>
          <w:ilvl w:val="0"/>
          <w:numId w:val="24"/>
        </w:numPr>
      </w:pPr>
      <w:r w:rsidRPr="00A00187">
        <w:t>Relativní četnost délek řízení téměř vždy klesá s přibývající délkou řízení.</w:t>
      </w:r>
    </w:p>
    <w:p w14:paraId="406B4968" w14:textId="2C067412" w:rsidR="00177D82" w:rsidRPr="00A00187" w:rsidRDefault="00177D82" w:rsidP="00177D82"/>
    <w:p w14:paraId="0E9FAA63" w14:textId="0FB2924B" w:rsidR="00177D82" w:rsidRPr="00A00187" w:rsidRDefault="00177D82" w:rsidP="00177D82"/>
    <w:p w14:paraId="3BEFEE8D" w14:textId="0D3EE499" w:rsidR="00177D82" w:rsidRPr="00A00187" w:rsidRDefault="00177D82" w:rsidP="00177D82">
      <w:pPr>
        <w:pStyle w:val="Podnadpis"/>
        <w:rPr>
          <w:color w:val="auto"/>
        </w:rPr>
      </w:pPr>
      <w:bookmarkStart w:id="688" w:name="_Toc43841436"/>
      <w:bookmarkStart w:id="689" w:name="_Toc75952239"/>
      <w:bookmarkStart w:id="690" w:name="_Toc106106696"/>
      <w:bookmarkStart w:id="691" w:name="_Toc109802020"/>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62</w:t>
      </w:r>
      <w:r w:rsidRPr="00A00187">
        <w:rPr>
          <w:color w:val="auto"/>
        </w:rPr>
        <w:fldChar w:fldCharType="end"/>
      </w:r>
      <w:r w:rsidRPr="00A00187">
        <w:rPr>
          <w:color w:val="auto"/>
        </w:rPr>
        <w:t>: KS – distribuce délek odvolacího civilního řízení</w:t>
      </w:r>
      <w:bookmarkEnd w:id="688"/>
      <w:bookmarkEnd w:id="689"/>
      <w:bookmarkEnd w:id="690"/>
      <w:bookmarkEnd w:id="691"/>
    </w:p>
    <w:p w14:paraId="50A3055C" w14:textId="53E896D2" w:rsidR="00177D82" w:rsidRPr="00A00187" w:rsidRDefault="00177D82" w:rsidP="00177D82">
      <w:r w:rsidRPr="00A00187">
        <w:rPr>
          <w:noProof/>
        </w:rPr>
        <w:drawing>
          <wp:inline distT="0" distB="0" distL="0" distR="0" wp14:anchorId="691886DA" wp14:editId="4BF6BE1F">
            <wp:extent cx="5025390" cy="3657600"/>
            <wp:effectExtent l="0" t="0" r="381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646C764" w14:textId="156FED06" w:rsidR="008430BD" w:rsidRPr="00A00187" w:rsidRDefault="008430BD" w:rsidP="008430BD">
      <w:pPr>
        <w:pStyle w:val="Nadpis3"/>
        <w:numPr>
          <w:ilvl w:val="2"/>
          <w:numId w:val="1"/>
        </w:numPr>
        <w:rPr>
          <w:color w:val="auto"/>
        </w:rPr>
      </w:pPr>
      <w:bookmarkStart w:id="692" w:name="_Toc106092760"/>
      <w:bookmarkStart w:id="693" w:name="_Toc109801371"/>
      <w:r w:rsidRPr="00A00187">
        <w:rPr>
          <w:color w:val="auto"/>
        </w:rPr>
        <w:t>Vyřizování věcí</w:t>
      </w:r>
      <w:bookmarkEnd w:id="692"/>
      <w:bookmarkEnd w:id="693"/>
    </w:p>
    <w:p w14:paraId="48732C3A" w14:textId="77777777" w:rsidR="00281AA3" w:rsidRPr="00A00187" w:rsidRDefault="00281AA3" w:rsidP="00013CB4">
      <w:pPr>
        <w:pStyle w:val="OdstavecASR"/>
      </w:pPr>
      <w:r w:rsidRPr="00A00187">
        <w:t>Jak jsme uvedli již dříve, data o vyřizování věcí zahrnují více agend než údaje o délce řízení.</w:t>
      </w:r>
    </w:p>
    <w:p w14:paraId="05747C80" w14:textId="39E876D9" w:rsidR="00281AA3" w:rsidRPr="00A00187" w:rsidRDefault="00281AA3" w:rsidP="00013CB4">
      <w:pPr>
        <w:pStyle w:val="Podnadpis"/>
        <w:rPr>
          <w:color w:val="auto"/>
        </w:rPr>
      </w:pPr>
      <w:bookmarkStart w:id="694" w:name="_Toc515871387"/>
      <w:bookmarkStart w:id="695" w:name="_Toc11135118"/>
      <w:bookmarkStart w:id="696" w:name="_Toc43841437"/>
      <w:bookmarkStart w:id="697" w:name="_Toc75952240"/>
      <w:bookmarkStart w:id="698" w:name="_Toc106106697"/>
      <w:bookmarkStart w:id="699" w:name="_Toc109802021"/>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63</w:t>
      </w:r>
      <w:r w:rsidR="008457EB" w:rsidRPr="00A00187">
        <w:rPr>
          <w:noProof/>
          <w:color w:val="auto"/>
        </w:rPr>
        <w:fldChar w:fldCharType="end"/>
      </w:r>
      <w:r w:rsidRPr="00A00187">
        <w:rPr>
          <w:color w:val="auto"/>
        </w:rPr>
        <w:t>: KS – vyřizování odvolacích civilních věcí v letech 2008–20</w:t>
      </w:r>
      <w:bookmarkEnd w:id="694"/>
      <w:bookmarkEnd w:id="695"/>
      <w:bookmarkEnd w:id="696"/>
      <w:r w:rsidRPr="00A00187">
        <w:rPr>
          <w:color w:val="auto"/>
        </w:rPr>
        <w:t>2</w:t>
      </w:r>
      <w:bookmarkEnd w:id="697"/>
      <w:r w:rsidRPr="00A00187">
        <w:rPr>
          <w:color w:val="auto"/>
        </w:rPr>
        <w:t>1</w:t>
      </w:r>
      <w:bookmarkEnd w:id="698"/>
      <w:bookmarkEnd w:id="699"/>
    </w:p>
    <w:p w14:paraId="01E4B7AE" w14:textId="26E1A2A4" w:rsidR="00281AA3" w:rsidRPr="00A00187" w:rsidRDefault="00612CFD" w:rsidP="00281AA3">
      <w:r w:rsidRPr="00A00187">
        <w:rPr>
          <w:noProof/>
        </w:rPr>
        <w:drawing>
          <wp:inline distT="0" distB="0" distL="0" distR="0" wp14:anchorId="67D7CED6" wp14:editId="71A6CBB4">
            <wp:extent cx="5029200" cy="36576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A109176" w14:textId="58AD39B3" w:rsidR="00281AA3" w:rsidRPr="00A00187" w:rsidRDefault="00281AA3" w:rsidP="00281AA3"/>
    <w:p w14:paraId="088B7341" w14:textId="747E43FA" w:rsidR="00281AA3" w:rsidRPr="00A00187" w:rsidRDefault="00281AA3" w:rsidP="00281AA3"/>
    <w:p w14:paraId="0E32609D" w14:textId="4C047388" w:rsidR="00CB570A" w:rsidRDefault="00013CB4" w:rsidP="00013CB4">
      <w:pPr>
        <w:pStyle w:val="OdstavecASR"/>
      </w:pPr>
      <w:r w:rsidRPr="00A00187">
        <w:lastRenderedPageBreak/>
        <w:t>V časové řadě registrujeme nárůst v počtu napadlých a vyřízených věcí v roce 2012. Následoval postupný pokles na hodnoty před rokem 2012 a ještě výrazně níže. Klesající trend se výrazně zpomalil (ale nezastavil) až v roce 2021. Logicky se nabízí hypotéza, že vývoj nápadu v agendě Co by měl za předpokladu konstantní míry odvolání do značné míry kopírovat vývoj prvostupňových vyřízených civilních věcí u okresních soudů. Tento předpoklad ale pro data v této zprávě často neplatí. Lze to vysvětlit již dříve popsanou skutečností, že do rejstříku Co nespadají jen odvolání v rejstříku C</w:t>
      </w:r>
      <w:r w:rsidR="004732B9">
        <w:t xml:space="preserve"> </w:t>
      </w:r>
      <w:r w:rsidRPr="00A00187">
        <w:t>(který zkoumáme v kapitole </w:t>
      </w:r>
      <w:r w:rsidRPr="00A00187">
        <w:fldChar w:fldCharType="begin"/>
      </w:r>
      <w:r w:rsidRPr="00A00187">
        <w:instrText xml:space="preserve"> REF _Ref9425277 \r \h  \* MERGEFORMAT </w:instrText>
      </w:r>
      <w:r w:rsidRPr="00A00187">
        <w:fldChar w:fldCharType="separate"/>
      </w:r>
      <w:r w:rsidR="00DE6B5E">
        <w:t>2.2</w:t>
      </w:r>
      <w:r w:rsidRPr="00A00187">
        <w:fldChar w:fldCharType="end"/>
      </w:r>
      <w:r w:rsidRPr="00A00187">
        <w:t>), ale i odvolání ve všech ostatních věcech, které jsou vyřizovány na civilním úseku okresních soudů.</w:t>
      </w:r>
    </w:p>
    <w:p w14:paraId="4E58A501" w14:textId="55CFD423" w:rsidR="00CB570A" w:rsidRDefault="00013CB4" w:rsidP="00013CB4">
      <w:pPr>
        <w:pStyle w:val="OdstavecASR"/>
      </w:pPr>
      <w:r w:rsidRPr="00A00187">
        <w:t>Důležitým zjištěním je především to, že počet vyřízených věcí je v posledních letech vždy mírně vyšší než počet věcí příchozích. Počet nevyřízených věcí tedy pomalu, ale jistě klesá. Pokles v roce 2019 z 10 253 věcí na 8 694 věcí, tedy o 15</w:t>
      </w:r>
      <w:r w:rsidR="00CB570A">
        <w:t> %</w:t>
      </w:r>
      <w:r w:rsidRPr="00A00187">
        <w:t>, lze dokonce označit za výrazný. V roce 2020 došlo i přes pokles v nápadu k mírnému růstu v počtu nevyřízených věcí (poprvé od roku 2012). To teoreticky může plynout z vlivu pandemie COVID</w:t>
      </w:r>
      <w:r w:rsidRPr="00A00187">
        <w:noBreakHyphen/>
        <w:t xml:space="preserve">19 </w:t>
      </w:r>
      <w:r w:rsidR="00755920" w:rsidRPr="00A00187">
        <w:t>a</w:t>
      </w:r>
      <w:r w:rsidR="00755920">
        <w:t> </w:t>
      </w:r>
      <w:r w:rsidR="00611807" w:rsidRPr="00A00187">
        <w:t>dopadu</w:t>
      </w:r>
      <w:r w:rsidRPr="00A00187">
        <w:t> </w:t>
      </w:r>
      <w:r w:rsidR="00611807" w:rsidRPr="00A00187">
        <w:t xml:space="preserve">souvisejících </w:t>
      </w:r>
      <w:r w:rsidRPr="00A00187">
        <w:t xml:space="preserve">vládních opatření na činnost soudů. </w:t>
      </w:r>
      <w:r w:rsidR="00611807" w:rsidRPr="00A00187">
        <w:t xml:space="preserve">Tomuto závěru </w:t>
      </w:r>
      <w:r w:rsidR="00755920" w:rsidRPr="00A00187">
        <w:rPr>
          <w:i/>
          <w:iCs/>
        </w:rPr>
        <w:t>a</w:t>
      </w:r>
      <w:r w:rsidR="00755920">
        <w:rPr>
          <w:i/>
          <w:iCs/>
        </w:rPr>
        <w:t> </w:t>
      </w:r>
      <w:r w:rsidR="00611807" w:rsidRPr="00A00187">
        <w:rPr>
          <w:i/>
          <w:iCs/>
        </w:rPr>
        <w:t>priori</w:t>
      </w:r>
      <w:r w:rsidRPr="00A00187">
        <w:t xml:space="preserve"> odporuje fakt, že 4 soudy počet nevyřízených věcí snížily a </w:t>
      </w:r>
      <w:r w:rsidR="00755920" w:rsidRPr="00A00187">
        <w:t>4</w:t>
      </w:r>
      <w:r w:rsidR="00755920">
        <w:t> </w:t>
      </w:r>
      <w:r w:rsidRPr="00A00187">
        <w:t>zvýšily</w:t>
      </w:r>
      <w:r w:rsidR="00611807" w:rsidRPr="00A00187">
        <w:t xml:space="preserve">, ale </w:t>
      </w:r>
      <w:r w:rsidRPr="00A00187">
        <w:t>dopad pandemie se mohl lišit soud od soudu. V roce 2021 došlo k dalšímu citelnému pokles</w:t>
      </w:r>
      <w:r w:rsidR="004B69FD" w:rsidRPr="00A00187">
        <w:t>u</w:t>
      </w:r>
      <w:r w:rsidRPr="00A00187">
        <w:t xml:space="preserve"> v počtu nevyřízených věcí, tentokrát </w:t>
      </w:r>
      <w:r w:rsidR="00755920" w:rsidRPr="00A00187">
        <w:t>o</w:t>
      </w:r>
      <w:r w:rsidR="00755920">
        <w:t> </w:t>
      </w:r>
      <w:r w:rsidRPr="00A00187">
        <w:t>16</w:t>
      </w:r>
      <w:r w:rsidR="00CB570A">
        <w:t> %</w:t>
      </w:r>
      <w:r w:rsidRPr="00A00187">
        <w:t xml:space="preserve">. </w:t>
      </w:r>
      <w:r w:rsidR="00B74E34" w:rsidRPr="00A00187">
        <w:t>To by opět mohlo naznačovat, že vyřizování věcí v roce 2020 mohlo být ovlivněno pandemií COVID-19, v roce 2021 již nikoliv.</w:t>
      </w:r>
      <w:r w:rsidR="004B69FD" w:rsidRPr="00A00187">
        <w:t xml:space="preserve"> </w:t>
      </w:r>
      <w:r w:rsidR="00B74E34" w:rsidRPr="00A00187">
        <w:t>V tabulce zaujme především 42</w:t>
      </w:r>
      <w:r w:rsidR="004825A5" w:rsidRPr="00A00187">
        <w:t>%</w:t>
      </w:r>
      <w:r w:rsidR="00B74E34" w:rsidRPr="00A00187">
        <w:t xml:space="preserve"> pokles </w:t>
      </w:r>
      <w:r w:rsidR="00755920" w:rsidRPr="00A00187">
        <w:t>u</w:t>
      </w:r>
      <w:r w:rsidR="00755920">
        <w:t> </w:t>
      </w:r>
      <w:r w:rsidR="00B74E34" w:rsidRPr="00A00187">
        <w:t xml:space="preserve">KS v Ostravě. </w:t>
      </w:r>
      <w:r w:rsidR="00755920" w:rsidRPr="00A00187">
        <w:t>U</w:t>
      </w:r>
      <w:r w:rsidR="00755920">
        <w:t> </w:t>
      </w:r>
      <w:r w:rsidR="00CB2477" w:rsidRPr="00A00187">
        <w:t xml:space="preserve">tohoto soudu došlo v předchozím roce ke značnému nárůstu nevyřízených věcí </w:t>
      </w:r>
      <w:r w:rsidR="00755920" w:rsidRPr="00A00187">
        <w:t>a</w:t>
      </w:r>
      <w:r w:rsidR="00755920">
        <w:t> </w:t>
      </w:r>
      <w:r w:rsidR="00CB2477" w:rsidRPr="00A00187">
        <w:t xml:space="preserve">soudu se je tak tento rok podařilo vyřídit. Zajímavý je fakt, že počet vyřízených věcí se </w:t>
      </w:r>
      <w:r w:rsidR="00755920" w:rsidRPr="00A00187">
        <w:t>u</w:t>
      </w:r>
      <w:r w:rsidR="00755920">
        <w:t> </w:t>
      </w:r>
      <w:r w:rsidR="00611807" w:rsidRPr="00A00187">
        <w:t xml:space="preserve">tohoto soudu </w:t>
      </w:r>
      <w:r w:rsidR="00CB2477" w:rsidRPr="00A00187">
        <w:t xml:space="preserve">nezměnil </w:t>
      </w:r>
      <w:r w:rsidR="00755920" w:rsidRPr="00A00187">
        <w:t>a</w:t>
      </w:r>
      <w:r w:rsidR="00755920">
        <w:t> </w:t>
      </w:r>
      <w:r w:rsidR="00CB2477" w:rsidRPr="00A00187">
        <w:t>veškeré změny tak plynou ze změn v počtu příchozích věcí.</w:t>
      </w:r>
    </w:p>
    <w:p w14:paraId="47722ABF" w14:textId="0FCD42DA" w:rsidR="00013CB4" w:rsidRPr="00A00187" w:rsidRDefault="00013CB4" w:rsidP="00013CB4">
      <w:pPr>
        <w:pStyle w:val="Podnadpis"/>
        <w:rPr>
          <w:color w:val="auto"/>
        </w:rPr>
      </w:pPr>
      <w:bookmarkStart w:id="700" w:name="_Toc515871476"/>
      <w:bookmarkStart w:id="701" w:name="_Toc11133244"/>
      <w:bookmarkStart w:id="702" w:name="_Toc43931222"/>
      <w:bookmarkStart w:id="703" w:name="_Toc75952355"/>
      <w:bookmarkStart w:id="704" w:name="_Toc106106811"/>
      <w:bookmarkStart w:id="705" w:name="_Toc109802134"/>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49</w:t>
      </w:r>
      <w:r w:rsidRPr="00A00187">
        <w:rPr>
          <w:color w:val="auto"/>
        </w:rPr>
        <w:fldChar w:fldCharType="end"/>
      </w:r>
      <w:r w:rsidRPr="00A00187">
        <w:rPr>
          <w:color w:val="auto"/>
        </w:rPr>
        <w:t>: KS – vyřizování odvolacích civilních věcí dle soudů</w:t>
      </w:r>
      <w:bookmarkEnd w:id="700"/>
      <w:bookmarkEnd w:id="701"/>
      <w:bookmarkEnd w:id="702"/>
      <w:bookmarkEnd w:id="703"/>
      <w:bookmarkEnd w:id="704"/>
      <w:bookmarkEnd w:id="705"/>
    </w:p>
    <w:tbl>
      <w:tblPr>
        <w:tblW w:w="9260" w:type="dxa"/>
        <w:tblCellMar>
          <w:left w:w="70" w:type="dxa"/>
          <w:right w:w="70" w:type="dxa"/>
        </w:tblCellMar>
        <w:tblLook w:val="04A0" w:firstRow="1" w:lastRow="0" w:firstColumn="1" w:lastColumn="0" w:noHBand="0" w:noVBand="1"/>
      </w:tblPr>
      <w:tblGrid>
        <w:gridCol w:w="2036"/>
        <w:gridCol w:w="1128"/>
        <w:gridCol w:w="851"/>
        <w:gridCol w:w="1137"/>
        <w:gridCol w:w="809"/>
        <w:gridCol w:w="932"/>
        <w:gridCol w:w="851"/>
        <w:gridCol w:w="1516"/>
      </w:tblGrid>
      <w:tr w:rsidR="00AC1E67" w:rsidRPr="00A00187" w14:paraId="00E596EB" w14:textId="77777777" w:rsidTr="00013CB4">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7E9F08FB" w14:textId="0C15CE29" w:rsidR="00013CB4" w:rsidRPr="00A00187" w:rsidRDefault="00A8348B" w:rsidP="00013CB4">
            <w:pPr>
              <w:spacing w:line="240" w:lineRule="auto"/>
              <w:jc w:val="center"/>
              <w:rPr>
                <w:rFonts w:eastAsia="Times New Roman"/>
                <w:b/>
                <w:bCs/>
                <w:szCs w:val="24"/>
                <w:lang w:eastAsia="cs-CZ"/>
              </w:rPr>
            </w:pPr>
            <w:r w:rsidRPr="00A00187">
              <w:rPr>
                <w:rFonts w:eastAsia="Times New Roman"/>
                <w:b/>
                <w:bCs/>
                <w:szCs w:val="24"/>
                <w:lang w:eastAsia="cs-CZ"/>
              </w:rPr>
              <w:t>S</w:t>
            </w:r>
            <w:r w:rsidR="00013CB4" w:rsidRPr="00A00187">
              <w:rPr>
                <w:rFonts w:eastAsia="Times New Roman"/>
                <w:b/>
                <w:bCs/>
                <w:szCs w:val="24"/>
                <w:lang w:eastAsia="cs-CZ"/>
              </w:rPr>
              <w:t>oud</w:t>
            </w:r>
          </w:p>
        </w:tc>
        <w:tc>
          <w:tcPr>
            <w:tcW w:w="5708" w:type="dxa"/>
            <w:gridSpan w:val="6"/>
            <w:tcBorders>
              <w:top w:val="double" w:sz="6" w:space="0" w:color="auto"/>
              <w:left w:val="nil"/>
              <w:bottom w:val="nil"/>
              <w:right w:val="single" w:sz="4" w:space="0" w:color="000000"/>
            </w:tcBorders>
            <w:shd w:val="clear" w:color="auto" w:fill="auto"/>
            <w:noWrap/>
            <w:vAlign w:val="center"/>
            <w:hideMark/>
          </w:tcPr>
          <w:p w14:paraId="36288516" w14:textId="77777777"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vMerge w:val="restart"/>
            <w:tcBorders>
              <w:top w:val="double" w:sz="6" w:space="0" w:color="auto"/>
              <w:left w:val="nil"/>
              <w:bottom w:val="double" w:sz="6" w:space="0" w:color="000000"/>
              <w:right w:val="nil"/>
            </w:tcBorders>
            <w:shd w:val="clear" w:color="auto" w:fill="auto"/>
            <w:vAlign w:val="center"/>
            <w:hideMark/>
          </w:tcPr>
          <w:p w14:paraId="4B86793B" w14:textId="77777777"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6FEEAFFD" w14:textId="77777777" w:rsidTr="00013CB4">
        <w:trPr>
          <w:trHeight w:val="330"/>
        </w:trPr>
        <w:tc>
          <w:tcPr>
            <w:tcW w:w="2036" w:type="dxa"/>
            <w:vMerge/>
            <w:tcBorders>
              <w:top w:val="double" w:sz="6" w:space="0" w:color="auto"/>
              <w:left w:val="nil"/>
              <w:bottom w:val="double" w:sz="6" w:space="0" w:color="000000"/>
              <w:right w:val="nil"/>
            </w:tcBorders>
            <w:vAlign w:val="center"/>
            <w:hideMark/>
          </w:tcPr>
          <w:p w14:paraId="02DB579E" w14:textId="77777777" w:rsidR="00013CB4" w:rsidRPr="00A00187" w:rsidRDefault="00013CB4" w:rsidP="00013CB4">
            <w:pPr>
              <w:spacing w:line="240" w:lineRule="auto"/>
              <w:jc w:val="left"/>
              <w:rPr>
                <w:rFonts w:eastAsia="Times New Roman"/>
                <w:b/>
                <w:bCs/>
                <w:szCs w:val="24"/>
                <w:lang w:eastAsia="cs-CZ"/>
              </w:rPr>
            </w:pPr>
          </w:p>
        </w:tc>
        <w:tc>
          <w:tcPr>
            <w:tcW w:w="1979" w:type="dxa"/>
            <w:gridSpan w:val="2"/>
            <w:tcBorders>
              <w:top w:val="nil"/>
              <w:left w:val="nil"/>
              <w:bottom w:val="double" w:sz="6" w:space="0" w:color="auto"/>
              <w:right w:val="nil"/>
            </w:tcBorders>
            <w:shd w:val="clear" w:color="auto" w:fill="auto"/>
            <w:noWrap/>
            <w:vAlign w:val="center"/>
            <w:hideMark/>
          </w:tcPr>
          <w:p w14:paraId="33BCFC40" w14:textId="77777777"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4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425FCE6" w14:textId="77777777"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783" w:type="dxa"/>
            <w:gridSpan w:val="2"/>
            <w:tcBorders>
              <w:top w:val="nil"/>
              <w:left w:val="nil"/>
              <w:bottom w:val="double" w:sz="6" w:space="0" w:color="auto"/>
              <w:right w:val="single" w:sz="4" w:space="0" w:color="000000"/>
            </w:tcBorders>
            <w:shd w:val="clear" w:color="auto" w:fill="auto"/>
            <w:noWrap/>
            <w:vAlign w:val="center"/>
            <w:hideMark/>
          </w:tcPr>
          <w:p w14:paraId="7063E658" w14:textId="77777777"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vMerge/>
            <w:tcBorders>
              <w:top w:val="double" w:sz="6" w:space="0" w:color="auto"/>
              <w:left w:val="nil"/>
              <w:bottom w:val="double" w:sz="6" w:space="0" w:color="000000"/>
              <w:right w:val="nil"/>
            </w:tcBorders>
            <w:vAlign w:val="center"/>
            <w:hideMark/>
          </w:tcPr>
          <w:p w14:paraId="4388BE05" w14:textId="77777777" w:rsidR="00013CB4" w:rsidRPr="00A00187" w:rsidRDefault="00013CB4" w:rsidP="00013CB4">
            <w:pPr>
              <w:spacing w:line="240" w:lineRule="auto"/>
              <w:jc w:val="left"/>
              <w:rPr>
                <w:rFonts w:eastAsia="Times New Roman"/>
                <w:b/>
                <w:bCs/>
                <w:szCs w:val="24"/>
                <w:lang w:eastAsia="cs-CZ"/>
              </w:rPr>
            </w:pPr>
          </w:p>
        </w:tc>
      </w:tr>
      <w:tr w:rsidR="00AC1E67" w:rsidRPr="00A00187" w14:paraId="0FD2295A" w14:textId="77777777" w:rsidTr="00013CB4">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32E26583"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MS Praha</w:t>
            </w:r>
          </w:p>
        </w:tc>
        <w:tc>
          <w:tcPr>
            <w:tcW w:w="1128" w:type="dxa"/>
            <w:tcBorders>
              <w:top w:val="single" w:sz="4" w:space="0" w:color="auto"/>
              <w:left w:val="nil"/>
              <w:bottom w:val="single" w:sz="4" w:space="0" w:color="auto"/>
              <w:right w:val="nil"/>
            </w:tcBorders>
            <w:shd w:val="clear" w:color="auto" w:fill="auto"/>
            <w:noWrap/>
            <w:vAlign w:val="bottom"/>
            <w:hideMark/>
          </w:tcPr>
          <w:p w14:paraId="325D1BF2"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13 193</w:t>
            </w:r>
          </w:p>
        </w:tc>
        <w:tc>
          <w:tcPr>
            <w:tcW w:w="851" w:type="dxa"/>
            <w:tcBorders>
              <w:top w:val="single" w:sz="4" w:space="0" w:color="auto"/>
              <w:left w:val="nil"/>
              <w:bottom w:val="single" w:sz="4" w:space="0" w:color="auto"/>
              <w:right w:val="nil"/>
            </w:tcBorders>
            <w:shd w:val="clear" w:color="auto" w:fill="auto"/>
            <w:noWrap/>
            <w:vAlign w:val="center"/>
            <w:hideMark/>
          </w:tcPr>
          <w:p w14:paraId="3905E616" w14:textId="01DD5522"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137" w:type="dxa"/>
            <w:tcBorders>
              <w:top w:val="single" w:sz="4" w:space="0" w:color="auto"/>
              <w:left w:val="single" w:sz="4" w:space="0" w:color="auto"/>
              <w:bottom w:val="single" w:sz="4" w:space="0" w:color="auto"/>
              <w:right w:val="nil"/>
            </w:tcBorders>
            <w:shd w:val="clear" w:color="auto" w:fill="auto"/>
            <w:noWrap/>
            <w:vAlign w:val="bottom"/>
            <w:hideMark/>
          </w:tcPr>
          <w:p w14:paraId="3258A54C"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13 203</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0DCA1D25" w14:textId="60A3F7CA"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32" w:type="dxa"/>
            <w:tcBorders>
              <w:top w:val="single" w:sz="4" w:space="0" w:color="auto"/>
              <w:left w:val="nil"/>
              <w:bottom w:val="single" w:sz="4" w:space="0" w:color="auto"/>
              <w:right w:val="nil"/>
            </w:tcBorders>
            <w:shd w:val="clear" w:color="auto" w:fill="auto"/>
            <w:noWrap/>
            <w:vAlign w:val="bottom"/>
            <w:hideMark/>
          </w:tcPr>
          <w:p w14:paraId="1DCCC153"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1 646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3215F6C" w14:textId="18D8DE37"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42569D02" w14:textId="50E5300F"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100,1</w:t>
            </w:r>
            <w:r w:rsidR="00CB570A">
              <w:rPr>
                <w:rFonts w:eastAsia="Times New Roman"/>
                <w:szCs w:val="24"/>
                <w:lang w:eastAsia="cs-CZ"/>
              </w:rPr>
              <w:t> %</w:t>
            </w:r>
          </w:p>
        </w:tc>
      </w:tr>
      <w:tr w:rsidR="00AC1E67" w:rsidRPr="00A00187" w14:paraId="0D56E1DE" w14:textId="77777777" w:rsidTr="00013CB4">
        <w:trPr>
          <w:trHeight w:val="315"/>
        </w:trPr>
        <w:tc>
          <w:tcPr>
            <w:tcW w:w="2036" w:type="dxa"/>
            <w:tcBorders>
              <w:top w:val="nil"/>
              <w:left w:val="nil"/>
              <w:bottom w:val="single" w:sz="4" w:space="0" w:color="auto"/>
              <w:right w:val="nil"/>
            </w:tcBorders>
            <w:shd w:val="clear" w:color="auto" w:fill="auto"/>
            <w:noWrap/>
            <w:vAlign w:val="bottom"/>
            <w:hideMark/>
          </w:tcPr>
          <w:p w14:paraId="0C890A16"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KS Praha</w:t>
            </w:r>
          </w:p>
        </w:tc>
        <w:tc>
          <w:tcPr>
            <w:tcW w:w="1128" w:type="dxa"/>
            <w:tcBorders>
              <w:top w:val="nil"/>
              <w:left w:val="nil"/>
              <w:bottom w:val="single" w:sz="4" w:space="0" w:color="auto"/>
              <w:right w:val="nil"/>
            </w:tcBorders>
            <w:shd w:val="clear" w:color="auto" w:fill="auto"/>
            <w:noWrap/>
            <w:vAlign w:val="bottom"/>
            <w:hideMark/>
          </w:tcPr>
          <w:p w14:paraId="00549DCD" w14:textId="14C3DAA9"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5</w:t>
            </w:r>
            <w:r w:rsidR="00B74E34" w:rsidRPr="00A00187">
              <w:rPr>
                <w:rFonts w:eastAsia="Times New Roman"/>
                <w:szCs w:val="24"/>
                <w:lang w:eastAsia="cs-CZ"/>
              </w:rPr>
              <w:t xml:space="preserve"> </w:t>
            </w:r>
            <w:r w:rsidRPr="00A00187">
              <w:rPr>
                <w:rFonts w:eastAsia="Times New Roman"/>
                <w:szCs w:val="24"/>
                <w:lang w:eastAsia="cs-CZ"/>
              </w:rPr>
              <w:t>139</w:t>
            </w:r>
          </w:p>
        </w:tc>
        <w:tc>
          <w:tcPr>
            <w:tcW w:w="851" w:type="dxa"/>
            <w:tcBorders>
              <w:top w:val="nil"/>
              <w:left w:val="nil"/>
              <w:bottom w:val="single" w:sz="4" w:space="0" w:color="auto"/>
              <w:right w:val="nil"/>
            </w:tcBorders>
            <w:shd w:val="clear" w:color="auto" w:fill="auto"/>
            <w:noWrap/>
            <w:vAlign w:val="center"/>
            <w:hideMark/>
          </w:tcPr>
          <w:p w14:paraId="4936709A" w14:textId="36958315"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137" w:type="dxa"/>
            <w:tcBorders>
              <w:top w:val="nil"/>
              <w:left w:val="single" w:sz="4" w:space="0" w:color="auto"/>
              <w:bottom w:val="single" w:sz="4" w:space="0" w:color="auto"/>
              <w:right w:val="nil"/>
            </w:tcBorders>
            <w:shd w:val="clear" w:color="auto" w:fill="auto"/>
            <w:noWrap/>
            <w:vAlign w:val="bottom"/>
            <w:hideMark/>
          </w:tcPr>
          <w:p w14:paraId="488AA774" w14:textId="23E13FA2"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5</w:t>
            </w:r>
            <w:r w:rsidR="00B74E34" w:rsidRPr="00A00187">
              <w:rPr>
                <w:rFonts w:eastAsia="Times New Roman"/>
                <w:szCs w:val="24"/>
                <w:lang w:eastAsia="cs-CZ"/>
              </w:rPr>
              <w:t xml:space="preserve"> </w:t>
            </w:r>
            <w:r w:rsidRPr="00A00187">
              <w:rPr>
                <w:rFonts w:eastAsia="Times New Roman"/>
                <w:szCs w:val="24"/>
                <w:lang w:eastAsia="cs-CZ"/>
              </w:rPr>
              <w:t>238</w:t>
            </w:r>
          </w:p>
        </w:tc>
        <w:tc>
          <w:tcPr>
            <w:tcW w:w="809" w:type="dxa"/>
            <w:tcBorders>
              <w:top w:val="nil"/>
              <w:left w:val="nil"/>
              <w:bottom w:val="single" w:sz="4" w:space="0" w:color="auto"/>
              <w:right w:val="single" w:sz="4" w:space="0" w:color="auto"/>
            </w:tcBorders>
            <w:shd w:val="clear" w:color="auto" w:fill="auto"/>
            <w:noWrap/>
            <w:vAlign w:val="center"/>
            <w:hideMark/>
          </w:tcPr>
          <w:p w14:paraId="0A46D766" w14:textId="45CA1A78"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932" w:type="dxa"/>
            <w:tcBorders>
              <w:top w:val="nil"/>
              <w:left w:val="nil"/>
              <w:bottom w:val="single" w:sz="4" w:space="0" w:color="auto"/>
              <w:right w:val="nil"/>
            </w:tcBorders>
            <w:shd w:val="clear" w:color="auto" w:fill="auto"/>
            <w:noWrap/>
            <w:vAlign w:val="bottom"/>
            <w:hideMark/>
          </w:tcPr>
          <w:p w14:paraId="5AC217C1"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561</w:t>
            </w:r>
          </w:p>
        </w:tc>
        <w:tc>
          <w:tcPr>
            <w:tcW w:w="851" w:type="dxa"/>
            <w:tcBorders>
              <w:top w:val="nil"/>
              <w:left w:val="nil"/>
              <w:bottom w:val="single" w:sz="4" w:space="0" w:color="auto"/>
              <w:right w:val="single" w:sz="4" w:space="0" w:color="auto"/>
            </w:tcBorders>
            <w:shd w:val="clear" w:color="auto" w:fill="auto"/>
            <w:noWrap/>
            <w:vAlign w:val="center"/>
            <w:hideMark/>
          </w:tcPr>
          <w:p w14:paraId="63162DB0" w14:textId="70F191EE"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64E3AC53" w14:textId="6A96DD31"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101,9</w:t>
            </w:r>
            <w:r w:rsidR="00CB570A">
              <w:rPr>
                <w:rFonts w:eastAsia="Times New Roman"/>
                <w:szCs w:val="24"/>
                <w:lang w:eastAsia="cs-CZ"/>
              </w:rPr>
              <w:t> %</w:t>
            </w:r>
          </w:p>
        </w:tc>
      </w:tr>
      <w:tr w:rsidR="00AC1E67" w:rsidRPr="00A00187" w14:paraId="60DAF2A0" w14:textId="77777777" w:rsidTr="00013CB4">
        <w:trPr>
          <w:trHeight w:val="315"/>
        </w:trPr>
        <w:tc>
          <w:tcPr>
            <w:tcW w:w="2036" w:type="dxa"/>
            <w:tcBorders>
              <w:top w:val="nil"/>
              <w:left w:val="nil"/>
              <w:bottom w:val="single" w:sz="4" w:space="0" w:color="auto"/>
              <w:right w:val="nil"/>
            </w:tcBorders>
            <w:shd w:val="clear" w:color="auto" w:fill="auto"/>
            <w:noWrap/>
            <w:vAlign w:val="bottom"/>
            <w:hideMark/>
          </w:tcPr>
          <w:p w14:paraId="5923C2D6"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KS Č. Budějovice</w:t>
            </w:r>
          </w:p>
        </w:tc>
        <w:tc>
          <w:tcPr>
            <w:tcW w:w="1128" w:type="dxa"/>
            <w:tcBorders>
              <w:top w:val="nil"/>
              <w:left w:val="nil"/>
              <w:bottom w:val="single" w:sz="4" w:space="0" w:color="auto"/>
              <w:right w:val="nil"/>
            </w:tcBorders>
            <w:shd w:val="clear" w:color="auto" w:fill="auto"/>
            <w:noWrap/>
            <w:vAlign w:val="bottom"/>
            <w:hideMark/>
          </w:tcPr>
          <w:p w14:paraId="4BF666A1" w14:textId="38A8496E"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w:t>
            </w:r>
            <w:r w:rsidR="00B74E34" w:rsidRPr="00A00187">
              <w:rPr>
                <w:rFonts w:eastAsia="Times New Roman"/>
                <w:szCs w:val="24"/>
                <w:lang w:eastAsia="cs-CZ"/>
              </w:rPr>
              <w:t xml:space="preserve"> </w:t>
            </w:r>
            <w:r w:rsidRPr="00A00187">
              <w:rPr>
                <w:rFonts w:eastAsia="Times New Roman"/>
                <w:szCs w:val="24"/>
                <w:lang w:eastAsia="cs-CZ"/>
              </w:rPr>
              <w:t>905</w:t>
            </w:r>
          </w:p>
        </w:tc>
        <w:tc>
          <w:tcPr>
            <w:tcW w:w="851" w:type="dxa"/>
            <w:tcBorders>
              <w:top w:val="nil"/>
              <w:left w:val="nil"/>
              <w:bottom w:val="single" w:sz="4" w:space="0" w:color="auto"/>
              <w:right w:val="nil"/>
            </w:tcBorders>
            <w:shd w:val="clear" w:color="auto" w:fill="auto"/>
            <w:noWrap/>
            <w:vAlign w:val="center"/>
            <w:hideMark/>
          </w:tcPr>
          <w:p w14:paraId="46CC14FD" w14:textId="67E19A47"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137" w:type="dxa"/>
            <w:tcBorders>
              <w:top w:val="nil"/>
              <w:left w:val="single" w:sz="4" w:space="0" w:color="auto"/>
              <w:bottom w:val="single" w:sz="4" w:space="0" w:color="auto"/>
              <w:right w:val="nil"/>
            </w:tcBorders>
            <w:shd w:val="clear" w:color="auto" w:fill="auto"/>
            <w:noWrap/>
            <w:vAlign w:val="bottom"/>
            <w:hideMark/>
          </w:tcPr>
          <w:p w14:paraId="1E4E1A55" w14:textId="7084709E"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w:t>
            </w:r>
            <w:r w:rsidR="00B74E34" w:rsidRPr="00A00187">
              <w:rPr>
                <w:rFonts w:eastAsia="Times New Roman"/>
                <w:szCs w:val="24"/>
                <w:lang w:eastAsia="cs-CZ"/>
              </w:rPr>
              <w:t xml:space="preserve"> </w:t>
            </w:r>
            <w:r w:rsidRPr="00A00187">
              <w:rPr>
                <w:rFonts w:eastAsia="Times New Roman"/>
                <w:szCs w:val="24"/>
                <w:lang w:eastAsia="cs-CZ"/>
              </w:rPr>
              <w:t>932</w:t>
            </w:r>
          </w:p>
        </w:tc>
        <w:tc>
          <w:tcPr>
            <w:tcW w:w="809" w:type="dxa"/>
            <w:tcBorders>
              <w:top w:val="nil"/>
              <w:left w:val="nil"/>
              <w:bottom w:val="single" w:sz="4" w:space="0" w:color="auto"/>
              <w:right w:val="single" w:sz="4" w:space="0" w:color="auto"/>
            </w:tcBorders>
            <w:shd w:val="clear" w:color="auto" w:fill="auto"/>
            <w:noWrap/>
            <w:vAlign w:val="center"/>
            <w:hideMark/>
          </w:tcPr>
          <w:p w14:paraId="3555025A" w14:textId="7961EE38"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932" w:type="dxa"/>
            <w:tcBorders>
              <w:top w:val="nil"/>
              <w:left w:val="nil"/>
              <w:bottom w:val="single" w:sz="4" w:space="0" w:color="auto"/>
              <w:right w:val="nil"/>
            </w:tcBorders>
            <w:shd w:val="clear" w:color="auto" w:fill="auto"/>
            <w:noWrap/>
            <w:vAlign w:val="bottom"/>
            <w:hideMark/>
          </w:tcPr>
          <w:p w14:paraId="1947F783"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249</w:t>
            </w:r>
          </w:p>
        </w:tc>
        <w:tc>
          <w:tcPr>
            <w:tcW w:w="851" w:type="dxa"/>
            <w:tcBorders>
              <w:top w:val="nil"/>
              <w:left w:val="nil"/>
              <w:bottom w:val="single" w:sz="4" w:space="0" w:color="auto"/>
              <w:right w:val="single" w:sz="4" w:space="0" w:color="auto"/>
            </w:tcBorders>
            <w:shd w:val="clear" w:color="auto" w:fill="auto"/>
            <w:noWrap/>
            <w:vAlign w:val="center"/>
            <w:hideMark/>
          </w:tcPr>
          <w:p w14:paraId="78EF14A2" w14:textId="4BC079F3"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06F785F6" w14:textId="2840918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101,4</w:t>
            </w:r>
            <w:r w:rsidR="00CB570A">
              <w:rPr>
                <w:rFonts w:eastAsia="Times New Roman"/>
                <w:szCs w:val="24"/>
                <w:lang w:eastAsia="cs-CZ"/>
              </w:rPr>
              <w:t> %</w:t>
            </w:r>
          </w:p>
        </w:tc>
      </w:tr>
      <w:tr w:rsidR="00AC1E67" w:rsidRPr="00A00187" w14:paraId="7290CFEE" w14:textId="77777777" w:rsidTr="00013CB4">
        <w:trPr>
          <w:trHeight w:val="315"/>
        </w:trPr>
        <w:tc>
          <w:tcPr>
            <w:tcW w:w="2036" w:type="dxa"/>
            <w:tcBorders>
              <w:top w:val="nil"/>
              <w:left w:val="nil"/>
              <w:bottom w:val="single" w:sz="4" w:space="0" w:color="auto"/>
              <w:right w:val="nil"/>
            </w:tcBorders>
            <w:shd w:val="clear" w:color="auto" w:fill="auto"/>
            <w:noWrap/>
            <w:vAlign w:val="bottom"/>
            <w:hideMark/>
          </w:tcPr>
          <w:p w14:paraId="4A9AD02C"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KS Plzeň</w:t>
            </w:r>
          </w:p>
        </w:tc>
        <w:tc>
          <w:tcPr>
            <w:tcW w:w="1128" w:type="dxa"/>
            <w:tcBorders>
              <w:top w:val="nil"/>
              <w:left w:val="nil"/>
              <w:bottom w:val="single" w:sz="4" w:space="0" w:color="auto"/>
              <w:right w:val="nil"/>
            </w:tcBorders>
            <w:shd w:val="clear" w:color="auto" w:fill="auto"/>
            <w:noWrap/>
            <w:vAlign w:val="bottom"/>
            <w:hideMark/>
          </w:tcPr>
          <w:p w14:paraId="3030FEFA" w14:textId="2B15D81B"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2</w:t>
            </w:r>
            <w:r w:rsidR="00B74E34" w:rsidRPr="00A00187">
              <w:rPr>
                <w:rFonts w:eastAsia="Times New Roman"/>
                <w:szCs w:val="24"/>
                <w:lang w:eastAsia="cs-CZ"/>
              </w:rPr>
              <w:t xml:space="preserve"> </w:t>
            </w:r>
            <w:r w:rsidRPr="00A00187">
              <w:rPr>
                <w:rFonts w:eastAsia="Times New Roman"/>
                <w:szCs w:val="24"/>
                <w:lang w:eastAsia="cs-CZ"/>
              </w:rPr>
              <w:t>943</w:t>
            </w:r>
          </w:p>
        </w:tc>
        <w:tc>
          <w:tcPr>
            <w:tcW w:w="851" w:type="dxa"/>
            <w:tcBorders>
              <w:top w:val="nil"/>
              <w:left w:val="nil"/>
              <w:bottom w:val="single" w:sz="4" w:space="0" w:color="auto"/>
              <w:right w:val="nil"/>
            </w:tcBorders>
            <w:shd w:val="clear" w:color="auto" w:fill="auto"/>
            <w:noWrap/>
            <w:vAlign w:val="center"/>
            <w:hideMark/>
          </w:tcPr>
          <w:p w14:paraId="62B2923D" w14:textId="501B589D"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137" w:type="dxa"/>
            <w:tcBorders>
              <w:top w:val="nil"/>
              <w:left w:val="single" w:sz="4" w:space="0" w:color="auto"/>
              <w:bottom w:val="single" w:sz="4" w:space="0" w:color="auto"/>
              <w:right w:val="nil"/>
            </w:tcBorders>
            <w:shd w:val="clear" w:color="auto" w:fill="auto"/>
            <w:noWrap/>
            <w:vAlign w:val="bottom"/>
            <w:hideMark/>
          </w:tcPr>
          <w:p w14:paraId="77A10AB2" w14:textId="6DB915C1"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2</w:t>
            </w:r>
            <w:r w:rsidR="00B74E34" w:rsidRPr="00A00187">
              <w:rPr>
                <w:rFonts w:eastAsia="Times New Roman"/>
                <w:szCs w:val="24"/>
                <w:lang w:eastAsia="cs-CZ"/>
              </w:rPr>
              <w:t xml:space="preserve"> </w:t>
            </w:r>
            <w:r w:rsidRPr="00A00187">
              <w:rPr>
                <w:rFonts w:eastAsia="Times New Roman"/>
                <w:szCs w:val="24"/>
                <w:lang w:eastAsia="cs-CZ"/>
              </w:rPr>
              <w:t>946</w:t>
            </w:r>
          </w:p>
        </w:tc>
        <w:tc>
          <w:tcPr>
            <w:tcW w:w="809" w:type="dxa"/>
            <w:tcBorders>
              <w:top w:val="nil"/>
              <w:left w:val="nil"/>
              <w:bottom w:val="single" w:sz="4" w:space="0" w:color="auto"/>
              <w:right w:val="single" w:sz="4" w:space="0" w:color="auto"/>
            </w:tcBorders>
            <w:shd w:val="clear" w:color="auto" w:fill="auto"/>
            <w:noWrap/>
            <w:vAlign w:val="center"/>
            <w:hideMark/>
          </w:tcPr>
          <w:p w14:paraId="78243503" w14:textId="1D686047"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932" w:type="dxa"/>
            <w:tcBorders>
              <w:top w:val="nil"/>
              <w:left w:val="nil"/>
              <w:bottom w:val="single" w:sz="4" w:space="0" w:color="auto"/>
              <w:right w:val="nil"/>
            </w:tcBorders>
            <w:shd w:val="clear" w:color="auto" w:fill="auto"/>
            <w:noWrap/>
            <w:vAlign w:val="bottom"/>
            <w:hideMark/>
          </w:tcPr>
          <w:p w14:paraId="2012B917"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347</w:t>
            </w:r>
          </w:p>
        </w:tc>
        <w:tc>
          <w:tcPr>
            <w:tcW w:w="851" w:type="dxa"/>
            <w:tcBorders>
              <w:top w:val="nil"/>
              <w:left w:val="nil"/>
              <w:bottom w:val="single" w:sz="4" w:space="0" w:color="auto"/>
              <w:right w:val="single" w:sz="4" w:space="0" w:color="auto"/>
            </w:tcBorders>
            <w:shd w:val="clear" w:color="auto" w:fill="auto"/>
            <w:noWrap/>
            <w:vAlign w:val="center"/>
            <w:hideMark/>
          </w:tcPr>
          <w:p w14:paraId="09536AB8" w14:textId="33A1D1F3"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6031D3A2" w14:textId="3A49D603"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100,1</w:t>
            </w:r>
            <w:r w:rsidR="00CB570A">
              <w:rPr>
                <w:rFonts w:eastAsia="Times New Roman"/>
                <w:szCs w:val="24"/>
                <w:lang w:eastAsia="cs-CZ"/>
              </w:rPr>
              <w:t> %</w:t>
            </w:r>
          </w:p>
        </w:tc>
      </w:tr>
      <w:tr w:rsidR="00AC1E67" w:rsidRPr="00A00187" w14:paraId="43903097" w14:textId="77777777" w:rsidTr="00013CB4">
        <w:trPr>
          <w:trHeight w:val="315"/>
        </w:trPr>
        <w:tc>
          <w:tcPr>
            <w:tcW w:w="2036" w:type="dxa"/>
            <w:tcBorders>
              <w:top w:val="nil"/>
              <w:left w:val="nil"/>
              <w:bottom w:val="single" w:sz="4" w:space="0" w:color="auto"/>
              <w:right w:val="nil"/>
            </w:tcBorders>
            <w:shd w:val="clear" w:color="auto" w:fill="auto"/>
            <w:noWrap/>
            <w:vAlign w:val="bottom"/>
            <w:hideMark/>
          </w:tcPr>
          <w:p w14:paraId="3885D4BF"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KS Ústí n. Labem</w:t>
            </w:r>
          </w:p>
        </w:tc>
        <w:tc>
          <w:tcPr>
            <w:tcW w:w="1128" w:type="dxa"/>
            <w:tcBorders>
              <w:top w:val="nil"/>
              <w:left w:val="nil"/>
              <w:bottom w:val="single" w:sz="4" w:space="0" w:color="auto"/>
              <w:right w:val="nil"/>
            </w:tcBorders>
            <w:shd w:val="clear" w:color="auto" w:fill="auto"/>
            <w:noWrap/>
            <w:vAlign w:val="bottom"/>
            <w:hideMark/>
          </w:tcPr>
          <w:p w14:paraId="013F83D3" w14:textId="001040CE"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3</w:t>
            </w:r>
            <w:r w:rsidR="00B74E34" w:rsidRPr="00A00187">
              <w:rPr>
                <w:rFonts w:eastAsia="Times New Roman"/>
                <w:szCs w:val="24"/>
                <w:lang w:eastAsia="cs-CZ"/>
              </w:rPr>
              <w:t xml:space="preserve"> </w:t>
            </w:r>
            <w:r w:rsidRPr="00A00187">
              <w:rPr>
                <w:rFonts w:eastAsia="Times New Roman"/>
                <w:szCs w:val="24"/>
                <w:lang w:eastAsia="cs-CZ"/>
              </w:rPr>
              <w:t>963</w:t>
            </w:r>
          </w:p>
        </w:tc>
        <w:tc>
          <w:tcPr>
            <w:tcW w:w="851" w:type="dxa"/>
            <w:tcBorders>
              <w:top w:val="nil"/>
              <w:left w:val="nil"/>
              <w:bottom w:val="single" w:sz="4" w:space="0" w:color="auto"/>
              <w:right w:val="nil"/>
            </w:tcBorders>
            <w:shd w:val="clear" w:color="auto" w:fill="auto"/>
            <w:noWrap/>
            <w:vAlign w:val="center"/>
            <w:hideMark/>
          </w:tcPr>
          <w:p w14:paraId="7CB0E05C" w14:textId="5AF06ADD"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137" w:type="dxa"/>
            <w:tcBorders>
              <w:top w:val="nil"/>
              <w:left w:val="single" w:sz="4" w:space="0" w:color="auto"/>
              <w:bottom w:val="single" w:sz="4" w:space="0" w:color="auto"/>
              <w:right w:val="nil"/>
            </w:tcBorders>
            <w:shd w:val="clear" w:color="auto" w:fill="auto"/>
            <w:noWrap/>
            <w:vAlign w:val="bottom"/>
            <w:hideMark/>
          </w:tcPr>
          <w:p w14:paraId="289C17CB" w14:textId="06365720"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4</w:t>
            </w:r>
            <w:r w:rsidR="00B74E34" w:rsidRPr="00A00187">
              <w:rPr>
                <w:rFonts w:eastAsia="Times New Roman"/>
                <w:szCs w:val="24"/>
                <w:lang w:eastAsia="cs-CZ"/>
              </w:rPr>
              <w:t xml:space="preserve"> </w:t>
            </w:r>
            <w:r w:rsidRPr="00A00187">
              <w:rPr>
                <w:rFonts w:eastAsia="Times New Roman"/>
                <w:szCs w:val="24"/>
                <w:lang w:eastAsia="cs-CZ"/>
              </w:rPr>
              <w:t>024</w:t>
            </w:r>
          </w:p>
        </w:tc>
        <w:tc>
          <w:tcPr>
            <w:tcW w:w="809" w:type="dxa"/>
            <w:tcBorders>
              <w:top w:val="nil"/>
              <w:left w:val="nil"/>
              <w:bottom w:val="single" w:sz="4" w:space="0" w:color="auto"/>
              <w:right w:val="single" w:sz="4" w:space="0" w:color="auto"/>
            </w:tcBorders>
            <w:shd w:val="clear" w:color="auto" w:fill="auto"/>
            <w:noWrap/>
            <w:vAlign w:val="center"/>
            <w:hideMark/>
          </w:tcPr>
          <w:p w14:paraId="07499B32" w14:textId="48801076"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932" w:type="dxa"/>
            <w:tcBorders>
              <w:top w:val="nil"/>
              <w:left w:val="nil"/>
              <w:bottom w:val="single" w:sz="4" w:space="0" w:color="auto"/>
              <w:right w:val="nil"/>
            </w:tcBorders>
            <w:shd w:val="clear" w:color="auto" w:fill="auto"/>
            <w:noWrap/>
            <w:vAlign w:val="bottom"/>
            <w:hideMark/>
          </w:tcPr>
          <w:p w14:paraId="2DD3757A"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936</w:t>
            </w:r>
          </w:p>
        </w:tc>
        <w:tc>
          <w:tcPr>
            <w:tcW w:w="851" w:type="dxa"/>
            <w:tcBorders>
              <w:top w:val="nil"/>
              <w:left w:val="nil"/>
              <w:bottom w:val="single" w:sz="4" w:space="0" w:color="auto"/>
              <w:right w:val="single" w:sz="4" w:space="0" w:color="auto"/>
            </w:tcBorders>
            <w:shd w:val="clear" w:color="auto" w:fill="auto"/>
            <w:noWrap/>
            <w:vAlign w:val="center"/>
            <w:hideMark/>
          </w:tcPr>
          <w:p w14:paraId="244E9886" w14:textId="6589CC66"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63DFFED" w14:textId="4CE70A58"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101,5</w:t>
            </w:r>
            <w:r w:rsidR="00CB570A">
              <w:rPr>
                <w:rFonts w:eastAsia="Times New Roman"/>
                <w:szCs w:val="24"/>
                <w:lang w:eastAsia="cs-CZ"/>
              </w:rPr>
              <w:t> %</w:t>
            </w:r>
          </w:p>
        </w:tc>
      </w:tr>
      <w:tr w:rsidR="00AC1E67" w:rsidRPr="00A00187" w14:paraId="08BA2E07" w14:textId="77777777" w:rsidTr="00013CB4">
        <w:trPr>
          <w:trHeight w:val="315"/>
        </w:trPr>
        <w:tc>
          <w:tcPr>
            <w:tcW w:w="2036" w:type="dxa"/>
            <w:tcBorders>
              <w:top w:val="nil"/>
              <w:left w:val="nil"/>
              <w:bottom w:val="single" w:sz="4" w:space="0" w:color="auto"/>
              <w:right w:val="nil"/>
            </w:tcBorders>
            <w:shd w:val="clear" w:color="auto" w:fill="auto"/>
            <w:noWrap/>
            <w:vAlign w:val="bottom"/>
            <w:hideMark/>
          </w:tcPr>
          <w:p w14:paraId="0DA4F6B0"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KS Hr. Králové</w:t>
            </w:r>
          </w:p>
        </w:tc>
        <w:tc>
          <w:tcPr>
            <w:tcW w:w="1128" w:type="dxa"/>
            <w:tcBorders>
              <w:top w:val="nil"/>
              <w:left w:val="nil"/>
              <w:bottom w:val="single" w:sz="4" w:space="0" w:color="auto"/>
              <w:right w:val="nil"/>
            </w:tcBorders>
            <w:shd w:val="clear" w:color="auto" w:fill="auto"/>
            <w:noWrap/>
            <w:vAlign w:val="bottom"/>
            <w:hideMark/>
          </w:tcPr>
          <w:p w14:paraId="0C986BA6" w14:textId="0A92CCC5"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3</w:t>
            </w:r>
            <w:r w:rsidR="00B74E34" w:rsidRPr="00A00187">
              <w:rPr>
                <w:rFonts w:eastAsia="Times New Roman"/>
                <w:szCs w:val="24"/>
                <w:lang w:eastAsia="cs-CZ"/>
              </w:rPr>
              <w:t xml:space="preserve"> </w:t>
            </w:r>
            <w:r w:rsidRPr="00A00187">
              <w:rPr>
                <w:rFonts w:eastAsia="Times New Roman"/>
                <w:szCs w:val="24"/>
                <w:lang w:eastAsia="cs-CZ"/>
              </w:rPr>
              <w:t>327</w:t>
            </w:r>
          </w:p>
        </w:tc>
        <w:tc>
          <w:tcPr>
            <w:tcW w:w="851" w:type="dxa"/>
            <w:tcBorders>
              <w:top w:val="nil"/>
              <w:left w:val="nil"/>
              <w:bottom w:val="single" w:sz="4" w:space="0" w:color="auto"/>
              <w:right w:val="nil"/>
            </w:tcBorders>
            <w:shd w:val="clear" w:color="auto" w:fill="auto"/>
            <w:noWrap/>
            <w:vAlign w:val="center"/>
            <w:hideMark/>
          </w:tcPr>
          <w:p w14:paraId="4E666B23" w14:textId="38AF0DAB"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137" w:type="dxa"/>
            <w:tcBorders>
              <w:top w:val="nil"/>
              <w:left w:val="single" w:sz="4" w:space="0" w:color="auto"/>
              <w:bottom w:val="single" w:sz="4" w:space="0" w:color="auto"/>
              <w:right w:val="nil"/>
            </w:tcBorders>
            <w:shd w:val="clear" w:color="auto" w:fill="auto"/>
            <w:noWrap/>
            <w:vAlign w:val="bottom"/>
            <w:hideMark/>
          </w:tcPr>
          <w:p w14:paraId="4A290185" w14:textId="557F0D84"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3</w:t>
            </w:r>
            <w:r w:rsidR="00B74E34" w:rsidRPr="00A00187">
              <w:rPr>
                <w:rFonts w:eastAsia="Times New Roman"/>
                <w:szCs w:val="24"/>
                <w:lang w:eastAsia="cs-CZ"/>
              </w:rPr>
              <w:t xml:space="preserve"> </w:t>
            </w:r>
            <w:r w:rsidRPr="00A00187">
              <w:rPr>
                <w:rFonts w:eastAsia="Times New Roman"/>
                <w:szCs w:val="24"/>
                <w:lang w:eastAsia="cs-CZ"/>
              </w:rPr>
              <w:t>346</w:t>
            </w:r>
          </w:p>
        </w:tc>
        <w:tc>
          <w:tcPr>
            <w:tcW w:w="809" w:type="dxa"/>
            <w:tcBorders>
              <w:top w:val="nil"/>
              <w:left w:val="nil"/>
              <w:bottom w:val="single" w:sz="4" w:space="0" w:color="auto"/>
              <w:right w:val="single" w:sz="4" w:space="0" w:color="auto"/>
            </w:tcBorders>
            <w:shd w:val="clear" w:color="auto" w:fill="auto"/>
            <w:noWrap/>
            <w:vAlign w:val="center"/>
            <w:hideMark/>
          </w:tcPr>
          <w:p w14:paraId="222C230F" w14:textId="1DC1A956"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932" w:type="dxa"/>
            <w:tcBorders>
              <w:top w:val="nil"/>
              <w:left w:val="nil"/>
              <w:bottom w:val="single" w:sz="4" w:space="0" w:color="auto"/>
              <w:right w:val="nil"/>
            </w:tcBorders>
            <w:shd w:val="clear" w:color="auto" w:fill="auto"/>
            <w:noWrap/>
            <w:vAlign w:val="bottom"/>
            <w:hideMark/>
          </w:tcPr>
          <w:p w14:paraId="1249C4D4" w14:textId="77777777"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392</w:t>
            </w:r>
          </w:p>
        </w:tc>
        <w:tc>
          <w:tcPr>
            <w:tcW w:w="851" w:type="dxa"/>
            <w:tcBorders>
              <w:top w:val="nil"/>
              <w:left w:val="nil"/>
              <w:bottom w:val="single" w:sz="4" w:space="0" w:color="auto"/>
              <w:right w:val="single" w:sz="4" w:space="0" w:color="auto"/>
            </w:tcBorders>
            <w:shd w:val="clear" w:color="auto" w:fill="auto"/>
            <w:noWrap/>
            <w:vAlign w:val="center"/>
            <w:hideMark/>
          </w:tcPr>
          <w:p w14:paraId="3310AC58" w14:textId="308CF0DC"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21B06FB5" w14:textId="7F12DC88"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100,6</w:t>
            </w:r>
            <w:r w:rsidR="00CB570A">
              <w:rPr>
                <w:rFonts w:eastAsia="Times New Roman"/>
                <w:szCs w:val="24"/>
                <w:lang w:eastAsia="cs-CZ"/>
              </w:rPr>
              <w:t> %</w:t>
            </w:r>
          </w:p>
        </w:tc>
      </w:tr>
      <w:tr w:rsidR="00AC1E67" w:rsidRPr="00A00187" w14:paraId="7CCA18EC" w14:textId="77777777" w:rsidTr="00013CB4">
        <w:trPr>
          <w:trHeight w:val="315"/>
        </w:trPr>
        <w:tc>
          <w:tcPr>
            <w:tcW w:w="2036" w:type="dxa"/>
            <w:tcBorders>
              <w:top w:val="nil"/>
              <w:left w:val="nil"/>
              <w:bottom w:val="single" w:sz="4" w:space="0" w:color="auto"/>
              <w:right w:val="nil"/>
            </w:tcBorders>
            <w:shd w:val="clear" w:color="auto" w:fill="auto"/>
            <w:noWrap/>
            <w:vAlign w:val="bottom"/>
            <w:hideMark/>
          </w:tcPr>
          <w:p w14:paraId="698469A7"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KS Brno</w:t>
            </w:r>
          </w:p>
        </w:tc>
        <w:tc>
          <w:tcPr>
            <w:tcW w:w="1128" w:type="dxa"/>
            <w:tcBorders>
              <w:top w:val="nil"/>
              <w:left w:val="nil"/>
              <w:bottom w:val="single" w:sz="4" w:space="0" w:color="auto"/>
              <w:right w:val="nil"/>
            </w:tcBorders>
            <w:shd w:val="clear" w:color="auto" w:fill="auto"/>
            <w:noWrap/>
            <w:vAlign w:val="bottom"/>
            <w:hideMark/>
          </w:tcPr>
          <w:p w14:paraId="17D624D4" w14:textId="3CC6624E"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6</w:t>
            </w:r>
            <w:r w:rsidR="00B74E34" w:rsidRPr="00A00187">
              <w:rPr>
                <w:rFonts w:eastAsia="Times New Roman"/>
                <w:szCs w:val="24"/>
                <w:lang w:eastAsia="cs-CZ"/>
              </w:rPr>
              <w:t xml:space="preserve"> </w:t>
            </w:r>
            <w:r w:rsidRPr="00A00187">
              <w:rPr>
                <w:rFonts w:eastAsia="Times New Roman"/>
                <w:szCs w:val="24"/>
                <w:lang w:eastAsia="cs-CZ"/>
              </w:rPr>
              <w:t>244</w:t>
            </w:r>
          </w:p>
        </w:tc>
        <w:tc>
          <w:tcPr>
            <w:tcW w:w="851" w:type="dxa"/>
            <w:tcBorders>
              <w:top w:val="nil"/>
              <w:left w:val="nil"/>
              <w:bottom w:val="single" w:sz="4" w:space="0" w:color="auto"/>
              <w:right w:val="nil"/>
            </w:tcBorders>
            <w:shd w:val="clear" w:color="auto" w:fill="auto"/>
            <w:noWrap/>
            <w:vAlign w:val="center"/>
            <w:hideMark/>
          </w:tcPr>
          <w:p w14:paraId="0D4FA7D8" w14:textId="4113295A"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137" w:type="dxa"/>
            <w:tcBorders>
              <w:top w:val="nil"/>
              <w:left w:val="single" w:sz="4" w:space="0" w:color="auto"/>
              <w:bottom w:val="single" w:sz="4" w:space="0" w:color="auto"/>
              <w:right w:val="nil"/>
            </w:tcBorders>
            <w:shd w:val="clear" w:color="auto" w:fill="auto"/>
            <w:noWrap/>
            <w:vAlign w:val="bottom"/>
            <w:hideMark/>
          </w:tcPr>
          <w:p w14:paraId="43E6C03E" w14:textId="45C94594"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6</w:t>
            </w:r>
            <w:r w:rsidR="00B74E34" w:rsidRPr="00A00187">
              <w:rPr>
                <w:rFonts w:eastAsia="Times New Roman"/>
                <w:szCs w:val="24"/>
                <w:lang w:eastAsia="cs-CZ"/>
              </w:rPr>
              <w:t xml:space="preserve"> </w:t>
            </w:r>
            <w:r w:rsidRPr="00A00187">
              <w:rPr>
                <w:rFonts w:eastAsia="Times New Roman"/>
                <w:szCs w:val="24"/>
                <w:lang w:eastAsia="cs-CZ"/>
              </w:rPr>
              <w:t>608</w:t>
            </w:r>
          </w:p>
        </w:tc>
        <w:tc>
          <w:tcPr>
            <w:tcW w:w="809" w:type="dxa"/>
            <w:tcBorders>
              <w:top w:val="nil"/>
              <w:left w:val="nil"/>
              <w:bottom w:val="single" w:sz="4" w:space="0" w:color="auto"/>
              <w:right w:val="single" w:sz="4" w:space="0" w:color="auto"/>
            </w:tcBorders>
            <w:shd w:val="clear" w:color="auto" w:fill="auto"/>
            <w:noWrap/>
            <w:vAlign w:val="center"/>
            <w:hideMark/>
          </w:tcPr>
          <w:p w14:paraId="0669DBE6" w14:textId="2D9F0CC9"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932" w:type="dxa"/>
            <w:tcBorders>
              <w:top w:val="nil"/>
              <w:left w:val="nil"/>
              <w:bottom w:val="single" w:sz="4" w:space="0" w:color="auto"/>
              <w:right w:val="nil"/>
            </w:tcBorders>
            <w:shd w:val="clear" w:color="auto" w:fill="auto"/>
            <w:noWrap/>
            <w:vAlign w:val="bottom"/>
            <w:hideMark/>
          </w:tcPr>
          <w:p w14:paraId="2625C413" w14:textId="1352E26D"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2</w:t>
            </w:r>
            <w:r w:rsidR="00B74E34" w:rsidRPr="00A00187">
              <w:rPr>
                <w:rFonts w:eastAsia="Times New Roman"/>
                <w:szCs w:val="24"/>
                <w:lang w:eastAsia="cs-CZ"/>
              </w:rPr>
              <w:t xml:space="preserve"> </w:t>
            </w:r>
            <w:r w:rsidRPr="00A00187">
              <w:rPr>
                <w:rFonts w:eastAsia="Times New Roman"/>
                <w:szCs w:val="24"/>
                <w:lang w:eastAsia="cs-CZ"/>
              </w:rPr>
              <w:t>173</w:t>
            </w:r>
          </w:p>
        </w:tc>
        <w:tc>
          <w:tcPr>
            <w:tcW w:w="851" w:type="dxa"/>
            <w:tcBorders>
              <w:top w:val="nil"/>
              <w:left w:val="nil"/>
              <w:bottom w:val="single" w:sz="4" w:space="0" w:color="auto"/>
              <w:right w:val="single" w:sz="4" w:space="0" w:color="auto"/>
            </w:tcBorders>
            <w:shd w:val="clear" w:color="auto" w:fill="auto"/>
            <w:noWrap/>
            <w:vAlign w:val="center"/>
            <w:hideMark/>
          </w:tcPr>
          <w:p w14:paraId="11DFC540" w14:textId="0796644D"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09EF281" w14:textId="27583E21"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105,8</w:t>
            </w:r>
            <w:r w:rsidR="00CB570A">
              <w:rPr>
                <w:rFonts w:eastAsia="Times New Roman"/>
                <w:szCs w:val="24"/>
                <w:lang w:eastAsia="cs-CZ"/>
              </w:rPr>
              <w:t> %</w:t>
            </w:r>
          </w:p>
        </w:tc>
      </w:tr>
      <w:tr w:rsidR="00AC1E67" w:rsidRPr="00A00187" w14:paraId="77EB1711" w14:textId="77777777" w:rsidTr="00013CB4">
        <w:trPr>
          <w:trHeight w:val="330"/>
        </w:trPr>
        <w:tc>
          <w:tcPr>
            <w:tcW w:w="2036" w:type="dxa"/>
            <w:tcBorders>
              <w:top w:val="nil"/>
              <w:left w:val="nil"/>
              <w:bottom w:val="double" w:sz="6" w:space="0" w:color="auto"/>
              <w:right w:val="nil"/>
            </w:tcBorders>
            <w:shd w:val="clear" w:color="auto" w:fill="auto"/>
            <w:noWrap/>
            <w:vAlign w:val="bottom"/>
            <w:hideMark/>
          </w:tcPr>
          <w:p w14:paraId="702B22AC" w14:textId="77777777" w:rsidR="00013CB4" w:rsidRPr="00A00187" w:rsidRDefault="00013CB4" w:rsidP="00013CB4">
            <w:pPr>
              <w:spacing w:line="240" w:lineRule="auto"/>
              <w:jc w:val="left"/>
              <w:rPr>
                <w:rFonts w:eastAsia="Times New Roman"/>
                <w:szCs w:val="24"/>
                <w:lang w:eastAsia="cs-CZ"/>
              </w:rPr>
            </w:pPr>
            <w:r w:rsidRPr="00A00187">
              <w:rPr>
                <w:rFonts w:eastAsia="Times New Roman"/>
                <w:szCs w:val="24"/>
                <w:lang w:eastAsia="cs-CZ"/>
              </w:rPr>
              <w:t>KS Ostrava</w:t>
            </w:r>
          </w:p>
        </w:tc>
        <w:tc>
          <w:tcPr>
            <w:tcW w:w="1128" w:type="dxa"/>
            <w:tcBorders>
              <w:top w:val="nil"/>
              <w:left w:val="nil"/>
              <w:bottom w:val="double" w:sz="6" w:space="0" w:color="auto"/>
              <w:right w:val="nil"/>
            </w:tcBorders>
            <w:shd w:val="clear" w:color="auto" w:fill="auto"/>
            <w:noWrap/>
            <w:vAlign w:val="bottom"/>
            <w:hideMark/>
          </w:tcPr>
          <w:p w14:paraId="41DE13F3" w14:textId="21B62F6F"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6</w:t>
            </w:r>
            <w:r w:rsidR="00B74E34" w:rsidRPr="00A00187">
              <w:rPr>
                <w:rFonts w:eastAsia="Times New Roman"/>
                <w:szCs w:val="24"/>
                <w:lang w:eastAsia="cs-CZ"/>
              </w:rPr>
              <w:t xml:space="preserve"> </w:t>
            </w:r>
            <w:r w:rsidRPr="00A00187">
              <w:rPr>
                <w:rFonts w:eastAsia="Times New Roman"/>
                <w:szCs w:val="24"/>
                <w:lang w:eastAsia="cs-CZ"/>
              </w:rPr>
              <w:t>324</w:t>
            </w:r>
          </w:p>
        </w:tc>
        <w:tc>
          <w:tcPr>
            <w:tcW w:w="851" w:type="dxa"/>
            <w:tcBorders>
              <w:top w:val="nil"/>
              <w:left w:val="nil"/>
              <w:bottom w:val="double" w:sz="6" w:space="0" w:color="auto"/>
              <w:right w:val="nil"/>
            </w:tcBorders>
            <w:shd w:val="clear" w:color="auto" w:fill="auto"/>
            <w:noWrap/>
            <w:vAlign w:val="center"/>
            <w:hideMark/>
          </w:tcPr>
          <w:p w14:paraId="7FB027AB" w14:textId="5DBD8740"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1137" w:type="dxa"/>
            <w:tcBorders>
              <w:top w:val="nil"/>
              <w:left w:val="single" w:sz="4" w:space="0" w:color="auto"/>
              <w:bottom w:val="double" w:sz="6" w:space="0" w:color="auto"/>
              <w:right w:val="nil"/>
            </w:tcBorders>
            <w:shd w:val="clear" w:color="auto" w:fill="auto"/>
            <w:noWrap/>
            <w:vAlign w:val="bottom"/>
            <w:hideMark/>
          </w:tcPr>
          <w:p w14:paraId="23EEB585" w14:textId="2C0E9079"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7</w:t>
            </w:r>
            <w:r w:rsidR="00B74E34" w:rsidRPr="00A00187">
              <w:rPr>
                <w:rFonts w:eastAsia="Times New Roman"/>
                <w:szCs w:val="24"/>
                <w:lang w:eastAsia="cs-CZ"/>
              </w:rPr>
              <w:t xml:space="preserve"> </w:t>
            </w:r>
            <w:r w:rsidRPr="00A00187">
              <w:rPr>
                <w:rFonts w:eastAsia="Times New Roman"/>
                <w:szCs w:val="24"/>
                <w:lang w:eastAsia="cs-CZ"/>
              </w:rPr>
              <w:t>211</w:t>
            </w:r>
          </w:p>
        </w:tc>
        <w:tc>
          <w:tcPr>
            <w:tcW w:w="809" w:type="dxa"/>
            <w:tcBorders>
              <w:top w:val="nil"/>
              <w:left w:val="nil"/>
              <w:bottom w:val="double" w:sz="6" w:space="0" w:color="auto"/>
              <w:right w:val="single" w:sz="4" w:space="0" w:color="auto"/>
            </w:tcBorders>
            <w:shd w:val="clear" w:color="auto" w:fill="auto"/>
            <w:noWrap/>
            <w:vAlign w:val="center"/>
            <w:hideMark/>
          </w:tcPr>
          <w:p w14:paraId="17B68676" w14:textId="09852CDB"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32" w:type="dxa"/>
            <w:tcBorders>
              <w:top w:val="nil"/>
              <w:left w:val="nil"/>
              <w:bottom w:val="double" w:sz="6" w:space="0" w:color="auto"/>
              <w:right w:val="nil"/>
            </w:tcBorders>
            <w:shd w:val="clear" w:color="auto" w:fill="auto"/>
            <w:noWrap/>
            <w:vAlign w:val="bottom"/>
            <w:hideMark/>
          </w:tcPr>
          <w:p w14:paraId="505119DC" w14:textId="6DC52864"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w:t>
            </w:r>
            <w:r w:rsidR="00B74E34" w:rsidRPr="00A00187">
              <w:rPr>
                <w:rFonts w:eastAsia="Times New Roman"/>
                <w:szCs w:val="24"/>
                <w:lang w:eastAsia="cs-CZ"/>
              </w:rPr>
              <w:t xml:space="preserve"> </w:t>
            </w:r>
            <w:r w:rsidRPr="00A00187">
              <w:rPr>
                <w:rFonts w:eastAsia="Times New Roman"/>
                <w:szCs w:val="24"/>
                <w:lang w:eastAsia="cs-CZ"/>
              </w:rPr>
              <w:t>222</w:t>
            </w:r>
          </w:p>
        </w:tc>
        <w:tc>
          <w:tcPr>
            <w:tcW w:w="851" w:type="dxa"/>
            <w:tcBorders>
              <w:top w:val="nil"/>
              <w:left w:val="nil"/>
              <w:bottom w:val="double" w:sz="6" w:space="0" w:color="auto"/>
              <w:right w:val="single" w:sz="4" w:space="0" w:color="auto"/>
            </w:tcBorders>
            <w:shd w:val="clear" w:color="auto" w:fill="auto"/>
            <w:noWrap/>
            <w:vAlign w:val="center"/>
            <w:hideMark/>
          </w:tcPr>
          <w:p w14:paraId="5259E137" w14:textId="5A0DD733" w:rsidR="00013CB4" w:rsidRPr="00A00187" w:rsidRDefault="00013CB4" w:rsidP="00013CB4">
            <w:pPr>
              <w:spacing w:line="240" w:lineRule="auto"/>
              <w:jc w:val="center"/>
              <w:rPr>
                <w:rFonts w:eastAsia="Times New Roman"/>
                <w:sz w:val="20"/>
                <w:szCs w:val="20"/>
                <w:lang w:eastAsia="cs-CZ"/>
              </w:rPr>
            </w:pPr>
            <w:r w:rsidRPr="00A00187">
              <w:rPr>
                <w:rFonts w:eastAsia="Times New Roman"/>
                <w:sz w:val="20"/>
                <w:szCs w:val="20"/>
                <w:lang w:eastAsia="cs-CZ"/>
              </w:rPr>
              <w:t>-42</w:t>
            </w:r>
            <w:r w:rsidR="00CB570A">
              <w:rPr>
                <w:rFonts w:eastAsia="Times New Roman"/>
                <w:sz w:val="20"/>
                <w:szCs w:val="20"/>
                <w:lang w:eastAsia="cs-CZ"/>
              </w:rPr>
              <w:t> %</w:t>
            </w:r>
          </w:p>
        </w:tc>
        <w:tc>
          <w:tcPr>
            <w:tcW w:w="1516" w:type="dxa"/>
            <w:tcBorders>
              <w:top w:val="nil"/>
              <w:left w:val="nil"/>
              <w:bottom w:val="nil"/>
              <w:right w:val="nil"/>
            </w:tcBorders>
            <w:shd w:val="clear" w:color="auto" w:fill="auto"/>
            <w:noWrap/>
            <w:vAlign w:val="center"/>
            <w:hideMark/>
          </w:tcPr>
          <w:p w14:paraId="5D21E215" w14:textId="55AAD0D9" w:rsidR="00013CB4" w:rsidRPr="00A00187" w:rsidRDefault="00013CB4" w:rsidP="00013CB4">
            <w:pPr>
              <w:spacing w:line="240" w:lineRule="auto"/>
              <w:jc w:val="center"/>
              <w:rPr>
                <w:rFonts w:eastAsia="Times New Roman"/>
                <w:szCs w:val="24"/>
                <w:lang w:eastAsia="cs-CZ"/>
              </w:rPr>
            </w:pPr>
            <w:r w:rsidRPr="00A00187">
              <w:rPr>
                <w:rFonts w:eastAsia="Times New Roman"/>
                <w:szCs w:val="24"/>
                <w:lang w:eastAsia="cs-CZ"/>
              </w:rPr>
              <w:t>114,0</w:t>
            </w:r>
            <w:r w:rsidR="00CB570A">
              <w:rPr>
                <w:rFonts w:eastAsia="Times New Roman"/>
                <w:szCs w:val="24"/>
                <w:lang w:eastAsia="cs-CZ"/>
              </w:rPr>
              <w:t> %</w:t>
            </w:r>
          </w:p>
        </w:tc>
      </w:tr>
      <w:tr w:rsidR="00013CB4" w:rsidRPr="00A00187" w14:paraId="57DC8EA5" w14:textId="77777777" w:rsidTr="00013CB4">
        <w:trPr>
          <w:trHeight w:val="345"/>
        </w:trPr>
        <w:tc>
          <w:tcPr>
            <w:tcW w:w="2036" w:type="dxa"/>
            <w:tcBorders>
              <w:top w:val="nil"/>
              <w:left w:val="nil"/>
              <w:bottom w:val="double" w:sz="6" w:space="0" w:color="auto"/>
              <w:right w:val="nil"/>
            </w:tcBorders>
            <w:shd w:val="clear" w:color="auto" w:fill="auto"/>
            <w:noWrap/>
            <w:vAlign w:val="bottom"/>
            <w:hideMark/>
          </w:tcPr>
          <w:p w14:paraId="10E0E668" w14:textId="77777777" w:rsidR="00013CB4" w:rsidRPr="00A00187" w:rsidRDefault="00013CB4" w:rsidP="00013CB4">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28" w:type="dxa"/>
            <w:tcBorders>
              <w:top w:val="nil"/>
              <w:left w:val="nil"/>
              <w:bottom w:val="double" w:sz="6" w:space="0" w:color="auto"/>
              <w:right w:val="nil"/>
            </w:tcBorders>
            <w:shd w:val="clear" w:color="auto" w:fill="auto"/>
            <w:noWrap/>
            <w:vAlign w:val="bottom"/>
            <w:hideMark/>
          </w:tcPr>
          <w:p w14:paraId="1EF3E7BE" w14:textId="65468891"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43</w:t>
            </w:r>
            <w:r w:rsidR="00B74E34" w:rsidRPr="00A00187">
              <w:rPr>
                <w:rFonts w:eastAsia="Times New Roman"/>
                <w:b/>
                <w:bCs/>
                <w:szCs w:val="24"/>
                <w:lang w:eastAsia="cs-CZ"/>
              </w:rPr>
              <w:t xml:space="preserve"> </w:t>
            </w:r>
            <w:r w:rsidRPr="00A00187">
              <w:rPr>
                <w:rFonts w:eastAsia="Times New Roman"/>
                <w:b/>
                <w:bCs/>
                <w:szCs w:val="24"/>
                <w:lang w:eastAsia="cs-CZ"/>
              </w:rPr>
              <w:t>038</w:t>
            </w:r>
          </w:p>
        </w:tc>
        <w:tc>
          <w:tcPr>
            <w:tcW w:w="851" w:type="dxa"/>
            <w:tcBorders>
              <w:top w:val="nil"/>
              <w:left w:val="nil"/>
              <w:bottom w:val="double" w:sz="6" w:space="0" w:color="auto"/>
              <w:right w:val="nil"/>
            </w:tcBorders>
            <w:shd w:val="clear" w:color="auto" w:fill="auto"/>
            <w:noWrap/>
            <w:vAlign w:val="center"/>
            <w:hideMark/>
          </w:tcPr>
          <w:p w14:paraId="0E0E3433" w14:textId="47EF2F60" w:rsidR="00013CB4" w:rsidRPr="00A00187" w:rsidRDefault="00013CB4" w:rsidP="00013CB4">
            <w:pPr>
              <w:spacing w:line="240" w:lineRule="auto"/>
              <w:jc w:val="center"/>
              <w:rPr>
                <w:rFonts w:eastAsia="Times New Roman"/>
                <w:b/>
                <w:bCs/>
                <w:sz w:val="20"/>
                <w:szCs w:val="20"/>
                <w:lang w:eastAsia="cs-CZ"/>
              </w:rPr>
            </w:pPr>
            <w:r w:rsidRPr="00A00187">
              <w:rPr>
                <w:rFonts w:eastAsia="Times New Roman"/>
                <w:b/>
                <w:bCs/>
                <w:sz w:val="20"/>
                <w:szCs w:val="20"/>
                <w:lang w:eastAsia="cs-CZ"/>
              </w:rPr>
              <w:t>-6</w:t>
            </w:r>
            <w:r w:rsidR="00CB570A">
              <w:rPr>
                <w:rFonts w:eastAsia="Times New Roman"/>
                <w:b/>
                <w:bCs/>
                <w:sz w:val="20"/>
                <w:szCs w:val="20"/>
                <w:lang w:eastAsia="cs-CZ"/>
              </w:rPr>
              <w:t> %</w:t>
            </w:r>
          </w:p>
        </w:tc>
        <w:tc>
          <w:tcPr>
            <w:tcW w:w="1137" w:type="dxa"/>
            <w:tcBorders>
              <w:top w:val="nil"/>
              <w:left w:val="single" w:sz="4" w:space="0" w:color="auto"/>
              <w:bottom w:val="double" w:sz="6" w:space="0" w:color="auto"/>
              <w:right w:val="nil"/>
            </w:tcBorders>
            <w:shd w:val="clear" w:color="auto" w:fill="auto"/>
            <w:noWrap/>
            <w:vAlign w:val="bottom"/>
            <w:hideMark/>
          </w:tcPr>
          <w:p w14:paraId="51F549A4" w14:textId="5DF21B4F"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44</w:t>
            </w:r>
            <w:r w:rsidR="00B74E34" w:rsidRPr="00A00187">
              <w:rPr>
                <w:rFonts w:eastAsia="Times New Roman"/>
                <w:b/>
                <w:bCs/>
                <w:szCs w:val="24"/>
                <w:lang w:eastAsia="cs-CZ"/>
              </w:rPr>
              <w:t xml:space="preserve"> </w:t>
            </w:r>
            <w:r w:rsidRPr="00A00187">
              <w:rPr>
                <w:rFonts w:eastAsia="Times New Roman"/>
                <w:b/>
                <w:bCs/>
                <w:szCs w:val="24"/>
                <w:lang w:eastAsia="cs-CZ"/>
              </w:rPr>
              <w:t>508</w:t>
            </w:r>
          </w:p>
        </w:tc>
        <w:tc>
          <w:tcPr>
            <w:tcW w:w="809" w:type="dxa"/>
            <w:tcBorders>
              <w:top w:val="nil"/>
              <w:left w:val="nil"/>
              <w:bottom w:val="double" w:sz="6" w:space="0" w:color="auto"/>
              <w:right w:val="single" w:sz="4" w:space="0" w:color="auto"/>
            </w:tcBorders>
            <w:shd w:val="clear" w:color="auto" w:fill="auto"/>
            <w:noWrap/>
            <w:vAlign w:val="center"/>
            <w:hideMark/>
          </w:tcPr>
          <w:p w14:paraId="4A16EC7F" w14:textId="22E0D538" w:rsidR="00013CB4" w:rsidRPr="00A00187" w:rsidRDefault="00013CB4" w:rsidP="00013CB4">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932" w:type="dxa"/>
            <w:tcBorders>
              <w:top w:val="nil"/>
              <w:left w:val="nil"/>
              <w:bottom w:val="double" w:sz="6" w:space="0" w:color="auto"/>
              <w:right w:val="nil"/>
            </w:tcBorders>
            <w:shd w:val="clear" w:color="auto" w:fill="auto"/>
            <w:noWrap/>
            <w:vAlign w:val="bottom"/>
            <w:hideMark/>
          </w:tcPr>
          <w:p w14:paraId="6C7BAEC2" w14:textId="32A14765"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7</w:t>
            </w:r>
            <w:r w:rsidR="004732B9">
              <w:rPr>
                <w:rFonts w:eastAsia="Times New Roman"/>
                <w:b/>
                <w:bCs/>
                <w:szCs w:val="24"/>
                <w:lang w:eastAsia="cs-CZ"/>
              </w:rPr>
              <w:t xml:space="preserve"> </w:t>
            </w:r>
            <w:r w:rsidRPr="00A00187">
              <w:rPr>
                <w:rFonts w:eastAsia="Times New Roman"/>
                <w:b/>
                <w:bCs/>
                <w:szCs w:val="24"/>
                <w:lang w:eastAsia="cs-CZ"/>
              </w:rPr>
              <w:t>526</w:t>
            </w:r>
          </w:p>
        </w:tc>
        <w:tc>
          <w:tcPr>
            <w:tcW w:w="851" w:type="dxa"/>
            <w:tcBorders>
              <w:top w:val="nil"/>
              <w:left w:val="nil"/>
              <w:bottom w:val="double" w:sz="6" w:space="0" w:color="auto"/>
              <w:right w:val="single" w:sz="4" w:space="0" w:color="auto"/>
            </w:tcBorders>
            <w:shd w:val="clear" w:color="auto" w:fill="auto"/>
            <w:noWrap/>
            <w:vAlign w:val="center"/>
            <w:hideMark/>
          </w:tcPr>
          <w:p w14:paraId="5FEC3486" w14:textId="628B6DF8" w:rsidR="00013CB4" w:rsidRPr="00A00187" w:rsidRDefault="00013CB4" w:rsidP="00013CB4">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c>
          <w:tcPr>
            <w:tcW w:w="1516" w:type="dxa"/>
            <w:tcBorders>
              <w:top w:val="double" w:sz="6" w:space="0" w:color="auto"/>
              <w:left w:val="nil"/>
              <w:bottom w:val="double" w:sz="6" w:space="0" w:color="auto"/>
              <w:right w:val="nil"/>
            </w:tcBorders>
            <w:shd w:val="clear" w:color="auto" w:fill="auto"/>
            <w:noWrap/>
            <w:vAlign w:val="center"/>
            <w:hideMark/>
          </w:tcPr>
          <w:p w14:paraId="03A7CFD3" w14:textId="0F5F9938" w:rsidR="00013CB4" w:rsidRPr="00A00187" w:rsidRDefault="00013CB4" w:rsidP="00013CB4">
            <w:pPr>
              <w:spacing w:line="240" w:lineRule="auto"/>
              <w:jc w:val="center"/>
              <w:rPr>
                <w:rFonts w:eastAsia="Times New Roman"/>
                <w:b/>
                <w:bCs/>
                <w:szCs w:val="24"/>
                <w:lang w:eastAsia="cs-CZ"/>
              </w:rPr>
            </w:pPr>
            <w:r w:rsidRPr="00A00187">
              <w:rPr>
                <w:rFonts w:eastAsia="Times New Roman"/>
                <w:b/>
                <w:bCs/>
                <w:szCs w:val="24"/>
                <w:lang w:eastAsia="cs-CZ"/>
              </w:rPr>
              <w:t>103,4</w:t>
            </w:r>
            <w:r w:rsidR="00CB570A">
              <w:rPr>
                <w:rFonts w:eastAsia="Times New Roman"/>
                <w:b/>
                <w:bCs/>
                <w:szCs w:val="24"/>
                <w:lang w:eastAsia="cs-CZ"/>
              </w:rPr>
              <w:t> %</w:t>
            </w:r>
          </w:p>
        </w:tc>
      </w:tr>
    </w:tbl>
    <w:p w14:paraId="13A9FA6B" w14:textId="61A774A3" w:rsidR="00013CB4" w:rsidRPr="00A00187" w:rsidRDefault="00013CB4" w:rsidP="00013CB4">
      <w:pPr>
        <w:pStyle w:val="OdstavecASR"/>
      </w:pPr>
    </w:p>
    <w:p w14:paraId="23134775" w14:textId="77777777" w:rsidR="001A527D" w:rsidRPr="00A00187" w:rsidRDefault="001A527D" w:rsidP="001A527D">
      <w:pPr>
        <w:pStyle w:val="Nadpis3"/>
        <w:numPr>
          <w:ilvl w:val="2"/>
          <w:numId w:val="1"/>
        </w:numPr>
        <w:rPr>
          <w:color w:val="auto"/>
        </w:rPr>
      </w:pPr>
      <w:bookmarkStart w:id="706" w:name="_Toc106092761"/>
      <w:bookmarkStart w:id="707" w:name="_Toc109801372"/>
      <w:r w:rsidRPr="00A00187">
        <w:rPr>
          <w:color w:val="auto"/>
        </w:rPr>
        <w:t>Vyřizování věcí v přepočtu na soudce</w:t>
      </w:r>
      <w:bookmarkEnd w:id="706"/>
      <w:bookmarkEnd w:id="707"/>
    </w:p>
    <w:p w14:paraId="37E7C6DA" w14:textId="7FDBC9D6" w:rsidR="008832BE" w:rsidRPr="00A00187" w:rsidRDefault="008832BE" w:rsidP="008832BE">
      <w:r w:rsidRPr="00A00187">
        <w:t xml:space="preserve">I zde lze </w:t>
      </w:r>
      <w:r w:rsidR="004B69FD" w:rsidRPr="00A00187">
        <w:t xml:space="preserve">pomocí dat </w:t>
      </w:r>
      <w:r w:rsidR="00755920" w:rsidRPr="00A00187">
        <w:t>o</w:t>
      </w:r>
      <w:r w:rsidR="00755920">
        <w:t> </w:t>
      </w:r>
      <w:r w:rsidRPr="00A00187">
        <w:t>úvazcích provést přepočet na soudce. Výsledek je uveden v tabulce níže.</w:t>
      </w:r>
    </w:p>
    <w:p w14:paraId="51C47701" w14:textId="77777777" w:rsidR="008832BE" w:rsidRPr="00A00187" w:rsidRDefault="008832BE" w:rsidP="008832BE">
      <w:bookmarkStart w:id="708" w:name="_Toc43931223"/>
      <w:r w:rsidRPr="00A00187">
        <w:t>Opět si v souvislosti s tabulkou dovolíme upozornit na několik faktů.</w:t>
      </w:r>
    </w:p>
    <w:p w14:paraId="79164B15" w14:textId="123EC593" w:rsidR="008832BE" w:rsidRPr="00A00187" w:rsidRDefault="008832BE" w:rsidP="008832BE">
      <w:pPr>
        <w:pStyle w:val="Odstavecseseznamem"/>
        <w:numPr>
          <w:ilvl w:val="0"/>
          <w:numId w:val="18"/>
        </w:numPr>
      </w:pPr>
      <w:r w:rsidRPr="00A00187">
        <w:t xml:space="preserve">Odvolací úsek soudů je výrazně větší než úsek prvostupňový. To koneckonců plyne již z množství vyřizovaných věcí. Nyní to </w:t>
      </w:r>
      <w:r w:rsidR="004B69FD" w:rsidRPr="00A00187">
        <w:t>lze demonstrovat</w:t>
      </w:r>
      <w:r w:rsidRPr="00A00187">
        <w:t xml:space="preserve"> i na počtu soudců, který je téměř pětinásobný oproti prvostupňovému úseku.</w:t>
      </w:r>
    </w:p>
    <w:p w14:paraId="674B7025" w14:textId="77777777" w:rsidR="008832BE" w:rsidRPr="00A00187" w:rsidRDefault="008832BE" w:rsidP="008832BE">
      <w:pPr>
        <w:pStyle w:val="Odstavecseseznamem"/>
        <w:numPr>
          <w:ilvl w:val="0"/>
          <w:numId w:val="18"/>
        </w:numPr>
      </w:pPr>
      <w:r w:rsidRPr="00A00187">
        <w:t xml:space="preserve">Počty příchozích a vyřízených věcí jsou mezi kraji mnohem vyrovnanější než u prvostupňových věcí. V tomto směru vybočuje KS Ostrava, u něhož se této agendě </w:t>
      </w:r>
      <w:r w:rsidRPr="00A00187">
        <w:lastRenderedPageBreak/>
        <w:t>očividně věnuje relativně méně soudců než u ostatních soudů. Jak uvidíme níže, dotčení soudci byli přesunuti na insolvenční úsek.</w:t>
      </w:r>
    </w:p>
    <w:p w14:paraId="6BEAB890" w14:textId="068FDF52" w:rsidR="00CB570A" w:rsidRDefault="008832BE" w:rsidP="008832BE">
      <w:pPr>
        <w:pStyle w:val="Odstavecseseznamem"/>
        <w:numPr>
          <w:ilvl w:val="0"/>
          <w:numId w:val="18"/>
        </w:numPr>
      </w:pPr>
      <w:r w:rsidRPr="00A00187">
        <w:t xml:space="preserve">Zdaleka nejvyšší počet nevyřízených věcí na soudce v roce 2021 vykazuje KS Brno, což částečně plyne z toho, že se zde této agendě věnuje relativně </w:t>
      </w:r>
      <w:r w:rsidR="004B69FD" w:rsidRPr="00A00187">
        <w:t>málo</w:t>
      </w:r>
      <w:r w:rsidRPr="00A00187">
        <w:t xml:space="preserve"> soudců</w:t>
      </w:r>
      <w:r w:rsidR="00990178" w:rsidRPr="00A00187">
        <w:t>,</w:t>
      </w:r>
      <w:r w:rsidRPr="00A00187">
        <w:t xml:space="preserve"> </w:t>
      </w:r>
      <w:r w:rsidR="00755920" w:rsidRPr="00A00187">
        <w:t>a</w:t>
      </w:r>
      <w:r w:rsidR="00755920">
        <w:t> </w:t>
      </w:r>
      <w:r w:rsidRPr="00A00187">
        <w:t xml:space="preserve">KS Ostrava, </w:t>
      </w:r>
      <w:r w:rsidR="00755920" w:rsidRPr="00A00187">
        <w:t>u</w:t>
      </w:r>
      <w:r w:rsidR="00755920">
        <w:t> </w:t>
      </w:r>
      <w:r w:rsidRPr="00A00187">
        <w:t xml:space="preserve">něhož ale došlo </w:t>
      </w:r>
      <w:r w:rsidR="004B69FD" w:rsidRPr="00A00187">
        <w:t>oproti předchozímu roku</w:t>
      </w:r>
      <w:r w:rsidR="002876D2" w:rsidRPr="00A00187">
        <w:t xml:space="preserve">, jak výše uvedeno, </w:t>
      </w:r>
      <w:r w:rsidRPr="00A00187">
        <w:t>k výraznému poklesu</w:t>
      </w:r>
      <w:r w:rsidR="002876D2" w:rsidRPr="00A00187">
        <w:t xml:space="preserve"> nevyřízených věcí na soudce</w:t>
      </w:r>
      <w:r w:rsidRPr="00A00187">
        <w:t>.</w:t>
      </w:r>
    </w:p>
    <w:p w14:paraId="08F12E59" w14:textId="39BEE883" w:rsidR="008832BE" w:rsidRPr="00A00187" w:rsidRDefault="008832BE" w:rsidP="008832BE">
      <w:pPr>
        <w:pStyle w:val="Odstavecseseznamem"/>
        <w:numPr>
          <w:ilvl w:val="0"/>
          <w:numId w:val="18"/>
        </w:numPr>
      </w:pPr>
      <w:r w:rsidRPr="00A00187">
        <w:t>Oproti předchozímu roku se samozřejmě mírně změnily počty soudců u jednotlivých soudů. Na republikové úrovni je však počet soudců téměř stejný jako v předchozím roce. Změny ve vyřizování na soudce tak na republikové úrovni přesně kopírují změny ve vyřizování věcí.</w:t>
      </w:r>
    </w:p>
    <w:p w14:paraId="278BBE29" w14:textId="6641F7D8" w:rsidR="008832BE" w:rsidRPr="00A00187" w:rsidRDefault="008832BE" w:rsidP="008832BE">
      <w:pPr>
        <w:pStyle w:val="Podnadpis"/>
        <w:rPr>
          <w:color w:val="auto"/>
        </w:rPr>
      </w:pPr>
      <w:bookmarkStart w:id="709" w:name="_Toc75952356"/>
      <w:bookmarkStart w:id="710" w:name="_Toc106106812"/>
      <w:bookmarkStart w:id="711" w:name="_Toc109802135"/>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50</w:t>
      </w:r>
      <w:r w:rsidRPr="00A00187">
        <w:rPr>
          <w:noProof/>
          <w:color w:val="auto"/>
        </w:rPr>
        <w:fldChar w:fldCharType="end"/>
      </w:r>
      <w:r w:rsidRPr="00A00187">
        <w:rPr>
          <w:color w:val="auto"/>
        </w:rPr>
        <w:t xml:space="preserve">: KS – </w:t>
      </w:r>
      <w:proofErr w:type="spellStart"/>
      <w:r w:rsidRPr="00A00187">
        <w:rPr>
          <w:color w:val="auto"/>
        </w:rPr>
        <w:t>vyřiz</w:t>
      </w:r>
      <w:proofErr w:type="spellEnd"/>
      <w:r w:rsidR="001C0095">
        <w:rPr>
          <w:color w:val="auto"/>
        </w:rPr>
        <w:t>.</w:t>
      </w:r>
      <w:r w:rsidRPr="00A00187">
        <w:rPr>
          <w:color w:val="auto"/>
        </w:rPr>
        <w:t xml:space="preserve"> odvolacích </w:t>
      </w:r>
      <w:bookmarkEnd w:id="708"/>
      <w:r w:rsidRPr="00A00187">
        <w:rPr>
          <w:color w:val="auto"/>
        </w:rPr>
        <w:t>civil. věcí na skutečný úvazek dle soudů</w:t>
      </w:r>
      <w:bookmarkEnd w:id="709"/>
      <w:bookmarkEnd w:id="710"/>
      <w:bookmarkEnd w:id="711"/>
    </w:p>
    <w:tbl>
      <w:tblPr>
        <w:tblW w:w="9331" w:type="dxa"/>
        <w:tblCellMar>
          <w:left w:w="70" w:type="dxa"/>
          <w:right w:w="70" w:type="dxa"/>
        </w:tblCellMar>
        <w:tblLook w:val="04A0" w:firstRow="1" w:lastRow="0" w:firstColumn="1" w:lastColumn="0" w:noHBand="0" w:noVBand="1"/>
      </w:tblPr>
      <w:tblGrid>
        <w:gridCol w:w="2056"/>
        <w:gridCol w:w="1063"/>
        <w:gridCol w:w="1134"/>
        <w:gridCol w:w="979"/>
        <w:gridCol w:w="1147"/>
        <w:gridCol w:w="929"/>
        <w:gridCol w:w="1056"/>
        <w:gridCol w:w="967"/>
      </w:tblGrid>
      <w:tr w:rsidR="00AC1E67" w:rsidRPr="00A00187" w14:paraId="7ED55AB5" w14:textId="77777777" w:rsidTr="00A8348B">
        <w:trPr>
          <w:trHeight w:val="330"/>
        </w:trPr>
        <w:tc>
          <w:tcPr>
            <w:tcW w:w="2056" w:type="dxa"/>
            <w:vMerge w:val="restart"/>
            <w:tcBorders>
              <w:top w:val="double" w:sz="6" w:space="0" w:color="auto"/>
              <w:left w:val="nil"/>
              <w:bottom w:val="double" w:sz="6" w:space="0" w:color="000000"/>
              <w:right w:val="nil"/>
            </w:tcBorders>
            <w:shd w:val="clear" w:color="auto" w:fill="auto"/>
            <w:noWrap/>
            <w:vAlign w:val="center"/>
            <w:hideMark/>
          </w:tcPr>
          <w:p w14:paraId="47556645" w14:textId="2B7C988F" w:rsidR="008832BE" w:rsidRPr="00A00187" w:rsidRDefault="00A8348B" w:rsidP="00E31EFC">
            <w:pPr>
              <w:spacing w:line="240" w:lineRule="auto"/>
              <w:jc w:val="center"/>
              <w:rPr>
                <w:rFonts w:eastAsia="Times New Roman"/>
                <w:b/>
                <w:bCs/>
                <w:szCs w:val="24"/>
                <w:lang w:eastAsia="cs-CZ"/>
              </w:rPr>
            </w:pPr>
            <w:r w:rsidRPr="00A00187">
              <w:rPr>
                <w:rFonts w:eastAsia="Times New Roman"/>
                <w:b/>
                <w:bCs/>
                <w:szCs w:val="24"/>
                <w:lang w:eastAsia="cs-CZ"/>
              </w:rPr>
              <w:t>S</w:t>
            </w:r>
            <w:r w:rsidR="008832BE" w:rsidRPr="00A00187">
              <w:rPr>
                <w:rFonts w:eastAsia="Times New Roman"/>
                <w:b/>
                <w:bCs/>
                <w:szCs w:val="24"/>
                <w:lang w:eastAsia="cs-CZ"/>
              </w:rPr>
              <w:t>oud</w:t>
            </w:r>
          </w:p>
        </w:tc>
        <w:tc>
          <w:tcPr>
            <w:tcW w:w="1063" w:type="dxa"/>
            <w:vMerge w:val="restart"/>
            <w:tcBorders>
              <w:top w:val="double" w:sz="6" w:space="0" w:color="auto"/>
              <w:left w:val="nil"/>
              <w:bottom w:val="double" w:sz="6" w:space="0" w:color="000000"/>
              <w:right w:val="nil"/>
            </w:tcBorders>
            <w:shd w:val="clear" w:color="auto" w:fill="auto"/>
            <w:noWrap/>
            <w:vAlign w:val="center"/>
            <w:hideMark/>
          </w:tcPr>
          <w:p w14:paraId="32415250" w14:textId="77777777"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208" w:type="dxa"/>
            <w:gridSpan w:val="6"/>
            <w:tcBorders>
              <w:top w:val="double" w:sz="6" w:space="0" w:color="auto"/>
              <w:left w:val="nil"/>
              <w:bottom w:val="nil"/>
              <w:right w:val="nil"/>
            </w:tcBorders>
            <w:shd w:val="clear" w:color="auto" w:fill="auto"/>
            <w:noWrap/>
            <w:vAlign w:val="center"/>
            <w:hideMark/>
          </w:tcPr>
          <w:p w14:paraId="0EFF9A76" w14:textId="0C7BF3BC" w:rsidR="008832BE" w:rsidRPr="00A00187" w:rsidRDefault="00CE0286" w:rsidP="008832BE">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AC1E67" w:rsidRPr="00A00187" w14:paraId="396C6956" w14:textId="77777777" w:rsidTr="00A8348B">
        <w:trPr>
          <w:trHeight w:val="330"/>
        </w:trPr>
        <w:tc>
          <w:tcPr>
            <w:tcW w:w="2056" w:type="dxa"/>
            <w:vMerge/>
            <w:tcBorders>
              <w:top w:val="double" w:sz="6" w:space="0" w:color="auto"/>
              <w:left w:val="nil"/>
              <w:bottom w:val="double" w:sz="6" w:space="0" w:color="000000"/>
              <w:right w:val="nil"/>
            </w:tcBorders>
            <w:vAlign w:val="center"/>
            <w:hideMark/>
          </w:tcPr>
          <w:p w14:paraId="5A05DAA6" w14:textId="77777777" w:rsidR="008832BE" w:rsidRPr="00A00187" w:rsidRDefault="008832BE" w:rsidP="008832BE">
            <w:pPr>
              <w:spacing w:line="240" w:lineRule="auto"/>
              <w:jc w:val="left"/>
              <w:rPr>
                <w:rFonts w:eastAsia="Times New Roman"/>
                <w:b/>
                <w:bCs/>
                <w:szCs w:val="24"/>
                <w:lang w:eastAsia="cs-CZ"/>
              </w:rPr>
            </w:pPr>
          </w:p>
        </w:tc>
        <w:tc>
          <w:tcPr>
            <w:tcW w:w="1063" w:type="dxa"/>
            <w:vMerge/>
            <w:tcBorders>
              <w:top w:val="double" w:sz="6" w:space="0" w:color="auto"/>
              <w:left w:val="nil"/>
              <w:bottom w:val="double" w:sz="6" w:space="0" w:color="000000"/>
              <w:right w:val="nil"/>
            </w:tcBorders>
            <w:vAlign w:val="center"/>
            <w:hideMark/>
          </w:tcPr>
          <w:p w14:paraId="2DA1E6C0" w14:textId="77777777" w:rsidR="008832BE" w:rsidRPr="00A00187" w:rsidRDefault="008832BE" w:rsidP="008832BE">
            <w:pPr>
              <w:spacing w:line="240" w:lineRule="auto"/>
              <w:jc w:val="left"/>
              <w:rPr>
                <w:rFonts w:eastAsia="Times New Roman"/>
                <w:b/>
                <w:bCs/>
                <w:szCs w:val="24"/>
                <w:lang w:eastAsia="cs-CZ"/>
              </w:rPr>
            </w:pPr>
          </w:p>
        </w:tc>
        <w:tc>
          <w:tcPr>
            <w:tcW w:w="2113" w:type="dxa"/>
            <w:gridSpan w:val="2"/>
            <w:tcBorders>
              <w:top w:val="nil"/>
              <w:left w:val="nil"/>
              <w:bottom w:val="double" w:sz="6" w:space="0" w:color="auto"/>
              <w:right w:val="nil"/>
            </w:tcBorders>
            <w:shd w:val="clear" w:color="auto" w:fill="auto"/>
            <w:noWrap/>
            <w:vAlign w:val="center"/>
            <w:hideMark/>
          </w:tcPr>
          <w:p w14:paraId="371E226D" w14:textId="77777777"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07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A1B7ECD" w14:textId="77777777"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2023" w:type="dxa"/>
            <w:gridSpan w:val="2"/>
            <w:tcBorders>
              <w:top w:val="nil"/>
              <w:left w:val="nil"/>
              <w:bottom w:val="double" w:sz="6" w:space="0" w:color="auto"/>
              <w:right w:val="nil"/>
            </w:tcBorders>
            <w:shd w:val="clear" w:color="auto" w:fill="auto"/>
            <w:noWrap/>
            <w:vAlign w:val="center"/>
            <w:hideMark/>
          </w:tcPr>
          <w:p w14:paraId="2BDC31BA" w14:textId="77777777"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526B055B" w14:textId="77777777" w:rsidTr="00A8348B">
        <w:trPr>
          <w:trHeight w:val="330"/>
        </w:trPr>
        <w:tc>
          <w:tcPr>
            <w:tcW w:w="2056" w:type="dxa"/>
            <w:tcBorders>
              <w:top w:val="single" w:sz="4" w:space="0" w:color="auto"/>
              <w:left w:val="nil"/>
              <w:bottom w:val="single" w:sz="4" w:space="0" w:color="auto"/>
              <w:right w:val="nil"/>
            </w:tcBorders>
            <w:shd w:val="clear" w:color="auto" w:fill="auto"/>
            <w:noWrap/>
            <w:vAlign w:val="bottom"/>
            <w:hideMark/>
          </w:tcPr>
          <w:p w14:paraId="0F11EE00"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MS Praha</w:t>
            </w:r>
          </w:p>
        </w:tc>
        <w:tc>
          <w:tcPr>
            <w:tcW w:w="1063" w:type="dxa"/>
            <w:tcBorders>
              <w:top w:val="single" w:sz="4" w:space="0" w:color="auto"/>
              <w:left w:val="nil"/>
              <w:bottom w:val="single" w:sz="4" w:space="0" w:color="auto"/>
              <w:right w:val="nil"/>
            </w:tcBorders>
            <w:shd w:val="clear" w:color="auto" w:fill="auto"/>
            <w:noWrap/>
            <w:vAlign w:val="bottom"/>
            <w:hideMark/>
          </w:tcPr>
          <w:p w14:paraId="3DE41CBD" w14:textId="77777777"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94</w:t>
            </w:r>
          </w:p>
        </w:tc>
        <w:tc>
          <w:tcPr>
            <w:tcW w:w="1134" w:type="dxa"/>
            <w:tcBorders>
              <w:top w:val="single" w:sz="4" w:space="0" w:color="auto"/>
              <w:left w:val="nil"/>
              <w:bottom w:val="single" w:sz="4" w:space="0" w:color="auto"/>
              <w:right w:val="nil"/>
            </w:tcBorders>
            <w:shd w:val="clear" w:color="auto" w:fill="auto"/>
            <w:noWrap/>
            <w:vAlign w:val="bottom"/>
            <w:hideMark/>
          </w:tcPr>
          <w:p w14:paraId="732F54FA" w14:textId="787D2C4A"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140,35</w:t>
            </w:r>
          </w:p>
        </w:tc>
        <w:tc>
          <w:tcPr>
            <w:tcW w:w="979" w:type="dxa"/>
            <w:tcBorders>
              <w:top w:val="single" w:sz="4" w:space="0" w:color="auto"/>
              <w:left w:val="nil"/>
              <w:bottom w:val="single" w:sz="4" w:space="0" w:color="auto"/>
              <w:right w:val="nil"/>
            </w:tcBorders>
            <w:shd w:val="clear" w:color="auto" w:fill="auto"/>
            <w:noWrap/>
            <w:vAlign w:val="center"/>
            <w:hideMark/>
          </w:tcPr>
          <w:p w14:paraId="79DBDE3F" w14:textId="5EB717CE"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47" w:type="dxa"/>
            <w:tcBorders>
              <w:top w:val="nil"/>
              <w:left w:val="single" w:sz="4" w:space="0" w:color="auto"/>
              <w:bottom w:val="single" w:sz="4" w:space="0" w:color="auto"/>
              <w:right w:val="nil"/>
            </w:tcBorders>
            <w:shd w:val="clear" w:color="auto" w:fill="auto"/>
            <w:noWrap/>
            <w:vAlign w:val="bottom"/>
            <w:hideMark/>
          </w:tcPr>
          <w:p w14:paraId="02EA1897" w14:textId="5A2F9081"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140,46</w:t>
            </w:r>
          </w:p>
        </w:tc>
        <w:tc>
          <w:tcPr>
            <w:tcW w:w="929" w:type="dxa"/>
            <w:tcBorders>
              <w:top w:val="nil"/>
              <w:left w:val="nil"/>
              <w:bottom w:val="single" w:sz="4" w:space="0" w:color="auto"/>
              <w:right w:val="single" w:sz="4" w:space="0" w:color="auto"/>
            </w:tcBorders>
            <w:shd w:val="clear" w:color="auto" w:fill="auto"/>
            <w:noWrap/>
            <w:vAlign w:val="center"/>
            <w:hideMark/>
          </w:tcPr>
          <w:p w14:paraId="69BE1C83" w14:textId="2EC06FB9"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056" w:type="dxa"/>
            <w:tcBorders>
              <w:top w:val="single" w:sz="4" w:space="0" w:color="auto"/>
              <w:left w:val="nil"/>
              <w:bottom w:val="single" w:sz="4" w:space="0" w:color="auto"/>
              <w:right w:val="nil"/>
            </w:tcBorders>
            <w:shd w:val="clear" w:color="auto" w:fill="auto"/>
            <w:noWrap/>
            <w:vAlign w:val="bottom"/>
            <w:hideMark/>
          </w:tcPr>
          <w:p w14:paraId="3D58CE9F" w14:textId="1BAA762A"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17,51</w:t>
            </w:r>
          </w:p>
        </w:tc>
        <w:tc>
          <w:tcPr>
            <w:tcW w:w="967" w:type="dxa"/>
            <w:tcBorders>
              <w:top w:val="single" w:sz="4" w:space="0" w:color="auto"/>
              <w:left w:val="nil"/>
              <w:bottom w:val="single" w:sz="4" w:space="0" w:color="auto"/>
              <w:right w:val="nil"/>
            </w:tcBorders>
            <w:shd w:val="clear" w:color="auto" w:fill="auto"/>
            <w:noWrap/>
            <w:vAlign w:val="center"/>
            <w:hideMark/>
          </w:tcPr>
          <w:p w14:paraId="12FB6C00" w14:textId="12A31A55"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389A8201" w14:textId="77777777" w:rsidTr="00A8348B">
        <w:trPr>
          <w:trHeight w:val="315"/>
        </w:trPr>
        <w:tc>
          <w:tcPr>
            <w:tcW w:w="2056" w:type="dxa"/>
            <w:tcBorders>
              <w:top w:val="nil"/>
              <w:left w:val="nil"/>
              <w:bottom w:val="single" w:sz="4" w:space="0" w:color="auto"/>
              <w:right w:val="nil"/>
            </w:tcBorders>
            <w:shd w:val="clear" w:color="auto" w:fill="auto"/>
            <w:noWrap/>
            <w:vAlign w:val="bottom"/>
            <w:hideMark/>
          </w:tcPr>
          <w:p w14:paraId="6EB9473A"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KS Praha</w:t>
            </w:r>
          </w:p>
        </w:tc>
        <w:tc>
          <w:tcPr>
            <w:tcW w:w="1063" w:type="dxa"/>
            <w:tcBorders>
              <w:top w:val="nil"/>
              <w:left w:val="nil"/>
              <w:bottom w:val="single" w:sz="4" w:space="0" w:color="auto"/>
              <w:right w:val="nil"/>
            </w:tcBorders>
            <w:shd w:val="clear" w:color="auto" w:fill="auto"/>
            <w:noWrap/>
            <w:vAlign w:val="bottom"/>
            <w:hideMark/>
          </w:tcPr>
          <w:p w14:paraId="54EE6DBC" w14:textId="62723F08"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46,7</w:t>
            </w:r>
          </w:p>
        </w:tc>
        <w:tc>
          <w:tcPr>
            <w:tcW w:w="1134" w:type="dxa"/>
            <w:tcBorders>
              <w:top w:val="nil"/>
              <w:left w:val="nil"/>
              <w:bottom w:val="single" w:sz="4" w:space="0" w:color="auto"/>
              <w:right w:val="nil"/>
            </w:tcBorders>
            <w:shd w:val="clear" w:color="auto" w:fill="auto"/>
            <w:noWrap/>
            <w:vAlign w:val="bottom"/>
            <w:hideMark/>
          </w:tcPr>
          <w:p w14:paraId="59F4B444" w14:textId="2C252E55"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110,04</w:t>
            </w:r>
          </w:p>
        </w:tc>
        <w:tc>
          <w:tcPr>
            <w:tcW w:w="979" w:type="dxa"/>
            <w:tcBorders>
              <w:top w:val="nil"/>
              <w:left w:val="nil"/>
              <w:bottom w:val="single" w:sz="4" w:space="0" w:color="auto"/>
              <w:right w:val="nil"/>
            </w:tcBorders>
            <w:shd w:val="clear" w:color="auto" w:fill="auto"/>
            <w:noWrap/>
            <w:vAlign w:val="center"/>
            <w:hideMark/>
          </w:tcPr>
          <w:p w14:paraId="1BB46EEB" w14:textId="2EC8F13F"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147" w:type="dxa"/>
            <w:tcBorders>
              <w:top w:val="nil"/>
              <w:left w:val="single" w:sz="4" w:space="0" w:color="auto"/>
              <w:bottom w:val="single" w:sz="4" w:space="0" w:color="auto"/>
              <w:right w:val="nil"/>
            </w:tcBorders>
            <w:shd w:val="clear" w:color="auto" w:fill="auto"/>
            <w:noWrap/>
            <w:vAlign w:val="bottom"/>
            <w:hideMark/>
          </w:tcPr>
          <w:p w14:paraId="740FFB85" w14:textId="2D88C466"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112,16</w:t>
            </w:r>
          </w:p>
        </w:tc>
        <w:tc>
          <w:tcPr>
            <w:tcW w:w="929" w:type="dxa"/>
            <w:tcBorders>
              <w:top w:val="nil"/>
              <w:left w:val="nil"/>
              <w:bottom w:val="single" w:sz="4" w:space="0" w:color="auto"/>
              <w:right w:val="single" w:sz="4" w:space="0" w:color="auto"/>
            </w:tcBorders>
            <w:shd w:val="clear" w:color="auto" w:fill="auto"/>
            <w:noWrap/>
            <w:vAlign w:val="center"/>
            <w:hideMark/>
          </w:tcPr>
          <w:p w14:paraId="24310877" w14:textId="230A2D9C"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56" w:type="dxa"/>
            <w:tcBorders>
              <w:top w:val="nil"/>
              <w:left w:val="nil"/>
              <w:bottom w:val="single" w:sz="4" w:space="0" w:color="auto"/>
              <w:right w:val="nil"/>
            </w:tcBorders>
            <w:shd w:val="clear" w:color="auto" w:fill="auto"/>
            <w:noWrap/>
            <w:vAlign w:val="bottom"/>
            <w:hideMark/>
          </w:tcPr>
          <w:p w14:paraId="081E8D7B" w14:textId="1200151D"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12,01</w:t>
            </w:r>
          </w:p>
        </w:tc>
        <w:tc>
          <w:tcPr>
            <w:tcW w:w="967" w:type="dxa"/>
            <w:tcBorders>
              <w:top w:val="nil"/>
              <w:left w:val="nil"/>
              <w:bottom w:val="single" w:sz="4" w:space="0" w:color="auto"/>
              <w:right w:val="nil"/>
            </w:tcBorders>
            <w:shd w:val="clear" w:color="auto" w:fill="auto"/>
            <w:noWrap/>
            <w:vAlign w:val="center"/>
            <w:hideMark/>
          </w:tcPr>
          <w:p w14:paraId="17266FC4" w14:textId="6F66EDEB"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r>
      <w:tr w:rsidR="00AC1E67" w:rsidRPr="00A00187" w14:paraId="4F673657" w14:textId="77777777" w:rsidTr="00A8348B">
        <w:trPr>
          <w:trHeight w:val="315"/>
        </w:trPr>
        <w:tc>
          <w:tcPr>
            <w:tcW w:w="2056" w:type="dxa"/>
            <w:tcBorders>
              <w:top w:val="nil"/>
              <w:left w:val="nil"/>
              <w:bottom w:val="single" w:sz="4" w:space="0" w:color="auto"/>
              <w:right w:val="nil"/>
            </w:tcBorders>
            <w:shd w:val="clear" w:color="auto" w:fill="auto"/>
            <w:noWrap/>
            <w:vAlign w:val="bottom"/>
            <w:hideMark/>
          </w:tcPr>
          <w:p w14:paraId="1A7A2500"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KS Č. Budějovice</w:t>
            </w:r>
          </w:p>
        </w:tc>
        <w:tc>
          <w:tcPr>
            <w:tcW w:w="1063" w:type="dxa"/>
            <w:tcBorders>
              <w:top w:val="nil"/>
              <w:left w:val="nil"/>
              <w:bottom w:val="single" w:sz="4" w:space="0" w:color="auto"/>
              <w:right w:val="nil"/>
            </w:tcBorders>
            <w:shd w:val="clear" w:color="auto" w:fill="auto"/>
            <w:noWrap/>
            <w:vAlign w:val="bottom"/>
            <w:hideMark/>
          </w:tcPr>
          <w:p w14:paraId="5AEA3329" w14:textId="56D703E5"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23,6</w:t>
            </w:r>
          </w:p>
        </w:tc>
        <w:tc>
          <w:tcPr>
            <w:tcW w:w="1134" w:type="dxa"/>
            <w:tcBorders>
              <w:top w:val="nil"/>
              <w:left w:val="nil"/>
              <w:bottom w:val="single" w:sz="4" w:space="0" w:color="auto"/>
              <w:right w:val="nil"/>
            </w:tcBorders>
            <w:shd w:val="clear" w:color="auto" w:fill="auto"/>
            <w:noWrap/>
            <w:vAlign w:val="bottom"/>
            <w:hideMark/>
          </w:tcPr>
          <w:p w14:paraId="65B994A4" w14:textId="27809D37"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80,72</w:t>
            </w:r>
          </w:p>
        </w:tc>
        <w:tc>
          <w:tcPr>
            <w:tcW w:w="979" w:type="dxa"/>
            <w:tcBorders>
              <w:top w:val="nil"/>
              <w:left w:val="nil"/>
              <w:bottom w:val="single" w:sz="4" w:space="0" w:color="auto"/>
              <w:right w:val="nil"/>
            </w:tcBorders>
            <w:shd w:val="clear" w:color="auto" w:fill="auto"/>
            <w:noWrap/>
            <w:vAlign w:val="center"/>
            <w:hideMark/>
          </w:tcPr>
          <w:p w14:paraId="1B88553C" w14:textId="67ABD669"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47" w:type="dxa"/>
            <w:tcBorders>
              <w:top w:val="nil"/>
              <w:left w:val="single" w:sz="4" w:space="0" w:color="auto"/>
              <w:bottom w:val="single" w:sz="4" w:space="0" w:color="auto"/>
              <w:right w:val="nil"/>
            </w:tcBorders>
            <w:shd w:val="clear" w:color="auto" w:fill="auto"/>
            <w:noWrap/>
            <w:vAlign w:val="bottom"/>
            <w:hideMark/>
          </w:tcPr>
          <w:p w14:paraId="583AA9B9" w14:textId="29F69A12"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81,86</w:t>
            </w:r>
          </w:p>
        </w:tc>
        <w:tc>
          <w:tcPr>
            <w:tcW w:w="929" w:type="dxa"/>
            <w:tcBorders>
              <w:top w:val="nil"/>
              <w:left w:val="nil"/>
              <w:bottom w:val="single" w:sz="4" w:space="0" w:color="auto"/>
              <w:right w:val="single" w:sz="4" w:space="0" w:color="auto"/>
            </w:tcBorders>
            <w:shd w:val="clear" w:color="auto" w:fill="auto"/>
            <w:noWrap/>
            <w:vAlign w:val="center"/>
            <w:hideMark/>
          </w:tcPr>
          <w:p w14:paraId="5D8E109F" w14:textId="24056965"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56" w:type="dxa"/>
            <w:tcBorders>
              <w:top w:val="nil"/>
              <w:left w:val="nil"/>
              <w:bottom w:val="single" w:sz="4" w:space="0" w:color="auto"/>
              <w:right w:val="nil"/>
            </w:tcBorders>
            <w:shd w:val="clear" w:color="auto" w:fill="auto"/>
            <w:noWrap/>
            <w:vAlign w:val="bottom"/>
            <w:hideMark/>
          </w:tcPr>
          <w:p w14:paraId="2E208B9D" w14:textId="268F6446"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10,55</w:t>
            </w:r>
          </w:p>
        </w:tc>
        <w:tc>
          <w:tcPr>
            <w:tcW w:w="967" w:type="dxa"/>
            <w:tcBorders>
              <w:top w:val="nil"/>
              <w:left w:val="nil"/>
              <w:bottom w:val="single" w:sz="4" w:space="0" w:color="auto"/>
              <w:right w:val="nil"/>
            </w:tcBorders>
            <w:shd w:val="clear" w:color="auto" w:fill="auto"/>
            <w:noWrap/>
            <w:vAlign w:val="center"/>
            <w:hideMark/>
          </w:tcPr>
          <w:p w14:paraId="3198D66F" w14:textId="3827DF36"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042888E8" w14:textId="77777777" w:rsidTr="00A8348B">
        <w:trPr>
          <w:trHeight w:val="315"/>
        </w:trPr>
        <w:tc>
          <w:tcPr>
            <w:tcW w:w="2056" w:type="dxa"/>
            <w:tcBorders>
              <w:top w:val="nil"/>
              <w:left w:val="nil"/>
              <w:bottom w:val="single" w:sz="4" w:space="0" w:color="auto"/>
              <w:right w:val="nil"/>
            </w:tcBorders>
            <w:shd w:val="clear" w:color="auto" w:fill="auto"/>
            <w:noWrap/>
            <w:vAlign w:val="bottom"/>
            <w:hideMark/>
          </w:tcPr>
          <w:p w14:paraId="459C9586"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KS Plzeň</w:t>
            </w:r>
          </w:p>
        </w:tc>
        <w:tc>
          <w:tcPr>
            <w:tcW w:w="1063" w:type="dxa"/>
            <w:tcBorders>
              <w:top w:val="nil"/>
              <w:left w:val="nil"/>
              <w:bottom w:val="single" w:sz="4" w:space="0" w:color="auto"/>
              <w:right w:val="nil"/>
            </w:tcBorders>
            <w:shd w:val="clear" w:color="auto" w:fill="auto"/>
            <w:noWrap/>
            <w:vAlign w:val="bottom"/>
            <w:hideMark/>
          </w:tcPr>
          <w:p w14:paraId="2321216E" w14:textId="27A35639"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26,5</w:t>
            </w:r>
          </w:p>
        </w:tc>
        <w:tc>
          <w:tcPr>
            <w:tcW w:w="1134" w:type="dxa"/>
            <w:tcBorders>
              <w:top w:val="nil"/>
              <w:left w:val="nil"/>
              <w:bottom w:val="single" w:sz="4" w:space="0" w:color="auto"/>
              <w:right w:val="nil"/>
            </w:tcBorders>
            <w:shd w:val="clear" w:color="auto" w:fill="auto"/>
            <w:noWrap/>
            <w:vAlign w:val="bottom"/>
            <w:hideMark/>
          </w:tcPr>
          <w:p w14:paraId="490C3414" w14:textId="7E98653C"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111,06</w:t>
            </w:r>
          </w:p>
        </w:tc>
        <w:tc>
          <w:tcPr>
            <w:tcW w:w="979" w:type="dxa"/>
            <w:tcBorders>
              <w:top w:val="nil"/>
              <w:left w:val="nil"/>
              <w:bottom w:val="single" w:sz="4" w:space="0" w:color="auto"/>
              <w:right w:val="nil"/>
            </w:tcBorders>
            <w:shd w:val="clear" w:color="auto" w:fill="auto"/>
            <w:noWrap/>
            <w:vAlign w:val="center"/>
            <w:hideMark/>
          </w:tcPr>
          <w:p w14:paraId="7436C92A" w14:textId="72E75B67"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47" w:type="dxa"/>
            <w:tcBorders>
              <w:top w:val="nil"/>
              <w:left w:val="single" w:sz="4" w:space="0" w:color="auto"/>
              <w:bottom w:val="single" w:sz="4" w:space="0" w:color="auto"/>
              <w:right w:val="nil"/>
            </w:tcBorders>
            <w:shd w:val="clear" w:color="auto" w:fill="auto"/>
            <w:noWrap/>
            <w:vAlign w:val="bottom"/>
            <w:hideMark/>
          </w:tcPr>
          <w:p w14:paraId="74D051A8" w14:textId="7877EA6F"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111,17</w:t>
            </w:r>
          </w:p>
        </w:tc>
        <w:tc>
          <w:tcPr>
            <w:tcW w:w="929" w:type="dxa"/>
            <w:tcBorders>
              <w:top w:val="nil"/>
              <w:left w:val="nil"/>
              <w:bottom w:val="single" w:sz="4" w:space="0" w:color="auto"/>
              <w:right w:val="single" w:sz="4" w:space="0" w:color="auto"/>
            </w:tcBorders>
            <w:shd w:val="clear" w:color="auto" w:fill="auto"/>
            <w:noWrap/>
            <w:vAlign w:val="center"/>
            <w:hideMark/>
          </w:tcPr>
          <w:p w14:paraId="76D98E8B" w14:textId="138F9C23"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056" w:type="dxa"/>
            <w:tcBorders>
              <w:top w:val="nil"/>
              <w:left w:val="nil"/>
              <w:bottom w:val="single" w:sz="4" w:space="0" w:color="auto"/>
              <w:right w:val="nil"/>
            </w:tcBorders>
            <w:shd w:val="clear" w:color="auto" w:fill="auto"/>
            <w:noWrap/>
            <w:vAlign w:val="bottom"/>
            <w:hideMark/>
          </w:tcPr>
          <w:p w14:paraId="133E55B9" w14:textId="0E4147B9"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13,09</w:t>
            </w:r>
          </w:p>
        </w:tc>
        <w:tc>
          <w:tcPr>
            <w:tcW w:w="967" w:type="dxa"/>
            <w:tcBorders>
              <w:top w:val="nil"/>
              <w:left w:val="nil"/>
              <w:bottom w:val="single" w:sz="4" w:space="0" w:color="auto"/>
              <w:right w:val="nil"/>
            </w:tcBorders>
            <w:shd w:val="clear" w:color="auto" w:fill="auto"/>
            <w:noWrap/>
            <w:vAlign w:val="center"/>
            <w:hideMark/>
          </w:tcPr>
          <w:p w14:paraId="596B4AFC" w14:textId="63AB8A5B"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335148F9" w14:textId="77777777" w:rsidTr="00A8348B">
        <w:trPr>
          <w:trHeight w:val="315"/>
        </w:trPr>
        <w:tc>
          <w:tcPr>
            <w:tcW w:w="2056" w:type="dxa"/>
            <w:tcBorders>
              <w:top w:val="nil"/>
              <w:left w:val="nil"/>
              <w:bottom w:val="single" w:sz="4" w:space="0" w:color="auto"/>
              <w:right w:val="nil"/>
            </w:tcBorders>
            <w:shd w:val="clear" w:color="auto" w:fill="auto"/>
            <w:noWrap/>
            <w:vAlign w:val="bottom"/>
            <w:hideMark/>
          </w:tcPr>
          <w:p w14:paraId="2218DA37"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KS Ústí n. Labem</w:t>
            </w:r>
          </w:p>
        </w:tc>
        <w:tc>
          <w:tcPr>
            <w:tcW w:w="1063" w:type="dxa"/>
            <w:tcBorders>
              <w:top w:val="nil"/>
              <w:left w:val="nil"/>
              <w:bottom w:val="single" w:sz="4" w:space="0" w:color="auto"/>
              <w:right w:val="nil"/>
            </w:tcBorders>
            <w:shd w:val="clear" w:color="auto" w:fill="auto"/>
            <w:noWrap/>
            <w:vAlign w:val="bottom"/>
            <w:hideMark/>
          </w:tcPr>
          <w:p w14:paraId="2E7830B8" w14:textId="61CBE845"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49,49</w:t>
            </w:r>
          </w:p>
        </w:tc>
        <w:tc>
          <w:tcPr>
            <w:tcW w:w="1134" w:type="dxa"/>
            <w:tcBorders>
              <w:top w:val="nil"/>
              <w:left w:val="nil"/>
              <w:bottom w:val="single" w:sz="4" w:space="0" w:color="auto"/>
              <w:right w:val="nil"/>
            </w:tcBorders>
            <w:shd w:val="clear" w:color="auto" w:fill="auto"/>
            <w:noWrap/>
            <w:vAlign w:val="bottom"/>
            <w:hideMark/>
          </w:tcPr>
          <w:p w14:paraId="53F1DA49" w14:textId="4DD71E8D"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80,08</w:t>
            </w:r>
          </w:p>
        </w:tc>
        <w:tc>
          <w:tcPr>
            <w:tcW w:w="979" w:type="dxa"/>
            <w:tcBorders>
              <w:top w:val="nil"/>
              <w:left w:val="nil"/>
              <w:bottom w:val="single" w:sz="4" w:space="0" w:color="auto"/>
              <w:right w:val="nil"/>
            </w:tcBorders>
            <w:shd w:val="clear" w:color="auto" w:fill="auto"/>
            <w:noWrap/>
            <w:vAlign w:val="center"/>
            <w:hideMark/>
          </w:tcPr>
          <w:p w14:paraId="004FFB64" w14:textId="3FB084C0"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147" w:type="dxa"/>
            <w:tcBorders>
              <w:top w:val="nil"/>
              <w:left w:val="single" w:sz="4" w:space="0" w:color="auto"/>
              <w:bottom w:val="single" w:sz="4" w:space="0" w:color="auto"/>
              <w:right w:val="nil"/>
            </w:tcBorders>
            <w:shd w:val="clear" w:color="auto" w:fill="auto"/>
            <w:noWrap/>
            <w:vAlign w:val="bottom"/>
            <w:hideMark/>
          </w:tcPr>
          <w:p w14:paraId="176BC8C7" w14:textId="55175911"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81,32</w:t>
            </w:r>
          </w:p>
        </w:tc>
        <w:tc>
          <w:tcPr>
            <w:tcW w:w="929" w:type="dxa"/>
            <w:tcBorders>
              <w:top w:val="nil"/>
              <w:left w:val="nil"/>
              <w:bottom w:val="single" w:sz="4" w:space="0" w:color="auto"/>
              <w:right w:val="single" w:sz="4" w:space="0" w:color="auto"/>
            </w:tcBorders>
            <w:shd w:val="clear" w:color="auto" w:fill="auto"/>
            <w:noWrap/>
            <w:vAlign w:val="center"/>
            <w:hideMark/>
          </w:tcPr>
          <w:p w14:paraId="1D023C89" w14:textId="778E6683"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056" w:type="dxa"/>
            <w:tcBorders>
              <w:top w:val="nil"/>
              <w:left w:val="nil"/>
              <w:bottom w:val="single" w:sz="4" w:space="0" w:color="auto"/>
              <w:right w:val="nil"/>
            </w:tcBorders>
            <w:shd w:val="clear" w:color="auto" w:fill="auto"/>
            <w:noWrap/>
            <w:vAlign w:val="bottom"/>
            <w:hideMark/>
          </w:tcPr>
          <w:p w14:paraId="79D90520" w14:textId="2D0F8BE7"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18,91</w:t>
            </w:r>
          </w:p>
        </w:tc>
        <w:tc>
          <w:tcPr>
            <w:tcW w:w="967" w:type="dxa"/>
            <w:tcBorders>
              <w:top w:val="nil"/>
              <w:left w:val="nil"/>
              <w:bottom w:val="single" w:sz="4" w:space="0" w:color="auto"/>
              <w:right w:val="nil"/>
            </w:tcBorders>
            <w:shd w:val="clear" w:color="auto" w:fill="auto"/>
            <w:noWrap/>
            <w:vAlign w:val="center"/>
            <w:hideMark/>
          </w:tcPr>
          <w:p w14:paraId="15A6993C" w14:textId="692D034D"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3132FAE0" w14:textId="77777777" w:rsidTr="00A8348B">
        <w:trPr>
          <w:trHeight w:val="315"/>
        </w:trPr>
        <w:tc>
          <w:tcPr>
            <w:tcW w:w="2056" w:type="dxa"/>
            <w:tcBorders>
              <w:top w:val="nil"/>
              <w:left w:val="nil"/>
              <w:bottom w:val="single" w:sz="4" w:space="0" w:color="auto"/>
              <w:right w:val="nil"/>
            </w:tcBorders>
            <w:shd w:val="clear" w:color="auto" w:fill="auto"/>
            <w:noWrap/>
            <w:vAlign w:val="bottom"/>
            <w:hideMark/>
          </w:tcPr>
          <w:p w14:paraId="50693872"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KS Hr. Králové</w:t>
            </w:r>
          </w:p>
        </w:tc>
        <w:tc>
          <w:tcPr>
            <w:tcW w:w="1063" w:type="dxa"/>
            <w:tcBorders>
              <w:top w:val="nil"/>
              <w:left w:val="nil"/>
              <w:bottom w:val="single" w:sz="4" w:space="0" w:color="auto"/>
              <w:right w:val="nil"/>
            </w:tcBorders>
            <w:shd w:val="clear" w:color="auto" w:fill="auto"/>
            <w:noWrap/>
            <w:vAlign w:val="bottom"/>
            <w:hideMark/>
          </w:tcPr>
          <w:p w14:paraId="6FA74BE5" w14:textId="77777777"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33</w:t>
            </w:r>
          </w:p>
        </w:tc>
        <w:tc>
          <w:tcPr>
            <w:tcW w:w="1134" w:type="dxa"/>
            <w:tcBorders>
              <w:top w:val="nil"/>
              <w:left w:val="nil"/>
              <w:bottom w:val="single" w:sz="4" w:space="0" w:color="auto"/>
              <w:right w:val="nil"/>
            </w:tcBorders>
            <w:shd w:val="clear" w:color="auto" w:fill="auto"/>
            <w:noWrap/>
            <w:vAlign w:val="bottom"/>
            <w:hideMark/>
          </w:tcPr>
          <w:p w14:paraId="00179245" w14:textId="122278FC"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100,82</w:t>
            </w:r>
          </w:p>
        </w:tc>
        <w:tc>
          <w:tcPr>
            <w:tcW w:w="979" w:type="dxa"/>
            <w:tcBorders>
              <w:top w:val="nil"/>
              <w:left w:val="nil"/>
              <w:bottom w:val="single" w:sz="4" w:space="0" w:color="auto"/>
              <w:right w:val="nil"/>
            </w:tcBorders>
            <w:shd w:val="clear" w:color="auto" w:fill="auto"/>
            <w:noWrap/>
            <w:vAlign w:val="center"/>
            <w:hideMark/>
          </w:tcPr>
          <w:p w14:paraId="23532122" w14:textId="1F81A124"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147" w:type="dxa"/>
            <w:tcBorders>
              <w:top w:val="nil"/>
              <w:left w:val="single" w:sz="4" w:space="0" w:color="auto"/>
              <w:bottom w:val="single" w:sz="4" w:space="0" w:color="auto"/>
              <w:right w:val="nil"/>
            </w:tcBorders>
            <w:shd w:val="clear" w:color="auto" w:fill="auto"/>
            <w:noWrap/>
            <w:vAlign w:val="bottom"/>
            <w:hideMark/>
          </w:tcPr>
          <w:p w14:paraId="472AD471" w14:textId="34C8C76B"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101,39</w:t>
            </w:r>
          </w:p>
        </w:tc>
        <w:tc>
          <w:tcPr>
            <w:tcW w:w="929" w:type="dxa"/>
            <w:tcBorders>
              <w:top w:val="nil"/>
              <w:left w:val="nil"/>
              <w:bottom w:val="single" w:sz="4" w:space="0" w:color="auto"/>
              <w:right w:val="single" w:sz="4" w:space="0" w:color="auto"/>
            </w:tcBorders>
            <w:shd w:val="clear" w:color="auto" w:fill="auto"/>
            <w:noWrap/>
            <w:vAlign w:val="center"/>
            <w:hideMark/>
          </w:tcPr>
          <w:p w14:paraId="5124D847" w14:textId="318727A3"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056" w:type="dxa"/>
            <w:tcBorders>
              <w:top w:val="nil"/>
              <w:left w:val="nil"/>
              <w:bottom w:val="single" w:sz="4" w:space="0" w:color="auto"/>
              <w:right w:val="nil"/>
            </w:tcBorders>
            <w:shd w:val="clear" w:color="auto" w:fill="auto"/>
            <w:noWrap/>
            <w:vAlign w:val="bottom"/>
            <w:hideMark/>
          </w:tcPr>
          <w:p w14:paraId="0D8A04D9" w14:textId="61320E46"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11,88</w:t>
            </w:r>
          </w:p>
        </w:tc>
        <w:tc>
          <w:tcPr>
            <w:tcW w:w="967" w:type="dxa"/>
            <w:tcBorders>
              <w:top w:val="nil"/>
              <w:left w:val="nil"/>
              <w:bottom w:val="single" w:sz="4" w:space="0" w:color="auto"/>
              <w:right w:val="nil"/>
            </w:tcBorders>
            <w:shd w:val="clear" w:color="auto" w:fill="auto"/>
            <w:noWrap/>
            <w:vAlign w:val="center"/>
            <w:hideMark/>
          </w:tcPr>
          <w:p w14:paraId="02E89F46" w14:textId="41493492"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106ED491" w14:textId="77777777" w:rsidTr="00A8348B">
        <w:trPr>
          <w:trHeight w:val="315"/>
        </w:trPr>
        <w:tc>
          <w:tcPr>
            <w:tcW w:w="2056" w:type="dxa"/>
            <w:tcBorders>
              <w:top w:val="nil"/>
              <w:left w:val="nil"/>
              <w:bottom w:val="single" w:sz="4" w:space="0" w:color="auto"/>
              <w:right w:val="nil"/>
            </w:tcBorders>
            <w:shd w:val="clear" w:color="auto" w:fill="auto"/>
            <w:noWrap/>
            <w:vAlign w:val="bottom"/>
            <w:hideMark/>
          </w:tcPr>
          <w:p w14:paraId="0BCF30EE"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KS Brno</w:t>
            </w:r>
          </w:p>
        </w:tc>
        <w:tc>
          <w:tcPr>
            <w:tcW w:w="1063" w:type="dxa"/>
            <w:tcBorders>
              <w:top w:val="nil"/>
              <w:left w:val="nil"/>
              <w:bottom w:val="single" w:sz="4" w:space="0" w:color="auto"/>
              <w:right w:val="nil"/>
            </w:tcBorders>
            <w:shd w:val="clear" w:color="auto" w:fill="auto"/>
            <w:noWrap/>
            <w:vAlign w:val="bottom"/>
            <w:hideMark/>
          </w:tcPr>
          <w:p w14:paraId="2694E4DE" w14:textId="77777777"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68</w:t>
            </w:r>
          </w:p>
        </w:tc>
        <w:tc>
          <w:tcPr>
            <w:tcW w:w="1134" w:type="dxa"/>
            <w:tcBorders>
              <w:top w:val="nil"/>
              <w:left w:val="nil"/>
              <w:bottom w:val="single" w:sz="4" w:space="0" w:color="auto"/>
              <w:right w:val="nil"/>
            </w:tcBorders>
            <w:shd w:val="clear" w:color="auto" w:fill="auto"/>
            <w:noWrap/>
            <w:vAlign w:val="bottom"/>
            <w:hideMark/>
          </w:tcPr>
          <w:p w14:paraId="391CDA49" w14:textId="22E1E1ED"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91,82</w:t>
            </w:r>
          </w:p>
        </w:tc>
        <w:tc>
          <w:tcPr>
            <w:tcW w:w="979" w:type="dxa"/>
            <w:tcBorders>
              <w:top w:val="nil"/>
              <w:left w:val="nil"/>
              <w:bottom w:val="single" w:sz="4" w:space="0" w:color="auto"/>
              <w:right w:val="nil"/>
            </w:tcBorders>
            <w:shd w:val="clear" w:color="auto" w:fill="auto"/>
            <w:noWrap/>
            <w:vAlign w:val="center"/>
            <w:hideMark/>
          </w:tcPr>
          <w:p w14:paraId="22EF00DB" w14:textId="3AA753FE"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147" w:type="dxa"/>
            <w:tcBorders>
              <w:top w:val="nil"/>
              <w:left w:val="single" w:sz="4" w:space="0" w:color="auto"/>
              <w:bottom w:val="single" w:sz="4" w:space="0" w:color="auto"/>
              <w:right w:val="nil"/>
            </w:tcBorders>
            <w:shd w:val="clear" w:color="auto" w:fill="auto"/>
            <w:noWrap/>
            <w:vAlign w:val="bottom"/>
            <w:hideMark/>
          </w:tcPr>
          <w:p w14:paraId="46009F56" w14:textId="2C8357D4"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97,18</w:t>
            </w:r>
          </w:p>
        </w:tc>
        <w:tc>
          <w:tcPr>
            <w:tcW w:w="929" w:type="dxa"/>
            <w:tcBorders>
              <w:top w:val="nil"/>
              <w:left w:val="nil"/>
              <w:bottom w:val="single" w:sz="4" w:space="0" w:color="auto"/>
              <w:right w:val="single" w:sz="4" w:space="0" w:color="auto"/>
            </w:tcBorders>
            <w:shd w:val="clear" w:color="auto" w:fill="auto"/>
            <w:noWrap/>
            <w:vAlign w:val="center"/>
            <w:hideMark/>
          </w:tcPr>
          <w:p w14:paraId="20ED6E8D" w14:textId="0F2F88FC"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056" w:type="dxa"/>
            <w:tcBorders>
              <w:top w:val="nil"/>
              <w:left w:val="nil"/>
              <w:bottom w:val="single" w:sz="4" w:space="0" w:color="auto"/>
              <w:right w:val="nil"/>
            </w:tcBorders>
            <w:shd w:val="clear" w:color="auto" w:fill="auto"/>
            <w:noWrap/>
            <w:vAlign w:val="bottom"/>
            <w:hideMark/>
          </w:tcPr>
          <w:p w14:paraId="4FB6D590" w14:textId="6D7C14DE"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31,96</w:t>
            </w:r>
          </w:p>
        </w:tc>
        <w:tc>
          <w:tcPr>
            <w:tcW w:w="967" w:type="dxa"/>
            <w:tcBorders>
              <w:top w:val="nil"/>
              <w:left w:val="nil"/>
              <w:bottom w:val="single" w:sz="4" w:space="0" w:color="auto"/>
              <w:right w:val="nil"/>
            </w:tcBorders>
            <w:shd w:val="clear" w:color="auto" w:fill="auto"/>
            <w:noWrap/>
            <w:vAlign w:val="center"/>
            <w:hideMark/>
          </w:tcPr>
          <w:p w14:paraId="342BD3F3" w14:textId="76C3AF78"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4DA1CA22" w14:textId="77777777" w:rsidTr="00A8348B">
        <w:trPr>
          <w:trHeight w:val="330"/>
        </w:trPr>
        <w:tc>
          <w:tcPr>
            <w:tcW w:w="2056" w:type="dxa"/>
            <w:tcBorders>
              <w:top w:val="nil"/>
              <w:left w:val="nil"/>
              <w:bottom w:val="double" w:sz="6" w:space="0" w:color="auto"/>
              <w:right w:val="nil"/>
            </w:tcBorders>
            <w:shd w:val="clear" w:color="auto" w:fill="auto"/>
            <w:noWrap/>
            <w:vAlign w:val="bottom"/>
            <w:hideMark/>
          </w:tcPr>
          <w:p w14:paraId="06DD7680" w14:textId="77777777" w:rsidR="008832BE" w:rsidRPr="00A00187" w:rsidRDefault="008832BE" w:rsidP="008832BE">
            <w:pPr>
              <w:spacing w:line="240" w:lineRule="auto"/>
              <w:jc w:val="left"/>
              <w:rPr>
                <w:rFonts w:eastAsia="Times New Roman"/>
                <w:szCs w:val="24"/>
                <w:lang w:eastAsia="cs-CZ"/>
              </w:rPr>
            </w:pPr>
            <w:r w:rsidRPr="00A00187">
              <w:rPr>
                <w:rFonts w:eastAsia="Times New Roman"/>
                <w:szCs w:val="24"/>
                <w:lang w:eastAsia="cs-CZ"/>
              </w:rPr>
              <w:t>KS Ostrava</w:t>
            </w:r>
          </w:p>
        </w:tc>
        <w:tc>
          <w:tcPr>
            <w:tcW w:w="1063" w:type="dxa"/>
            <w:tcBorders>
              <w:top w:val="nil"/>
              <w:left w:val="nil"/>
              <w:bottom w:val="double" w:sz="6" w:space="0" w:color="auto"/>
              <w:right w:val="nil"/>
            </w:tcBorders>
            <w:shd w:val="clear" w:color="auto" w:fill="auto"/>
            <w:noWrap/>
            <w:vAlign w:val="bottom"/>
            <w:hideMark/>
          </w:tcPr>
          <w:p w14:paraId="7917CC56" w14:textId="51A39A39"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46,3</w:t>
            </w:r>
          </w:p>
        </w:tc>
        <w:tc>
          <w:tcPr>
            <w:tcW w:w="1134" w:type="dxa"/>
            <w:tcBorders>
              <w:top w:val="nil"/>
              <w:left w:val="nil"/>
              <w:bottom w:val="double" w:sz="6" w:space="0" w:color="auto"/>
              <w:right w:val="nil"/>
            </w:tcBorders>
            <w:shd w:val="clear" w:color="auto" w:fill="auto"/>
            <w:noWrap/>
            <w:vAlign w:val="bottom"/>
            <w:hideMark/>
          </w:tcPr>
          <w:p w14:paraId="2106F628" w14:textId="695A8E35"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136,59</w:t>
            </w:r>
          </w:p>
        </w:tc>
        <w:tc>
          <w:tcPr>
            <w:tcW w:w="979" w:type="dxa"/>
            <w:tcBorders>
              <w:top w:val="nil"/>
              <w:left w:val="nil"/>
              <w:bottom w:val="double" w:sz="6" w:space="0" w:color="auto"/>
              <w:right w:val="nil"/>
            </w:tcBorders>
            <w:shd w:val="clear" w:color="auto" w:fill="auto"/>
            <w:noWrap/>
            <w:vAlign w:val="center"/>
            <w:hideMark/>
          </w:tcPr>
          <w:p w14:paraId="231E1A33" w14:textId="54D9D8A2" w:rsidR="008832BE" w:rsidRPr="00A00187" w:rsidRDefault="008832BE" w:rsidP="008832BE">
            <w:pPr>
              <w:spacing w:line="240" w:lineRule="auto"/>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1147" w:type="dxa"/>
            <w:tcBorders>
              <w:top w:val="nil"/>
              <w:left w:val="single" w:sz="4" w:space="0" w:color="auto"/>
              <w:bottom w:val="double" w:sz="6" w:space="0" w:color="auto"/>
              <w:right w:val="nil"/>
            </w:tcBorders>
            <w:shd w:val="clear" w:color="auto" w:fill="auto"/>
            <w:noWrap/>
            <w:vAlign w:val="bottom"/>
            <w:hideMark/>
          </w:tcPr>
          <w:p w14:paraId="54DFDCCF" w14:textId="0F58E8BE"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155,75</w:t>
            </w:r>
          </w:p>
        </w:tc>
        <w:tc>
          <w:tcPr>
            <w:tcW w:w="929" w:type="dxa"/>
            <w:tcBorders>
              <w:top w:val="nil"/>
              <w:left w:val="nil"/>
              <w:bottom w:val="double" w:sz="6" w:space="0" w:color="auto"/>
              <w:right w:val="single" w:sz="4" w:space="0" w:color="auto"/>
            </w:tcBorders>
            <w:shd w:val="clear" w:color="auto" w:fill="auto"/>
            <w:noWrap/>
            <w:vAlign w:val="center"/>
            <w:hideMark/>
          </w:tcPr>
          <w:p w14:paraId="2B26D993" w14:textId="1A223F38"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56" w:type="dxa"/>
            <w:tcBorders>
              <w:top w:val="nil"/>
              <w:left w:val="nil"/>
              <w:bottom w:val="double" w:sz="6" w:space="0" w:color="auto"/>
              <w:right w:val="nil"/>
            </w:tcBorders>
            <w:shd w:val="clear" w:color="auto" w:fill="auto"/>
            <w:noWrap/>
            <w:vAlign w:val="bottom"/>
            <w:hideMark/>
          </w:tcPr>
          <w:p w14:paraId="0C75B738" w14:textId="60BE211F" w:rsidR="008832BE" w:rsidRPr="00A00187" w:rsidRDefault="008832BE" w:rsidP="008832BE">
            <w:pPr>
              <w:spacing w:line="240" w:lineRule="auto"/>
              <w:jc w:val="center"/>
              <w:rPr>
                <w:rFonts w:eastAsia="Times New Roman"/>
                <w:szCs w:val="24"/>
                <w:lang w:eastAsia="cs-CZ"/>
              </w:rPr>
            </w:pPr>
            <w:r w:rsidRPr="00A00187">
              <w:rPr>
                <w:rFonts w:eastAsia="Times New Roman"/>
                <w:szCs w:val="24"/>
                <w:lang w:eastAsia="cs-CZ"/>
              </w:rPr>
              <w:t>26,39</w:t>
            </w:r>
          </w:p>
        </w:tc>
        <w:tc>
          <w:tcPr>
            <w:tcW w:w="967" w:type="dxa"/>
            <w:tcBorders>
              <w:top w:val="nil"/>
              <w:left w:val="nil"/>
              <w:bottom w:val="double" w:sz="6" w:space="0" w:color="auto"/>
              <w:right w:val="nil"/>
            </w:tcBorders>
            <w:shd w:val="clear" w:color="auto" w:fill="auto"/>
            <w:noWrap/>
            <w:vAlign w:val="center"/>
            <w:hideMark/>
          </w:tcPr>
          <w:p w14:paraId="1B029884" w14:textId="64779B80" w:rsidR="008832BE" w:rsidRPr="00A00187" w:rsidRDefault="008832BE" w:rsidP="008832BE">
            <w:pPr>
              <w:spacing w:line="240" w:lineRule="auto"/>
              <w:jc w:val="center"/>
              <w:rPr>
                <w:rFonts w:eastAsia="Times New Roman"/>
                <w:sz w:val="20"/>
                <w:szCs w:val="20"/>
                <w:lang w:eastAsia="cs-CZ"/>
              </w:rPr>
            </w:pPr>
            <w:r w:rsidRPr="00A00187">
              <w:rPr>
                <w:rFonts w:eastAsia="Times New Roman"/>
                <w:sz w:val="20"/>
                <w:szCs w:val="20"/>
                <w:lang w:eastAsia="cs-CZ"/>
              </w:rPr>
              <w:t>-44</w:t>
            </w:r>
            <w:r w:rsidR="00CB570A">
              <w:rPr>
                <w:rFonts w:eastAsia="Times New Roman"/>
                <w:sz w:val="20"/>
                <w:szCs w:val="20"/>
                <w:lang w:eastAsia="cs-CZ"/>
              </w:rPr>
              <w:t> %</w:t>
            </w:r>
          </w:p>
        </w:tc>
      </w:tr>
      <w:tr w:rsidR="00AC1E67" w:rsidRPr="00A00187" w14:paraId="4FFD456F" w14:textId="77777777" w:rsidTr="00A8348B">
        <w:trPr>
          <w:trHeight w:val="345"/>
        </w:trPr>
        <w:tc>
          <w:tcPr>
            <w:tcW w:w="2056" w:type="dxa"/>
            <w:tcBorders>
              <w:top w:val="nil"/>
              <w:left w:val="nil"/>
              <w:bottom w:val="double" w:sz="6" w:space="0" w:color="auto"/>
              <w:right w:val="nil"/>
            </w:tcBorders>
            <w:shd w:val="clear" w:color="auto" w:fill="auto"/>
            <w:noWrap/>
            <w:vAlign w:val="bottom"/>
            <w:hideMark/>
          </w:tcPr>
          <w:p w14:paraId="52D44D72" w14:textId="77777777" w:rsidR="008832BE" w:rsidRPr="00A00187" w:rsidRDefault="008832BE" w:rsidP="008832BE">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63" w:type="dxa"/>
            <w:tcBorders>
              <w:top w:val="nil"/>
              <w:left w:val="nil"/>
              <w:bottom w:val="double" w:sz="6" w:space="0" w:color="auto"/>
              <w:right w:val="nil"/>
            </w:tcBorders>
            <w:shd w:val="clear" w:color="auto" w:fill="auto"/>
            <w:noWrap/>
            <w:vAlign w:val="bottom"/>
            <w:hideMark/>
          </w:tcPr>
          <w:p w14:paraId="35ABF91D" w14:textId="50A147F5"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387,59</w:t>
            </w:r>
          </w:p>
        </w:tc>
        <w:tc>
          <w:tcPr>
            <w:tcW w:w="1134" w:type="dxa"/>
            <w:tcBorders>
              <w:top w:val="nil"/>
              <w:left w:val="nil"/>
              <w:bottom w:val="double" w:sz="6" w:space="0" w:color="auto"/>
              <w:right w:val="nil"/>
            </w:tcBorders>
            <w:shd w:val="clear" w:color="auto" w:fill="auto"/>
            <w:noWrap/>
            <w:vAlign w:val="bottom"/>
            <w:hideMark/>
          </w:tcPr>
          <w:p w14:paraId="21809A30" w14:textId="32326CC7"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111,04</w:t>
            </w:r>
          </w:p>
        </w:tc>
        <w:tc>
          <w:tcPr>
            <w:tcW w:w="979" w:type="dxa"/>
            <w:tcBorders>
              <w:top w:val="nil"/>
              <w:left w:val="nil"/>
              <w:bottom w:val="double" w:sz="6" w:space="0" w:color="auto"/>
              <w:right w:val="nil"/>
            </w:tcBorders>
            <w:shd w:val="clear" w:color="auto" w:fill="auto"/>
            <w:noWrap/>
            <w:vAlign w:val="center"/>
            <w:hideMark/>
          </w:tcPr>
          <w:p w14:paraId="5DA7F64F" w14:textId="0B69D499" w:rsidR="008832BE" w:rsidRPr="00A00187" w:rsidRDefault="008832BE" w:rsidP="008832BE">
            <w:pPr>
              <w:spacing w:line="240" w:lineRule="auto"/>
              <w:rPr>
                <w:rFonts w:eastAsia="Times New Roman"/>
                <w:b/>
                <w:bCs/>
                <w:sz w:val="20"/>
                <w:szCs w:val="20"/>
                <w:lang w:eastAsia="cs-CZ"/>
              </w:rPr>
            </w:pPr>
            <w:r w:rsidRPr="00A00187">
              <w:rPr>
                <w:rFonts w:eastAsia="Times New Roman"/>
                <w:b/>
                <w:bCs/>
                <w:sz w:val="20"/>
                <w:szCs w:val="20"/>
                <w:lang w:eastAsia="cs-CZ"/>
              </w:rPr>
              <w:t>-5</w:t>
            </w:r>
            <w:r w:rsidR="00CB570A">
              <w:rPr>
                <w:rFonts w:eastAsia="Times New Roman"/>
                <w:b/>
                <w:bCs/>
                <w:sz w:val="20"/>
                <w:szCs w:val="20"/>
                <w:lang w:eastAsia="cs-CZ"/>
              </w:rPr>
              <w:t> %</w:t>
            </w:r>
          </w:p>
        </w:tc>
        <w:tc>
          <w:tcPr>
            <w:tcW w:w="1147" w:type="dxa"/>
            <w:tcBorders>
              <w:top w:val="nil"/>
              <w:left w:val="single" w:sz="4" w:space="0" w:color="auto"/>
              <w:bottom w:val="double" w:sz="6" w:space="0" w:color="auto"/>
              <w:right w:val="nil"/>
            </w:tcBorders>
            <w:shd w:val="clear" w:color="auto" w:fill="auto"/>
            <w:noWrap/>
            <w:vAlign w:val="bottom"/>
            <w:hideMark/>
          </w:tcPr>
          <w:p w14:paraId="0FA10A7F" w14:textId="04E6439E"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114,83</w:t>
            </w:r>
          </w:p>
        </w:tc>
        <w:tc>
          <w:tcPr>
            <w:tcW w:w="929" w:type="dxa"/>
            <w:tcBorders>
              <w:top w:val="nil"/>
              <w:left w:val="nil"/>
              <w:bottom w:val="double" w:sz="6" w:space="0" w:color="auto"/>
              <w:right w:val="single" w:sz="4" w:space="0" w:color="auto"/>
            </w:tcBorders>
            <w:shd w:val="clear" w:color="auto" w:fill="auto"/>
            <w:noWrap/>
            <w:vAlign w:val="center"/>
            <w:hideMark/>
          </w:tcPr>
          <w:p w14:paraId="301C5CCA" w14:textId="07E8FAF0" w:rsidR="008832BE" w:rsidRPr="00A00187" w:rsidRDefault="008832BE" w:rsidP="008832BE">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c>
          <w:tcPr>
            <w:tcW w:w="1056" w:type="dxa"/>
            <w:tcBorders>
              <w:top w:val="nil"/>
              <w:left w:val="nil"/>
              <w:bottom w:val="double" w:sz="6" w:space="0" w:color="auto"/>
              <w:right w:val="nil"/>
            </w:tcBorders>
            <w:shd w:val="clear" w:color="auto" w:fill="auto"/>
            <w:noWrap/>
            <w:vAlign w:val="bottom"/>
            <w:hideMark/>
          </w:tcPr>
          <w:p w14:paraId="4B208321" w14:textId="3096B8B0" w:rsidR="008832BE" w:rsidRPr="00A00187" w:rsidRDefault="008832BE" w:rsidP="008832BE">
            <w:pPr>
              <w:spacing w:line="240" w:lineRule="auto"/>
              <w:jc w:val="center"/>
              <w:rPr>
                <w:rFonts w:eastAsia="Times New Roman"/>
                <w:b/>
                <w:bCs/>
                <w:szCs w:val="24"/>
                <w:lang w:eastAsia="cs-CZ"/>
              </w:rPr>
            </w:pPr>
            <w:r w:rsidRPr="00A00187">
              <w:rPr>
                <w:rFonts w:eastAsia="Times New Roman"/>
                <w:b/>
                <w:bCs/>
                <w:szCs w:val="24"/>
                <w:lang w:eastAsia="cs-CZ"/>
              </w:rPr>
              <w:t>19,42</w:t>
            </w:r>
          </w:p>
        </w:tc>
        <w:tc>
          <w:tcPr>
            <w:tcW w:w="967" w:type="dxa"/>
            <w:tcBorders>
              <w:top w:val="nil"/>
              <w:left w:val="nil"/>
              <w:bottom w:val="double" w:sz="6" w:space="0" w:color="auto"/>
              <w:right w:val="nil"/>
            </w:tcBorders>
            <w:shd w:val="clear" w:color="auto" w:fill="auto"/>
            <w:noWrap/>
            <w:vAlign w:val="center"/>
            <w:hideMark/>
          </w:tcPr>
          <w:p w14:paraId="39536959" w14:textId="7417FA33" w:rsidR="008832BE" w:rsidRPr="00A00187" w:rsidRDefault="008832BE" w:rsidP="008832BE">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r>
      <w:tr w:rsidR="00AC1E67" w:rsidRPr="00A00187" w14:paraId="12F94F54" w14:textId="77777777" w:rsidTr="00A8348B">
        <w:trPr>
          <w:trHeight w:val="330"/>
        </w:trPr>
        <w:tc>
          <w:tcPr>
            <w:tcW w:w="2056" w:type="dxa"/>
            <w:tcBorders>
              <w:top w:val="nil"/>
              <w:left w:val="nil"/>
              <w:bottom w:val="nil"/>
              <w:right w:val="nil"/>
            </w:tcBorders>
            <w:shd w:val="clear" w:color="auto" w:fill="auto"/>
            <w:noWrap/>
            <w:vAlign w:val="bottom"/>
            <w:hideMark/>
          </w:tcPr>
          <w:p w14:paraId="425DA5D1" w14:textId="77777777" w:rsidR="008832BE" w:rsidRPr="00A00187" w:rsidRDefault="008832BE" w:rsidP="008832BE">
            <w:pPr>
              <w:spacing w:line="240" w:lineRule="auto"/>
              <w:jc w:val="center"/>
              <w:rPr>
                <w:rFonts w:eastAsia="Times New Roman"/>
                <w:b/>
                <w:bCs/>
                <w:sz w:val="20"/>
                <w:szCs w:val="20"/>
                <w:lang w:eastAsia="cs-CZ"/>
              </w:rPr>
            </w:pPr>
          </w:p>
        </w:tc>
        <w:tc>
          <w:tcPr>
            <w:tcW w:w="1063" w:type="dxa"/>
            <w:tcBorders>
              <w:top w:val="nil"/>
              <w:left w:val="nil"/>
              <w:bottom w:val="nil"/>
              <w:right w:val="nil"/>
            </w:tcBorders>
            <w:shd w:val="clear" w:color="auto" w:fill="auto"/>
            <w:noWrap/>
            <w:vAlign w:val="bottom"/>
            <w:hideMark/>
          </w:tcPr>
          <w:p w14:paraId="1DAF0B62" w14:textId="77777777" w:rsidR="008832BE" w:rsidRPr="00A00187" w:rsidRDefault="008832BE" w:rsidP="008832BE">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5F547AE1" w14:textId="77777777" w:rsidR="008832BE" w:rsidRPr="00A00187" w:rsidRDefault="008832BE" w:rsidP="008832BE">
            <w:pPr>
              <w:spacing w:line="240" w:lineRule="auto"/>
              <w:jc w:val="left"/>
              <w:rPr>
                <w:rFonts w:ascii="Times New Roman" w:eastAsia="Times New Roman" w:hAnsi="Times New Roman"/>
                <w:sz w:val="20"/>
                <w:szCs w:val="20"/>
                <w:lang w:eastAsia="cs-CZ"/>
              </w:rPr>
            </w:pPr>
          </w:p>
        </w:tc>
        <w:tc>
          <w:tcPr>
            <w:tcW w:w="979" w:type="dxa"/>
            <w:tcBorders>
              <w:top w:val="nil"/>
              <w:left w:val="nil"/>
              <w:bottom w:val="nil"/>
              <w:right w:val="nil"/>
            </w:tcBorders>
            <w:shd w:val="clear" w:color="auto" w:fill="auto"/>
            <w:noWrap/>
            <w:vAlign w:val="bottom"/>
            <w:hideMark/>
          </w:tcPr>
          <w:p w14:paraId="46FAE021" w14:textId="77777777" w:rsidR="008832BE" w:rsidRPr="00A00187" w:rsidRDefault="008832BE" w:rsidP="008832BE">
            <w:pPr>
              <w:spacing w:line="240" w:lineRule="auto"/>
              <w:jc w:val="left"/>
              <w:rPr>
                <w:rFonts w:ascii="Times New Roman" w:eastAsia="Times New Roman" w:hAnsi="Times New Roman"/>
                <w:sz w:val="20"/>
                <w:szCs w:val="20"/>
                <w:lang w:eastAsia="cs-CZ"/>
              </w:rPr>
            </w:pPr>
          </w:p>
        </w:tc>
        <w:tc>
          <w:tcPr>
            <w:tcW w:w="1147" w:type="dxa"/>
            <w:tcBorders>
              <w:top w:val="nil"/>
              <w:left w:val="nil"/>
              <w:bottom w:val="nil"/>
              <w:right w:val="nil"/>
            </w:tcBorders>
            <w:shd w:val="clear" w:color="auto" w:fill="auto"/>
            <w:noWrap/>
            <w:vAlign w:val="bottom"/>
            <w:hideMark/>
          </w:tcPr>
          <w:p w14:paraId="21753C63" w14:textId="77777777" w:rsidR="008832BE" w:rsidRPr="00A00187" w:rsidRDefault="008832BE" w:rsidP="008832BE">
            <w:pPr>
              <w:spacing w:line="240" w:lineRule="auto"/>
              <w:jc w:val="left"/>
              <w:rPr>
                <w:rFonts w:ascii="Times New Roman" w:eastAsia="Times New Roman" w:hAnsi="Times New Roman"/>
                <w:sz w:val="20"/>
                <w:szCs w:val="20"/>
                <w:lang w:eastAsia="cs-CZ"/>
              </w:rPr>
            </w:pPr>
          </w:p>
        </w:tc>
        <w:tc>
          <w:tcPr>
            <w:tcW w:w="929" w:type="dxa"/>
            <w:tcBorders>
              <w:top w:val="nil"/>
              <w:left w:val="nil"/>
              <w:bottom w:val="nil"/>
              <w:right w:val="nil"/>
            </w:tcBorders>
            <w:shd w:val="clear" w:color="auto" w:fill="auto"/>
            <w:noWrap/>
            <w:vAlign w:val="bottom"/>
            <w:hideMark/>
          </w:tcPr>
          <w:p w14:paraId="299A791C" w14:textId="77777777" w:rsidR="008832BE" w:rsidRPr="00A00187" w:rsidRDefault="008832BE" w:rsidP="008832BE">
            <w:pPr>
              <w:spacing w:line="240" w:lineRule="auto"/>
              <w:jc w:val="left"/>
              <w:rPr>
                <w:rFonts w:ascii="Times New Roman" w:eastAsia="Times New Roman" w:hAnsi="Times New Roman"/>
                <w:sz w:val="20"/>
                <w:szCs w:val="20"/>
                <w:lang w:eastAsia="cs-CZ"/>
              </w:rPr>
            </w:pPr>
          </w:p>
        </w:tc>
        <w:tc>
          <w:tcPr>
            <w:tcW w:w="1056" w:type="dxa"/>
            <w:tcBorders>
              <w:top w:val="nil"/>
              <w:left w:val="nil"/>
              <w:bottom w:val="nil"/>
              <w:right w:val="nil"/>
            </w:tcBorders>
            <w:shd w:val="clear" w:color="auto" w:fill="auto"/>
            <w:noWrap/>
            <w:vAlign w:val="bottom"/>
            <w:hideMark/>
          </w:tcPr>
          <w:p w14:paraId="2624E42A" w14:textId="77777777" w:rsidR="008832BE" w:rsidRPr="00A00187" w:rsidRDefault="008832BE" w:rsidP="008832BE">
            <w:pPr>
              <w:spacing w:line="240" w:lineRule="auto"/>
              <w:jc w:val="left"/>
              <w:rPr>
                <w:rFonts w:ascii="Times New Roman" w:eastAsia="Times New Roman" w:hAnsi="Times New Roman"/>
                <w:sz w:val="20"/>
                <w:szCs w:val="20"/>
                <w:lang w:eastAsia="cs-CZ"/>
              </w:rPr>
            </w:pPr>
          </w:p>
        </w:tc>
        <w:tc>
          <w:tcPr>
            <w:tcW w:w="967" w:type="dxa"/>
            <w:tcBorders>
              <w:top w:val="nil"/>
              <w:left w:val="nil"/>
              <w:bottom w:val="nil"/>
              <w:right w:val="nil"/>
            </w:tcBorders>
            <w:shd w:val="clear" w:color="auto" w:fill="auto"/>
            <w:noWrap/>
            <w:vAlign w:val="bottom"/>
            <w:hideMark/>
          </w:tcPr>
          <w:p w14:paraId="7051F38D" w14:textId="77777777" w:rsidR="008832BE" w:rsidRPr="00A00187" w:rsidRDefault="008832BE" w:rsidP="008832BE">
            <w:pPr>
              <w:spacing w:line="240" w:lineRule="auto"/>
              <w:jc w:val="left"/>
              <w:rPr>
                <w:rFonts w:ascii="Times New Roman" w:eastAsia="Times New Roman" w:hAnsi="Times New Roman"/>
                <w:sz w:val="20"/>
                <w:szCs w:val="20"/>
                <w:lang w:eastAsia="cs-CZ"/>
              </w:rPr>
            </w:pPr>
          </w:p>
        </w:tc>
      </w:tr>
    </w:tbl>
    <w:p w14:paraId="71E83314" w14:textId="2A614FA3" w:rsidR="00246A41" w:rsidRPr="00A00187" w:rsidRDefault="008430BD" w:rsidP="008430BD">
      <w:pPr>
        <w:pStyle w:val="Nadpis3"/>
        <w:numPr>
          <w:ilvl w:val="2"/>
          <w:numId w:val="1"/>
        </w:numPr>
        <w:rPr>
          <w:color w:val="auto"/>
        </w:rPr>
      </w:pPr>
      <w:bookmarkStart w:id="712" w:name="_Toc41058973"/>
      <w:bookmarkStart w:id="713" w:name="_Toc515871256"/>
      <w:bookmarkStart w:id="714" w:name="_Toc106092762"/>
      <w:bookmarkStart w:id="715" w:name="_Toc109801373"/>
      <w:bookmarkEnd w:id="712"/>
      <w:proofErr w:type="spellStart"/>
      <w:r w:rsidRPr="00A00187">
        <w:rPr>
          <w:color w:val="auto"/>
        </w:rPr>
        <w:t>Disposition</w:t>
      </w:r>
      <w:proofErr w:type="spellEnd"/>
      <w:r w:rsidRPr="00A00187">
        <w:rPr>
          <w:color w:val="auto"/>
        </w:rPr>
        <w:t xml:space="preserve"> </w:t>
      </w:r>
      <w:proofErr w:type="spellStart"/>
      <w:r w:rsidRPr="00A00187">
        <w:rPr>
          <w:color w:val="auto"/>
        </w:rPr>
        <w:t>time</w:t>
      </w:r>
      <w:bookmarkEnd w:id="713"/>
      <w:proofErr w:type="spellEnd"/>
      <w:r w:rsidRPr="00A00187">
        <w:rPr>
          <w:color w:val="auto"/>
        </w:rPr>
        <w:t xml:space="preserve"> (dispoziční čas)</w:t>
      </w:r>
      <w:bookmarkEnd w:id="714"/>
      <w:bookmarkEnd w:id="715"/>
    </w:p>
    <w:p w14:paraId="285FE76D" w14:textId="77777777" w:rsidR="008832BE" w:rsidRPr="00A00187" w:rsidRDefault="008832BE" w:rsidP="008832BE">
      <w:pPr>
        <w:pStyle w:val="OdstavecASR"/>
      </w:pPr>
      <w:r w:rsidRPr="00A00187">
        <w:t xml:space="preserve">Připomeňme, že se jedná o ukazatel efektivnosti vyřizování věcí a vyjadřuje, za kolik dní by daný soud vyřídil nevyřízené věci již </w:t>
      </w:r>
      <w:r w:rsidR="002876D2" w:rsidRPr="00A00187">
        <w:t>„</w:t>
      </w:r>
      <w:r w:rsidRPr="00A00187">
        <w:t>ležící</w:t>
      </w:r>
      <w:r w:rsidR="002876D2" w:rsidRPr="00A00187">
        <w:t>“</w:t>
      </w:r>
      <w:r w:rsidRPr="00A00187">
        <w:t xml:space="preserve"> na soudu, pokud by neměl žádný nový nápad a pracoval stejným tempem.</w:t>
      </w:r>
    </w:p>
    <w:p w14:paraId="023E00BE" w14:textId="4CD0C2E9" w:rsidR="008832BE" w:rsidRPr="00A00187" w:rsidRDefault="008832BE" w:rsidP="008832BE">
      <w:pPr>
        <w:pStyle w:val="OdstavecASR"/>
      </w:pPr>
      <w:r w:rsidRPr="00A00187">
        <w:t>DT se v letech 2017–2018 mírně prodlužoval, což bylo způsobeno tím, že rychlé vyřizování věcí se neodráží ve stejně rychlém ubývání nevyřízených věcí v daném roce. V roce 2019 se DT díky signifikantnímu poklesu v počtu nevyřízených věcí snížil na úroveň roku 2016, tj. na nejnižší úroveň za celé sledované období. V roce 2020 pak DT narostl, což plyne především z poklesu nápadu, a tedy poklesu v počtu vyřízených věcí.</w:t>
      </w:r>
      <w:r w:rsidR="00A53233" w:rsidRPr="00A00187">
        <w:t xml:space="preserve"> V roce 2021 DT opět poklesl z důvodu poklesu v počtu nevyřízených věcí.</w:t>
      </w:r>
    </w:p>
    <w:p w14:paraId="62A03A2B" w14:textId="0E4CF9A8" w:rsidR="00CB570A" w:rsidRDefault="008832BE" w:rsidP="008832BE">
      <w:pPr>
        <w:pStyle w:val="OdstavecASR"/>
      </w:pPr>
      <w:r w:rsidRPr="00A00187">
        <w:t>Stejně jako v ostatních agendách existují v odvolací civilní agendě u krajských soudů velké rozdíly mezi soudy a také v rámci soudu lze v časových řadách registrovat více či méně pravidelné odchylky. V roce 202</w:t>
      </w:r>
      <w:r w:rsidR="00A53233" w:rsidRPr="00A00187">
        <w:t>1</w:t>
      </w:r>
      <w:r w:rsidRPr="00A00187">
        <w:t xml:space="preserve"> se DT </w:t>
      </w:r>
      <w:r w:rsidR="00A53233" w:rsidRPr="00A00187">
        <w:t xml:space="preserve">zlepšil nejvíce </w:t>
      </w:r>
      <w:r w:rsidR="00755920" w:rsidRPr="00A00187">
        <w:t>u</w:t>
      </w:r>
      <w:r w:rsidR="00755920">
        <w:t> </w:t>
      </w:r>
      <w:r w:rsidR="00A53233" w:rsidRPr="00A00187">
        <w:t>KS v Ostravě, což plyne z výše diskutovaných důvodů.</w:t>
      </w:r>
    </w:p>
    <w:p w14:paraId="1B541E52" w14:textId="26B75763" w:rsidR="008832BE" w:rsidRPr="00A00187" w:rsidRDefault="008832BE" w:rsidP="008832BE">
      <w:pPr>
        <w:pStyle w:val="OdstavecASR"/>
      </w:pPr>
      <w:r w:rsidRPr="00A00187">
        <w:t xml:space="preserve">Závěrem lze konstatovat, že délky řízení i DT u odvolací civilní agendy u krajských soudů jsou v průměru nízké a agenda je z tohoto hlediska poměrně bezproblémová. Určité problémy má dlouhodobě především KS Brno, kde je úroveň DT násobně vyšší než u některých krajských </w:t>
      </w:r>
      <w:r w:rsidRPr="00A00187">
        <w:lastRenderedPageBreak/>
        <w:t xml:space="preserve">soudů, a částečně KS Ústí nad Labem. Problémy </w:t>
      </w:r>
      <w:r w:rsidR="00A53233" w:rsidRPr="00A00187">
        <w:t xml:space="preserve">někdy </w:t>
      </w:r>
      <w:r w:rsidRPr="00A00187">
        <w:t>vyk</w:t>
      </w:r>
      <w:r w:rsidR="002876D2" w:rsidRPr="00A00187">
        <w:t>a</w:t>
      </w:r>
      <w:r w:rsidRPr="00A00187">
        <w:t>z</w:t>
      </w:r>
      <w:r w:rsidR="00A53233" w:rsidRPr="00A00187">
        <w:t>uje</w:t>
      </w:r>
      <w:r w:rsidRPr="00A00187">
        <w:t xml:space="preserve"> i KS Ostrava. Situace se nicméně z dlouhodobého hlediska zlepšuje a tuto agendu nelze označit jako problematickou.</w:t>
      </w:r>
    </w:p>
    <w:p w14:paraId="61455674" w14:textId="6953A2D1" w:rsidR="008832BE" w:rsidRPr="00A00187" w:rsidRDefault="008832BE" w:rsidP="008832BE">
      <w:pPr>
        <w:pStyle w:val="Podnadpis"/>
        <w:rPr>
          <w:color w:val="auto"/>
        </w:rPr>
      </w:pPr>
      <w:bookmarkStart w:id="716" w:name="_Toc515871388"/>
      <w:bookmarkStart w:id="717" w:name="_Toc11135119"/>
      <w:bookmarkStart w:id="718" w:name="_Toc43841438"/>
      <w:bookmarkStart w:id="719" w:name="_Toc75952241"/>
      <w:bookmarkStart w:id="720" w:name="_Toc106106698"/>
      <w:bookmarkStart w:id="721" w:name="_Toc109802022"/>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64</w:t>
      </w:r>
      <w:r w:rsidRPr="00A00187">
        <w:rPr>
          <w:noProof/>
          <w:color w:val="auto"/>
        </w:rPr>
        <w:fldChar w:fldCharType="end"/>
      </w:r>
      <w:r w:rsidRPr="00A00187">
        <w:rPr>
          <w:color w:val="auto"/>
        </w:rPr>
        <w:t>: KS – DT odvolacího civilního řízení v letech 2008–20</w:t>
      </w:r>
      <w:bookmarkEnd w:id="716"/>
      <w:bookmarkEnd w:id="717"/>
      <w:bookmarkEnd w:id="718"/>
      <w:r w:rsidRPr="00A00187">
        <w:rPr>
          <w:color w:val="auto"/>
        </w:rPr>
        <w:t>2</w:t>
      </w:r>
      <w:bookmarkEnd w:id="719"/>
      <w:r w:rsidRPr="00A00187">
        <w:rPr>
          <w:color w:val="auto"/>
        </w:rPr>
        <w:t>1</w:t>
      </w:r>
      <w:bookmarkEnd w:id="720"/>
      <w:bookmarkEnd w:id="721"/>
    </w:p>
    <w:p w14:paraId="67B9D27F" w14:textId="77777777" w:rsidR="0078153C" w:rsidRPr="00A00187" w:rsidRDefault="0078153C">
      <w:pPr>
        <w:spacing w:after="160" w:line="259" w:lineRule="auto"/>
        <w:jc w:val="left"/>
      </w:pPr>
      <w:r w:rsidRPr="00A00187">
        <w:rPr>
          <w:noProof/>
        </w:rPr>
        <w:drawing>
          <wp:inline distT="0" distB="0" distL="0" distR="0" wp14:anchorId="02F71A33" wp14:editId="3908B9DC">
            <wp:extent cx="5025390" cy="3657600"/>
            <wp:effectExtent l="0" t="0" r="381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ECD4ED1" w14:textId="7A605AA7" w:rsidR="0078153C" w:rsidRPr="00A00187" w:rsidRDefault="0078153C" w:rsidP="0078153C">
      <w:pPr>
        <w:pStyle w:val="Podnadpis"/>
        <w:rPr>
          <w:color w:val="auto"/>
        </w:rPr>
      </w:pPr>
      <w:bookmarkStart w:id="722" w:name="_Toc43931224"/>
      <w:bookmarkStart w:id="723" w:name="_Toc75952357"/>
      <w:bookmarkStart w:id="724" w:name="_Toc106106813"/>
      <w:bookmarkStart w:id="725" w:name="_Toc109802136"/>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51</w:t>
      </w:r>
      <w:r w:rsidRPr="00A00187">
        <w:rPr>
          <w:noProof/>
          <w:color w:val="auto"/>
        </w:rPr>
        <w:fldChar w:fldCharType="end"/>
      </w:r>
      <w:r w:rsidRPr="00A00187">
        <w:rPr>
          <w:color w:val="auto"/>
        </w:rPr>
        <w:t>: KS – DT v civilním odvolacím řízení dle soudů</w:t>
      </w:r>
      <w:bookmarkEnd w:id="722"/>
      <w:bookmarkEnd w:id="723"/>
      <w:bookmarkEnd w:id="724"/>
      <w:bookmarkEnd w:id="725"/>
    </w:p>
    <w:tbl>
      <w:tblPr>
        <w:tblW w:w="5992" w:type="dxa"/>
        <w:tblCellMar>
          <w:left w:w="70" w:type="dxa"/>
          <w:right w:w="70" w:type="dxa"/>
        </w:tblCellMar>
        <w:tblLook w:val="04A0" w:firstRow="1" w:lastRow="0" w:firstColumn="1" w:lastColumn="0" w:noHBand="0" w:noVBand="1"/>
      </w:tblPr>
      <w:tblGrid>
        <w:gridCol w:w="2796"/>
        <w:gridCol w:w="1345"/>
        <w:gridCol w:w="1851"/>
      </w:tblGrid>
      <w:tr w:rsidR="00AC1E67" w:rsidRPr="00A00187" w14:paraId="34FFE1F4" w14:textId="77777777" w:rsidTr="0078153C">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42F17D65" w14:textId="77777777" w:rsidR="0078153C" w:rsidRPr="00A00187" w:rsidRDefault="0078153C" w:rsidP="0078153C">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196" w:type="dxa"/>
            <w:gridSpan w:val="2"/>
            <w:tcBorders>
              <w:top w:val="double" w:sz="6" w:space="0" w:color="auto"/>
              <w:left w:val="nil"/>
              <w:bottom w:val="double" w:sz="6" w:space="0" w:color="auto"/>
              <w:right w:val="nil"/>
            </w:tcBorders>
            <w:shd w:val="clear" w:color="auto" w:fill="auto"/>
            <w:noWrap/>
            <w:vAlign w:val="center"/>
            <w:hideMark/>
          </w:tcPr>
          <w:p w14:paraId="45645439" w14:textId="77777777" w:rsidR="0078153C" w:rsidRPr="00A00187" w:rsidRDefault="0078153C" w:rsidP="0078153C">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0C077487" w14:textId="77777777" w:rsidTr="0078153C">
        <w:trPr>
          <w:trHeight w:val="330"/>
        </w:trPr>
        <w:tc>
          <w:tcPr>
            <w:tcW w:w="2796" w:type="dxa"/>
            <w:tcBorders>
              <w:top w:val="nil"/>
              <w:left w:val="nil"/>
              <w:bottom w:val="single" w:sz="4" w:space="0" w:color="auto"/>
              <w:right w:val="nil"/>
            </w:tcBorders>
            <w:shd w:val="clear" w:color="auto" w:fill="auto"/>
            <w:noWrap/>
            <w:vAlign w:val="bottom"/>
            <w:hideMark/>
          </w:tcPr>
          <w:p w14:paraId="578C1FE9"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MS Praha</w:t>
            </w:r>
          </w:p>
        </w:tc>
        <w:tc>
          <w:tcPr>
            <w:tcW w:w="1345" w:type="dxa"/>
            <w:tcBorders>
              <w:top w:val="nil"/>
              <w:left w:val="nil"/>
              <w:bottom w:val="single" w:sz="4" w:space="0" w:color="auto"/>
              <w:right w:val="nil"/>
            </w:tcBorders>
            <w:shd w:val="clear" w:color="auto" w:fill="auto"/>
            <w:noWrap/>
            <w:vAlign w:val="bottom"/>
            <w:hideMark/>
          </w:tcPr>
          <w:p w14:paraId="35B1186B"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46</w:t>
            </w:r>
          </w:p>
        </w:tc>
        <w:tc>
          <w:tcPr>
            <w:tcW w:w="1851" w:type="dxa"/>
            <w:tcBorders>
              <w:top w:val="nil"/>
              <w:left w:val="nil"/>
              <w:bottom w:val="single" w:sz="4" w:space="0" w:color="auto"/>
              <w:right w:val="nil"/>
            </w:tcBorders>
            <w:shd w:val="clear" w:color="auto" w:fill="auto"/>
            <w:noWrap/>
            <w:vAlign w:val="center"/>
            <w:hideMark/>
          </w:tcPr>
          <w:p w14:paraId="6602947D" w14:textId="02F7ADB5"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1BEF2644" w14:textId="77777777" w:rsidTr="0078153C">
        <w:trPr>
          <w:trHeight w:val="315"/>
        </w:trPr>
        <w:tc>
          <w:tcPr>
            <w:tcW w:w="2796" w:type="dxa"/>
            <w:tcBorders>
              <w:top w:val="nil"/>
              <w:left w:val="nil"/>
              <w:bottom w:val="single" w:sz="4" w:space="0" w:color="auto"/>
              <w:right w:val="nil"/>
            </w:tcBorders>
            <w:shd w:val="clear" w:color="auto" w:fill="auto"/>
            <w:noWrap/>
            <w:vAlign w:val="bottom"/>
            <w:hideMark/>
          </w:tcPr>
          <w:p w14:paraId="150E0EDA"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KS Praha</w:t>
            </w:r>
          </w:p>
        </w:tc>
        <w:tc>
          <w:tcPr>
            <w:tcW w:w="1345" w:type="dxa"/>
            <w:tcBorders>
              <w:top w:val="nil"/>
              <w:left w:val="nil"/>
              <w:bottom w:val="single" w:sz="4" w:space="0" w:color="auto"/>
              <w:right w:val="nil"/>
            </w:tcBorders>
            <w:shd w:val="clear" w:color="auto" w:fill="auto"/>
            <w:noWrap/>
            <w:vAlign w:val="bottom"/>
            <w:hideMark/>
          </w:tcPr>
          <w:p w14:paraId="575C7053"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39</w:t>
            </w:r>
          </w:p>
        </w:tc>
        <w:tc>
          <w:tcPr>
            <w:tcW w:w="1851" w:type="dxa"/>
            <w:tcBorders>
              <w:top w:val="nil"/>
              <w:left w:val="nil"/>
              <w:bottom w:val="single" w:sz="4" w:space="0" w:color="auto"/>
              <w:right w:val="nil"/>
            </w:tcBorders>
            <w:shd w:val="clear" w:color="auto" w:fill="auto"/>
            <w:noWrap/>
            <w:vAlign w:val="center"/>
            <w:hideMark/>
          </w:tcPr>
          <w:p w14:paraId="104E03A9" w14:textId="72CFB0F3"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r>
      <w:tr w:rsidR="00AC1E67" w:rsidRPr="00A00187" w14:paraId="1D4EA416" w14:textId="77777777" w:rsidTr="0078153C">
        <w:trPr>
          <w:trHeight w:val="315"/>
        </w:trPr>
        <w:tc>
          <w:tcPr>
            <w:tcW w:w="2796" w:type="dxa"/>
            <w:tcBorders>
              <w:top w:val="nil"/>
              <w:left w:val="nil"/>
              <w:bottom w:val="single" w:sz="4" w:space="0" w:color="auto"/>
              <w:right w:val="nil"/>
            </w:tcBorders>
            <w:shd w:val="clear" w:color="auto" w:fill="auto"/>
            <w:noWrap/>
            <w:vAlign w:val="bottom"/>
            <w:hideMark/>
          </w:tcPr>
          <w:p w14:paraId="409BB733"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KS Č. Budějovice</w:t>
            </w:r>
          </w:p>
        </w:tc>
        <w:tc>
          <w:tcPr>
            <w:tcW w:w="1345" w:type="dxa"/>
            <w:tcBorders>
              <w:top w:val="nil"/>
              <w:left w:val="nil"/>
              <w:bottom w:val="single" w:sz="4" w:space="0" w:color="auto"/>
              <w:right w:val="nil"/>
            </w:tcBorders>
            <w:shd w:val="clear" w:color="auto" w:fill="auto"/>
            <w:noWrap/>
            <w:vAlign w:val="bottom"/>
            <w:hideMark/>
          </w:tcPr>
          <w:p w14:paraId="30CFF7B8"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47</w:t>
            </w:r>
          </w:p>
        </w:tc>
        <w:tc>
          <w:tcPr>
            <w:tcW w:w="1851" w:type="dxa"/>
            <w:tcBorders>
              <w:top w:val="nil"/>
              <w:left w:val="nil"/>
              <w:bottom w:val="single" w:sz="4" w:space="0" w:color="auto"/>
              <w:right w:val="nil"/>
            </w:tcBorders>
            <w:shd w:val="clear" w:color="auto" w:fill="auto"/>
            <w:noWrap/>
            <w:vAlign w:val="center"/>
            <w:hideMark/>
          </w:tcPr>
          <w:p w14:paraId="355F1FAB" w14:textId="24C43CF6"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4CCF1EE6" w14:textId="77777777" w:rsidTr="0078153C">
        <w:trPr>
          <w:trHeight w:val="315"/>
        </w:trPr>
        <w:tc>
          <w:tcPr>
            <w:tcW w:w="2796" w:type="dxa"/>
            <w:tcBorders>
              <w:top w:val="nil"/>
              <w:left w:val="nil"/>
              <w:bottom w:val="single" w:sz="4" w:space="0" w:color="auto"/>
              <w:right w:val="nil"/>
            </w:tcBorders>
            <w:shd w:val="clear" w:color="auto" w:fill="auto"/>
            <w:noWrap/>
            <w:vAlign w:val="bottom"/>
            <w:hideMark/>
          </w:tcPr>
          <w:p w14:paraId="6CF9A5F9"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KS Plzeň</w:t>
            </w:r>
          </w:p>
        </w:tc>
        <w:tc>
          <w:tcPr>
            <w:tcW w:w="1345" w:type="dxa"/>
            <w:tcBorders>
              <w:top w:val="nil"/>
              <w:left w:val="nil"/>
              <w:bottom w:val="single" w:sz="4" w:space="0" w:color="auto"/>
              <w:right w:val="nil"/>
            </w:tcBorders>
            <w:shd w:val="clear" w:color="auto" w:fill="auto"/>
            <w:noWrap/>
            <w:vAlign w:val="bottom"/>
            <w:hideMark/>
          </w:tcPr>
          <w:p w14:paraId="40613453"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43</w:t>
            </w:r>
          </w:p>
        </w:tc>
        <w:tc>
          <w:tcPr>
            <w:tcW w:w="1851" w:type="dxa"/>
            <w:tcBorders>
              <w:top w:val="nil"/>
              <w:left w:val="nil"/>
              <w:bottom w:val="single" w:sz="4" w:space="0" w:color="auto"/>
              <w:right w:val="nil"/>
            </w:tcBorders>
            <w:shd w:val="clear" w:color="auto" w:fill="auto"/>
            <w:noWrap/>
            <w:vAlign w:val="center"/>
            <w:hideMark/>
          </w:tcPr>
          <w:p w14:paraId="6C211929" w14:textId="17637C51"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77716929" w14:textId="77777777" w:rsidTr="0078153C">
        <w:trPr>
          <w:trHeight w:val="315"/>
        </w:trPr>
        <w:tc>
          <w:tcPr>
            <w:tcW w:w="2796" w:type="dxa"/>
            <w:tcBorders>
              <w:top w:val="nil"/>
              <w:left w:val="nil"/>
              <w:bottom w:val="single" w:sz="4" w:space="0" w:color="auto"/>
              <w:right w:val="nil"/>
            </w:tcBorders>
            <w:shd w:val="clear" w:color="auto" w:fill="auto"/>
            <w:noWrap/>
            <w:vAlign w:val="bottom"/>
            <w:hideMark/>
          </w:tcPr>
          <w:p w14:paraId="40E131B3"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KS Ústí n. Labem</w:t>
            </w:r>
          </w:p>
        </w:tc>
        <w:tc>
          <w:tcPr>
            <w:tcW w:w="1345" w:type="dxa"/>
            <w:tcBorders>
              <w:top w:val="nil"/>
              <w:left w:val="nil"/>
              <w:bottom w:val="single" w:sz="4" w:space="0" w:color="auto"/>
              <w:right w:val="nil"/>
            </w:tcBorders>
            <w:shd w:val="clear" w:color="auto" w:fill="auto"/>
            <w:noWrap/>
            <w:vAlign w:val="bottom"/>
            <w:hideMark/>
          </w:tcPr>
          <w:p w14:paraId="1A3C7932"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85</w:t>
            </w:r>
          </w:p>
        </w:tc>
        <w:tc>
          <w:tcPr>
            <w:tcW w:w="1851" w:type="dxa"/>
            <w:tcBorders>
              <w:top w:val="nil"/>
              <w:left w:val="nil"/>
              <w:bottom w:val="single" w:sz="4" w:space="0" w:color="auto"/>
              <w:right w:val="nil"/>
            </w:tcBorders>
            <w:shd w:val="clear" w:color="auto" w:fill="auto"/>
            <w:noWrap/>
            <w:vAlign w:val="center"/>
            <w:hideMark/>
          </w:tcPr>
          <w:p w14:paraId="1D022C7D" w14:textId="5EA4E5D2"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r>
      <w:tr w:rsidR="00AC1E67" w:rsidRPr="00A00187" w14:paraId="31A0F76D" w14:textId="77777777" w:rsidTr="0078153C">
        <w:trPr>
          <w:trHeight w:val="315"/>
        </w:trPr>
        <w:tc>
          <w:tcPr>
            <w:tcW w:w="2796" w:type="dxa"/>
            <w:tcBorders>
              <w:top w:val="nil"/>
              <w:left w:val="nil"/>
              <w:bottom w:val="single" w:sz="4" w:space="0" w:color="auto"/>
              <w:right w:val="nil"/>
            </w:tcBorders>
            <w:shd w:val="clear" w:color="auto" w:fill="auto"/>
            <w:noWrap/>
            <w:vAlign w:val="bottom"/>
            <w:hideMark/>
          </w:tcPr>
          <w:p w14:paraId="54DC3B1C"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KS Hr. Králové</w:t>
            </w:r>
          </w:p>
        </w:tc>
        <w:tc>
          <w:tcPr>
            <w:tcW w:w="1345" w:type="dxa"/>
            <w:tcBorders>
              <w:top w:val="nil"/>
              <w:left w:val="nil"/>
              <w:bottom w:val="single" w:sz="4" w:space="0" w:color="auto"/>
              <w:right w:val="nil"/>
            </w:tcBorders>
            <w:shd w:val="clear" w:color="auto" w:fill="auto"/>
            <w:noWrap/>
            <w:vAlign w:val="bottom"/>
            <w:hideMark/>
          </w:tcPr>
          <w:p w14:paraId="1FD48CB2"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43</w:t>
            </w:r>
          </w:p>
        </w:tc>
        <w:tc>
          <w:tcPr>
            <w:tcW w:w="1851" w:type="dxa"/>
            <w:tcBorders>
              <w:top w:val="nil"/>
              <w:left w:val="nil"/>
              <w:bottom w:val="single" w:sz="4" w:space="0" w:color="auto"/>
              <w:right w:val="nil"/>
            </w:tcBorders>
            <w:shd w:val="clear" w:color="auto" w:fill="auto"/>
            <w:noWrap/>
            <w:vAlign w:val="center"/>
            <w:hideMark/>
          </w:tcPr>
          <w:p w14:paraId="3826553E" w14:textId="7711A48B"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r>
      <w:tr w:rsidR="00AC1E67" w:rsidRPr="00A00187" w14:paraId="2F359FFE" w14:textId="77777777" w:rsidTr="0078153C">
        <w:trPr>
          <w:trHeight w:val="315"/>
        </w:trPr>
        <w:tc>
          <w:tcPr>
            <w:tcW w:w="2796" w:type="dxa"/>
            <w:tcBorders>
              <w:top w:val="nil"/>
              <w:left w:val="nil"/>
              <w:bottom w:val="single" w:sz="4" w:space="0" w:color="auto"/>
              <w:right w:val="nil"/>
            </w:tcBorders>
            <w:shd w:val="clear" w:color="auto" w:fill="auto"/>
            <w:noWrap/>
            <w:vAlign w:val="bottom"/>
            <w:hideMark/>
          </w:tcPr>
          <w:p w14:paraId="0740EA84"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KS Brno</w:t>
            </w:r>
          </w:p>
        </w:tc>
        <w:tc>
          <w:tcPr>
            <w:tcW w:w="1345" w:type="dxa"/>
            <w:tcBorders>
              <w:top w:val="nil"/>
              <w:left w:val="nil"/>
              <w:bottom w:val="single" w:sz="4" w:space="0" w:color="auto"/>
              <w:right w:val="nil"/>
            </w:tcBorders>
            <w:shd w:val="clear" w:color="auto" w:fill="auto"/>
            <w:noWrap/>
            <w:vAlign w:val="bottom"/>
            <w:hideMark/>
          </w:tcPr>
          <w:p w14:paraId="60717C3A"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120</w:t>
            </w:r>
          </w:p>
        </w:tc>
        <w:tc>
          <w:tcPr>
            <w:tcW w:w="1851" w:type="dxa"/>
            <w:tcBorders>
              <w:top w:val="nil"/>
              <w:left w:val="nil"/>
              <w:bottom w:val="single" w:sz="4" w:space="0" w:color="auto"/>
              <w:right w:val="nil"/>
            </w:tcBorders>
            <w:shd w:val="clear" w:color="auto" w:fill="auto"/>
            <w:noWrap/>
            <w:vAlign w:val="center"/>
            <w:hideMark/>
          </w:tcPr>
          <w:p w14:paraId="7CB7B8B3" w14:textId="7AE260FA"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70F7F5B7" w14:textId="77777777" w:rsidTr="0078153C">
        <w:trPr>
          <w:trHeight w:val="330"/>
        </w:trPr>
        <w:tc>
          <w:tcPr>
            <w:tcW w:w="2796" w:type="dxa"/>
            <w:tcBorders>
              <w:top w:val="nil"/>
              <w:left w:val="nil"/>
              <w:bottom w:val="double" w:sz="6" w:space="0" w:color="auto"/>
              <w:right w:val="nil"/>
            </w:tcBorders>
            <w:shd w:val="clear" w:color="auto" w:fill="auto"/>
            <w:noWrap/>
            <w:vAlign w:val="bottom"/>
            <w:hideMark/>
          </w:tcPr>
          <w:p w14:paraId="37479B95" w14:textId="77777777" w:rsidR="0078153C" w:rsidRPr="00A00187" w:rsidRDefault="0078153C" w:rsidP="0078153C">
            <w:pPr>
              <w:spacing w:line="240" w:lineRule="auto"/>
              <w:jc w:val="left"/>
              <w:rPr>
                <w:rFonts w:eastAsia="Times New Roman"/>
                <w:szCs w:val="24"/>
                <w:lang w:eastAsia="cs-CZ"/>
              </w:rPr>
            </w:pPr>
            <w:r w:rsidRPr="00A00187">
              <w:rPr>
                <w:rFonts w:eastAsia="Times New Roman"/>
                <w:szCs w:val="24"/>
                <w:lang w:eastAsia="cs-CZ"/>
              </w:rPr>
              <w:t>KS Ostrava</w:t>
            </w:r>
          </w:p>
        </w:tc>
        <w:tc>
          <w:tcPr>
            <w:tcW w:w="1345" w:type="dxa"/>
            <w:tcBorders>
              <w:top w:val="nil"/>
              <w:left w:val="nil"/>
              <w:bottom w:val="double" w:sz="6" w:space="0" w:color="auto"/>
              <w:right w:val="nil"/>
            </w:tcBorders>
            <w:shd w:val="clear" w:color="auto" w:fill="auto"/>
            <w:noWrap/>
            <w:vAlign w:val="bottom"/>
            <w:hideMark/>
          </w:tcPr>
          <w:p w14:paraId="51286178" w14:textId="77777777" w:rsidR="0078153C" w:rsidRPr="00A00187" w:rsidRDefault="0078153C" w:rsidP="0078153C">
            <w:pPr>
              <w:spacing w:line="240" w:lineRule="auto"/>
              <w:jc w:val="center"/>
              <w:rPr>
                <w:rFonts w:eastAsia="Times New Roman"/>
                <w:szCs w:val="24"/>
                <w:lang w:eastAsia="cs-CZ"/>
              </w:rPr>
            </w:pPr>
            <w:r w:rsidRPr="00A00187">
              <w:rPr>
                <w:rFonts w:eastAsia="Times New Roman"/>
                <w:szCs w:val="24"/>
                <w:lang w:eastAsia="cs-CZ"/>
              </w:rPr>
              <w:t>62</w:t>
            </w:r>
          </w:p>
        </w:tc>
        <w:tc>
          <w:tcPr>
            <w:tcW w:w="1851" w:type="dxa"/>
            <w:tcBorders>
              <w:top w:val="nil"/>
              <w:left w:val="nil"/>
              <w:bottom w:val="double" w:sz="6" w:space="0" w:color="auto"/>
              <w:right w:val="nil"/>
            </w:tcBorders>
            <w:shd w:val="clear" w:color="auto" w:fill="auto"/>
            <w:noWrap/>
            <w:vAlign w:val="center"/>
            <w:hideMark/>
          </w:tcPr>
          <w:p w14:paraId="1530173B" w14:textId="59AF5A05" w:rsidR="0078153C" w:rsidRPr="00A00187" w:rsidRDefault="0078153C" w:rsidP="00641DB9">
            <w:pPr>
              <w:spacing w:line="240" w:lineRule="auto"/>
              <w:jc w:val="center"/>
              <w:rPr>
                <w:rFonts w:eastAsia="Times New Roman"/>
                <w:sz w:val="20"/>
                <w:szCs w:val="20"/>
                <w:lang w:eastAsia="cs-CZ"/>
              </w:rPr>
            </w:pPr>
            <w:r w:rsidRPr="00A00187">
              <w:rPr>
                <w:rFonts w:eastAsia="Times New Roman"/>
                <w:sz w:val="20"/>
                <w:szCs w:val="20"/>
                <w:lang w:eastAsia="cs-CZ"/>
              </w:rPr>
              <w:t>-42</w:t>
            </w:r>
            <w:r w:rsidR="00CB570A">
              <w:rPr>
                <w:rFonts w:eastAsia="Times New Roman"/>
                <w:sz w:val="20"/>
                <w:szCs w:val="20"/>
                <w:lang w:eastAsia="cs-CZ"/>
              </w:rPr>
              <w:t> %</w:t>
            </w:r>
          </w:p>
        </w:tc>
      </w:tr>
      <w:tr w:rsidR="00AC1E67" w:rsidRPr="00A00187" w14:paraId="06B28D8B" w14:textId="77777777" w:rsidTr="0078153C">
        <w:trPr>
          <w:trHeight w:val="345"/>
        </w:trPr>
        <w:tc>
          <w:tcPr>
            <w:tcW w:w="2796" w:type="dxa"/>
            <w:tcBorders>
              <w:top w:val="nil"/>
              <w:left w:val="nil"/>
              <w:bottom w:val="double" w:sz="6" w:space="0" w:color="auto"/>
              <w:right w:val="nil"/>
            </w:tcBorders>
            <w:shd w:val="clear" w:color="auto" w:fill="auto"/>
            <w:noWrap/>
            <w:vAlign w:val="bottom"/>
            <w:hideMark/>
          </w:tcPr>
          <w:p w14:paraId="739A7207" w14:textId="77777777" w:rsidR="0078153C" w:rsidRPr="00A00187" w:rsidRDefault="0078153C" w:rsidP="0078153C">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345" w:type="dxa"/>
            <w:tcBorders>
              <w:top w:val="nil"/>
              <w:left w:val="nil"/>
              <w:bottom w:val="double" w:sz="6" w:space="0" w:color="auto"/>
              <w:right w:val="nil"/>
            </w:tcBorders>
            <w:shd w:val="clear" w:color="auto" w:fill="auto"/>
            <w:noWrap/>
            <w:vAlign w:val="bottom"/>
            <w:hideMark/>
          </w:tcPr>
          <w:p w14:paraId="07155CD3" w14:textId="77777777" w:rsidR="0078153C" w:rsidRPr="00A00187" w:rsidRDefault="0078153C" w:rsidP="0078153C">
            <w:pPr>
              <w:spacing w:line="240" w:lineRule="auto"/>
              <w:jc w:val="center"/>
              <w:rPr>
                <w:rFonts w:eastAsia="Times New Roman"/>
                <w:b/>
                <w:bCs/>
                <w:szCs w:val="24"/>
                <w:lang w:eastAsia="cs-CZ"/>
              </w:rPr>
            </w:pPr>
            <w:r w:rsidRPr="00A00187">
              <w:rPr>
                <w:rFonts w:eastAsia="Times New Roman"/>
                <w:b/>
                <w:bCs/>
                <w:szCs w:val="24"/>
                <w:lang w:eastAsia="cs-CZ"/>
              </w:rPr>
              <w:t>62</w:t>
            </w:r>
          </w:p>
        </w:tc>
        <w:tc>
          <w:tcPr>
            <w:tcW w:w="1851" w:type="dxa"/>
            <w:tcBorders>
              <w:top w:val="nil"/>
              <w:left w:val="nil"/>
              <w:bottom w:val="double" w:sz="6" w:space="0" w:color="auto"/>
              <w:right w:val="nil"/>
            </w:tcBorders>
            <w:shd w:val="clear" w:color="auto" w:fill="auto"/>
            <w:noWrap/>
            <w:vAlign w:val="center"/>
            <w:hideMark/>
          </w:tcPr>
          <w:p w14:paraId="5996BBE1" w14:textId="371D4DC1" w:rsidR="0078153C" w:rsidRPr="00A00187" w:rsidRDefault="0078153C"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-15</w:t>
            </w:r>
            <w:r w:rsidR="00CB570A">
              <w:rPr>
                <w:rFonts w:eastAsia="Times New Roman"/>
                <w:b/>
                <w:bCs/>
                <w:sz w:val="20"/>
                <w:szCs w:val="20"/>
                <w:lang w:eastAsia="cs-CZ"/>
              </w:rPr>
              <w:t> %</w:t>
            </w:r>
          </w:p>
        </w:tc>
      </w:tr>
      <w:tr w:rsidR="00AC1E67" w:rsidRPr="00A00187" w14:paraId="20FC5E5D" w14:textId="77777777" w:rsidTr="0078153C">
        <w:trPr>
          <w:trHeight w:val="330"/>
        </w:trPr>
        <w:tc>
          <w:tcPr>
            <w:tcW w:w="2796" w:type="dxa"/>
            <w:tcBorders>
              <w:top w:val="nil"/>
              <w:left w:val="nil"/>
              <w:bottom w:val="nil"/>
              <w:right w:val="nil"/>
            </w:tcBorders>
            <w:shd w:val="clear" w:color="auto" w:fill="auto"/>
            <w:noWrap/>
            <w:vAlign w:val="bottom"/>
            <w:hideMark/>
          </w:tcPr>
          <w:p w14:paraId="0AECC911" w14:textId="77777777" w:rsidR="0078153C" w:rsidRPr="00A00187" w:rsidRDefault="0078153C" w:rsidP="0078153C">
            <w:pPr>
              <w:spacing w:line="240" w:lineRule="auto"/>
              <w:jc w:val="center"/>
              <w:rPr>
                <w:rFonts w:eastAsia="Times New Roman"/>
                <w:b/>
                <w:bCs/>
                <w:sz w:val="20"/>
                <w:szCs w:val="20"/>
                <w:lang w:eastAsia="cs-CZ"/>
              </w:rPr>
            </w:pPr>
          </w:p>
        </w:tc>
        <w:tc>
          <w:tcPr>
            <w:tcW w:w="1345" w:type="dxa"/>
            <w:tcBorders>
              <w:top w:val="nil"/>
              <w:left w:val="nil"/>
              <w:bottom w:val="nil"/>
              <w:right w:val="nil"/>
            </w:tcBorders>
            <w:shd w:val="clear" w:color="auto" w:fill="auto"/>
            <w:noWrap/>
            <w:vAlign w:val="bottom"/>
            <w:hideMark/>
          </w:tcPr>
          <w:p w14:paraId="38EA542A" w14:textId="77777777" w:rsidR="0078153C" w:rsidRPr="00A00187" w:rsidRDefault="0078153C" w:rsidP="0078153C">
            <w:pPr>
              <w:spacing w:line="240" w:lineRule="auto"/>
              <w:jc w:val="left"/>
              <w:rPr>
                <w:rFonts w:ascii="Times New Roman" w:eastAsia="Times New Roman" w:hAnsi="Times New Roman"/>
                <w:sz w:val="20"/>
                <w:szCs w:val="20"/>
                <w:lang w:eastAsia="cs-CZ"/>
              </w:rPr>
            </w:pPr>
          </w:p>
        </w:tc>
        <w:tc>
          <w:tcPr>
            <w:tcW w:w="1851" w:type="dxa"/>
            <w:tcBorders>
              <w:top w:val="nil"/>
              <w:left w:val="nil"/>
              <w:bottom w:val="nil"/>
              <w:right w:val="nil"/>
            </w:tcBorders>
            <w:shd w:val="clear" w:color="auto" w:fill="auto"/>
            <w:noWrap/>
            <w:vAlign w:val="bottom"/>
            <w:hideMark/>
          </w:tcPr>
          <w:p w14:paraId="10AB9193" w14:textId="77777777" w:rsidR="0078153C" w:rsidRPr="00A00187" w:rsidRDefault="0078153C" w:rsidP="0078153C">
            <w:pPr>
              <w:spacing w:line="240" w:lineRule="auto"/>
              <w:jc w:val="left"/>
              <w:rPr>
                <w:rFonts w:ascii="Times New Roman" w:eastAsia="Times New Roman" w:hAnsi="Times New Roman"/>
                <w:sz w:val="20"/>
                <w:szCs w:val="20"/>
                <w:lang w:eastAsia="cs-CZ"/>
              </w:rPr>
            </w:pPr>
          </w:p>
        </w:tc>
      </w:tr>
    </w:tbl>
    <w:p w14:paraId="7238E320" w14:textId="0FE5389F" w:rsidR="00246A41" w:rsidRPr="00A00187" w:rsidRDefault="00246A41">
      <w:pPr>
        <w:spacing w:after="160" w:line="259" w:lineRule="auto"/>
        <w:jc w:val="left"/>
        <w:rPr>
          <w:rFonts w:eastAsia="Times New Roman"/>
          <w:b/>
          <w:bCs/>
        </w:rPr>
      </w:pPr>
      <w:r w:rsidRPr="00A00187">
        <w:br w:type="page"/>
      </w:r>
    </w:p>
    <w:p w14:paraId="7DA6ED9E" w14:textId="65E63C3B" w:rsidR="008430BD" w:rsidRPr="00A00187" w:rsidRDefault="008430BD" w:rsidP="008430BD">
      <w:pPr>
        <w:pStyle w:val="Nadpis2"/>
        <w:numPr>
          <w:ilvl w:val="1"/>
          <w:numId w:val="1"/>
        </w:numPr>
        <w:spacing w:before="120"/>
        <w:rPr>
          <w:color w:val="auto"/>
        </w:rPr>
      </w:pPr>
      <w:bookmarkStart w:id="726" w:name="_Toc515871257"/>
      <w:bookmarkStart w:id="727" w:name="_Toc106092763"/>
      <w:bookmarkStart w:id="728" w:name="_Toc109801374"/>
      <w:r w:rsidRPr="00A00187">
        <w:rPr>
          <w:color w:val="auto"/>
        </w:rPr>
        <w:lastRenderedPageBreak/>
        <w:t>Trestní prvostupňová agenda</w:t>
      </w:r>
      <w:bookmarkEnd w:id="726"/>
      <w:bookmarkEnd w:id="727"/>
      <w:bookmarkEnd w:id="728"/>
    </w:p>
    <w:p w14:paraId="6D6354AA" w14:textId="77777777" w:rsidR="00A53233" w:rsidRPr="00A00187" w:rsidRDefault="00A53233" w:rsidP="00A53233">
      <w:pPr>
        <w:pStyle w:val="OdstavecASR"/>
      </w:pPr>
      <w:r w:rsidRPr="00A00187">
        <w:t>Situace v prvostupňové trestní agendě je z hlediska statistického sledování jednoduchá. Zkoumáme hlavní trestní agendu – rejstříky T a </w:t>
      </w:r>
      <w:proofErr w:type="spellStart"/>
      <w:r w:rsidRPr="00A00187">
        <w:t>Tm</w:t>
      </w:r>
      <w:proofErr w:type="spellEnd"/>
      <w:r w:rsidRPr="00A00187">
        <w:t>. K žádným významným změnám ve vedení statistik v trestní agendě nedošlo a nemusíme se tedy obávat zkreslení v časových řadách. Na rozdíl od OS také není nutné očišťovat data o věci vyřízené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vymezených trestných činech.</w:t>
      </w:r>
    </w:p>
    <w:p w14:paraId="16B3ECE1" w14:textId="77777777" w:rsidR="00A53233" w:rsidRPr="00A00187" w:rsidRDefault="00A53233" w:rsidP="00A53233">
      <w:pPr>
        <w:pStyle w:val="Nadpis3"/>
        <w:numPr>
          <w:ilvl w:val="2"/>
          <w:numId w:val="1"/>
        </w:numPr>
        <w:rPr>
          <w:color w:val="auto"/>
        </w:rPr>
      </w:pPr>
      <w:bookmarkStart w:id="729" w:name="_Toc75952098"/>
      <w:bookmarkStart w:id="730" w:name="_Toc106092764"/>
      <w:bookmarkStart w:id="731" w:name="_Toc109801375"/>
      <w:r w:rsidRPr="00A00187">
        <w:rPr>
          <w:color w:val="auto"/>
        </w:rPr>
        <w:t>Délka řízení</w:t>
      </w:r>
      <w:bookmarkEnd w:id="729"/>
      <w:bookmarkEnd w:id="730"/>
      <w:bookmarkEnd w:id="731"/>
    </w:p>
    <w:p w14:paraId="748965B7" w14:textId="0FA37F8A" w:rsidR="00272649" w:rsidRPr="00A00187" w:rsidRDefault="00272649" w:rsidP="00272649">
      <w:pPr>
        <w:pStyle w:val="Podnadpis"/>
        <w:numPr>
          <w:ilvl w:val="0"/>
          <w:numId w:val="0"/>
        </w:numPr>
        <w:rPr>
          <w:color w:val="auto"/>
        </w:rPr>
      </w:pPr>
      <w:bookmarkStart w:id="732" w:name="_Toc515871389"/>
      <w:bookmarkStart w:id="733" w:name="_Toc11135120"/>
      <w:bookmarkStart w:id="734" w:name="_Toc43841439"/>
      <w:bookmarkStart w:id="735" w:name="_Toc75952242"/>
      <w:bookmarkStart w:id="736" w:name="_Toc106106699"/>
      <w:bookmarkStart w:id="737" w:name="_Toc109802023"/>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65</w:t>
      </w:r>
      <w:r w:rsidRPr="00A00187">
        <w:rPr>
          <w:noProof/>
          <w:color w:val="auto"/>
        </w:rPr>
        <w:fldChar w:fldCharType="end"/>
      </w:r>
      <w:r w:rsidRPr="00A00187">
        <w:rPr>
          <w:color w:val="auto"/>
        </w:rPr>
        <w:t>: KS – délka prvostupňového trestního řízení v letech 2008–</w:t>
      </w:r>
      <w:bookmarkEnd w:id="732"/>
      <w:r w:rsidRPr="00A00187">
        <w:rPr>
          <w:color w:val="auto"/>
        </w:rPr>
        <w:t>20</w:t>
      </w:r>
      <w:bookmarkEnd w:id="733"/>
      <w:bookmarkEnd w:id="734"/>
      <w:r w:rsidRPr="00A00187">
        <w:rPr>
          <w:color w:val="auto"/>
        </w:rPr>
        <w:t>2</w:t>
      </w:r>
      <w:bookmarkEnd w:id="735"/>
      <w:r w:rsidR="008C4871" w:rsidRPr="00A00187">
        <w:rPr>
          <w:color w:val="auto"/>
        </w:rPr>
        <w:t>1</w:t>
      </w:r>
      <w:bookmarkEnd w:id="736"/>
      <w:bookmarkEnd w:id="737"/>
    </w:p>
    <w:p w14:paraId="4CA191CD" w14:textId="6E41ECE2" w:rsidR="00A53233" w:rsidRPr="00A00187" w:rsidRDefault="008C4871" w:rsidP="00A53233">
      <w:r w:rsidRPr="00A00187">
        <w:rPr>
          <w:noProof/>
        </w:rPr>
        <w:drawing>
          <wp:inline distT="0" distB="0" distL="0" distR="0" wp14:anchorId="0C3798FC" wp14:editId="673CD0F2">
            <wp:extent cx="5025390" cy="3657600"/>
            <wp:effectExtent l="0" t="0" r="381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72297AFB" w14:textId="73828420" w:rsidR="008C4871" w:rsidRPr="00A00187" w:rsidRDefault="008C4871" w:rsidP="00A53233"/>
    <w:p w14:paraId="518B8AE3" w14:textId="443E23DB" w:rsidR="00CB570A" w:rsidRDefault="008C4871" w:rsidP="008C4871">
      <w:pPr>
        <w:pStyle w:val="OdstavecASR"/>
      </w:pPr>
      <w:r w:rsidRPr="00A00187">
        <w:t xml:space="preserve">V letech 2017 až 2019 poměrně výrazně vzrostl průměr a velmi dramaticky také devadesátý percentil, který po několika letech přestal klesat. V roce 2019 narostl rovněž medián. V roce 2020 mírně narostl medián, ale průměr a percentil 90 výrazně klesly. </w:t>
      </w:r>
      <w:r w:rsidR="003F181B" w:rsidRPr="00A00187">
        <w:t xml:space="preserve">V roce 2021 klesl medián, ale průměr </w:t>
      </w:r>
      <w:r w:rsidR="00755920" w:rsidRPr="00A00187">
        <w:t>a</w:t>
      </w:r>
      <w:r w:rsidR="00755920">
        <w:t> </w:t>
      </w:r>
      <w:r w:rsidR="003F181B" w:rsidRPr="00A00187">
        <w:t xml:space="preserve">percentil 90 </w:t>
      </w:r>
      <w:r w:rsidR="00410E81" w:rsidRPr="00A00187">
        <w:t>narostly,</w:t>
      </w:r>
      <w:r w:rsidR="003F181B" w:rsidRPr="00A00187">
        <w:t xml:space="preserve"> v zásadě na úroveň roku 2019.</w:t>
      </w:r>
    </w:p>
    <w:p w14:paraId="7113BC3A" w14:textId="37E46F38" w:rsidR="008C4871" w:rsidRPr="00A00187" w:rsidRDefault="00410E81" w:rsidP="00E31EFC">
      <w:r w:rsidRPr="00A00187">
        <w:t>Délky řízení jsou u krajských soudů výrazně vyšší než u soudů okresních. Vzhledem ke složitosti vyřizované agendy je to zcela logický výsledek. Délky řízení v tomto roce více či méně narostly ve všech krajích alespoň u jednoho z ukazatelů.</w:t>
      </w:r>
    </w:p>
    <w:p w14:paraId="748F7EF5" w14:textId="3AAB003E" w:rsidR="00CB570A" w:rsidRDefault="008E36CF" w:rsidP="00410E81">
      <w:pPr>
        <w:pStyle w:val="OdstavecASR"/>
      </w:pPr>
      <w:r w:rsidRPr="00A00187">
        <w:t>Prudké</w:t>
      </w:r>
      <w:r w:rsidR="00410E81" w:rsidRPr="00A00187">
        <w:t xml:space="preserve"> změny délek řízení u jednotlivých soudů (a vlastně i rozdíly mezi soudy) jsou dány velmi malým počtem pozorování. Vliv má také to, že všechny kauzy jsou náročné na vyřízení (ve srovnání s OS), ale v náročnosti jednotlivých případů existují významné rozdíly. Změny se v minulosti vzájemně obvykle vykompenzovaly, takže změny v celorepublikové délce řízení nebyly tak významné. </w:t>
      </w:r>
      <w:r w:rsidR="00755920" w:rsidRPr="00A00187">
        <w:t>I</w:t>
      </w:r>
      <w:r w:rsidR="00755920">
        <w:t> </w:t>
      </w:r>
      <w:r w:rsidR="00410E81" w:rsidRPr="00A00187">
        <w:t xml:space="preserve">na úrovni ČR </w:t>
      </w:r>
      <w:r w:rsidRPr="00A00187">
        <w:t xml:space="preserve">nicméně </w:t>
      </w:r>
      <w:r w:rsidR="00410E81" w:rsidRPr="00A00187">
        <w:t>vidím</w:t>
      </w:r>
      <w:r w:rsidRPr="00A00187">
        <w:t>e</w:t>
      </w:r>
      <w:r w:rsidR="00410E81" w:rsidRPr="00A00187">
        <w:t xml:space="preserve">, že se délky řízení mění rychleji než </w:t>
      </w:r>
      <w:r w:rsidR="00755920" w:rsidRPr="00A00187">
        <w:t>u</w:t>
      </w:r>
      <w:r w:rsidR="00755920">
        <w:t> </w:t>
      </w:r>
      <w:r w:rsidR="00410E81" w:rsidRPr="00A00187">
        <w:t>jiných agend.</w:t>
      </w:r>
    </w:p>
    <w:p w14:paraId="0625777F" w14:textId="517DE5F0" w:rsidR="00410E81" w:rsidRPr="00A00187" w:rsidRDefault="00410E81" w:rsidP="00410E81">
      <w:pPr>
        <w:pStyle w:val="Podnadpis"/>
        <w:rPr>
          <w:color w:val="auto"/>
        </w:rPr>
      </w:pPr>
      <w:bookmarkStart w:id="738" w:name="_Toc515871478"/>
      <w:bookmarkStart w:id="739" w:name="_Toc11133246"/>
      <w:bookmarkStart w:id="740" w:name="_Toc43931225"/>
      <w:bookmarkStart w:id="741" w:name="_Toc75952358"/>
      <w:bookmarkStart w:id="742" w:name="_Toc106106814"/>
      <w:bookmarkStart w:id="743" w:name="_Toc109802137"/>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52</w:t>
      </w:r>
      <w:r w:rsidRPr="00A00187">
        <w:rPr>
          <w:noProof/>
          <w:color w:val="auto"/>
        </w:rPr>
        <w:fldChar w:fldCharType="end"/>
      </w:r>
      <w:r w:rsidRPr="00A00187">
        <w:rPr>
          <w:color w:val="auto"/>
        </w:rPr>
        <w:t>: KS – délky prvostupňového trestního řízení dle soudů</w:t>
      </w:r>
      <w:bookmarkEnd w:id="738"/>
      <w:bookmarkEnd w:id="739"/>
      <w:bookmarkEnd w:id="740"/>
      <w:bookmarkEnd w:id="741"/>
      <w:bookmarkEnd w:id="742"/>
      <w:bookmarkEnd w:id="743"/>
    </w:p>
    <w:tbl>
      <w:tblPr>
        <w:tblW w:w="6412" w:type="dxa"/>
        <w:tblCellMar>
          <w:left w:w="70" w:type="dxa"/>
          <w:right w:w="70" w:type="dxa"/>
        </w:tblCellMar>
        <w:tblLook w:val="04A0" w:firstRow="1" w:lastRow="0" w:firstColumn="1" w:lastColumn="0" w:noHBand="0" w:noVBand="1"/>
      </w:tblPr>
      <w:tblGrid>
        <w:gridCol w:w="2496"/>
        <w:gridCol w:w="1091"/>
        <w:gridCol w:w="1118"/>
        <w:gridCol w:w="1707"/>
      </w:tblGrid>
      <w:tr w:rsidR="00AC1E67" w:rsidRPr="00A00187" w14:paraId="2C8FF8A2" w14:textId="77777777" w:rsidTr="00410E81">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737750F0" w14:textId="77777777"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916" w:type="dxa"/>
            <w:gridSpan w:val="3"/>
            <w:tcBorders>
              <w:top w:val="double" w:sz="6" w:space="0" w:color="auto"/>
              <w:left w:val="nil"/>
              <w:bottom w:val="nil"/>
              <w:right w:val="nil"/>
            </w:tcBorders>
            <w:shd w:val="clear" w:color="auto" w:fill="auto"/>
            <w:noWrap/>
            <w:vAlign w:val="center"/>
            <w:hideMark/>
          </w:tcPr>
          <w:p w14:paraId="4368F51C" w14:textId="77777777"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16A91E3C" w14:textId="77777777" w:rsidTr="00410E81">
        <w:trPr>
          <w:trHeight w:val="330"/>
        </w:trPr>
        <w:tc>
          <w:tcPr>
            <w:tcW w:w="2496" w:type="dxa"/>
            <w:vMerge/>
            <w:tcBorders>
              <w:top w:val="double" w:sz="6" w:space="0" w:color="auto"/>
              <w:left w:val="nil"/>
              <w:bottom w:val="double" w:sz="6" w:space="0" w:color="000000"/>
              <w:right w:val="nil"/>
            </w:tcBorders>
            <w:vAlign w:val="center"/>
            <w:hideMark/>
          </w:tcPr>
          <w:p w14:paraId="2A4220F1" w14:textId="77777777" w:rsidR="00410E81" w:rsidRPr="00A00187" w:rsidRDefault="00410E81" w:rsidP="00410E81">
            <w:pPr>
              <w:spacing w:line="240" w:lineRule="auto"/>
              <w:jc w:val="left"/>
              <w:rPr>
                <w:rFonts w:eastAsia="Times New Roman"/>
                <w:b/>
                <w:bCs/>
                <w:szCs w:val="24"/>
                <w:lang w:eastAsia="cs-CZ"/>
              </w:rPr>
            </w:pPr>
          </w:p>
        </w:tc>
        <w:tc>
          <w:tcPr>
            <w:tcW w:w="1091" w:type="dxa"/>
            <w:tcBorders>
              <w:top w:val="nil"/>
              <w:left w:val="nil"/>
              <w:bottom w:val="double" w:sz="6" w:space="0" w:color="auto"/>
              <w:right w:val="nil"/>
            </w:tcBorders>
            <w:shd w:val="clear" w:color="auto" w:fill="auto"/>
            <w:noWrap/>
            <w:vAlign w:val="center"/>
            <w:hideMark/>
          </w:tcPr>
          <w:p w14:paraId="45F678F8" w14:textId="77777777"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1118" w:type="dxa"/>
            <w:tcBorders>
              <w:top w:val="nil"/>
              <w:left w:val="nil"/>
              <w:bottom w:val="double" w:sz="6" w:space="0" w:color="auto"/>
              <w:right w:val="nil"/>
            </w:tcBorders>
            <w:shd w:val="clear" w:color="auto" w:fill="auto"/>
            <w:noWrap/>
            <w:vAlign w:val="center"/>
            <w:hideMark/>
          </w:tcPr>
          <w:p w14:paraId="1B8B9D82" w14:textId="77777777"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1707" w:type="dxa"/>
            <w:tcBorders>
              <w:top w:val="nil"/>
              <w:left w:val="nil"/>
              <w:bottom w:val="double" w:sz="6" w:space="0" w:color="auto"/>
              <w:right w:val="nil"/>
            </w:tcBorders>
            <w:shd w:val="clear" w:color="auto" w:fill="auto"/>
            <w:noWrap/>
            <w:vAlign w:val="center"/>
            <w:hideMark/>
          </w:tcPr>
          <w:p w14:paraId="56264EC7" w14:textId="77777777"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184BE88D" w14:textId="77777777" w:rsidTr="00410E81">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70F99386"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MS Praha</w:t>
            </w:r>
          </w:p>
        </w:tc>
        <w:tc>
          <w:tcPr>
            <w:tcW w:w="1091" w:type="dxa"/>
            <w:tcBorders>
              <w:top w:val="single" w:sz="4" w:space="0" w:color="auto"/>
              <w:left w:val="nil"/>
              <w:bottom w:val="single" w:sz="4" w:space="0" w:color="auto"/>
              <w:right w:val="nil"/>
            </w:tcBorders>
            <w:shd w:val="clear" w:color="auto" w:fill="auto"/>
            <w:noWrap/>
            <w:vAlign w:val="bottom"/>
            <w:hideMark/>
          </w:tcPr>
          <w:p w14:paraId="319D7092"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531</w:t>
            </w:r>
          </w:p>
        </w:tc>
        <w:tc>
          <w:tcPr>
            <w:tcW w:w="1118" w:type="dxa"/>
            <w:tcBorders>
              <w:top w:val="single" w:sz="4" w:space="0" w:color="auto"/>
              <w:left w:val="nil"/>
              <w:bottom w:val="single" w:sz="4" w:space="0" w:color="auto"/>
              <w:right w:val="nil"/>
            </w:tcBorders>
            <w:shd w:val="clear" w:color="auto" w:fill="auto"/>
            <w:noWrap/>
            <w:vAlign w:val="bottom"/>
            <w:hideMark/>
          </w:tcPr>
          <w:p w14:paraId="7FF4524C"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312</w:t>
            </w:r>
          </w:p>
        </w:tc>
        <w:tc>
          <w:tcPr>
            <w:tcW w:w="1707" w:type="dxa"/>
            <w:tcBorders>
              <w:top w:val="single" w:sz="4" w:space="0" w:color="auto"/>
              <w:left w:val="nil"/>
              <w:bottom w:val="single" w:sz="4" w:space="0" w:color="auto"/>
              <w:right w:val="nil"/>
            </w:tcBorders>
            <w:shd w:val="clear" w:color="auto" w:fill="auto"/>
            <w:noWrap/>
            <w:vAlign w:val="bottom"/>
            <w:hideMark/>
          </w:tcPr>
          <w:p w14:paraId="5B0635D4" w14:textId="06E6ABDB"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w:t>
            </w:r>
            <w:r w:rsidR="004732B9">
              <w:rPr>
                <w:rFonts w:eastAsia="Times New Roman"/>
                <w:szCs w:val="24"/>
                <w:lang w:eastAsia="cs-CZ"/>
              </w:rPr>
              <w:t xml:space="preserve"> </w:t>
            </w:r>
            <w:r w:rsidRPr="00A00187">
              <w:rPr>
                <w:rFonts w:eastAsia="Times New Roman"/>
                <w:szCs w:val="24"/>
                <w:lang w:eastAsia="cs-CZ"/>
              </w:rPr>
              <w:t>118</w:t>
            </w:r>
          </w:p>
        </w:tc>
      </w:tr>
      <w:tr w:rsidR="00AC1E67" w:rsidRPr="00A00187" w14:paraId="242F57E6" w14:textId="77777777" w:rsidTr="00410E81">
        <w:trPr>
          <w:trHeight w:val="315"/>
        </w:trPr>
        <w:tc>
          <w:tcPr>
            <w:tcW w:w="2496" w:type="dxa"/>
            <w:tcBorders>
              <w:top w:val="nil"/>
              <w:left w:val="nil"/>
              <w:bottom w:val="single" w:sz="4" w:space="0" w:color="auto"/>
              <w:right w:val="nil"/>
            </w:tcBorders>
            <w:shd w:val="clear" w:color="auto" w:fill="auto"/>
            <w:noWrap/>
            <w:vAlign w:val="bottom"/>
            <w:hideMark/>
          </w:tcPr>
          <w:p w14:paraId="3325173B"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KS Praha</w:t>
            </w:r>
          </w:p>
        </w:tc>
        <w:tc>
          <w:tcPr>
            <w:tcW w:w="1091" w:type="dxa"/>
            <w:tcBorders>
              <w:top w:val="nil"/>
              <w:left w:val="nil"/>
              <w:bottom w:val="single" w:sz="4" w:space="0" w:color="auto"/>
              <w:right w:val="nil"/>
            </w:tcBorders>
            <w:shd w:val="clear" w:color="auto" w:fill="auto"/>
            <w:noWrap/>
            <w:vAlign w:val="bottom"/>
            <w:hideMark/>
          </w:tcPr>
          <w:p w14:paraId="30F8FA24"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316</w:t>
            </w:r>
          </w:p>
        </w:tc>
        <w:tc>
          <w:tcPr>
            <w:tcW w:w="1118" w:type="dxa"/>
            <w:tcBorders>
              <w:top w:val="nil"/>
              <w:left w:val="nil"/>
              <w:bottom w:val="single" w:sz="4" w:space="0" w:color="auto"/>
              <w:right w:val="nil"/>
            </w:tcBorders>
            <w:shd w:val="clear" w:color="auto" w:fill="auto"/>
            <w:noWrap/>
            <w:vAlign w:val="bottom"/>
            <w:hideMark/>
          </w:tcPr>
          <w:p w14:paraId="5AA10A66"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111</w:t>
            </w:r>
          </w:p>
        </w:tc>
        <w:tc>
          <w:tcPr>
            <w:tcW w:w="1707" w:type="dxa"/>
            <w:tcBorders>
              <w:top w:val="nil"/>
              <w:left w:val="nil"/>
              <w:bottom w:val="single" w:sz="4" w:space="0" w:color="auto"/>
              <w:right w:val="nil"/>
            </w:tcBorders>
            <w:shd w:val="clear" w:color="auto" w:fill="auto"/>
            <w:noWrap/>
            <w:vAlign w:val="bottom"/>
            <w:hideMark/>
          </w:tcPr>
          <w:p w14:paraId="6F18C44B"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582</w:t>
            </w:r>
          </w:p>
        </w:tc>
      </w:tr>
      <w:tr w:rsidR="00AC1E67" w:rsidRPr="00A00187" w14:paraId="20CD001D" w14:textId="77777777" w:rsidTr="00410E81">
        <w:trPr>
          <w:trHeight w:val="315"/>
        </w:trPr>
        <w:tc>
          <w:tcPr>
            <w:tcW w:w="2496" w:type="dxa"/>
            <w:tcBorders>
              <w:top w:val="nil"/>
              <w:left w:val="nil"/>
              <w:bottom w:val="single" w:sz="4" w:space="0" w:color="auto"/>
              <w:right w:val="nil"/>
            </w:tcBorders>
            <w:shd w:val="clear" w:color="auto" w:fill="auto"/>
            <w:noWrap/>
            <w:vAlign w:val="bottom"/>
            <w:hideMark/>
          </w:tcPr>
          <w:p w14:paraId="474BE6B3"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KS Č. Budějovice</w:t>
            </w:r>
          </w:p>
        </w:tc>
        <w:tc>
          <w:tcPr>
            <w:tcW w:w="1091" w:type="dxa"/>
            <w:tcBorders>
              <w:top w:val="nil"/>
              <w:left w:val="nil"/>
              <w:bottom w:val="single" w:sz="4" w:space="0" w:color="auto"/>
              <w:right w:val="nil"/>
            </w:tcBorders>
            <w:shd w:val="clear" w:color="auto" w:fill="auto"/>
            <w:noWrap/>
            <w:vAlign w:val="bottom"/>
            <w:hideMark/>
          </w:tcPr>
          <w:p w14:paraId="45DE3A31"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545</w:t>
            </w:r>
          </w:p>
        </w:tc>
        <w:tc>
          <w:tcPr>
            <w:tcW w:w="1118" w:type="dxa"/>
            <w:tcBorders>
              <w:top w:val="nil"/>
              <w:left w:val="nil"/>
              <w:bottom w:val="single" w:sz="4" w:space="0" w:color="auto"/>
              <w:right w:val="nil"/>
            </w:tcBorders>
            <w:shd w:val="clear" w:color="auto" w:fill="auto"/>
            <w:noWrap/>
            <w:vAlign w:val="bottom"/>
            <w:hideMark/>
          </w:tcPr>
          <w:p w14:paraId="796B497B"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476</w:t>
            </w:r>
          </w:p>
        </w:tc>
        <w:tc>
          <w:tcPr>
            <w:tcW w:w="1707" w:type="dxa"/>
            <w:tcBorders>
              <w:top w:val="nil"/>
              <w:left w:val="nil"/>
              <w:bottom w:val="single" w:sz="4" w:space="0" w:color="auto"/>
              <w:right w:val="nil"/>
            </w:tcBorders>
            <w:shd w:val="clear" w:color="auto" w:fill="auto"/>
            <w:noWrap/>
            <w:vAlign w:val="bottom"/>
            <w:hideMark/>
          </w:tcPr>
          <w:p w14:paraId="23EEF22A" w14:textId="0204A2D0"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w:t>
            </w:r>
            <w:r w:rsidR="004732B9">
              <w:rPr>
                <w:rFonts w:eastAsia="Times New Roman"/>
                <w:szCs w:val="24"/>
                <w:lang w:eastAsia="cs-CZ"/>
              </w:rPr>
              <w:t xml:space="preserve"> </w:t>
            </w:r>
            <w:r w:rsidRPr="00A00187">
              <w:rPr>
                <w:rFonts w:eastAsia="Times New Roman"/>
                <w:szCs w:val="24"/>
                <w:lang w:eastAsia="cs-CZ"/>
              </w:rPr>
              <w:t>084</w:t>
            </w:r>
          </w:p>
        </w:tc>
      </w:tr>
      <w:tr w:rsidR="00AC1E67" w:rsidRPr="00A00187" w14:paraId="4CA96FC0" w14:textId="77777777" w:rsidTr="00410E81">
        <w:trPr>
          <w:trHeight w:val="315"/>
        </w:trPr>
        <w:tc>
          <w:tcPr>
            <w:tcW w:w="2496" w:type="dxa"/>
            <w:tcBorders>
              <w:top w:val="nil"/>
              <w:left w:val="nil"/>
              <w:bottom w:val="single" w:sz="4" w:space="0" w:color="auto"/>
              <w:right w:val="nil"/>
            </w:tcBorders>
            <w:shd w:val="clear" w:color="auto" w:fill="auto"/>
            <w:noWrap/>
            <w:vAlign w:val="bottom"/>
            <w:hideMark/>
          </w:tcPr>
          <w:p w14:paraId="738A1D9E"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KS Plzeň</w:t>
            </w:r>
          </w:p>
        </w:tc>
        <w:tc>
          <w:tcPr>
            <w:tcW w:w="1091" w:type="dxa"/>
            <w:tcBorders>
              <w:top w:val="nil"/>
              <w:left w:val="nil"/>
              <w:bottom w:val="single" w:sz="4" w:space="0" w:color="auto"/>
              <w:right w:val="nil"/>
            </w:tcBorders>
            <w:shd w:val="clear" w:color="auto" w:fill="auto"/>
            <w:noWrap/>
            <w:vAlign w:val="bottom"/>
            <w:hideMark/>
          </w:tcPr>
          <w:p w14:paraId="149F2260"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372</w:t>
            </w:r>
          </w:p>
        </w:tc>
        <w:tc>
          <w:tcPr>
            <w:tcW w:w="1118" w:type="dxa"/>
            <w:tcBorders>
              <w:top w:val="nil"/>
              <w:left w:val="nil"/>
              <w:bottom w:val="single" w:sz="4" w:space="0" w:color="auto"/>
              <w:right w:val="nil"/>
            </w:tcBorders>
            <w:shd w:val="clear" w:color="auto" w:fill="auto"/>
            <w:noWrap/>
            <w:vAlign w:val="bottom"/>
            <w:hideMark/>
          </w:tcPr>
          <w:p w14:paraId="37F6669C"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224</w:t>
            </w:r>
          </w:p>
        </w:tc>
        <w:tc>
          <w:tcPr>
            <w:tcW w:w="1707" w:type="dxa"/>
            <w:tcBorders>
              <w:top w:val="nil"/>
              <w:left w:val="nil"/>
              <w:bottom w:val="single" w:sz="4" w:space="0" w:color="auto"/>
              <w:right w:val="nil"/>
            </w:tcBorders>
            <w:shd w:val="clear" w:color="auto" w:fill="auto"/>
            <w:noWrap/>
            <w:vAlign w:val="bottom"/>
            <w:hideMark/>
          </w:tcPr>
          <w:p w14:paraId="02CB4F2F"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793</w:t>
            </w:r>
          </w:p>
        </w:tc>
      </w:tr>
      <w:tr w:rsidR="00AC1E67" w:rsidRPr="00A00187" w14:paraId="6B618908" w14:textId="77777777" w:rsidTr="00410E81">
        <w:trPr>
          <w:trHeight w:val="315"/>
        </w:trPr>
        <w:tc>
          <w:tcPr>
            <w:tcW w:w="2496" w:type="dxa"/>
            <w:tcBorders>
              <w:top w:val="nil"/>
              <w:left w:val="nil"/>
              <w:bottom w:val="single" w:sz="4" w:space="0" w:color="auto"/>
              <w:right w:val="nil"/>
            </w:tcBorders>
            <w:shd w:val="clear" w:color="auto" w:fill="auto"/>
            <w:noWrap/>
            <w:vAlign w:val="bottom"/>
            <w:hideMark/>
          </w:tcPr>
          <w:p w14:paraId="1B310301"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KS Ústí n. Labem</w:t>
            </w:r>
          </w:p>
        </w:tc>
        <w:tc>
          <w:tcPr>
            <w:tcW w:w="1091" w:type="dxa"/>
            <w:tcBorders>
              <w:top w:val="nil"/>
              <w:left w:val="nil"/>
              <w:bottom w:val="single" w:sz="4" w:space="0" w:color="auto"/>
              <w:right w:val="nil"/>
            </w:tcBorders>
            <w:shd w:val="clear" w:color="auto" w:fill="auto"/>
            <w:noWrap/>
            <w:vAlign w:val="bottom"/>
            <w:hideMark/>
          </w:tcPr>
          <w:p w14:paraId="424CF735"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695</w:t>
            </w:r>
          </w:p>
        </w:tc>
        <w:tc>
          <w:tcPr>
            <w:tcW w:w="1118" w:type="dxa"/>
            <w:tcBorders>
              <w:top w:val="nil"/>
              <w:left w:val="nil"/>
              <w:bottom w:val="single" w:sz="4" w:space="0" w:color="auto"/>
              <w:right w:val="nil"/>
            </w:tcBorders>
            <w:shd w:val="clear" w:color="auto" w:fill="auto"/>
            <w:noWrap/>
            <w:vAlign w:val="bottom"/>
            <w:hideMark/>
          </w:tcPr>
          <w:p w14:paraId="1DB48EC9"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223</w:t>
            </w:r>
          </w:p>
        </w:tc>
        <w:tc>
          <w:tcPr>
            <w:tcW w:w="1707" w:type="dxa"/>
            <w:tcBorders>
              <w:top w:val="nil"/>
              <w:left w:val="nil"/>
              <w:bottom w:val="single" w:sz="4" w:space="0" w:color="auto"/>
              <w:right w:val="nil"/>
            </w:tcBorders>
            <w:shd w:val="clear" w:color="auto" w:fill="auto"/>
            <w:noWrap/>
            <w:vAlign w:val="bottom"/>
            <w:hideMark/>
          </w:tcPr>
          <w:p w14:paraId="32D68964" w14:textId="499F5ECC"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w:t>
            </w:r>
            <w:r w:rsidR="004732B9">
              <w:rPr>
                <w:rFonts w:eastAsia="Times New Roman"/>
                <w:szCs w:val="24"/>
                <w:lang w:eastAsia="cs-CZ"/>
              </w:rPr>
              <w:t xml:space="preserve"> </w:t>
            </w:r>
            <w:r w:rsidRPr="00A00187">
              <w:rPr>
                <w:rFonts w:eastAsia="Times New Roman"/>
                <w:szCs w:val="24"/>
                <w:lang w:eastAsia="cs-CZ"/>
              </w:rPr>
              <w:t>803</w:t>
            </w:r>
          </w:p>
        </w:tc>
      </w:tr>
      <w:tr w:rsidR="00AC1E67" w:rsidRPr="00A00187" w14:paraId="663AF087" w14:textId="77777777" w:rsidTr="00410E81">
        <w:trPr>
          <w:trHeight w:val="315"/>
        </w:trPr>
        <w:tc>
          <w:tcPr>
            <w:tcW w:w="2496" w:type="dxa"/>
            <w:tcBorders>
              <w:top w:val="nil"/>
              <w:left w:val="nil"/>
              <w:bottom w:val="single" w:sz="4" w:space="0" w:color="auto"/>
              <w:right w:val="nil"/>
            </w:tcBorders>
            <w:shd w:val="clear" w:color="auto" w:fill="auto"/>
            <w:noWrap/>
            <w:vAlign w:val="bottom"/>
            <w:hideMark/>
          </w:tcPr>
          <w:p w14:paraId="17D2F198"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KS Hr. Králové</w:t>
            </w:r>
          </w:p>
        </w:tc>
        <w:tc>
          <w:tcPr>
            <w:tcW w:w="1091" w:type="dxa"/>
            <w:tcBorders>
              <w:top w:val="nil"/>
              <w:left w:val="nil"/>
              <w:bottom w:val="single" w:sz="4" w:space="0" w:color="auto"/>
              <w:right w:val="nil"/>
            </w:tcBorders>
            <w:shd w:val="clear" w:color="auto" w:fill="auto"/>
            <w:noWrap/>
            <w:vAlign w:val="bottom"/>
            <w:hideMark/>
          </w:tcPr>
          <w:p w14:paraId="128B0719"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486</w:t>
            </w:r>
          </w:p>
        </w:tc>
        <w:tc>
          <w:tcPr>
            <w:tcW w:w="1118" w:type="dxa"/>
            <w:tcBorders>
              <w:top w:val="nil"/>
              <w:left w:val="nil"/>
              <w:bottom w:val="single" w:sz="4" w:space="0" w:color="auto"/>
              <w:right w:val="nil"/>
            </w:tcBorders>
            <w:shd w:val="clear" w:color="auto" w:fill="auto"/>
            <w:noWrap/>
            <w:vAlign w:val="bottom"/>
            <w:hideMark/>
          </w:tcPr>
          <w:p w14:paraId="7A9C0A5E"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198</w:t>
            </w:r>
          </w:p>
        </w:tc>
        <w:tc>
          <w:tcPr>
            <w:tcW w:w="1707" w:type="dxa"/>
            <w:tcBorders>
              <w:top w:val="nil"/>
              <w:left w:val="nil"/>
              <w:bottom w:val="single" w:sz="4" w:space="0" w:color="auto"/>
              <w:right w:val="nil"/>
            </w:tcBorders>
            <w:shd w:val="clear" w:color="auto" w:fill="auto"/>
            <w:noWrap/>
            <w:vAlign w:val="bottom"/>
            <w:hideMark/>
          </w:tcPr>
          <w:p w14:paraId="4F46B281" w14:textId="3A0E1744"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w:t>
            </w:r>
            <w:r w:rsidR="004732B9">
              <w:rPr>
                <w:rFonts w:eastAsia="Times New Roman"/>
                <w:szCs w:val="24"/>
                <w:lang w:eastAsia="cs-CZ"/>
              </w:rPr>
              <w:t xml:space="preserve"> </w:t>
            </w:r>
            <w:r w:rsidRPr="00A00187">
              <w:rPr>
                <w:rFonts w:eastAsia="Times New Roman"/>
                <w:szCs w:val="24"/>
                <w:lang w:eastAsia="cs-CZ"/>
              </w:rPr>
              <w:t>368</w:t>
            </w:r>
          </w:p>
        </w:tc>
      </w:tr>
      <w:tr w:rsidR="00AC1E67" w:rsidRPr="00A00187" w14:paraId="14A049F0" w14:textId="77777777" w:rsidTr="00410E81">
        <w:trPr>
          <w:trHeight w:val="315"/>
        </w:trPr>
        <w:tc>
          <w:tcPr>
            <w:tcW w:w="2496" w:type="dxa"/>
            <w:tcBorders>
              <w:top w:val="nil"/>
              <w:left w:val="nil"/>
              <w:bottom w:val="single" w:sz="4" w:space="0" w:color="auto"/>
              <w:right w:val="nil"/>
            </w:tcBorders>
            <w:shd w:val="clear" w:color="auto" w:fill="auto"/>
            <w:noWrap/>
            <w:vAlign w:val="bottom"/>
            <w:hideMark/>
          </w:tcPr>
          <w:p w14:paraId="7E2A59EF"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KS Brno</w:t>
            </w:r>
          </w:p>
        </w:tc>
        <w:tc>
          <w:tcPr>
            <w:tcW w:w="1091" w:type="dxa"/>
            <w:tcBorders>
              <w:top w:val="nil"/>
              <w:left w:val="nil"/>
              <w:bottom w:val="single" w:sz="4" w:space="0" w:color="auto"/>
              <w:right w:val="nil"/>
            </w:tcBorders>
            <w:shd w:val="clear" w:color="auto" w:fill="auto"/>
            <w:noWrap/>
            <w:vAlign w:val="bottom"/>
            <w:hideMark/>
          </w:tcPr>
          <w:p w14:paraId="39C91F6F"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602</w:t>
            </w:r>
          </w:p>
        </w:tc>
        <w:tc>
          <w:tcPr>
            <w:tcW w:w="1118" w:type="dxa"/>
            <w:tcBorders>
              <w:top w:val="nil"/>
              <w:left w:val="nil"/>
              <w:bottom w:val="single" w:sz="4" w:space="0" w:color="auto"/>
              <w:right w:val="nil"/>
            </w:tcBorders>
            <w:shd w:val="clear" w:color="auto" w:fill="auto"/>
            <w:noWrap/>
            <w:vAlign w:val="bottom"/>
            <w:hideMark/>
          </w:tcPr>
          <w:p w14:paraId="73C7B7AB"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260</w:t>
            </w:r>
          </w:p>
        </w:tc>
        <w:tc>
          <w:tcPr>
            <w:tcW w:w="1707" w:type="dxa"/>
            <w:tcBorders>
              <w:top w:val="nil"/>
              <w:left w:val="nil"/>
              <w:bottom w:val="single" w:sz="4" w:space="0" w:color="auto"/>
              <w:right w:val="nil"/>
            </w:tcBorders>
            <w:shd w:val="clear" w:color="auto" w:fill="auto"/>
            <w:noWrap/>
            <w:vAlign w:val="bottom"/>
            <w:hideMark/>
          </w:tcPr>
          <w:p w14:paraId="4FDE0CDD" w14:textId="2E20C40E"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w:t>
            </w:r>
            <w:r w:rsidR="004732B9">
              <w:rPr>
                <w:rFonts w:eastAsia="Times New Roman"/>
                <w:szCs w:val="24"/>
                <w:lang w:eastAsia="cs-CZ"/>
              </w:rPr>
              <w:t xml:space="preserve"> </w:t>
            </w:r>
            <w:r w:rsidRPr="00A00187">
              <w:rPr>
                <w:rFonts w:eastAsia="Times New Roman"/>
                <w:szCs w:val="24"/>
                <w:lang w:eastAsia="cs-CZ"/>
              </w:rPr>
              <w:t>259</w:t>
            </w:r>
          </w:p>
        </w:tc>
      </w:tr>
      <w:tr w:rsidR="00AC1E67" w:rsidRPr="00A00187" w14:paraId="0AFDCB5B" w14:textId="77777777" w:rsidTr="00410E81">
        <w:trPr>
          <w:trHeight w:val="330"/>
        </w:trPr>
        <w:tc>
          <w:tcPr>
            <w:tcW w:w="2496" w:type="dxa"/>
            <w:tcBorders>
              <w:top w:val="nil"/>
              <w:left w:val="nil"/>
              <w:bottom w:val="double" w:sz="6" w:space="0" w:color="auto"/>
              <w:right w:val="nil"/>
            </w:tcBorders>
            <w:shd w:val="clear" w:color="auto" w:fill="auto"/>
            <w:noWrap/>
            <w:vAlign w:val="bottom"/>
            <w:hideMark/>
          </w:tcPr>
          <w:p w14:paraId="644132E2" w14:textId="77777777" w:rsidR="00410E81" w:rsidRPr="00A00187" w:rsidRDefault="00410E81" w:rsidP="00410E81">
            <w:pPr>
              <w:spacing w:line="240" w:lineRule="auto"/>
              <w:jc w:val="left"/>
              <w:rPr>
                <w:rFonts w:eastAsia="Times New Roman"/>
                <w:szCs w:val="24"/>
                <w:lang w:eastAsia="cs-CZ"/>
              </w:rPr>
            </w:pPr>
            <w:r w:rsidRPr="00A00187">
              <w:rPr>
                <w:rFonts w:eastAsia="Times New Roman"/>
                <w:szCs w:val="24"/>
                <w:lang w:eastAsia="cs-CZ"/>
              </w:rPr>
              <w:t>KS Ostrava</w:t>
            </w:r>
          </w:p>
        </w:tc>
        <w:tc>
          <w:tcPr>
            <w:tcW w:w="1091" w:type="dxa"/>
            <w:tcBorders>
              <w:top w:val="nil"/>
              <w:left w:val="nil"/>
              <w:bottom w:val="double" w:sz="6" w:space="0" w:color="auto"/>
              <w:right w:val="nil"/>
            </w:tcBorders>
            <w:shd w:val="clear" w:color="auto" w:fill="auto"/>
            <w:noWrap/>
            <w:vAlign w:val="bottom"/>
            <w:hideMark/>
          </w:tcPr>
          <w:p w14:paraId="3449F8DF"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674</w:t>
            </w:r>
          </w:p>
        </w:tc>
        <w:tc>
          <w:tcPr>
            <w:tcW w:w="1118" w:type="dxa"/>
            <w:tcBorders>
              <w:top w:val="nil"/>
              <w:left w:val="nil"/>
              <w:bottom w:val="double" w:sz="6" w:space="0" w:color="auto"/>
              <w:right w:val="nil"/>
            </w:tcBorders>
            <w:shd w:val="clear" w:color="auto" w:fill="auto"/>
            <w:noWrap/>
            <w:vAlign w:val="bottom"/>
            <w:hideMark/>
          </w:tcPr>
          <w:p w14:paraId="14DD44A7" w14:textId="77777777"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326</w:t>
            </w:r>
          </w:p>
        </w:tc>
        <w:tc>
          <w:tcPr>
            <w:tcW w:w="1707" w:type="dxa"/>
            <w:tcBorders>
              <w:top w:val="nil"/>
              <w:left w:val="nil"/>
              <w:bottom w:val="double" w:sz="6" w:space="0" w:color="auto"/>
              <w:right w:val="nil"/>
            </w:tcBorders>
            <w:shd w:val="clear" w:color="auto" w:fill="auto"/>
            <w:noWrap/>
            <w:vAlign w:val="bottom"/>
            <w:hideMark/>
          </w:tcPr>
          <w:p w14:paraId="079F72A5" w14:textId="66358449" w:rsidR="00410E81" w:rsidRPr="00A00187" w:rsidRDefault="00410E81" w:rsidP="00410E81">
            <w:pPr>
              <w:spacing w:line="240" w:lineRule="auto"/>
              <w:jc w:val="center"/>
              <w:rPr>
                <w:rFonts w:eastAsia="Times New Roman"/>
                <w:szCs w:val="24"/>
                <w:lang w:eastAsia="cs-CZ"/>
              </w:rPr>
            </w:pPr>
            <w:r w:rsidRPr="00A00187">
              <w:rPr>
                <w:rFonts w:eastAsia="Times New Roman"/>
                <w:szCs w:val="24"/>
                <w:lang w:eastAsia="cs-CZ"/>
              </w:rPr>
              <w:t>1</w:t>
            </w:r>
            <w:r w:rsidR="004732B9">
              <w:rPr>
                <w:rFonts w:eastAsia="Times New Roman"/>
                <w:szCs w:val="24"/>
                <w:lang w:eastAsia="cs-CZ"/>
              </w:rPr>
              <w:t xml:space="preserve"> </w:t>
            </w:r>
            <w:r w:rsidRPr="00A00187">
              <w:rPr>
                <w:rFonts w:eastAsia="Times New Roman"/>
                <w:szCs w:val="24"/>
                <w:lang w:eastAsia="cs-CZ"/>
              </w:rPr>
              <w:t>597</w:t>
            </w:r>
          </w:p>
        </w:tc>
      </w:tr>
      <w:tr w:rsidR="00AC1E67" w:rsidRPr="00A00187" w14:paraId="01F8E321" w14:textId="77777777" w:rsidTr="00410E81">
        <w:trPr>
          <w:trHeight w:val="345"/>
        </w:trPr>
        <w:tc>
          <w:tcPr>
            <w:tcW w:w="2496" w:type="dxa"/>
            <w:tcBorders>
              <w:top w:val="nil"/>
              <w:left w:val="nil"/>
              <w:bottom w:val="double" w:sz="6" w:space="0" w:color="auto"/>
              <w:right w:val="nil"/>
            </w:tcBorders>
            <w:shd w:val="clear" w:color="auto" w:fill="auto"/>
            <w:noWrap/>
            <w:vAlign w:val="bottom"/>
            <w:hideMark/>
          </w:tcPr>
          <w:p w14:paraId="456F2A5D" w14:textId="77777777" w:rsidR="00410E81" w:rsidRPr="00A00187" w:rsidRDefault="00410E81" w:rsidP="00410E81">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91" w:type="dxa"/>
            <w:tcBorders>
              <w:top w:val="nil"/>
              <w:left w:val="nil"/>
              <w:bottom w:val="double" w:sz="6" w:space="0" w:color="auto"/>
              <w:right w:val="nil"/>
            </w:tcBorders>
            <w:shd w:val="clear" w:color="auto" w:fill="auto"/>
            <w:noWrap/>
            <w:vAlign w:val="bottom"/>
            <w:hideMark/>
          </w:tcPr>
          <w:p w14:paraId="54B9167D" w14:textId="77777777"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562</w:t>
            </w:r>
          </w:p>
        </w:tc>
        <w:tc>
          <w:tcPr>
            <w:tcW w:w="1118" w:type="dxa"/>
            <w:tcBorders>
              <w:top w:val="nil"/>
              <w:left w:val="nil"/>
              <w:bottom w:val="double" w:sz="6" w:space="0" w:color="auto"/>
              <w:right w:val="nil"/>
            </w:tcBorders>
            <w:shd w:val="clear" w:color="auto" w:fill="auto"/>
            <w:noWrap/>
            <w:vAlign w:val="bottom"/>
            <w:hideMark/>
          </w:tcPr>
          <w:p w14:paraId="5BA0980B" w14:textId="77777777"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248</w:t>
            </w:r>
          </w:p>
        </w:tc>
        <w:tc>
          <w:tcPr>
            <w:tcW w:w="1707" w:type="dxa"/>
            <w:tcBorders>
              <w:top w:val="nil"/>
              <w:left w:val="nil"/>
              <w:bottom w:val="double" w:sz="6" w:space="0" w:color="auto"/>
              <w:right w:val="nil"/>
            </w:tcBorders>
            <w:shd w:val="clear" w:color="auto" w:fill="auto"/>
            <w:noWrap/>
            <w:vAlign w:val="bottom"/>
            <w:hideMark/>
          </w:tcPr>
          <w:p w14:paraId="3AF5C7A5" w14:textId="703CC3EE" w:rsidR="00410E81" w:rsidRPr="00A00187" w:rsidRDefault="00410E81" w:rsidP="00410E81">
            <w:pPr>
              <w:spacing w:line="240" w:lineRule="auto"/>
              <w:jc w:val="center"/>
              <w:rPr>
                <w:rFonts w:eastAsia="Times New Roman"/>
                <w:b/>
                <w:bCs/>
                <w:szCs w:val="24"/>
                <w:lang w:eastAsia="cs-CZ"/>
              </w:rPr>
            </w:pPr>
            <w:r w:rsidRPr="00A00187">
              <w:rPr>
                <w:rFonts w:eastAsia="Times New Roman"/>
                <w:b/>
                <w:bCs/>
                <w:szCs w:val="24"/>
                <w:lang w:eastAsia="cs-CZ"/>
              </w:rPr>
              <w:t>1</w:t>
            </w:r>
            <w:r w:rsidR="004732B9">
              <w:rPr>
                <w:rFonts w:eastAsia="Times New Roman"/>
                <w:b/>
                <w:bCs/>
                <w:szCs w:val="24"/>
                <w:lang w:eastAsia="cs-CZ"/>
              </w:rPr>
              <w:t xml:space="preserve"> </w:t>
            </w:r>
            <w:r w:rsidRPr="00A00187">
              <w:rPr>
                <w:rFonts w:eastAsia="Times New Roman"/>
                <w:b/>
                <w:bCs/>
                <w:szCs w:val="24"/>
                <w:lang w:eastAsia="cs-CZ"/>
              </w:rPr>
              <w:t>449</w:t>
            </w:r>
          </w:p>
        </w:tc>
      </w:tr>
      <w:tr w:rsidR="00AC1E67" w:rsidRPr="00A00187" w14:paraId="4DE9392B" w14:textId="77777777" w:rsidTr="00410E81">
        <w:trPr>
          <w:trHeight w:val="330"/>
        </w:trPr>
        <w:tc>
          <w:tcPr>
            <w:tcW w:w="2496" w:type="dxa"/>
            <w:tcBorders>
              <w:top w:val="nil"/>
              <w:left w:val="nil"/>
              <w:bottom w:val="nil"/>
              <w:right w:val="nil"/>
            </w:tcBorders>
            <w:shd w:val="clear" w:color="auto" w:fill="auto"/>
            <w:noWrap/>
            <w:vAlign w:val="bottom"/>
            <w:hideMark/>
          </w:tcPr>
          <w:p w14:paraId="442E28D4" w14:textId="77777777" w:rsidR="00410E81" w:rsidRPr="00A00187" w:rsidRDefault="00410E81" w:rsidP="00410E81">
            <w:pPr>
              <w:spacing w:line="240" w:lineRule="auto"/>
              <w:jc w:val="center"/>
              <w:rPr>
                <w:rFonts w:eastAsia="Times New Roman"/>
                <w:b/>
                <w:bCs/>
                <w:szCs w:val="24"/>
                <w:lang w:eastAsia="cs-CZ"/>
              </w:rPr>
            </w:pPr>
          </w:p>
        </w:tc>
        <w:tc>
          <w:tcPr>
            <w:tcW w:w="1091" w:type="dxa"/>
            <w:tcBorders>
              <w:top w:val="nil"/>
              <w:left w:val="nil"/>
              <w:bottom w:val="nil"/>
              <w:right w:val="nil"/>
            </w:tcBorders>
            <w:shd w:val="clear" w:color="auto" w:fill="auto"/>
            <w:noWrap/>
            <w:vAlign w:val="bottom"/>
            <w:hideMark/>
          </w:tcPr>
          <w:p w14:paraId="39E11D91" w14:textId="77777777" w:rsidR="00410E81" w:rsidRPr="00A00187" w:rsidRDefault="00410E81" w:rsidP="00410E81">
            <w:pPr>
              <w:spacing w:line="240" w:lineRule="auto"/>
              <w:jc w:val="left"/>
              <w:rPr>
                <w:rFonts w:ascii="Times New Roman" w:eastAsia="Times New Roman" w:hAnsi="Times New Roman"/>
                <w:sz w:val="20"/>
                <w:szCs w:val="20"/>
                <w:lang w:eastAsia="cs-CZ"/>
              </w:rPr>
            </w:pPr>
          </w:p>
        </w:tc>
        <w:tc>
          <w:tcPr>
            <w:tcW w:w="1118" w:type="dxa"/>
            <w:tcBorders>
              <w:top w:val="nil"/>
              <w:left w:val="nil"/>
              <w:bottom w:val="nil"/>
              <w:right w:val="nil"/>
            </w:tcBorders>
            <w:shd w:val="clear" w:color="auto" w:fill="auto"/>
            <w:noWrap/>
            <w:vAlign w:val="bottom"/>
            <w:hideMark/>
          </w:tcPr>
          <w:p w14:paraId="0C381846" w14:textId="77777777" w:rsidR="00410E81" w:rsidRPr="00A00187" w:rsidRDefault="00410E81" w:rsidP="00410E81">
            <w:pPr>
              <w:spacing w:line="240" w:lineRule="auto"/>
              <w:jc w:val="left"/>
              <w:rPr>
                <w:rFonts w:ascii="Times New Roman" w:eastAsia="Times New Roman" w:hAnsi="Times New Roman"/>
                <w:sz w:val="20"/>
                <w:szCs w:val="20"/>
                <w:lang w:eastAsia="cs-CZ"/>
              </w:rPr>
            </w:pPr>
          </w:p>
        </w:tc>
        <w:tc>
          <w:tcPr>
            <w:tcW w:w="1707" w:type="dxa"/>
            <w:tcBorders>
              <w:top w:val="nil"/>
              <w:left w:val="nil"/>
              <w:bottom w:val="nil"/>
              <w:right w:val="nil"/>
            </w:tcBorders>
            <w:shd w:val="clear" w:color="auto" w:fill="auto"/>
            <w:noWrap/>
            <w:vAlign w:val="bottom"/>
            <w:hideMark/>
          </w:tcPr>
          <w:p w14:paraId="5F07EBAD" w14:textId="77777777" w:rsidR="00410E81" w:rsidRPr="00A00187" w:rsidRDefault="00410E81" w:rsidP="00410E81">
            <w:pPr>
              <w:spacing w:line="240" w:lineRule="auto"/>
              <w:jc w:val="left"/>
              <w:rPr>
                <w:rFonts w:ascii="Times New Roman" w:eastAsia="Times New Roman" w:hAnsi="Times New Roman"/>
                <w:sz w:val="20"/>
                <w:szCs w:val="20"/>
                <w:lang w:eastAsia="cs-CZ"/>
              </w:rPr>
            </w:pPr>
          </w:p>
        </w:tc>
      </w:tr>
    </w:tbl>
    <w:p w14:paraId="534BF405" w14:textId="77777777" w:rsidR="00CB570A" w:rsidRDefault="00C85906" w:rsidP="00C85906">
      <w:pPr>
        <w:pStyle w:val="OdstavecASR"/>
      </w:pPr>
      <w:r w:rsidRPr="00A00187">
        <w:t xml:space="preserve">V této souvislosti je namístě zdůraznit, že krajské soudy vyřizují velmi složitou prvostupňovou trestní agendu. Z podstaty složitosti a rozsahu trestních věcí projednávaných v prvním stupni u krajských soudů vyplývá, že jsou mnohdy časově náročnější, ať už na samotné studium spisu soudcem, či na následný </w:t>
      </w:r>
      <w:r w:rsidR="00861CD0" w:rsidRPr="00A00187">
        <w:t xml:space="preserve">vyšší </w:t>
      </w:r>
      <w:r w:rsidRPr="00A00187">
        <w:t>počet hlavních líčení. Výjimkou nejsou ani sofistikované obstrukční procesní postupy obhájců.</w:t>
      </w:r>
      <w:r w:rsidR="001539FF" w:rsidRPr="00A00187">
        <w:t xml:space="preserve"> Analýza důvodů dlouhých řízení by ovšem vyžadovala samostatnou analýzu.</w:t>
      </w:r>
    </w:p>
    <w:p w14:paraId="5CCE47E3" w14:textId="40067890" w:rsidR="009D4EA7" w:rsidRPr="00A00187" w:rsidRDefault="009D4EA7" w:rsidP="009D4EA7">
      <w:pPr>
        <w:pStyle w:val="Podnadpis"/>
        <w:rPr>
          <w:color w:val="auto"/>
        </w:rPr>
      </w:pPr>
      <w:r w:rsidRPr="00A00187">
        <w:rPr>
          <w:color w:val="auto"/>
        </w:rPr>
        <w:t>Graf 60: KS – distribuce délek prvostupňového trestního řízení</w:t>
      </w:r>
    </w:p>
    <w:p w14:paraId="461123B5" w14:textId="51B0B20D" w:rsidR="009D4EA7" w:rsidRPr="00A00187" w:rsidRDefault="009D4EA7" w:rsidP="00C85906">
      <w:pPr>
        <w:pStyle w:val="OdstavecASR"/>
      </w:pPr>
      <w:r w:rsidRPr="00A00187">
        <w:rPr>
          <w:noProof/>
        </w:rPr>
        <w:drawing>
          <wp:inline distT="0" distB="0" distL="0" distR="0" wp14:anchorId="7486A703" wp14:editId="298796CB">
            <wp:extent cx="5025390" cy="3657600"/>
            <wp:effectExtent l="0" t="0" r="381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2990230D" w14:textId="77777777" w:rsidR="009D4EA7" w:rsidRPr="00A00187" w:rsidRDefault="009D4EA7">
      <w:pPr>
        <w:spacing w:after="160" w:line="259" w:lineRule="auto"/>
        <w:jc w:val="left"/>
      </w:pPr>
      <w:r w:rsidRPr="00A00187">
        <w:br w:type="page"/>
      </w:r>
    </w:p>
    <w:p w14:paraId="404EEE16" w14:textId="0A423516" w:rsidR="009D4EA7" w:rsidRPr="00A00187" w:rsidRDefault="009D4EA7" w:rsidP="009D4EA7">
      <w:pPr>
        <w:pStyle w:val="OdstavecASR"/>
      </w:pPr>
      <w:r w:rsidRPr="00A00187">
        <w:lastRenderedPageBreak/>
        <w:t xml:space="preserve">Nakonec jsou délky řízení, stejně jako </w:t>
      </w:r>
      <w:r w:rsidR="00755920" w:rsidRPr="00A00187">
        <w:t>u</w:t>
      </w:r>
      <w:r w:rsidR="00755920">
        <w:t> </w:t>
      </w:r>
      <w:r w:rsidRPr="00A00187">
        <w:t xml:space="preserve">jiných agend, zobrazeny </w:t>
      </w:r>
      <w:r w:rsidR="00755920" w:rsidRPr="00A00187">
        <w:t>v</w:t>
      </w:r>
      <w:r w:rsidR="00755920">
        <w:t> </w:t>
      </w:r>
      <w:r w:rsidRPr="00A00187">
        <w:t xml:space="preserve">histogramu. Šířka intervalu je 50 dnů. Na rozdíl od jiných histogramů jsou zde vidět „zuby“. Tím jsou myšleny velké rozdíly mezi četností </w:t>
      </w:r>
      <w:r w:rsidR="00755920" w:rsidRPr="00A00187">
        <w:t>u</w:t>
      </w:r>
      <w:r w:rsidR="00755920">
        <w:t> </w:t>
      </w:r>
      <w:r w:rsidRPr="00A00187">
        <w:t xml:space="preserve">intervalů, které leží vedle sebe. Ty plynou </w:t>
      </w:r>
      <w:r w:rsidR="00755920" w:rsidRPr="00A00187">
        <w:t>z</w:t>
      </w:r>
      <w:r w:rsidR="00755920">
        <w:t> </w:t>
      </w:r>
      <w:r w:rsidRPr="00A00187">
        <w:t xml:space="preserve">malého množství pozorování </w:t>
      </w:r>
      <w:r w:rsidR="00755920" w:rsidRPr="00A00187">
        <w:t>a</w:t>
      </w:r>
      <w:r w:rsidR="00755920">
        <w:t> </w:t>
      </w:r>
      <w:r w:rsidRPr="00A00187">
        <w:t>zvolen</w:t>
      </w:r>
      <w:r w:rsidR="002876D2" w:rsidRPr="00A00187">
        <w:t>é</w:t>
      </w:r>
      <w:r w:rsidRPr="00A00187">
        <w:t xml:space="preserve"> šířky intervalu.</w:t>
      </w:r>
    </w:p>
    <w:p w14:paraId="789912F4" w14:textId="5A5B9D11" w:rsidR="00CB570A" w:rsidRDefault="009D4EA7" w:rsidP="009D4EA7">
      <w:pPr>
        <w:pStyle w:val="OdstavecASR"/>
      </w:pPr>
      <w:r w:rsidRPr="00A00187">
        <w:t>Graf také velmi dobře dokládá rozdílnost agendy: mnoho věcí (asi 25</w:t>
      </w:r>
      <w:r w:rsidR="00CB570A">
        <w:t> %</w:t>
      </w:r>
      <w:r w:rsidRPr="00A00187">
        <w:t>) je vyřízeno velmi rychle</w:t>
      </w:r>
      <w:r w:rsidR="008E36CF" w:rsidRPr="00A00187">
        <w:t>,</w:t>
      </w:r>
      <w:r w:rsidRPr="00A00187">
        <w:t xml:space="preserve"> do 100 dnů. Na druhou stranu </w:t>
      </w:r>
      <w:r w:rsidR="002876D2" w:rsidRPr="00A00187">
        <w:t xml:space="preserve">cca </w:t>
      </w:r>
      <w:r w:rsidRPr="00A00187">
        <w:t>35</w:t>
      </w:r>
      <w:r w:rsidR="00CB570A">
        <w:t> %</w:t>
      </w:r>
      <w:r w:rsidRPr="00A00187">
        <w:t xml:space="preserve"> věcí je vyřízeno za více než 500 dnů </w:t>
      </w:r>
      <w:r w:rsidR="00755920" w:rsidRPr="00A00187">
        <w:t>a</w:t>
      </w:r>
      <w:r w:rsidR="00755920">
        <w:t> </w:t>
      </w:r>
      <w:r w:rsidR="002876D2" w:rsidRPr="00A00187">
        <w:t>cca</w:t>
      </w:r>
      <w:r w:rsidRPr="00A00187">
        <w:t xml:space="preserve"> 5</w:t>
      </w:r>
      <w:r w:rsidR="00CB570A">
        <w:t> %</w:t>
      </w:r>
      <w:r w:rsidRPr="00A00187">
        <w:t xml:space="preserve"> má délku řízení delší než 2</w:t>
      </w:r>
      <w:r w:rsidR="004732B9">
        <w:t xml:space="preserve"> </w:t>
      </w:r>
      <w:r w:rsidRPr="00A00187">
        <w:t>000 dnů (cca 5,5 roku).</w:t>
      </w:r>
    </w:p>
    <w:p w14:paraId="46E198C1" w14:textId="23DD3724" w:rsidR="00C85906" w:rsidRPr="00A00187" w:rsidRDefault="00C85906" w:rsidP="00C85906">
      <w:pPr>
        <w:pStyle w:val="Nadpis3"/>
        <w:numPr>
          <w:ilvl w:val="2"/>
          <w:numId w:val="1"/>
        </w:numPr>
        <w:rPr>
          <w:color w:val="auto"/>
        </w:rPr>
      </w:pPr>
      <w:bookmarkStart w:id="744" w:name="_Toc75952099"/>
      <w:bookmarkStart w:id="745" w:name="_Toc106092765"/>
      <w:bookmarkStart w:id="746" w:name="_Toc109801376"/>
      <w:r w:rsidRPr="00A00187">
        <w:rPr>
          <w:color w:val="auto"/>
        </w:rPr>
        <w:t>Vyřizování věcí</w:t>
      </w:r>
      <w:bookmarkEnd w:id="744"/>
      <w:bookmarkEnd w:id="745"/>
      <w:bookmarkEnd w:id="746"/>
    </w:p>
    <w:p w14:paraId="4E4544BC" w14:textId="77777777" w:rsidR="00FB0FAC" w:rsidRPr="00A00187" w:rsidRDefault="00FB0FAC" w:rsidP="00FB0FAC">
      <w:pPr>
        <w:pStyle w:val="OdstavecASR"/>
      </w:pPr>
      <w:r w:rsidRPr="00A00187">
        <w:t>Na následujícím grafu vidíme vývoj v počtu napadlých + obživlých, vyřízených a nevyřízených věcí.</w:t>
      </w:r>
    </w:p>
    <w:p w14:paraId="7C36BB2B" w14:textId="3F7FEA6B" w:rsidR="00FB0FAC" w:rsidRPr="00A00187" w:rsidRDefault="00FB0FAC" w:rsidP="00FB0FAC">
      <w:pPr>
        <w:pStyle w:val="OdstavecASR"/>
      </w:pPr>
      <w:r w:rsidRPr="00A00187">
        <w:t xml:space="preserve">Zatímco u okresních soudů je zřejmý jednoznačný dlouhodobý klesající trend, u závažnějších trestných činů vyřizovaných krajskými soudy tomu tak není. Počet napadlých a vyřízených věcí se dlouhodobě pohybuje mezi 1 200 a 1 300 věcmi. V roce 2019 došlo k citelnému poklesu a počet příchozích věcí byl </w:t>
      </w:r>
      <w:r w:rsidR="007474D8" w:rsidRPr="00A00187">
        <w:t xml:space="preserve">nejnižší </w:t>
      </w:r>
      <w:r w:rsidRPr="00A00187">
        <w:t>od roku 2008. V roce 2020 se počet příchozích věcí meziročně víceméně nezměnil.</w:t>
      </w:r>
      <w:r w:rsidR="00384EAA" w:rsidRPr="00A00187">
        <w:t xml:space="preserve"> </w:t>
      </w:r>
      <w:r w:rsidR="005C6C65" w:rsidRPr="00A00187">
        <w:t>Mohlo by</w:t>
      </w:r>
      <w:r w:rsidR="00384EAA" w:rsidRPr="00A00187">
        <w:t xml:space="preserve"> se tedy zdát</w:t>
      </w:r>
      <w:r w:rsidRPr="00A00187">
        <w:t>, že na závažnou kriminalitu neměla pandemie COVID</w:t>
      </w:r>
      <w:r w:rsidRPr="00A00187">
        <w:noBreakHyphen/>
        <w:t>19 vliv (na rozdíl od agendy okresních soudů, která zahrnuje méně závažnou kriminalitu)</w:t>
      </w:r>
      <w:r w:rsidR="005C6C65" w:rsidRPr="00A00187">
        <w:t>.</w:t>
      </w:r>
    </w:p>
    <w:p w14:paraId="526ACC0B" w14:textId="4550C01A" w:rsidR="00FB0FAC" w:rsidRPr="00A00187" w:rsidRDefault="00384EAA" w:rsidP="00FB0FAC">
      <w:pPr>
        <w:pStyle w:val="OdstavecASR"/>
      </w:pPr>
      <w:r w:rsidRPr="00A00187">
        <w:t>Nicméně v roce 2021</w:t>
      </w:r>
      <w:r w:rsidR="00FB0FAC" w:rsidRPr="00A00187">
        <w:t xml:space="preserve"> ke značnému poklesu v počtu příchozích věcí</w:t>
      </w:r>
      <w:r w:rsidR="00017E45" w:rsidRPr="00A00187">
        <w:t xml:space="preserve"> </w:t>
      </w:r>
      <w:r w:rsidR="00FB0FAC" w:rsidRPr="00A00187">
        <w:t xml:space="preserve">došlo. </w:t>
      </w:r>
      <w:r w:rsidR="00755920" w:rsidRPr="00A00187">
        <w:t>U</w:t>
      </w:r>
      <w:r w:rsidR="00755920">
        <w:t> </w:t>
      </w:r>
      <w:r w:rsidR="00FB0FAC" w:rsidRPr="00A00187">
        <w:t>mnohých ze závažných trestných činů</w:t>
      </w:r>
      <w:r w:rsidR="004732B9">
        <w:t xml:space="preserve"> </w:t>
      </w:r>
      <w:r w:rsidRPr="00A00187">
        <w:t xml:space="preserve">totiž </w:t>
      </w:r>
      <w:r w:rsidR="00FB0FAC" w:rsidRPr="00A00187">
        <w:t xml:space="preserve">platí, že od spáchání trestného činu do podání obžaloby uplyne (na rozdíl od </w:t>
      </w:r>
      <w:r w:rsidR="008E36CF" w:rsidRPr="00A00187">
        <w:t xml:space="preserve">méně významné </w:t>
      </w:r>
      <w:r w:rsidR="00FB0FAC" w:rsidRPr="00A00187">
        <w:t xml:space="preserve">trestné činnosti řešené typicky ve zkráceném přípravném řízení) </w:t>
      </w:r>
      <w:r w:rsidR="00310D82">
        <w:t xml:space="preserve">delší </w:t>
      </w:r>
      <w:r w:rsidR="00FB0FAC" w:rsidRPr="00A00187">
        <w:t>doba</w:t>
      </w:r>
      <w:r w:rsidR="002876D2" w:rsidRPr="00A00187">
        <w:t xml:space="preserve">, </w:t>
      </w:r>
      <w:r w:rsidR="00755920" w:rsidRPr="00A00187">
        <w:t>a</w:t>
      </w:r>
      <w:r w:rsidR="00755920">
        <w:t> </w:t>
      </w:r>
      <w:r w:rsidR="002876D2" w:rsidRPr="00A00187">
        <w:t>to</w:t>
      </w:r>
      <w:r w:rsidR="00FB0FAC" w:rsidRPr="00A00187">
        <w:t xml:space="preserve"> i několik let. Je tedy možné, že </w:t>
      </w:r>
      <w:r w:rsidR="00755920" w:rsidRPr="00A00187">
        <w:t>v</w:t>
      </w:r>
      <w:r w:rsidR="00755920">
        <w:t> </w:t>
      </w:r>
      <w:r w:rsidR="008E36CF" w:rsidRPr="00A00187">
        <w:t xml:space="preserve">důsledku </w:t>
      </w:r>
      <w:r w:rsidR="00FB0FAC" w:rsidRPr="00A00187">
        <w:t>pandemi</w:t>
      </w:r>
      <w:r w:rsidR="008E36CF" w:rsidRPr="00A00187">
        <w:t>e</w:t>
      </w:r>
      <w:r w:rsidR="00FB0FAC" w:rsidRPr="00A00187">
        <w:t xml:space="preserve"> reálně došlo </w:t>
      </w:r>
      <w:r w:rsidR="00755920" w:rsidRPr="00A00187">
        <w:t>i</w:t>
      </w:r>
      <w:r w:rsidR="00755920">
        <w:t> </w:t>
      </w:r>
      <w:r w:rsidR="00FB0FAC" w:rsidRPr="00A00187">
        <w:t>k propadu závažné kriminality</w:t>
      </w:r>
      <w:r w:rsidR="008E36CF" w:rsidRPr="00A00187">
        <w:t xml:space="preserve">, který se </w:t>
      </w:r>
      <w:r w:rsidR="00FB0FAC" w:rsidRPr="00A00187">
        <w:t xml:space="preserve">ale </w:t>
      </w:r>
      <w:r w:rsidR="00755920" w:rsidRPr="00A00187">
        <w:t>u</w:t>
      </w:r>
      <w:r w:rsidR="00755920">
        <w:t> </w:t>
      </w:r>
      <w:r w:rsidR="00FB0FAC" w:rsidRPr="00A00187">
        <w:t xml:space="preserve">soudů projevil až </w:t>
      </w:r>
      <w:r w:rsidR="00755920" w:rsidRPr="00A00187">
        <w:t>o</w:t>
      </w:r>
      <w:r w:rsidR="00755920">
        <w:t> </w:t>
      </w:r>
      <w:r w:rsidR="00FB0FAC" w:rsidRPr="00A00187">
        <w:t xml:space="preserve">rok </w:t>
      </w:r>
      <w:r w:rsidR="008E36CF" w:rsidRPr="00A00187">
        <w:t>později</w:t>
      </w:r>
      <w:r w:rsidR="00FB0FAC" w:rsidRPr="00A00187">
        <w:t>.</w:t>
      </w:r>
      <w:r w:rsidR="0061691A" w:rsidRPr="00A00187">
        <w:t xml:space="preserve"> Této teorii </w:t>
      </w:r>
      <w:r w:rsidR="008E36CF" w:rsidRPr="00A00187">
        <w:t xml:space="preserve">nasvědčuje </w:t>
      </w:r>
      <w:r w:rsidR="00755920" w:rsidRPr="00A00187">
        <w:t>i</w:t>
      </w:r>
      <w:r w:rsidR="00755920">
        <w:t> </w:t>
      </w:r>
      <w:r w:rsidR="0061691A" w:rsidRPr="00A00187">
        <w:t xml:space="preserve">fakt, že počet nových případů </w:t>
      </w:r>
      <w:r w:rsidR="00755920" w:rsidRPr="00A00187">
        <w:t>u</w:t>
      </w:r>
      <w:r w:rsidR="00755920">
        <w:t> </w:t>
      </w:r>
      <w:r w:rsidR="0061691A" w:rsidRPr="00A00187">
        <w:t xml:space="preserve">krajských státních zastupitelství se snížil asi </w:t>
      </w:r>
      <w:r w:rsidR="00755920" w:rsidRPr="00A00187">
        <w:t>o</w:t>
      </w:r>
      <w:r w:rsidR="00755920">
        <w:t> </w:t>
      </w:r>
      <w:r w:rsidR="0061691A" w:rsidRPr="00A00187">
        <w:t>10</w:t>
      </w:r>
      <w:r w:rsidR="00CB570A">
        <w:t> %</w:t>
      </w:r>
      <w:r w:rsidR="0061691A" w:rsidRPr="00A00187">
        <w:t xml:space="preserve"> právě v roce 2020.</w:t>
      </w:r>
    </w:p>
    <w:p w14:paraId="7D493116" w14:textId="77777777" w:rsidR="00FB0FAC" w:rsidRPr="00A00187" w:rsidRDefault="00FB0FAC">
      <w:pPr>
        <w:spacing w:after="160" w:line="259" w:lineRule="auto"/>
        <w:jc w:val="left"/>
      </w:pPr>
      <w:r w:rsidRPr="00A00187">
        <w:br w:type="page"/>
      </w:r>
    </w:p>
    <w:p w14:paraId="7BED1346" w14:textId="5088DE94" w:rsidR="00FB0FAC" w:rsidRPr="00A00187" w:rsidRDefault="00FB0FAC" w:rsidP="00FB0FAC">
      <w:pPr>
        <w:pStyle w:val="Podnadpis"/>
        <w:keepNext w:val="0"/>
        <w:rPr>
          <w:color w:val="auto"/>
        </w:rPr>
      </w:pPr>
      <w:bookmarkStart w:id="747" w:name="_Toc75952243"/>
      <w:bookmarkStart w:id="748" w:name="_Toc106106700"/>
      <w:bookmarkStart w:id="749" w:name="_Toc109802024"/>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66</w:t>
      </w:r>
      <w:r w:rsidRPr="00A00187">
        <w:rPr>
          <w:noProof/>
          <w:color w:val="auto"/>
        </w:rPr>
        <w:fldChar w:fldCharType="end"/>
      </w:r>
      <w:r w:rsidRPr="00A00187">
        <w:rPr>
          <w:color w:val="auto"/>
        </w:rPr>
        <w:t>: KS – vyřizování prvostupňových trestních věcí v letech 2008–202</w:t>
      </w:r>
      <w:bookmarkEnd w:id="747"/>
      <w:r w:rsidRPr="00A00187">
        <w:rPr>
          <w:color w:val="auto"/>
        </w:rPr>
        <w:t>1</w:t>
      </w:r>
      <w:bookmarkEnd w:id="748"/>
      <w:bookmarkEnd w:id="749"/>
    </w:p>
    <w:p w14:paraId="59A85118" w14:textId="39C61FE8" w:rsidR="00FB0FAC" w:rsidRPr="00A00187" w:rsidRDefault="00FB0FAC" w:rsidP="00FB0FAC">
      <w:pPr>
        <w:pStyle w:val="OdstavecASR"/>
      </w:pPr>
      <w:r w:rsidRPr="00A00187">
        <w:rPr>
          <w:noProof/>
        </w:rPr>
        <w:drawing>
          <wp:inline distT="0" distB="0" distL="0" distR="0" wp14:anchorId="47CC0F89" wp14:editId="78D68A55">
            <wp:extent cx="5025390" cy="3657600"/>
            <wp:effectExtent l="0" t="0" r="381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231C7D73" w14:textId="15F32D98" w:rsidR="007B001B" w:rsidRPr="00A00187" w:rsidRDefault="007B001B" w:rsidP="00FB0FAC">
      <w:pPr>
        <w:pStyle w:val="OdstavecASR"/>
      </w:pPr>
      <w:r w:rsidRPr="00A00187">
        <w:t xml:space="preserve">Tabulka níže nicméně ukazuje, že k propadu došlo jen </w:t>
      </w:r>
      <w:r w:rsidR="00755920" w:rsidRPr="00A00187">
        <w:t>u</w:t>
      </w:r>
      <w:r w:rsidR="00755920">
        <w:t> </w:t>
      </w:r>
      <w:r w:rsidR="00831CC2" w:rsidRPr="00A00187">
        <w:t>čtyř</w:t>
      </w:r>
      <w:r w:rsidRPr="00A00187">
        <w:t xml:space="preserve"> soudů, což </w:t>
      </w:r>
      <w:r w:rsidR="008E36CF" w:rsidRPr="00A00187">
        <w:t>s</w:t>
      </w:r>
      <w:r w:rsidRPr="00A00187">
        <w:t xml:space="preserve"> výše uvedenou teorií vlivu pandemie příliš nekoresponduje. </w:t>
      </w:r>
      <w:r w:rsidR="00831CC2" w:rsidRPr="00A00187">
        <w:t xml:space="preserve">Je zřejmě možné, že pandemie se promítla jinak v každém kraji, protože složení trestní agendy </w:t>
      </w:r>
      <w:r w:rsidR="008E36CF" w:rsidRPr="00A00187">
        <w:t>se podle krajů</w:t>
      </w:r>
      <w:r w:rsidR="00384EAA" w:rsidRPr="00A00187">
        <w:t xml:space="preserve"> liší</w:t>
      </w:r>
      <w:r w:rsidR="00831CC2" w:rsidRPr="00A00187">
        <w:t xml:space="preserve">. Podrobná analýza tohoto jevu každopádně přesahuje účel této zprávy </w:t>
      </w:r>
      <w:r w:rsidR="00755920" w:rsidRPr="00A00187">
        <w:t>a</w:t>
      </w:r>
      <w:r w:rsidR="00755920">
        <w:t> </w:t>
      </w:r>
      <w:r w:rsidR="00831CC2" w:rsidRPr="00A00187">
        <w:t xml:space="preserve">bez dalšího výzkumu </w:t>
      </w:r>
      <w:r w:rsidR="008E36CF" w:rsidRPr="00A00187">
        <w:t>nemůžeme dojít k definitivním závěrům</w:t>
      </w:r>
      <w:r w:rsidR="00831CC2" w:rsidRPr="00A00187">
        <w:t>.</w:t>
      </w:r>
      <w:r w:rsidR="0058114B" w:rsidRPr="00A00187">
        <w:t xml:space="preserve"> Zdá se nicméně, že </w:t>
      </w:r>
      <w:r w:rsidR="00755920" w:rsidRPr="00A00187">
        <w:t>i</w:t>
      </w:r>
      <w:r w:rsidR="00755920">
        <w:t> </w:t>
      </w:r>
      <w:r w:rsidR="0058114B" w:rsidRPr="00A00187">
        <w:t>závažná kriminalita mohla být ovlivněna pandemií COVID-19.</w:t>
      </w:r>
    </w:p>
    <w:p w14:paraId="28F56003" w14:textId="7974F9F7" w:rsidR="00DF2F65" w:rsidRPr="00A00187" w:rsidRDefault="00DF2F65" w:rsidP="00DF2F65">
      <w:pPr>
        <w:pStyle w:val="Podnadpis"/>
        <w:rPr>
          <w:color w:val="auto"/>
        </w:rPr>
      </w:pPr>
      <w:bookmarkStart w:id="750" w:name="_Toc75952359"/>
      <w:bookmarkStart w:id="751" w:name="_Toc106106815"/>
      <w:bookmarkStart w:id="752" w:name="_Toc109802138"/>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53</w:t>
      </w:r>
      <w:r w:rsidRPr="00A00187">
        <w:rPr>
          <w:noProof/>
          <w:color w:val="auto"/>
        </w:rPr>
        <w:fldChar w:fldCharType="end"/>
      </w:r>
      <w:r w:rsidRPr="00A00187">
        <w:rPr>
          <w:color w:val="auto"/>
        </w:rPr>
        <w:t>: KS – vyřizování prvostupňových trestních věcí dle soudů</w:t>
      </w:r>
      <w:bookmarkEnd w:id="750"/>
      <w:bookmarkEnd w:id="751"/>
      <w:bookmarkEnd w:id="752"/>
    </w:p>
    <w:tbl>
      <w:tblPr>
        <w:tblW w:w="9140" w:type="dxa"/>
        <w:tblCellMar>
          <w:left w:w="70" w:type="dxa"/>
          <w:right w:w="70" w:type="dxa"/>
        </w:tblCellMar>
        <w:tblLook w:val="04A0" w:firstRow="1" w:lastRow="0" w:firstColumn="1" w:lastColumn="0" w:noHBand="0" w:noVBand="1"/>
      </w:tblPr>
      <w:tblGrid>
        <w:gridCol w:w="2036"/>
        <w:gridCol w:w="858"/>
        <w:gridCol w:w="1072"/>
        <w:gridCol w:w="834"/>
        <w:gridCol w:w="1072"/>
        <w:gridCol w:w="680"/>
        <w:gridCol w:w="1072"/>
        <w:gridCol w:w="1516"/>
      </w:tblGrid>
      <w:tr w:rsidR="00AC1E67" w:rsidRPr="00A00187" w14:paraId="1B4D8A7A" w14:textId="77777777" w:rsidTr="00DF2F65">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162F3615" w14:textId="4958441C" w:rsidR="00DF2F65" w:rsidRPr="00A00187" w:rsidRDefault="00A8348B" w:rsidP="00DF2F65">
            <w:pPr>
              <w:spacing w:line="240" w:lineRule="auto"/>
              <w:jc w:val="center"/>
              <w:rPr>
                <w:rFonts w:eastAsia="Times New Roman"/>
                <w:b/>
                <w:bCs/>
                <w:szCs w:val="24"/>
                <w:lang w:eastAsia="cs-CZ"/>
              </w:rPr>
            </w:pPr>
            <w:r w:rsidRPr="00A00187">
              <w:rPr>
                <w:rFonts w:eastAsia="Times New Roman"/>
                <w:b/>
                <w:bCs/>
                <w:szCs w:val="24"/>
                <w:lang w:eastAsia="cs-CZ"/>
              </w:rPr>
              <w:t>S</w:t>
            </w:r>
            <w:r w:rsidR="00DF2F65" w:rsidRPr="00A00187">
              <w:rPr>
                <w:rFonts w:eastAsia="Times New Roman"/>
                <w:b/>
                <w:bCs/>
                <w:szCs w:val="24"/>
                <w:lang w:eastAsia="cs-CZ"/>
              </w:rPr>
              <w:t>oud</w:t>
            </w:r>
          </w:p>
        </w:tc>
        <w:tc>
          <w:tcPr>
            <w:tcW w:w="5588" w:type="dxa"/>
            <w:gridSpan w:val="6"/>
            <w:tcBorders>
              <w:top w:val="double" w:sz="6" w:space="0" w:color="auto"/>
              <w:left w:val="nil"/>
              <w:bottom w:val="nil"/>
              <w:right w:val="single" w:sz="4" w:space="0" w:color="000000"/>
            </w:tcBorders>
            <w:shd w:val="clear" w:color="auto" w:fill="auto"/>
            <w:noWrap/>
            <w:vAlign w:val="center"/>
            <w:hideMark/>
          </w:tcPr>
          <w:p w14:paraId="2C3A8CC3"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vMerge w:val="restart"/>
            <w:tcBorders>
              <w:top w:val="double" w:sz="6" w:space="0" w:color="auto"/>
              <w:left w:val="nil"/>
              <w:bottom w:val="double" w:sz="6" w:space="0" w:color="000000"/>
              <w:right w:val="nil"/>
            </w:tcBorders>
            <w:shd w:val="clear" w:color="auto" w:fill="auto"/>
            <w:vAlign w:val="center"/>
            <w:hideMark/>
          </w:tcPr>
          <w:p w14:paraId="5D36D31B"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4190DFFA" w14:textId="77777777" w:rsidTr="00DF2F65">
        <w:trPr>
          <w:trHeight w:val="330"/>
        </w:trPr>
        <w:tc>
          <w:tcPr>
            <w:tcW w:w="2036" w:type="dxa"/>
            <w:vMerge/>
            <w:tcBorders>
              <w:top w:val="double" w:sz="6" w:space="0" w:color="auto"/>
              <w:left w:val="nil"/>
              <w:bottom w:val="double" w:sz="6" w:space="0" w:color="000000"/>
              <w:right w:val="nil"/>
            </w:tcBorders>
            <w:vAlign w:val="center"/>
            <w:hideMark/>
          </w:tcPr>
          <w:p w14:paraId="08C631BB" w14:textId="77777777" w:rsidR="00DF2F65" w:rsidRPr="00A00187" w:rsidRDefault="00DF2F65" w:rsidP="00DF2F65">
            <w:pPr>
              <w:spacing w:line="240" w:lineRule="auto"/>
              <w:jc w:val="left"/>
              <w:rPr>
                <w:rFonts w:eastAsia="Times New Roman"/>
                <w:b/>
                <w:bCs/>
                <w:szCs w:val="24"/>
                <w:lang w:eastAsia="cs-CZ"/>
              </w:rPr>
            </w:pPr>
          </w:p>
        </w:tc>
        <w:tc>
          <w:tcPr>
            <w:tcW w:w="1930" w:type="dxa"/>
            <w:gridSpan w:val="2"/>
            <w:tcBorders>
              <w:top w:val="nil"/>
              <w:left w:val="nil"/>
              <w:bottom w:val="double" w:sz="6" w:space="0" w:color="auto"/>
              <w:right w:val="nil"/>
            </w:tcBorders>
            <w:shd w:val="clear" w:color="auto" w:fill="auto"/>
            <w:noWrap/>
            <w:vAlign w:val="center"/>
            <w:hideMark/>
          </w:tcPr>
          <w:p w14:paraId="366E8A62"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0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9BF94F6"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752" w:type="dxa"/>
            <w:gridSpan w:val="2"/>
            <w:tcBorders>
              <w:top w:val="nil"/>
              <w:left w:val="nil"/>
              <w:bottom w:val="double" w:sz="6" w:space="0" w:color="auto"/>
              <w:right w:val="single" w:sz="4" w:space="0" w:color="000000"/>
            </w:tcBorders>
            <w:shd w:val="clear" w:color="auto" w:fill="auto"/>
            <w:noWrap/>
            <w:vAlign w:val="center"/>
            <w:hideMark/>
          </w:tcPr>
          <w:p w14:paraId="55C28685"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vMerge/>
            <w:tcBorders>
              <w:top w:val="double" w:sz="6" w:space="0" w:color="auto"/>
              <w:left w:val="nil"/>
              <w:bottom w:val="double" w:sz="6" w:space="0" w:color="000000"/>
              <w:right w:val="nil"/>
            </w:tcBorders>
            <w:vAlign w:val="center"/>
            <w:hideMark/>
          </w:tcPr>
          <w:p w14:paraId="22AF7E66" w14:textId="77777777" w:rsidR="00DF2F65" w:rsidRPr="00A00187" w:rsidRDefault="00DF2F65" w:rsidP="00DF2F65">
            <w:pPr>
              <w:spacing w:line="240" w:lineRule="auto"/>
              <w:jc w:val="left"/>
              <w:rPr>
                <w:rFonts w:eastAsia="Times New Roman"/>
                <w:b/>
                <w:bCs/>
                <w:szCs w:val="24"/>
                <w:lang w:eastAsia="cs-CZ"/>
              </w:rPr>
            </w:pPr>
          </w:p>
        </w:tc>
      </w:tr>
      <w:tr w:rsidR="00AC1E67" w:rsidRPr="00A00187" w14:paraId="3EFE26F7" w14:textId="77777777" w:rsidTr="00DF2F65">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6DED5A40"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MS Praha</w:t>
            </w:r>
          </w:p>
        </w:tc>
        <w:tc>
          <w:tcPr>
            <w:tcW w:w="858" w:type="dxa"/>
            <w:tcBorders>
              <w:top w:val="single" w:sz="4" w:space="0" w:color="auto"/>
              <w:left w:val="nil"/>
              <w:bottom w:val="single" w:sz="4" w:space="0" w:color="auto"/>
              <w:right w:val="nil"/>
            </w:tcBorders>
            <w:shd w:val="clear" w:color="auto" w:fill="auto"/>
            <w:noWrap/>
            <w:vAlign w:val="bottom"/>
            <w:hideMark/>
          </w:tcPr>
          <w:p w14:paraId="45AC40B0"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262</w:t>
            </w:r>
          </w:p>
        </w:tc>
        <w:tc>
          <w:tcPr>
            <w:tcW w:w="1072" w:type="dxa"/>
            <w:tcBorders>
              <w:top w:val="single" w:sz="4" w:space="0" w:color="auto"/>
              <w:left w:val="nil"/>
              <w:bottom w:val="single" w:sz="4" w:space="0" w:color="auto"/>
              <w:right w:val="nil"/>
            </w:tcBorders>
            <w:shd w:val="clear" w:color="auto" w:fill="auto"/>
            <w:noWrap/>
            <w:vAlign w:val="center"/>
            <w:hideMark/>
          </w:tcPr>
          <w:p w14:paraId="7C3A6817" w14:textId="0A14EEAA"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834" w:type="dxa"/>
            <w:tcBorders>
              <w:top w:val="single" w:sz="4" w:space="0" w:color="auto"/>
              <w:left w:val="single" w:sz="4" w:space="0" w:color="auto"/>
              <w:bottom w:val="single" w:sz="4" w:space="0" w:color="auto"/>
              <w:right w:val="nil"/>
            </w:tcBorders>
            <w:shd w:val="clear" w:color="auto" w:fill="auto"/>
            <w:noWrap/>
            <w:vAlign w:val="bottom"/>
            <w:hideMark/>
          </w:tcPr>
          <w:p w14:paraId="67B8377C"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276</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21357713" w14:textId="6257AC22"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680" w:type="dxa"/>
            <w:tcBorders>
              <w:top w:val="single" w:sz="4" w:space="0" w:color="auto"/>
              <w:left w:val="nil"/>
              <w:bottom w:val="single" w:sz="4" w:space="0" w:color="auto"/>
              <w:right w:val="nil"/>
            </w:tcBorders>
            <w:shd w:val="clear" w:color="auto" w:fill="auto"/>
            <w:noWrap/>
            <w:vAlign w:val="bottom"/>
            <w:hideMark/>
          </w:tcPr>
          <w:p w14:paraId="1B25E461"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165</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17B713DD" w14:textId="7A3CBA14"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6581C8B8" w14:textId="54FCAB4A"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105</w:t>
            </w:r>
            <w:r w:rsidR="00DD0A0A" w:rsidRPr="00A00187">
              <w:rPr>
                <w:rFonts w:eastAsia="Times New Roman"/>
                <w:szCs w:val="24"/>
                <w:lang w:eastAsia="cs-CZ"/>
              </w:rPr>
              <w:t>,</w:t>
            </w:r>
            <w:r w:rsidRPr="00A00187">
              <w:rPr>
                <w:rFonts w:eastAsia="Times New Roman"/>
                <w:szCs w:val="24"/>
                <w:lang w:eastAsia="cs-CZ"/>
              </w:rPr>
              <w:t>3</w:t>
            </w:r>
            <w:r w:rsidR="00CB570A">
              <w:rPr>
                <w:rFonts w:eastAsia="Times New Roman"/>
                <w:szCs w:val="24"/>
                <w:lang w:eastAsia="cs-CZ"/>
              </w:rPr>
              <w:t> %</w:t>
            </w:r>
          </w:p>
        </w:tc>
      </w:tr>
      <w:tr w:rsidR="00AC1E67" w:rsidRPr="00A00187" w14:paraId="61A761B2" w14:textId="77777777" w:rsidTr="00DF2F65">
        <w:trPr>
          <w:trHeight w:val="315"/>
        </w:trPr>
        <w:tc>
          <w:tcPr>
            <w:tcW w:w="2036" w:type="dxa"/>
            <w:tcBorders>
              <w:top w:val="nil"/>
              <w:left w:val="nil"/>
              <w:bottom w:val="single" w:sz="4" w:space="0" w:color="auto"/>
              <w:right w:val="nil"/>
            </w:tcBorders>
            <w:shd w:val="clear" w:color="auto" w:fill="auto"/>
            <w:noWrap/>
            <w:vAlign w:val="bottom"/>
            <w:hideMark/>
          </w:tcPr>
          <w:p w14:paraId="3729AFB1"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KS Praha</w:t>
            </w:r>
          </w:p>
        </w:tc>
        <w:tc>
          <w:tcPr>
            <w:tcW w:w="858" w:type="dxa"/>
            <w:tcBorders>
              <w:top w:val="nil"/>
              <w:left w:val="nil"/>
              <w:bottom w:val="single" w:sz="4" w:space="0" w:color="auto"/>
              <w:right w:val="nil"/>
            </w:tcBorders>
            <w:shd w:val="clear" w:color="auto" w:fill="auto"/>
            <w:noWrap/>
            <w:vAlign w:val="bottom"/>
            <w:hideMark/>
          </w:tcPr>
          <w:p w14:paraId="5545EA99"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82</w:t>
            </w:r>
          </w:p>
        </w:tc>
        <w:tc>
          <w:tcPr>
            <w:tcW w:w="1072" w:type="dxa"/>
            <w:tcBorders>
              <w:top w:val="nil"/>
              <w:left w:val="nil"/>
              <w:bottom w:val="single" w:sz="4" w:space="0" w:color="auto"/>
              <w:right w:val="nil"/>
            </w:tcBorders>
            <w:shd w:val="clear" w:color="auto" w:fill="auto"/>
            <w:noWrap/>
            <w:vAlign w:val="center"/>
            <w:hideMark/>
          </w:tcPr>
          <w:p w14:paraId="7645CC7D" w14:textId="6014A0D6"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834" w:type="dxa"/>
            <w:tcBorders>
              <w:top w:val="nil"/>
              <w:left w:val="single" w:sz="4" w:space="0" w:color="auto"/>
              <w:bottom w:val="single" w:sz="4" w:space="0" w:color="auto"/>
              <w:right w:val="nil"/>
            </w:tcBorders>
            <w:shd w:val="clear" w:color="auto" w:fill="auto"/>
            <w:noWrap/>
            <w:vAlign w:val="bottom"/>
            <w:hideMark/>
          </w:tcPr>
          <w:p w14:paraId="6EC2E09A"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78</w:t>
            </w:r>
          </w:p>
        </w:tc>
        <w:tc>
          <w:tcPr>
            <w:tcW w:w="1072" w:type="dxa"/>
            <w:tcBorders>
              <w:top w:val="nil"/>
              <w:left w:val="nil"/>
              <w:bottom w:val="single" w:sz="4" w:space="0" w:color="auto"/>
              <w:right w:val="single" w:sz="4" w:space="0" w:color="auto"/>
            </w:tcBorders>
            <w:shd w:val="clear" w:color="auto" w:fill="auto"/>
            <w:noWrap/>
            <w:vAlign w:val="center"/>
            <w:hideMark/>
          </w:tcPr>
          <w:p w14:paraId="452F6443" w14:textId="587381BF"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680" w:type="dxa"/>
            <w:tcBorders>
              <w:top w:val="nil"/>
              <w:left w:val="nil"/>
              <w:bottom w:val="single" w:sz="4" w:space="0" w:color="auto"/>
              <w:right w:val="nil"/>
            </w:tcBorders>
            <w:shd w:val="clear" w:color="auto" w:fill="auto"/>
            <w:noWrap/>
            <w:vAlign w:val="bottom"/>
            <w:hideMark/>
          </w:tcPr>
          <w:p w14:paraId="462642F8"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29</w:t>
            </w:r>
          </w:p>
        </w:tc>
        <w:tc>
          <w:tcPr>
            <w:tcW w:w="1072" w:type="dxa"/>
            <w:tcBorders>
              <w:top w:val="nil"/>
              <w:left w:val="nil"/>
              <w:bottom w:val="single" w:sz="4" w:space="0" w:color="auto"/>
              <w:right w:val="single" w:sz="4" w:space="0" w:color="auto"/>
            </w:tcBorders>
            <w:shd w:val="clear" w:color="auto" w:fill="auto"/>
            <w:noWrap/>
            <w:vAlign w:val="center"/>
            <w:hideMark/>
          </w:tcPr>
          <w:p w14:paraId="44E3FBC3" w14:textId="06BB90B9"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93E2F3E" w14:textId="041BC990"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95</w:t>
            </w:r>
            <w:r w:rsidR="00DD0A0A" w:rsidRPr="00A00187">
              <w:rPr>
                <w:rFonts w:eastAsia="Times New Roman"/>
                <w:szCs w:val="24"/>
                <w:lang w:eastAsia="cs-CZ"/>
              </w:rPr>
              <w:t>,</w:t>
            </w:r>
            <w:r w:rsidRPr="00A00187">
              <w:rPr>
                <w:rFonts w:eastAsia="Times New Roman"/>
                <w:szCs w:val="24"/>
                <w:lang w:eastAsia="cs-CZ"/>
              </w:rPr>
              <w:t>1</w:t>
            </w:r>
            <w:r w:rsidR="00CB570A">
              <w:rPr>
                <w:rFonts w:eastAsia="Times New Roman"/>
                <w:szCs w:val="24"/>
                <w:lang w:eastAsia="cs-CZ"/>
              </w:rPr>
              <w:t> %</w:t>
            </w:r>
          </w:p>
        </w:tc>
      </w:tr>
      <w:tr w:rsidR="00AC1E67" w:rsidRPr="00A00187" w14:paraId="12530ACD" w14:textId="77777777" w:rsidTr="00DF2F65">
        <w:trPr>
          <w:trHeight w:val="315"/>
        </w:trPr>
        <w:tc>
          <w:tcPr>
            <w:tcW w:w="2036" w:type="dxa"/>
            <w:tcBorders>
              <w:top w:val="nil"/>
              <w:left w:val="nil"/>
              <w:bottom w:val="single" w:sz="4" w:space="0" w:color="auto"/>
              <w:right w:val="nil"/>
            </w:tcBorders>
            <w:shd w:val="clear" w:color="auto" w:fill="auto"/>
            <w:noWrap/>
            <w:vAlign w:val="bottom"/>
            <w:hideMark/>
          </w:tcPr>
          <w:p w14:paraId="6D5BD363"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KS Č. Budějovice</w:t>
            </w:r>
          </w:p>
        </w:tc>
        <w:tc>
          <w:tcPr>
            <w:tcW w:w="858" w:type="dxa"/>
            <w:tcBorders>
              <w:top w:val="nil"/>
              <w:left w:val="nil"/>
              <w:bottom w:val="single" w:sz="4" w:space="0" w:color="auto"/>
              <w:right w:val="nil"/>
            </w:tcBorders>
            <w:shd w:val="clear" w:color="auto" w:fill="auto"/>
            <w:noWrap/>
            <w:vAlign w:val="bottom"/>
            <w:hideMark/>
          </w:tcPr>
          <w:p w14:paraId="76C9621D"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51</w:t>
            </w:r>
          </w:p>
        </w:tc>
        <w:tc>
          <w:tcPr>
            <w:tcW w:w="1072" w:type="dxa"/>
            <w:tcBorders>
              <w:top w:val="nil"/>
              <w:left w:val="nil"/>
              <w:bottom w:val="single" w:sz="4" w:space="0" w:color="auto"/>
              <w:right w:val="nil"/>
            </w:tcBorders>
            <w:shd w:val="clear" w:color="auto" w:fill="auto"/>
            <w:noWrap/>
            <w:vAlign w:val="center"/>
            <w:hideMark/>
          </w:tcPr>
          <w:p w14:paraId="26C5FB22" w14:textId="126B0A9C"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834" w:type="dxa"/>
            <w:tcBorders>
              <w:top w:val="nil"/>
              <w:left w:val="single" w:sz="4" w:space="0" w:color="auto"/>
              <w:bottom w:val="single" w:sz="4" w:space="0" w:color="auto"/>
              <w:right w:val="nil"/>
            </w:tcBorders>
            <w:shd w:val="clear" w:color="auto" w:fill="auto"/>
            <w:noWrap/>
            <w:vAlign w:val="bottom"/>
            <w:hideMark/>
          </w:tcPr>
          <w:p w14:paraId="143FFFED"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63</w:t>
            </w:r>
          </w:p>
        </w:tc>
        <w:tc>
          <w:tcPr>
            <w:tcW w:w="1072" w:type="dxa"/>
            <w:tcBorders>
              <w:top w:val="nil"/>
              <w:left w:val="nil"/>
              <w:bottom w:val="single" w:sz="4" w:space="0" w:color="auto"/>
              <w:right w:val="single" w:sz="4" w:space="0" w:color="auto"/>
            </w:tcBorders>
            <w:shd w:val="clear" w:color="auto" w:fill="auto"/>
            <w:noWrap/>
            <w:vAlign w:val="center"/>
            <w:hideMark/>
          </w:tcPr>
          <w:p w14:paraId="7649DFE4" w14:textId="62455DB8"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680" w:type="dxa"/>
            <w:tcBorders>
              <w:top w:val="nil"/>
              <w:left w:val="nil"/>
              <w:bottom w:val="single" w:sz="4" w:space="0" w:color="auto"/>
              <w:right w:val="nil"/>
            </w:tcBorders>
            <w:shd w:val="clear" w:color="auto" w:fill="auto"/>
            <w:noWrap/>
            <w:vAlign w:val="bottom"/>
            <w:hideMark/>
          </w:tcPr>
          <w:p w14:paraId="0B1F21E5"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33</w:t>
            </w:r>
          </w:p>
        </w:tc>
        <w:tc>
          <w:tcPr>
            <w:tcW w:w="1072" w:type="dxa"/>
            <w:tcBorders>
              <w:top w:val="nil"/>
              <w:left w:val="nil"/>
              <w:bottom w:val="single" w:sz="4" w:space="0" w:color="auto"/>
              <w:right w:val="single" w:sz="4" w:space="0" w:color="auto"/>
            </w:tcBorders>
            <w:shd w:val="clear" w:color="auto" w:fill="auto"/>
            <w:noWrap/>
            <w:vAlign w:val="center"/>
            <w:hideMark/>
          </w:tcPr>
          <w:p w14:paraId="44640F9B" w14:textId="64ABBBA2"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4DB776BD" w14:textId="2761A4E8"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123</w:t>
            </w:r>
            <w:r w:rsidR="00DD0A0A" w:rsidRPr="00A00187">
              <w:rPr>
                <w:rFonts w:eastAsia="Times New Roman"/>
                <w:szCs w:val="24"/>
                <w:lang w:eastAsia="cs-CZ"/>
              </w:rPr>
              <w:t>,</w:t>
            </w:r>
            <w:r w:rsidRPr="00A00187">
              <w:rPr>
                <w:rFonts w:eastAsia="Times New Roman"/>
                <w:szCs w:val="24"/>
                <w:lang w:eastAsia="cs-CZ"/>
              </w:rPr>
              <w:t>5</w:t>
            </w:r>
            <w:r w:rsidR="00CB570A">
              <w:rPr>
                <w:rFonts w:eastAsia="Times New Roman"/>
                <w:szCs w:val="24"/>
                <w:lang w:eastAsia="cs-CZ"/>
              </w:rPr>
              <w:t> %</w:t>
            </w:r>
          </w:p>
        </w:tc>
      </w:tr>
      <w:tr w:rsidR="00AC1E67" w:rsidRPr="00A00187" w14:paraId="51D5A714" w14:textId="77777777" w:rsidTr="00DF2F65">
        <w:trPr>
          <w:trHeight w:val="315"/>
        </w:trPr>
        <w:tc>
          <w:tcPr>
            <w:tcW w:w="2036" w:type="dxa"/>
            <w:tcBorders>
              <w:top w:val="nil"/>
              <w:left w:val="nil"/>
              <w:bottom w:val="single" w:sz="4" w:space="0" w:color="auto"/>
              <w:right w:val="nil"/>
            </w:tcBorders>
            <w:shd w:val="clear" w:color="auto" w:fill="auto"/>
            <w:noWrap/>
            <w:vAlign w:val="bottom"/>
            <w:hideMark/>
          </w:tcPr>
          <w:p w14:paraId="16D221A8"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KS Plzeň</w:t>
            </w:r>
          </w:p>
        </w:tc>
        <w:tc>
          <w:tcPr>
            <w:tcW w:w="858" w:type="dxa"/>
            <w:tcBorders>
              <w:top w:val="nil"/>
              <w:left w:val="nil"/>
              <w:bottom w:val="single" w:sz="4" w:space="0" w:color="auto"/>
              <w:right w:val="nil"/>
            </w:tcBorders>
            <w:shd w:val="clear" w:color="auto" w:fill="auto"/>
            <w:noWrap/>
            <w:vAlign w:val="bottom"/>
            <w:hideMark/>
          </w:tcPr>
          <w:p w14:paraId="1661F2F0"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99</w:t>
            </w:r>
          </w:p>
        </w:tc>
        <w:tc>
          <w:tcPr>
            <w:tcW w:w="1072" w:type="dxa"/>
            <w:tcBorders>
              <w:top w:val="nil"/>
              <w:left w:val="nil"/>
              <w:bottom w:val="single" w:sz="4" w:space="0" w:color="auto"/>
              <w:right w:val="nil"/>
            </w:tcBorders>
            <w:shd w:val="clear" w:color="auto" w:fill="auto"/>
            <w:noWrap/>
            <w:vAlign w:val="center"/>
            <w:hideMark/>
          </w:tcPr>
          <w:p w14:paraId="46B1B0E9" w14:textId="2F82C67C"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834" w:type="dxa"/>
            <w:tcBorders>
              <w:top w:val="nil"/>
              <w:left w:val="single" w:sz="4" w:space="0" w:color="auto"/>
              <w:bottom w:val="single" w:sz="4" w:space="0" w:color="auto"/>
              <w:right w:val="nil"/>
            </w:tcBorders>
            <w:shd w:val="clear" w:color="auto" w:fill="auto"/>
            <w:noWrap/>
            <w:vAlign w:val="bottom"/>
            <w:hideMark/>
          </w:tcPr>
          <w:p w14:paraId="29DCBEAD"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101</w:t>
            </w:r>
          </w:p>
        </w:tc>
        <w:tc>
          <w:tcPr>
            <w:tcW w:w="1072" w:type="dxa"/>
            <w:tcBorders>
              <w:top w:val="nil"/>
              <w:left w:val="nil"/>
              <w:bottom w:val="single" w:sz="4" w:space="0" w:color="auto"/>
              <w:right w:val="single" w:sz="4" w:space="0" w:color="auto"/>
            </w:tcBorders>
            <w:shd w:val="clear" w:color="auto" w:fill="auto"/>
            <w:noWrap/>
            <w:vAlign w:val="center"/>
            <w:hideMark/>
          </w:tcPr>
          <w:p w14:paraId="148BB922" w14:textId="1A2933D0"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680" w:type="dxa"/>
            <w:tcBorders>
              <w:top w:val="nil"/>
              <w:left w:val="nil"/>
              <w:bottom w:val="single" w:sz="4" w:space="0" w:color="auto"/>
              <w:right w:val="nil"/>
            </w:tcBorders>
            <w:shd w:val="clear" w:color="auto" w:fill="auto"/>
            <w:noWrap/>
            <w:vAlign w:val="bottom"/>
            <w:hideMark/>
          </w:tcPr>
          <w:p w14:paraId="4F4A0F5D"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64</w:t>
            </w:r>
          </w:p>
        </w:tc>
        <w:tc>
          <w:tcPr>
            <w:tcW w:w="1072" w:type="dxa"/>
            <w:tcBorders>
              <w:top w:val="nil"/>
              <w:left w:val="nil"/>
              <w:bottom w:val="single" w:sz="4" w:space="0" w:color="auto"/>
              <w:right w:val="single" w:sz="4" w:space="0" w:color="auto"/>
            </w:tcBorders>
            <w:shd w:val="clear" w:color="auto" w:fill="auto"/>
            <w:noWrap/>
            <w:vAlign w:val="center"/>
            <w:hideMark/>
          </w:tcPr>
          <w:p w14:paraId="673C3D99" w14:textId="2B4A190F"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0D13F61E" w14:textId="77BEA885"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102</w:t>
            </w:r>
            <w:r w:rsidR="00DD0A0A" w:rsidRPr="00A00187">
              <w:rPr>
                <w:rFonts w:eastAsia="Times New Roman"/>
                <w:szCs w:val="24"/>
                <w:lang w:eastAsia="cs-CZ"/>
              </w:rPr>
              <w:t>,</w:t>
            </w:r>
            <w:r w:rsidRPr="00A00187">
              <w:rPr>
                <w:rFonts w:eastAsia="Times New Roman"/>
                <w:szCs w:val="24"/>
                <w:lang w:eastAsia="cs-CZ"/>
              </w:rPr>
              <w:t>0</w:t>
            </w:r>
            <w:r w:rsidR="00CB570A">
              <w:rPr>
                <w:rFonts w:eastAsia="Times New Roman"/>
                <w:szCs w:val="24"/>
                <w:lang w:eastAsia="cs-CZ"/>
              </w:rPr>
              <w:t> %</w:t>
            </w:r>
          </w:p>
        </w:tc>
      </w:tr>
      <w:tr w:rsidR="00AC1E67" w:rsidRPr="00A00187" w14:paraId="41B227CE" w14:textId="77777777" w:rsidTr="00DF2F65">
        <w:trPr>
          <w:trHeight w:val="315"/>
        </w:trPr>
        <w:tc>
          <w:tcPr>
            <w:tcW w:w="2036" w:type="dxa"/>
            <w:tcBorders>
              <w:top w:val="nil"/>
              <w:left w:val="nil"/>
              <w:bottom w:val="single" w:sz="4" w:space="0" w:color="auto"/>
              <w:right w:val="nil"/>
            </w:tcBorders>
            <w:shd w:val="clear" w:color="auto" w:fill="auto"/>
            <w:noWrap/>
            <w:vAlign w:val="bottom"/>
            <w:hideMark/>
          </w:tcPr>
          <w:p w14:paraId="0C777D5D"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KS Ústí n. Labem</w:t>
            </w:r>
          </w:p>
        </w:tc>
        <w:tc>
          <w:tcPr>
            <w:tcW w:w="858" w:type="dxa"/>
            <w:tcBorders>
              <w:top w:val="nil"/>
              <w:left w:val="nil"/>
              <w:bottom w:val="single" w:sz="4" w:space="0" w:color="auto"/>
              <w:right w:val="nil"/>
            </w:tcBorders>
            <w:shd w:val="clear" w:color="auto" w:fill="auto"/>
            <w:noWrap/>
            <w:vAlign w:val="bottom"/>
            <w:hideMark/>
          </w:tcPr>
          <w:p w14:paraId="5F111D1E"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137</w:t>
            </w:r>
          </w:p>
        </w:tc>
        <w:tc>
          <w:tcPr>
            <w:tcW w:w="1072" w:type="dxa"/>
            <w:tcBorders>
              <w:top w:val="nil"/>
              <w:left w:val="nil"/>
              <w:bottom w:val="single" w:sz="4" w:space="0" w:color="auto"/>
              <w:right w:val="nil"/>
            </w:tcBorders>
            <w:shd w:val="clear" w:color="auto" w:fill="auto"/>
            <w:noWrap/>
            <w:vAlign w:val="center"/>
            <w:hideMark/>
          </w:tcPr>
          <w:p w14:paraId="2E96FAEA" w14:textId="47054549"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c>
          <w:tcPr>
            <w:tcW w:w="834" w:type="dxa"/>
            <w:tcBorders>
              <w:top w:val="nil"/>
              <w:left w:val="single" w:sz="4" w:space="0" w:color="auto"/>
              <w:bottom w:val="single" w:sz="4" w:space="0" w:color="auto"/>
              <w:right w:val="nil"/>
            </w:tcBorders>
            <w:shd w:val="clear" w:color="auto" w:fill="auto"/>
            <w:noWrap/>
            <w:vAlign w:val="bottom"/>
            <w:hideMark/>
          </w:tcPr>
          <w:p w14:paraId="7124B5E0"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167</w:t>
            </w:r>
          </w:p>
        </w:tc>
        <w:tc>
          <w:tcPr>
            <w:tcW w:w="1072" w:type="dxa"/>
            <w:tcBorders>
              <w:top w:val="nil"/>
              <w:left w:val="nil"/>
              <w:bottom w:val="single" w:sz="4" w:space="0" w:color="auto"/>
              <w:right w:val="single" w:sz="4" w:space="0" w:color="auto"/>
            </w:tcBorders>
            <w:shd w:val="clear" w:color="auto" w:fill="auto"/>
            <w:noWrap/>
            <w:vAlign w:val="center"/>
            <w:hideMark/>
          </w:tcPr>
          <w:p w14:paraId="28624E88" w14:textId="39B56F7B"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680" w:type="dxa"/>
            <w:tcBorders>
              <w:top w:val="nil"/>
              <w:left w:val="nil"/>
              <w:bottom w:val="single" w:sz="4" w:space="0" w:color="auto"/>
              <w:right w:val="nil"/>
            </w:tcBorders>
            <w:shd w:val="clear" w:color="auto" w:fill="auto"/>
            <w:noWrap/>
            <w:vAlign w:val="bottom"/>
            <w:hideMark/>
          </w:tcPr>
          <w:p w14:paraId="5E6B907F"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106</w:t>
            </w:r>
          </w:p>
        </w:tc>
        <w:tc>
          <w:tcPr>
            <w:tcW w:w="1072" w:type="dxa"/>
            <w:tcBorders>
              <w:top w:val="nil"/>
              <w:left w:val="nil"/>
              <w:bottom w:val="single" w:sz="4" w:space="0" w:color="auto"/>
              <w:right w:val="single" w:sz="4" w:space="0" w:color="auto"/>
            </w:tcBorders>
            <w:shd w:val="clear" w:color="auto" w:fill="auto"/>
            <w:noWrap/>
            <w:vAlign w:val="center"/>
            <w:hideMark/>
          </w:tcPr>
          <w:p w14:paraId="5F9330DA" w14:textId="54B01ACE"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2CC5F76F" w14:textId="55D9984E"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121</w:t>
            </w:r>
            <w:r w:rsidR="00DD0A0A" w:rsidRPr="00A00187">
              <w:rPr>
                <w:rFonts w:eastAsia="Times New Roman"/>
                <w:szCs w:val="24"/>
                <w:lang w:eastAsia="cs-CZ"/>
              </w:rPr>
              <w:t>,</w:t>
            </w:r>
            <w:r w:rsidRPr="00A00187">
              <w:rPr>
                <w:rFonts w:eastAsia="Times New Roman"/>
                <w:szCs w:val="24"/>
                <w:lang w:eastAsia="cs-CZ"/>
              </w:rPr>
              <w:t>9</w:t>
            </w:r>
            <w:r w:rsidR="00CB570A">
              <w:rPr>
                <w:rFonts w:eastAsia="Times New Roman"/>
                <w:szCs w:val="24"/>
                <w:lang w:eastAsia="cs-CZ"/>
              </w:rPr>
              <w:t> %</w:t>
            </w:r>
          </w:p>
        </w:tc>
      </w:tr>
      <w:tr w:rsidR="00AC1E67" w:rsidRPr="00A00187" w14:paraId="743256AB" w14:textId="77777777" w:rsidTr="00DF2F65">
        <w:trPr>
          <w:trHeight w:val="315"/>
        </w:trPr>
        <w:tc>
          <w:tcPr>
            <w:tcW w:w="2036" w:type="dxa"/>
            <w:tcBorders>
              <w:top w:val="nil"/>
              <w:left w:val="nil"/>
              <w:bottom w:val="single" w:sz="4" w:space="0" w:color="auto"/>
              <w:right w:val="nil"/>
            </w:tcBorders>
            <w:shd w:val="clear" w:color="auto" w:fill="auto"/>
            <w:noWrap/>
            <w:vAlign w:val="bottom"/>
            <w:hideMark/>
          </w:tcPr>
          <w:p w14:paraId="6AADD270"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KS Hr. Králové</w:t>
            </w:r>
          </w:p>
        </w:tc>
        <w:tc>
          <w:tcPr>
            <w:tcW w:w="858" w:type="dxa"/>
            <w:tcBorders>
              <w:top w:val="nil"/>
              <w:left w:val="nil"/>
              <w:bottom w:val="single" w:sz="4" w:space="0" w:color="auto"/>
              <w:right w:val="nil"/>
            </w:tcBorders>
            <w:shd w:val="clear" w:color="auto" w:fill="auto"/>
            <w:noWrap/>
            <w:vAlign w:val="bottom"/>
            <w:hideMark/>
          </w:tcPr>
          <w:p w14:paraId="296F1344"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86</w:t>
            </w:r>
          </w:p>
        </w:tc>
        <w:tc>
          <w:tcPr>
            <w:tcW w:w="1072" w:type="dxa"/>
            <w:tcBorders>
              <w:top w:val="nil"/>
              <w:left w:val="nil"/>
              <w:bottom w:val="single" w:sz="4" w:space="0" w:color="auto"/>
              <w:right w:val="nil"/>
            </w:tcBorders>
            <w:shd w:val="clear" w:color="auto" w:fill="auto"/>
            <w:noWrap/>
            <w:vAlign w:val="center"/>
            <w:hideMark/>
          </w:tcPr>
          <w:p w14:paraId="2542E5DB" w14:textId="303FCAE0"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834" w:type="dxa"/>
            <w:tcBorders>
              <w:top w:val="nil"/>
              <w:left w:val="single" w:sz="4" w:space="0" w:color="auto"/>
              <w:bottom w:val="single" w:sz="4" w:space="0" w:color="auto"/>
              <w:right w:val="nil"/>
            </w:tcBorders>
            <w:shd w:val="clear" w:color="auto" w:fill="auto"/>
            <w:noWrap/>
            <w:vAlign w:val="bottom"/>
            <w:hideMark/>
          </w:tcPr>
          <w:p w14:paraId="1278C759"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92</w:t>
            </w:r>
          </w:p>
        </w:tc>
        <w:tc>
          <w:tcPr>
            <w:tcW w:w="1072" w:type="dxa"/>
            <w:tcBorders>
              <w:top w:val="nil"/>
              <w:left w:val="nil"/>
              <w:bottom w:val="single" w:sz="4" w:space="0" w:color="auto"/>
              <w:right w:val="single" w:sz="4" w:space="0" w:color="auto"/>
            </w:tcBorders>
            <w:shd w:val="clear" w:color="auto" w:fill="auto"/>
            <w:noWrap/>
            <w:vAlign w:val="center"/>
            <w:hideMark/>
          </w:tcPr>
          <w:p w14:paraId="3E844B11" w14:textId="00828F04"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680" w:type="dxa"/>
            <w:tcBorders>
              <w:top w:val="nil"/>
              <w:left w:val="nil"/>
              <w:bottom w:val="single" w:sz="4" w:space="0" w:color="auto"/>
              <w:right w:val="nil"/>
            </w:tcBorders>
            <w:shd w:val="clear" w:color="auto" w:fill="auto"/>
            <w:noWrap/>
            <w:vAlign w:val="bottom"/>
            <w:hideMark/>
          </w:tcPr>
          <w:p w14:paraId="7440ABAE"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30</w:t>
            </w:r>
          </w:p>
        </w:tc>
        <w:tc>
          <w:tcPr>
            <w:tcW w:w="1072" w:type="dxa"/>
            <w:tcBorders>
              <w:top w:val="nil"/>
              <w:left w:val="nil"/>
              <w:bottom w:val="single" w:sz="4" w:space="0" w:color="auto"/>
              <w:right w:val="single" w:sz="4" w:space="0" w:color="auto"/>
            </w:tcBorders>
            <w:shd w:val="clear" w:color="auto" w:fill="auto"/>
            <w:noWrap/>
            <w:vAlign w:val="center"/>
            <w:hideMark/>
          </w:tcPr>
          <w:p w14:paraId="7007309D" w14:textId="0301402F"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EE0E15B" w14:textId="35F7131A"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107</w:t>
            </w:r>
            <w:r w:rsidR="00DD0A0A" w:rsidRPr="00A00187">
              <w:rPr>
                <w:rFonts w:eastAsia="Times New Roman"/>
                <w:szCs w:val="24"/>
                <w:lang w:eastAsia="cs-CZ"/>
              </w:rPr>
              <w:t>,</w:t>
            </w:r>
            <w:r w:rsidRPr="00A00187">
              <w:rPr>
                <w:rFonts w:eastAsia="Times New Roman"/>
                <w:szCs w:val="24"/>
                <w:lang w:eastAsia="cs-CZ"/>
              </w:rPr>
              <w:t>0</w:t>
            </w:r>
            <w:r w:rsidR="00CB570A">
              <w:rPr>
                <w:rFonts w:eastAsia="Times New Roman"/>
                <w:szCs w:val="24"/>
                <w:lang w:eastAsia="cs-CZ"/>
              </w:rPr>
              <w:t> %</w:t>
            </w:r>
          </w:p>
        </w:tc>
      </w:tr>
      <w:tr w:rsidR="00AC1E67" w:rsidRPr="00A00187" w14:paraId="3C393A63" w14:textId="77777777" w:rsidTr="00DF2F65">
        <w:trPr>
          <w:trHeight w:val="315"/>
        </w:trPr>
        <w:tc>
          <w:tcPr>
            <w:tcW w:w="2036" w:type="dxa"/>
            <w:tcBorders>
              <w:top w:val="nil"/>
              <w:left w:val="nil"/>
              <w:bottom w:val="single" w:sz="4" w:space="0" w:color="auto"/>
              <w:right w:val="nil"/>
            </w:tcBorders>
            <w:shd w:val="clear" w:color="auto" w:fill="auto"/>
            <w:noWrap/>
            <w:vAlign w:val="bottom"/>
            <w:hideMark/>
          </w:tcPr>
          <w:p w14:paraId="4A33CC91"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KS Brno</w:t>
            </w:r>
          </w:p>
        </w:tc>
        <w:tc>
          <w:tcPr>
            <w:tcW w:w="858" w:type="dxa"/>
            <w:tcBorders>
              <w:top w:val="nil"/>
              <w:left w:val="nil"/>
              <w:bottom w:val="single" w:sz="4" w:space="0" w:color="auto"/>
              <w:right w:val="nil"/>
            </w:tcBorders>
            <w:shd w:val="clear" w:color="auto" w:fill="auto"/>
            <w:noWrap/>
            <w:vAlign w:val="bottom"/>
            <w:hideMark/>
          </w:tcPr>
          <w:p w14:paraId="403BA6A0"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190</w:t>
            </w:r>
          </w:p>
        </w:tc>
        <w:tc>
          <w:tcPr>
            <w:tcW w:w="1072" w:type="dxa"/>
            <w:tcBorders>
              <w:top w:val="nil"/>
              <w:left w:val="nil"/>
              <w:bottom w:val="single" w:sz="4" w:space="0" w:color="auto"/>
              <w:right w:val="nil"/>
            </w:tcBorders>
            <w:shd w:val="clear" w:color="auto" w:fill="auto"/>
            <w:noWrap/>
            <w:vAlign w:val="center"/>
            <w:hideMark/>
          </w:tcPr>
          <w:p w14:paraId="4B741AB2" w14:textId="1A56C68C"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c>
          <w:tcPr>
            <w:tcW w:w="834" w:type="dxa"/>
            <w:tcBorders>
              <w:top w:val="nil"/>
              <w:left w:val="single" w:sz="4" w:space="0" w:color="auto"/>
              <w:bottom w:val="single" w:sz="4" w:space="0" w:color="auto"/>
              <w:right w:val="nil"/>
            </w:tcBorders>
            <w:shd w:val="clear" w:color="auto" w:fill="auto"/>
            <w:noWrap/>
            <w:vAlign w:val="bottom"/>
            <w:hideMark/>
          </w:tcPr>
          <w:p w14:paraId="4030FEF2"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239</w:t>
            </w:r>
          </w:p>
        </w:tc>
        <w:tc>
          <w:tcPr>
            <w:tcW w:w="1072" w:type="dxa"/>
            <w:tcBorders>
              <w:top w:val="nil"/>
              <w:left w:val="nil"/>
              <w:bottom w:val="single" w:sz="4" w:space="0" w:color="auto"/>
              <w:right w:val="single" w:sz="4" w:space="0" w:color="auto"/>
            </w:tcBorders>
            <w:shd w:val="clear" w:color="auto" w:fill="auto"/>
            <w:noWrap/>
            <w:vAlign w:val="center"/>
            <w:hideMark/>
          </w:tcPr>
          <w:p w14:paraId="32B1736A" w14:textId="2BB52AF3"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680" w:type="dxa"/>
            <w:tcBorders>
              <w:top w:val="nil"/>
              <w:left w:val="nil"/>
              <w:bottom w:val="single" w:sz="4" w:space="0" w:color="auto"/>
              <w:right w:val="nil"/>
            </w:tcBorders>
            <w:shd w:val="clear" w:color="auto" w:fill="auto"/>
            <w:noWrap/>
            <w:vAlign w:val="bottom"/>
            <w:hideMark/>
          </w:tcPr>
          <w:p w14:paraId="5CA579C1"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104</w:t>
            </w:r>
          </w:p>
        </w:tc>
        <w:tc>
          <w:tcPr>
            <w:tcW w:w="1072" w:type="dxa"/>
            <w:tcBorders>
              <w:top w:val="nil"/>
              <w:left w:val="nil"/>
              <w:bottom w:val="single" w:sz="4" w:space="0" w:color="auto"/>
              <w:right w:val="single" w:sz="4" w:space="0" w:color="auto"/>
            </w:tcBorders>
            <w:shd w:val="clear" w:color="auto" w:fill="auto"/>
            <w:noWrap/>
            <w:vAlign w:val="center"/>
            <w:hideMark/>
          </w:tcPr>
          <w:p w14:paraId="533CCF8F" w14:textId="6207FB67"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5EF370BF" w14:textId="7A8BBA3D"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125</w:t>
            </w:r>
            <w:r w:rsidR="00DD0A0A" w:rsidRPr="00A00187">
              <w:rPr>
                <w:rFonts w:eastAsia="Times New Roman"/>
                <w:szCs w:val="24"/>
                <w:lang w:eastAsia="cs-CZ"/>
              </w:rPr>
              <w:t>,</w:t>
            </w:r>
            <w:r w:rsidRPr="00A00187">
              <w:rPr>
                <w:rFonts w:eastAsia="Times New Roman"/>
                <w:szCs w:val="24"/>
                <w:lang w:eastAsia="cs-CZ"/>
              </w:rPr>
              <w:t>8</w:t>
            </w:r>
            <w:r w:rsidR="00CB570A">
              <w:rPr>
                <w:rFonts w:eastAsia="Times New Roman"/>
                <w:szCs w:val="24"/>
                <w:lang w:eastAsia="cs-CZ"/>
              </w:rPr>
              <w:t> %</w:t>
            </w:r>
          </w:p>
        </w:tc>
      </w:tr>
      <w:tr w:rsidR="00AC1E67" w:rsidRPr="00A00187" w14:paraId="1CDA0945" w14:textId="77777777" w:rsidTr="00DF2F65">
        <w:trPr>
          <w:trHeight w:val="330"/>
        </w:trPr>
        <w:tc>
          <w:tcPr>
            <w:tcW w:w="2036" w:type="dxa"/>
            <w:tcBorders>
              <w:top w:val="nil"/>
              <w:left w:val="nil"/>
              <w:bottom w:val="double" w:sz="6" w:space="0" w:color="auto"/>
              <w:right w:val="nil"/>
            </w:tcBorders>
            <w:shd w:val="clear" w:color="auto" w:fill="auto"/>
            <w:noWrap/>
            <w:vAlign w:val="bottom"/>
            <w:hideMark/>
          </w:tcPr>
          <w:p w14:paraId="7A81AA20" w14:textId="77777777" w:rsidR="00DF2F65" w:rsidRPr="00A00187" w:rsidRDefault="00DF2F65" w:rsidP="00DF2F65">
            <w:pPr>
              <w:spacing w:line="240" w:lineRule="auto"/>
              <w:jc w:val="left"/>
              <w:rPr>
                <w:rFonts w:eastAsia="Times New Roman"/>
                <w:szCs w:val="24"/>
                <w:lang w:eastAsia="cs-CZ"/>
              </w:rPr>
            </w:pPr>
            <w:r w:rsidRPr="00A00187">
              <w:rPr>
                <w:rFonts w:eastAsia="Times New Roman"/>
                <w:szCs w:val="24"/>
                <w:lang w:eastAsia="cs-CZ"/>
              </w:rPr>
              <w:t>KS Ostrava</w:t>
            </w:r>
          </w:p>
        </w:tc>
        <w:tc>
          <w:tcPr>
            <w:tcW w:w="858" w:type="dxa"/>
            <w:tcBorders>
              <w:top w:val="nil"/>
              <w:left w:val="nil"/>
              <w:bottom w:val="double" w:sz="6" w:space="0" w:color="auto"/>
              <w:right w:val="nil"/>
            </w:tcBorders>
            <w:shd w:val="clear" w:color="auto" w:fill="auto"/>
            <w:noWrap/>
            <w:vAlign w:val="bottom"/>
            <w:hideMark/>
          </w:tcPr>
          <w:p w14:paraId="5B687660"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163</w:t>
            </w:r>
          </w:p>
        </w:tc>
        <w:tc>
          <w:tcPr>
            <w:tcW w:w="1072" w:type="dxa"/>
            <w:tcBorders>
              <w:top w:val="nil"/>
              <w:left w:val="nil"/>
              <w:bottom w:val="double" w:sz="6" w:space="0" w:color="auto"/>
              <w:right w:val="nil"/>
            </w:tcBorders>
            <w:shd w:val="clear" w:color="auto" w:fill="auto"/>
            <w:noWrap/>
            <w:vAlign w:val="center"/>
            <w:hideMark/>
          </w:tcPr>
          <w:p w14:paraId="51921851" w14:textId="0E0BB42A"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834" w:type="dxa"/>
            <w:tcBorders>
              <w:top w:val="nil"/>
              <w:left w:val="single" w:sz="4" w:space="0" w:color="auto"/>
              <w:bottom w:val="double" w:sz="6" w:space="0" w:color="auto"/>
              <w:right w:val="nil"/>
            </w:tcBorders>
            <w:shd w:val="clear" w:color="auto" w:fill="auto"/>
            <w:noWrap/>
            <w:vAlign w:val="bottom"/>
            <w:hideMark/>
          </w:tcPr>
          <w:p w14:paraId="6CBBB44A"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171</w:t>
            </w:r>
          </w:p>
        </w:tc>
        <w:tc>
          <w:tcPr>
            <w:tcW w:w="1072" w:type="dxa"/>
            <w:tcBorders>
              <w:top w:val="nil"/>
              <w:left w:val="nil"/>
              <w:bottom w:val="double" w:sz="6" w:space="0" w:color="auto"/>
              <w:right w:val="single" w:sz="4" w:space="0" w:color="auto"/>
            </w:tcBorders>
            <w:shd w:val="clear" w:color="auto" w:fill="auto"/>
            <w:noWrap/>
            <w:vAlign w:val="center"/>
            <w:hideMark/>
          </w:tcPr>
          <w:p w14:paraId="7800650E" w14:textId="603D8358"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680" w:type="dxa"/>
            <w:tcBorders>
              <w:top w:val="nil"/>
              <w:left w:val="nil"/>
              <w:bottom w:val="double" w:sz="6" w:space="0" w:color="auto"/>
              <w:right w:val="nil"/>
            </w:tcBorders>
            <w:shd w:val="clear" w:color="auto" w:fill="auto"/>
            <w:noWrap/>
            <w:vAlign w:val="bottom"/>
            <w:hideMark/>
          </w:tcPr>
          <w:p w14:paraId="4231B2C3" w14:textId="77777777"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109</w:t>
            </w:r>
          </w:p>
        </w:tc>
        <w:tc>
          <w:tcPr>
            <w:tcW w:w="1072" w:type="dxa"/>
            <w:tcBorders>
              <w:top w:val="nil"/>
              <w:left w:val="nil"/>
              <w:bottom w:val="double" w:sz="6" w:space="0" w:color="auto"/>
              <w:right w:val="single" w:sz="4" w:space="0" w:color="auto"/>
            </w:tcBorders>
            <w:shd w:val="clear" w:color="auto" w:fill="auto"/>
            <w:noWrap/>
            <w:vAlign w:val="center"/>
            <w:hideMark/>
          </w:tcPr>
          <w:p w14:paraId="07A3B33E" w14:textId="67447E54" w:rsidR="00DF2F65" w:rsidRPr="00A00187" w:rsidRDefault="00DF2F65"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516" w:type="dxa"/>
            <w:tcBorders>
              <w:top w:val="nil"/>
              <w:left w:val="nil"/>
              <w:bottom w:val="nil"/>
              <w:right w:val="nil"/>
            </w:tcBorders>
            <w:shd w:val="clear" w:color="auto" w:fill="auto"/>
            <w:noWrap/>
            <w:vAlign w:val="center"/>
            <w:hideMark/>
          </w:tcPr>
          <w:p w14:paraId="2E20012E" w14:textId="312FBD1E" w:rsidR="00DF2F65" w:rsidRPr="00A00187" w:rsidRDefault="00DF2F65" w:rsidP="00DF2F65">
            <w:pPr>
              <w:spacing w:line="240" w:lineRule="auto"/>
              <w:jc w:val="center"/>
              <w:rPr>
                <w:rFonts w:eastAsia="Times New Roman"/>
                <w:szCs w:val="24"/>
                <w:lang w:eastAsia="cs-CZ"/>
              </w:rPr>
            </w:pPr>
            <w:r w:rsidRPr="00A00187">
              <w:rPr>
                <w:rFonts w:eastAsia="Times New Roman"/>
                <w:szCs w:val="24"/>
                <w:lang w:eastAsia="cs-CZ"/>
              </w:rPr>
              <w:t>104</w:t>
            </w:r>
            <w:r w:rsidR="00DD0A0A" w:rsidRPr="00A00187">
              <w:rPr>
                <w:rFonts w:eastAsia="Times New Roman"/>
                <w:szCs w:val="24"/>
                <w:lang w:eastAsia="cs-CZ"/>
              </w:rPr>
              <w:t>,</w:t>
            </w:r>
            <w:r w:rsidRPr="00A00187">
              <w:rPr>
                <w:rFonts w:eastAsia="Times New Roman"/>
                <w:szCs w:val="24"/>
                <w:lang w:eastAsia="cs-CZ"/>
              </w:rPr>
              <w:t>9</w:t>
            </w:r>
            <w:r w:rsidR="00CB570A">
              <w:rPr>
                <w:rFonts w:eastAsia="Times New Roman"/>
                <w:szCs w:val="24"/>
                <w:lang w:eastAsia="cs-CZ"/>
              </w:rPr>
              <w:t> %</w:t>
            </w:r>
          </w:p>
        </w:tc>
      </w:tr>
      <w:tr w:rsidR="00AC1E67" w:rsidRPr="00A00187" w14:paraId="505E5CAD" w14:textId="77777777" w:rsidTr="00DF2F65">
        <w:trPr>
          <w:trHeight w:val="345"/>
        </w:trPr>
        <w:tc>
          <w:tcPr>
            <w:tcW w:w="2036" w:type="dxa"/>
            <w:tcBorders>
              <w:top w:val="nil"/>
              <w:left w:val="nil"/>
              <w:bottom w:val="double" w:sz="6" w:space="0" w:color="auto"/>
              <w:right w:val="nil"/>
            </w:tcBorders>
            <w:shd w:val="clear" w:color="auto" w:fill="auto"/>
            <w:noWrap/>
            <w:vAlign w:val="bottom"/>
            <w:hideMark/>
          </w:tcPr>
          <w:p w14:paraId="73A26172" w14:textId="77777777" w:rsidR="00DF2F65" w:rsidRPr="00A00187" w:rsidRDefault="00DF2F65" w:rsidP="00DF2F65">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858" w:type="dxa"/>
            <w:tcBorders>
              <w:top w:val="nil"/>
              <w:left w:val="nil"/>
              <w:bottom w:val="double" w:sz="6" w:space="0" w:color="auto"/>
              <w:right w:val="nil"/>
            </w:tcBorders>
            <w:shd w:val="clear" w:color="auto" w:fill="auto"/>
            <w:noWrap/>
            <w:vAlign w:val="bottom"/>
            <w:hideMark/>
          </w:tcPr>
          <w:p w14:paraId="37815A43"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1070</w:t>
            </w:r>
          </w:p>
        </w:tc>
        <w:tc>
          <w:tcPr>
            <w:tcW w:w="1072" w:type="dxa"/>
            <w:tcBorders>
              <w:top w:val="nil"/>
              <w:left w:val="nil"/>
              <w:bottom w:val="double" w:sz="6" w:space="0" w:color="auto"/>
              <w:right w:val="nil"/>
            </w:tcBorders>
            <w:shd w:val="clear" w:color="auto" w:fill="auto"/>
            <w:noWrap/>
            <w:vAlign w:val="center"/>
            <w:hideMark/>
          </w:tcPr>
          <w:p w14:paraId="78707BF3" w14:textId="720B77C9" w:rsidR="00DF2F65" w:rsidRPr="00A00187" w:rsidRDefault="00DF2F65"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-10</w:t>
            </w:r>
            <w:r w:rsidR="00CB570A">
              <w:rPr>
                <w:rFonts w:eastAsia="Times New Roman"/>
                <w:b/>
                <w:bCs/>
                <w:sz w:val="20"/>
                <w:szCs w:val="20"/>
                <w:lang w:eastAsia="cs-CZ"/>
              </w:rPr>
              <w:t> %</w:t>
            </w:r>
          </w:p>
        </w:tc>
        <w:tc>
          <w:tcPr>
            <w:tcW w:w="834" w:type="dxa"/>
            <w:tcBorders>
              <w:top w:val="nil"/>
              <w:left w:val="single" w:sz="4" w:space="0" w:color="auto"/>
              <w:bottom w:val="double" w:sz="6" w:space="0" w:color="auto"/>
              <w:right w:val="nil"/>
            </w:tcBorders>
            <w:shd w:val="clear" w:color="auto" w:fill="auto"/>
            <w:noWrap/>
            <w:vAlign w:val="bottom"/>
            <w:hideMark/>
          </w:tcPr>
          <w:p w14:paraId="0E5021A6"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1187</w:t>
            </w:r>
          </w:p>
        </w:tc>
        <w:tc>
          <w:tcPr>
            <w:tcW w:w="1072" w:type="dxa"/>
            <w:tcBorders>
              <w:top w:val="nil"/>
              <w:left w:val="nil"/>
              <w:bottom w:val="double" w:sz="6" w:space="0" w:color="auto"/>
              <w:right w:val="single" w:sz="4" w:space="0" w:color="auto"/>
            </w:tcBorders>
            <w:shd w:val="clear" w:color="auto" w:fill="auto"/>
            <w:noWrap/>
            <w:vAlign w:val="center"/>
            <w:hideMark/>
          </w:tcPr>
          <w:p w14:paraId="3327A743" w14:textId="32E4AEDC" w:rsidR="00DF2F65" w:rsidRPr="00A00187" w:rsidRDefault="00DF2F65"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c>
          <w:tcPr>
            <w:tcW w:w="680" w:type="dxa"/>
            <w:tcBorders>
              <w:top w:val="nil"/>
              <w:left w:val="nil"/>
              <w:bottom w:val="double" w:sz="6" w:space="0" w:color="auto"/>
              <w:right w:val="nil"/>
            </w:tcBorders>
            <w:shd w:val="clear" w:color="auto" w:fill="auto"/>
            <w:noWrap/>
            <w:vAlign w:val="bottom"/>
            <w:hideMark/>
          </w:tcPr>
          <w:p w14:paraId="13487389" w14:textId="77777777"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640</w:t>
            </w:r>
          </w:p>
        </w:tc>
        <w:tc>
          <w:tcPr>
            <w:tcW w:w="1072" w:type="dxa"/>
            <w:tcBorders>
              <w:top w:val="nil"/>
              <w:left w:val="nil"/>
              <w:bottom w:val="double" w:sz="6" w:space="0" w:color="auto"/>
              <w:right w:val="single" w:sz="4" w:space="0" w:color="auto"/>
            </w:tcBorders>
            <w:shd w:val="clear" w:color="auto" w:fill="auto"/>
            <w:noWrap/>
            <w:vAlign w:val="center"/>
            <w:hideMark/>
          </w:tcPr>
          <w:p w14:paraId="5D84F91A" w14:textId="49AF3A2D" w:rsidR="00DF2F65" w:rsidRPr="00A00187" w:rsidRDefault="00DF2F65"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c>
          <w:tcPr>
            <w:tcW w:w="1516" w:type="dxa"/>
            <w:tcBorders>
              <w:top w:val="double" w:sz="6" w:space="0" w:color="auto"/>
              <w:left w:val="nil"/>
              <w:bottom w:val="double" w:sz="6" w:space="0" w:color="auto"/>
              <w:right w:val="nil"/>
            </w:tcBorders>
            <w:shd w:val="clear" w:color="auto" w:fill="auto"/>
            <w:noWrap/>
            <w:vAlign w:val="center"/>
            <w:hideMark/>
          </w:tcPr>
          <w:p w14:paraId="51554C56" w14:textId="60E12FFC" w:rsidR="00DF2F65" w:rsidRPr="00A00187" w:rsidRDefault="00DF2F65" w:rsidP="00DF2F65">
            <w:pPr>
              <w:spacing w:line="240" w:lineRule="auto"/>
              <w:jc w:val="center"/>
              <w:rPr>
                <w:rFonts w:eastAsia="Times New Roman"/>
                <w:b/>
                <w:bCs/>
                <w:szCs w:val="24"/>
                <w:lang w:eastAsia="cs-CZ"/>
              </w:rPr>
            </w:pPr>
            <w:r w:rsidRPr="00A00187">
              <w:rPr>
                <w:rFonts w:eastAsia="Times New Roman"/>
                <w:b/>
                <w:bCs/>
                <w:szCs w:val="24"/>
                <w:lang w:eastAsia="cs-CZ"/>
              </w:rPr>
              <w:t>110</w:t>
            </w:r>
            <w:r w:rsidR="00DD0A0A" w:rsidRPr="00A00187">
              <w:rPr>
                <w:rFonts w:eastAsia="Times New Roman"/>
                <w:b/>
                <w:bCs/>
                <w:szCs w:val="24"/>
                <w:lang w:eastAsia="cs-CZ"/>
              </w:rPr>
              <w:t>,</w:t>
            </w:r>
            <w:r w:rsidRPr="00A00187">
              <w:rPr>
                <w:rFonts w:eastAsia="Times New Roman"/>
                <w:b/>
                <w:bCs/>
                <w:szCs w:val="24"/>
                <w:lang w:eastAsia="cs-CZ"/>
              </w:rPr>
              <w:t>9</w:t>
            </w:r>
            <w:r w:rsidR="00CB570A">
              <w:rPr>
                <w:rFonts w:eastAsia="Times New Roman"/>
                <w:b/>
                <w:bCs/>
                <w:szCs w:val="24"/>
                <w:lang w:eastAsia="cs-CZ"/>
              </w:rPr>
              <w:t> %</w:t>
            </w:r>
          </w:p>
        </w:tc>
      </w:tr>
      <w:tr w:rsidR="00AC1E67" w:rsidRPr="00A00187" w14:paraId="7E641B0B" w14:textId="77777777" w:rsidTr="00DF2F65">
        <w:trPr>
          <w:trHeight w:val="330"/>
        </w:trPr>
        <w:tc>
          <w:tcPr>
            <w:tcW w:w="2036" w:type="dxa"/>
            <w:tcBorders>
              <w:top w:val="nil"/>
              <w:left w:val="nil"/>
              <w:bottom w:val="nil"/>
              <w:right w:val="nil"/>
            </w:tcBorders>
            <w:shd w:val="clear" w:color="auto" w:fill="auto"/>
            <w:noWrap/>
            <w:vAlign w:val="bottom"/>
            <w:hideMark/>
          </w:tcPr>
          <w:p w14:paraId="4F164618" w14:textId="77777777" w:rsidR="00DF2F65" w:rsidRPr="00A00187" w:rsidRDefault="00DF2F65" w:rsidP="00DF2F65">
            <w:pPr>
              <w:spacing w:line="240" w:lineRule="auto"/>
              <w:jc w:val="center"/>
              <w:rPr>
                <w:rFonts w:eastAsia="Times New Roman"/>
                <w:b/>
                <w:bCs/>
                <w:szCs w:val="24"/>
                <w:lang w:eastAsia="cs-CZ"/>
              </w:rPr>
            </w:pPr>
          </w:p>
        </w:tc>
        <w:tc>
          <w:tcPr>
            <w:tcW w:w="858" w:type="dxa"/>
            <w:tcBorders>
              <w:top w:val="nil"/>
              <w:left w:val="nil"/>
              <w:bottom w:val="nil"/>
              <w:right w:val="nil"/>
            </w:tcBorders>
            <w:shd w:val="clear" w:color="auto" w:fill="auto"/>
            <w:noWrap/>
            <w:vAlign w:val="bottom"/>
            <w:hideMark/>
          </w:tcPr>
          <w:p w14:paraId="248BDA1E" w14:textId="77777777" w:rsidR="00DF2F65" w:rsidRPr="00A00187" w:rsidRDefault="00DF2F65" w:rsidP="00DF2F65">
            <w:pPr>
              <w:spacing w:line="240" w:lineRule="auto"/>
              <w:jc w:val="left"/>
              <w:rPr>
                <w:rFonts w:ascii="Times New Roman" w:eastAsia="Times New Roman" w:hAnsi="Times New Roman"/>
                <w:sz w:val="20"/>
                <w:szCs w:val="20"/>
                <w:lang w:eastAsia="cs-CZ"/>
              </w:rPr>
            </w:pPr>
          </w:p>
        </w:tc>
        <w:tc>
          <w:tcPr>
            <w:tcW w:w="1072" w:type="dxa"/>
            <w:tcBorders>
              <w:top w:val="nil"/>
              <w:left w:val="nil"/>
              <w:bottom w:val="nil"/>
              <w:right w:val="nil"/>
            </w:tcBorders>
            <w:shd w:val="clear" w:color="auto" w:fill="auto"/>
            <w:noWrap/>
            <w:vAlign w:val="bottom"/>
            <w:hideMark/>
          </w:tcPr>
          <w:p w14:paraId="243B6ABF" w14:textId="77777777" w:rsidR="00DF2F65" w:rsidRPr="00A00187" w:rsidRDefault="00DF2F65" w:rsidP="00641DB9">
            <w:pPr>
              <w:spacing w:line="240" w:lineRule="auto"/>
              <w:jc w:val="center"/>
              <w:rPr>
                <w:rFonts w:ascii="Times New Roman" w:eastAsia="Times New Roman" w:hAnsi="Times New Roman"/>
                <w:sz w:val="20"/>
                <w:szCs w:val="20"/>
                <w:lang w:eastAsia="cs-CZ"/>
              </w:rPr>
            </w:pPr>
          </w:p>
        </w:tc>
        <w:tc>
          <w:tcPr>
            <w:tcW w:w="834" w:type="dxa"/>
            <w:tcBorders>
              <w:top w:val="nil"/>
              <w:left w:val="nil"/>
              <w:bottom w:val="nil"/>
              <w:right w:val="nil"/>
            </w:tcBorders>
            <w:shd w:val="clear" w:color="auto" w:fill="auto"/>
            <w:noWrap/>
            <w:vAlign w:val="bottom"/>
            <w:hideMark/>
          </w:tcPr>
          <w:p w14:paraId="167ADD8F" w14:textId="77777777" w:rsidR="00DF2F65" w:rsidRPr="00A00187" w:rsidRDefault="00DF2F65" w:rsidP="00DF2F65">
            <w:pPr>
              <w:spacing w:line="240" w:lineRule="auto"/>
              <w:jc w:val="left"/>
              <w:rPr>
                <w:rFonts w:ascii="Times New Roman" w:eastAsia="Times New Roman" w:hAnsi="Times New Roman"/>
                <w:sz w:val="20"/>
                <w:szCs w:val="20"/>
                <w:lang w:eastAsia="cs-CZ"/>
              </w:rPr>
            </w:pPr>
          </w:p>
        </w:tc>
        <w:tc>
          <w:tcPr>
            <w:tcW w:w="1072" w:type="dxa"/>
            <w:tcBorders>
              <w:top w:val="nil"/>
              <w:left w:val="nil"/>
              <w:bottom w:val="nil"/>
              <w:right w:val="nil"/>
            </w:tcBorders>
            <w:shd w:val="clear" w:color="auto" w:fill="auto"/>
            <w:noWrap/>
            <w:vAlign w:val="bottom"/>
            <w:hideMark/>
          </w:tcPr>
          <w:p w14:paraId="029264F6" w14:textId="77777777" w:rsidR="00DF2F65" w:rsidRPr="00A00187" w:rsidRDefault="00DF2F65" w:rsidP="00641DB9">
            <w:pPr>
              <w:spacing w:line="240" w:lineRule="auto"/>
              <w:jc w:val="center"/>
              <w:rPr>
                <w:rFonts w:ascii="Times New Roman" w:eastAsia="Times New Roman" w:hAnsi="Times New Roman"/>
                <w:sz w:val="20"/>
                <w:szCs w:val="20"/>
                <w:lang w:eastAsia="cs-CZ"/>
              </w:rPr>
            </w:pPr>
          </w:p>
        </w:tc>
        <w:tc>
          <w:tcPr>
            <w:tcW w:w="680" w:type="dxa"/>
            <w:tcBorders>
              <w:top w:val="nil"/>
              <w:left w:val="nil"/>
              <w:bottom w:val="nil"/>
              <w:right w:val="nil"/>
            </w:tcBorders>
            <w:shd w:val="clear" w:color="auto" w:fill="auto"/>
            <w:noWrap/>
            <w:vAlign w:val="bottom"/>
            <w:hideMark/>
          </w:tcPr>
          <w:p w14:paraId="4537D2B6" w14:textId="77777777" w:rsidR="00DF2F65" w:rsidRPr="00A00187" w:rsidRDefault="00DF2F65" w:rsidP="00DF2F65">
            <w:pPr>
              <w:spacing w:line="240" w:lineRule="auto"/>
              <w:jc w:val="left"/>
              <w:rPr>
                <w:rFonts w:ascii="Times New Roman" w:eastAsia="Times New Roman" w:hAnsi="Times New Roman"/>
                <w:sz w:val="20"/>
                <w:szCs w:val="20"/>
                <w:lang w:eastAsia="cs-CZ"/>
              </w:rPr>
            </w:pPr>
          </w:p>
        </w:tc>
        <w:tc>
          <w:tcPr>
            <w:tcW w:w="1072" w:type="dxa"/>
            <w:tcBorders>
              <w:top w:val="nil"/>
              <w:left w:val="nil"/>
              <w:bottom w:val="nil"/>
              <w:right w:val="nil"/>
            </w:tcBorders>
            <w:shd w:val="clear" w:color="auto" w:fill="auto"/>
            <w:noWrap/>
            <w:vAlign w:val="bottom"/>
            <w:hideMark/>
          </w:tcPr>
          <w:p w14:paraId="099B6372" w14:textId="77777777" w:rsidR="00DF2F65" w:rsidRPr="00A00187" w:rsidRDefault="00DF2F65" w:rsidP="00641DB9">
            <w:pPr>
              <w:spacing w:line="240" w:lineRule="auto"/>
              <w:jc w:val="center"/>
              <w:rPr>
                <w:rFonts w:ascii="Times New Roman" w:eastAsia="Times New Roman" w:hAnsi="Times New Roman"/>
                <w:sz w:val="20"/>
                <w:szCs w:val="20"/>
                <w:lang w:eastAsia="cs-CZ"/>
              </w:rPr>
            </w:pPr>
          </w:p>
        </w:tc>
        <w:tc>
          <w:tcPr>
            <w:tcW w:w="1516" w:type="dxa"/>
            <w:tcBorders>
              <w:top w:val="nil"/>
              <w:left w:val="nil"/>
              <w:bottom w:val="nil"/>
              <w:right w:val="nil"/>
            </w:tcBorders>
            <w:shd w:val="clear" w:color="auto" w:fill="auto"/>
            <w:noWrap/>
            <w:vAlign w:val="bottom"/>
            <w:hideMark/>
          </w:tcPr>
          <w:p w14:paraId="2942AFEF" w14:textId="77777777" w:rsidR="00DF2F65" w:rsidRPr="00A00187" w:rsidRDefault="00DF2F65" w:rsidP="00DF2F65">
            <w:pPr>
              <w:spacing w:line="240" w:lineRule="auto"/>
              <w:jc w:val="left"/>
              <w:rPr>
                <w:rFonts w:ascii="Times New Roman" w:eastAsia="Times New Roman" w:hAnsi="Times New Roman"/>
                <w:sz w:val="20"/>
                <w:szCs w:val="20"/>
                <w:lang w:eastAsia="cs-CZ"/>
              </w:rPr>
            </w:pPr>
          </w:p>
        </w:tc>
      </w:tr>
    </w:tbl>
    <w:p w14:paraId="4364F26D" w14:textId="5E214B44" w:rsidR="00DD0A0A" w:rsidRPr="00A00187" w:rsidRDefault="00DD0A0A" w:rsidP="00DD0A0A">
      <w:pPr>
        <w:pStyle w:val="OdstavecASR"/>
      </w:pPr>
      <w:r w:rsidRPr="00A00187">
        <w:t>Z tabulky vyčteme, že 7 z 8 soudů mělo méně příchozích věcí (nápad + obživa) než věcí vyřízených. Rozdíly v absolutních číslech jsou však relativně malé. Rozdíl mezi mírou vyřizování 95</w:t>
      </w:r>
      <w:r w:rsidR="00CB570A">
        <w:t> %</w:t>
      </w:r>
      <w:r w:rsidRPr="00A00187">
        <w:t xml:space="preserve"> a mírou vyřizování 105</w:t>
      </w:r>
      <w:r w:rsidR="00CB570A">
        <w:t> %</w:t>
      </w:r>
      <w:r w:rsidRPr="00A00187">
        <w:t xml:space="preserve"> může představovat jen několik vyřízených věcí. Pro ilustraci, pokud by KS České Budějovice vyřídil jen o 12 věci méně, vykázal by míru vyřizování 100</w:t>
      </w:r>
      <w:r w:rsidR="00CB570A">
        <w:t> %</w:t>
      </w:r>
      <w:r w:rsidRPr="00A00187">
        <w:t>. Důvodem je to, že počet věcí v této agendě je velmi malý.</w:t>
      </w:r>
    </w:p>
    <w:p w14:paraId="12B512FF" w14:textId="432AFF10" w:rsidR="00DD0A0A" w:rsidRPr="00A00187" w:rsidRDefault="00DD0A0A" w:rsidP="00DD0A0A">
      <w:pPr>
        <w:pStyle w:val="OdstavecASR"/>
      </w:pPr>
      <w:r w:rsidRPr="00A00187">
        <w:lastRenderedPageBreak/>
        <w:t>Počet příchozích, vyřízených a nevyřízených věcí samozřejmě úzce souvisí s velikostí soudu. Pro lepší porovnání soudů je tedy v příštích podkapitolách</w:t>
      </w:r>
      <w:r w:rsidRPr="00A00187" w:rsidDel="00EA1996">
        <w:t xml:space="preserve"> </w:t>
      </w:r>
      <w:r w:rsidRPr="00A00187">
        <w:t>opět využit přepočet na soudce a </w:t>
      </w:r>
      <w:proofErr w:type="spellStart"/>
      <w:r w:rsidRPr="00A00187">
        <w:t>disposition</w:t>
      </w:r>
      <w:proofErr w:type="spellEnd"/>
      <w:r w:rsidRPr="00A00187">
        <w:t xml:space="preserve"> </w:t>
      </w:r>
      <w:proofErr w:type="spellStart"/>
      <w:r w:rsidRPr="00A00187">
        <w:t>time</w:t>
      </w:r>
      <w:proofErr w:type="spellEnd"/>
      <w:r w:rsidRPr="00A00187">
        <w:t>. I u těchto ukazatelů však hraje roli malý počet pozorování.</w:t>
      </w:r>
    </w:p>
    <w:p w14:paraId="6387D384" w14:textId="487DC79A" w:rsidR="00577F29" w:rsidRPr="00A00187" w:rsidRDefault="00577F29" w:rsidP="00DD0A0A">
      <w:pPr>
        <w:pStyle w:val="Nadpis3"/>
        <w:numPr>
          <w:ilvl w:val="2"/>
          <w:numId w:val="1"/>
        </w:numPr>
        <w:rPr>
          <w:color w:val="auto"/>
        </w:rPr>
      </w:pPr>
      <w:bookmarkStart w:id="753" w:name="_Toc106092766"/>
      <w:bookmarkStart w:id="754" w:name="_Toc109801377"/>
      <w:r w:rsidRPr="00A00187">
        <w:rPr>
          <w:color w:val="auto"/>
        </w:rPr>
        <w:t>Vyřizování věcí v přepočtu na soudce</w:t>
      </w:r>
      <w:bookmarkEnd w:id="753"/>
      <w:bookmarkEnd w:id="754"/>
    </w:p>
    <w:p w14:paraId="5C553998" w14:textId="77777777" w:rsidR="007A4D7A" w:rsidRPr="00A00187" w:rsidRDefault="007A4D7A" w:rsidP="007A4D7A">
      <w:r w:rsidRPr="00A00187">
        <w:t>V tabulce níže je uveden přepočet na soudce.</w:t>
      </w:r>
    </w:p>
    <w:p w14:paraId="4C8F5B74" w14:textId="44D8EF25" w:rsidR="007A4D7A" w:rsidRPr="00A00187" w:rsidRDefault="007A4D7A" w:rsidP="007A4D7A">
      <w:pPr>
        <w:pStyle w:val="Podnadpis"/>
        <w:rPr>
          <w:color w:val="auto"/>
        </w:rPr>
      </w:pPr>
      <w:bookmarkStart w:id="755" w:name="_Toc43931227"/>
      <w:bookmarkStart w:id="756" w:name="_Toc75952360"/>
      <w:bookmarkStart w:id="757" w:name="_Toc106106816"/>
      <w:bookmarkStart w:id="758" w:name="_Toc109802139"/>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54</w:t>
      </w:r>
      <w:r w:rsidRPr="00A00187">
        <w:rPr>
          <w:noProof/>
          <w:color w:val="auto"/>
        </w:rPr>
        <w:fldChar w:fldCharType="end"/>
      </w:r>
      <w:r w:rsidRPr="00A00187">
        <w:rPr>
          <w:color w:val="auto"/>
        </w:rPr>
        <w:t xml:space="preserve">: KS – </w:t>
      </w:r>
      <w:proofErr w:type="spellStart"/>
      <w:r w:rsidRPr="00A00187">
        <w:rPr>
          <w:color w:val="auto"/>
        </w:rPr>
        <w:t>vyřiz</w:t>
      </w:r>
      <w:proofErr w:type="spellEnd"/>
      <w:r w:rsidRPr="00A00187">
        <w:rPr>
          <w:color w:val="auto"/>
        </w:rPr>
        <w:t xml:space="preserve">. </w:t>
      </w:r>
      <w:proofErr w:type="spellStart"/>
      <w:r w:rsidRPr="00A00187">
        <w:rPr>
          <w:color w:val="auto"/>
        </w:rPr>
        <w:t>prvostupň</w:t>
      </w:r>
      <w:proofErr w:type="spellEnd"/>
      <w:r w:rsidR="001C0095">
        <w:rPr>
          <w:color w:val="auto"/>
        </w:rPr>
        <w:t>.</w:t>
      </w:r>
      <w:r w:rsidRPr="00A00187">
        <w:rPr>
          <w:color w:val="auto"/>
        </w:rPr>
        <w:t xml:space="preserve"> tr</w:t>
      </w:r>
      <w:r w:rsidR="001C0095">
        <w:rPr>
          <w:color w:val="auto"/>
        </w:rPr>
        <w:t>est.</w:t>
      </w:r>
      <w:r w:rsidRPr="00A00187">
        <w:rPr>
          <w:color w:val="auto"/>
        </w:rPr>
        <w:t xml:space="preserve"> </w:t>
      </w:r>
      <w:bookmarkEnd w:id="755"/>
      <w:r w:rsidRPr="00A00187">
        <w:rPr>
          <w:color w:val="auto"/>
        </w:rPr>
        <w:t>věcí na skutečný úvazek dle soudů</w:t>
      </w:r>
      <w:bookmarkEnd w:id="756"/>
      <w:bookmarkEnd w:id="757"/>
      <w:bookmarkEnd w:id="758"/>
    </w:p>
    <w:tbl>
      <w:tblPr>
        <w:tblW w:w="9000" w:type="dxa"/>
        <w:tblCellMar>
          <w:left w:w="70" w:type="dxa"/>
          <w:right w:w="70" w:type="dxa"/>
        </w:tblCellMar>
        <w:tblLook w:val="04A0" w:firstRow="1" w:lastRow="0" w:firstColumn="1" w:lastColumn="0" w:noHBand="0" w:noVBand="1"/>
      </w:tblPr>
      <w:tblGrid>
        <w:gridCol w:w="1836"/>
        <w:gridCol w:w="1028"/>
        <w:gridCol w:w="984"/>
        <w:gridCol w:w="1058"/>
        <w:gridCol w:w="994"/>
        <w:gridCol w:w="1058"/>
        <w:gridCol w:w="994"/>
        <w:gridCol w:w="1048"/>
      </w:tblGrid>
      <w:tr w:rsidR="00AC1E67" w:rsidRPr="00A00187" w14:paraId="4BABE95E" w14:textId="77777777" w:rsidTr="007A4D7A">
        <w:trPr>
          <w:trHeight w:val="330"/>
        </w:trPr>
        <w:tc>
          <w:tcPr>
            <w:tcW w:w="1836" w:type="dxa"/>
            <w:vMerge w:val="restart"/>
            <w:tcBorders>
              <w:top w:val="double" w:sz="6" w:space="0" w:color="auto"/>
              <w:left w:val="nil"/>
              <w:bottom w:val="double" w:sz="6" w:space="0" w:color="000000"/>
              <w:right w:val="nil"/>
            </w:tcBorders>
            <w:shd w:val="clear" w:color="auto" w:fill="auto"/>
            <w:noWrap/>
            <w:vAlign w:val="center"/>
            <w:hideMark/>
          </w:tcPr>
          <w:p w14:paraId="1BB58F70" w14:textId="01670509" w:rsidR="007A4D7A" w:rsidRPr="00A00187" w:rsidRDefault="00A8348B" w:rsidP="001C0095">
            <w:pPr>
              <w:spacing w:line="240" w:lineRule="auto"/>
              <w:jc w:val="center"/>
              <w:rPr>
                <w:rFonts w:eastAsia="Times New Roman"/>
                <w:b/>
                <w:bCs/>
                <w:szCs w:val="24"/>
                <w:lang w:eastAsia="cs-CZ"/>
              </w:rPr>
            </w:pPr>
            <w:r w:rsidRPr="00A00187">
              <w:rPr>
                <w:rFonts w:eastAsia="Times New Roman"/>
                <w:b/>
                <w:bCs/>
                <w:szCs w:val="24"/>
                <w:lang w:eastAsia="cs-CZ"/>
              </w:rPr>
              <w:t>S</w:t>
            </w:r>
            <w:r w:rsidR="007A4D7A" w:rsidRPr="00A00187">
              <w:rPr>
                <w:rFonts w:eastAsia="Times New Roman"/>
                <w:b/>
                <w:bCs/>
                <w:szCs w:val="24"/>
                <w:lang w:eastAsia="cs-CZ"/>
              </w:rPr>
              <w:t>oud</w:t>
            </w:r>
          </w:p>
        </w:tc>
        <w:tc>
          <w:tcPr>
            <w:tcW w:w="1028" w:type="dxa"/>
            <w:vMerge w:val="restart"/>
            <w:tcBorders>
              <w:top w:val="double" w:sz="6" w:space="0" w:color="auto"/>
              <w:left w:val="nil"/>
              <w:bottom w:val="double" w:sz="6" w:space="0" w:color="000000"/>
              <w:right w:val="nil"/>
            </w:tcBorders>
            <w:shd w:val="clear" w:color="auto" w:fill="auto"/>
            <w:vAlign w:val="center"/>
            <w:hideMark/>
          </w:tcPr>
          <w:p w14:paraId="1F4C8E56" w14:textId="77777777"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136" w:type="dxa"/>
            <w:gridSpan w:val="6"/>
            <w:tcBorders>
              <w:top w:val="double" w:sz="6" w:space="0" w:color="auto"/>
              <w:left w:val="nil"/>
              <w:bottom w:val="nil"/>
              <w:right w:val="nil"/>
            </w:tcBorders>
            <w:shd w:val="clear" w:color="auto" w:fill="auto"/>
            <w:noWrap/>
            <w:vAlign w:val="center"/>
            <w:hideMark/>
          </w:tcPr>
          <w:p w14:paraId="56FD3A21" w14:textId="2D28CED3" w:rsidR="007A4D7A" w:rsidRPr="00A00187" w:rsidRDefault="00310D82" w:rsidP="007A4D7A">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AC1E67" w:rsidRPr="00A00187" w14:paraId="6D7789BC" w14:textId="77777777" w:rsidTr="007A4D7A">
        <w:trPr>
          <w:trHeight w:val="330"/>
        </w:trPr>
        <w:tc>
          <w:tcPr>
            <w:tcW w:w="1836" w:type="dxa"/>
            <w:vMerge/>
            <w:tcBorders>
              <w:top w:val="double" w:sz="6" w:space="0" w:color="auto"/>
              <w:left w:val="nil"/>
              <w:bottom w:val="double" w:sz="6" w:space="0" w:color="000000"/>
              <w:right w:val="nil"/>
            </w:tcBorders>
            <w:vAlign w:val="center"/>
            <w:hideMark/>
          </w:tcPr>
          <w:p w14:paraId="1D248BC6" w14:textId="77777777" w:rsidR="007A4D7A" w:rsidRPr="00A00187" w:rsidRDefault="007A4D7A" w:rsidP="007A4D7A">
            <w:pPr>
              <w:spacing w:line="240" w:lineRule="auto"/>
              <w:jc w:val="left"/>
              <w:rPr>
                <w:rFonts w:eastAsia="Times New Roman"/>
                <w:b/>
                <w:bCs/>
                <w:szCs w:val="24"/>
                <w:lang w:eastAsia="cs-CZ"/>
              </w:rPr>
            </w:pPr>
          </w:p>
        </w:tc>
        <w:tc>
          <w:tcPr>
            <w:tcW w:w="1028" w:type="dxa"/>
            <w:vMerge/>
            <w:tcBorders>
              <w:top w:val="double" w:sz="6" w:space="0" w:color="auto"/>
              <w:left w:val="nil"/>
              <w:bottom w:val="double" w:sz="6" w:space="0" w:color="000000"/>
              <w:right w:val="nil"/>
            </w:tcBorders>
            <w:vAlign w:val="center"/>
            <w:hideMark/>
          </w:tcPr>
          <w:p w14:paraId="1E12EF7E" w14:textId="77777777" w:rsidR="007A4D7A" w:rsidRPr="00A00187" w:rsidRDefault="007A4D7A" w:rsidP="007A4D7A">
            <w:pPr>
              <w:spacing w:line="240" w:lineRule="auto"/>
              <w:jc w:val="left"/>
              <w:rPr>
                <w:rFonts w:eastAsia="Times New Roman"/>
                <w:b/>
                <w:bCs/>
                <w:szCs w:val="24"/>
                <w:lang w:eastAsia="cs-CZ"/>
              </w:rPr>
            </w:pPr>
          </w:p>
        </w:tc>
        <w:tc>
          <w:tcPr>
            <w:tcW w:w="2042" w:type="dxa"/>
            <w:gridSpan w:val="2"/>
            <w:tcBorders>
              <w:top w:val="nil"/>
              <w:left w:val="nil"/>
              <w:bottom w:val="double" w:sz="6" w:space="0" w:color="auto"/>
              <w:right w:val="nil"/>
            </w:tcBorders>
            <w:shd w:val="clear" w:color="auto" w:fill="auto"/>
            <w:noWrap/>
            <w:vAlign w:val="center"/>
            <w:hideMark/>
          </w:tcPr>
          <w:p w14:paraId="577A6FF7" w14:textId="77777777"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05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F26439B" w14:textId="77777777"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2042" w:type="dxa"/>
            <w:gridSpan w:val="2"/>
            <w:tcBorders>
              <w:top w:val="nil"/>
              <w:left w:val="nil"/>
              <w:bottom w:val="double" w:sz="6" w:space="0" w:color="auto"/>
              <w:right w:val="nil"/>
            </w:tcBorders>
            <w:shd w:val="clear" w:color="auto" w:fill="auto"/>
            <w:noWrap/>
            <w:vAlign w:val="center"/>
            <w:hideMark/>
          </w:tcPr>
          <w:p w14:paraId="49FC41DD" w14:textId="77777777"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5ED79CC5" w14:textId="77777777" w:rsidTr="007A4D7A">
        <w:trPr>
          <w:trHeight w:val="330"/>
        </w:trPr>
        <w:tc>
          <w:tcPr>
            <w:tcW w:w="1836" w:type="dxa"/>
            <w:tcBorders>
              <w:top w:val="single" w:sz="4" w:space="0" w:color="auto"/>
              <w:left w:val="nil"/>
              <w:bottom w:val="single" w:sz="4" w:space="0" w:color="auto"/>
              <w:right w:val="nil"/>
            </w:tcBorders>
            <w:shd w:val="clear" w:color="auto" w:fill="auto"/>
            <w:noWrap/>
            <w:vAlign w:val="bottom"/>
            <w:hideMark/>
          </w:tcPr>
          <w:p w14:paraId="1DEBD1F5"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MS Praha</w:t>
            </w:r>
          </w:p>
        </w:tc>
        <w:tc>
          <w:tcPr>
            <w:tcW w:w="1028" w:type="dxa"/>
            <w:tcBorders>
              <w:top w:val="single" w:sz="4" w:space="0" w:color="auto"/>
              <w:left w:val="nil"/>
              <w:bottom w:val="single" w:sz="4" w:space="0" w:color="auto"/>
              <w:right w:val="nil"/>
            </w:tcBorders>
            <w:shd w:val="clear" w:color="auto" w:fill="auto"/>
            <w:noWrap/>
            <w:vAlign w:val="bottom"/>
            <w:hideMark/>
          </w:tcPr>
          <w:p w14:paraId="7AE263C4" w14:textId="77777777"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20</w:t>
            </w:r>
          </w:p>
        </w:tc>
        <w:tc>
          <w:tcPr>
            <w:tcW w:w="984" w:type="dxa"/>
            <w:tcBorders>
              <w:top w:val="single" w:sz="4" w:space="0" w:color="auto"/>
              <w:left w:val="nil"/>
              <w:bottom w:val="single" w:sz="4" w:space="0" w:color="auto"/>
              <w:right w:val="nil"/>
            </w:tcBorders>
            <w:shd w:val="clear" w:color="auto" w:fill="auto"/>
            <w:noWrap/>
            <w:vAlign w:val="bottom"/>
            <w:hideMark/>
          </w:tcPr>
          <w:p w14:paraId="5A1A4625" w14:textId="7B17006E"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13,10</w:t>
            </w:r>
          </w:p>
        </w:tc>
        <w:tc>
          <w:tcPr>
            <w:tcW w:w="1058" w:type="dxa"/>
            <w:tcBorders>
              <w:top w:val="single" w:sz="4" w:space="0" w:color="auto"/>
              <w:left w:val="nil"/>
              <w:bottom w:val="single" w:sz="4" w:space="0" w:color="auto"/>
              <w:right w:val="nil"/>
            </w:tcBorders>
            <w:shd w:val="clear" w:color="auto" w:fill="auto"/>
            <w:noWrap/>
            <w:vAlign w:val="center"/>
            <w:hideMark/>
          </w:tcPr>
          <w:p w14:paraId="3D01E1AB" w14:textId="7497C31C"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994" w:type="dxa"/>
            <w:tcBorders>
              <w:top w:val="nil"/>
              <w:left w:val="single" w:sz="4" w:space="0" w:color="auto"/>
              <w:bottom w:val="single" w:sz="4" w:space="0" w:color="auto"/>
              <w:right w:val="nil"/>
            </w:tcBorders>
            <w:shd w:val="clear" w:color="auto" w:fill="auto"/>
            <w:noWrap/>
            <w:vAlign w:val="bottom"/>
            <w:hideMark/>
          </w:tcPr>
          <w:p w14:paraId="0C3B2A00" w14:textId="724F0AE3"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13,80</w:t>
            </w:r>
          </w:p>
        </w:tc>
        <w:tc>
          <w:tcPr>
            <w:tcW w:w="1058" w:type="dxa"/>
            <w:tcBorders>
              <w:top w:val="nil"/>
              <w:left w:val="nil"/>
              <w:bottom w:val="single" w:sz="4" w:space="0" w:color="auto"/>
              <w:right w:val="single" w:sz="4" w:space="0" w:color="auto"/>
            </w:tcBorders>
            <w:shd w:val="clear" w:color="auto" w:fill="auto"/>
            <w:noWrap/>
            <w:vAlign w:val="center"/>
            <w:hideMark/>
          </w:tcPr>
          <w:p w14:paraId="54C70369" w14:textId="1560D679"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994" w:type="dxa"/>
            <w:tcBorders>
              <w:top w:val="single" w:sz="4" w:space="0" w:color="auto"/>
              <w:left w:val="nil"/>
              <w:bottom w:val="single" w:sz="4" w:space="0" w:color="auto"/>
              <w:right w:val="nil"/>
            </w:tcBorders>
            <w:shd w:val="clear" w:color="auto" w:fill="auto"/>
            <w:noWrap/>
            <w:vAlign w:val="bottom"/>
            <w:hideMark/>
          </w:tcPr>
          <w:p w14:paraId="71DAC2EF" w14:textId="0252CD31"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8,25</w:t>
            </w:r>
          </w:p>
        </w:tc>
        <w:tc>
          <w:tcPr>
            <w:tcW w:w="1048" w:type="dxa"/>
            <w:tcBorders>
              <w:top w:val="single" w:sz="4" w:space="0" w:color="auto"/>
              <w:left w:val="nil"/>
              <w:bottom w:val="single" w:sz="4" w:space="0" w:color="auto"/>
              <w:right w:val="nil"/>
            </w:tcBorders>
            <w:shd w:val="clear" w:color="auto" w:fill="auto"/>
            <w:noWrap/>
            <w:vAlign w:val="center"/>
            <w:hideMark/>
          </w:tcPr>
          <w:p w14:paraId="70754B53" w14:textId="3CFF53A1"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3924CC02" w14:textId="77777777" w:rsidTr="007A4D7A">
        <w:trPr>
          <w:trHeight w:val="315"/>
        </w:trPr>
        <w:tc>
          <w:tcPr>
            <w:tcW w:w="1836" w:type="dxa"/>
            <w:tcBorders>
              <w:top w:val="nil"/>
              <w:left w:val="nil"/>
              <w:bottom w:val="single" w:sz="4" w:space="0" w:color="auto"/>
              <w:right w:val="nil"/>
            </w:tcBorders>
            <w:shd w:val="clear" w:color="auto" w:fill="auto"/>
            <w:noWrap/>
            <w:vAlign w:val="bottom"/>
            <w:hideMark/>
          </w:tcPr>
          <w:p w14:paraId="10A627E2"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KS Praha</w:t>
            </w:r>
          </w:p>
        </w:tc>
        <w:tc>
          <w:tcPr>
            <w:tcW w:w="1028" w:type="dxa"/>
            <w:tcBorders>
              <w:top w:val="nil"/>
              <w:left w:val="nil"/>
              <w:bottom w:val="single" w:sz="4" w:space="0" w:color="auto"/>
              <w:right w:val="nil"/>
            </w:tcBorders>
            <w:shd w:val="clear" w:color="auto" w:fill="auto"/>
            <w:noWrap/>
            <w:vAlign w:val="bottom"/>
            <w:hideMark/>
          </w:tcPr>
          <w:p w14:paraId="5154B54F" w14:textId="509A1DC5"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5,9</w:t>
            </w:r>
          </w:p>
        </w:tc>
        <w:tc>
          <w:tcPr>
            <w:tcW w:w="984" w:type="dxa"/>
            <w:tcBorders>
              <w:top w:val="nil"/>
              <w:left w:val="nil"/>
              <w:bottom w:val="single" w:sz="4" w:space="0" w:color="auto"/>
              <w:right w:val="nil"/>
            </w:tcBorders>
            <w:shd w:val="clear" w:color="auto" w:fill="auto"/>
            <w:noWrap/>
            <w:vAlign w:val="bottom"/>
            <w:hideMark/>
          </w:tcPr>
          <w:p w14:paraId="39BC77FC" w14:textId="799F9172"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13,90</w:t>
            </w:r>
          </w:p>
        </w:tc>
        <w:tc>
          <w:tcPr>
            <w:tcW w:w="1058" w:type="dxa"/>
            <w:tcBorders>
              <w:top w:val="nil"/>
              <w:left w:val="nil"/>
              <w:bottom w:val="single" w:sz="4" w:space="0" w:color="auto"/>
              <w:right w:val="nil"/>
            </w:tcBorders>
            <w:shd w:val="clear" w:color="auto" w:fill="auto"/>
            <w:noWrap/>
            <w:vAlign w:val="center"/>
            <w:hideMark/>
          </w:tcPr>
          <w:p w14:paraId="0E53C1B0" w14:textId="7D250B78"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94" w:type="dxa"/>
            <w:tcBorders>
              <w:top w:val="nil"/>
              <w:left w:val="single" w:sz="4" w:space="0" w:color="auto"/>
              <w:bottom w:val="single" w:sz="4" w:space="0" w:color="auto"/>
              <w:right w:val="nil"/>
            </w:tcBorders>
            <w:shd w:val="clear" w:color="auto" w:fill="auto"/>
            <w:noWrap/>
            <w:vAlign w:val="bottom"/>
            <w:hideMark/>
          </w:tcPr>
          <w:p w14:paraId="3E3A26D3" w14:textId="67E7B4BF"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13,22</w:t>
            </w:r>
          </w:p>
        </w:tc>
        <w:tc>
          <w:tcPr>
            <w:tcW w:w="1058" w:type="dxa"/>
            <w:tcBorders>
              <w:top w:val="nil"/>
              <w:left w:val="nil"/>
              <w:bottom w:val="single" w:sz="4" w:space="0" w:color="auto"/>
              <w:right w:val="single" w:sz="4" w:space="0" w:color="auto"/>
            </w:tcBorders>
            <w:shd w:val="clear" w:color="auto" w:fill="auto"/>
            <w:noWrap/>
            <w:vAlign w:val="center"/>
            <w:hideMark/>
          </w:tcPr>
          <w:p w14:paraId="57F034BB" w14:textId="3F109B3A"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c>
          <w:tcPr>
            <w:tcW w:w="994" w:type="dxa"/>
            <w:tcBorders>
              <w:top w:val="nil"/>
              <w:left w:val="nil"/>
              <w:bottom w:val="single" w:sz="4" w:space="0" w:color="auto"/>
              <w:right w:val="nil"/>
            </w:tcBorders>
            <w:shd w:val="clear" w:color="auto" w:fill="auto"/>
            <w:noWrap/>
            <w:vAlign w:val="bottom"/>
            <w:hideMark/>
          </w:tcPr>
          <w:p w14:paraId="3523E019" w14:textId="14E96958"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4,92</w:t>
            </w:r>
          </w:p>
        </w:tc>
        <w:tc>
          <w:tcPr>
            <w:tcW w:w="1048" w:type="dxa"/>
            <w:tcBorders>
              <w:top w:val="nil"/>
              <w:left w:val="nil"/>
              <w:bottom w:val="single" w:sz="4" w:space="0" w:color="auto"/>
              <w:right w:val="nil"/>
            </w:tcBorders>
            <w:shd w:val="clear" w:color="auto" w:fill="auto"/>
            <w:noWrap/>
            <w:vAlign w:val="center"/>
            <w:hideMark/>
          </w:tcPr>
          <w:p w14:paraId="3C58E3B8" w14:textId="2A3819D6"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r>
      <w:tr w:rsidR="00AC1E67" w:rsidRPr="00A00187" w14:paraId="3BC602E5" w14:textId="77777777" w:rsidTr="007A4D7A">
        <w:trPr>
          <w:trHeight w:val="315"/>
        </w:trPr>
        <w:tc>
          <w:tcPr>
            <w:tcW w:w="1836" w:type="dxa"/>
            <w:tcBorders>
              <w:top w:val="nil"/>
              <w:left w:val="nil"/>
              <w:bottom w:val="single" w:sz="4" w:space="0" w:color="auto"/>
              <w:right w:val="nil"/>
            </w:tcBorders>
            <w:shd w:val="clear" w:color="auto" w:fill="auto"/>
            <w:noWrap/>
            <w:vAlign w:val="bottom"/>
            <w:hideMark/>
          </w:tcPr>
          <w:p w14:paraId="53B32B1D"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KS Č. Budějovice</w:t>
            </w:r>
          </w:p>
        </w:tc>
        <w:tc>
          <w:tcPr>
            <w:tcW w:w="1028" w:type="dxa"/>
            <w:tcBorders>
              <w:top w:val="nil"/>
              <w:left w:val="nil"/>
              <w:bottom w:val="single" w:sz="4" w:space="0" w:color="auto"/>
              <w:right w:val="nil"/>
            </w:tcBorders>
            <w:shd w:val="clear" w:color="auto" w:fill="auto"/>
            <w:noWrap/>
            <w:vAlign w:val="bottom"/>
            <w:hideMark/>
          </w:tcPr>
          <w:p w14:paraId="1B89CED4" w14:textId="626133AB"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5,5</w:t>
            </w:r>
          </w:p>
        </w:tc>
        <w:tc>
          <w:tcPr>
            <w:tcW w:w="984" w:type="dxa"/>
            <w:tcBorders>
              <w:top w:val="nil"/>
              <w:left w:val="nil"/>
              <w:bottom w:val="single" w:sz="4" w:space="0" w:color="auto"/>
              <w:right w:val="nil"/>
            </w:tcBorders>
            <w:shd w:val="clear" w:color="auto" w:fill="auto"/>
            <w:noWrap/>
            <w:vAlign w:val="bottom"/>
            <w:hideMark/>
          </w:tcPr>
          <w:p w14:paraId="10D065F2" w14:textId="3D55E0D0"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9,27</w:t>
            </w:r>
          </w:p>
        </w:tc>
        <w:tc>
          <w:tcPr>
            <w:tcW w:w="1058" w:type="dxa"/>
            <w:tcBorders>
              <w:top w:val="nil"/>
              <w:left w:val="nil"/>
              <w:bottom w:val="single" w:sz="4" w:space="0" w:color="auto"/>
              <w:right w:val="nil"/>
            </w:tcBorders>
            <w:shd w:val="clear" w:color="auto" w:fill="auto"/>
            <w:noWrap/>
            <w:vAlign w:val="center"/>
            <w:hideMark/>
          </w:tcPr>
          <w:p w14:paraId="25E3C0F8" w14:textId="1135F601"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94" w:type="dxa"/>
            <w:tcBorders>
              <w:top w:val="nil"/>
              <w:left w:val="single" w:sz="4" w:space="0" w:color="auto"/>
              <w:bottom w:val="single" w:sz="4" w:space="0" w:color="auto"/>
              <w:right w:val="nil"/>
            </w:tcBorders>
            <w:shd w:val="clear" w:color="auto" w:fill="auto"/>
            <w:noWrap/>
            <w:vAlign w:val="bottom"/>
            <w:hideMark/>
          </w:tcPr>
          <w:p w14:paraId="2D6EAB95" w14:textId="32A1E6B6"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11,45</w:t>
            </w:r>
          </w:p>
        </w:tc>
        <w:tc>
          <w:tcPr>
            <w:tcW w:w="1058" w:type="dxa"/>
            <w:tcBorders>
              <w:top w:val="nil"/>
              <w:left w:val="nil"/>
              <w:bottom w:val="single" w:sz="4" w:space="0" w:color="auto"/>
              <w:right w:val="single" w:sz="4" w:space="0" w:color="auto"/>
            </w:tcBorders>
            <w:shd w:val="clear" w:color="auto" w:fill="auto"/>
            <w:noWrap/>
            <w:vAlign w:val="center"/>
            <w:hideMark/>
          </w:tcPr>
          <w:p w14:paraId="09B94388" w14:textId="7B1FCD8B"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994" w:type="dxa"/>
            <w:tcBorders>
              <w:top w:val="nil"/>
              <w:left w:val="nil"/>
              <w:bottom w:val="single" w:sz="4" w:space="0" w:color="auto"/>
              <w:right w:val="nil"/>
            </w:tcBorders>
            <w:shd w:val="clear" w:color="auto" w:fill="auto"/>
            <w:noWrap/>
            <w:vAlign w:val="bottom"/>
            <w:hideMark/>
          </w:tcPr>
          <w:p w14:paraId="23606810" w14:textId="4C9E4074"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6,00</w:t>
            </w:r>
          </w:p>
        </w:tc>
        <w:tc>
          <w:tcPr>
            <w:tcW w:w="1048" w:type="dxa"/>
            <w:tcBorders>
              <w:top w:val="nil"/>
              <w:left w:val="nil"/>
              <w:bottom w:val="single" w:sz="4" w:space="0" w:color="auto"/>
              <w:right w:val="nil"/>
            </w:tcBorders>
            <w:shd w:val="clear" w:color="auto" w:fill="auto"/>
            <w:noWrap/>
            <w:vAlign w:val="center"/>
            <w:hideMark/>
          </w:tcPr>
          <w:p w14:paraId="4484F55E" w14:textId="4543F21F"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-28</w:t>
            </w:r>
            <w:r w:rsidR="00CB570A">
              <w:rPr>
                <w:rFonts w:eastAsia="Times New Roman"/>
                <w:sz w:val="20"/>
                <w:szCs w:val="20"/>
                <w:lang w:eastAsia="cs-CZ"/>
              </w:rPr>
              <w:t> %</w:t>
            </w:r>
          </w:p>
        </w:tc>
      </w:tr>
      <w:tr w:rsidR="00AC1E67" w:rsidRPr="00A00187" w14:paraId="4CAE1DFC" w14:textId="77777777" w:rsidTr="007A4D7A">
        <w:trPr>
          <w:trHeight w:val="315"/>
        </w:trPr>
        <w:tc>
          <w:tcPr>
            <w:tcW w:w="1836" w:type="dxa"/>
            <w:tcBorders>
              <w:top w:val="nil"/>
              <w:left w:val="nil"/>
              <w:bottom w:val="single" w:sz="4" w:space="0" w:color="auto"/>
              <w:right w:val="nil"/>
            </w:tcBorders>
            <w:shd w:val="clear" w:color="auto" w:fill="auto"/>
            <w:noWrap/>
            <w:vAlign w:val="bottom"/>
            <w:hideMark/>
          </w:tcPr>
          <w:p w14:paraId="3669ECAD"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KS Plzeň</w:t>
            </w:r>
          </w:p>
        </w:tc>
        <w:tc>
          <w:tcPr>
            <w:tcW w:w="1028" w:type="dxa"/>
            <w:tcBorders>
              <w:top w:val="nil"/>
              <w:left w:val="nil"/>
              <w:bottom w:val="single" w:sz="4" w:space="0" w:color="auto"/>
              <w:right w:val="nil"/>
            </w:tcBorders>
            <w:shd w:val="clear" w:color="auto" w:fill="auto"/>
            <w:noWrap/>
            <w:vAlign w:val="bottom"/>
            <w:hideMark/>
          </w:tcPr>
          <w:p w14:paraId="18A96864" w14:textId="77777777"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6</w:t>
            </w:r>
          </w:p>
        </w:tc>
        <w:tc>
          <w:tcPr>
            <w:tcW w:w="984" w:type="dxa"/>
            <w:tcBorders>
              <w:top w:val="nil"/>
              <w:left w:val="nil"/>
              <w:bottom w:val="single" w:sz="4" w:space="0" w:color="auto"/>
              <w:right w:val="nil"/>
            </w:tcBorders>
            <w:shd w:val="clear" w:color="auto" w:fill="auto"/>
            <w:noWrap/>
            <w:vAlign w:val="bottom"/>
            <w:hideMark/>
          </w:tcPr>
          <w:p w14:paraId="36167901" w14:textId="32A07921"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16,50</w:t>
            </w:r>
          </w:p>
        </w:tc>
        <w:tc>
          <w:tcPr>
            <w:tcW w:w="1058" w:type="dxa"/>
            <w:tcBorders>
              <w:top w:val="nil"/>
              <w:left w:val="nil"/>
              <w:bottom w:val="single" w:sz="4" w:space="0" w:color="auto"/>
              <w:right w:val="nil"/>
            </w:tcBorders>
            <w:shd w:val="clear" w:color="auto" w:fill="auto"/>
            <w:noWrap/>
            <w:vAlign w:val="center"/>
            <w:hideMark/>
          </w:tcPr>
          <w:p w14:paraId="172CE971" w14:textId="5E2B3E22"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994" w:type="dxa"/>
            <w:tcBorders>
              <w:top w:val="nil"/>
              <w:left w:val="single" w:sz="4" w:space="0" w:color="auto"/>
              <w:bottom w:val="single" w:sz="4" w:space="0" w:color="auto"/>
              <w:right w:val="nil"/>
            </w:tcBorders>
            <w:shd w:val="clear" w:color="auto" w:fill="auto"/>
            <w:noWrap/>
            <w:vAlign w:val="bottom"/>
            <w:hideMark/>
          </w:tcPr>
          <w:p w14:paraId="310451DE" w14:textId="122278D5"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16,83</w:t>
            </w:r>
          </w:p>
        </w:tc>
        <w:tc>
          <w:tcPr>
            <w:tcW w:w="1058" w:type="dxa"/>
            <w:tcBorders>
              <w:top w:val="nil"/>
              <w:left w:val="nil"/>
              <w:bottom w:val="single" w:sz="4" w:space="0" w:color="auto"/>
              <w:right w:val="single" w:sz="4" w:space="0" w:color="auto"/>
            </w:tcBorders>
            <w:shd w:val="clear" w:color="auto" w:fill="auto"/>
            <w:noWrap/>
            <w:vAlign w:val="center"/>
            <w:hideMark/>
          </w:tcPr>
          <w:p w14:paraId="0DC585DF" w14:textId="0E1D46A9"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994" w:type="dxa"/>
            <w:tcBorders>
              <w:top w:val="nil"/>
              <w:left w:val="nil"/>
              <w:bottom w:val="single" w:sz="4" w:space="0" w:color="auto"/>
              <w:right w:val="nil"/>
            </w:tcBorders>
            <w:shd w:val="clear" w:color="auto" w:fill="auto"/>
            <w:noWrap/>
            <w:vAlign w:val="bottom"/>
            <w:hideMark/>
          </w:tcPr>
          <w:p w14:paraId="6DAD75C7" w14:textId="537EEA36"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10,67</w:t>
            </w:r>
          </w:p>
        </w:tc>
        <w:tc>
          <w:tcPr>
            <w:tcW w:w="1048" w:type="dxa"/>
            <w:tcBorders>
              <w:top w:val="nil"/>
              <w:left w:val="nil"/>
              <w:bottom w:val="single" w:sz="4" w:space="0" w:color="auto"/>
              <w:right w:val="nil"/>
            </w:tcBorders>
            <w:shd w:val="clear" w:color="auto" w:fill="auto"/>
            <w:noWrap/>
            <w:vAlign w:val="center"/>
            <w:hideMark/>
          </w:tcPr>
          <w:p w14:paraId="328C5538" w14:textId="5AAC5EC2"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752FAF04" w14:textId="77777777" w:rsidTr="007A4D7A">
        <w:trPr>
          <w:trHeight w:val="315"/>
        </w:trPr>
        <w:tc>
          <w:tcPr>
            <w:tcW w:w="1836" w:type="dxa"/>
            <w:tcBorders>
              <w:top w:val="nil"/>
              <w:left w:val="nil"/>
              <w:bottom w:val="single" w:sz="4" w:space="0" w:color="auto"/>
              <w:right w:val="nil"/>
            </w:tcBorders>
            <w:shd w:val="clear" w:color="auto" w:fill="auto"/>
            <w:noWrap/>
            <w:vAlign w:val="bottom"/>
            <w:hideMark/>
          </w:tcPr>
          <w:p w14:paraId="4EC121D1"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KS Ústí n. Labem</w:t>
            </w:r>
          </w:p>
        </w:tc>
        <w:tc>
          <w:tcPr>
            <w:tcW w:w="1028" w:type="dxa"/>
            <w:tcBorders>
              <w:top w:val="nil"/>
              <w:left w:val="nil"/>
              <w:bottom w:val="single" w:sz="4" w:space="0" w:color="auto"/>
              <w:right w:val="nil"/>
            </w:tcBorders>
            <w:shd w:val="clear" w:color="auto" w:fill="auto"/>
            <w:noWrap/>
            <w:vAlign w:val="bottom"/>
            <w:hideMark/>
          </w:tcPr>
          <w:p w14:paraId="623B1D86" w14:textId="642429F8"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10,8</w:t>
            </w:r>
          </w:p>
        </w:tc>
        <w:tc>
          <w:tcPr>
            <w:tcW w:w="984" w:type="dxa"/>
            <w:tcBorders>
              <w:top w:val="nil"/>
              <w:left w:val="nil"/>
              <w:bottom w:val="single" w:sz="4" w:space="0" w:color="auto"/>
              <w:right w:val="nil"/>
            </w:tcBorders>
            <w:shd w:val="clear" w:color="auto" w:fill="auto"/>
            <w:noWrap/>
            <w:vAlign w:val="bottom"/>
            <w:hideMark/>
          </w:tcPr>
          <w:p w14:paraId="10E88C47" w14:textId="54261719"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12,69</w:t>
            </w:r>
          </w:p>
        </w:tc>
        <w:tc>
          <w:tcPr>
            <w:tcW w:w="1058" w:type="dxa"/>
            <w:tcBorders>
              <w:top w:val="nil"/>
              <w:left w:val="nil"/>
              <w:bottom w:val="single" w:sz="4" w:space="0" w:color="auto"/>
              <w:right w:val="nil"/>
            </w:tcBorders>
            <w:shd w:val="clear" w:color="auto" w:fill="auto"/>
            <w:noWrap/>
            <w:vAlign w:val="center"/>
            <w:hideMark/>
          </w:tcPr>
          <w:p w14:paraId="445A372A" w14:textId="3BFB79EA"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94" w:type="dxa"/>
            <w:tcBorders>
              <w:top w:val="nil"/>
              <w:left w:val="single" w:sz="4" w:space="0" w:color="auto"/>
              <w:bottom w:val="single" w:sz="4" w:space="0" w:color="auto"/>
              <w:right w:val="nil"/>
            </w:tcBorders>
            <w:shd w:val="clear" w:color="auto" w:fill="auto"/>
            <w:noWrap/>
            <w:vAlign w:val="bottom"/>
            <w:hideMark/>
          </w:tcPr>
          <w:p w14:paraId="54032903" w14:textId="3FF27EAF"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15,46</w:t>
            </w:r>
          </w:p>
        </w:tc>
        <w:tc>
          <w:tcPr>
            <w:tcW w:w="1058" w:type="dxa"/>
            <w:tcBorders>
              <w:top w:val="nil"/>
              <w:left w:val="nil"/>
              <w:bottom w:val="single" w:sz="4" w:space="0" w:color="auto"/>
              <w:right w:val="single" w:sz="4" w:space="0" w:color="auto"/>
            </w:tcBorders>
            <w:shd w:val="clear" w:color="auto" w:fill="auto"/>
            <w:noWrap/>
            <w:vAlign w:val="center"/>
            <w:hideMark/>
          </w:tcPr>
          <w:p w14:paraId="1849415E" w14:textId="142C69EF"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c>
          <w:tcPr>
            <w:tcW w:w="994" w:type="dxa"/>
            <w:tcBorders>
              <w:top w:val="nil"/>
              <w:left w:val="nil"/>
              <w:bottom w:val="single" w:sz="4" w:space="0" w:color="auto"/>
              <w:right w:val="nil"/>
            </w:tcBorders>
            <w:shd w:val="clear" w:color="auto" w:fill="auto"/>
            <w:noWrap/>
            <w:vAlign w:val="bottom"/>
            <w:hideMark/>
          </w:tcPr>
          <w:p w14:paraId="4D5D6E7E" w14:textId="02C2523D"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9,81</w:t>
            </w:r>
          </w:p>
        </w:tc>
        <w:tc>
          <w:tcPr>
            <w:tcW w:w="1048" w:type="dxa"/>
            <w:tcBorders>
              <w:top w:val="nil"/>
              <w:left w:val="nil"/>
              <w:bottom w:val="single" w:sz="4" w:space="0" w:color="auto"/>
              <w:right w:val="nil"/>
            </w:tcBorders>
            <w:shd w:val="clear" w:color="auto" w:fill="auto"/>
            <w:noWrap/>
            <w:vAlign w:val="center"/>
            <w:hideMark/>
          </w:tcPr>
          <w:p w14:paraId="1464AC38" w14:textId="21BC2DF7"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435ECFB6" w14:textId="77777777" w:rsidTr="007A4D7A">
        <w:trPr>
          <w:trHeight w:val="315"/>
        </w:trPr>
        <w:tc>
          <w:tcPr>
            <w:tcW w:w="1836" w:type="dxa"/>
            <w:tcBorders>
              <w:top w:val="nil"/>
              <w:left w:val="nil"/>
              <w:bottom w:val="single" w:sz="4" w:space="0" w:color="auto"/>
              <w:right w:val="nil"/>
            </w:tcBorders>
            <w:shd w:val="clear" w:color="auto" w:fill="auto"/>
            <w:noWrap/>
            <w:vAlign w:val="bottom"/>
            <w:hideMark/>
          </w:tcPr>
          <w:p w14:paraId="415A2204"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KS Hr. Králové</w:t>
            </w:r>
          </w:p>
        </w:tc>
        <w:tc>
          <w:tcPr>
            <w:tcW w:w="1028" w:type="dxa"/>
            <w:tcBorders>
              <w:top w:val="nil"/>
              <w:left w:val="nil"/>
              <w:bottom w:val="single" w:sz="4" w:space="0" w:color="auto"/>
              <w:right w:val="nil"/>
            </w:tcBorders>
            <w:shd w:val="clear" w:color="auto" w:fill="auto"/>
            <w:noWrap/>
            <w:vAlign w:val="bottom"/>
            <w:hideMark/>
          </w:tcPr>
          <w:p w14:paraId="39D7CD25" w14:textId="7C465C7A"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7,4</w:t>
            </w:r>
          </w:p>
        </w:tc>
        <w:tc>
          <w:tcPr>
            <w:tcW w:w="984" w:type="dxa"/>
            <w:tcBorders>
              <w:top w:val="nil"/>
              <w:left w:val="nil"/>
              <w:bottom w:val="single" w:sz="4" w:space="0" w:color="auto"/>
              <w:right w:val="nil"/>
            </w:tcBorders>
            <w:shd w:val="clear" w:color="auto" w:fill="auto"/>
            <w:noWrap/>
            <w:vAlign w:val="bottom"/>
            <w:hideMark/>
          </w:tcPr>
          <w:p w14:paraId="26E5C82E" w14:textId="416420EE"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11,62</w:t>
            </w:r>
          </w:p>
        </w:tc>
        <w:tc>
          <w:tcPr>
            <w:tcW w:w="1058" w:type="dxa"/>
            <w:tcBorders>
              <w:top w:val="nil"/>
              <w:left w:val="nil"/>
              <w:bottom w:val="single" w:sz="4" w:space="0" w:color="auto"/>
              <w:right w:val="nil"/>
            </w:tcBorders>
            <w:shd w:val="clear" w:color="auto" w:fill="auto"/>
            <w:noWrap/>
            <w:vAlign w:val="center"/>
            <w:hideMark/>
          </w:tcPr>
          <w:p w14:paraId="583D47FA" w14:textId="3980DE80"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994" w:type="dxa"/>
            <w:tcBorders>
              <w:top w:val="nil"/>
              <w:left w:val="single" w:sz="4" w:space="0" w:color="auto"/>
              <w:bottom w:val="single" w:sz="4" w:space="0" w:color="auto"/>
              <w:right w:val="nil"/>
            </w:tcBorders>
            <w:shd w:val="clear" w:color="auto" w:fill="auto"/>
            <w:noWrap/>
            <w:vAlign w:val="bottom"/>
            <w:hideMark/>
          </w:tcPr>
          <w:p w14:paraId="41FF35A9" w14:textId="51C158D3"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12,43</w:t>
            </w:r>
          </w:p>
        </w:tc>
        <w:tc>
          <w:tcPr>
            <w:tcW w:w="1058" w:type="dxa"/>
            <w:tcBorders>
              <w:top w:val="nil"/>
              <w:left w:val="nil"/>
              <w:bottom w:val="single" w:sz="4" w:space="0" w:color="auto"/>
              <w:right w:val="single" w:sz="4" w:space="0" w:color="auto"/>
            </w:tcBorders>
            <w:shd w:val="clear" w:color="auto" w:fill="auto"/>
            <w:noWrap/>
            <w:vAlign w:val="center"/>
            <w:hideMark/>
          </w:tcPr>
          <w:p w14:paraId="76BA6730" w14:textId="06E8B392"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994" w:type="dxa"/>
            <w:tcBorders>
              <w:top w:val="nil"/>
              <w:left w:val="nil"/>
              <w:bottom w:val="single" w:sz="4" w:space="0" w:color="auto"/>
              <w:right w:val="nil"/>
            </w:tcBorders>
            <w:shd w:val="clear" w:color="auto" w:fill="auto"/>
            <w:noWrap/>
            <w:vAlign w:val="bottom"/>
            <w:hideMark/>
          </w:tcPr>
          <w:p w14:paraId="681591A0" w14:textId="2E66DAB6"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4,05</w:t>
            </w:r>
          </w:p>
        </w:tc>
        <w:tc>
          <w:tcPr>
            <w:tcW w:w="1048" w:type="dxa"/>
            <w:tcBorders>
              <w:top w:val="nil"/>
              <w:left w:val="nil"/>
              <w:bottom w:val="single" w:sz="4" w:space="0" w:color="auto"/>
              <w:right w:val="nil"/>
            </w:tcBorders>
            <w:shd w:val="clear" w:color="auto" w:fill="auto"/>
            <w:noWrap/>
            <w:vAlign w:val="center"/>
            <w:hideMark/>
          </w:tcPr>
          <w:p w14:paraId="1E808443" w14:textId="4B3C2F60"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3A40D15D" w14:textId="77777777" w:rsidTr="007A4D7A">
        <w:trPr>
          <w:trHeight w:val="315"/>
        </w:trPr>
        <w:tc>
          <w:tcPr>
            <w:tcW w:w="1836" w:type="dxa"/>
            <w:tcBorders>
              <w:top w:val="nil"/>
              <w:left w:val="nil"/>
              <w:bottom w:val="single" w:sz="4" w:space="0" w:color="auto"/>
              <w:right w:val="nil"/>
            </w:tcBorders>
            <w:shd w:val="clear" w:color="auto" w:fill="auto"/>
            <w:noWrap/>
            <w:vAlign w:val="bottom"/>
            <w:hideMark/>
          </w:tcPr>
          <w:p w14:paraId="27535D00"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KS Brno</w:t>
            </w:r>
          </w:p>
        </w:tc>
        <w:tc>
          <w:tcPr>
            <w:tcW w:w="1028" w:type="dxa"/>
            <w:tcBorders>
              <w:top w:val="nil"/>
              <w:left w:val="nil"/>
              <w:bottom w:val="single" w:sz="4" w:space="0" w:color="auto"/>
              <w:right w:val="nil"/>
            </w:tcBorders>
            <w:shd w:val="clear" w:color="auto" w:fill="auto"/>
            <w:noWrap/>
            <w:vAlign w:val="bottom"/>
            <w:hideMark/>
          </w:tcPr>
          <w:p w14:paraId="44238159" w14:textId="77777777"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14</w:t>
            </w:r>
          </w:p>
        </w:tc>
        <w:tc>
          <w:tcPr>
            <w:tcW w:w="984" w:type="dxa"/>
            <w:tcBorders>
              <w:top w:val="nil"/>
              <w:left w:val="nil"/>
              <w:bottom w:val="single" w:sz="4" w:space="0" w:color="auto"/>
              <w:right w:val="nil"/>
            </w:tcBorders>
            <w:shd w:val="clear" w:color="auto" w:fill="auto"/>
            <w:noWrap/>
            <w:vAlign w:val="bottom"/>
            <w:hideMark/>
          </w:tcPr>
          <w:p w14:paraId="2125FD97" w14:textId="6C2F996E"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13,57</w:t>
            </w:r>
          </w:p>
        </w:tc>
        <w:tc>
          <w:tcPr>
            <w:tcW w:w="1058" w:type="dxa"/>
            <w:tcBorders>
              <w:top w:val="nil"/>
              <w:left w:val="nil"/>
              <w:bottom w:val="single" w:sz="4" w:space="0" w:color="auto"/>
              <w:right w:val="nil"/>
            </w:tcBorders>
            <w:shd w:val="clear" w:color="auto" w:fill="auto"/>
            <w:noWrap/>
            <w:vAlign w:val="center"/>
            <w:hideMark/>
          </w:tcPr>
          <w:p w14:paraId="497E3D8E" w14:textId="1FE49BD6"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994" w:type="dxa"/>
            <w:tcBorders>
              <w:top w:val="nil"/>
              <w:left w:val="single" w:sz="4" w:space="0" w:color="auto"/>
              <w:bottom w:val="single" w:sz="4" w:space="0" w:color="auto"/>
              <w:right w:val="nil"/>
            </w:tcBorders>
            <w:shd w:val="clear" w:color="auto" w:fill="auto"/>
            <w:noWrap/>
            <w:vAlign w:val="bottom"/>
            <w:hideMark/>
          </w:tcPr>
          <w:p w14:paraId="0B0C572B" w14:textId="1217E37D"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17,07</w:t>
            </w:r>
          </w:p>
        </w:tc>
        <w:tc>
          <w:tcPr>
            <w:tcW w:w="1058" w:type="dxa"/>
            <w:tcBorders>
              <w:top w:val="nil"/>
              <w:left w:val="nil"/>
              <w:bottom w:val="single" w:sz="4" w:space="0" w:color="auto"/>
              <w:right w:val="single" w:sz="4" w:space="0" w:color="auto"/>
            </w:tcBorders>
            <w:shd w:val="clear" w:color="auto" w:fill="auto"/>
            <w:noWrap/>
            <w:vAlign w:val="center"/>
            <w:hideMark/>
          </w:tcPr>
          <w:p w14:paraId="7378B348" w14:textId="283D8EEE"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994" w:type="dxa"/>
            <w:tcBorders>
              <w:top w:val="nil"/>
              <w:left w:val="nil"/>
              <w:bottom w:val="single" w:sz="4" w:space="0" w:color="auto"/>
              <w:right w:val="nil"/>
            </w:tcBorders>
            <w:shd w:val="clear" w:color="auto" w:fill="auto"/>
            <w:noWrap/>
            <w:vAlign w:val="bottom"/>
            <w:hideMark/>
          </w:tcPr>
          <w:p w14:paraId="7882C6DE" w14:textId="538E0F6A"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7,43</w:t>
            </w:r>
          </w:p>
        </w:tc>
        <w:tc>
          <w:tcPr>
            <w:tcW w:w="1048" w:type="dxa"/>
            <w:tcBorders>
              <w:top w:val="nil"/>
              <w:left w:val="nil"/>
              <w:bottom w:val="single" w:sz="4" w:space="0" w:color="auto"/>
              <w:right w:val="nil"/>
            </w:tcBorders>
            <w:shd w:val="clear" w:color="auto" w:fill="auto"/>
            <w:noWrap/>
            <w:vAlign w:val="center"/>
            <w:hideMark/>
          </w:tcPr>
          <w:p w14:paraId="4C141A46" w14:textId="5EF25D20"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r>
      <w:tr w:rsidR="00AC1E67" w:rsidRPr="00A00187" w14:paraId="2EB2D6CA" w14:textId="77777777" w:rsidTr="007A4D7A">
        <w:trPr>
          <w:trHeight w:val="330"/>
        </w:trPr>
        <w:tc>
          <w:tcPr>
            <w:tcW w:w="1836" w:type="dxa"/>
            <w:tcBorders>
              <w:top w:val="nil"/>
              <w:left w:val="nil"/>
              <w:bottom w:val="double" w:sz="6" w:space="0" w:color="auto"/>
              <w:right w:val="nil"/>
            </w:tcBorders>
            <w:shd w:val="clear" w:color="auto" w:fill="auto"/>
            <w:noWrap/>
            <w:vAlign w:val="bottom"/>
            <w:hideMark/>
          </w:tcPr>
          <w:p w14:paraId="63AC9FC5" w14:textId="77777777" w:rsidR="007A4D7A" w:rsidRPr="00A00187" w:rsidRDefault="007A4D7A" w:rsidP="007A4D7A">
            <w:pPr>
              <w:spacing w:line="240" w:lineRule="auto"/>
              <w:jc w:val="left"/>
              <w:rPr>
                <w:rFonts w:eastAsia="Times New Roman"/>
                <w:szCs w:val="24"/>
                <w:lang w:eastAsia="cs-CZ"/>
              </w:rPr>
            </w:pPr>
            <w:r w:rsidRPr="00A00187">
              <w:rPr>
                <w:rFonts w:eastAsia="Times New Roman"/>
                <w:szCs w:val="24"/>
                <w:lang w:eastAsia="cs-CZ"/>
              </w:rPr>
              <w:t>KS Ostrava</w:t>
            </w:r>
          </w:p>
        </w:tc>
        <w:tc>
          <w:tcPr>
            <w:tcW w:w="1028" w:type="dxa"/>
            <w:tcBorders>
              <w:top w:val="nil"/>
              <w:left w:val="nil"/>
              <w:bottom w:val="double" w:sz="6" w:space="0" w:color="auto"/>
              <w:right w:val="nil"/>
            </w:tcBorders>
            <w:shd w:val="clear" w:color="auto" w:fill="auto"/>
            <w:noWrap/>
            <w:vAlign w:val="bottom"/>
            <w:hideMark/>
          </w:tcPr>
          <w:p w14:paraId="707A313D" w14:textId="6446040E"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15,5</w:t>
            </w:r>
          </w:p>
        </w:tc>
        <w:tc>
          <w:tcPr>
            <w:tcW w:w="984" w:type="dxa"/>
            <w:tcBorders>
              <w:top w:val="nil"/>
              <w:left w:val="nil"/>
              <w:bottom w:val="double" w:sz="6" w:space="0" w:color="auto"/>
              <w:right w:val="nil"/>
            </w:tcBorders>
            <w:shd w:val="clear" w:color="auto" w:fill="auto"/>
            <w:noWrap/>
            <w:vAlign w:val="bottom"/>
            <w:hideMark/>
          </w:tcPr>
          <w:p w14:paraId="1ABFE7D9" w14:textId="1262C226"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10,52</w:t>
            </w:r>
          </w:p>
        </w:tc>
        <w:tc>
          <w:tcPr>
            <w:tcW w:w="1058" w:type="dxa"/>
            <w:tcBorders>
              <w:top w:val="nil"/>
              <w:left w:val="nil"/>
              <w:bottom w:val="double" w:sz="6" w:space="0" w:color="auto"/>
              <w:right w:val="nil"/>
            </w:tcBorders>
            <w:shd w:val="clear" w:color="auto" w:fill="auto"/>
            <w:noWrap/>
            <w:vAlign w:val="center"/>
            <w:hideMark/>
          </w:tcPr>
          <w:p w14:paraId="4F2E3EE1" w14:textId="203B1139"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+57</w:t>
            </w:r>
            <w:r w:rsidR="00CB570A">
              <w:rPr>
                <w:rFonts w:eastAsia="Times New Roman"/>
                <w:sz w:val="20"/>
                <w:szCs w:val="20"/>
                <w:lang w:eastAsia="cs-CZ"/>
              </w:rPr>
              <w:t> %</w:t>
            </w:r>
          </w:p>
        </w:tc>
        <w:tc>
          <w:tcPr>
            <w:tcW w:w="994" w:type="dxa"/>
            <w:tcBorders>
              <w:top w:val="nil"/>
              <w:left w:val="single" w:sz="4" w:space="0" w:color="auto"/>
              <w:bottom w:val="double" w:sz="6" w:space="0" w:color="auto"/>
              <w:right w:val="nil"/>
            </w:tcBorders>
            <w:shd w:val="clear" w:color="auto" w:fill="auto"/>
            <w:noWrap/>
            <w:vAlign w:val="bottom"/>
            <w:hideMark/>
          </w:tcPr>
          <w:p w14:paraId="3C2F2FC8" w14:textId="42E49AB1"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11,03</w:t>
            </w:r>
          </w:p>
        </w:tc>
        <w:tc>
          <w:tcPr>
            <w:tcW w:w="1058" w:type="dxa"/>
            <w:tcBorders>
              <w:top w:val="nil"/>
              <w:left w:val="nil"/>
              <w:bottom w:val="double" w:sz="6" w:space="0" w:color="auto"/>
              <w:right w:val="single" w:sz="4" w:space="0" w:color="auto"/>
            </w:tcBorders>
            <w:shd w:val="clear" w:color="auto" w:fill="auto"/>
            <w:noWrap/>
            <w:vAlign w:val="center"/>
            <w:hideMark/>
          </w:tcPr>
          <w:p w14:paraId="7948D0A9" w14:textId="5CA0FE5A"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+60</w:t>
            </w:r>
            <w:r w:rsidR="00CB570A">
              <w:rPr>
                <w:rFonts w:eastAsia="Times New Roman"/>
                <w:sz w:val="20"/>
                <w:szCs w:val="20"/>
                <w:lang w:eastAsia="cs-CZ"/>
              </w:rPr>
              <w:t> %</w:t>
            </w:r>
          </w:p>
        </w:tc>
        <w:tc>
          <w:tcPr>
            <w:tcW w:w="994" w:type="dxa"/>
            <w:tcBorders>
              <w:top w:val="nil"/>
              <w:left w:val="nil"/>
              <w:bottom w:val="double" w:sz="6" w:space="0" w:color="auto"/>
              <w:right w:val="nil"/>
            </w:tcBorders>
            <w:shd w:val="clear" w:color="auto" w:fill="auto"/>
            <w:noWrap/>
            <w:vAlign w:val="bottom"/>
            <w:hideMark/>
          </w:tcPr>
          <w:p w14:paraId="7979EEC2" w14:textId="7F3F9E3C" w:rsidR="007A4D7A" w:rsidRPr="00A00187" w:rsidRDefault="007A4D7A" w:rsidP="007A4D7A">
            <w:pPr>
              <w:spacing w:line="240" w:lineRule="auto"/>
              <w:jc w:val="center"/>
              <w:rPr>
                <w:rFonts w:eastAsia="Times New Roman"/>
                <w:szCs w:val="24"/>
                <w:lang w:eastAsia="cs-CZ"/>
              </w:rPr>
            </w:pPr>
            <w:r w:rsidRPr="00A00187">
              <w:rPr>
                <w:rFonts w:eastAsia="Times New Roman"/>
                <w:szCs w:val="24"/>
                <w:lang w:eastAsia="cs-CZ"/>
              </w:rPr>
              <w:t>7,03</w:t>
            </w:r>
          </w:p>
        </w:tc>
        <w:tc>
          <w:tcPr>
            <w:tcW w:w="1048" w:type="dxa"/>
            <w:tcBorders>
              <w:top w:val="nil"/>
              <w:left w:val="nil"/>
              <w:bottom w:val="double" w:sz="6" w:space="0" w:color="auto"/>
              <w:right w:val="nil"/>
            </w:tcBorders>
            <w:shd w:val="clear" w:color="auto" w:fill="auto"/>
            <w:noWrap/>
            <w:vAlign w:val="center"/>
            <w:hideMark/>
          </w:tcPr>
          <w:p w14:paraId="55C982FC" w14:textId="12EB7A02" w:rsidR="007A4D7A" w:rsidRPr="00A00187" w:rsidRDefault="007A4D7A" w:rsidP="00641DB9">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r>
      <w:tr w:rsidR="00AC1E67" w:rsidRPr="00A00187" w14:paraId="62F6E436" w14:textId="77777777" w:rsidTr="007A4D7A">
        <w:trPr>
          <w:trHeight w:val="345"/>
        </w:trPr>
        <w:tc>
          <w:tcPr>
            <w:tcW w:w="1836" w:type="dxa"/>
            <w:tcBorders>
              <w:top w:val="nil"/>
              <w:left w:val="nil"/>
              <w:bottom w:val="double" w:sz="6" w:space="0" w:color="auto"/>
              <w:right w:val="nil"/>
            </w:tcBorders>
            <w:shd w:val="clear" w:color="auto" w:fill="auto"/>
            <w:noWrap/>
            <w:vAlign w:val="bottom"/>
            <w:hideMark/>
          </w:tcPr>
          <w:p w14:paraId="1DE6C3AC" w14:textId="77777777" w:rsidR="007A4D7A" w:rsidRPr="00A00187" w:rsidRDefault="007A4D7A" w:rsidP="007A4D7A">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28" w:type="dxa"/>
            <w:tcBorders>
              <w:top w:val="nil"/>
              <w:left w:val="nil"/>
              <w:bottom w:val="double" w:sz="6" w:space="0" w:color="auto"/>
              <w:right w:val="nil"/>
            </w:tcBorders>
            <w:shd w:val="clear" w:color="auto" w:fill="auto"/>
            <w:noWrap/>
            <w:vAlign w:val="bottom"/>
            <w:hideMark/>
          </w:tcPr>
          <w:p w14:paraId="38ED717B" w14:textId="755A8825"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85,1</w:t>
            </w:r>
          </w:p>
        </w:tc>
        <w:tc>
          <w:tcPr>
            <w:tcW w:w="984" w:type="dxa"/>
            <w:tcBorders>
              <w:top w:val="nil"/>
              <w:left w:val="nil"/>
              <w:bottom w:val="double" w:sz="6" w:space="0" w:color="auto"/>
              <w:right w:val="nil"/>
            </w:tcBorders>
            <w:shd w:val="clear" w:color="auto" w:fill="auto"/>
            <w:noWrap/>
            <w:vAlign w:val="bottom"/>
            <w:hideMark/>
          </w:tcPr>
          <w:p w14:paraId="082746EA" w14:textId="2288438F"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12,57</w:t>
            </w:r>
          </w:p>
        </w:tc>
        <w:tc>
          <w:tcPr>
            <w:tcW w:w="1058" w:type="dxa"/>
            <w:tcBorders>
              <w:top w:val="nil"/>
              <w:left w:val="nil"/>
              <w:bottom w:val="double" w:sz="6" w:space="0" w:color="auto"/>
              <w:right w:val="nil"/>
            </w:tcBorders>
            <w:shd w:val="clear" w:color="auto" w:fill="auto"/>
            <w:noWrap/>
            <w:vAlign w:val="center"/>
            <w:hideMark/>
          </w:tcPr>
          <w:p w14:paraId="65D84091" w14:textId="15107F31" w:rsidR="007A4D7A" w:rsidRPr="00A00187" w:rsidRDefault="007A4D7A"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-0</w:t>
            </w:r>
            <w:r w:rsidR="00CB570A">
              <w:rPr>
                <w:rFonts w:eastAsia="Times New Roman"/>
                <w:b/>
                <w:bCs/>
                <w:sz w:val="20"/>
                <w:szCs w:val="20"/>
                <w:lang w:eastAsia="cs-CZ"/>
              </w:rPr>
              <w:t> %</w:t>
            </w:r>
          </w:p>
        </w:tc>
        <w:tc>
          <w:tcPr>
            <w:tcW w:w="994" w:type="dxa"/>
            <w:tcBorders>
              <w:top w:val="nil"/>
              <w:left w:val="single" w:sz="4" w:space="0" w:color="auto"/>
              <w:bottom w:val="double" w:sz="6" w:space="0" w:color="auto"/>
              <w:right w:val="nil"/>
            </w:tcBorders>
            <w:shd w:val="clear" w:color="auto" w:fill="auto"/>
            <w:noWrap/>
            <w:vAlign w:val="bottom"/>
            <w:hideMark/>
          </w:tcPr>
          <w:p w14:paraId="3431F868" w14:textId="3B35DB43"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13,95</w:t>
            </w:r>
          </w:p>
        </w:tc>
        <w:tc>
          <w:tcPr>
            <w:tcW w:w="1058" w:type="dxa"/>
            <w:tcBorders>
              <w:top w:val="nil"/>
              <w:left w:val="nil"/>
              <w:bottom w:val="double" w:sz="6" w:space="0" w:color="auto"/>
              <w:right w:val="single" w:sz="4" w:space="0" w:color="auto"/>
            </w:tcBorders>
            <w:shd w:val="clear" w:color="auto" w:fill="auto"/>
            <w:noWrap/>
            <w:vAlign w:val="center"/>
            <w:hideMark/>
          </w:tcPr>
          <w:p w14:paraId="7C137FAD" w14:textId="274A9DE3" w:rsidR="007A4D7A" w:rsidRPr="00A00187" w:rsidRDefault="007A4D7A"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+11</w:t>
            </w:r>
            <w:r w:rsidR="00CB570A">
              <w:rPr>
                <w:rFonts w:eastAsia="Times New Roman"/>
                <w:b/>
                <w:bCs/>
                <w:sz w:val="20"/>
                <w:szCs w:val="20"/>
                <w:lang w:eastAsia="cs-CZ"/>
              </w:rPr>
              <w:t> %</w:t>
            </w:r>
          </w:p>
        </w:tc>
        <w:tc>
          <w:tcPr>
            <w:tcW w:w="994" w:type="dxa"/>
            <w:tcBorders>
              <w:top w:val="nil"/>
              <w:left w:val="nil"/>
              <w:bottom w:val="double" w:sz="6" w:space="0" w:color="auto"/>
              <w:right w:val="nil"/>
            </w:tcBorders>
            <w:shd w:val="clear" w:color="auto" w:fill="auto"/>
            <w:noWrap/>
            <w:vAlign w:val="bottom"/>
            <w:hideMark/>
          </w:tcPr>
          <w:p w14:paraId="1315FE25" w14:textId="7B3D7403" w:rsidR="007A4D7A" w:rsidRPr="00A00187" w:rsidRDefault="007A4D7A" w:rsidP="007A4D7A">
            <w:pPr>
              <w:spacing w:line="240" w:lineRule="auto"/>
              <w:jc w:val="center"/>
              <w:rPr>
                <w:rFonts w:eastAsia="Times New Roman"/>
                <w:b/>
                <w:bCs/>
                <w:szCs w:val="24"/>
                <w:lang w:eastAsia="cs-CZ"/>
              </w:rPr>
            </w:pPr>
            <w:r w:rsidRPr="00A00187">
              <w:rPr>
                <w:rFonts w:eastAsia="Times New Roman"/>
                <w:b/>
                <w:bCs/>
                <w:szCs w:val="24"/>
                <w:lang w:eastAsia="cs-CZ"/>
              </w:rPr>
              <w:t>7,52</w:t>
            </w:r>
          </w:p>
        </w:tc>
        <w:tc>
          <w:tcPr>
            <w:tcW w:w="1048" w:type="dxa"/>
            <w:tcBorders>
              <w:top w:val="nil"/>
              <w:left w:val="nil"/>
              <w:bottom w:val="double" w:sz="6" w:space="0" w:color="auto"/>
              <w:right w:val="nil"/>
            </w:tcBorders>
            <w:shd w:val="clear" w:color="auto" w:fill="auto"/>
            <w:noWrap/>
            <w:vAlign w:val="center"/>
            <w:hideMark/>
          </w:tcPr>
          <w:p w14:paraId="4DC3934E" w14:textId="6EB448FC" w:rsidR="007A4D7A" w:rsidRPr="00A00187" w:rsidRDefault="007A4D7A"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-7</w:t>
            </w:r>
            <w:r w:rsidR="00CB570A">
              <w:rPr>
                <w:rFonts w:eastAsia="Times New Roman"/>
                <w:b/>
                <w:bCs/>
                <w:sz w:val="20"/>
                <w:szCs w:val="20"/>
                <w:lang w:eastAsia="cs-CZ"/>
              </w:rPr>
              <w:t> %</w:t>
            </w:r>
          </w:p>
        </w:tc>
      </w:tr>
      <w:tr w:rsidR="00AC1E67" w:rsidRPr="00A00187" w14:paraId="280D8146" w14:textId="77777777" w:rsidTr="007A4D7A">
        <w:trPr>
          <w:trHeight w:val="330"/>
        </w:trPr>
        <w:tc>
          <w:tcPr>
            <w:tcW w:w="1836" w:type="dxa"/>
            <w:tcBorders>
              <w:top w:val="nil"/>
              <w:left w:val="nil"/>
              <w:bottom w:val="nil"/>
              <w:right w:val="nil"/>
            </w:tcBorders>
            <w:shd w:val="clear" w:color="auto" w:fill="auto"/>
            <w:noWrap/>
            <w:vAlign w:val="bottom"/>
            <w:hideMark/>
          </w:tcPr>
          <w:p w14:paraId="349DD365" w14:textId="77777777" w:rsidR="007A4D7A" w:rsidRPr="00A00187" w:rsidRDefault="007A4D7A" w:rsidP="007A4D7A">
            <w:pPr>
              <w:spacing w:line="240" w:lineRule="auto"/>
              <w:jc w:val="center"/>
              <w:rPr>
                <w:rFonts w:eastAsia="Times New Roman"/>
                <w:b/>
                <w:bCs/>
                <w:sz w:val="20"/>
                <w:szCs w:val="20"/>
                <w:lang w:eastAsia="cs-CZ"/>
              </w:rPr>
            </w:pPr>
          </w:p>
        </w:tc>
        <w:tc>
          <w:tcPr>
            <w:tcW w:w="1028" w:type="dxa"/>
            <w:tcBorders>
              <w:top w:val="nil"/>
              <w:left w:val="nil"/>
              <w:bottom w:val="nil"/>
              <w:right w:val="nil"/>
            </w:tcBorders>
            <w:shd w:val="clear" w:color="auto" w:fill="auto"/>
            <w:noWrap/>
            <w:vAlign w:val="bottom"/>
            <w:hideMark/>
          </w:tcPr>
          <w:p w14:paraId="25C39320" w14:textId="77777777" w:rsidR="007A4D7A" w:rsidRPr="00A00187" w:rsidRDefault="007A4D7A" w:rsidP="007A4D7A">
            <w:pPr>
              <w:spacing w:line="240" w:lineRule="auto"/>
              <w:jc w:val="left"/>
              <w:rPr>
                <w:rFonts w:ascii="Times New Roman" w:eastAsia="Times New Roman" w:hAnsi="Times New Roman"/>
                <w:sz w:val="20"/>
                <w:szCs w:val="20"/>
                <w:lang w:eastAsia="cs-CZ"/>
              </w:rPr>
            </w:pPr>
          </w:p>
        </w:tc>
        <w:tc>
          <w:tcPr>
            <w:tcW w:w="984" w:type="dxa"/>
            <w:tcBorders>
              <w:top w:val="nil"/>
              <w:left w:val="nil"/>
              <w:bottom w:val="nil"/>
              <w:right w:val="nil"/>
            </w:tcBorders>
            <w:shd w:val="clear" w:color="auto" w:fill="auto"/>
            <w:noWrap/>
            <w:vAlign w:val="bottom"/>
            <w:hideMark/>
          </w:tcPr>
          <w:p w14:paraId="5AEFE666" w14:textId="77777777" w:rsidR="007A4D7A" w:rsidRPr="00A00187" w:rsidRDefault="007A4D7A" w:rsidP="007A4D7A">
            <w:pPr>
              <w:spacing w:line="240" w:lineRule="auto"/>
              <w:jc w:val="left"/>
              <w:rPr>
                <w:rFonts w:ascii="Times New Roman" w:eastAsia="Times New Roman" w:hAnsi="Times New Roman"/>
                <w:sz w:val="20"/>
                <w:szCs w:val="20"/>
                <w:lang w:eastAsia="cs-CZ"/>
              </w:rPr>
            </w:pPr>
          </w:p>
        </w:tc>
        <w:tc>
          <w:tcPr>
            <w:tcW w:w="1058" w:type="dxa"/>
            <w:tcBorders>
              <w:top w:val="nil"/>
              <w:left w:val="nil"/>
              <w:bottom w:val="nil"/>
              <w:right w:val="nil"/>
            </w:tcBorders>
            <w:shd w:val="clear" w:color="auto" w:fill="auto"/>
            <w:noWrap/>
            <w:vAlign w:val="bottom"/>
            <w:hideMark/>
          </w:tcPr>
          <w:p w14:paraId="4066C49A" w14:textId="77777777" w:rsidR="007A4D7A" w:rsidRPr="00A00187" w:rsidRDefault="007A4D7A" w:rsidP="00641DB9">
            <w:pPr>
              <w:spacing w:line="240" w:lineRule="auto"/>
              <w:jc w:val="center"/>
              <w:rPr>
                <w:rFonts w:ascii="Times New Roman" w:eastAsia="Times New Roman" w:hAnsi="Times New Roman"/>
                <w:sz w:val="20"/>
                <w:szCs w:val="20"/>
                <w:lang w:eastAsia="cs-CZ"/>
              </w:rPr>
            </w:pPr>
          </w:p>
        </w:tc>
        <w:tc>
          <w:tcPr>
            <w:tcW w:w="994" w:type="dxa"/>
            <w:tcBorders>
              <w:top w:val="nil"/>
              <w:left w:val="nil"/>
              <w:bottom w:val="nil"/>
              <w:right w:val="nil"/>
            </w:tcBorders>
            <w:shd w:val="clear" w:color="auto" w:fill="auto"/>
            <w:noWrap/>
            <w:vAlign w:val="bottom"/>
            <w:hideMark/>
          </w:tcPr>
          <w:p w14:paraId="419110DA" w14:textId="77777777" w:rsidR="007A4D7A" w:rsidRPr="00A00187" w:rsidRDefault="007A4D7A" w:rsidP="007A4D7A">
            <w:pPr>
              <w:spacing w:line="240" w:lineRule="auto"/>
              <w:jc w:val="left"/>
              <w:rPr>
                <w:rFonts w:ascii="Times New Roman" w:eastAsia="Times New Roman" w:hAnsi="Times New Roman"/>
                <w:sz w:val="20"/>
                <w:szCs w:val="20"/>
                <w:lang w:eastAsia="cs-CZ"/>
              </w:rPr>
            </w:pPr>
          </w:p>
        </w:tc>
        <w:tc>
          <w:tcPr>
            <w:tcW w:w="1058" w:type="dxa"/>
            <w:tcBorders>
              <w:top w:val="nil"/>
              <w:left w:val="nil"/>
              <w:bottom w:val="nil"/>
              <w:right w:val="nil"/>
            </w:tcBorders>
            <w:shd w:val="clear" w:color="auto" w:fill="auto"/>
            <w:noWrap/>
            <w:vAlign w:val="bottom"/>
            <w:hideMark/>
          </w:tcPr>
          <w:p w14:paraId="75404AEB" w14:textId="77777777" w:rsidR="007A4D7A" w:rsidRPr="00A00187" w:rsidRDefault="007A4D7A" w:rsidP="00641DB9">
            <w:pPr>
              <w:spacing w:line="240" w:lineRule="auto"/>
              <w:jc w:val="center"/>
              <w:rPr>
                <w:rFonts w:ascii="Times New Roman" w:eastAsia="Times New Roman" w:hAnsi="Times New Roman"/>
                <w:sz w:val="20"/>
                <w:szCs w:val="20"/>
                <w:lang w:eastAsia="cs-CZ"/>
              </w:rPr>
            </w:pPr>
          </w:p>
        </w:tc>
        <w:tc>
          <w:tcPr>
            <w:tcW w:w="994" w:type="dxa"/>
            <w:tcBorders>
              <w:top w:val="nil"/>
              <w:left w:val="nil"/>
              <w:bottom w:val="nil"/>
              <w:right w:val="nil"/>
            </w:tcBorders>
            <w:shd w:val="clear" w:color="auto" w:fill="auto"/>
            <w:noWrap/>
            <w:vAlign w:val="bottom"/>
            <w:hideMark/>
          </w:tcPr>
          <w:p w14:paraId="3E86FD67" w14:textId="77777777" w:rsidR="007A4D7A" w:rsidRPr="00A00187" w:rsidRDefault="007A4D7A" w:rsidP="007A4D7A">
            <w:pPr>
              <w:spacing w:line="240" w:lineRule="auto"/>
              <w:jc w:val="left"/>
              <w:rPr>
                <w:rFonts w:ascii="Times New Roman" w:eastAsia="Times New Roman" w:hAnsi="Times New Roman"/>
                <w:sz w:val="20"/>
                <w:szCs w:val="20"/>
                <w:lang w:eastAsia="cs-CZ"/>
              </w:rPr>
            </w:pPr>
          </w:p>
        </w:tc>
        <w:tc>
          <w:tcPr>
            <w:tcW w:w="1048" w:type="dxa"/>
            <w:tcBorders>
              <w:top w:val="nil"/>
              <w:left w:val="nil"/>
              <w:bottom w:val="nil"/>
              <w:right w:val="nil"/>
            </w:tcBorders>
            <w:shd w:val="clear" w:color="auto" w:fill="auto"/>
            <w:noWrap/>
            <w:vAlign w:val="bottom"/>
            <w:hideMark/>
          </w:tcPr>
          <w:p w14:paraId="5BB41EC6" w14:textId="77777777" w:rsidR="007A4D7A" w:rsidRPr="00A00187" w:rsidRDefault="007A4D7A" w:rsidP="00641DB9">
            <w:pPr>
              <w:spacing w:line="240" w:lineRule="auto"/>
              <w:jc w:val="center"/>
              <w:rPr>
                <w:rFonts w:ascii="Times New Roman" w:eastAsia="Times New Roman" w:hAnsi="Times New Roman"/>
                <w:sz w:val="20"/>
                <w:szCs w:val="20"/>
                <w:lang w:eastAsia="cs-CZ"/>
              </w:rPr>
            </w:pPr>
          </w:p>
        </w:tc>
      </w:tr>
    </w:tbl>
    <w:p w14:paraId="1D729EDC" w14:textId="4B00A71B" w:rsidR="007A4D7A" w:rsidRPr="00A00187" w:rsidRDefault="007A4D7A" w:rsidP="007A4D7A">
      <w:r w:rsidRPr="00A00187">
        <w:t xml:space="preserve">Oproti předchozímu roku klesl počet soudců na úseku </w:t>
      </w:r>
      <w:r w:rsidR="00755920" w:rsidRPr="00A00187">
        <w:t>z</w:t>
      </w:r>
      <w:r w:rsidR="00755920">
        <w:t> </w:t>
      </w:r>
      <w:r w:rsidRPr="00A00187">
        <w:t>94 na 85,1, a to především v důsledku poklesu u KS v Ostravě, kd</w:t>
      </w:r>
      <w:r w:rsidR="008E36CF" w:rsidRPr="00A00187">
        <w:t>e</w:t>
      </w:r>
      <w:r w:rsidRPr="00A00187">
        <w:t xml:space="preserve"> počet soudců klesl na úroveň roku 2019. To se </w:t>
      </w:r>
      <w:r w:rsidR="00755920" w:rsidRPr="00A00187">
        <w:t>u</w:t>
      </w:r>
      <w:r w:rsidR="00755920">
        <w:t> </w:t>
      </w:r>
      <w:r w:rsidRPr="00A00187">
        <w:t xml:space="preserve">daného soudu výrazně projevilo v přepočtu na soudce. U tohoto soudu proto vidíme velký nárůst sledovaných ukazatelů. </w:t>
      </w:r>
      <w:r w:rsidR="00384EAA" w:rsidRPr="00A00187">
        <w:t xml:space="preserve">Vzhledem </w:t>
      </w:r>
      <w:r w:rsidR="00755920" w:rsidRPr="00A00187">
        <w:t>k</w:t>
      </w:r>
      <w:r w:rsidR="00755920">
        <w:t> </w:t>
      </w:r>
      <w:r w:rsidRPr="00A00187">
        <w:t xml:space="preserve">poklesu v celkovém počtu nevyřízených věcí </w:t>
      </w:r>
      <w:r w:rsidR="00D06BC8" w:rsidRPr="00A00187">
        <w:t>došlo</w:t>
      </w:r>
      <w:r w:rsidRPr="00A00187">
        <w:t xml:space="preserve"> celkově k poklesu </w:t>
      </w:r>
      <w:r w:rsidR="00D06BC8" w:rsidRPr="00A00187">
        <w:t>i</w:t>
      </w:r>
      <w:r w:rsidR="00641DB9">
        <w:t> </w:t>
      </w:r>
      <w:r w:rsidRPr="00A00187">
        <w:t>v počtu nevyřízených věcí na soudce</w:t>
      </w:r>
      <w:r w:rsidR="00384EAA" w:rsidRPr="00A00187">
        <w:t>.</w:t>
      </w:r>
      <w:r w:rsidR="000F0C35" w:rsidRPr="00A00187">
        <w:t xml:space="preserve"> Zároveň je ale namístě dodat, že</w:t>
      </w:r>
      <w:r w:rsidR="00644A46" w:rsidRPr="00A00187">
        <w:t xml:space="preserve"> se</w:t>
      </w:r>
      <w:r w:rsidR="000F0C35" w:rsidRPr="00A00187">
        <w:t xml:space="preserve"> KS Ostrava</w:t>
      </w:r>
      <w:r w:rsidR="00723A9D" w:rsidRPr="00A00187">
        <w:t xml:space="preserve"> zřejmě</w:t>
      </w:r>
      <w:r w:rsidR="000F0C35" w:rsidRPr="00A00187">
        <w:t xml:space="preserve"> spíš „dotáhl“ ke zbytku republiky, protože má pořád druhý nejnižší nápad věcí na soudce.</w:t>
      </w:r>
    </w:p>
    <w:p w14:paraId="2DB5C84C" w14:textId="77777777" w:rsidR="008E36CF" w:rsidRPr="00A00187" w:rsidRDefault="008E36CF" w:rsidP="007A4D7A"/>
    <w:p w14:paraId="09B9A8B2" w14:textId="18CC7CDC" w:rsidR="007A4D7A" w:rsidRPr="00A00187" w:rsidRDefault="007A4D7A" w:rsidP="007A4D7A">
      <w:r w:rsidRPr="00A00187">
        <w:t xml:space="preserve">Stejně jako u civilní agendy je tedy prvostupňová agenda menší než agenda odvolací. V případě </w:t>
      </w:r>
      <w:r w:rsidR="00D15C10" w:rsidRPr="00A00187">
        <w:t xml:space="preserve">prvostupňové trestní agendy zároveň </w:t>
      </w:r>
      <w:r w:rsidRPr="00A00187">
        <w:t>počty nevyřízených věcí na soudce příliš nekorespondují s výsledky z části o délkách řízení</w:t>
      </w:r>
      <w:r w:rsidR="00D15C10" w:rsidRPr="00A00187">
        <w:t>. Tuto výjimečnou situaci</w:t>
      </w:r>
      <w:r w:rsidRPr="00A00187">
        <w:t xml:space="preserve"> lze přisuzovat malému počtu věcí, malému počtu soudců, a tedy tendenci k velkým výkyvům v datech. Mezi soudy jsou nemalé rozdíly v počtu příchozích a vyřízených věcí na soudce, což opět plyne hlavně z velikosti agendy a případných personálních oslabení soudů.</w:t>
      </w:r>
    </w:p>
    <w:p w14:paraId="0CF9D734" w14:textId="115D2D1A" w:rsidR="008430BD" w:rsidRPr="00A00187" w:rsidRDefault="008430BD" w:rsidP="008430BD">
      <w:pPr>
        <w:pStyle w:val="Nadpis3"/>
        <w:numPr>
          <w:ilvl w:val="2"/>
          <w:numId w:val="1"/>
        </w:numPr>
        <w:rPr>
          <w:color w:val="auto"/>
        </w:rPr>
      </w:pPr>
      <w:bookmarkStart w:id="759" w:name="_Toc43903068"/>
      <w:bookmarkStart w:id="760" w:name="_Toc106092767"/>
      <w:bookmarkStart w:id="761" w:name="_Toc109801378"/>
      <w:proofErr w:type="spellStart"/>
      <w:r w:rsidRPr="00A00187">
        <w:rPr>
          <w:color w:val="auto"/>
        </w:rPr>
        <w:t>Disposition</w:t>
      </w:r>
      <w:proofErr w:type="spellEnd"/>
      <w:r w:rsidRPr="00A00187">
        <w:rPr>
          <w:color w:val="auto"/>
        </w:rPr>
        <w:t xml:space="preserve"> </w:t>
      </w:r>
      <w:proofErr w:type="spellStart"/>
      <w:r w:rsidRPr="00A00187">
        <w:rPr>
          <w:color w:val="auto"/>
        </w:rPr>
        <w:t>time</w:t>
      </w:r>
      <w:bookmarkEnd w:id="759"/>
      <w:proofErr w:type="spellEnd"/>
      <w:r w:rsidRPr="00A00187">
        <w:rPr>
          <w:color w:val="auto"/>
        </w:rPr>
        <w:t xml:space="preserve"> (dispoziční čas)</w:t>
      </w:r>
      <w:bookmarkEnd w:id="760"/>
      <w:bookmarkEnd w:id="761"/>
    </w:p>
    <w:p w14:paraId="669BB73B" w14:textId="3416D865" w:rsidR="006D3F5F" w:rsidRPr="00A00187" w:rsidRDefault="00D06BC8" w:rsidP="006D3F5F">
      <w:pPr>
        <w:pStyle w:val="OdstavecASR"/>
      </w:pPr>
      <w:r w:rsidRPr="00A00187">
        <w:t>Pozorujeme</w:t>
      </w:r>
      <w:r w:rsidR="006D3F5F" w:rsidRPr="00A00187">
        <w:t>, že DT od roku 2011 do roku 2016 vykazoval rostoucí trend, což plynulo z postupného růstu počtu nevyřízených věcí. Teprve v roce 2017 klesl počet nevyřízených věcí</w:t>
      </w:r>
      <w:r w:rsidRPr="00A00187">
        <w:t>,</w:t>
      </w:r>
      <w:r w:rsidR="006D3F5F" w:rsidRPr="00A00187">
        <w:t xml:space="preserve"> a tedy i </w:t>
      </w:r>
      <w:proofErr w:type="spellStart"/>
      <w:r w:rsidR="006D3F5F" w:rsidRPr="00A00187">
        <w:t>disposition</w:t>
      </w:r>
      <w:proofErr w:type="spellEnd"/>
      <w:r w:rsidR="006D3F5F" w:rsidRPr="00A00187">
        <w:t xml:space="preserve"> </w:t>
      </w:r>
      <w:proofErr w:type="spellStart"/>
      <w:r w:rsidR="006D3F5F" w:rsidRPr="00A00187">
        <w:t>time</w:t>
      </w:r>
      <w:proofErr w:type="spellEnd"/>
      <w:r w:rsidR="006D3F5F" w:rsidRPr="00A00187">
        <w:t>. V roce 2020 však DT dosáhl nejvyšší hodnoty za posledních 10</w:t>
      </w:r>
      <w:r w:rsidR="00641DB9">
        <w:t> </w:t>
      </w:r>
      <w:r w:rsidR="006D3F5F" w:rsidRPr="00A00187">
        <w:t>let (třebaže ne výrazně), a to v důsledku poklesu počtu vyřízených věcí v posledních dvou letech. Když se tedy podíváme na celou časovou řadu, vidíme, že od roku 2013 vykazoval DT jasný rostoucí trend, když narostl ze 197 na 235. V roce 2021 došlo k významnému poklesu</w:t>
      </w:r>
      <w:r w:rsidR="00577F29" w:rsidRPr="00A00187">
        <w:t xml:space="preserve"> (</w:t>
      </w:r>
      <w:r w:rsidR="00755920" w:rsidRPr="00A00187">
        <w:t>o</w:t>
      </w:r>
      <w:r w:rsidR="00755920">
        <w:t> </w:t>
      </w:r>
      <w:r w:rsidR="00577F29" w:rsidRPr="00A00187">
        <w:t>16</w:t>
      </w:r>
      <w:r w:rsidR="00CB570A">
        <w:t> %</w:t>
      </w:r>
      <w:r w:rsidR="00577F29" w:rsidRPr="00A00187">
        <w:t>), což plyne z výše diskutovaného poklesu v počtu nevyřízených věcí</w:t>
      </w:r>
      <w:r w:rsidR="00D15C10" w:rsidRPr="00A00187">
        <w:t xml:space="preserve">, který </w:t>
      </w:r>
      <w:r w:rsidR="00577F29" w:rsidRPr="00A00187">
        <w:t>je zřejmě spojen s poklesem v počtu věcí příchozích. DT tak klesl na úroveň</w:t>
      </w:r>
      <w:r w:rsidR="004732B9">
        <w:t xml:space="preserve"> </w:t>
      </w:r>
      <w:r w:rsidR="00577F29" w:rsidRPr="00A00187">
        <w:t>roku 2013.</w:t>
      </w:r>
    </w:p>
    <w:p w14:paraId="7ED146CB" w14:textId="057DD627" w:rsidR="006D3F5F" w:rsidRPr="00A00187" w:rsidRDefault="006D3F5F" w:rsidP="006D3F5F">
      <w:pPr>
        <w:pStyle w:val="Podnadpis"/>
        <w:numPr>
          <w:ilvl w:val="0"/>
          <w:numId w:val="0"/>
        </w:numPr>
        <w:rPr>
          <w:color w:val="auto"/>
        </w:rPr>
      </w:pPr>
      <w:bookmarkStart w:id="762" w:name="_Toc515871392"/>
      <w:bookmarkStart w:id="763" w:name="_Toc11135123"/>
      <w:bookmarkStart w:id="764" w:name="_Toc43841441"/>
      <w:bookmarkStart w:id="765" w:name="_Toc75952244"/>
      <w:bookmarkStart w:id="766" w:name="_Toc106106701"/>
      <w:bookmarkStart w:id="767" w:name="_Toc109802025"/>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67</w:t>
      </w:r>
      <w:r w:rsidRPr="00A00187">
        <w:rPr>
          <w:noProof/>
          <w:color w:val="auto"/>
        </w:rPr>
        <w:fldChar w:fldCharType="end"/>
      </w:r>
      <w:r w:rsidRPr="00A00187">
        <w:rPr>
          <w:color w:val="auto"/>
        </w:rPr>
        <w:t>: KS – DT prvostupňového trestního řízení v letech 2008–20</w:t>
      </w:r>
      <w:bookmarkEnd w:id="762"/>
      <w:bookmarkEnd w:id="763"/>
      <w:bookmarkEnd w:id="764"/>
      <w:r w:rsidRPr="00A00187">
        <w:rPr>
          <w:color w:val="auto"/>
        </w:rPr>
        <w:t>2</w:t>
      </w:r>
      <w:bookmarkEnd w:id="765"/>
      <w:r w:rsidRPr="00A00187">
        <w:rPr>
          <w:color w:val="auto"/>
        </w:rPr>
        <w:t>1</w:t>
      </w:r>
      <w:bookmarkEnd w:id="766"/>
      <w:bookmarkEnd w:id="767"/>
    </w:p>
    <w:p w14:paraId="64ABCB17" w14:textId="69E13A8B" w:rsidR="006D3F5F" w:rsidRPr="00A00187" w:rsidRDefault="006D3F5F" w:rsidP="006D3F5F">
      <w:r w:rsidRPr="00A00187">
        <w:rPr>
          <w:noProof/>
        </w:rPr>
        <w:drawing>
          <wp:inline distT="0" distB="0" distL="0" distR="0" wp14:anchorId="2D09B0D3" wp14:editId="53C3DCAA">
            <wp:extent cx="5025390" cy="3657600"/>
            <wp:effectExtent l="0" t="0" r="381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4941A18F" w14:textId="77777777" w:rsidR="006D3F5F" w:rsidRPr="00A00187" w:rsidRDefault="006D3F5F">
      <w:pPr>
        <w:spacing w:after="160" w:line="259" w:lineRule="auto"/>
        <w:jc w:val="left"/>
      </w:pPr>
    </w:p>
    <w:p w14:paraId="75DFB5F3" w14:textId="500DD845" w:rsidR="006D3F5F" w:rsidRPr="00A00187" w:rsidRDefault="006D3F5F" w:rsidP="006D3F5F">
      <w:pPr>
        <w:pStyle w:val="Podnadpis"/>
        <w:rPr>
          <w:color w:val="auto"/>
        </w:rPr>
      </w:pPr>
      <w:bookmarkStart w:id="768" w:name="_Toc515871481"/>
      <w:bookmarkStart w:id="769" w:name="_Toc11133249"/>
      <w:bookmarkStart w:id="770" w:name="_Toc43931228"/>
      <w:bookmarkStart w:id="771" w:name="_Toc75952361"/>
      <w:bookmarkStart w:id="772" w:name="_Toc106106817"/>
      <w:bookmarkStart w:id="773" w:name="_Toc109802140"/>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55</w:t>
      </w:r>
      <w:r w:rsidRPr="00A00187">
        <w:rPr>
          <w:noProof/>
          <w:color w:val="auto"/>
        </w:rPr>
        <w:fldChar w:fldCharType="end"/>
      </w:r>
      <w:r w:rsidRPr="00A00187">
        <w:rPr>
          <w:color w:val="auto"/>
        </w:rPr>
        <w:t>: KS – DT v prvostupňovém trestním řízení dle soudů</w:t>
      </w:r>
      <w:bookmarkEnd w:id="768"/>
      <w:bookmarkEnd w:id="769"/>
      <w:bookmarkEnd w:id="770"/>
      <w:bookmarkEnd w:id="771"/>
      <w:bookmarkEnd w:id="772"/>
      <w:bookmarkEnd w:id="773"/>
    </w:p>
    <w:tbl>
      <w:tblPr>
        <w:tblW w:w="5992" w:type="dxa"/>
        <w:tblCellMar>
          <w:left w:w="70" w:type="dxa"/>
          <w:right w:w="70" w:type="dxa"/>
        </w:tblCellMar>
        <w:tblLook w:val="04A0" w:firstRow="1" w:lastRow="0" w:firstColumn="1" w:lastColumn="0" w:noHBand="0" w:noVBand="1"/>
      </w:tblPr>
      <w:tblGrid>
        <w:gridCol w:w="2796"/>
        <w:gridCol w:w="1236"/>
        <w:gridCol w:w="1960"/>
      </w:tblGrid>
      <w:tr w:rsidR="00AC1E67" w:rsidRPr="00A00187" w14:paraId="7E7D118A" w14:textId="77777777" w:rsidTr="006D3F5F">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17EE5DDF" w14:textId="77777777" w:rsidR="006D3F5F" w:rsidRPr="00A00187" w:rsidRDefault="006D3F5F" w:rsidP="006D3F5F">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196" w:type="dxa"/>
            <w:gridSpan w:val="2"/>
            <w:tcBorders>
              <w:top w:val="double" w:sz="6" w:space="0" w:color="auto"/>
              <w:left w:val="nil"/>
              <w:bottom w:val="double" w:sz="6" w:space="0" w:color="auto"/>
              <w:right w:val="nil"/>
            </w:tcBorders>
            <w:shd w:val="clear" w:color="auto" w:fill="auto"/>
            <w:noWrap/>
            <w:vAlign w:val="center"/>
            <w:hideMark/>
          </w:tcPr>
          <w:p w14:paraId="2E93FDD1" w14:textId="77777777" w:rsidR="006D3F5F" w:rsidRPr="00A00187" w:rsidRDefault="006D3F5F" w:rsidP="006D3F5F">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638F5BBC" w14:textId="77777777" w:rsidTr="006D3F5F">
        <w:trPr>
          <w:trHeight w:val="330"/>
        </w:trPr>
        <w:tc>
          <w:tcPr>
            <w:tcW w:w="2796" w:type="dxa"/>
            <w:tcBorders>
              <w:top w:val="nil"/>
              <w:left w:val="nil"/>
              <w:bottom w:val="single" w:sz="4" w:space="0" w:color="auto"/>
              <w:right w:val="nil"/>
            </w:tcBorders>
            <w:shd w:val="clear" w:color="auto" w:fill="auto"/>
            <w:noWrap/>
            <w:vAlign w:val="bottom"/>
            <w:hideMark/>
          </w:tcPr>
          <w:p w14:paraId="1F16DA70"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MS Praha</w:t>
            </w:r>
          </w:p>
        </w:tc>
        <w:tc>
          <w:tcPr>
            <w:tcW w:w="1236" w:type="dxa"/>
            <w:tcBorders>
              <w:top w:val="nil"/>
              <w:left w:val="nil"/>
              <w:bottom w:val="single" w:sz="4" w:space="0" w:color="auto"/>
              <w:right w:val="nil"/>
            </w:tcBorders>
            <w:shd w:val="clear" w:color="auto" w:fill="auto"/>
            <w:noWrap/>
            <w:vAlign w:val="bottom"/>
            <w:hideMark/>
          </w:tcPr>
          <w:p w14:paraId="4AC6C58A"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218</w:t>
            </w:r>
          </w:p>
        </w:tc>
        <w:tc>
          <w:tcPr>
            <w:tcW w:w="1960" w:type="dxa"/>
            <w:tcBorders>
              <w:top w:val="nil"/>
              <w:left w:val="nil"/>
              <w:bottom w:val="single" w:sz="4" w:space="0" w:color="auto"/>
              <w:right w:val="nil"/>
            </w:tcBorders>
            <w:shd w:val="clear" w:color="auto" w:fill="auto"/>
            <w:noWrap/>
            <w:vAlign w:val="center"/>
            <w:hideMark/>
          </w:tcPr>
          <w:p w14:paraId="46952A94" w14:textId="37DF7B89"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5BD85AB0" w14:textId="77777777" w:rsidTr="006D3F5F">
        <w:trPr>
          <w:trHeight w:val="315"/>
        </w:trPr>
        <w:tc>
          <w:tcPr>
            <w:tcW w:w="2796" w:type="dxa"/>
            <w:tcBorders>
              <w:top w:val="nil"/>
              <w:left w:val="nil"/>
              <w:bottom w:val="single" w:sz="4" w:space="0" w:color="auto"/>
              <w:right w:val="nil"/>
            </w:tcBorders>
            <w:shd w:val="clear" w:color="auto" w:fill="auto"/>
            <w:noWrap/>
            <w:vAlign w:val="bottom"/>
            <w:hideMark/>
          </w:tcPr>
          <w:p w14:paraId="0DBF31B0"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KS Praha</w:t>
            </w:r>
          </w:p>
        </w:tc>
        <w:tc>
          <w:tcPr>
            <w:tcW w:w="1236" w:type="dxa"/>
            <w:tcBorders>
              <w:top w:val="nil"/>
              <w:left w:val="nil"/>
              <w:bottom w:val="single" w:sz="4" w:space="0" w:color="auto"/>
              <w:right w:val="nil"/>
            </w:tcBorders>
            <w:shd w:val="clear" w:color="auto" w:fill="auto"/>
            <w:noWrap/>
            <w:vAlign w:val="bottom"/>
            <w:hideMark/>
          </w:tcPr>
          <w:p w14:paraId="7AE1E01C"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136</w:t>
            </w:r>
          </w:p>
        </w:tc>
        <w:tc>
          <w:tcPr>
            <w:tcW w:w="1960" w:type="dxa"/>
            <w:tcBorders>
              <w:top w:val="nil"/>
              <w:left w:val="nil"/>
              <w:bottom w:val="single" w:sz="4" w:space="0" w:color="auto"/>
              <w:right w:val="nil"/>
            </w:tcBorders>
            <w:shd w:val="clear" w:color="auto" w:fill="auto"/>
            <w:noWrap/>
            <w:vAlign w:val="center"/>
            <w:hideMark/>
          </w:tcPr>
          <w:p w14:paraId="465F94B2" w14:textId="13931914"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r>
      <w:tr w:rsidR="00AC1E67" w:rsidRPr="00A00187" w14:paraId="6238C0B7" w14:textId="77777777" w:rsidTr="006D3F5F">
        <w:trPr>
          <w:trHeight w:val="315"/>
        </w:trPr>
        <w:tc>
          <w:tcPr>
            <w:tcW w:w="2796" w:type="dxa"/>
            <w:tcBorders>
              <w:top w:val="nil"/>
              <w:left w:val="nil"/>
              <w:bottom w:val="single" w:sz="4" w:space="0" w:color="auto"/>
              <w:right w:val="nil"/>
            </w:tcBorders>
            <w:shd w:val="clear" w:color="auto" w:fill="auto"/>
            <w:noWrap/>
            <w:vAlign w:val="bottom"/>
            <w:hideMark/>
          </w:tcPr>
          <w:p w14:paraId="161BEC9B"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KS Č. Budějovice</w:t>
            </w:r>
          </w:p>
        </w:tc>
        <w:tc>
          <w:tcPr>
            <w:tcW w:w="1236" w:type="dxa"/>
            <w:tcBorders>
              <w:top w:val="nil"/>
              <w:left w:val="nil"/>
              <w:bottom w:val="single" w:sz="4" w:space="0" w:color="auto"/>
              <w:right w:val="nil"/>
            </w:tcBorders>
            <w:shd w:val="clear" w:color="auto" w:fill="auto"/>
            <w:noWrap/>
            <w:vAlign w:val="bottom"/>
            <w:hideMark/>
          </w:tcPr>
          <w:p w14:paraId="4850A18B"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191</w:t>
            </w:r>
          </w:p>
        </w:tc>
        <w:tc>
          <w:tcPr>
            <w:tcW w:w="1960" w:type="dxa"/>
            <w:tcBorders>
              <w:top w:val="nil"/>
              <w:left w:val="nil"/>
              <w:bottom w:val="single" w:sz="4" w:space="0" w:color="auto"/>
              <w:right w:val="nil"/>
            </w:tcBorders>
            <w:shd w:val="clear" w:color="auto" w:fill="auto"/>
            <w:noWrap/>
            <w:vAlign w:val="center"/>
            <w:hideMark/>
          </w:tcPr>
          <w:p w14:paraId="585223EB" w14:textId="0D35D3BC"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-34</w:t>
            </w:r>
            <w:r w:rsidR="00CB570A">
              <w:rPr>
                <w:rFonts w:eastAsia="Times New Roman"/>
                <w:sz w:val="20"/>
                <w:szCs w:val="20"/>
                <w:lang w:eastAsia="cs-CZ"/>
              </w:rPr>
              <w:t> %</w:t>
            </w:r>
          </w:p>
        </w:tc>
      </w:tr>
      <w:tr w:rsidR="00AC1E67" w:rsidRPr="00A00187" w14:paraId="44295BE2" w14:textId="77777777" w:rsidTr="006D3F5F">
        <w:trPr>
          <w:trHeight w:val="315"/>
        </w:trPr>
        <w:tc>
          <w:tcPr>
            <w:tcW w:w="2796" w:type="dxa"/>
            <w:tcBorders>
              <w:top w:val="nil"/>
              <w:left w:val="nil"/>
              <w:bottom w:val="single" w:sz="4" w:space="0" w:color="auto"/>
              <w:right w:val="nil"/>
            </w:tcBorders>
            <w:shd w:val="clear" w:color="auto" w:fill="auto"/>
            <w:noWrap/>
            <w:vAlign w:val="bottom"/>
            <w:hideMark/>
          </w:tcPr>
          <w:p w14:paraId="36461E39"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KS Plzeň</w:t>
            </w:r>
          </w:p>
        </w:tc>
        <w:tc>
          <w:tcPr>
            <w:tcW w:w="1236" w:type="dxa"/>
            <w:tcBorders>
              <w:top w:val="nil"/>
              <w:left w:val="nil"/>
              <w:bottom w:val="single" w:sz="4" w:space="0" w:color="auto"/>
              <w:right w:val="nil"/>
            </w:tcBorders>
            <w:shd w:val="clear" w:color="auto" w:fill="auto"/>
            <w:noWrap/>
            <w:vAlign w:val="bottom"/>
            <w:hideMark/>
          </w:tcPr>
          <w:p w14:paraId="3B024035"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231</w:t>
            </w:r>
          </w:p>
        </w:tc>
        <w:tc>
          <w:tcPr>
            <w:tcW w:w="1960" w:type="dxa"/>
            <w:tcBorders>
              <w:top w:val="nil"/>
              <w:left w:val="nil"/>
              <w:bottom w:val="single" w:sz="4" w:space="0" w:color="auto"/>
              <w:right w:val="nil"/>
            </w:tcBorders>
            <w:shd w:val="clear" w:color="auto" w:fill="auto"/>
            <w:noWrap/>
            <w:vAlign w:val="center"/>
            <w:hideMark/>
          </w:tcPr>
          <w:p w14:paraId="60660060" w14:textId="65088100"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r>
      <w:tr w:rsidR="00AC1E67" w:rsidRPr="00A00187" w14:paraId="3D2A919B" w14:textId="77777777" w:rsidTr="006D3F5F">
        <w:trPr>
          <w:trHeight w:val="315"/>
        </w:trPr>
        <w:tc>
          <w:tcPr>
            <w:tcW w:w="2796" w:type="dxa"/>
            <w:tcBorders>
              <w:top w:val="nil"/>
              <w:left w:val="nil"/>
              <w:bottom w:val="single" w:sz="4" w:space="0" w:color="auto"/>
              <w:right w:val="nil"/>
            </w:tcBorders>
            <w:shd w:val="clear" w:color="auto" w:fill="auto"/>
            <w:noWrap/>
            <w:vAlign w:val="bottom"/>
            <w:hideMark/>
          </w:tcPr>
          <w:p w14:paraId="01B6D45B"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KS Ústí n. Labem</w:t>
            </w:r>
          </w:p>
        </w:tc>
        <w:tc>
          <w:tcPr>
            <w:tcW w:w="1236" w:type="dxa"/>
            <w:tcBorders>
              <w:top w:val="nil"/>
              <w:left w:val="nil"/>
              <w:bottom w:val="single" w:sz="4" w:space="0" w:color="auto"/>
              <w:right w:val="nil"/>
            </w:tcBorders>
            <w:shd w:val="clear" w:color="auto" w:fill="auto"/>
            <w:noWrap/>
            <w:vAlign w:val="bottom"/>
            <w:hideMark/>
          </w:tcPr>
          <w:p w14:paraId="5DFD6612"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232</w:t>
            </w:r>
          </w:p>
        </w:tc>
        <w:tc>
          <w:tcPr>
            <w:tcW w:w="1960" w:type="dxa"/>
            <w:tcBorders>
              <w:top w:val="nil"/>
              <w:left w:val="nil"/>
              <w:bottom w:val="single" w:sz="4" w:space="0" w:color="auto"/>
              <w:right w:val="nil"/>
            </w:tcBorders>
            <w:shd w:val="clear" w:color="auto" w:fill="auto"/>
            <w:noWrap/>
            <w:vAlign w:val="center"/>
            <w:hideMark/>
          </w:tcPr>
          <w:p w14:paraId="5D41B787" w14:textId="1249D590"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-30</w:t>
            </w:r>
            <w:r w:rsidR="00CB570A">
              <w:rPr>
                <w:rFonts w:eastAsia="Times New Roman"/>
                <w:sz w:val="20"/>
                <w:szCs w:val="20"/>
                <w:lang w:eastAsia="cs-CZ"/>
              </w:rPr>
              <w:t> %</w:t>
            </w:r>
          </w:p>
        </w:tc>
      </w:tr>
      <w:tr w:rsidR="00AC1E67" w:rsidRPr="00A00187" w14:paraId="65AB0DC4" w14:textId="77777777" w:rsidTr="006D3F5F">
        <w:trPr>
          <w:trHeight w:val="315"/>
        </w:trPr>
        <w:tc>
          <w:tcPr>
            <w:tcW w:w="2796" w:type="dxa"/>
            <w:tcBorders>
              <w:top w:val="nil"/>
              <w:left w:val="nil"/>
              <w:bottom w:val="single" w:sz="4" w:space="0" w:color="auto"/>
              <w:right w:val="nil"/>
            </w:tcBorders>
            <w:shd w:val="clear" w:color="auto" w:fill="auto"/>
            <w:noWrap/>
            <w:vAlign w:val="bottom"/>
            <w:hideMark/>
          </w:tcPr>
          <w:p w14:paraId="2520BFCD"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KS Hr. Králové</w:t>
            </w:r>
          </w:p>
        </w:tc>
        <w:tc>
          <w:tcPr>
            <w:tcW w:w="1236" w:type="dxa"/>
            <w:tcBorders>
              <w:top w:val="nil"/>
              <w:left w:val="nil"/>
              <w:bottom w:val="single" w:sz="4" w:space="0" w:color="auto"/>
              <w:right w:val="nil"/>
            </w:tcBorders>
            <w:shd w:val="clear" w:color="auto" w:fill="auto"/>
            <w:noWrap/>
            <w:vAlign w:val="bottom"/>
            <w:hideMark/>
          </w:tcPr>
          <w:p w14:paraId="746AE2CD"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119</w:t>
            </w:r>
          </w:p>
        </w:tc>
        <w:tc>
          <w:tcPr>
            <w:tcW w:w="1960" w:type="dxa"/>
            <w:tcBorders>
              <w:top w:val="nil"/>
              <w:left w:val="nil"/>
              <w:bottom w:val="single" w:sz="4" w:space="0" w:color="auto"/>
              <w:right w:val="nil"/>
            </w:tcBorders>
            <w:shd w:val="clear" w:color="auto" w:fill="auto"/>
            <w:noWrap/>
            <w:vAlign w:val="center"/>
            <w:hideMark/>
          </w:tcPr>
          <w:p w14:paraId="438BCFAE" w14:textId="3592B2C1"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69C44E25" w14:textId="77777777" w:rsidTr="006D3F5F">
        <w:trPr>
          <w:trHeight w:val="315"/>
        </w:trPr>
        <w:tc>
          <w:tcPr>
            <w:tcW w:w="2796" w:type="dxa"/>
            <w:tcBorders>
              <w:top w:val="nil"/>
              <w:left w:val="nil"/>
              <w:bottom w:val="single" w:sz="4" w:space="0" w:color="auto"/>
              <w:right w:val="nil"/>
            </w:tcBorders>
            <w:shd w:val="clear" w:color="auto" w:fill="auto"/>
            <w:noWrap/>
            <w:vAlign w:val="bottom"/>
            <w:hideMark/>
          </w:tcPr>
          <w:p w14:paraId="6E3C03F3"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KS Brno</w:t>
            </w:r>
          </w:p>
        </w:tc>
        <w:tc>
          <w:tcPr>
            <w:tcW w:w="1236" w:type="dxa"/>
            <w:tcBorders>
              <w:top w:val="nil"/>
              <w:left w:val="nil"/>
              <w:bottom w:val="single" w:sz="4" w:space="0" w:color="auto"/>
              <w:right w:val="nil"/>
            </w:tcBorders>
            <w:shd w:val="clear" w:color="auto" w:fill="auto"/>
            <w:noWrap/>
            <w:vAlign w:val="bottom"/>
            <w:hideMark/>
          </w:tcPr>
          <w:p w14:paraId="0F7062C3"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159</w:t>
            </w:r>
          </w:p>
        </w:tc>
        <w:tc>
          <w:tcPr>
            <w:tcW w:w="1960" w:type="dxa"/>
            <w:tcBorders>
              <w:top w:val="nil"/>
              <w:left w:val="nil"/>
              <w:bottom w:val="single" w:sz="4" w:space="0" w:color="auto"/>
              <w:right w:val="nil"/>
            </w:tcBorders>
            <w:shd w:val="clear" w:color="auto" w:fill="auto"/>
            <w:noWrap/>
            <w:vAlign w:val="center"/>
            <w:hideMark/>
          </w:tcPr>
          <w:p w14:paraId="65899274" w14:textId="57E06DDA"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-26</w:t>
            </w:r>
            <w:r w:rsidR="00CB570A">
              <w:rPr>
                <w:rFonts w:eastAsia="Times New Roman"/>
                <w:sz w:val="20"/>
                <w:szCs w:val="20"/>
                <w:lang w:eastAsia="cs-CZ"/>
              </w:rPr>
              <w:t> %</w:t>
            </w:r>
          </w:p>
        </w:tc>
      </w:tr>
      <w:tr w:rsidR="00AC1E67" w:rsidRPr="00A00187" w14:paraId="091520D7" w14:textId="77777777" w:rsidTr="006D3F5F">
        <w:trPr>
          <w:trHeight w:val="330"/>
        </w:trPr>
        <w:tc>
          <w:tcPr>
            <w:tcW w:w="2796" w:type="dxa"/>
            <w:tcBorders>
              <w:top w:val="nil"/>
              <w:left w:val="nil"/>
              <w:bottom w:val="double" w:sz="6" w:space="0" w:color="auto"/>
              <w:right w:val="nil"/>
            </w:tcBorders>
            <w:shd w:val="clear" w:color="auto" w:fill="auto"/>
            <w:noWrap/>
            <w:vAlign w:val="bottom"/>
            <w:hideMark/>
          </w:tcPr>
          <w:p w14:paraId="2AF6D1C3" w14:textId="77777777" w:rsidR="006D3F5F" w:rsidRPr="00A00187" w:rsidRDefault="006D3F5F" w:rsidP="006D3F5F">
            <w:pPr>
              <w:spacing w:line="240" w:lineRule="auto"/>
              <w:jc w:val="left"/>
              <w:rPr>
                <w:rFonts w:eastAsia="Times New Roman"/>
                <w:szCs w:val="24"/>
                <w:lang w:eastAsia="cs-CZ"/>
              </w:rPr>
            </w:pPr>
            <w:r w:rsidRPr="00A00187">
              <w:rPr>
                <w:rFonts w:eastAsia="Times New Roman"/>
                <w:szCs w:val="24"/>
                <w:lang w:eastAsia="cs-CZ"/>
              </w:rPr>
              <w:t>KS Ostrava</w:t>
            </w:r>
          </w:p>
        </w:tc>
        <w:tc>
          <w:tcPr>
            <w:tcW w:w="1236" w:type="dxa"/>
            <w:tcBorders>
              <w:top w:val="nil"/>
              <w:left w:val="nil"/>
              <w:bottom w:val="double" w:sz="6" w:space="0" w:color="auto"/>
              <w:right w:val="nil"/>
            </w:tcBorders>
            <w:shd w:val="clear" w:color="auto" w:fill="auto"/>
            <w:noWrap/>
            <w:vAlign w:val="bottom"/>
            <w:hideMark/>
          </w:tcPr>
          <w:p w14:paraId="59D9E407" w14:textId="77777777" w:rsidR="006D3F5F" w:rsidRPr="00A00187" w:rsidRDefault="006D3F5F" w:rsidP="006D3F5F">
            <w:pPr>
              <w:spacing w:line="240" w:lineRule="auto"/>
              <w:jc w:val="center"/>
              <w:rPr>
                <w:rFonts w:eastAsia="Times New Roman"/>
                <w:szCs w:val="24"/>
                <w:lang w:eastAsia="cs-CZ"/>
              </w:rPr>
            </w:pPr>
            <w:r w:rsidRPr="00A00187">
              <w:rPr>
                <w:rFonts w:eastAsia="Times New Roman"/>
                <w:szCs w:val="24"/>
                <w:lang w:eastAsia="cs-CZ"/>
              </w:rPr>
              <w:t>233</w:t>
            </w:r>
          </w:p>
        </w:tc>
        <w:tc>
          <w:tcPr>
            <w:tcW w:w="1960" w:type="dxa"/>
            <w:tcBorders>
              <w:top w:val="nil"/>
              <w:left w:val="nil"/>
              <w:bottom w:val="double" w:sz="6" w:space="0" w:color="auto"/>
              <w:right w:val="nil"/>
            </w:tcBorders>
            <w:shd w:val="clear" w:color="auto" w:fill="auto"/>
            <w:noWrap/>
            <w:vAlign w:val="center"/>
            <w:hideMark/>
          </w:tcPr>
          <w:p w14:paraId="170DD79B" w14:textId="57E338EF" w:rsidR="006D3F5F" w:rsidRPr="00A00187" w:rsidRDefault="006D3F5F"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r>
      <w:tr w:rsidR="00AC1E67" w:rsidRPr="00A00187" w14:paraId="2657673F" w14:textId="77777777" w:rsidTr="006D3F5F">
        <w:trPr>
          <w:trHeight w:val="345"/>
        </w:trPr>
        <w:tc>
          <w:tcPr>
            <w:tcW w:w="2796" w:type="dxa"/>
            <w:tcBorders>
              <w:top w:val="nil"/>
              <w:left w:val="nil"/>
              <w:bottom w:val="double" w:sz="6" w:space="0" w:color="auto"/>
              <w:right w:val="nil"/>
            </w:tcBorders>
            <w:shd w:val="clear" w:color="auto" w:fill="auto"/>
            <w:noWrap/>
            <w:vAlign w:val="bottom"/>
            <w:hideMark/>
          </w:tcPr>
          <w:p w14:paraId="0A998F2E" w14:textId="77777777" w:rsidR="006D3F5F" w:rsidRPr="00A00187" w:rsidRDefault="006D3F5F" w:rsidP="006D3F5F">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236" w:type="dxa"/>
            <w:tcBorders>
              <w:top w:val="nil"/>
              <w:left w:val="nil"/>
              <w:bottom w:val="double" w:sz="6" w:space="0" w:color="auto"/>
              <w:right w:val="nil"/>
            </w:tcBorders>
            <w:shd w:val="clear" w:color="auto" w:fill="auto"/>
            <w:noWrap/>
            <w:vAlign w:val="bottom"/>
            <w:hideMark/>
          </w:tcPr>
          <w:p w14:paraId="40169E98" w14:textId="77777777" w:rsidR="006D3F5F" w:rsidRPr="00A00187" w:rsidRDefault="006D3F5F" w:rsidP="006D3F5F">
            <w:pPr>
              <w:spacing w:line="240" w:lineRule="auto"/>
              <w:jc w:val="center"/>
              <w:rPr>
                <w:rFonts w:eastAsia="Times New Roman"/>
                <w:b/>
                <w:bCs/>
                <w:szCs w:val="24"/>
                <w:lang w:eastAsia="cs-CZ"/>
              </w:rPr>
            </w:pPr>
            <w:r w:rsidRPr="00A00187">
              <w:rPr>
                <w:rFonts w:eastAsia="Times New Roman"/>
                <w:b/>
                <w:bCs/>
                <w:szCs w:val="24"/>
                <w:lang w:eastAsia="cs-CZ"/>
              </w:rPr>
              <w:t>197</w:t>
            </w:r>
          </w:p>
        </w:tc>
        <w:tc>
          <w:tcPr>
            <w:tcW w:w="1960" w:type="dxa"/>
            <w:tcBorders>
              <w:top w:val="nil"/>
              <w:left w:val="nil"/>
              <w:bottom w:val="double" w:sz="6" w:space="0" w:color="auto"/>
              <w:right w:val="nil"/>
            </w:tcBorders>
            <w:shd w:val="clear" w:color="auto" w:fill="auto"/>
            <w:noWrap/>
            <w:vAlign w:val="center"/>
            <w:hideMark/>
          </w:tcPr>
          <w:p w14:paraId="3ECF009D" w14:textId="430C0283" w:rsidR="006D3F5F" w:rsidRPr="00A00187" w:rsidRDefault="006D3F5F"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r>
      <w:tr w:rsidR="00AC1E67" w:rsidRPr="00A00187" w14:paraId="550C1EF1" w14:textId="77777777" w:rsidTr="006D3F5F">
        <w:trPr>
          <w:trHeight w:val="330"/>
        </w:trPr>
        <w:tc>
          <w:tcPr>
            <w:tcW w:w="2796" w:type="dxa"/>
            <w:tcBorders>
              <w:top w:val="nil"/>
              <w:left w:val="nil"/>
              <w:bottom w:val="nil"/>
              <w:right w:val="nil"/>
            </w:tcBorders>
            <w:shd w:val="clear" w:color="auto" w:fill="auto"/>
            <w:noWrap/>
            <w:vAlign w:val="bottom"/>
            <w:hideMark/>
          </w:tcPr>
          <w:p w14:paraId="0220980F" w14:textId="77777777" w:rsidR="006D3F5F" w:rsidRPr="00A00187" w:rsidRDefault="006D3F5F" w:rsidP="006D3F5F">
            <w:pPr>
              <w:spacing w:line="240" w:lineRule="auto"/>
              <w:jc w:val="center"/>
              <w:rPr>
                <w:rFonts w:eastAsia="Times New Roman"/>
                <w:b/>
                <w:bCs/>
                <w:sz w:val="20"/>
                <w:szCs w:val="20"/>
                <w:lang w:eastAsia="cs-CZ"/>
              </w:rPr>
            </w:pPr>
          </w:p>
        </w:tc>
        <w:tc>
          <w:tcPr>
            <w:tcW w:w="1236" w:type="dxa"/>
            <w:tcBorders>
              <w:top w:val="nil"/>
              <w:left w:val="nil"/>
              <w:bottom w:val="nil"/>
              <w:right w:val="nil"/>
            </w:tcBorders>
            <w:shd w:val="clear" w:color="auto" w:fill="auto"/>
            <w:noWrap/>
            <w:vAlign w:val="bottom"/>
            <w:hideMark/>
          </w:tcPr>
          <w:p w14:paraId="37762575" w14:textId="77777777" w:rsidR="006D3F5F" w:rsidRPr="00A00187" w:rsidRDefault="006D3F5F" w:rsidP="006D3F5F">
            <w:pPr>
              <w:spacing w:line="240" w:lineRule="auto"/>
              <w:jc w:val="left"/>
              <w:rPr>
                <w:rFonts w:ascii="Times New Roman" w:eastAsia="Times New Roman" w:hAnsi="Times New Roman"/>
                <w:sz w:val="20"/>
                <w:szCs w:val="20"/>
                <w:lang w:eastAsia="cs-CZ"/>
              </w:rPr>
            </w:pPr>
          </w:p>
        </w:tc>
        <w:tc>
          <w:tcPr>
            <w:tcW w:w="1960" w:type="dxa"/>
            <w:tcBorders>
              <w:top w:val="nil"/>
              <w:left w:val="nil"/>
              <w:bottom w:val="nil"/>
              <w:right w:val="nil"/>
            </w:tcBorders>
            <w:shd w:val="clear" w:color="auto" w:fill="auto"/>
            <w:noWrap/>
            <w:vAlign w:val="bottom"/>
            <w:hideMark/>
          </w:tcPr>
          <w:p w14:paraId="4A87C136" w14:textId="77777777" w:rsidR="006D3F5F" w:rsidRPr="00A00187" w:rsidRDefault="006D3F5F" w:rsidP="00641DB9">
            <w:pPr>
              <w:spacing w:line="240" w:lineRule="auto"/>
              <w:jc w:val="center"/>
              <w:rPr>
                <w:rFonts w:ascii="Times New Roman" w:eastAsia="Times New Roman" w:hAnsi="Times New Roman"/>
                <w:sz w:val="20"/>
                <w:szCs w:val="20"/>
                <w:lang w:eastAsia="cs-CZ"/>
              </w:rPr>
            </w:pPr>
          </w:p>
        </w:tc>
      </w:tr>
    </w:tbl>
    <w:p w14:paraId="25A64B73" w14:textId="662E40E3" w:rsidR="00577F29" w:rsidRPr="00A00187" w:rsidRDefault="00577F29" w:rsidP="00F86B11">
      <w:pPr>
        <w:spacing w:after="160" w:line="259" w:lineRule="auto"/>
      </w:pPr>
      <w:r w:rsidRPr="00A00187">
        <w:t xml:space="preserve">DT klesl </w:t>
      </w:r>
      <w:r w:rsidR="00755920" w:rsidRPr="00A00187">
        <w:t>u</w:t>
      </w:r>
      <w:r w:rsidR="00755920">
        <w:t> </w:t>
      </w:r>
      <w:r w:rsidRPr="00A00187">
        <w:t xml:space="preserve">všech soudů s výjimkou KS Praha. To odpovídá </w:t>
      </w:r>
      <w:r w:rsidR="00D15C10" w:rsidRPr="00A00187">
        <w:t>skutečnosti</w:t>
      </w:r>
      <w:r w:rsidRPr="00A00187">
        <w:t>, že KS Praha je ta</w:t>
      </w:r>
      <w:r w:rsidR="00D15C10" w:rsidRPr="00A00187">
        <w:t>k</w:t>
      </w:r>
      <w:r w:rsidR="006A27BF" w:rsidRPr="00A00187">
        <w:t xml:space="preserve"> </w:t>
      </w:r>
      <w:r w:rsidRPr="00A00187">
        <w:t>jediný</w:t>
      </w:r>
      <w:r w:rsidR="00D15C10" w:rsidRPr="00A00187">
        <w:t>m</w:t>
      </w:r>
      <w:r w:rsidRPr="00A00187">
        <w:t xml:space="preserve"> soud</w:t>
      </w:r>
      <w:r w:rsidR="00D15C10" w:rsidRPr="00A00187">
        <w:t>em</w:t>
      </w:r>
      <w:r w:rsidRPr="00A00187">
        <w:t>, kde byla míra vyřizování pod 100</w:t>
      </w:r>
      <w:r w:rsidR="00CB570A">
        <w:t> %</w:t>
      </w:r>
      <w:r w:rsidR="00D15C10" w:rsidRPr="00A00187">
        <w:t>, protože</w:t>
      </w:r>
      <w:r w:rsidR="006A27BF" w:rsidRPr="00A00187">
        <w:t xml:space="preserve"> </w:t>
      </w:r>
      <w:r w:rsidR="00723A9D" w:rsidRPr="00A00187">
        <w:t>v</w:t>
      </w:r>
      <w:r w:rsidRPr="00A00187">
        <w:t xml:space="preserve">yšší míra vyřizování je obvykle spojena </w:t>
      </w:r>
      <w:r w:rsidR="000D5984" w:rsidRPr="00A00187">
        <w:t>s </w:t>
      </w:r>
      <w:r w:rsidRPr="00A00187">
        <w:t>nižším DT. Nicméně se samozřejmě může například stát, že DT vzroste</w:t>
      </w:r>
      <w:r w:rsidR="00723A9D" w:rsidRPr="00A00187">
        <w:t>,</w:t>
      </w:r>
      <w:r w:rsidRPr="00A00187">
        <w:t xml:space="preserve"> </w:t>
      </w:r>
      <w:r w:rsidR="00755920" w:rsidRPr="00A00187">
        <w:t>i</w:t>
      </w:r>
      <w:r w:rsidR="00755920">
        <w:t> </w:t>
      </w:r>
      <w:r w:rsidRPr="00A00187">
        <w:t>když je míra vyřizování přes 100</w:t>
      </w:r>
      <w:r w:rsidR="00CB570A">
        <w:t> %</w:t>
      </w:r>
      <w:r w:rsidRPr="00A00187">
        <w:t>.</w:t>
      </w:r>
    </w:p>
    <w:p w14:paraId="77392EEE" w14:textId="192357AE" w:rsidR="0058114B" w:rsidRPr="00A00187" w:rsidRDefault="00D15C10" w:rsidP="00F86B11">
      <w:pPr>
        <w:spacing w:after="160" w:line="259" w:lineRule="auto"/>
      </w:pPr>
      <w:r w:rsidRPr="00A00187">
        <w:t xml:space="preserve">Zároveň platí, že ačkoliv </w:t>
      </w:r>
      <w:r w:rsidR="00577F29" w:rsidRPr="00A00187">
        <w:t xml:space="preserve">KS Praha vykázal růst DT </w:t>
      </w:r>
      <w:r w:rsidR="00755920" w:rsidRPr="00A00187">
        <w:t>a</w:t>
      </w:r>
      <w:r w:rsidR="00755920">
        <w:t> </w:t>
      </w:r>
      <w:r w:rsidR="00577F29" w:rsidRPr="00A00187">
        <w:t>míru vyřizování pod 100</w:t>
      </w:r>
      <w:r w:rsidR="00CB570A">
        <w:t> %</w:t>
      </w:r>
      <w:r w:rsidR="00D06BC8" w:rsidRPr="00A00187">
        <w:t>,</w:t>
      </w:r>
      <w:r w:rsidR="0058114B" w:rsidRPr="00A00187">
        <w:t xml:space="preserve"> stále vykazuje jedny z nejlepších statistik ze všech soudů.</w:t>
      </w:r>
    </w:p>
    <w:p w14:paraId="74336E63" w14:textId="05D685B2" w:rsidR="00CB570A" w:rsidRDefault="0058114B" w:rsidP="0058114B">
      <w:pPr>
        <w:pStyle w:val="OdstavecASR"/>
      </w:pPr>
      <w:r w:rsidRPr="00A00187">
        <w:t>Závěry ze srovnání krajských soudů na základě délek řízení, přepočtu na soudce a DT se v tomto případě liší, což vyplývá (jak už bylo zmíněno) z jiné metodiky,</w:t>
      </w:r>
      <w:r w:rsidR="004732B9">
        <w:t xml:space="preserve"> </w:t>
      </w:r>
      <w:r w:rsidRPr="00A00187">
        <w:t>jiného zdroje dat a malého počtu pozorování.</w:t>
      </w:r>
    </w:p>
    <w:p w14:paraId="008FCEF3" w14:textId="3176CC5E" w:rsidR="006D3F5F" w:rsidRPr="00A00187" w:rsidRDefault="0058114B" w:rsidP="0058114B">
      <w:pPr>
        <w:pStyle w:val="OdstavecASR"/>
      </w:pPr>
      <w:r w:rsidRPr="00A00187">
        <w:lastRenderedPageBreak/>
        <w:t>Zatímco u OS je situace v trestní agendě v zásadě stabilní, u KS v posledních 3 letech tentýž závěr úplně neplatí: situace není stabilní především kvůli malému počtu vyřizovaných věcí</w:t>
      </w:r>
      <w:r w:rsidR="005B3015" w:rsidRPr="00A00187">
        <w:t xml:space="preserve"> </w:t>
      </w:r>
      <w:r w:rsidR="00755920" w:rsidRPr="00A00187">
        <w:t>a</w:t>
      </w:r>
      <w:r w:rsidR="00755920">
        <w:t> </w:t>
      </w:r>
      <w:r w:rsidR="005B3015" w:rsidRPr="00A00187">
        <w:t>vysoké náročnosti agendy</w:t>
      </w:r>
      <w:r w:rsidRPr="00A00187">
        <w:t xml:space="preserve">. </w:t>
      </w:r>
      <w:r w:rsidR="00D15C10" w:rsidRPr="00A00187">
        <w:t>Z</w:t>
      </w:r>
      <w:r w:rsidR="005B3015" w:rsidRPr="00A00187">
        <w:t xml:space="preserve">dá </w:t>
      </w:r>
      <w:r w:rsidR="00723A9D" w:rsidRPr="00A00187">
        <w:t xml:space="preserve">se </w:t>
      </w:r>
      <w:r w:rsidR="00E02349" w:rsidRPr="00A00187">
        <w:t>však</w:t>
      </w:r>
      <w:r w:rsidR="00D06BC8" w:rsidRPr="00A00187">
        <w:t>,</w:t>
      </w:r>
      <w:r w:rsidR="005B3015" w:rsidRPr="00A00187">
        <w:t xml:space="preserve"> že </w:t>
      </w:r>
      <w:r w:rsidR="00D15C10" w:rsidRPr="00A00187">
        <w:t xml:space="preserve">v roce 2021 </w:t>
      </w:r>
      <w:r w:rsidR="00E02349" w:rsidRPr="00A00187">
        <w:t xml:space="preserve">k lepším výsledkům </w:t>
      </w:r>
      <w:r w:rsidR="005B3015" w:rsidRPr="00A00187">
        <w:t xml:space="preserve">soudům </w:t>
      </w:r>
      <w:r w:rsidR="00E02349" w:rsidRPr="00A00187">
        <w:t>do</w:t>
      </w:r>
      <w:r w:rsidR="005B3015" w:rsidRPr="00A00187">
        <w:t>pomohl pokles v nápadu.</w:t>
      </w:r>
    </w:p>
    <w:p w14:paraId="1D2BE867" w14:textId="10FB15B1" w:rsidR="008430BD" w:rsidRPr="00A00187" w:rsidRDefault="008430BD" w:rsidP="008430BD">
      <w:pPr>
        <w:pStyle w:val="Nadpis3"/>
        <w:numPr>
          <w:ilvl w:val="2"/>
          <w:numId w:val="1"/>
        </w:numPr>
        <w:rPr>
          <w:color w:val="auto"/>
        </w:rPr>
      </w:pPr>
      <w:bookmarkStart w:id="774" w:name="_Toc515871261"/>
      <w:bookmarkStart w:id="775" w:name="_Toc106092768"/>
      <w:bookmarkStart w:id="776" w:name="_Toc109801379"/>
      <w:r w:rsidRPr="00A00187">
        <w:rPr>
          <w:color w:val="auto"/>
        </w:rPr>
        <w:t>Další statistiky</w:t>
      </w:r>
      <w:bookmarkEnd w:id="774"/>
      <w:bookmarkEnd w:id="775"/>
      <w:bookmarkEnd w:id="776"/>
    </w:p>
    <w:p w14:paraId="286562E6" w14:textId="6AE95D24" w:rsidR="00414DD9" w:rsidRPr="00A00187" w:rsidRDefault="00414DD9" w:rsidP="00414DD9">
      <w:pPr>
        <w:pStyle w:val="OdstavecASR"/>
      </w:pPr>
      <w:r w:rsidRPr="00A00187">
        <w:t>Jako další statistiky v této podkapitole uvádíme míru odvolání, míru změny rozsudku a </w:t>
      </w:r>
      <w:r w:rsidR="0013473D" w:rsidRPr="00A00187">
        <w:t>uloženou výši peněžitých trestů</w:t>
      </w:r>
      <w:r w:rsidR="00D15C10" w:rsidRPr="00A00187">
        <w:t>,</w:t>
      </w:r>
      <w:r w:rsidR="0013473D" w:rsidRPr="00A00187">
        <w:t xml:space="preserve"> </w:t>
      </w:r>
      <w:r w:rsidR="00D15C10" w:rsidRPr="00A00187">
        <w:t>t</w:t>
      </w:r>
      <w:r w:rsidR="0013473D" w:rsidRPr="00A00187">
        <w:t xml:space="preserve">edy podobné statistiky jako </w:t>
      </w:r>
      <w:r w:rsidR="00755920" w:rsidRPr="00A00187">
        <w:t>u</w:t>
      </w:r>
      <w:r w:rsidR="00755920">
        <w:t> </w:t>
      </w:r>
      <w:r w:rsidR="0013473D" w:rsidRPr="00A00187">
        <w:t xml:space="preserve">okresních soudů. </w:t>
      </w:r>
      <w:r w:rsidRPr="00A00187">
        <w:t>Opět je třeba zdůraznit, že u KS je malý počet pozorování.</w:t>
      </w:r>
    </w:p>
    <w:p w14:paraId="2D87435E" w14:textId="77777777" w:rsidR="0013473D" w:rsidRPr="00A00187" w:rsidRDefault="0013473D" w:rsidP="007F73C9">
      <w:pPr>
        <w:pStyle w:val="OdstavecASR"/>
        <w:keepNext/>
        <w:outlineLvl w:val="3"/>
        <w:rPr>
          <w:b/>
        </w:rPr>
      </w:pPr>
      <w:r w:rsidRPr="00A00187">
        <w:rPr>
          <w:b/>
        </w:rPr>
        <w:t>Míra odvolání</w:t>
      </w:r>
    </w:p>
    <w:p w14:paraId="39303F0C" w14:textId="4CB249C0" w:rsidR="0013473D" w:rsidRPr="00A00187" w:rsidRDefault="0013473D" w:rsidP="0013473D">
      <w:pPr>
        <w:pStyle w:val="Podnadpis"/>
        <w:rPr>
          <w:color w:val="auto"/>
        </w:rPr>
      </w:pPr>
      <w:bookmarkStart w:id="777" w:name="_Toc515871482"/>
      <w:bookmarkStart w:id="778" w:name="_Toc11133250"/>
      <w:bookmarkStart w:id="779" w:name="_Toc43931229"/>
      <w:bookmarkStart w:id="780" w:name="_Toc75952362"/>
      <w:bookmarkStart w:id="781" w:name="_Toc106106818"/>
      <w:bookmarkStart w:id="782" w:name="_Toc109802141"/>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56</w:t>
      </w:r>
      <w:r w:rsidRPr="00A00187">
        <w:rPr>
          <w:noProof/>
          <w:color w:val="auto"/>
        </w:rPr>
        <w:fldChar w:fldCharType="end"/>
      </w:r>
      <w:r w:rsidRPr="00A00187">
        <w:rPr>
          <w:color w:val="auto"/>
        </w:rPr>
        <w:t>: KS – míra odvolání dle soudů v trestním řízení</w:t>
      </w:r>
      <w:bookmarkEnd w:id="777"/>
      <w:bookmarkEnd w:id="778"/>
      <w:bookmarkEnd w:id="779"/>
      <w:bookmarkEnd w:id="780"/>
      <w:bookmarkEnd w:id="781"/>
      <w:bookmarkEnd w:id="782"/>
    </w:p>
    <w:tbl>
      <w:tblPr>
        <w:tblW w:w="6332" w:type="dxa"/>
        <w:tblCellMar>
          <w:left w:w="70" w:type="dxa"/>
          <w:right w:w="70" w:type="dxa"/>
        </w:tblCellMar>
        <w:tblLook w:val="04A0" w:firstRow="1" w:lastRow="0" w:firstColumn="1" w:lastColumn="0" w:noHBand="0" w:noVBand="1"/>
      </w:tblPr>
      <w:tblGrid>
        <w:gridCol w:w="2796"/>
        <w:gridCol w:w="1424"/>
        <w:gridCol w:w="2112"/>
      </w:tblGrid>
      <w:tr w:rsidR="00AC1E67" w:rsidRPr="00A00187" w14:paraId="536D57C6" w14:textId="77777777" w:rsidTr="00AE1F39">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492DD270" w14:textId="77777777" w:rsidR="00AE1F39" w:rsidRPr="00A00187" w:rsidRDefault="00AE1F39" w:rsidP="00AE1F39">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536" w:type="dxa"/>
            <w:gridSpan w:val="2"/>
            <w:tcBorders>
              <w:top w:val="double" w:sz="6" w:space="0" w:color="auto"/>
              <w:left w:val="nil"/>
              <w:bottom w:val="double" w:sz="6" w:space="0" w:color="auto"/>
              <w:right w:val="nil"/>
            </w:tcBorders>
            <w:shd w:val="clear" w:color="auto" w:fill="auto"/>
            <w:noWrap/>
            <w:vAlign w:val="center"/>
            <w:hideMark/>
          </w:tcPr>
          <w:p w14:paraId="7DEEF657" w14:textId="712D107A" w:rsidR="00AE1F39" w:rsidRPr="00A00187" w:rsidRDefault="00AE1F39" w:rsidP="00AE1F39">
            <w:pPr>
              <w:spacing w:line="240" w:lineRule="auto"/>
              <w:jc w:val="center"/>
              <w:rPr>
                <w:rFonts w:eastAsia="Times New Roman"/>
                <w:b/>
                <w:bCs/>
                <w:szCs w:val="24"/>
                <w:lang w:eastAsia="cs-CZ"/>
              </w:rPr>
            </w:pPr>
            <w:r w:rsidRPr="00A00187">
              <w:rPr>
                <w:rFonts w:eastAsia="Times New Roman"/>
                <w:b/>
                <w:bCs/>
                <w:szCs w:val="24"/>
                <w:lang w:eastAsia="cs-CZ"/>
              </w:rPr>
              <w:t xml:space="preserve">Míra odvolání </w:t>
            </w:r>
          </w:p>
        </w:tc>
      </w:tr>
      <w:tr w:rsidR="00AC1E67" w:rsidRPr="00A00187" w14:paraId="03A29F03" w14:textId="77777777" w:rsidTr="00AE1F39">
        <w:trPr>
          <w:trHeight w:val="330"/>
        </w:trPr>
        <w:tc>
          <w:tcPr>
            <w:tcW w:w="2796" w:type="dxa"/>
            <w:tcBorders>
              <w:top w:val="nil"/>
              <w:left w:val="nil"/>
              <w:bottom w:val="single" w:sz="4" w:space="0" w:color="auto"/>
              <w:right w:val="nil"/>
            </w:tcBorders>
            <w:shd w:val="clear" w:color="auto" w:fill="auto"/>
            <w:noWrap/>
            <w:vAlign w:val="bottom"/>
            <w:hideMark/>
          </w:tcPr>
          <w:p w14:paraId="24CD1DA0"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MS Praha</w:t>
            </w:r>
          </w:p>
        </w:tc>
        <w:tc>
          <w:tcPr>
            <w:tcW w:w="1424" w:type="dxa"/>
            <w:tcBorders>
              <w:top w:val="nil"/>
              <w:left w:val="nil"/>
              <w:bottom w:val="single" w:sz="4" w:space="0" w:color="auto"/>
              <w:right w:val="nil"/>
            </w:tcBorders>
            <w:shd w:val="clear" w:color="auto" w:fill="auto"/>
            <w:noWrap/>
            <w:vAlign w:val="bottom"/>
            <w:hideMark/>
          </w:tcPr>
          <w:p w14:paraId="6BF63CAB" w14:textId="0A71CA68"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62</w:t>
            </w:r>
            <w:r w:rsidR="00373B8F" w:rsidRPr="00A00187">
              <w:rPr>
                <w:rFonts w:eastAsia="Times New Roman"/>
                <w:szCs w:val="24"/>
                <w:lang w:eastAsia="cs-CZ"/>
              </w:rPr>
              <w:t>,</w:t>
            </w:r>
            <w:r w:rsidRPr="00A00187">
              <w:rPr>
                <w:rFonts w:eastAsia="Times New Roman"/>
                <w:szCs w:val="24"/>
                <w:lang w:eastAsia="cs-CZ"/>
              </w:rPr>
              <w:t>05</w:t>
            </w:r>
            <w:r w:rsidR="00CB570A">
              <w:rPr>
                <w:rFonts w:eastAsia="Times New Roman"/>
                <w:szCs w:val="24"/>
                <w:lang w:eastAsia="cs-CZ"/>
              </w:rPr>
              <w:t> %</w:t>
            </w:r>
          </w:p>
        </w:tc>
        <w:tc>
          <w:tcPr>
            <w:tcW w:w="2112" w:type="dxa"/>
            <w:tcBorders>
              <w:top w:val="nil"/>
              <w:left w:val="nil"/>
              <w:bottom w:val="single" w:sz="4" w:space="0" w:color="auto"/>
              <w:right w:val="nil"/>
            </w:tcBorders>
            <w:shd w:val="clear" w:color="auto" w:fill="auto"/>
            <w:noWrap/>
            <w:vAlign w:val="center"/>
            <w:hideMark/>
          </w:tcPr>
          <w:p w14:paraId="60825924" w14:textId="62C49F24"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-13,2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16F212A" w14:textId="77777777" w:rsidTr="00AE1F39">
        <w:trPr>
          <w:trHeight w:val="315"/>
        </w:trPr>
        <w:tc>
          <w:tcPr>
            <w:tcW w:w="2796" w:type="dxa"/>
            <w:tcBorders>
              <w:top w:val="nil"/>
              <w:left w:val="nil"/>
              <w:bottom w:val="single" w:sz="4" w:space="0" w:color="auto"/>
              <w:right w:val="nil"/>
            </w:tcBorders>
            <w:shd w:val="clear" w:color="auto" w:fill="auto"/>
            <w:noWrap/>
            <w:vAlign w:val="bottom"/>
            <w:hideMark/>
          </w:tcPr>
          <w:p w14:paraId="10BADCE8"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KS Praha</w:t>
            </w:r>
          </w:p>
        </w:tc>
        <w:tc>
          <w:tcPr>
            <w:tcW w:w="1424" w:type="dxa"/>
            <w:tcBorders>
              <w:top w:val="nil"/>
              <w:left w:val="nil"/>
              <w:bottom w:val="single" w:sz="4" w:space="0" w:color="auto"/>
              <w:right w:val="nil"/>
            </w:tcBorders>
            <w:shd w:val="clear" w:color="auto" w:fill="auto"/>
            <w:noWrap/>
            <w:vAlign w:val="bottom"/>
            <w:hideMark/>
          </w:tcPr>
          <w:p w14:paraId="6BB96734" w14:textId="12B85422"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71</w:t>
            </w:r>
            <w:r w:rsidR="00373B8F" w:rsidRPr="00A00187">
              <w:rPr>
                <w:rFonts w:eastAsia="Times New Roman"/>
                <w:szCs w:val="24"/>
                <w:lang w:eastAsia="cs-CZ"/>
              </w:rPr>
              <w:t>,</w:t>
            </w:r>
            <w:r w:rsidRPr="00A00187">
              <w:rPr>
                <w:rFonts w:eastAsia="Times New Roman"/>
                <w:szCs w:val="24"/>
                <w:lang w:eastAsia="cs-CZ"/>
              </w:rPr>
              <w:t>13</w:t>
            </w:r>
            <w:r w:rsidR="00CB570A">
              <w:rPr>
                <w:rFonts w:eastAsia="Times New Roman"/>
                <w:szCs w:val="24"/>
                <w:lang w:eastAsia="cs-CZ"/>
              </w:rPr>
              <w:t> %</w:t>
            </w:r>
          </w:p>
        </w:tc>
        <w:tc>
          <w:tcPr>
            <w:tcW w:w="2112" w:type="dxa"/>
            <w:tcBorders>
              <w:top w:val="nil"/>
              <w:left w:val="nil"/>
              <w:bottom w:val="single" w:sz="4" w:space="0" w:color="auto"/>
              <w:right w:val="nil"/>
            </w:tcBorders>
            <w:shd w:val="clear" w:color="auto" w:fill="auto"/>
            <w:noWrap/>
            <w:vAlign w:val="center"/>
            <w:hideMark/>
          </w:tcPr>
          <w:p w14:paraId="42B91533" w14:textId="00E75696"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-3,3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B7FED4B" w14:textId="77777777" w:rsidTr="00AE1F39">
        <w:trPr>
          <w:trHeight w:val="315"/>
        </w:trPr>
        <w:tc>
          <w:tcPr>
            <w:tcW w:w="2796" w:type="dxa"/>
            <w:tcBorders>
              <w:top w:val="nil"/>
              <w:left w:val="nil"/>
              <w:bottom w:val="single" w:sz="4" w:space="0" w:color="auto"/>
              <w:right w:val="nil"/>
            </w:tcBorders>
            <w:shd w:val="clear" w:color="auto" w:fill="auto"/>
            <w:noWrap/>
            <w:vAlign w:val="bottom"/>
            <w:hideMark/>
          </w:tcPr>
          <w:p w14:paraId="2F5827B8"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KS Č. Budějovice</w:t>
            </w:r>
          </w:p>
        </w:tc>
        <w:tc>
          <w:tcPr>
            <w:tcW w:w="1424" w:type="dxa"/>
            <w:tcBorders>
              <w:top w:val="nil"/>
              <w:left w:val="nil"/>
              <w:bottom w:val="single" w:sz="4" w:space="0" w:color="auto"/>
              <w:right w:val="nil"/>
            </w:tcBorders>
            <w:shd w:val="clear" w:color="auto" w:fill="auto"/>
            <w:noWrap/>
            <w:vAlign w:val="bottom"/>
            <w:hideMark/>
          </w:tcPr>
          <w:p w14:paraId="63F8810D" w14:textId="0CB964B4"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45</w:t>
            </w:r>
            <w:r w:rsidR="00373B8F" w:rsidRPr="00A00187">
              <w:rPr>
                <w:rFonts w:eastAsia="Times New Roman"/>
                <w:szCs w:val="24"/>
                <w:lang w:eastAsia="cs-CZ"/>
              </w:rPr>
              <w:t>,</w:t>
            </w:r>
            <w:r w:rsidRPr="00A00187">
              <w:rPr>
                <w:rFonts w:eastAsia="Times New Roman"/>
                <w:szCs w:val="24"/>
                <w:lang w:eastAsia="cs-CZ"/>
              </w:rPr>
              <w:t>54</w:t>
            </w:r>
            <w:r w:rsidR="00CB570A">
              <w:rPr>
                <w:rFonts w:eastAsia="Times New Roman"/>
                <w:szCs w:val="24"/>
                <w:lang w:eastAsia="cs-CZ"/>
              </w:rPr>
              <w:t> %</w:t>
            </w:r>
          </w:p>
        </w:tc>
        <w:tc>
          <w:tcPr>
            <w:tcW w:w="2112" w:type="dxa"/>
            <w:tcBorders>
              <w:top w:val="nil"/>
              <w:left w:val="nil"/>
              <w:bottom w:val="single" w:sz="4" w:space="0" w:color="auto"/>
              <w:right w:val="nil"/>
            </w:tcBorders>
            <w:shd w:val="clear" w:color="auto" w:fill="auto"/>
            <w:noWrap/>
            <w:vAlign w:val="center"/>
            <w:hideMark/>
          </w:tcPr>
          <w:p w14:paraId="4F7BCD4D" w14:textId="5746D79B"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-30,9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9C859B0" w14:textId="77777777" w:rsidTr="00AE1F39">
        <w:trPr>
          <w:trHeight w:val="315"/>
        </w:trPr>
        <w:tc>
          <w:tcPr>
            <w:tcW w:w="2796" w:type="dxa"/>
            <w:tcBorders>
              <w:top w:val="nil"/>
              <w:left w:val="nil"/>
              <w:bottom w:val="single" w:sz="4" w:space="0" w:color="auto"/>
              <w:right w:val="nil"/>
            </w:tcBorders>
            <w:shd w:val="clear" w:color="auto" w:fill="auto"/>
            <w:noWrap/>
            <w:vAlign w:val="bottom"/>
            <w:hideMark/>
          </w:tcPr>
          <w:p w14:paraId="55BF4CC8"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KS Plzeň</w:t>
            </w:r>
          </w:p>
        </w:tc>
        <w:tc>
          <w:tcPr>
            <w:tcW w:w="1424" w:type="dxa"/>
            <w:tcBorders>
              <w:top w:val="nil"/>
              <w:left w:val="nil"/>
              <w:bottom w:val="single" w:sz="4" w:space="0" w:color="auto"/>
              <w:right w:val="nil"/>
            </w:tcBorders>
            <w:shd w:val="clear" w:color="auto" w:fill="auto"/>
            <w:noWrap/>
            <w:vAlign w:val="bottom"/>
            <w:hideMark/>
          </w:tcPr>
          <w:p w14:paraId="26F17C22" w14:textId="560A04BB"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53</w:t>
            </w:r>
            <w:r w:rsidR="00373B8F" w:rsidRPr="00A00187">
              <w:rPr>
                <w:rFonts w:eastAsia="Times New Roman"/>
                <w:szCs w:val="24"/>
                <w:lang w:eastAsia="cs-CZ"/>
              </w:rPr>
              <w:t>,</w:t>
            </w:r>
            <w:r w:rsidRPr="00A00187">
              <w:rPr>
                <w:rFonts w:eastAsia="Times New Roman"/>
                <w:szCs w:val="24"/>
                <w:lang w:eastAsia="cs-CZ"/>
              </w:rPr>
              <w:t>78</w:t>
            </w:r>
            <w:r w:rsidR="00CB570A">
              <w:rPr>
                <w:rFonts w:eastAsia="Times New Roman"/>
                <w:szCs w:val="24"/>
                <w:lang w:eastAsia="cs-CZ"/>
              </w:rPr>
              <w:t> %</w:t>
            </w:r>
          </w:p>
        </w:tc>
        <w:tc>
          <w:tcPr>
            <w:tcW w:w="2112" w:type="dxa"/>
            <w:tcBorders>
              <w:top w:val="nil"/>
              <w:left w:val="nil"/>
              <w:bottom w:val="single" w:sz="4" w:space="0" w:color="auto"/>
              <w:right w:val="nil"/>
            </w:tcBorders>
            <w:shd w:val="clear" w:color="auto" w:fill="auto"/>
            <w:noWrap/>
            <w:vAlign w:val="center"/>
            <w:hideMark/>
          </w:tcPr>
          <w:p w14:paraId="1933F846" w14:textId="0FE40672"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-24,0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1C76728B" w14:textId="77777777" w:rsidTr="00AE1F39">
        <w:trPr>
          <w:trHeight w:val="315"/>
        </w:trPr>
        <w:tc>
          <w:tcPr>
            <w:tcW w:w="2796" w:type="dxa"/>
            <w:tcBorders>
              <w:top w:val="nil"/>
              <w:left w:val="nil"/>
              <w:bottom w:val="single" w:sz="4" w:space="0" w:color="auto"/>
              <w:right w:val="nil"/>
            </w:tcBorders>
            <w:shd w:val="clear" w:color="auto" w:fill="auto"/>
            <w:noWrap/>
            <w:vAlign w:val="bottom"/>
            <w:hideMark/>
          </w:tcPr>
          <w:p w14:paraId="1625A0FD"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KS Ústí n. Labem</w:t>
            </w:r>
          </w:p>
        </w:tc>
        <w:tc>
          <w:tcPr>
            <w:tcW w:w="1424" w:type="dxa"/>
            <w:tcBorders>
              <w:top w:val="nil"/>
              <w:left w:val="nil"/>
              <w:bottom w:val="single" w:sz="4" w:space="0" w:color="auto"/>
              <w:right w:val="nil"/>
            </w:tcBorders>
            <w:shd w:val="clear" w:color="auto" w:fill="auto"/>
            <w:noWrap/>
            <w:vAlign w:val="bottom"/>
            <w:hideMark/>
          </w:tcPr>
          <w:p w14:paraId="3C9DBAB0" w14:textId="7B1C4B82"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59</w:t>
            </w:r>
            <w:r w:rsidR="00373B8F" w:rsidRPr="00A00187">
              <w:rPr>
                <w:rFonts w:eastAsia="Times New Roman"/>
                <w:szCs w:val="24"/>
                <w:lang w:eastAsia="cs-CZ"/>
              </w:rPr>
              <w:t>,</w:t>
            </w:r>
            <w:r w:rsidRPr="00A00187">
              <w:rPr>
                <w:rFonts w:eastAsia="Times New Roman"/>
                <w:szCs w:val="24"/>
                <w:lang w:eastAsia="cs-CZ"/>
              </w:rPr>
              <w:t>18</w:t>
            </w:r>
            <w:r w:rsidR="00CB570A">
              <w:rPr>
                <w:rFonts w:eastAsia="Times New Roman"/>
                <w:szCs w:val="24"/>
                <w:lang w:eastAsia="cs-CZ"/>
              </w:rPr>
              <w:t> %</w:t>
            </w:r>
          </w:p>
        </w:tc>
        <w:tc>
          <w:tcPr>
            <w:tcW w:w="2112" w:type="dxa"/>
            <w:tcBorders>
              <w:top w:val="nil"/>
              <w:left w:val="nil"/>
              <w:bottom w:val="single" w:sz="4" w:space="0" w:color="auto"/>
              <w:right w:val="nil"/>
            </w:tcBorders>
            <w:shd w:val="clear" w:color="auto" w:fill="auto"/>
            <w:noWrap/>
            <w:vAlign w:val="center"/>
            <w:hideMark/>
          </w:tcPr>
          <w:p w14:paraId="0A0FD54C" w14:textId="2B3EB07D"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-18,7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3A9EF15B" w14:textId="77777777" w:rsidTr="00AE1F39">
        <w:trPr>
          <w:trHeight w:val="315"/>
        </w:trPr>
        <w:tc>
          <w:tcPr>
            <w:tcW w:w="2796" w:type="dxa"/>
            <w:tcBorders>
              <w:top w:val="nil"/>
              <w:left w:val="nil"/>
              <w:bottom w:val="single" w:sz="4" w:space="0" w:color="auto"/>
              <w:right w:val="nil"/>
            </w:tcBorders>
            <w:shd w:val="clear" w:color="auto" w:fill="auto"/>
            <w:noWrap/>
            <w:vAlign w:val="bottom"/>
            <w:hideMark/>
          </w:tcPr>
          <w:p w14:paraId="0714FF3D"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KS Hr. Králové</w:t>
            </w:r>
          </w:p>
        </w:tc>
        <w:tc>
          <w:tcPr>
            <w:tcW w:w="1424" w:type="dxa"/>
            <w:tcBorders>
              <w:top w:val="nil"/>
              <w:left w:val="nil"/>
              <w:bottom w:val="single" w:sz="4" w:space="0" w:color="auto"/>
              <w:right w:val="nil"/>
            </w:tcBorders>
            <w:shd w:val="clear" w:color="auto" w:fill="auto"/>
            <w:noWrap/>
            <w:vAlign w:val="bottom"/>
            <w:hideMark/>
          </w:tcPr>
          <w:p w14:paraId="4B90783D" w14:textId="4A9C55E1"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56</w:t>
            </w:r>
            <w:r w:rsidR="00373B8F" w:rsidRPr="00A00187">
              <w:rPr>
                <w:rFonts w:eastAsia="Times New Roman"/>
                <w:szCs w:val="24"/>
                <w:lang w:eastAsia="cs-CZ"/>
              </w:rPr>
              <w:t>,</w:t>
            </w:r>
            <w:r w:rsidRPr="00A00187">
              <w:rPr>
                <w:rFonts w:eastAsia="Times New Roman"/>
                <w:szCs w:val="24"/>
                <w:lang w:eastAsia="cs-CZ"/>
              </w:rPr>
              <w:t>76</w:t>
            </w:r>
            <w:r w:rsidR="00CB570A">
              <w:rPr>
                <w:rFonts w:eastAsia="Times New Roman"/>
                <w:szCs w:val="24"/>
                <w:lang w:eastAsia="cs-CZ"/>
              </w:rPr>
              <w:t> %</w:t>
            </w:r>
          </w:p>
        </w:tc>
        <w:tc>
          <w:tcPr>
            <w:tcW w:w="2112" w:type="dxa"/>
            <w:tcBorders>
              <w:top w:val="nil"/>
              <w:left w:val="nil"/>
              <w:bottom w:val="single" w:sz="4" w:space="0" w:color="auto"/>
              <w:right w:val="nil"/>
            </w:tcBorders>
            <w:shd w:val="clear" w:color="auto" w:fill="auto"/>
            <w:noWrap/>
            <w:vAlign w:val="center"/>
            <w:hideMark/>
          </w:tcPr>
          <w:p w14:paraId="00619508" w14:textId="2D85EB96"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-9,1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D7CB819" w14:textId="77777777" w:rsidTr="00AE1F39">
        <w:trPr>
          <w:trHeight w:val="315"/>
        </w:trPr>
        <w:tc>
          <w:tcPr>
            <w:tcW w:w="2796" w:type="dxa"/>
            <w:tcBorders>
              <w:top w:val="nil"/>
              <w:left w:val="nil"/>
              <w:bottom w:val="single" w:sz="4" w:space="0" w:color="auto"/>
              <w:right w:val="nil"/>
            </w:tcBorders>
            <w:shd w:val="clear" w:color="auto" w:fill="auto"/>
            <w:noWrap/>
            <w:vAlign w:val="bottom"/>
            <w:hideMark/>
          </w:tcPr>
          <w:p w14:paraId="7E9DF24B"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KS Brno</w:t>
            </w:r>
          </w:p>
        </w:tc>
        <w:tc>
          <w:tcPr>
            <w:tcW w:w="1424" w:type="dxa"/>
            <w:tcBorders>
              <w:top w:val="nil"/>
              <w:left w:val="nil"/>
              <w:bottom w:val="single" w:sz="4" w:space="0" w:color="auto"/>
              <w:right w:val="nil"/>
            </w:tcBorders>
            <w:shd w:val="clear" w:color="auto" w:fill="auto"/>
            <w:noWrap/>
            <w:vAlign w:val="bottom"/>
            <w:hideMark/>
          </w:tcPr>
          <w:p w14:paraId="0C65255B" w14:textId="4F1C090D"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58</w:t>
            </w:r>
            <w:r w:rsidR="00373B8F" w:rsidRPr="00A00187">
              <w:rPr>
                <w:rFonts w:eastAsia="Times New Roman"/>
                <w:szCs w:val="24"/>
                <w:lang w:eastAsia="cs-CZ"/>
              </w:rPr>
              <w:t>,</w:t>
            </w:r>
            <w:r w:rsidRPr="00A00187">
              <w:rPr>
                <w:rFonts w:eastAsia="Times New Roman"/>
                <w:szCs w:val="24"/>
                <w:lang w:eastAsia="cs-CZ"/>
              </w:rPr>
              <w:t>33</w:t>
            </w:r>
            <w:r w:rsidR="00CB570A">
              <w:rPr>
                <w:rFonts w:eastAsia="Times New Roman"/>
                <w:szCs w:val="24"/>
                <w:lang w:eastAsia="cs-CZ"/>
              </w:rPr>
              <w:t> %</w:t>
            </w:r>
          </w:p>
        </w:tc>
        <w:tc>
          <w:tcPr>
            <w:tcW w:w="2112" w:type="dxa"/>
            <w:tcBorders>
              <w:top w:val="nil"/>
              <w:left w:val="nil"/>
              <w:bottom w:val="single" w:sz="4" w:space="0" w:color="auto"/>
              <w:right w:val="nil"/>
            </w:tcBorders>
            <w:shd w:val="clear" w:color="auto" w:fill="auto"/>
            <w:noWrap/>
            <w:vAlign w:val="center"/>
            <w:hideMark/>
          </w:tcPr>
          <w:p w14:paraId="1F56BC26" w14:textId="22AA87FD"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-6,6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06A19110" w14:textId="77777777" w:rsidTr="00AE1F39">
        <w:trPr>
          <w:trHeight w:val="330"/>
        </w:trPr>
        <w:tc>
          <w:tcPr>
            <w:tcW w:w="2796" w:type="dxa"/>
            <w:tcBorders>
              <w:top w:val="nil"/>
              <w:left w:val="nil"/>
              <w:bottom w:val="double" w:sz="6" w:space="0" w:color="auto"/>
              <w:right w:val="nil"/>
            </w:tcBorders>
            <w:shd w:val="clear" w:color="auto" w:fill="auto"/>
            <w:noWrap/>
            <w:vAlign w:val="bottom"/>
            <w:hideMark/>
          </w:tcPr>
          <w:p w14:paraId="14AF7D10" w14:textId="77777777" w:rsidR="00AE1F39" w:rsidRPr="00A00187" w:rsidRDefault="00AE1F39" w:rsidP="00AE1F39">
            <w:pPr>
              <w:spacing w:line="240" w:lineRule="auto"/>
              <w:jc w:val="left"/>
              <w:rPr>
                <w:rFonts w:eastAsia="Times New Roman"/>
                <w:szCs w:val="24"/>
                <w:lang w:eastAsia="cs-CZ"/>
              </w:rPr>
            </w:pPr>
            <w:r w:rsidRPr="00A00187">
              <w:rPr>
                <w:rFonts w:eastAsia="Times New Roman"/>
                <w:szCs w:val="24"/>
                <w:lang w:eastAsia="cs-CZ"/>
              </w:rPr>
              <w:t>KS Ostrava</w:t>
            </w:r>
          </w:p>
        </w:tc>
        <w:tc>
          <w:tcPr>
            <w:tcW w:w="1424" w:type="dxa"/>
            <w:tcBorders>
              <w:top w:val="nil"/>
              <w:left w:val="nil"/>
              <w:bottom w:val="double" w:sz="6" w:space="0" w:color="auto"/>
              <w:right w:val="nil"/>
            </w:tcBorders>
            <w:shd w:val="clear" w:color="auto" w:fill="auto"/>
            <w:noWrap/>
            <w:vAlign w:val="bottom"/>
            <w:hideMark/>
          </w:tcPr>
          <w:p w14:paraId="2B5D8A75" w14:textId="2687091A" w:rsidR="00AE1F39" w:rsidRPr="00A00187" w:rsidRDefault="00AE1F39" w:rsidP="00AE1F39">
            <w:pPr>
              <w:spacing w:line="240" w:lineRule="auto"/>
              <w:jc w:val="center"/>
              <w:rPr>
                <w:rFonts w:eastAsia="Times New Roman"/>
                <w:szCs w:val="24"/>
                <w:lang w:eastAsia="cs-CZ"/>
              </w:rPr>
            </w:pPr>
            <w:r w:rsidRPr="00A00187">
              <w:rPr>
                <w:rFonts w:eastAsia="Times New Roman"/>
                <w:szCs w:val="24"/>
                <w:lang w:eastAsia="cs-CZ"/>
              </w:rPr>
              <w:t>58</w:t>
            </w:r>
            <w:r w:rsidR="00373B8F" w:rsidRPr="00A00187">
              <w:rPr>
                <w:rFonts w:eastAsia="Times New Roman"/>
                <w:szCs w:val="24"/>
                <w:lang w:eastAsia="cs-CZ"/>
              </w:rPr>
              <w:t>,</w:t>
            </w:r>
            <w:r w:rsidRPr="00A00187">
              <w:rPr>
                <w:rFonts w:eastAsia="Times New Roman"/>
                <w:szCs w:val="24"/>
                <w:lang w:eastAsia="cs-CZ"/>
              </w:rPr>
              <w:t>65</w:t>
            </w:r>
            <w:r w:rsidR="00CB570A">
              <w:rPr>
                <w:rFonts w:eastAsia="Times New Roman"/>
                <w:szCs w:val="24"/>
                <w:lang w:eastAsia="cs-CZ"/>
              </w:rPr>
              <w:t> %</w:t>
            </w:r>
          </w:p>
        </w:tc>
        <w:tc>
          <w:tcPr>
            <w:tcW w:w="2112" w:type="dxa"/>
            <w:tcBorders>
              <w:top w:val="nil"/>
              <w:left w:val="nil"/>
              <w:bottom w:val="nil"/>
              <w:right w:val="nil"/>
            </w:tcBorders>
            <w:shd w:val="clear" w:color="auto" w:fill="auto"/>
            <w:noWrap/>
            <w:vAlign w:val="center"/>
            <w:hideMark/>
          </w:tcPr>
          <w:p w14:paraId="3E957475" w14:textId="5B6EF52E" w:rsidR="00AE1F39" w:rsidRPr="00A00187" w:rsidRDefault="00AE1F39" w:rsidP="00AE1F39">
            <w:pPr>
              <w:spacing w:line="240" w:lineRule="auto"/>
              <w:jc w:val="center"/>
              <w:rPr>
                <w:rFonts w:eastAsia="Times New Roman"/>
                <w:sz w:val="20"/>
                <w:szCs w:val="20"/>
                <w:lang w:eastAsia="cs-CZ"/>
              </w:rPr>
            </w:pPr>
            <w:r w:rsidRPr="00A00187">
              <w:rPr>
                <w:rFonts w:eastAsia="Times New Roman"/>
                <w:sz w:val="20"/>
                <w:szCs w:val="20"/>
                <w:lang w:eastAsia="cs-CZ"/>
              </w:rPr>
              <w:t xml:space="preserve">-4,9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218B24E" w14:textId="77777777" w:rsidTr="00AE1F39">
        <w:trPr>
          <w:trHeight w:val="345"/>
        </w:trPr>
        <w:tc>
          <w:tcPr>
            <w:tcW w:w="2796" w:type="dxa"/>
            <w:tcBorders>
              <w:top w:val="nil"/>
              <w:left w:val="nil"/>
              <w:bottom w:val="double" w:sz="6" w:space="0" w:color="auto"/>
              <w:right w:val="nil"/>
            </w:tcBorders>
            <w:shd w:val="clear" w:color="auto" w:fill="auto"/>
            <w:noWrap/>
            <w:vAlign w:val="bottom"/>
            <w:hideMark/>
          </w:tcPr>
          <w:p w14:paraId="7F46BD25" w14:textId="77777777" w:rsidR="00AE1F39" w:rsidRPr="00A00187" w:rsidRDefault="00AE1F39" w:rsidP="00AE1F39">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424" w:type="dxa"/>
            <w:tcBorders>
              <w:top w:val="nil"/>
              <w:left w:val="nil"/>
              <w:bottom w:val="double" w:sz="6" w:space="0" w:color="auto"/>
              <w:right w:val="nil"/>
            </w:tcBorders>
            <w:shd w:val="clear" w:color="auto" w:fill="auto"/>
            <w:noWrap/>
            <w:vAlign w:val="bottom"/>
            <w:hideMark/>
          </w:tcPr>
          <w:p w14:paraId="57D32655" w14:textId="11808C3F" w:rsidR="00AE1F39" w:rsidRPr="00A00187" w:rsidRDefault="00AE1F39" w:rsidP="00AE1F39">
            <w:pPr>
              <w:spacing w:line="240" w:lineRule="auto"/>
              <w:jc w:val="center"/>
              <w:rPr>
                <w:rFonts w:eastAsia="Times New Roman"/>
                <w:b/>
                <w:bCs/>
                <w:szCs w:val="24"/>
                <w:lang w:eastAsia="cs-CZ"/>
              </w:rPr>
            </w:pPr>
            <w:r w:rsidRPr="00A00187">
              <w:rPr>
                <w:rFonts w:eastAsia="Times New Roman"/>
                <w:b/>
                <w:bCs/>
                <w:szCs w:val="24"/>
                <w:lang w:eastAsia="cs-CZ"/>
              </w:rPr>
              <w:t>58</w:t>
            </w:r>
            <w:r w:rsidR="00373B8F" w:rsidRPr="00A00187">
              <w:rPr>
                <w:rFonts w:eastAsia="Times New Roman"/>
                <w:b/>
                <w:bCs/>
                <w:szCs w:val="24"/>
                <w:lang w:eastAsia="cs-CZ"/>
              </w:rPr>
              <w:t>,</w:t>
            </w:r>
            <w:r w:rsidRPr="00A00187">
              <w:rPr>
                <w:rFonts w:eastAsia="Times New Roman"/>
                <w:b/>
                <w:bCs/>
                <w:szCs w:val="24"/>
                <w:lang w:eastAsia="cs-CZ"/>
              </w:rPr>
              <w:t>83</w:t>
            </w:r>
            <w:r w:rsidR="00CB570A">
              <w:rPr>
                <w:rFonts w:eastAsia="Times New Roman"/>
                <w:b/>
                <w:bCs/>
                <w:szCs w:val="24"/>
                <w:lang w:eastAsia="cs-CZ"/>
              </w:rPr>
              <w:t> %</w:t>
            </w:r>
          </w:p>
        </w:tc>
        <w:tc>
          <w:tcPr>
            <w:tcW w:w="2112" w:type="dxa"/>
            <w:tcBorders>
              <w:top w:val="double" w:sz="6" w:space="0" w:color="auto"/>
              <w:left w:val="nil"/>
              <w:bottom w:val="double" w:sz="6" w:space="0" w:color="auto"/>
              <w:right w:val="nil"/>
            </w:tcBorders>
            <w:shd w:val="clear" w:color="auto" w:fill="auto"/>
            <w:noWrap/>
            <w:vAlign w:val="center"/>
            <w:hideMark/>
          </w:tcPr>
          <w:p w14:paraId="5A726850" w14:textId="61FF902F" w:rsidR="00AE1F39" w:rsidRPr="00A00187" w:rsidRDefault="00AE1F39" w:rsidP="00AE1F39">
            <w:pPr>
              <w:spacing w:line="240" w:lineRule="auto"/>
              <w:jc w:val="center"/>
              <w:rPr>
                <w:rFonts w:eastAsia="Times New Roman"/>
                <w:b/>
                <w:bCs/>
                <w:sz w:val="20"/>
                <w:szCs w:val="20"/>
                <w:lang w:eastAsia="cs-CZ"/>
              </w:rPr>
            </w:pPr>
            <w:r w:rsidRPr="00A00187">
              <w:rPr>
                <w:rFonts w:eastAsia="Times New Roman"/>
                <w:b/>
                <w:bCs/>
                <w:sz w:val="20"/>
                <w:szCs w:val="20"/>
                <w:lang w:eastAsia="cs-CZ"/>
              </w:rPr>
              <w:t xml:space="preserve">-12,5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C1E67" w:rsidRPr="00A00187" w14:paraId="49BD48BF" w14:textId="77777777" w:rsidTr="00AE1F39">
        <w:trPr>
          <w:trHeight w:val="330"/>
        </w:trPr>
        <w:tc>
          <w:tcPr>
            <w:tcW w:w="2796" w:type="dxa"/>
            <w:tcBorders>
              <w:top w:val="nil"/>
              <w:left w:val="nil"/>
              <w:bottom w:val="nil"/>
              <w:right w:val="nil"/>
            </w:tcBorders>
            <w:shd w:val="clear" w:color="auto" w:fill="auto"/>
            <w:noWrap/>
            <w:vAlign w:val="bottom"/>
            <w:hideMark/>
          </w:tcPr>
          <w:p w14:paraId="387D5418" w14:textId="77777777" w:rsidR="00AE1F39" w:rsidRPr="00A00187" w:rsidRDefault="00AE1F39" w:rsidP="00AE1F39">
            <w:pPr>
              <w:spacing w:line="240" w:lineRule="auto"/>
              <w:jc w:val="right"/>
              <w:rPr>
                <w:rFonts w:eastAsia="Times New Roman"/>
                <w:b/>
                <w:bCs/>
                <w:sz w:val="20"/>
                <w:szCs w:val="20"/>
                <w:lang w:eastAsia="cs-CZ"/>
              </w:rPr>
            </w:pPr>
          </w:p>
        </w:tc>
        <w:tc>
          <w:tcPr>
            <w:tcW w:w="1424" w:type="dxa"/>
            <w:tcBorders>
              <w:top w:val="nil"/>
              <w:left w:val="nil"/>
              <w:bottom w:val="nil"/>
              <w:right w:val="nil"/>
            </w:tcBorders>
            <w:shd w:val="clear" w:color="auto" w:fill="auto"/>
            <w:noWrap/>
            <w:vAlign w:val="bottom"/>
            <w:hideMark/>
          </w:tcPr>
          <w:p w14:paraId="3B0FFD01" w14:textId="77777777" w:rsidR="00AE1F39" w:rsidRPr="00A00187" w:rsidRDefault="00AE1F39" w:rsidP="00AE1F39">
            <w:pPr>
              <w:spacing w:line="240" w:lineRule="auto"/>
              <w:jc w:val="left"/>
              <w:rPr>
                <w:rFonts w:ascii="Times New Roman" w:eastAsia="Times New Roman" w:hAnsi="Times New Roman"/>
                <w:sz w:val="20"/>
                <w:szCs w:val="20"/>
                <w:lang w:eastAsia="cs-CZ"/>
              </w:rPr>
            </w:pPr>
          </w:p>
        </w:tc>
        <w:tc>
          <w:tcPr>
            <w:tcW w:w="2112" w:type="dxa"/>
            <w:tcBorders>
              <w:top w:val="nil"/>
              <w:left w:val="nil"/>
              <w:bottom w:val="nil"/>
              <w:right w:val="nil"/>
            </w:tcBorders>
            <w:shd w:val="clear" w:color="auto" w:fill="auto"/>
            <w:noWrap/>
            <w:vAlign w:val="bottom"/>
            <w:hideMark/>
          </w:tcPr>
          <w:p w14:paraId="6F69D27F" w14:textId="77777777" w:rsidR="00AE1F39" w:rsidRPr="00A00187" w:rsidRDefault="00AE1F39" w:rsidP="00AE1F39">
            <w:pPr>
              <w:spacing w:line="240" w:lineRule="auto"/>
              <w:jc w:val="left"/>
              <w:rPr>
                <w:rFonts w:ascii="Times New Roman" w:eastAsia="Times New Roman" w:hAnsi="Times New Roman"/>
                <w:sz w:val="20"/>
                <w:szCs w:val="20"/>
                <w:lang w:eastAsia="cs-CZ"/>
              </w:rPr>
            </w:pPr>
          </w:p>
        </w:tc>
      </w:tr>
    </w:tbl>
    <w:p w14:paraId="3C5F7759" w14:textId="5D54A581" w:rsidR="00B73CB6" w:rsidRPr="00A00187" w:rsidRDefault="00373B8F" w:rsidP="00373B8F">
      <w:pPr>
        <w:pStyle w:val="OdstavecASR"/>
        <w:tabs>
          <w:tab w:val="left" w:pos="7655"/>
        </w:tabs>
      </w:pPr>
      <w:r w:rsidRPr="00A00187">
        <w:t>Míra odvolání v této agendě poklesla, a to ze 71</w:t>
      </w:r>
      <w:r w:rsidR="00CB570A">
        <w:t> %</w:t>
      </w:r>
      <w:r w:rsidRPr="00A00187">
        <w:t xml:space="preserve"> na 58</w:t>
      </w:r>
      <w:r w:rsidR="00CB570A">
        <w:t> %</w:t>
      </w:r>
      <w:r w:rsidRPr="00A00187">
        <w:t xml:space="preserve">. To stále znamená, že </w:t>
      </w:r>
      <w:r w:rsidR="00755920" w:rsidRPr="00A00187">
        <w:t>v</w:t>
      </w:r>
      <w:r w:rsidR="00755920">
        <w:t> </w:t>
      </w:r>
      <w:r w:rsidRPr="00A00187">
        <w:t xml:space="preserve">asi </w:t>
      </w:r>
      <w:r w:rsidR="00755920" w:rsidRPr="00A00187">
        <w:t>6</w:t>
      </w:r>
      <w:r w:rsidR="00755920">
        <w:t> </w:t>
      </w:r>
      <w:r w:rsidRPr="00A00187">
        <w:t xml:space="preserve">z 10 vyřízených věcí je podáno odvolání proti konečnému rozhodnutí krajského soudu, což ale není překvapivé. Vzhledem k typu projednávaných věcí je pravidlem uložení delších nepodmíněných trestů odnětí svobody, což je spolu se zákazem </w:t>
      </w:r>
      <w:proofErr w:type="spellStart"/>
      <w:r w:rsidRPr="00A00187">
        <w:rPr>
          <w:i/>
        </w:rPr>
        <w:t>reformati</w:t>
      </w:r>
      <w:r w:rsidR="005C6C65" w:rsidRPr="00A00187">
        <w:rPr>
          <w:i/>
        </w:rPr>
        <w:t>s</w:t>
      </w:r>
      <w:proofErr w:type="spellEnd"/>
      <w:r w:rsidRPr="00A00187">
        <w:rPr>
          <w:i/>
        </w:rPr>
        <w:t xml:space="preserve"> in </w:t>
      </w:r>
      <w:proofErr w:type="spellStart"/>
      <w:r w:rsidRPr="00A00187">
        <w:rPr>
          <w:i/>
        </w:rPr>
        <w:t>peius</w:t>
      </w:r>
      <w:proofErr w:type="spellEnd"/>
      <w:r w:rsidRPr="00A00187">
        <w:t xml:space="preserve"> (změny rozhodnutí k horšímu) více než dostatečná motivace k odvolání se pachatele bez ohledu na výsledek. </w:t>
      </w:r>
      <w:r w:rsidR="00B73CB6" w:rsidRPr="00A00187">
        <w:t xml:space="preserve">Míra odvolání je v porovnání s jakoukoliv agendou stále velmi vysoká, </w:t>
      </w:r>
      <w:r w:rsidR="00755920" w:rsidRPr="00A00187">
        <w:t>a</w:t>
      </w:r>
      <w:r w:rsidR="00755920">
        <w:t> </w:t>
      </w:r>
      <w:r w:rsidR="00B73CB6" w:rsidRPr="00A00187">
        <w:t xml:space="preserve">to </w:t>
      </w:r>
      <w:r w:rsidR="00755920" w:rsidRPr="00A00187">
        <w:t>i</w:t>
      </w:r>
      <w:r w:rsidR="00755920">
        <w:t> </w:t>
      </w:r>
      <w:r w:rsidR="00B73CB6" w:rsidRPr="00A00187">
        <w:t xml:space="preserve">přes to, že od roku 2019 klesla </w:t>
      </w:r>
      <w:r w:rsidR="00755920" w:rsidRPr="00A00187">
        <w:t>o</w:t>
      </w:r>
      <w:r w:rsidR="00755920">
        <w:t> </w:t>
      </w:r>
      <w:r w:rsidR="00B73CB6" w:rsidRPr="00A00187">
        <w:t>více než 20 procentních bodů.</w:t>
      </w:r>
    </w:p>
    <w:p w14:paraId="1EDF9E5A" w14:textId="13C39B68" w:rsidR="00373B8F" w:rsidRPr="00A00187" w:rsidRDefault="00373B8F" w:rsidP="00373B8F">
      <w:pPr>
        <w:pStyle w:val="OdstavecASR"/>
        <w:tabs>
          <w:tab w:val="left" w:pos="7655"/>
        </w:tabs>
      </w:pPr>
      <w:r w:rsidRPr="00A00187">
        <w:t xml:space="preserve">V rámci jednotlivých krajských soudů dochází každý rok </w:t>
      </w:r>
      <w:r w:rsidR="00755920" w:rsidRPr="00A00187">
        <w:t>k</w:t>
      </w:r>
      <w:r w:rsidR="00755920">
        <w:t> </w:t>
      </w:r>
      <w:r w:rsidR="00B73CB6" w:rsidRPr="00A00187">
        <w:t>velkým</w:t>
      </w:r>
      <w:r w:rsidRPr="00A00187">
        <w:t xml:space="preserve"> kladným i záporným odchylkám, takže i když jsou změny v roce 202</w:t>
      </w:r>
      <w:r w:rsidR="00B73CB6" w:rsidRPr="00A00187">
        <w:t>1</w:t>
      </w:r>
      <w:r w:rsidRPr="00A00187">
        <w:t xml:space="preserve"> významné</w:t>
      </w:r>
      <w:r w:rsidR="00B73CB6" w:rsidRPr="00A00187">
        <w:t xml:space="preserve"> (</w:t>
      </w:r>
      <w:r w:rsidR="00755920" w:rsidRPr="00A00187">
        <w:t>u</w:t>
      </w:r>
      <w:r w:rsidR="00755920">
        <w:t> </w:t>
      </w:r>
      <w:r w:rsidR="00B73CB6" w:rsidRPr="00A00187">
        <w:t xml:space="preserve">KS v Českých Budějovicích </w:t>
      </w:r>
      <w:r w:rsidR="00755920" w:rsidRPr="00A00187">
        <w:t>o</w:t>
      </w:r>
      <w:r w:rsidR="00755920">
        <w:t> </w:t>
      </w:r>
      <w:r w:rsidR="00B73CB6" w:rsidRPr="00A00187">
        <w:t>31</w:t>
      </w:r>
      <w:r w:rsidR="009D4EA7" w:rsidRPr="00A00187">
        <w:t> </w:t>
      </w:r>
      <w:r w:rsidR="00B73CB6" w:rsidRPr="00A00187">
        <w:t>procentních bodů)</w:t>
      </w:r>
      <w:r w:rsidRPr="00A00187">
        <w:t>, hodnocení konkrétního roku není příliš vypovídající.</w:t>
      </w:r>
    </w:p>
    <w:p w14:paraId="23FF43B1" w14:textId="77777777" w:rsidR="009D4EA7" w:rsidRPr="00A00187" w:rsidRDefault="009D4EA7" w:rsidP="00373B8F">
      <w:pPr>
        <w:pStyle w:val="OdstavecASR"/>
        <w:tabs>
          <w:tab w:val="left" w:pos="7655"/>
        </w:tabs>
      </w:pPr>
    </w:p>
    <w:p w14:paraId="0D778C0E" w14:textId="77777777" w:rsidR="00B73CB6" w:rsidRPr="00A00187" w:rsidRDefault="00B73CB6">
      <w:pPr>
        <w:spacing w:after="160" w:line="259" w:lineRule="auto"/>
        <w:jc w:val="left"/>
        <w:rPr>
          <w:b/>
        </w:rPr>
      </w:pPr>
      <w:r w:rsidRPr="00A00187">
        <w:rPr>
          <w:b/>
        </w:rPr>
        <w:br w:type="page"/>
      </w:r>
    </w:p>
    <w:p w14:paraId="59D0F14D" w14:textId="110BD1AD" w:rsidR="00B73CB6" w:rsidRPr="00A00187" w:rsidRDefault="00B73CB6" w:rsidP="007F73C9">
      <w:pPr>
        <w:pStyle w:val="OdstavecASR"/>
        <w:keepNext/>
        <w:tabs>
          <w:tab w:val="left" w:pos="7655"/>
        </w:tabs>
        <w:outlineLvl w:val="3"/>
        <w:rPr>
          <w:b/>
        </w:rPr>
      </w:pPr>
      <w:r w:rsidRPr="00A00187">
        <w:rPr>
          <w:b/>
        </w:rPr>
        <w:lastRenderedPageBreak/>
        <w:t>Míra změny rozsudku</w:t>
      </w:r>
    </w:p>
    <w:p w14:paraId="3FC5EBA4" w14:textId="40442E56" w:rsidR="00B73CB6" w:rsidRPr="00A00187" w:rsidRDefault="00B73CB6" w:rsidP="00B73CB6">
      <w:pPr>
        <w:pStyle w:val="Podnadpis"/>
        <w:rPr>
          <w:color w:val="auto"/>
        </w:rPr>
      </w:pPr>
      <w:bookmarkStart w:id="783" w:name="_Toc43931230"/>
      <w:bookmarkStart w:id="784" w:name="_Toc75952363"/>
      <w:bookmarkStart w:id="785" w:name="_Toc106106819"/>
      <w:bookmarkStart w:id="786" w:name="_Toc109802142"/>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57</w:t>
      </w:r>
      <w:r w:rsidRPr="00A00187">
        <w:rPr>
          <w:noProof/>
          <w:color w:val="auto"/>
        </w:rPr>
        <w:fldChar w:fldCharType="end"/>
      </w:r>
      <w:r w:rsidRPr="00A00187">
        <w:rPr>
          <w:color w:val="auto"/>
        </w:rPr>
        <w:t>: KS – míra změny rozsudku dle soudů v trestním řízení</w:t>
      </w:r>
      <w:bookmarkEnd w:id="783"/>
      <w:bookmarkEnd w:id="784"/>
      <w:bookmarkEnd w:id="785"/>
      <w:bookmarkEnd w:id="786"/>
    </w:p>
    <w:tbl>
      <w:tblPr>
        <w:tblW w:w="7012" w:type="dxa"/>
        <w:tblCellMar>
          <w:left w:w="70" w:type="dxa"/>
          <w:right w:w="70" w:type="dxa"/>
        </w:tblCellMar>
        <w:tblLook w:val="04A0" w:firstRow="1" w:lastRow="0" w:firstColumn="1" w:lastColumn="0" w:noHBand="0" w:noVBand="1"/>
      </w:tblPr>
      <w:tblGrid>
        <w:gridCol w:w="2796"/>
        <w:gridCol w:w="1631"/>
        <w:gridCol w:w="2585"/>
      </w:tblGrid>
      <w:tr w:rsidR="00AC1E67" w:rsidRPr="00A00187" w14:paraId="5CA36B2B" w14:textId="77777777" w:rsidTr="00BA517D">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001890C4" w14:textId="77777777" w:rsidR="00BA517D" w:rsidRPr="00A00187" w:rsidRDefault="00BA517D" w:rsidP="00BA517D">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4216" w:type="dxa"/>
            <w:gridSpan w:val="2"/>
            <w:tcBorders>
              <w:top w:val="double" w:sz="6" w:space="0" w:color="auto"/>
              <w:left w:val="nil"/>
              <w:bottom w:val="double" w:sz="6" w:space="0" w:color="auto"/>
              <w:right w:val="nil"/>
            </w:tcBorders>
            <w:shd w:val="clear" w:color="auto" w:fill="auto"/>
            <w:noWrap/>
            <w:vAlign w:val="center"/>
            <w:hideMark/>
          </w:tcPr>
          <w:p w14:paraId="49765B8F" w14:textId="7D04D574" w:rsidR="00BA517D" w:rsidRPr="00A00187" w:rsidRDefault="00BA517D" w:rsidP="00BA517D">
            <w:pPr>
              <w:spacing w:line="240" w:lineRule="auto"/>
              <w:jc w:val="center"/>
              <w:rPr>
                <w:rFonts w:eastAsia="Times New Roman"/>
                <w:b/>
                <w:bCs/>
                <w:szCs w:val="24"/>
                <w:lang w:eastAsia="cs-CZ"/>
              </w:rPr>
            </w:pPr>
            <w:r w:rsidRPr="00A00187">
              <w:rPr>
                <w:rFonts w:eastAsia="Times New Roman"/>
                <w:b/>
                <w:bCs/>
                <w:szCs w:val="24"/>
                <w:lang w:eastAsia="cs-CZ"/>
              </w:rPr>
              <w:t xml:space="preserve">Míra změny </w:t>
            </w:r>
            <w:r w:rsidR="00612CFD" w:rsidRPr="00A00187">
              <w:rPr>
                <w:rFonts w:eastAsia="Times New Roman"/>
                <w:b/>
                <w:bCs/>
                <w:szCs w:val="24"/>
                <w:lang w:eastAsia="cs-CZ"/>
              </w:rPr>
              <w:t>rozsudku</w:t>
            </w:r>
            <w:r w:rsidRPr="00A00187">
              <w:rPr>
                <w:rFonts w:eastAsia="Times New Roman"/>
                <w:b/>
                <w:bCs/>
                <w:szCs w:val="24"/>
                <w:lang w:eastAsia="cs-CZ"/>
              </w:rPr>
              <w:t xml:space="preserve"> (v</w:t>
            </w:r>
            <w:r w:rsidR="00CB570A">
              <w:rPr>
                <w:rFonts w:eastAsia="Times New Roman"/>
                <w:b/>
                <w:bCs/>
                <w:szCs w:val="24"/>
                <w:lang w:eastAsia="cs-CZ"/>
              </w:rPr>
              <w:t> %</w:t>
            </w:r>
            <w:r w:rsidRPr="00A00187">
              <w:rPr>
                <w:rFonts w:eastAsia="Times New Roman"/>
                <w:b/>
                <w:bCs/>
                <w:szCs w:val="24"/>
                <w:lang w:eastAsia="cs-CZ"/>
              </w:rPr>
              <w:t xml:space="preserve">) </w:t>
            </w:r>
          </w:p>
        </w:tc>
      </w:tr>
      <w:tr w:rsidR="00AC1E67" w:rsidRPr="00A00187" w14:paraId="0AFF48E3" w14:textId="77777777" w:rsidTr="00BA517D">
        <w:trPr>
          <w:trHeight w:val="330"/>
        </w:trPr>
        <w:tc>
          <w:tcPr>
            <w:tcW w:w="2796" w:type="dxa"/>
            <w:tcBorders>
              <w:top w:val="nil"/>
              <w:left w:val="nil"/>
              <w:bottom w:val="single" w:sz="4" w:space="0" w:color="auto"/>
              <w:right w:val="nil"/>
            </w:tcBorders>
            <w:shd w:val="clear" w:color="auto" w:fill="auto"/>
            <w:noWrap/>
            <w:vAlign w:val="bottom"/>
            <w:hideMark/>
          </w:tcPr>
          <w:p w14:paraId="04533F85"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MS Praha</w:t>
            </w:r>
          </w:p>
        </w:tc>
        <w:tc>
          <w:tcPr>
            <w:tcW w:w="1631" w:type="dxa"/>
            <w:tcBorders>
              <w:top w:val="nil"/>
              <w:left w:val="nil"/>
              <w:bottom w:val="single" w:sz="4" w:space="0" w:color="auto"/>
              <w:right w:val="nil"/>
            </w:tcBorders>
            <w:shd w:val="clear" w:color="auto" w:fill="auto"/>
            <w:noWrap/>
            <w:vAlign w:val="bottom"/>
            <w:hideMark/>
          </w:tcPr>
          <w:p w14:paraId="08B87E34" w14:textId="1C995A45"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51,13</w:t>
            </w:r>
            <w:r w:rsidR="00CB570A">
              <w:rPr>
                <w:rFonts w:eastAsia="Times New Roman"/>
                <w:szCs w:val="24"/>
                <w:lang w:eastAsia="cs-CZ"/>
              </w:rPr>
              <w:t> %</w:t>
            </w:r>
          </w:p>
        </w:tc>
        <w:tc>
          <w:tcPr>
            <w:tcW w:w="2585" w:type="dxa"/>
            <w:tcBorders>
              <w:top w:val="nil"/>
              <w:left w:val="nil"/>
              <w:bottom w:val="single" w:sz="4" w:space="0" w:color="auto"/>
              <w:right w:val="nil"/>
            </w:tcBorders>
            <w:shd w:val="clear" w:color="auto" w:fill="auto"/>
            <w:noWrap/>
            <w:vAlign w:val="center"/>
            <w:hideMark/>
          </w:tcPr>
          <w:p w14:paraId="28CE3CCD" w14:textId="3D7518E6"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+11,0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414C259" w14:textId="77777777" w:rsidTr="00BA517D">
        <w:trPr>
          <w:trHeight w:val="315"/>
        </w:trPr>
        <w:tc>
          <w:tcPr>
            <w:tcW w:w="2796" w:type="dxa"/>
            <w:tcBorders>
              <w:top w:val="nil"/>
              <w:left w:val="nil"/>
              <w:bottom w:val="single" w:sz="4" w:space="0" w:color="auto"/>
              <w:right w:val="nil"/>
            </w:tcBorders>
            <w:shd w:val="clear" w:color="auto" w:fill="auto"/>
            <w:noWrap/>
            <w:vAlign w:val="bottom"/>
            <w:hideMark/>
          </w:tcPr>
          <w:p w14:paraId="7E9BD9B8"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KS Praha</w:t>
            </w:r>
          </w:p>
        </w:tc>
        <w:tc>
          <w:tcPr>
            <w:tcW w:w="1631" w:type="dxa"/>
            <w:tcBorders>
              <w:top w:val="nil"/>
              <w:left w:val="nil"/>
              <w:bottom w:val="single" w:sz="4" w:space="0" w:color="auto"/>
              <w:right w:val="nil"/>
            </w:tcBorders>
            <w:shd w:val="clear" w:color="auto" w:fill="auto"/>
            <w:noWrap/>
            <w:vAlign w:val="bottom"/>
            <w:hideMark/>
          </w:tcPr>
          <w:p w14:paraId="3BFC5CF5" w14:textId="327973C7"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43,75</w:t>
            </w:r>
            <w:r w:rsidR="00CB570A">
              <w:rPr>
                <w:rFonts w:eastAsia="Times New Roman"/>
                <w:szCs w:val="24"/>
                <w:lang w:eastAsia="cs-CZ"/>
              </w:rPr>
              <w:t> %</w:t>
            </w:r>
          </w:p>
        </w:tc>
        <w:tc>
          <w:tcPr>
            <w:tcW w:w="2585" w:type="dxa"/>
            <w:tcBorders>
              <w:top w:val="nil"/>
              <w:left w:val="nil"/>
              <w:bottom w:val="single" w:sz="4" w:space="0" w:color="auto"/>
              <w:right w:val="nil"/>
            </w:tcBorders>
            <w:shd w:val="clear" w:color="auto" w:fill="auto"/>
            <w:noWrap/>
            <w:vAlign w:val="center"/>
            <w:hideMark/>
          </w:tcPr>
          <w:p w14:paraId="5B86F93F" w14:textId="1A0EDAFE"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-17,8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5AA61D8A" w14:textId="77777777" w:rsidTr="00BA517D">
        <w:trPr>
          <w:trHeight w:val="315"/>
        </w:trPr>
        <w:tc>
          <w:tcPr>
            <w:tcW w:w="2796" w:type="dxa"/>
            <w:tcBorders>
              <w:top w:val="nil"/>
              <w:left w:val="nil"/>
              <w:bottom w:val="single" w:sz="4" w:space="0" w:color="auto"/>
              <w:right w:val="nil"/>
            </w:tcBorders>
            <w:shd w:val="clear" w:color="auto" w:fill="auto"/>
            <w:noWrap/>
            <w:vAlign w:val="bottom"/>
            <w:hideMark/>
          </w:tcPr>
          <w:p w14:paraId="0B70AFB8"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KS Č. Budějovice</w:t>
            </w:r>
          </w:p>
        </w:tc>
        <w:tc>
          <w:tcPr>
            <w:tcW w:w="1631" w:type="dxa"/>
            <w:tcBorders>
              <w:top w:val="nil"/>
              <w:left w:val="nil"/>
              <w:bottom w:val="single" w:sz="4" w:space="0" w:color="auto"/>
              <w:right w:val="nil"/>
            </w:tcBorders>
            <w:shd w:val="clear" w:color="auto" w:fill="auto"/>
            <w:noWrap/>
            <w:vAlign w:val="bottom"/>
            <w:hideMark/>
          </w:tcPr>
          <w:p w14:paraId="7D11E215" w14:textId="3A996218"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65,12</w:t>
            </w:r>
            <w:r w:rsidR="00CB570A">
              <w:rPr>
                <w:rFonts w:eastAsia="Times New Roman"/>
                <w:szCs w:val="24"/>
                <w:lang w:eastAsia="cs-CZ"/>
              </w:rPr>
              <w:t> %</w:t>
            </w:r>
          </w:p>
        </w:tc>
        <w:tc>
          <w:tcPr>
            <w:tcW w:w="2585" w:type="dxa"/>
            <w:tcBorders>
              <w:top w:val="nil"/>
              <w:left w:val="nil"/>
              <w:bottom w:val="single" w:sz="4" w:space="0" w:color="auto"/>
              <w:right w:val="nil"/>
            </w:tcBorders>
            <w:shd w:val="clear" w:color="auto" w:fill="auto"/>
            <w:noWrap/>
            <w:vAlign w:val="center"/>
            <w:hideMark/>
          </w:tcPr>
          <w:p w14:paraId="321B4155" w14:textId="17AEDDDB"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-3,9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69DA8AB1" w14:textId="77777777" w:rsidTr="00BA517D">
        <w:trPr>
          <w:trHeight w:val="315"/>
        </w:trPr>
        <w:tc>
          <w:tcPr>
            <w:tcW w:w="2796" w:type="dxa"/>
            <w:tcBorders>
              <w:top w:val="nil"/>
              <w:left w:val="nil"/>
              <w:bottom w:val="single" w:sz="4" w:space="0" w:color="auto"/>
              <w:right w:val="nil"/>
            </w:tcBorders>
            <w:shd w:val="clear" w:color="auto" w:fill="auto"/>
            <w:noWrap/>
            <w:vAlign w:val="bottom"/>
            <w:hideMark/>
          </w:tcPr>
          <w:p w14:paraId="31C811CC"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KS Plzeň</w:t>
            </w:r>
          </w:p>
        </w:tc>
        <w:tc>
          <w:tcPr>
            <w:tcW w:w="1631" w:type="dxa"/>
            <w:tcBorders>
              <w:top w:val="nil"/>
              <w:left w:val="nil"/>
              <w:bottom w:val="single" w:sz="4" w:space="0" w:color="auto"/>
              <w:right w:val="nil"/>
            </w:tcBorders>
            <w:shd w:val="clear" w:color="auto" w:fill="auto"/>
            <w:noWrap/>
            <w:vAlign w:val="bottom"/>
            <w:hideMark/>
          </w:tcPr>
          <w:p w14:paraId="635F90B4" w14:textId="6EE4E092"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41,51</w:t>
            </w:r>
            <w:r w:rsidR="00CB570A">
              <w:rPr>
                <w:rFonts w:eastAsia="Times New Roman"/>
                <w:szCs w:val="24"/>
                <w:lang w:eastAsia="cs-CZ"/>
              </w:rPr>
              <w:t> %</w:t>
            </w:r>
          </w:p>
        </w:tc>
        <w:tc>
          <w:tcPr>
            <w:tcW w:w="2585" w:type="dxa"/>
            <w:tcBorders>
              <w:top w:val="nil"/>
              <w:left w:val="nil"/>
              <w:bottom w:val="single" w:sz="4" w:space="0" w:color="auto"/>
              <w:right w:val="nil"/>
            </w:tcBorders>
            <w:shd w:val="clear" w:color="auto" w:fill="auto"/>
            <w:noWrap/>
            <w:vAlign w:val="center"/>
            <w:hideMark/>
          </w:tcPr>
          <w:p w14:paraId="643F422C" w14:textId="53A9DFD5"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+1,8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43C2E49F" w14:textId="77777777" w:rsidTr="00BA517D">
        <w:trPr>
          <w:trHeight w:val="315"/>
        </w:trPr>
        <w:tc>
          <w:tcPr>
            <w:tcW w:w="2796" w:type="dxa"/>
            <w:tcBorders>
              <w:top w:val="nil"/>
              <w:left w:val="nil"/>
              <w:bottom w:val="single" w:sz="4" w:space="0" w:color="auto"/>
              <w:right w:val="nil"/>
            </w:tcBorders>
            <w:shd w:val="clear" w:color="auto" w:fill="auto"/>
            <w:noWrap/>
            <w:vAlign w:val="bottom"/>
            <w:hideMark/>
          </w:tcPr>
          <w:p w14:paraId="00079A0C"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KS Ústí n. Labem</w:t>
            </w:r>
          </w:p>
        </w:tc>
        <w:tc>
          <w:tcPr>
            <w:tcW w:w="1631" w:type="dxa"/>
            <w:tcBorders>
              <w:top w:val="nil"/>
              <w:left w:val="nil"/>
              <w:bottom w:val="single" w:sz="4" w:space="0" w:color="auto"/>
              <w:right w:val="nil"/>
            </w:tcBorders>
            <w:shd w:val="clear" w:color="auto" w:fill="auto"/>
            <w:noWrap/>
            <w:vAlign w:val="bottom"/>
            <w:hideMark/>
          </w:tcPr>
          <w:p w14:paraId="3EAD677F" w14:textId="4CAC56C2"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66,67</w:t>
            </w:r>
            <w:r w:rsidR="00CB570A">
              <w:rPr>
                <w:rFonts w:eastAsia="Times New Roman"/>
                <w:szCs w:val="24"/>
                <w:lang w:eastAsia="cs-CZ"/>
              </w:rPr>
              <w:t> %</w:t>
            </w:r>
          </w:p>
        </w:tc>
        <w:tc>
          <w:tcPr>
            <w:tcW w:w="2585" w:type="dxa"/>
            <w:tcBorders>
              <w:top w:val="nil"/>
              <w:left w:val="nil"/>
              <w:bottom w:val="single" w:sz="4" w:space="0" w:color="auto"/>
              <w:right w:val="nil"/>
            </w:tcBorders>
            <w:shd w:val="clear" w:color="auto" w:fill="auto"/>
            <w:noWrap/>
            <w:vAlign w:val="center"/>
            <w:hideMark/>
          </w:tcPr>
          <w:p w14:paraId="1D684244" w14:textId="1D687DB0"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+14,8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40988DFD" w14:textId="77777777" w:rsidTr="00BA517D">
        <w:trPr>
          <w:trHeight w:val="315"/>
        </w:trPr>
        <w:tc>
          <w:tcPr>
            <w:tcW w:w="2796" w:type="dxa"/>
            <w:tcBorders>
              <w:top w:val="nil"/>
              <w:left w:val="nil"/>
              <w:bottom w:val="single" w:sz="4" w:space="0" w:color="auto"/>
              <w:right w:val="nil"/>
            </w:tcBorders>
            <w:shd w:val="clear" w:color="auto" w:fill="auto"/>
            <w:noWrap/>
            <w:vAlign w:val="bottom"/>
            <w:hideMark/>
          </w:tcPr>
          <w:p w14:paraId="26C99143"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KS Hr. Králové</w:t>
            </w:r>
          </w:p>
        </w:tc>
        <w:tc>
          <w:tcPr>
            <w:tcW w:w="1631" w:type="dxa"/>
            <w:tcBorders>
              <w:top w:val="nil"/>
              <w:left w:val="nil"/>
              <w:bottom w:val="single" w:sz="4" w:space="0" w:color="auto"/>
              <w:right w:val="nil"/>
            </w:tcBorders>
            <w:shd w:val="clear" w:color="auto" w:fill="auto"/>
            <w:noWrap/>
            <w:vAlign w:val="bottom"/>
            <w:hideMark/>
          </w:tcPr>
          <w:p w14:paraId="1DD68797" w14:textId="4937ED79"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62,24</w:t>
            </w:r>
            <w:r w:rsidR="00CB570A">
              <w:rPr>
                <w:rFonts w:eastAsia="Times New Roman"/>
                <w:szCs w:val="24"/>
                <w:lang w:eastAsia="cs-CZ"/>
              </w:rPr>
              <w:t> %</w:t>
            </w:r>
          </w:p>
        </w:tc>
        <w:tc>
          <w:tcPr>
            <w:tcW w:w="2585" w:type="dxa"/>
            <w:tcBorders>
              <w:top w:val="nil"/>
              <w:left w:val="nil"/>
              <w:bottom w:val="single" w:sz="4" w:space="0" w:color="auto"/>
              <w:right w:val="nil"/>
            </w:tcBorders>
            <w:shd w:val="clear" w:color="auto" w:fill="auto"/>
            <w:noWrap/>
            <w:vAlign w:val="center"/>
            <w:hideMark/>
          </w:tcPr>
          <w:p w14:paraId="4A1C73F0" w14:textId="44373763"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+14,8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764281F7" w14:textId="77777777" w:rsidTr="00BA517D">
        <w:trPr>
          <w:trHeight w:val="315"/>
        </w:trPr>
        <w:tc>
          <w:tcPr>
            <w:tcW w:w="2796" w:type="dxa"/>
            <w:tcBorders>
              <w:top w:val="nil"/>
              <w:left w:val="nil"/>
              <w:bottom w:val="single" w:sz="4" w:space="0" w:color="auto"/>
              <w:right w:val="nil"/>
            </w:tcBorders>
            <w:shd w:val="clear" w:color="auto" w:fill="auto"/>
            <w:noWrap/>
            <w:vAlign w:val="bottom"/>
            <w:hideMark/>
          </w:tcPr>
          <w:p w14:paraId="378BE78C"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KS Brno</w:t>
            </w:r>
          </w:p>
        </w:tc>
        <w:tc>
          <w:tcPr>
            <w:tcW w:w="1631" w:type="dxa"/>
            <w:tcBorders>
              <w:top w:val="nil"/>
              <w:left w:val="nil"/>
              <w:bottom w:val="single" w:sz="4" w:space="0" w:color="auto"/>
              <w:right w:val="nil"/>
            </w:tcBorders>
            <w:shd w:val="clear" w:color="auto" w:fill="auto"/>
            <w:noWrap/>
            <w:vAlign w:val="bottom"/>
            <w:hideMark/>
          </w:tcPr>
          <w:p w14:paraId="0D3EA806" w14:textId="261B241B"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62,72</w:t>
            </w:r>
            <w:r w:rsidR="00CB570A">
              <w:rPr>
                <w:rFonts w:eastAsia="Times New Roman"/>
                <w:szCs w:val="24"/>
                <w:lang w:eastAsia="cs-CZ"/>
              </w:rPr>
              <w:t> %</w:t>
            </w:r>
          </w:p>
        </w:tc>
        <w:tc>
          <w:tcPr>
            <w:tcW w:w="2585" w:type="dxa"/>
            <w:tcBorders>
              <w:top w:val="nil"/>
              <w:left w:val="nil"/>
              <w:bottom w:val="single" w:sz="4" w:space="0" w:color="auto"/>
              <w:right w:val="nil"/>
            </w:tcBorders>
            <w:shd w:val="clear" w:color="auto" w:fill="auto"/>
            <w:noWrap/>
            <w:vAlign w:val="center"/>
            <w:hideMark/>
          </w:tcPr>
          <w:p w14:paraId="37C0B091" w14:textId="6A57C775"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+12,7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4119DFCA" w14:textId="77777777" w:rsidTr="00BA517D">
        <w:trPr>
          <w:trHeight w:val="330"/>
        </w:trPr>
        <w:tc>
          <w:tcPr>
            <w:tcW w:w="2796" w:type="dxa"/>
            <w:tcBorders>
              <w:top w:val="nil"/>
              <w:left w:val="nil"/>
              <w:bottom w:val="double" w:sz="6" w:space="0" w:color="auto"/>
              <w:right w:val="nil"/>
            </w:tcBorders>
            <w:shd w:val="clear" w:color="auto" w:fill="auto"/>
            <w:noWrap/>
            <w:vAlign w:val="bottom"/>
            <w:hideMark/>
          </w:tcPr>
          <w:p w14:paraId="7080D205" w14:textId="77777777" w:rsidR="00BA517D" w:rsidRPr="00A00187" w:rsidRDefault="00BA517D" w:rsidP="00BA517D">
            <w:pPr>
              <w:spacing w:line="240" w:lineRule="auto"/>
              <w:jc w:val="left"/>
              <w:rPr>
                <w:rFonts w:eastAsia="Times New Roman"/>
                <w:szCs w:val="24"/>
                <w:lang w:eastAsia="cs-CZ"/>
              </w:rPr>
            </w:pPr>
            <w:r w:rsidRPr="00A00187">
              <w:rPr>
                <w:rFonts w:eastAsia="Times New Roman"/>
                <w:szCs w:val="24"/>
                <w:lang w:eastAsia="cs-CZ"/>
              </w:rPr>
              <w:t>KS Ostrava</w:t>
            </w:r>
          </w:p>
        </w:tc>
        <w:tc>
          <w:tcPr>
            <w:tcW w:w="1631" w:type="dxa"/>
            <w:tcBorders>
              <w:top w:val="nil"/>
              <w:left w:val="nil"/>
              <w:bottom w:val="double" w:sz="6" w:space="0" w:color="auto"/>
              <w:right w:val="nil"/>
            </w:tcBorders>
            <w:shd w:val="clear" w:color="auto" w:fill="auto"/>
            <w:noWrap/>
            <w:vAlign w:val="bottom"/>
            <w:hideMark/>
          </w:tcPr>
          <w:p w14:paraId="1905FC3C" w14:textId="405E72AE" w:rsidR="00BA517D" w:rsidRPr="00A00187" w:rsidRDefault="00BA517D" w:rsidP="00BA517D">
            <w:pPr>
              <w:spacing w:line="240" w:lineRule="auto"/>
              <w:jc w:val="center"/>
              <w:rPr>
                <w:rFonts w:eastAsia="Times New Roman"/>
                <w:szCs w:val="24"/>
                <w:lang w:eastAsia="cs-CZ"/>
              </w:rPr>
            </w:pPr>
            <w:r w:rsidRPr="00A00187">
              <w:rPr>
                <w:rFonts w:eastAsia="Times New Roman"/>
                <w:szCs w:val="24"/>
                <w:lang w:eastAsia="cs-CZ"/>
              </w:rPr>
              <w:t>63,51</w:t>
            </w:r>
            <w:r w:rsidR="00CB570A">
              <w:rPr>
                <w:rFonts w:eastAsia="Times New Roman"/>
                <w:szCs w:val="24"/>
                <w:lang w:eastAsia="cs-CZ"/>
              </w:rPr>
              <w:t> %</w:t>
            </w:r>
          </w:p>
        </w:tc>
        <w:tc>
          <w:tcPr>
            <w:tcW w:w="2585" w:type="dxa"/>
            <w:tcBorders>
              <w:top w:val="nil"/>
              <w:left w:val="nil"/>
              <w:bottom w:val="nil"/>
              <w:right w:val="nil"/>
            </w:tcBorders>
            <w:shd w:val="clear" w:color="auto" w:fill="auto"/>
            <w:noWrap/>
            <w:vAlign w:val="center"/>
            <w:hideMark/>
          </w:tcPr>
          <w:p w14:paraId="15AA4B5D" w14:textId="3FC4C0C7" w:rsidR="00BA517D" w:rsidRPr="00A00187" w:rsidRDefault="00BA517D" w:rsidP="00BA517D">
            <w:pPr>
              <w:spacing w:line="240" w:lineRule="auto"/>
              <w:jc w:val="center"/>
              <w:rPr>
                <w:rFonts w:eastAsia="Times New Roman"/>
                <w:sz w:val="20"/>
                <w:szCs w:val="20"/>
                <w:lang w:eastAsia="cs-CZ"/>
              </w:rPr>
            </w:pPr>
            <w:r w:rsidRPr="00A00187">
              <w:rPr>
                <w:rFonts w:eastAsia="Times New Roman"/>
                <w:sz w:val="20"/>
                <w:szCs w:val="20"/>
                <w:lang w:eastAsia="cs-CZ"/>
              </w:rPr>
              <w:t xml:space="preserve">+22,7 </w:t>
            </w:r>
            <w:proofErr w:type="spellStart"/>
            <w:r w:rsidRPr="00A00187">
              <w:rPr>
                <w:rFonts w:eastAsia="Times New Roman"/>
                <w:sz w:val="20"/>
                <w:szCs w:val="20"/>
                <w:lang w:eastAsia="cs-CZ"/>
              </w:rPr>
              <w:t>p.b</w:t>
            </w:r>
            <w:proofErr w:type="spellEnd"/>
            <w:r w:rsidRPr="00A00187">
              <w:rPr>
                <w:rFonts w:eastAsia="Times New Roman"/>
                <w:sz w:val="20"/>
                <w:szCs w:val="20"/>
                <w:lang w:eastAsia="cs-CZ"/>
              </w:rPr>
              <w:t>.</w:t>
            </w:r>
          </w:p>
        </w:tc>
      </w:tr>
      <w:tr w:rsidR="00AC1E67" w:rsidRPr="00A00187" w14:paraId="07A3394D" w14:textId="77777777" w:rsidTr="00BA517D">
        <w:trPr>
          <w:trHeight w:val="345"/>
        </w:trPr>
        <w:tc>
          <w:tcPr>
            <w:tcW w:w="2796" w:type="dxa"/>
            <w:tcBorders>
              <w:top w:val="nil"/>
              <w:left w:val="nil"/>
              <w:bottom w:val="double" w:sz="6" w:space="0" w:color="auto"/>
              <w:right w:val="nil"/>
            </w:tcBorders>
            <w:shd w:val="clear" w:color="auto" w:fill="auto"/>
            <w:noWrap/>
            <w:vAlign w:val="bottom"/>
            <w:hideMark/>
          </w:tcPr>
          <w:p w14:paraId="18AB1A48" w14:textId="77777777" w:rsidR="00BA517D" w:rsidRPr="00A00187" w:rsidRDefault="00BA517D" w:rsidP="00BA517D">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631" w:type="dxa"/>
            <w:tcBorders>
              <w:top w:val="nil"/>
              <w:left w:val="nil"/>
              <w:bottom w:val="double" w:sz="6" w:space="0" w:color="auto"/>
              <w:right w:val="nil"/>
            </w:tcBorders>
            <w:shd w:val="clear" w:color="auto" w:fill="auto"/>
            <w:noWrap/>
            <w:vAlign w:val="bottom"/>
            <w:hideMark/>
          </w:tcPr>
          <w:p w14:paraId="771C0416" w14:textId="12649761" w:rsidR="00BA517D" w:rsidRPr="00A00187" w:rsidRDefault="00BA517D" w:rsidP="00BA517D">
            <w:pPr>
              <w:spacing w:line="240" w:lineRule="auto"/>
              <w:jc w:val="center"/>
              <w:rPr>
                <w:rFonts w:eastAsia="Times New Roman"/>
                <w:b/>
                <w:bCs/>
                <w:szCs w:val="24"/>
                <w:lang w:eastAsia="cs-CZ"/>
              </w:rPr>
            </w:pPr>
            <w:r w:rsidRPr="00A00187">
              <w:rPr>
                <w:rFonts w:eastAsia="Times New Roman"/>
                <w:b/>
                <w:bCs/>
                <w:szCs w:val="24"/>
                <w:lang w:eastAsia="cs-CZ"/>
              </w:rPr>
              <w:t>58,02</w:t>
            </w:r>
            <w:r w:rsidR="00CB570A">
              <w:rPr>
                <w:rFonts w:eastAsia="Times New Roman"/>
                <w:b/>
                <w:bCs/>
                <w:szCs w:val="24"/>
                <w:lang w:eastAsia="cs-CZ"/>
              </w:rPr>
              <w:t> %</w:t>
            </w:r>
          </w:p>
        </w:tc>
        <w:tc>
          <w:tcPr>
            <w:tcW w:w="2585" w:type="dxa"/>
            <w:tcBorders>
              <w:top w:val="double" w:sz="6" w:space="0" w:color="auto"/>
              <w:left w:val="nil"/>
              <w:bottom w:val="double" w:sz="6" w:space="0" w:color="auto"/>
              <w:right w:val="nil"/>
            </w:tcBorders>
            <w:shd w:val="clear" w:color="auto" w:fill="auto"/>
            <w:noWrap/>
            <w:vAlign w:val="center"/>
            <w:hideMark/>
          </w:tcPr>
          <w:p w14:paraId="08D5A839" w14:textId="5F7B06DF" w:rsidR="00BA517D" w:rsidRPr="00A00187" w:rsidRDefault="00BA517D" w:rsidP="00BA517D">
            <w:pPr>
              <w:spacing w:line="240" w:lineRule="auto"/>
              <w:jc w:val="center"/>
              <w:rPr>
                <w:rFonts w:eastAsia="Times New Roman"/>
                <w:b/>
                <w:bCs/>
                <w:sz w:val="20"/>
                <w:szCs w:val="20"/>
                <w:lang w:eastAsia="cs-CZ"/>
              </w:rPr>
            </w:pPr>
            <w:r w:rsidRPr="00A00187">
              <w:rPr>
                <w:rFonts w:eastAsia="Times New Roman"/>
                <w:b/>
                <w:bCs/>
                <w:sz w:val="20"/>
                <w:szCs w:val="20"/>
                <w:lang w:eastAsia="cs-CZ"/>
              </w:rPr>
              <w:t xml:space="preserve">+11,7 </w:t>
            </w:r>
            <w:proofErr w:type="spellStart"/>
            <w:r w:rsidRPr="00A00187">
              <w:rPr>
                <w:rFonts w:eastAsia="Times New Roman"/>
                <w:b/>
                <w:bCs/>
                <w:sz w:val="20"/>
                <w:szCs w:val="20"/>
                <w:lang w:eastAsia="cs-CZ"/>
              </w:rPr>
              <w:t>p.b</w:t>
            </w:r>
            <w:proofErr w:type="spellEnd"/>
            <w:r w:rsidRPr="00A00187">
              <w:rPr>
                <w:rFonts w:eastAsia="Times New Roman"/>
                <w:b/>
                <w:bCs/>
                <w:sz w:val="20"/>
                <w:szCs w:val="20"/>
                <w:lang w:eastAsia="cs-CZ"/>
              </w:rPr>
              <w:t>.</w:t>
            </w:r>
          </w:p>
        </w:tc>
      </w:tr>
      <w:tr w:rsidR="00AC1E67" w:rsidRPr="00A00187" w14:paraId="5F2CD09A" w14:textId="77777777" w:rsidTr="00BA517D">
        <w:trPr>
          <w:trHeight w:val="330"/>
        </w:trPr>
        <w:tc>
          <w:tcPr>
            <w:tcW w:w="2796" w:type="dxa"/>
            <w:tcBorders>
              <w:top w:val="nil"/>
              <w:left w:val="nil"/>
              <w:bottom w:val="nil"/>
              <w:right w:val="nil"/>
            </w:tcBorders>
            <w:shd w:val="clear" w:color="auto" w:fill="auto"/>
            <w:noWrap/>
            <w:vAlign w:val="bottom"/>
            <w:hideMark/>
          </w:tcPr>
          <w:p w14:paraId="1BD9E0FE" w14:textId="77777777" w:rsidR="00BA517D" w:rsidRPr="00A00187" w:rsidRDefault="00BA517D" w:rsidP="00BA517D">
            <w:pPr>
              <w:spacing w:line="240" w:lineRule="auto"/>
              <w:jc w:val="right"/>
              <w:rPr>
                <w:rFonts w:eastAsia="Times New Roman"/>
                <w:b/>
                <w:bCs/>
                <w:sz w:val="20"/>
                <w:szCs w:val="20"/>
                <w:lang w:eastAsia="cs-CZ"/>
              </w:rPr>
            </w:pPr>
          </w:p>
        </w:tc>
        <w:tc>
          <w:tcPr>
            <w:tcW w:w="1631" w:type="dxa"/>
            <w:tcBorders>
              <w:top w:val="nil"/>
              <w:left w:val="nil"/>
              <w:bottom w:val="nil"/>
              <w:right w:val="nil"/>
            </w:tcBorders>
            <w:shd w:val="clear" w:color="auto" w:fill="auto"/>
            <w:noWrap/>
            <w:vAlign w:val="bottom"/>
            <w:hideMark/>
          </w:tcPr>
          <w:p w14:paraId="10993596" w14:textId="77777777" w:rsidR="00BA517D" w:rsidRPr="00A00187" w:rsidRDefault="00BA517D" w:rsidP="00BA517D">
            <w:pPr>
              <w:spacing w:line="240" w:lineRule="auto"/>
              <w:jc w:val="left"/>
              <w:rPr>
                <w:rFonts w:ascii="Times New Roman" w:eastAsia="Times New Roman" w:hAnsi="Times New Roman"/>
                <w:sz w:val="20"/>
                <w:szCs w:val="20"/>
                <w:lang w:eastAsia="cs-CZ"/>
              </w:rPr>
            </w:pPr>
          </w:p>
        </w:tc>
        <w:tc>
          <w:tcPr>
            <w:tcW w:w="2585" w:type="dxa"/>
            <w:tcBorders>
              <w:top w:val="nil"/>
              <w:left w:val="nil"/>
              <w:bottom w:val="nil"/>
              <w:right w:val="nil"/>
            </w:tcBorders>
            <w:shd w:val="clear" w:color="auto" w:fill="auto"/>
            <w:noWrap/>
            <w:vAlign w:val="bottom"/>
            <w:hideMark/>
          </w:tcPr>
          <w:p w14:paraId="60A96FA4" w14:textId="77777777" w:rsidR="00BA517D" w:rsidRPr="00A00187" w:rsidRDefault="00BA517D" w:rsidP="00BA517D">
            <w:pPr>
              <w:spacing w:line="240" w:lineRule="auto"/>
              <w:jc w:val="left"/>
              <w:rPr>
                <w:rFonts w:ascii="Times New Roman" w:eastAsia="Times New Roman" w:hAnsi="Times New Roman"/>
                <w:sz w:val="20"/>
                <w:szCs w:val="20"/>
                <w:lang w:eastAsia="cs-CZ"/>
              </w:rPr>
            </w:pPr>
          </w:p>
        </w:tc>
      </w:tr>
    </w:tbl>
    <w:p w14:paraId="1FAC54C4" w14:textId="3EA19DB1" w:rsidR="00BA517D" w:rsidRPr="00A00187" w:rsidRDefault="00BA517D" w:rsidP="00BA517D">
      <w:pPr>
        <w:pStyle w:val="OdstavecASR"/>
      </w:pPr>
      <w:r w:rsidRPr="00A00187">
        <w:t>Míra změny rozsudku je také vyšší než u okresních soudů – přibližně o 16 procentních bodů v roce 2017, cca o 8 procentních bodů v roce 2018, asi o 10 procentních bodů v roce 2019,</w:t>
      </w:r>
      <w:r w:rsidR="00314BD2">
        <w:t xml:space="preserve"> </w:t>
      </w:r>
      <w:r w:rsidRPr="00A00187">
        <w:t xml:space="preserve">pouze o necelých 6 procentních bodů v roce 2020 </w:t>
      </w:r>
      <w:r w:rsidR="00755920" w:rsidRPr="00A00187">
        <w:t>a</w:t>
      </w:r>
      <w:r w:rsidR="00755920">
        <w:t> </w:t>
      </w:r>
      <w:r w:rsidR="00755920" w:rsidRPr="00A00187">
        <w:t>o</w:t>
      </w:r>
      <w:r w:rsidR="00755920">
        <w:t> </w:t>
      </w:r>
      <w:r w:rsidRPr="00A00187">
        <w:t>14 procentních bodů v roce 2021. Míra změny rozsudku za ČR se zdá na první pohled vysoká. Je ale třeba vzít v úvahu závažnost a složitost projednávaných věcí (jedná se o velmi vysoké tresty odnětí svobody a komplikovanou trestnou činnost). Vrchní soudy také často pouze změní výši uloženého trestu nebo věc vrátí krajským soudům k novému projednání.</w:t>
      </w:r>
    </w:p>
    <w:p w14:paraId="76DF0DC7" w14:textId="77777777" w:rsidR="00BA517D" w:rsidRPr="00A00187" w:rsidRDefault="00BA517D" w:rsidP="00BA517D">
      <w:pPr>
        <w:pStyle w:val="OdstavecASR"/>
      </w:pPr>
      <w:r w:rsidRPr="00A00187">
        <w:t>Jak již bylo řečeno výše, opět se potvrzuje, že meziroční změny v míře celkové změny rozsudku nemají příliš velkou vypovídající hodnotu. Pro úplnost však toto srovnání provádíme.</w:t>
      </w:r>
    </w:p>
    <w:p w14:paraId="66207743" w14:textId="77777777" w:rsidR="00BA517D" w:rsidRPr="00A00187" w:rsidRDefault="00BA517D" w:rsidP="00BA517D">
      <w:pPr>
        <w:pStyle w:val="OdstavecASR"/>
      </w:pPr>
      <w:r w:rsidRPr="00A00187">
        <w:t>Míra celkové změny rozsudku počítaná jako [(míra odvolání × míra změny rozsudku) / 100] se za celou ČR v posledních pěti letech pohybovala následovně:</w:t>
      </w:r>
    </w:p>
    <w:p w14:paraId="068C3BCE" w14:textId="210C7BFD" w:rsidR="00BA517D" w:rsidRPr="00A00187" w:rsidRDefault="00BA517D" w:rsidP="00BA517D">
      <w:pPr>
        <w:pStyle w:val="OdstavecASR"/>
      </w:pPr>
      <w:r w:rsidRPr="00A00187">
        <w:t>2016: 74,10</w:t>
      </w:r>
      <w:r w:rsidR="00CB570A">
        <w:t> %</w:t>
      </w:r>
      <w:r w:rsidRPr="00A00187">
        <w:t> × 54,96</w:t>
      </w:r>
      <w:r w:rsidR="00CB570A">
        <w:t> %</w:t>
      </w:r>
      <w:r w:rsidRPr="00A00187">
        <w:t> </w:t>
      </w:r>
      <w:r w:rsidRPr="00A00187">
        <w:rPr>
          <w:rFonts w:ascii="Cambria Math" w:hAnsi="Cambria Math" w:cs="Cambria Math"/>
        </w:rPr>
        <w:t>≐</w:t>
      </w:r>
      <w:r w:rsidRPr="00A00187">
        <w:t xml:space="preserve"> 40,73</w:t>
      </w:r>
      <w:r w:rsidR="00CB570A">
        <w:t> %</w:t>
      </w:r>
    </w:p>
    <w:p w14:paraId="4CDF07FB" w14:textId="16E13A15" w:rsidR="00BA517D" w:rsidRPr="00A00187" w:rsidRDefault="00BA517D" w:rsidP="00BA517D">
      <w:pPr>
        <w:pStyle w:val="OdstavecASR"/>
      </w:pPr>
      <w:r w:rsidRPr="00A00187">
        <w:t>2017: 77,85</w:t>
      </w:r>
      <w:r w:rsidR="00CB570A">
        <w:t> %</w:t>
      </w:r>
      <w:r w:rsidRPr="00A00187">
        <w:t> × 58,44</w:t>
      </w:r>
      <w:r w:rsidR="00CB570A">
        <w:t> %</w:t>
      </w:r>
      <w:r w:rsidRPr="00A00187">
        <w:t> </w:t>
      </w:r>
      <w:r w:rsidRPr="00A00187">
        <w:rPr>
          <w:rFonts w:ascii="Cambria Math" w:hAnsi="Cambria Math" w:cs="Cambria Math"/>
        </w:rPr>
        <w:t>≐</w:t>
      </w:r>
      <w:r w:rsidRPr="00A00187">
        <w:t xml:space="preserve"> 45,50</w:t>
      </w:r>
      <w:r w:rsidR="00CB570A">
        <w:t> %</w:t>
      </w:r>
    </w:p>
    <w:p w14:paraId="2342003A" w14:textId="3C035634" w:rsidR="00BA517D" w:rsidRPr="00A00187" w:rsidRDefault="00BA517D" w:rsidP="00BA517D">
      <w:pPr>
        <w:pStyle w:val="OdstavecASR"/>
      </w:pPr>
      <w:r w:rsidRPr="00A00187">
        <w:t>2018: 72,81</w:t>
      </w:r>
      <w:r w:rsidR="00CB570A">
        <w:t> %</w:t>
      </w:r>
      <w:r w:rsidRPr="00A00187">
        <w:t> × 50,01</w:t>
      </w:r>
      <w:r w:rsidR="00CB570A">
        <w:t> %</w:t>
      </w:r>
      <w:r w:rsidRPr="00A00187">
        <w:t> </w:t>
      </w:r>
      <w:r w:rsidRPr="00A00187">
        <w:rPr>
          <w:rFonts w:ascii="Cambria Math" w:hAnsi="Cambria Math" w:cs="Cambria Math"/>
        </w:rPr>
        <w:t>≐</w:t>
      </w:r>
      <w:r w:rsidRPr="00A00187">
        <w:t xml:space="preserve"> 36,41</w:t>
      </w:r>
      <w:r w:rsidR="00CB570A">
        <w:t> %</w:t>
      </w:r>
    </w:p>
    <w:p w14:paraId="360F74F5" w14:textId="6DFC5EDC" w:rsidR="00BA517D" w:rsidRPr="00A00187" w:rsidRDefault="00BA517D" w:rsidP="00BA517D">
      <w:pPr>
        <w:pStyle w:val="OdstavecASR"/>
      </w:pPr>
      <w:r w:rsidRPr="00A00187">
        <w:t>2019: 79,90</w:t>
      </w:r>
      <w:r w:rsidR="00CB570A">
        <w:t> %</w:t>
      </w:r>
      <w:r w:rsidRPr="00A00187">
        <w:t> × 50,52</w:t>
      </w:r>
      <w:r w:rsidR="00CB570A">
        <w:t> %</w:t>
      </w:r>
      <w:r w:rsidRPr="00A00187">
        <w:t> </w:t>
      </w:r>
      <w:r w:rsidRPr="00A00187">
        <w:rPr>
          <w:rFonts w:ascii="Cambria Math" w:hAnsi="Cambria Math" w:cs="Cambria Math"/>
        </w:rPr>
        <w:t>≐</w:t>
      </w:r>
      <w:r w:rsidRPr="00A00187">
        <w:t xml:space="preserve"> 40,37</w:t>
      </w:r>
      <w:r w:rsidR="00CB570A">
        <w:t> %</w:t>
      </w:r>
    </w:p>
    <w:p w14:paraId="0A06A436" w14:textId="21A2A1C7" w:rsidR="00BA517D" w:rsidRPr="00A00187" w:rsidRDefault="00BA517D" w:rsidP="00BA517D">
      <w:pPr>
        <w:pStyle w:val="OdstavecASR"/>
      </w:pPr>
      <w:r w:rsidRPr="00A00187">
        <w:t>2020: 71,29</w:t>
      </w:r>
      <w:r w:rsidR="00CB570A">
        <w:t> %</w:t>
      </w:r>
      <w:r w:rsidRPr="00A00187">
        <w:t> × 46,32</w:t>
      </w:r>
      <w:r w:rsidR="00CB570A">
        <w:t> %</w:t>
      </w:r>
      <w:r w:rsidRPr="00A00187">
        <w:t> </w:t>
      </w:r>
      <w:r w:rsidRPr="00A00187">
        <w:rPr>
          <w:rFonts w:ascii="Cambria Math" w:hAnsi="Cambria Math" w:cs="Cambria Math"/>
        </w:rPr>
        <w:t>≐</w:t>
      </w:r>
      <w:r w:rsidRPr="00A00187">
        <w:t xml:space="preserve"> 33,02</w:t>
      </w:r>
      <w:r w:rsidR="00CB570A">
        <w:t> %</w:t>
      </w:r>
    </w:p>
    <w:p w14:paraId="71A38F0C" w14:textId="404A13F8" w:rsidR="00BA517D" w:rsidRPr="00A00187" w:rsidRDefault="00BA517D" w:rsidP="00BA517D">
      <w:pPr>
        <w:pStyle w:val="OdstavecASR"/>
      </w:pPr>
      <w:r w:rsidRPr="00A00187">
        <w:t>2021: 58,83</w:t>
      </w:r>
      <w:r w:rsidR="00CB570A">
        <w:t> %</w:t>
      </w:r>
      <w:r w:rsidRPr="00A00187">
        <w:t> × 58,02</w:t>
      </w:r>
      <w:r w:rsidR="00CB570A">
        <w:t> %</w:t>
      </w:r>
      <w:r w:rsidRPr="00A00187">
        <w:t> </w:t>
      </w:r>
      <w:r w:rsidRPr="00A00187">
        <w:rPr>
          <w:rFonts w:ascii="Cambria Math" w:hAnsi="Cambria Math" w:cs="Cambria Math"/>
        </w:rPr>
        <w:t>≐</w:t>
      </w:r>
      <w:r w:rsidRPr="00A00187">
        <w:t xml:space="preserve"> 34,13</w:t>
      </w:r>
      <w:r w:rsidR="00CB570A">
        <w:t> %</w:t>
      </w:r>
    </w:p>
    <w:p w14:paraId="02590FCE" w14:textId="77777777" w:rsidR="00D00E91" w:rsidRPr="00A00187" w:rsidRDefault="00D00E91" w:rsidP="007F73C9">
      <w:pPr>
        <w:pStyle w:val="OdstavecASR"/>
        <w:keepNext/>
        <w:outlineLvl w:val="3"/>
        <w:rPr>
          <w:b/>
          <w:bCs/>
        </w:rPr>
      </w:pPr>
      <w:r w:rsidRPr="00A00187">
        <w:rPr>
          <w:b/>
          <w:bCs/>
        </w:rPr>
        <w:t>Peněžité tresty</w:t>
      </w:r>
    </w:p>
    <w:p w14:paraId="5C71809B" w14:textId="19269D83" w:rsidR="00CB570A" w:rsidRDefault="00D00E91" w:rsidP="00D00E91">
      <w:pPr>
        <w:pStyle w:val="OdstavecASR"/>
      </w:pPr>
      <w:r w:rsidRPr="00A00187">
        <w:t xml:space="preserve">Stejně jako </w:t>
      </w:r>
      <w:r w:rsidR="00755920" w:rsidRPr="00A00187">
        <w:t>u</w:t>
      </w:r>
      <w:r w:rsidR="00755920">
        <w:t> </w:t>
      </w:r>
      <w:r w:rsidRPr="00A00187">
        <w:t xml:space="preserve">okresních soudů se </w:t>
      </w:r>
      <w:r w:rsidR="00E02349" w:rsidRPr="00A00187">
        <w:t xml:space="preserve">závěrem této podkapitoly zaměříme </w:t>
      </w:r>
      <w:r w:rsidRPr="00A00187">
        <w:t>na ukládání peněžitých trestů. Níže uvedená data jsou získána ze statistických listů a týkají se odsouzených osob. Souhrnné a úhrnné tresty nejsou započteny. Data se vztahují ke všem případům, kdy byl uložený peněžitý trest, tedy jak k těm, kdy byl trest uložen jako hlavní sankce, tak k případům, kdy byl trest uložen jako další sankce, například vedle trestu odnětí svobody.</w:t>
      </w:r>
      <w:r w:rsidR="00141AFD" w:rsidRPr="00A00187">
        <w:t xml:space="preserve"> </w:t>
      </w:r>
      <w:r w:rsidR="00256CBF" w:rsidRPr="00A00187">
        <w:t>G</w:t>
      </w:r>
      <w:r w:rsidR="00141AFD" w:rsidRPr="00A00187">
        <w:t>raf</w:t>
      </w:r>
      <w:r w:rsidR="00256CBF" w:rsidRPr="00A00187">
        <w:t>y</w:t>
      </w:r>
      <w:r w:rsidR="00141AFD" w:rsidRPr="00A00187">
        <w:t xml:space="preserve"> níže </w:t>
      </w:r>
      <w:r w:rsidR="00256CBF" w:rsidRPr="00A00187">
        <w:t>sledují</w:t>
      </w:r>
      <w:r w:rsidR="00141AFD" w:rsidRPr="00A00187">
        <w:t xml:space="preserve"> celkovou sum</w:t>
      </w:r>
      <w:r w:rsidR="00C705A4" w:rsidRPr="00A00187">
        <w:t>u</w:t>
      </w:r>
      <w:r w:rsidR="00141AFD" w:rsidRPr="00A00187">
        <w:t xml:space="preserve"> uložených peněžitých trestů, </w:t>
      </w:r>
      <w:r w:rsidR="00C705A4" w:rsidRPr="00A00187">
        <w:t>průměrnou výši</w:t>
      </w:r>
      <w:r w:rsidR="00141AFD" w:rsidRPr="00A00187">
        <w:t xml:space="preserve"> uložených peněžitých trestů </w:t>
      </w:r>
      <w:r w:rsidR="00755920" w:rsidRPr="00A00187">
        <w:t>a</w:t>
      </w:r>
      <w:r w:rsidR="00755920">
        <w:t> </w:t>
      </w:r>
      <w:r w:rsidR="00141AFD" w:rsidRPr="00A00187">
        <w:t>celkový počet uložených peněžitých trestů.</w:t>
      </w:r>
    </w:p>
    <w:p w14:paraId="452F6A25" w14:textId="4CA82D73" w:rsidR="00D00E91" w:rsidRPr="00A00187" w:rsidRDefault="00D00E91" w:rsidP="00D00E91">
      <w:pPr>
        <w:pStyle w:val="Podnadpis"/>
        <w:rPr>
          <w:color w:val="auto"/>
        </w:rPr>
      </w:pPr>
      <w:bookmarkStart w:id="787" w:name="_Toc106106702"/>
      <w:bookmarkStart w:id="788" w:name="_Toc109802026"/>
      <w:r w:rsidRPr="00A00187">
        <w:rPr>
          <w:color w:val="auto"/>
        </w:rPr>
        <w:lastRenderedPageBreak/>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68</w:t>
      </w:r>
      <w:r w:rsidRPr="00A00187">
        <w:rPr>
          <w:noProof/>
          <w:color w:val="auto"/>
        </w:rPr>
        <w:fldChar w:fldCharType="end"/>
      </w:r>
      <w:r w:rsidRPr="00A00187">
        <w:rPr>
          <w:color w:val="auto"/>
        </w:rPr>
        <w:t xml:space="preserve">: </w:t>
      </w:r>
      <w:r w:rsidR="00310D82">
        <w:rPr>
          <w:color w:val="auto"/>
        </w:rPr>
        <w:t>K</w:t>
      </w:r>
      <w:r w:rsidR="00310D82" w:rsidRPr="00A00187">
        <w:rPr>
          <w:color w:val="auto"/>
        </w:rPr>
        <w:t xml:space="preserve">S </w:t>
      </w:r>
      <w:r w:rsidRPr="00A00187">
        <w:rPr>
          <w:color w:val="auto"/>
        </w:rPr>
        <w:t>– suma uložených peněžitých trestů</w:t>
      </w:r>
      <w:bookmarkEnd w:id="787"/>
      <w:bookmarkEnd w:id="788"/>
    </w:p>
    <w:p w14:paraId="052EFA29" w14:textId="5331E401" w:rsidR="00D00E91" w:rsidRPr="00A00187" w:rsidRDefault="00D00E91" w:rsidP="00D00E91">
      <w:r w:rsidRPr="00A00187">
        <w:rPr>
          <w:noProof/>
        </w:rPr>
        <w:drawing>
          <wp:inline distT="0" distB="0" distL="0" distR="0" wp14:anchorId="31DED4BF" wp14:editId="1124FE06">
            <wp:extent cx="5025390" cy="3657600"/>
            <wp:effectExtent l="0" t="0" r="381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32FF36C" w14:textId="619A1D45" w:rsidR="00D00E91" w:rsidRPr="00A00187" w:rsidRDefault="00D00E91" w:rsidP="00D00E91"/>
    <w:p w14:paraId="6C05FB34" w14:textId="28FB52E7" w:rsidR="00D00E91" w:rsidRPr="00A00187" w:rsidRDefault="00D00E91" w:rsidP="00D00E91">
      <w:pPr>
        <w:pStyle w:val="Podnadpis"/>
        <w:rPr>
          <w:color w:val="auto"/>
        </w:rPr>
      </w:pPr>
      <w:bookmarkStart w:id="789" w:name="_Toc106106703"/>
      <w:bookmarkStart w:id="790" w:name="_Toc109802027"/>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69</w:t>
      </w:r>
      <w:r w:rsidRPr="00A00187">
        <w:rPr>
          <w:noProof/>
          <w:color w:val="auto"/>
        </w:rPr>
        <w:fldChar w:fldCharType="end"/>
      </w:r>
      <w:r w:rsidRPr="00A00187">
        <w:rPr>
          <w:color w:val="auto"/>
        </w:rPr>
        <w:t xml:space="preserve">: </w:t>
      </w:r>
      <w:r w:rsidR="00310D82">
        <w:rPr>
          <w:color w:val="auto"/>
        </w:rPr>
        <w:t>K</w:t>
      </w:r>
      <w:r w:rsidR="00310D82" w:rsidRPr="00A00187">
        <w:rPr>
          <w:color w:val="auto"/>
        </w:rPr>
        <w:t xml:space="preserve">S </w:t>
      </w:r>
      <w:r w:rsidRPr="00A00187">
        <w:rPr>
          <w:color w:val="auto"/>
        </w:rPr>
        <w:t>– počet a průměrná výše uložených peněžitých trestů</w:t>
      </w:r>
      <w:bookmarkEnd w:id="789"/>
      <w:bookmarkEnd w:id="790"/>
    </w:p>
    <w:p w14:paraId="46C4F8FC" w14:textId="77777777" w:rsidR="00141AFD" w:rsidRPr="00A00187" w:rsidRDefault="00D00E91" w:rsidP="008430BD">
      <w:pPr>
        <w:spacing w:line="240" w:lineRule="auto"/>
        <w:jc w:val="left"/>
      </w:pPr>
      <w:r w:rsidRPr="00A00187">
        <w:rPr>
          <w:noProof/>
        </w:rPr>
        <w:drawing>
          <wp:inline distT="0" distB="0" distL="0" distR="0" wp14:anchorId="55D5AA3F" wp14:editId="5FCDA344">
            <wp:extent cx="5025390" cy="3657600"/>
            <wp:effectExtent l="0" t="0" r="381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45A5F54" w14:textId="77777777" w:rsidR="00141AFD" w:rsidRPr="00A00187" w:rsidRDefault="00141AFD" w:rsidP="008430BD">
      <w:pPr>
        <w:spacing w:line="240" w:lineRule="auto"/>
        <w:jc w:val="left"/>
      </w:pPr>
    </w:p>
    <w:p w14:paraId="49C14374" w14:textId="77777777" w:rsidR="00141AFD" w:rsidRPr="00A00187" w:rsidRDefault="00141AFD">
      <w:pPr>
        <w:spacing w:after="160" w:line="259" w:lineRule="auto"/>
        <w:jc w:val="left"/>
      </w:pPr>
      <w:r w:rsidRPr="00A00187">
        <w:br w:type="page"/>
      </w:r>
    </w:p>
    <w:p w14:paraId="601C17CB" w14:textId="7BBDC142" w:rsidR="00141AFD" w:rsidRPr="00A00187" w:rsidRDefault="00141AFD" w:rsidP="00141AFD">
      <w:pPr>
        <w:pStyle w:val="OdstavecASR"/>
      </w:pPr>
      <w:r w:rsidRPr="00A00187">
        <w:lastRenderedPageBreak/>
        <w:t xml:space="preserve">Z grafů </w:t>
      </w:r>
      <w:r w:rsidR="00723A9D" w:rsidRPr="00A00187">
        <w:t xml:space="preserve">vyplývají </w:t>
      </w:r>
      <w:r w:rsidRPr="00A00187">
        <w:t>následující</w:t>
      </w:r>
      <w:r w:rsidR="00256CBF" w:rsidRPr="00A00187">
        <w:t xml:space="preserve"> závěry</w:t>
      </w:r>
      <w:r w:rsidRPr="00A00187">
        <w:t>:</w:t>
      </w:r>
    </w:p>
    <w:p w14:paraId="4E906403" w14:textId="6A1F837B" w:rsidR="00141AFD" w:rsidRPr="00A00187" w:rsidRDefault="00141AFD" w:rsidP="00141AFD">
      <w:pPr>
        <w:pStyle w:val="OdstavecASR"/>
        <w:numPr>
          <w:ilvl w:val="0"/>
          <w:numId w:val="39"/>
        </w:numPr>
      </w:pPr>
      <w:r w:rsidRPr="00A00187">
        <w:t xml:space="preserve">Počet uložených trestů je mnohonásobně (asi 39krát v roce 2021) nižší než </w:t>
      </w:r>
      <w:r w:rsidR="00755920" w:rsidRPr="00A00187">
        <w:t>u</w:t>
      </w:r>
      <w:r w:rsidR="00755920">
        <w:t> </w:t>
      </w:r>
      <w:r w:rsidRPr="00A00187">
        <w:t xml:space="preserve">okresních soudů. To samozřejmě plyne z počtu vyřizovaných věcí. Stejně jako </w:t>
      </w:r>
      <w:r w:rsidR="00755920" w:rsidRPr="00A00187">
        <w:t>u</w:t>
      </w:r>
      <w:r w:rsidR="00755920">
        <w:t> </w:t>
      </w:r>
      <w:r w:rsidRPr="00A00187">
        <w:t>okresních soudů je zde ale patrný signifikantní nárůst v počtu uložených trestů</w:t>
      </w:r>
      <w:r w:rsidR="00C253C9" w:rsidRPr="00A00187">
        <w:t>.</w:t>
      </w:r>
    </w:p>
    <w:p w14:paraId="393759CB" w14:textId="6997E871" w:rsidR="00141AFD" w:rsidRPr="00A00187" w:rsidRDefault="00141AFD" w:rsidP="00141AFD">
      <w:pPr>
        <w:pStyle w:val="OdstavecASR"/>
        <w:numPr>
          <w:ilvl w:val="0"/>
          <w:numId w:val="39"/>
        </w:numPr>
      </w:pPr>
      <w:r w:rsidRPr="00A00187">
        <w:t xml:space="preserve">Průměrný uložený trest je mnohonásobně vyšší než </w:t>
      </w:r>
      <w:r w:rsidR="00755920" w:rsidRPr="00A00187">
        <w:t>u</w:t>
      </w:r>
      <w:r w:rsidR="00755920">
        <w:t> </w:t>
      </w:r>
      <w:r w:rsidRPr="00A00187">
        <w:t xml:space="preserve">okresních soudů (asi 18krát vyšší v roce 2021). Průměrný uložený trest je </w:t>
      </w:r>
      <w:r w:rsidR="00256CBF" w:rsidRPr="00A00187">
        <w:t xml:space="preserve">zároveň </w:t>
      </w:r>
      <w:r w:rsidRPr="00A00187">
        <w:t>vysoce volatilní</w:t>
      </w:r>
      <w:r w:rsidR="00587530" w:rsidRPr="00A00187">
        <w:t xml:space="preserve">. </w:t>
      </w:r>
      <w:r w:rsidR="00C705A4" w:rsidRPr="00A00187">
        <w:t>U</w:t>
      </w:r>
      <w:r w:rsidR="00C253C9" w:rsidRPr="00A00187">
        <w:t>vedené</w:t>
      </w:r>
      <w:r w:rsidR="00587530" w:rsidRPr="00A00187">
        <w:t xml:space="preserve"> plyne z malého počtu pozorování </w:t>
      </w:r>
      <w:r w:rsidR="00755920" w:rsidRPr="00A00187">
        <w:t>a</w:t>
      </w:r>
      <w:r w:rsidR="00755920">
        <w:t> </w:t>
      </w:r>
      <w:r w:rsidR="00587530" w:rsidRPr="00A00187">
        <w:t xml:space="preserve">velké diverzity vyřizované agendy. </w:t>
      </w:r>
      <w:r w:rsidR="00755920" w:rsidRPr="00A00187">
        <w:t>I</w:t>
      </w:r>
      <w:r w:rsidR="00755920">
        <w:t> </w:t>
      </w:r>
      <w:r w:rsidR="00587530" w:rsidRPr="00A00187">
        <w:t>jeden velmi vysoký peněžitý trest může mít významný vliv na průměr.</w:t>
      </w:r>
    </w:p>
    <w:p w14:paraId="5639F385" w14:textId="6C7B9A86" w:rsidR="00587530" w:rsidRPr="00A00187" w:rsidRDefault="00587530" w:rsidP="00141AFD">
      <w:pPr>
        <w:pStyle w:val="OdstavecASR"/>
        <w:numPr>
          <w:ilvl w:val="0"/>
          <w:numId w:val="39"/>
        </w:numPr>
      </w:pPr>
      <w:r w:rsidRPr="00A00187">
        <w:t xml:space="preserve">Z výše uvedeného plyne, že </w:t>
      </w:r>
      <w:r w:rsidR="00755920" w:rsidRPr="00A00187">
        <w:t>i</w:t>
      </w:r>
      <w:r w:rsidR="00755920">
        <w:t> </w:t>
      </w:r>
      <w:r w:rsidRPr="00A00187">
        <w:t xml:space="preserve">přes to, že peněžité tresty uložené </w:t>
      </w:r>
      <w:r w:rsidR="00755920" w:rsidRPr="00A00187">
        <w:t>u</w:t>
      </w:r>
      <w:r w:rsidR="00755920">
        <w:t> </w:t>
      </w:r>
      <w:r w:rsidRPr="00A00187">
        <w:t>krajských soudů tvoří je</w:t>
      </w:r>
      <w:r w:rsidR="00256CBF" w:rsidRPr="00A00187">
        <w:t>n</w:t>
      </w:r>
      <w:r w:rsidRPr="00A00187">
        <w:t xml:space="preserve"> asi 2,5</w:t>
      </w:r>
      <w:r w:rsidR="00CB570A">
        <w:t> %</w:t>
      </w:r>
      <w:r w:rsidRPr="00A00187">
        <w:t xml:space="preserve"> z celkového počtu uložených peněžitých trestů, celková suma uložených částek peněžitých trestů </w:t>
      </w:r>
      <w:r w:rsidR="00755920" w:rsidRPr="00A00187">
        <w:t>u</w:t>
      </w:r>
      <w:r w:rsidR="00755920">
        <w:t> </w:t>
      </w:r>
      <w:r w:rsidRPr="00A00187">
        <w:t xml:space="preserve">krajských soudů tvoří téměř třetinu z celkové částky uložených peněžitých trestů </w:t>
      </w:r>
      <w:r w:rsidR="00256CBF" w:rsidRPr="00A00187">
        <w:t xml:space="preserve">před okresními </w:t>
      </w:r>
      <w:r w:rsidR="00755920" w:rsidRPr="00A00187">
        <w:t>i</w:t>
      </w:r>
      <w:r w:rsidR="00755920">
        <w:t> </w:t>
      </w:r>
      <w:r w:rsidR="00256CBF" w:rsidRPr="00A00187">
        <w:t>krajskými soudy</w:t>
      </w:r>
      <w:r w:rsidR="00C253C9" w:rsidRPr="00A00187">
        <w:t>.</w:t>
      </w:r>
    </w:p>
    <w:p w14:paraId="6496BA2C" w14:textId="3EDC5D4E" w:rsidR="008430BD" w:rsidRPr="00A00187" w:rsidRDefault="008430BD" w:rsidP="00141AFD">
      <w:pPr>
        <w:pStyle w:val="Odstavecseseznamem"/>
        <w:numPr>
          <w:ilvl w:val="0"/>
          <w:numId w:val="37"/>
        </w:numPr>
        <w:spacing w:line="240" w:lineRule="auto"/>
      </w:pPr>
      <w:r w:rsidRPr="00A00187">
        <w:br w:type="page"/>
      </w:r>
    </w:p>
    <w:p w14:paraId="05710F11" w14:textId="1D25EECF" w:rsidR="008430BD" w:rsidRPr="00A00187" w:rsidRDefault="008430BD" w:rsidP="008430BD">
      <w:pPr>
        <w:pStyle w:val="Nadpis2"/>
        <w:numPr>
          <w:ilvl w:val="1"/>
          <w:numId w:val="1"/>
        </w:numPr>
        <w:spacing w:before="120"/>
        <w:rPr>
          <w:color w:val="auto"/>
        </w:rPr>
      </w:pPr>
      <w:bookmarkStart w:id="791" w:name="_Toc515871262"/>
      <w:bookmarkStart w:id="792" w:name="_Toc106092769"/>
      <w:bookmarkStart w:id="793" w:name="_Toc109801380"/>
      <w:r w:rsidRPr="00A00187">
        <w:rPr>
          <w:color w:val="auto"/>
        </w:rPr>
        <w:lastRenderedPageBreak/>
        <w:t>Trestní odvolací agenda</w:t>
      </w:r>
      <w:bookmarkEnd w:id="791"/>
      <w:bookmarkEnd w:id="792"/>
      <w:bookmarkEnd w:id="793"/>
    </w:p>
    <w:p w14:paraId="717C95FB" w14:textId="77777777" w:rsidR="00C81088" w:rsidRPr="00A00187" w:rsidRDefault="00C81088" w:rsidP="00C81088">
      <w:pPr>
        <w:pStyle w:val="OdstavecASR"/>
      </w:pPr>
      <w:r w:rsidRPr="00A00187">
        <w:t>Trestní odvolací agenda zahrnuje rejstříky To a Tmo. Ke změnám ve vedení statistik nedošlo a data dále není třeba nijak očišťovat.</w:t>
      </w:r>
    </w:p>
    <w:p w14:paraId="22126025" w14:textId="7575F616" w:rsidR="008430BD" w:rsidRPr="00A00187" w:rsidRDefault="008430BD" w:rsidP="008430BD">
      <w:pPr>
        <w:pStyle w:val="Nadpis3"/>
        <w:numPr>
          <w:ilvl w:val="2"/>
          <w:numId w:val="1"/>
        </w:numPr>
        <w:rPr>
          <w:color w:val="auto"/>
        </w:rPr>
      </w:pPr>
      <w:bookmarkStart w:id="794" w:name="_Ref511391169"/>
      <w:bookmarkStart w:id="795" w:name="_Toc515871263"/>
      <w:bookmarkStart w:id="796" w:name="_Toc106092770"/>
      <w:bookmarkStart w:id="797" w:name="_Toc109801381"/>
      <w:r w:rsidRPr="00A00187">
        <w:rPr>
          <w:color w:val="auto"/>
        </w:rPr>
        <w:t>Délka řízení</w:t>
      </w:r>
      <w:bookmarkEnd w:id="794"/>
      <w:bookmarkEnd w:id="795"/>
      <w:bookmarkEnd w:id="796"/>
      <w:bookmarkEnd w:id="797"/>
    </w:p>
    <w:p w14:paraId="406FA117" w14:textId="5E5FB882" w:rsidR="00C41993" w:rsidRPr="00A00187" w:rsidRDefault="00C41993" w:rsidP="00C41993">
      <w:pPr>
        <w:pStyle w:val="OdstavecASR"/>
      </w:pPr>
      <w:r w:rsidRPr="00A00187">
        <w:t xml:space="preserve">U této agendy uvádíme délku řízení ode dne nápadu u odvolacího soudu do dne jeho vyřízení, který je i dnem pravomocného skončení věci. Stejně jako u civilního řízení platí, že </w:t>
      </w:r>
      <w:r w:rsidR="00B730B3" w:rsidRPr="00A00187">
        <w:t>vyřízení věci v rámci odvolacího řízení je časově méně náročn</w:t>
      </w:r>
      <w:r w:rsidR="00C705A4" w:rsidRPr="00A00187">
        <w:t>é</w:t>
      </w:r>
      <w:r w:rsidRPr="00A00187">
        <w:t xml:space="preserve"> než v prvostupňové agendě. Z grafu vyplývá, že délky řízení jsou velmi nízké (nejnižší ze všech agend) a měnily se jen velmi málo. Až v roce 2020 došlo ke zdaleka největší výchylce (</w:t>
      </w:r>
      <w:r w:rsidR="00E761D4" w:rsidRPr="00A00187">
        <w:t xml:space="preserve">nejvyššímu </w:t>
      </w:r>
      <w:r w:rsidRPr="00A00187">
        <w:t xml:space="preserve">nárůstu) ve sledovaném období. Absolutně </w:t>
      </w:r>
      <w:r w:rsidR="00B3720D" w:rsidRPr="00A00187">
        <w:t xml:space="preserve">ale </w:t>
      </w:r>
      <w:r w:rsidRPr="00A00187">
        <w:t>jde jen o několik dnů</w:t>
      </w:r>
      <w:r w:rsidR="00B3720D" w:rsidRPr="00A00187">
        <w:t xml:space="preserve">. </w:t>
      </w:r>
      <w:r w:rsidRPr="00A00187">
        <w:t>Vzhledem k tomu, že délky řízení byly vždy silně stabilní</w:t>
      </w:r>
      <w:r w:rsidR="00D73543" w:rsidRPr="00A00187">
        <w:t>,</w:t>
      </w:r>
      <w:r w:rsidRPr="00A00187">
        <w:t xml:space="preserve"> lze zvýšení délek řízení </w:t>
      </w:r>
      <w:r w:rsidR="00256CBF" w:rsidRPr="00A00187">
        <w:t xml:space="preserve">velmi pravděpodobně </w:t>
      </w:r>
      <w:r w:rsidRPr="00A00187">
        <w:t>připsat pandemii COVID</w:t>
      </w:r>
      <w:r w:rsidRPr="00A00187">
        <w:noBreakHyphen/>
        <w:t>19.</w:t>
      </w:r>
      <w:r w:rsidR="00D73543" w:rsidRPr="00A00187">
        <w:t xml:space="preserve"> Uvedená domněnka je podpořena </w:t>
      </w:r>
      <w:r w:rsidR="00755920" w:rsidRPr="00A00187">
        <w:t>i</w:t>
      </w:r>
      <w:r w:rsidR="00755920">
        <w:t> </w:t>
      </w:r>
      <w:r w:rsidR="00D73543" w:rsidRPr="00A00187">
        <w:t>faktem</w:t>
      </w:r>
      <w:r w:rsidRPr="00A00187">
        <w:t>, že k nárůstu došlo u většiny soudů.</w:t>
      </w:r>
      <w:r w:rsidR="00B3720D" w:rsidRPr="00A00187">
        <w:t xml:space="preserve"> V roce 2021 se délky řízení mírně přiblížily předchozím hodnotám. </w:t>
      </w:r>
      <w:r w:rsidR="00256CBF" w:rsidRPr="00A00187">
        <w:t>Ani</w:t>
      </w:r>
      <w:r w:rsidR="00B3720D" w:rsidRPr="00A00187">
        <w:t xml:space="preserve"> na úrovn</w:t>
      </w:r>
      <w:r w:rsidR="00D73543" w:rsidRPr="00A00187">
        <w:t xml:space="preserve">i </w:t>
      </w:r>
      <w:r w:rsidR="00256CBF" w:rsidRPr="00A00187">
        <w:t>jednotlivých</w:t>
      </w:r>
      <w:r w:rsidR="00B3720D" w:rsidRPr="00A00187">
        <w:t xml:space="preserve"> soudů nedošlo k žádným velkým změnám.</w:t>
      </w:r>
    </w:p>
    <w:p w14:paraId="53233B25" w14:textId="6318C24E" w:rsidR="00AA1D8A" w:rsidRPr="00A00187" w:rsidRDefault="00AA1D8A" w:rsidP="00AA1D8A">
      <w:pPr>
        <w:pStyle w:val="Podnadpis"/>
        <w:rPr>
          <w:color w:val="auto"/>
        </w:rPr>
      </w:pPr>
      <w:bookmarkStart w:id="798" w:name="_Toc515871393"/>
      <w:bookmarkStart w:id="799" w:name="_Toc11135124"/>
      <w:bookmarkStart w:id="800" w:name="_Toc43841443"/>
      <w:bookmarkStart w:id="801" w:name="_Toc75952245"/>
      <w:bookmarkStart w:id="802" w:name="_Toc106106704"/>
      <w:bookmarkStart w:id="803" w:name="_Toc10980202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70</w:t>
      </w:r>
      <w:r w:rsidRPr="00A00187">
        <w:rPr>
          <w:noProof/>
          <w:color w:val="auto"/>
        </w:rPr>
        <w:fldChar w:fldCharType="end"/>
      </w:r>
      <w:r w:rsidRPr="00A00187">
        <w:rPr>
          <w:color w:val="auto"/>
        </w:rPr>
        <w:t>: KS – délka odvolacího trestního řízení v letech 2008–20</w:t>
      </w:r>
      <w:bookmarkEnd w:id="798"/>
      <w:bookmarkEnd w:id="799"/>
      <w:bookmarkEnd w:id="800"/>
      <w:r w:rsidRPr="00A00187">
        <w:rPr>
          <w:color w:val="auto"/>
        </w:rPr>
        <w:t>2</w:t>
      </w:r>
      <w:bookmarkEnd w:id="801"/>
      <w:r w:rsidRPr="00A00187">
        <w:rPr>
          <w:color w:val="auto"/>
        </w:rPr>
        <w:t>1</w:t>
      </w:r>
      <w:bookmarkEnd w:id="802"/>
      <w:bookmarkEnd w:id="803"/>
    </w:p>
    <w:p w14:paraId="3B15EC9E" w14:textId="062F507E" w:rsidR="00AA1D8A" w:rsidRPr="00A00187" w:rsidRDefault="00C41993" w:rsidP="00AA1D8A">
      <w:r w:rsidRPr="00A00187">
        <w:rPr>
          <w:noProof/>
        </w:rPr>
        <w:drawing>
          <wp:inline distT="0" distB="0" distL="0" distR="0" wp14:anchorId="6534D0EA" wp14:editId="17BB4413">
            <wp:extent cx="5025390" cy="3657600"/>
            <wp:effectExtent l="0" t="0" r="381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91C28C3" w14:textId="77777777" w:rsidR="001F642C" w:rsidRPr="00A00187" w:rsidRDefault="001F642C" w:rsidP="001F642C">
      <w:pPr>
        <w:pStyle w:val="OdstavecASR"/>
      </w:pPr>
      <w:r w:rsidRPr="00A00187">
        <w:t xml:space="preserve">Krajské soudy vyřizují v odvolací agendě nejčastěji odvolání proti rozhodnutí o následujících trestných činech: </w:t>
      </w:r>
      <w:r w:rsidRPr="00A00187">
        <w:rPr>
          <w:i/>
        </w:rPr>
        <w:t>krádež</w:t>
      </w:r>
      <w:r w:rsidRPr="00A00187">
        <w:t xml:space="preserve"> (§ 205 trestního zákoníku), </w:t>
      </w:r>
      <w:r w:rsidRPr="00A00187">
        <w:rPr>
          <w:i/>
        </w:rPr>
        <w:t>maření výkonu úředního rozhodnutí a vykázání</w:t>
      </w:r>
      <w:r w:rsidRPr="00A00187">
        <w:t xml:space="preserve"> (§ 337) a </w:t>
      </w:r>
      <w:r w:rsidRPr="00A00187">
        <w:rPr>
          <w:i/>
        </w:rPr>
        <w:t>podvod</w:t>
      </w:r>
      <w:r w:rsidRPr="00A00187">
        <w:t xml:space="preserve"> (§ 209). Těmito trestnými činy se velmi často zabývají okresní soudy v prvním stupni. Logicky je u nich pak v absolutních číslech podáváno nejvíce odvolání.</w:t>
      </w:r>
    </w:p>
    <w:p w14:paraId="18547D9C" w14:textId="77777777" w:rsidR="001F642C" w:rsidRPr="00A00187" w:rsidRDefault="001F642C" w:rsidP="001F642C">
      <w:pPr>
        <w:spacing w:line="240" w:lineRule="auto"/>
        <w:jc w:val="left"/>
      </w:pPr>
      <w:r w:rsidRPr="00A00187">
        <w:br w:type="page"/>
      </w:r>
    </w:p>
    <w:p w14:paraId="7C63890F" w14:textId="58ABC183" w:rsidR="001F642C" w:rsidRPr="00A00187" w:rsidRDefault="001F642C" w:rsidP="001F642C">
      <w:pPr>
        <w:pStyle w:val="Podnadpis"/>
        <w:rPr>
          <w:color w:val="auto"/>
        </w:rPr>
      </w:pPr>
      <w:bookmarkStart w:id="804" w:name="_Toc515871487"/>
      <w:bookmarkStart w:id="805" w:name="_Toc11133254"/>
      <w:bookmarkStart w:id="806" w:name="_Toc43931232"/>
      <w:bookmarkStart w:id="807" w:name="_Toc75952365"/>
      <w:bookmarkStart w:id="808" w:name="_Toc106106820"/>
      <w:bookmarkStart w:id="809" w:name="_Toc109802143"/>
      <w:r w:rsidRPr="00A00187">
        <w:rPr>
          <w:color w:val="auto"/>
        </w:rPr>
        <w:lastRenderedPageBreak/>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58</w:t>
      </w:r>
      <w:r w:rsidRPr="00A00187">
        <w:rPr>
          <w:noProof/>
          <w:color w:val="auto"/>
        </w:rPr>
        <w:fldChar w:fldCharType="end"/>
      </w:r>
      <w:r w:rsidRPr="00A00187">
        <w:rPr>
          <w:color w:val="auto"/>
        </w:rPr>
        <w:t>: KS – délky odvolacího trestního řízení dle soudů</w:t>
      </w:r>
      <w:bookmarkEnd w:id="804"/>
      <w:bookmarkEnd w:id="805"/>
      <w:bookmarkEnd w:id="806"/>
      <w:bookmarkEnd w:id="807"/>
      <w:bookmarkEnd w:id="808"/>
      <w:bookmarkEnd w:id="809"/>
    </w:p>
    <w:tbl>
      <w:tblPr>
        <w:tblW w:w="7552" w:type="dxa"/>
        <w:tblCellMar>
          <w:left w:w="70" w:type="dxa"/>
          <w:right w:w="70" w:type="dxa"/>
        </w:tblCellMar>
        <w:tblLook w:val="04A0" w:firstRow="1" w:lastRow="0" w:firstColumn="1" w:lastColumn="0" w:noHBand="0" w:noVBand="1"/>
      </w:tblPr>
      <w:tblGrid>
        <w:gridCol w:w="2496"/>
        <w:gridCol w:w="500"/>
        <w:gridCol w:w="1045"/>
        <w:gridCol w:w="511"/>
        <w:gridCol w:w="1203"/>
        <w:gridCol w:w="763"/>
        <w:gridCol w:w="1034"/>
      </w:tblGrid>
      <w:tr w:rsidR="00AC1E67" w:rsidRPr="00A00187" w14:paraId="43E97343" w14:textId="77777777" w:rsidTr="00B3720D">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65B52D63" w14:textId="3B5A9D54" w:rsidR="00B3720D" w:rsidRPr="00A00187" w:rsidRDefault="00A8348B" w:rsidP="00B3720D">
            <w:pPr>
              <w:spacing w:line="240" w:lineRule="auto"/>
              <w:jc w:val="center"/>
              <w:rPr>
                <w:rFonts w:eastAsia="Times New Roman"/>
                <w:b/>
                <w:bCs/>
                <w:szCs w:val="24"/>
                <w:lang w:eastAsia="cs-CZ"/>
              </w:rPr>
            </w:pPr>
            <w:r w:rsidRPr="00A00187">
              <w:rPr>
                <w:rFonts w:eastAsia="Times New Roman"/>
                <w:b/>
                <w:bCs/>
                <w:szCs w:val="24"/>
                <w:lang w:eastAsia="cs-CZ"/>
              </w:rPr>
              <w:t>S</w:t>
            </w:r>
            <w:r w:rsidR="00B3720D" w:rsidRPr="00A00187">
              <w:rPr>
                <w:rFonts w:eastAsia="Times New Roman"/>
                <w:b/>
                <w:bCs/>
                <w:szCs w:val="24"/>
                <w:lang w:eastAsia="cs-CZ"/>
              </w:rPr>
              <w:t>oud</w:t>
            </w:r>
          </w:p>
        </w:tc>
        <w:tc>
          <w:tcPr>
            <w:tcW w:w="5056" w:type="dxa"/>
            <w:gridSpan w:val="6"/>
            <w:tcBorders>
              <w:top w:val="double" w:sz="6" w:space="0" w:color="auto"/>
              <w:left w:val="nil"/>
              <w:bottom w:val="nil"/>
              <w:right w:val="nil"/>
            </w:tcBorders>
            <w:shd w:val="clear" w:color="auto" w:fill="auto"/>
            <w:noWrap/>
            <w:vAlign w:val="center"/>
            <w:hideMark/>
          </w:tcPr>
          <w:p w14:paraId="729B1E61" w14:textId="77777777" w:rsidR="00B3720D" w:rsidRPr="00A00187" w:rsidRDefault="00B3720D" w:rsidP="00B3720D">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704AF35D" w14:textId="77777777" w:rsidTr="00B3720D">
        <w:trPr>
          <w:trHeight w:val="330"/>
        </w:trPr>
        <w:tc>
          <w:tcPr>
            <w:tcW w:w="2496" w:type="dxa"/>
            <w:vMerge/>
            <w:tcBorders>
              <w:top w:val="double" w:sz="6" w:space="0" w:color="auto"/>
              <w:left w:val="nil"/>
              <w:bottom w:val="double" w:sz="6" w:space="0" w:color="000000"/>
              <w:right w:val="nil"/>
            </w:tcBorders>
            <w:vAlign w:val="center"/>
            <w:hideMark/>
          </w:tcPr>
          <w:p w14:paraId="6DF7AD46" w14:textId="77777777" w:rsidR="00B3720D" w:rsidRPr="00A00187" w:rsidRDefault="00B3720D" w:rsidP="00B3720D">
            <w:pPr>
              <w:spacing w:line="240" w:lineRule="auto"/>
              <w:jc w:val="left"/>
              <w:rPr>
                <w:rFonts w:eastAsia="Times New Roman"/>
                <w:b/>
                <w:bCs/>
                <w:szCs w:val="24"/>
                <w:lang w:eastAsia="cs-CZ"/>
              </w:rPr>
            </w:pPr>
          </w:p>
        </w:tc>
        <w:tc>
          <w:tcPr>
            <w:tcW w:w="1545" w:type="dxa"/>
            <w:gridSpan w:val="2"/>
            <w:tcBorders>
              <w:top w:val="nil"/>
              <w:left w:val="nil"/>
              <w:bottom w:val="double" w:sz="6" w:space="0" w:color="auto"/>
              <w:right w:val="nil"/>
            </w:tcBorders>
            <w:shd w:val="clear" w:color="auto" w:fill="auto"/>
            <w:noWrap/>
            <w:vAlign w:val="center"/>
            <w:hideMark/>
          </w:tcPr>
          <w:p w14:paraId="51BF51C3" w14:textId="77777777" w:rsidR="00B3720D" w:rsidRPr="00A00187" w:rsidRDefault="00B3720D" w:rsidP="00B3720D">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171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3B07F15" w14:textId="77777777" w:rsidR="00B3720D" w:rsidRPr="00A00187" w:rsidRDefault="00B3720D" w:rsidP="00B3720D">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1797" w:type="dxa"/>
            <w:gridSpan w:val="2"/>
            <w:tcBorders>
              <w:top w:val="nil"/>
              <w:left w:val="nil"/>
              <w:bottom w:val="double" w:sz="6" w:space="0" w:color="auto"/>
              <w:right w:val="nil"/>
            </w:tcBorders>
            <w:shd w:val="clear" w:color="auto" w:fill="auto"/>
            <w:noWrap/>
            <w:vAlign w:val="center"/>
            <w:hideMark/>
          </w:tcPr>
          <w:p w14:paraId="150808EC" w14:textId="77777777" w:rsidR="00B3720D" w:rsidRPr="00A00187" w:rsidRDefault="00B3720D" w:rsidP="00B3720D">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10F1EB07" w14:textId="77777777" w:rsidTr="00B3720D">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06672861"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MS Praha</w:t>
            </w:r>
          </w:p>
        </w:tc>
        <w:tc>
          <w:tcPr>
            <w:tcW w:w="500" w:type="dxa"/>
            <w:tcBorders>
              <w:top w:val="single" w:sz="4" w:space="0" w:color="auto"/>
              <w:left w:val="nil"/>
              <w:bottom w:val="single" w:sz="4" w:space="0" w:color="auto"/>
              <w:right w:val="nil"/>
            </w:tcBorders>
            <w:shd w:val="clear" w:color="auto" w:fill="auto"/>
            <w:noWrap/>
            <w:vAlign w:val="bottom"/>
            <w:hideMark/>
          </w:tcPr>
          <w:p w14:paraId="3E84D2CD"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47</w:t>
            </w:r>
          </w:p>
        </w:tc>
        <w:tc>
          <w:tcPr>
            <w:tcW w:w="1045" w:type="dxa"/>
            <w:tcBorders>
              <w:top w:val="single" w:sz="4" w:space="0" w:color="auto"/>
              <w:left w:val="nil"/>
              <w:bottom w:val="single" w:sz="4" w:space="0" w:color="auto"/>
              <w:right w:val="nil"/>
            </w:tcBorders>
            <w:shd w:val="clear" w:color="auto" w:fill="auto"/>
            <w:noWrap/>
            <w:vAlign w:val="center"/>
            <w:hideMark/>
          </w:tcPr>
          <w:p w14:paraId="0897D9D8" w14:textId="7AD1D89B"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511" w:type="dxa"/>
            <w:tcBorders>
              <w:top w:val="nil"/>
              <w:left w:val="single" w:sz="4" w:space="0" w:color="auto"/>
              <w:bottom w:val="single" w:sz="4" w:space="0" w:color="auto"/>
              <w:right w:val="nil"/>
            </w:tcBorders>
            <w:shd w:val="clear" w:color="auto" w:fill="auto"/>
            <w:noWrap/>
            <w:vAlign w:val="bottom"/>
            <w:hideMark/>
          </w:tcPr>
          <w:p w14:paraId="448CDF01"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33</w:t>
            </w:r>
          </w:p>
        </w:tc>
        <w:tc>
          <w:tcPr>
            <w:tcW w:w="1203" w:type="dxa"/>
            <w:tcBorders>
              <w:top w:val="nil"/>
              <w:left w:val="nil"/>
              <w:bottom w:val="single" w:sz="4" w:space="0" w:color="auto"/>
              <w:right w:val="single" w:sz="4" w:space="0" w:color="auto"/>
            </w:tcBorders>
            <w:shd w:val="clear" w:color="auto" w:fill="auto"/>
            <w:noWrap/>
            <w:vAlign w:val="center"/>
            <w:hideMark/>
          </w:tcPr>
          <w:p w14:paraId="6B53F14B" w14:textId="5A066A02"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763" w:type="dxa"/>
            <w:tcBorders>
              <w:top w:val="single" w:sz="4" w:space="0" w:color="auto"/>
              <w:left w:val="nil"/>
              <w:bottom w:val="single" w:sz="4" w:space="0" w:color="auto"/>
              <w:right w:val="nil"/>
            </w:tcBorders>
            <w:shd w:val="clear" w:color="auto" w:fill="auto"/>
            <w:noWrap/>
            <w:vAlign w:val="bottom"/>
            <w:hideMark/>
          </w:tcPr>
          <w:p w14:paraId="0E5CB27A"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83</w:t>
            </w:r>
          </w:p>
        </w:tc>
        <w:tc>
          <w:tcPr>
            <w:tcW w:w="1034" w:type="dxa"/>
            <w:tcBorders>
              <w:top w:val="single" w:sz="4" w:space="0" w:color="auto"/>
              <w:left w:val="nil"/>
              <w:bottom w:val="single" w:sz="4" w:space="0" w:color="auto"/>
              <w:right w:val="nil"/>
            </w:tcBorders>
            <w:shd w:val="clear" w:color="auto" w:fill="auto"/>
            <w:noWrap/>
            <w:vAlign w:val="center"/>
            <w:hideMark/>
          </w:tcPr>
          <w:p w14:paraId="153798E9" w14:textId="67DAC62D"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61D20783" w14:textId="77777777" w:rsidTr="00B3720D">
        <w:trPr>
          <w:trHeight w:val="315"/>
        </w:trPr>
        <w:tc>
          <w:tcPr>
            <w:tcW w:w="2496" w:type="dxa"/>
            <w:tcBorders>
              <w:top w:val="nil"/>
              <w:left w:val="nil"/>
              <w:bottom w:val="single" w:sz="4" w:space="0" w:color="auto"/>
              <w:right w:val="nil"/>
            </w:tcBorders>
            <w:shd w:val="clear" w:color="auto" w:fill="auto"/>
            <w:noWrap/>
            <w:vAlign w:val="bottom"/>
            <w:hideMark/>
          </w:tcPr>
          <w:p w14:paraId="2BD230DA"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KS Praha</w:t>
            </w:r>
          </w:p>
        </w:tc>
        <w:tc>
          <w:tcPr>
            <w:tcW w:w="500" w:type="dxa"/>
            <w:tcBorders>
              <w:top w:val="nil"/>
              <w:left w:val="nil"/>
              <w:bottom w:val="single" w:sz="4" w:space="0" w:color="auto"/>
              <w:right w:val="nil"/>
            </w:tcBorders>
            <w:shd w:val="clear" w:color="auto" w:fill="auto"/>
            <w:noWrap/>
            <w:vAlign w:val="bottom"/>
            <w:hideMark/>
          </w:tcPr>
          <w:p w14:paraId="39A8F5B6"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39</w:t>
            </w:r>
          </w:p>
        </w:tc>
        <w:tc>
          <w:tcPr>
            <w:tcW w:w="1045" w:type="dxa"/>
            <w:tcBorders>
              <w:top w:val="nil"/>
              <w:left w:val="nil"/>
              <w:bottom w:val="single" w:sz="4" w:space="0" w:color="auto"/>
              <w:right w:val="nil"/>
            </w:tcBorders>
            <w:shd w:val="clear" w:color="auto" w:fill="auto"/>
            <w:noWrap/>
            <w:vAlign w:val="center"/>
            <w:hideMark/>
          </w:tcPr>
          <w:p w14:paraId="21E70AC8" w14:textId="2661A6D2"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511" w:type="dxa"/>
            <w:tcBorders>
              <w:top w:val="nil"/>
              <w:left w:val="single" w:sz="4" w:space="0" w:color="auto"/>
              <w:bottom w:val="single" w:sz="4" w:space="0" w:color="auto"/>
              <w:right w:val="nil"/>
            </w:tcBorders>
            <w:shd w:val="clear" w:color="auto" w:fill="auto"/>
            <w:noWrap/>
            <w:vAlign w:val="bottom"/>
            <w:hideMark/>
          </w:tcPr>
          <w:p w14:paraId="37954EF5"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29</w:t>
            </w:r>
          </w:p>
        </w:tc>
        <w:tc>
          <w:tcPr>
            <w:tcW w:w="1203" w:type="dxa"/>
            <w:tcBorders>
              <w:top w:val="nil"/>
              <w:left w:val="nil"/>
              <w:bottom w:val="single" w:sz="4" w:space="0" w:color="auto"/>
              <w:right w:val="single" w:sz="4" w:space="0" w:color="auto"/>
            </w:tcBorders>
            <w:shd w:val="clear" w:color="auto" w:fill="auto"/>
            <w:noWrap/>
            <w:vAlign w:val="center"/>
            <w:hideMark/>
          </w:tcPr>
          <w:p w14:paraId="7602DE99" w14:textId="21C4CCD8"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763" w:type="dxa"/>
            <w:tcBorders>
              <w:top w:val="nil"/>
              <w:left w:val="nil"/>
              <w:bottom w:val="single" w:sz="4" w:space="0" w:color="auto"/>
              <w:right w:val="nil"/>
            </w:tcBorders>
            <w:shd w:val="clear" w:color="auto" w:fill="auto"/>
            <w:noWrap/>
            <w:vAlign w:val="bottom"/>
            <w:hideMark/>
          </w:tcPr>
          <w:p w14:paraId="67228C5D"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64</w:t>
            </w:r>
          </w:p>
        </w:tc>
        <w:tc>
          <w:tcPr>
            <w:tcW w:w="1034" w:type="dxa"/>
            <w:tcBorders>
              <w:top w:val="nil"/>
              <w:left w:val="nil"/>
              <w:bottom w:val="single" w:sz="4" w:space="0" w:color="auto"/>
              <w:right w:val="nil"/>
            </w:tcBorders>
            <w:shd w:val="clear" w:color="auto" w:fill="auto"/>
            <w:noWrap/>
            <w:vAlign w:val="center"/>
            <w:hideMark/>
          </w:tcPr>
          <w:p w14:paraId="336FC47F" w14:textId="30BFE5D9"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-23</w:t>
            </w:r>
            <w:r w:rsidR="00CB570A">
              <w:rPr>
                <w:rFonts w:eastAsia="Times New Roman"/>
                <w:sz w:val="20"/>
                <w:szCs w:val="20"/>
                <w:lang w:eastAsia="cs-CZ"/>
              </w:rPr>
              <w:t> %</w:t>
            </w:r>
          </w:p>
        </w:tc>
      </w:tr>
      <w:tr w:rsidR="00AC1E67" w:rsidRPr="00A00187" w14:paraId="419647AC" w14:textId="77777777" w:rsidTr="00B3720D">
        <w:trPr>
          <w:trHeight w:val="315"/>
        </w:trPr>
        <w:tc>
          <w:tcPr>
            <w:tcW w:w="2496" w:type="dxa"/>
            <w:tcBorders>
              <w:top w:val="nil"/>
              <w:left w:val="nil"/>
              <w:bottom w:val="single" w:sz="4" w:space="0" w:color="auto"/>
              <w:right w:val="nil"/>
            </w:tcBorders>
            <w:shd w:val="clear" w:color="auto" w:fill="auto"/>
            <w:noWrap/>
            <w:vAlign w:val="bottom"/>
            <w:hideMark/>
          </w:tcPr>
          <w:p w14:paraId="51772274"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KS Č. Budějovice</w:t>
            </w:r>
          </w:p>
        </w:tc>
        <w:tc>
          <w:tcPr>
            <w:tcW w:w="500" w:type="dxa"/>
            <w:tcBorders>
              <w:top w:val="nil"/>
              <w:left w:val="nil"/>
              <w:bottom w:val="single" w:sz="4" w:space="0" w:color="auto"/>
              <w:right w:val="nil"/>
            </w:tcBorders>
            <w:shd w:val="clear" w:color="auto" w:fill="auto"/>
            <w:noWrap/>
            <w:vAlign w:val="bottom"/>
            <w:hideMark/>
          </w:tcPr>
          <w:p w14:paraId="62718B43"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91</w:t>
            </w:r>
          </w:p>
        </w:tc>
        <w:tc>
          <w:tcPr>
            <w:tcW w:w="1045" w:type="dxa"/>
            <w:tcBorders>
              <w:top w:val="nil"/>
              <w:left w:val="nil"/>
              <w:bottom w:val="single" w:sz="4" w:space="0" w:color="auto"/>
              <w:right w:val="nil"/>
            </w:tcBorders>
            <w:shd w:val="clear" w:color="auto" w:fill="auto"/>
            <w:noWrap/>
            <w:vAlign w:val="center"/>
            <w:hideMark/>
          </w:tcPr>
          <w:p w14:paraId="38F8825A" w14:textId="052EE134"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511" w:type="dxa"/>
            <w:tcBorders>
              <w:top w:val="nil"/>
              <w:left w:val="single" w:sz="4" w:space="0" w:color="auto"/>
              <w:bottom w:val="single" w:sz="4" w:space="0" w:color="auto"/>
              <w:right w:val="nil"/>
            </w:tcBorders>
            <w:shd w:val="clear" w:color="auto" w:fill="auto"/>
            <w:noWrap/>
            <w:vAlign w:val="bottom"/>
            <w:hideMark/>
          </w:tcPr>
          <w:p w14:paraId="30AD7796"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62</w:t>
            </w:r>
          </w:p>
        </w:tc>
        <w:tc>
          <w:tcPr>
            <w:tcW w:w="1203" w:type="dxa"/>
            <w:tcBorders>
              <w:top w:val="nil"/>
              <w:left w:val="nil"/>
              <w:bottom w:val="single" w:sz="4" w:space="0" w:color="auto"/>
              <w:right w:val="single" w:sz="4" w:space="0" w:color="auto"/>
            </w:tcBorders>
            <w:shd w:val="clear" w:color="auto" w:fill="auto"/>
            <w:noWrap/>
            <w:vAlign w:val="center"/>
            <w:hideMark/>
          </w:tcPr>
          <w:p w14:paraId="09D17483" w14:textId="078B8994"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763" w:type="dxa"/>
            <w:tcBorders>
              <w:top w:val="nil"/>
              <w:left w:val="nil"/>
              <w:bottom w:val="single" w:sz="4" w:space="0" w:color="auto"/>
              <w:right w:val="nil"/>
            </w:tcBorders>
            <w:shd w:val="clear" w:color="auto" w:fill="auto"/>
            <w:noWrap/>
            <w:vAlign w:val="bottom"/>
            <w:hideMark/>
          </w:tcPr>
          <w:p w14:paraId="436F6FD9"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158</w:t>
            </w:r>
          </w:p>
        </w:tc>
        <w:tc>
          <w:tcPr>
            <w:tcW w:w="1034" w:type="dxa"/>
            <w:tcBorders>
              <w:top w:val="nil"/>
              <w:left w:val="nil"/>
              <w:bottom w:val="single" w:sz="4" w:space="0" w:color="auto"/>
              <w:right w:val="nil"/>
            </w:tcBorders>
            <w:shd w:val="clear" w:color="auto" w:fill="auto"/>
            <w:noWrap/>
            <w:vAlign w:val="center"/>
            <w:hideMark/>
          </w:tcPr>
          <w:p w14:paraId="2522C2C2" w14:textId="495D46E8"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r>
      <w:tr w:rsidR="00AC1E67" w:rsidRPr="00A00187" w14:paraId="0F51B234" w14:textId="77777777" w:rsidTr="00B3720D">
        <w:trPr>
          <w:trHeight w:val="315"/>
        </w:trPr>
        <w:tc>
          <w:tcPr>
            <w:tcW w:w="2496" w:type="dxa"/>
            <w:tcBorders>
              <w:top w:val="nil"/>
              <w:left w:val="nil"/>
              <w:bottom w:val="single" w:sz="4" w:space="0" w:color="auto"/>
              <w:right w:val="nil"/>
            </w:tcBorders>
            <w:shd w:val="clear" w:color="auto" w:fill="auto"/>
            <w:noWrap/>
            <w:vAlign w:val="bottom"/>
            <w:hideMark/>
          </w:tcPr>
          <w:p w14:paraId="3D4857FE"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KS Plzeň</w:t>
            </w:r>
          </w:p>
        </w:tc>
        <w:tc>
          <w:tcPr>
            <w:tcW w:w="500" w:type="dxa"/>
            <w:tcBorders>
              <w:top w:val="nil"/>
              <w:left w:val="nil"/>
              <w:bottom w:val="single" w:sz="4" w:space="0" w:color="auto"/>
              <w:right w:val="nil"/>
            </w:tcBorders>
            <w:shd w:val="clear" w:color="auto" w:fill="auto"/>
            <w:noWrap/>
            <w:vAlign w:val="bottom"/>
            <w:hideMark/>
          </w:tcPr>
          <w:p w14:paraId="1B648231"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64</w:t>
            </w:r>
          </w:p>
        </w:tc>
        <w:tc>
          <w:tcPr>
            <w:tcW w:w="1045" w:type="dxa"/>
            <w:tcBorders>
              <w:top w:val="nil"/>
              <w:left w:val="nil"/>
              <w:bottom w:val="single" w:sz="4" w:space="0" w:color="auto"/>
              <w:right w:val="nil"/>
            </w:tcBorders>
            <w:shd w:val="clear" w:color="auto" w:fill="auto"/>
            <w:noWrap/>
            <w:vAlign w:val="center"/>
            <w:hideMark/>
          </w:tcPr>
          <w:p w14:paraId="79E3603F" w14:textId="3CCA5DCC"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c>
          <w:tcPr>
            <w:tcW w:w="511" w:type="dxa"/>
            <w:tcBorders>
              <w:top w:val="nil"/>
              <w:left w:val="single" w:sz="4" w:space="0" w:color="auto"/>
              <w:bottom w:val="single" w:sz="4" w:space="0" w:color="auto"/>
              <w:right w:val="nil"/>
            </w:tcBorders>
            <w:shd w:val="clear" w:color="auto" w:fill="auto"/>
            <w:noWrap/>
            <w:vAlign w:val="bottom"/>
            <w:hideMark/>
          </w:tcPr>
          <w:p w14:paraId="22F057E9"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44</w:t>
            </w:r>
          </w:p>
        </w:tc>
        <w:tc>
          <w:tcPr>
            <w:tcW w:w="1203" w:type="dxa"/>
            <w:tcBorders>
              <w:top w:val="nil"/>
              <w:left w:val="nil"/>
              <w:bottom w:val="single" w:sz="4" w:space="0" w:color="auto"/>
              <w:right w:val="single" w:sz="4" w:space="0" w:color="auto"/>
            </w:tcBorders>
            <w:shd w:val="clear" w:color="auto" w:fill="auto"/>
            <w:noWrap/>
            <w:vAlign w:val="center"/>
            <w:hideMark/>
          </w:tcPr>
          <w:p w14:paraId="79694568" w14:textId="70765F2C"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763" w:type="dxa"/>
            <w:tcBorders>
              <w:top w:val="nil"/>
              <w:left w:val="nil"/>
              <w:bottom w:val="single" w:sz="4" w:space="0" w:color="auto"/>
              <w:right w:val="nil"/>
            </w:tcBorders>
            <w:shd w:val="clear" w:color="auto" w:fill="auto"/>
            <w:noWrap/>
            <w:vAlign w:val="bottom"/>
            <w:hideMark/>
          </w:tcPr>
          <w:p w14:paraId="569896B9"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142</w:t>
            </w:r>
          </w:p>
        </w:tc>
        <w:tc>
          <w:tcPr>
            <w:tcW w:w="1034" w:type="dxa"/>
            <w:tcBorders>
              <w:top w:val="nil"/>
              <w:left w:val="nil"/>
              <w:bottom w:val="single" w:sz="4" w:space="0" w:color="auto"/>
              <w:right w:val="nil"/>
            </w:tcBorders>
            <w:shd w:val="clear" w:color="auto" w:fill="auto"/>
            <w:noWrap/>
            <w:vAlign w:val="center"/>
            <w:hideMark/>
          </w:tcPr>
          <w:p w14:paraId="36DB1F6F" w14:textId="680FFDA3"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r>
      <w:tr w:rsidR="00AC1E67" w:rsidRPr="00A00187" w14:paraId="0CD88CB5" w14:textId="77777777" w:rsidTr="00B3720D">
        <w:trPr>
          <w:trHeight w:val="315"/>
        </w:trPr>
        <w:tc>
          <w:tcPr>
            <w:tcW w:w="2496" w:type="dxa"/>
            <w:tcBorders>
              <w:top w:val="nil"/>
              <w:left w:val="nil"/>
              <w:bottom w:val="single" w:sz="4" w:space="0" w:color="auto"/>
              <w:right w:val="nil"/>
            </w:tcBorders>
            <w:shd w:val="clear" w:color="auto" w:fill="auto"/>
            <w:noWrap/>
            <w:vAlign w:val="bottom"/>
            <w:hideMark/>
          </w:tcPr>
          <w:p w14:paraId="4C2E364D"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KS Ústí n. Labem</w:t>
            </w:r>
          </w:p>
        </w:tc>
        <w:tc>
          <w:tcPr>
            <w:tcW w:w="500" w:type="dxa"/>
            <w:tcBorders>
              <w:top w:val="nil"/>
              <w:left w:val="nil"/>
              <w:bottom w:val="single" w:sz="4" w:space="0" w:color="auto"/>
              <w:right w:val="nil"/>
            </w:tcBorders>
            <w:shd w:val="clear" w:color="auto" w:fill="auto"/>
            <w:noWrap/>
            <w:vAlign w:val="bottom"/>
            <w:hideMark/>
          </w:tcPr>
          <w:p w14:paraId="23E617C5"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91</w:t>
            </w:r>
          </w:p>
        </w:tc>
        <w:tc>
          <w:tcPr>
            <w:tcW w:w="1045" w:type="dxa"/>
            <w:tcBorders>
              <w:top w:val="nil"/>
              <w:left w:val="nil"/>
              <w:bottom w:val="single" w:sz="4" w:space="0" w:color="auto"/>
              <w:right w:val="nil"/>
            </w:tcBorders>
            <w:shd w:val="clear" w:color="auto" w:fill="auto"/>
            <w:noWrap/>
            <w:vAlign w:val="center"/>
            <w:hideMark/>
          </w:tcPr>
          <w:p w14:paraId="4D2A9457" w14:textId="46FE694C"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511" w:type="dxa"/>
            <w:tcBorders>
              <w:top w:val="nil"/>
              <w:left w:val="single" w:sz="4" w:space="0" w:color="auto"/>
              <w:bottom w:val="single" w:sz="4" w:space="0" w:color="auto"/>
              <w:right w:val="nil"/>
            </w:tcBorders>
            <w:shd w:val="clear" w:color="auto" w:fill="auto"/>
            <w:noWrap/>
            <w:vAlign w:val="bottom"/>
            <w:hideMark/>
          </w:tcPr>
          <w:p w14:paraId="7589BB26"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55</w:t>
            </w:r>
          </w:p>
        </w:tc>
        <w:tc>
          <w:tcPr>
            <w:tcW w:w="1203" w:type="dxa"/>
            <w:tcBorders>
              <w:top w:val="nil"/>
              <w:left w:val="nil"/>
              <w:bottom w:val="single" w:sz="4" w:space="0" w:color="auto"/>
              <w:right w:val="single" w:sz="4" w:space="0" w:color="auto"/>
            </w:tcBorders>
            <w:shd w:val="clear" w:color="auto" w:fill="auto"/>
            <w:noWrap/>
            <w:vAlign w:val="center"/>
            <w:hideMark/>
          </w:tcPr>
          <w:p w14:paraId="3FDD9013" w14:textId="770B673E"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763" w:type="dxa"/>
            <w:tcBorders>
              <w:top w:val="nil"/>
              <w:left w:val="nil"/>
              <w:bottom w:val="single" w:sz="4" w:space="0" w:color="auto"/>
              <w:right w:val="nil"/>
            </w:tcBorders>
            <w:shd w:val="clear" w:color="auto" w:fill="auto"/>
            <w:noWrap/>
            <w:vAlign w:val="bottom"/>
            <w:hideMark/>
          </w:tcPr>
          <w:p w14:paraId="31ECF8B4"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202</w:t>
            </w:r>
          </w:p>
        </w:tc>
        <w:tc>
          <w:tcPr>
            <w:tcW w:w="1034" w:type="dxa"/>
            <w:tcBorders>
              <w:top w:val="nil"/>
              <w:left w:val="nil"/>
              <w:bottom w:val="single" w:sz="4" w:space="0" w:color="auto"/>
              <w:right w:val="nil"/>
            </w:tcBorders>
            <w:shd w:val="clear" w:color="auto" w:fill="auto"/>
            <w:noWrap/>
            <w:vAlign w:val="center"/>
            <w:hideMark/>
          </w:tcPr>
          <w:p w14:paraId="6B0DD606" w14:textId="7E9E027B"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0972DADF" w14:textId="77777777" w:rsidTr="00B3720D">
        <w:trPr>
          <w:trHeight w:val="315"/>
        </w:trPr>
        <w:tc>
          <w:tcPr>
            <w:tcW w:w="2496" w:type="dxa"/>
            <w:tcBorders>
              <w:top w:val="nil"/>
              <w:left w:val="nil"/>
              <w:bottom w:val="single" w:sz="4" w:space="0" w:color="auto"/>
              <w:right w:val="nil"/>
            </w:tcBorders>
            <w:shd w:val="clear" w:color="auto" w:fill="auto"/>
            <w:noWrap/>
            <w:vAlign w:val="bottom"/>
            <w:hideMark/>
          </w:tcPr>
          <w:p w14:paraId="6A9ABE37"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KS Hr. Králové</w:t>
            </w:r>
          </w:p>
        </w:tc>
        <w:tc>
          <w:tcPr>
            <w:tcW w:w="500" w:type="dxa"/>
            <w:tcBorders>
              <w:top w:val="nil"/>
              <w:left w:val="nil"/>
              <w:bottom w:val="single" w:sz="4" w:space="0" w:color="auto"/>
              <w:right w:val="nil"/>
            </w:tcBorders>
            <w:shd w:val="clear" w:color="auto" w:fill="auto"/>
            <w:noWrap/>
            <w:vAlign w:val="bottom"/>
            <w:hideMark/>
          </w:tcPr>
          <w:p w14:paraId="4D80223D"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51</w:t>
            </w:r>
          </w:p>
        </w:tc>
        <w:tc>
          <w:tcPr>
            <w:tcW w:w="1045" w:type="dxa"/>
            <w:tcBorders>
              <w:top w:val="nil"/>
              <w:left w:val="nil"/>
              <w:bottom w:val="single" w:sz="4" w:space="0" w:color="auto"/>
              <w:right w:val="nil"/>
            </w:tcBorders>
            <w:shd w:val="clear" w:color="auto" w:fill="auto"/>
            <w:noWrap/>
            <w:vAlign w:val="center"/>
            <w:hideMark/>
          </w:tcPr>
          <w:p w14:paraId="47AE6B55" w14:textId="3043751B"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511" w:type="dxa"/>
            <w:tcBorders>
              <w:top w:val="nil"/>
              <w:left w:val="single" w:sz="4" w:space="0" w:color="auto"/>
              <w:bottom w:val="single" w:sz="4" w:space="0" w:color="auto"/>
              <w:right w:val="nil"/>
            </w:tcBorders>
            <w:shd w:val="clear" w:color="auto" w:fill="auto"/>
            <w:noWrap/>
            <w:vAlign w:val="bottom"/>
            <w:hideMark/>
          </w:tcPr>
          <w:p w14:paraId="0958684F"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43</w:t>
            </w:r>
          </w:p>
        </w:tc>
        <w:tc>
          <w:tcPr>
            <w:tcW w:w="1203" w:type="dxa"/>
            <w:tcBorders>
              <w:top w:val="nil"/>
              <w:left w:val="nil"/>
              <w:bottom w:val="single" w:sz="4" w:space="0" w:color="auto"/>
              <w:right w:val="single" w:sz="4" w:space="0" w:color="auto"/>
            </w:tcBorders>
            <w:shd w:val="clear" w:color="auto" w:fill="auto"/>
            <w:noWrap/>
            <w:vAlign w:val="center"/>
            <w:hideMark/>
          </w:tcPr>
          <w:p w14:paraId="1FA65CAB" w14:textId="6E097236"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763" w:type="dxa"/>
            <w:tcBorders>
              <w:top w:val="nil"/>
              <w:left w:val="nil"/>
              <w:bottom w:val="single" w:sz="4" w:space="0" w:color="auto"/>
              <w:right w:val="nil"/>
            </w:tcBorders>
            <w:shd w:val="clear" w:color="auto" w:fill="auto"/>
            <w:noWrap/>
            <w:vAlign w:val="bottom"/>
            <w:hideMark/>
          </w:tcPr>
          <w:p w14:paraId="4C3DC7EA"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83</w:t>
            </w:r>
          </w:p>
        </w:tc>
        <w:tc>
          <w:tcPr>
            <w:tcW w:w="1034" w:type="dxa"/>
            <w:tcBorders>
              <w:top w:val="nil"/>
              <w:left w:val="nil"/>
              <w:bottom w:val="single" w:sz="4" w:space="0" w:color="auto"/>
              <w:right w:val="nil"/>
            </w:tcBorders>
            <w:shd w:val="clear" w:color="auto" w:fill="auto"/>
            <w:noWrap/>
            <w:vAlign w:val="center"/>
            <w:hideMark/>
          </w:tcPr>
          <w:p w14:paraId="792B33E5" w14:textId="7ADAC040"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5FF0CA46" w14:textId="77777777" w:rsidTr="00B3720D">
        <w:trPr>
          <w:trHeight w:val="315"/>
        </w:trPr>
        <w:tc>
          <w:tcPr>
            <w:tcW w:w="2496" w:type="dxa"/>
            <w:tcBorders>
              <w:top w:val="nil"/>
              <w:left w:val="nil"/>
              <w:bottom w:val="single" w:sz="4" w:space="0" w:color="auto"/>
              <w:right w:val="nil"/>
            </w:tcBorders>
            <w:shd w:val="clear" w:color="auto" w:fill="auto"/>
            <w:noWrap/>
            <w:vAlign w:val="bottom"/>
            <w:hideMark/>
          </w:tcPr>
          <w:p w14:paraId="16434819"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KS Brno</w:t>
            </w:r>
          </w:p>
        </w:tc>
        <w:tc>
          <w:tcPr>
            <w:tcW w:w="500" w:type="dxa"/>
            <w:tcBorders>
              <w:top w:val="nil"/>
              <w:left w:val="nil"/>
              <w:bottom w:val="single" w:sz="4" w:space="0" w:color="auto"/>
              <w:right w:val="nil"/>
            </w:tcBorders>
            <w:shd w:val="clear" w:color="auto" w:fill="auto"/>
            <w:noWrap/>
            <w:vAlign w:val="bottom"/>
            <w:hideMark/>
          </w:tcPr>
          <w:p w14:paraId="2E31AB91"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54</w:t>
            </w:r>
          </w:p>
        </w:tc>
        <w:tc>
          <w:tcPr>
            <w:tcW w:w="1045" w:type="dxa"/>
            <w:tcBorders>
              <w:top w:val="nil"/>
              <w:left w:val="nil"/>
              <w:bottom w:val="single" w:sz="4" w:space="0" w:color="auto"/>
              <w:right w:val="nil"/>
            </w:tcBorders>
            <w:shd w:val="clear" w:color="auto" w:fill="auto"/>
            <w:noWrap/>
            <w:vAlign w:val="center"/>
            <w:hideMark/>
          </w:tcPr>
          <w:p w14:paraId="428FB444" w14:textId="7FD0EAD1"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511" w:type="dxa"/>
            <w:tcBorders>
              <w:top w:val="nil"/>
              <w:left w:val="single" w:sz="4" w:space="0" w:color="auto"/>
              <w:bottom w:val="single" w:sz="4" w:space="0" w:color="auto"/>
              <w:right w:val="nil"/>
            </w:tcBorders>
            <w:shd w:val="clear" w:color="auto" w:fill="auto"/>
            <w:noWrap/>
            <w:vAlign w:val="bottom"/>
            <w:hideMark/>
          </w:tcPr>
          <w:p w14:paraId="1E035F56"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36</w:t>
            </w:r>
          </w:p>
        </w:tc>
        <w:tc>
          <w:tcPr>
            <w:tcW w:w="1203" w:type="dxa"/>
            <w:tcBorders>
              <w:top w:val="nil"/>
              <w:left w:val="nil"/>
              <w:bottom w:val="single" w:sz="4" w:space="0" w:color="auto"/>
              <w:right w:val="single" w:sz="4" w:space="0" w:color="auto"/>
            </w:tcBorders>
            <w:shd w:val="clear" w:color="auto" w:fill="auto"/>
            <w:noWrap/>
            <w:vAlign w:val="center"/>
            <w:hideMark/>
          </w:tcPr>
          <w:p w14:paraId="026D166D" w14:textId="3E464F1C"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763" w:type="dxa"/>
            <w:tcBorders>
              <w:top w:val="nil"/>
              <w:left w:val="nil"/>
              <w:bottom w:val="single" w:sz="4" w:space="0" w:color="auto"/>
              <w:right w:val="nil"/>
            </w:tcBorders>
            <w:shd w:val="clear" w:color="auto" w:fill="auto"/>
            <w:noWrap/>
            <w:vAlign w:val="bottom"/>
            <w:hideMark/>
          </w:tcPr>
          <w:p w14:paraId="2E01FF35"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105</w:t>
            </w:r>
          </w:p>
        </w:tc>
        <w:tc>
          <w:tcPr>
            <w:tcW w:w="1034" w:type="dxa"/>
            <w:tcBorders>
              <w:top w:val="nil"/>
              <w:left w:val="nil"/>
              <w:bottom w:val="single" w:sz="4" w:space="0" w:color="auto"/>
              <w:right w:val="nil"/>
            </w:tcBorders>
            <w:shd w:val="clear" w:color="auto" w:fill="auto"/>
            <w:noWrap/>
            <w:vAlign w:val="center"/>
            <w:hideMark/>
          </w:tcPr>
          <w:p w14:paraId="1DA86328" w14:textId="359952C1"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13CF4CEC" w14:textId="77777777" w:rsidTr="00B3720D">
        <w:trPr>
          <w:trHeight w:val="330"/>
        </w:trPr>
        <w:tc>
          <w:tcPr>
            <w:tcW w:w="2496" w:type="dxa"/>
            <w:tcBorders>
              <w:top w:val="nil"/>
              <w:left w:val="nil"/>
              <w:bottom w:val="double" w:sz="6" w:space="0" w:color="auto"/>
              <w:right w:val="nil"/>
            </w:tcBorders>
            <w:shd w:val="clear" w:color="auto" w:fill="auto"/>
            <w:noWrap/>
            <w:vAlign w:val="bottom"/>
            <w:hideMark/>
          </w:tcPr>
          <w:p w14:paraId="338CC9FB" w14:textId="77777777" w:rsidR="00B3720D" w:rsidRPr="00A00187" w:rsidRDefault="00B3720D" w:rsidP="00B3720D">
            <w:pPr>
              <w:spacing w:line="240" w:lineRule="auto"/>
              <w:jc w:val="left"/>
              <w:rPr>
                <w:rFonts w:eastAsia="Times New Roman"/>
                <w:szCs w:val="24"/>
                <w:lang w:eastAsia="cs-CZ"/>
              </w:rPr>
            </w:pPr>
            <w:r w:rsidRPr="00A00187">
              <w:rPr>
                <w:rFonts w:eastAsia="Times New Roman"/>
                <w:szCs w:val="24"/>
                <w:lang w:eastAsia="cs-CZ"/>
              </w:rPr>
              <w:t>KS Ostrava</w:t>
            </w:r>
          </w:p>
        </w:tc>
        <w:tc>
          <w:tcPr>
            <w:tcW w:w="500" w:type="dxa"/>
            <w:tcBorders>
              <w:top w:val="nil"/>
              <w:left w:val="nil"/>
              <w:bottom w:val="double" w:sz="6" w:space="0" w:color="auto"/>
              <w:right w:val="nil"/>
            </w:tcBorders>
            <w:shd w:val="clear" w:color="auto" w:fill="auto"/>
            <w:noWrap/>
            <w:vAlign w:val="bottom"/>
            <w:hideMark/>
          </w:tcPr>
          <w:p w14:paraId="3B2D60E6"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65</w:t>
            </w:r>
          </w:p>
        </w:tc>
        <w:tc>
          <w:tcPr>
            <w:tcW w:w="1045" w:type="dxa"/>
            <w:tcBorders>
              <w:top w:val="nil"/>
              <w:left w:val="nil"/>
              <w:bottom w:val="double" w:sz="6" w:space="0" w:color="auto"/>
              <w:right w:val="nil"/>
            </w:tcBorders>
            <w:shd w:val="clear" w:color="auto" w:fill="auto"/>
            <w:noWrap/>
            <w:vAlign w:val="center"/>
            <w:hideMark/>
          </w:tcPr>
          <w:p w14:paraId="56EB32AB" w14:textId="2236AD6D"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511" w:type="dxa"/>
            <w:tcBorders>
              <w:top w:val="nil"/>
              <w:left w:val="single" w:sz="4" w:space="0" w:color="auto"/>
              <w:bottom w:val="double" w:sz="6" w:space="0" w:color="auto"/>
              <w:right w:val="nil"/>
            </w:tcBorders>
            <w:shd w:val="clear" w:color="auto" w:fill="auto"/>
            <w:noWrap/>
            <w:vAlign w:val="bottom"/>
            <w:hideMark/>
          </w:tcPr>
          <w:p w14:paraId="18039F2B"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45</w:t>
            </w:r>
          </w:p>
        </w:tc>
        <w:tc>
          <w:tcPr>
            <w:tcW w:w="1203" w:type="dxa"/>
            <w:tcBorders>
              <w:top w:val="nil"/>
              <w:left w:val="nil"/>
              <w:bottom w:val="double" w:sz="6" w:space="0" w:color="auto"/>
              <w:right w:val="single" w:sz="4" w:space="0" w:color="auto"/>
            </w:tcBorders>
            <w:shd w:val="clear" w:color="auto" w:fill="auto"/>
            <w:noWrap/>
            <w:vAlign w:val="center"/>
            <w:hideMark/>
          </w:tcPr>
          <w:p w14:paraId="5DFDEE50" w14:textId="1419C7BD"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763" w:type="dxa"/>
            <w:tcBorders>
              <w:top w:val="nil"/>
              <w:left w:val="nil"/>
              <w:bottom w:val="double" w:sz="6" w:space="0" w:color="auto"/>
              <w:right w:val="nil"/>
            </w:tcBorders>
            <w:shd w:val="clear" w:color="auto" w:fill="auto"/>
            <w:noWrap/>
            <w:vAlign w:val="bottom"/>
            <w:hideMark/>
          </w:tcPr>
          <w:p w14:paraId="71AC6E04" w14:textId="77777777" w:rsidR="00B3720D" w:rsidRPr="00A00187" w:rsidRDefault="00B3720D" w:rsidP="00B3720D">
            <w:pPr>
              <w:spacing w:line="240" w:lineRule="auto"/>
              <w:jc w:val="center"/>
              <w:rPr>
                <w:rFonts w:eastAsia="Times New Roman"/>
                <w:szCs w:val="24"/>
                <w:lang w:eastAsia="cs-CZ"/>
              </w:rPr>
            </w:pPr>
            <w:r w:rsidRPr="00A00187">
              <w:rPr>
                <w:rFonts w:eastAsia="Times New Roman"/>
                <w:szCs w:val="24"/>
                <w:lang w:eastAsia="cs-CZ"/>
              </w:rPr>
              <w:t>128</w:t>
            </w:r>
          </w:p>
        </w:tc>
        <w:tc>
          <w:tcPr>
            <w:tcW w:w="1034" w:type="dxa"/>
            <w:tcBorders>
              <w:top w:val="nil"/>
              <w:left w:val="nil"/>
              <w:bottom w:val="double" w:sz="6" w:space="0" w:color="auto"/>
              <w:right w:val="nil"/>
            </w:tcBorders>
            <w:shd w:val="clear" w:color="auto" w:fill="auto"/>
            <w:noWrap/>
            <w:vAlign w:val="center"/>
            <w:hideMark/>
          </w:tcPr>
          <w:p w14:paraId="7F05926D" w14:textId="59365B30" w:rsidR="00B3720D" w:rsidRPr="00A00187" w:rsidRDefault="00B3720D" w:rsidP="00B3720D">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571A9BCB" w14:textId="77777777" w:rsidTr="00B3720D">
        <w:trPr>
          <w:trHeight w:val="345"/>
        </w:trPr>
        <w:tc>
          <w:tcPr>
            <w:tcW w:w="2496" w:type="dxa"/>
            <w:tcBorders>
              <w:top w:val="nil"/>
              <w:left w:val="nil"/>
              <w:bottom w:val="double" w:sz="6" w:space="0" w:color="auto"/>
              <w:right w:val="nil"/>
            </w:tcBorders>
            <w:shd w:val="clear" w:color="auto" w:fill="auto"/>
            <w:noWrap/>
            <w:vAlign w:val="bottom"/>
            <w:hideMark/>
          </w:tcPr>
          <w:p w14:paraId="12C6ADD0" w14:textId="77777777" w:rsidR="00B3720D" w:rsidRPr="00A00187" w:rsidRDefault="00B3720D" w:rsidP="00B3720D">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500" w:type="dxa"/>
            <w:tcBorders>
              <w:top w:val="nil"/>
              <w:left w:val="nil"/>
              <w:bottom w:val="double" w:sz="6" w:space="0" w:color="auto"/>
              <w:right w:val="nil"/>
            </w:tcBorders>
            <w:shd w:val="clear" w:color="auto" w:fill="auto"/>
            <w:noWrap/>
            <w:vAlign w:val="bottom"/>
            <w:hideMark/>
          </w:tcPr>
          <w:p w14:paraId="6B06C141" w14:textId="77777777" w:rsidR="00B3720D" w:rsidRPr="00A00187" w:rsidRDefault="00B3720D" w:rsidP="00B3720D">
            <w:pPr>
              <w:spacing w:line="240" w:lineRule="auto"/>
              <w:jc w:val="center"/>
              <w:rPr>
                <w:rFonts w:eastAsia="Times New Roman"/>
                <w:b/>
                <w:bCs/>
                <w:szCs w:val="24"/>
                <w:lang w:eastAsia="cs-CZ"/>
              </w:rPr>
            </w:pPr>
            <w:r w:rsidRPr="00A00187">
              <w:rPr>
                <w:rFonts w:eastAsia="Times New Roman"/>
                <w:b/>
                <w:bCs/>
                <w:szCs w:val="24"/>
                <w:lang w:eastAsia="cs-CZ"/>
              </w:rPr>
              <w:t>62</w:t>
            </w:r>
          </w:p>
        </w:tc>
        <w:tc>
          <w:tcPr>
            <w:tcW w:w="1045" w:type="dxa"/>
            <w:tcBorders>
              <w:top w:val="nil"/>
              <w:left w:val="nil"/>
              <w:bottom w:val="double" w:sz="6" w:space="0" w:color="auto"/>
              <w:right w:val="nil"/>
            </w:tcBorders>
            <w:shd w:val="clear" w:color="auto" w:fill="auto"/>
            <w:noWrap/>
            <w:vAlign w:val="center"/>
            <w:hideMark/>
          </w:tcPr>
          <w:p w14:paraId="7D30B965" w14:textId="7DCC7CBA" w:rsidR="00B3720D" w:rsidRPr="00A00187" w:rsidRDefault="00B3720D" w:rsidP="00B3720D">
            <w:pPr>
              <w:spacing w:line="240" w:lineRule="auto"/>
              <w:jc w:val="center"/>
              <w:rPr>
                <w:rFonts w:eastAsia="Times New Roman"/>
                <w:b/>
                <w:bCs/>
                <w:sz w:val="20"/>
                <w:szCs w:val="20"/>
                <w:lang w:eastAsia="cs-CZ"/>
              </w:rPr>
            </w:pPr>
            <w:r w:rsidRPr="00A00187">
              <w:rPr>
                <w:rFonts w:eastAsia="Times New Roman"/>
                <w:b/>
                <w:bCs/>
                <w:sz w:val="20"/>
                <w:szCs w:val="20"/>
                <w:lang w:eastAsia="cs-CZ"/>
              </w:rPr>
              <w:t>-3</w:t>
            </w:r>
            <w:r w:rsidR="00CB570A">
              <w:rPr>
                <w:rFonts w:eastAsia="Times New Roman"/>
                <w:b/>
                <w:bCs/>
                <w:sz w:val="20"/>
                <w:szCs w:val="20"/>
                <w:lang w:eastAsia="cs-CZ"/>
              </w:rPr>
              <w:t> %</w:t>
            </w:r>
          </w:p>
        </w:tc>
        <w:tc>
          <w:tcPr>
            <w:tcW w:w="511" w:type="dxa"/>
            <w:tcBorders>
              <w:top w:val="nil"/>
              <w:left w:val="single" w:sz="4" w:space="0" w:color="auto"/>
              <w:bottom w:val="double" w:sz="6" w:space="0" w:color="auto"/>
              <w:right w:val="nil"/>
            </w:tcBorders>
            <w:shd w:val="clear" w:color="auto" w:fill="auto"/>
            <w:noWrap/>
            <w:vAlign w:val="bottom"/>
            <w:hideMark/>
          </w:tcPr>
          <w:p w14:paraId="51454F5A" w14:textId="77777777" w:rsidR="00B3720D" w:rsidRPr="00A00187" w:rsidRDefault="00B3720D" w:rsidP="00B3720D">
            <w:pPr>
              <w:spacing w:line="240" w:lineRule="auto"/>
              <w:jc w:val="center"/>
              <w:rPr>
                <w:rFonts w:eastAsia="Times New Roman"/>
                <w:b/>
                <w:bCs/>
                <w:szCs w:val="24"/>
                <w:lang w:eastAsia="cs-CZ"/>
              </w:rPr>
            </w:pPr>
            <w:r w:rsidRPr="00A00187">
              <w:rPr>
                <w:rFonts w:eastAsia="Times New Roman"/>
                <w:b/>
                <w:bCs/>
                <w:szCs w:val="24"/>
                <w:lang w:eastAsia="cs-CZ"/>
              </w:rPr>
              <w:t>40</w:t>
            </w:r>
          </w:p>
        </w:tc>
        <w:tc>
          <w:tcPr>
            <w:tcW w:w="1203" w:type="dxa"/>
            <w:tcBorders>
              <w:top w:val="nil"/>
              <w:left w:val="nil"/>
              <w:bottom w:val="double" w:sz="6" w:space="0" w:color="auto"/>
              <w:right w:val="single" w:sz="4" w:space="0" w:color="auto"/>
            </w:tcBorders>
            <w:shd w:val="clear" w:color="auto" w:fill="auto"/>
            <w:noWrap/>
            <w:vAlign w:val="center"/>
            <w:hideMark/>
          </w:tcPr>
          <w:p w14:paraId="6B020CAE" w14:textId="4BA137D1" w:rsidR="00B3720D" w:rsidRPr="00A00187" w:rsidRDefault="00B3720D" w:rsidP="00B3720D">
            <w:pPr>
              <w:spacing w:line="240" w:lineRule="auto"/>
              <w:jc w:val="center"/>
              <w:rPr>
                <w:rFonts w:eastAsia="Times New Roman"/>
                <w:b/>
                <w:bCs/>
                <w:sz w:val="20"/>
                <w:szCs w:val="20"/>
                <w:lang w:eastAsia="cs-CZ"/>
              </w:rPr>
            </w:pPr>
            <w:r w:rsidRPr="00A00187">
              <w:rPr>
                <w:rFonts w:eastAsia="Times New Roman"/>
                <w:b/>
                <w:bCs/>
                <w:sz w:val="20"/>
                <w:szCs w:val="20"/>
                <w:lang w:eastAsia="cs-CZ"/>
              </w:rPr>
              <w:t>-5</w:t>
            </w:r>
            <w:r w:rsidR="00CB570A">
              <w:rPr>
                <w:rFonts w:eastAsia="Times New Roman"/>
                <w:b/>
                <w:bCs/>
                <w:sz w:val="20"/>
                <w:szCs w:val="20"/>
                <w:lang w:eastAsia="cs-CZ"/>
              </w:rPr>
              <w:t> %</w:t>
            </w:r>
          </w:p>
        </w:tc>
        <w:tc>
          <w:tcPr>
            <w:tcW w:w="763" w:type="dxa"/>
            <w:tcBorders>
              <w:top w:val="nil"/>
              <w:left w:val="nil"/>
              <w:bottom w:val="double" w:sz="6" w:space="0" w:color="auto"/>
              <w:right w:val="nil"/>
            </w:tcBorders>
            <w:shd w:val="clear" w:color="auto" w:fill="auto"/>
            <w:noWrap/>
            <w:vAlign w:val="bottom"/>
            <w:hideMark/>
          </w:tcPr>
          <w:p w14:paraId="48AD5902" w14:textId="77777777" w:rsidR="00B3720D" w:rsidRPr="00A00187" w:rsidRDefault="00B3720D" w:rsidP="00B3720D">
            <w:pPr>
              <w:spacing w:line="240" w:lineRule="auto"/>
              <w:jc w:val="center"/>
              <w:rPr>
                <w:rFonts w:eastAsia="Times New Roman"/>
                <w:b/>
                <w:bCs/>
                <w:szCs w:val="24"/>
                <w:lang w:eastAsia="cs-CZ"/>
              </w:rPr>
            </w:pPr>
            <w:r w:rsidRPr="00A00187">
              <w:rPr>
                <w:rFonts w:eastAsia="Times New Roman"/>
                <w:b/>
                <w:bCs/>
                <w:szCs w:val="24"/>
                <w:lang w:eastAsia="cs-CZ"/>
              </w:rPr>
              <w:t>120</w:t>
            </w:r>
          </w:p>
        </w:tc>
        <w:tc>
          <w:tcPr>
            <w:tcW w:w="1034" w:type="dxa"/>
            <w:tcBorders>
              <w:top w:val="nil"/>
              <w:left w:val="nil"/>
              <w:bottom w:val="double" w:sz="6" w:space="0" w:color="auto"/>
              <w:right w:val="nil"/>
            </w:tcBorders>
            <w:shd w:val="clear" w:color="auto" w:fill="auto"/>
            <w:noWrap/>
            <w:vAlign w:val="center"/>
            <w:hideMark/>
          </w:tcPr>
          <w:p w14:paraId="3D3C8DD9" w14:textId="78DB1DF7" w:rsidR="00B3720D" w:rsidRPr="00A00187" w:rsidRDefault="00B3720D" w:rsidP="00B3720D">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r>
      <w:tr w:rsidR="00AC1E67" w:rsidRPr="00A00187" w14:paraId="707EA679" w14:textId="77777777" w:rsidTr="00B3720D">
        <w:trPr>
          <w:trHeight w:val="330"/>
        </w:trPr>
        <w:tc>
          <w:tcPr>
            <w:tcW w:w="2496" w:type="dxa"/>
            <w:tcBorders>
              <w:top w:val="nil"/>
              <w:left w:val="nil"/>
              <w:bottom w:val="nil"/>
              <w:right w:val="nil"/>
            </w:tcBorders>
            <w:shd w:val="clear" w:color="auto" w:fill="auto"/>
            <w:noWrap/>
            <w:vAlign w:val="bottom"/>
            <w:hideMark/>
          </w:tcPr>
          <w:p w14:paraId="32D78C0B" w14:textId="77777777" w:rsidR="00B3720D" w:rsidRPr="00A00187" w:rsidRDefault="00B3720D" w:rsidP="00B3720D">
            <w:pPr>
              <w:spacing w:line="240" w:lineRule="auto"/>
              <w:jc w:val="right"/>
              <w:rPr>
                <w:rFonts w:eastAsia="Times New Roman"/>
                <w:b/>
                <w:bCs/>
                <w:sz w:val="20"/>
                <w:szCs w:val="20"/>
                <w:lang w:eastAsia="cs-CZ"/>
              </w:rPr>
            </w:pPr>
          </w:p>
        </w:tc>
        <w:tc>
          <w:tcPr>
            <w:tcW w:w="500" w:type="dxa"/>
            <w:tcBorders>
              <w:top w:val="nil"/>
              <w:left w:val="nil"/>
              <w:bottom w:val="nil"/>
              <w:right w:val="nil"/>
            </w:tcBorders>
            <w:shd w:val="clear" w:color="auto" w:fill="auto"/>
            <w:noWrap/>
            <w:vAlign w:val="bottom"/>
            <w:hideMark/>
          </w:tcPr>
          <w:p w14:paraId="12245EE9" w14:textId="77777777" w:rsidR="00B3720D" w:rsidRPr="00A00187" w:rsidRDefault="00B3720D" w:rsidP="00B3720D">
            <w:pPr>
              <w:spacing w:line="240" w:lineRule="auto"/>
              <w:jc w:val="left"/>
              <w:rPr>
                <w:rFonts w:ascii="Times New Roman" w:eastAsia="Times New Roman" w:hAnsi="Times New Roman"/>
                <w:sz w:val="20"/>
                <w:szCs w:val="20"/>
                <w:lang w:eastAsia="cs-CZ"/>
              </w:rPr>
            </w:pPr>
          </w:p>
        </w:tc>
        <w:tc>
          <w:tcPr>
            <w:tcW w:w="1045" w:type="dxa"/>
            <w:tcBorders>
              <w:top w:val="nil"/>
              <w:left w:val="nil"/>
              <w:bottom w:val="nil"/>
              <w:right w:val="nil"/>
            </w:tcBorders>
            <w:shd w:val="clear" w:color="auto" w:fill="auto"/>
            <w:noWrap/>
            <w:vAlign w:val="bottom"/>
            <w:hideMark/>
          </w:tcPr>
          <w:p w14:paraId="1859CD1D" w14:textId="77777777" w:rsidR="00B3720D" w:rsidRPr="00A00187" w:rsidRDefault="00B3720D" w:rsidP="00B3720D">
            <w:pPr>
              <w:spacing w:line="240" w:lineRule="auto"/>
              <w:jc w:val="left"/>
              <w:rPr>
                <w:rFonts w:ascii="Times New Roman" w:eastAsia="Times New Roman" w:hAnsi="Times New Roman"/>
                <w:sz w:val="20"/>
                <w:szCs w:val="20"/>
                <w:lang w:eastAsia="cs-CZ"/>
              </w:rPr>
            </w:pPr>
          </w:p>
        </w:tc>
        <w:tc>
          <w:tcPr>
            <w:tcW w:w="511" w:type="dxa"/>
            <w:tcBorders>
              <w:top w:val="nil"/>
              <w:left w:val="nil"/>
              <w:bottom w:val="nil"/>
              <w:right w:val="nil"/>
            </w:tcBorders>
            <w:shd w:val="clear" w:color="auto" w:fill="auto"/>
            <w:noWrap/>
            <w:vAlign w:val="bottom"/>
            <w:hideMark/>
          </w:tcPr>
          <w:p w14:paraId="481E9B6A" w14:textId="77777777" w:rsidR="00B3720D" w:rsidRPr="00A00187" w:rsidRDefault="00B3720D" w:rsidP="00B3720D">
            <w:pPr>
              <w:spacing w:line="240" w:lineRule="auto"/>
              <w:jc w:val="left"/>
              <w:rPr>
                <w:rFonts w:ascii="Times New Roman" w:eastAsia="Times New Roman" w:hAnsi="Times New Roman"/>
                <w:sz w:val="20"/>
                <w:szCs w:val="20"/>
                <w:lang w:eastAsia="cs-CZ"/>
              </w:rPr>
            </w:pPr>
          </w:p>
        </w:tc>
        <w:tc>
          <w:tcPr>
            <w:tcW w:w="1203" w:type="dxa"/>
            <w:tcBorders>
              <w:top w:val="nil"/>
              <w:left w:val="nil"/>
              <w:bottom w:val="nil"/>
              <w:right w:val="nil"/>
            </w:tcBorders>
            <w:shd w:val="clear" w:color="auto" w:fill="auto"/>
            <w:noWrap/>
            <w:vAlign w:val="bottom"/>
            <w:hideMark/>
          </w:tcPr>
          <w:p w14:paraId="593D0F18" w14:textId="77777777" w:rsidR="00B3720D" w:rsidRPr="00A00187" w:rsidRDefault="00B3720D" w:rsidP="00B3720D">
            <w:pPr>
              <w:spacing w:line="240" w:lineRule="auto"/>
              <w:jc w:val="left"/>
              <w:rPr>
                <w:rFonts w:ascii="Times New Roman" w:eastAsia="Times New Roman" w:hAnsi="Times New Roman"/>
                <w:sz w:val="20"/>
                <w:szCs w:val="20"/>
                <w:lang w:eastAsia="cs-CZ"/>
              </w:rPr>
            </w:pPr>
          </w:p>
        </w:tc>
        <w:tc>
          <w:tcPr>
            <w:tcW w:w="763" w:type="dxa"/>
            <w:tcBorders>
              <w:top w:val="nil"/>
              <w:left w:val="nil"/>
              <w:bottom w:val="nil"/>
              <w:right w:val="nil"/>
            </w:tcBorders>
            <w:shd w:val="clear" w:color="auto" w:fill="auto"/>
            <w:noWrap/>
            <w:vAlign w:val="bottom"/>
            <w:hideMark/>
          </w:tcPr>
          <w:p w14:paraId="1678E08A" w14:textId="77777777" w:rsidR="00B3720D" w:rsidRPr="00A00187" w:rsidRDefault="00B3720D" w:rsidP="00B3720D">
            <w:pPr>
              <w:spacing w:line="240" w:lineRule="auto"/>
              <w:jc w:val="left"/>
              <w:rPr>
                <w:rFonts w:ascii="Times New Roman" w:eastAsia="Times New Roman" w:hAnsi="Times New Roman"/>
                <w:sz w:val="20"/>
                <w:szCs w:val="20"/>
                <w:lang w:eastAsia="cs-CZ"/>
              </w:rPr>
            </w:pPr>
          </w:p>
        </w:tc>
        <w:tc>
          <w:tcPr>
            <w:tcW w:w="1034" w:type="dxa"/>
            <w:tcBorders>
              <w:top w:val="nil"/>
              <w:left w:val="nil"/>
              <w:bottom w:val="nil"/>
              <w:right w:val="nil"/>
            </w:tcBorders>
            <w:shd w:val="clear" w:color="auto" w:fill="auto"/>
            <w:noWrap/>
            <w:vAlign w:val="bottom"/>
            <w:hideMark/>
          </w:tcPr>
          <w:p w14:paraId="364AD949" w14:textId="77777777" w:rsidR="00B3720D" w:rsidRPr="00A00187" w:rsidRDefault="00B3720D" w:rsidP="00B3720D">
            <w:pPr>
              <w:spacing w:line="240" w:lineRule="auto"/>
              <w:jc w:val="left"/>
              <w:rPr>
                <w:rFonts w:ascii="Times New Roman" w:eastAsia="Times New Roman" w:hAnsi="Times New Roman"/>
                <w:sz w:val="20"/>
                <w:szCs w:val="20"/>
                <w:lang w:eastAsia="cs-CZ"/>
              </w:rPr>
            </w:pPr>
          </w:p>
        </w:tc>
      </w:tr>
    </w:tbl>
    <w:p w14:paraId="2D1273C9" w14:textId="60356065" w:rsidR="00C05A11" w:rsidRPr="00A00187" w:rsidRDefault="00C05A11" w:rsidP="00C05A11">
      <w:pPr>
        <w:pStyle w:val="Podnadpis"/>
        <w:rPr>
          <w:color w:val="auto"/>
        </w:rPr>
      </w:pPr>
      <w:bookmarkStart w:id="810" w:name="_Toc75952246"/>
      <w:bookmarkStart w:id="811" w:name="_Toc106106705"/>
      <w:bookmarkStart w:id="812" w:name="_Toc10980202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71</w:t>
      </w:r>
      <w:r w:rsidRPr="00A00187">
        <w:rPr>
          <w:noProof/>
          <w:color w:val="auto"/>
        </w:rPr>
        <w:fldChar w:fldCharType="end"/>
      </w:r>
      <w:r w:rsidRPr="00A00187">
        <w:rPr>
          <w:color w:val="auto"/>
        </w:rPr>
        <w:t>: KS – distribuce délek trestního odvolacího řízení</w:t>
      </w:r>
      <w:bookmarkEnd w:id="810"/>
      <w:bookmarkEnd w:id="811"/>
      <w:bookmarkEnd w:id="812"/>
    </w:p>
    <w:p w14:paraId="39D79943" w14:textId="79764368" w:rsidR="008430BD" w:rsidRPr="00A00187" w:rsidRDefault="00C05A11" w:rsidP="008430BD">
      <w:pPr>
        <w:pStyle w:val="OdstavecASR"/>
      </w:pPr>
      <w:r w:rsidRPr="00A00187">
        <w:rPr>
          <w:noProof/>
        </w:rPr>
        <w:drawing>
          <wp:inline distT="0" distB="0" distL="0" distR="0" wp14:anchorId="66B79974" wp14:editId="6F505FC0">
            <wp:extent cx="5025390" cy="3657600"/>
            <wp:effectExtent l="0" t="0" r="381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29D16320" w14:textId="128E0321" w:rsidR="00C05A11" w:rsidRPr="00A00187" w:rsidRDefault="00C05A11" w:rsidP="00C05A11">
      <w:pPr>
        <w:pStyle w:val="OdstavecASR"/>
      </w:pPr>
      <w:r w:rsidRPr="00A00187">
        <w:t>I v histogramu je vidět, jak nízké délky řízení jsou. Asi 30</w:t>
      </w:r>
      <w:r w:rsidR="00CB570A">
        <w:t> %</w:t>
      </w:r>
      <w:r w:rsidRPr="00A00187">
        <w:t xml:space="preserve"> věcí bylo vyřízeno do 1 měsíce. Pouze asi jen 6</w:t>
      </w:r>
      <w:r w:rsidR="00CB570A">
        <w:t> %</w:t>
      </w:r>
      <w:r w:rsidRPr="00A00187">
        <w:t xml:space="preserve"> případů bylo vyřízeno za více než 200 dnů. Oproti roku 2020 došlo jen k marginálním změnám.</w:t>
      </w:r>
    </w:p>
    <w:p w14:paraId="0BA7DF2F" w14:textId="6F783C8E" w:rsidR="00C05A11" w:rsidRPr="00A00187" w:rsidRDefault="00C05A11">
      <w:pPr>
        <w:spacing w:after="160" w:line="259" w:lineRule="auto"/>
        <w:jc w:val="left"/>
      </w:pPr>
      <w:r w:rsidRPr="00A00187">
        <w:br w:type="page"/>
      </w:r>
    </w:p>
    <w:p w14:paraId="1F1F65A0" w14:textId="77777777" w:rsidR="008430BD" w:rsidRPr="00A00187" w:rsidRDefault="008430BD" w:rsidP="008430BD">
      <w:pPr>
        <w:pStyle w:val="Nadpis3"/>
        <w:numPr>
          <w:ilvl w:val="2"/>
          <w:numId w:val="1"/>
        </w:numPr>
        <w:rPr>
          <w:color w:val="auto"/>
        </w:rPr>
      </w:pPr>
      <w:bookmarkStart w:id="813" w:name="_Ref511391173"/>
      <w:bookmarkStart w:id="814" w:name="_Toc515871264"/>
      <w:bookmarkStart w:id="815" w:name="_Ref40897302"/>
      <w:bookmarkStart w:id="816" w:name="_Toc106092771"/>
      <w:bookmarkStart w:id="817" w:name="_Toc109801382"/>
      <w:r w:rsidRPr="00A00187">
        <w:rPr>
          <w:color w:val="auto"/>
        </w:rPr>
        <w:lastRenderedPageBreak/>
        <w:t>Vyřizování věcí</w:t>
      </w:r>
      <w:bookmarkEnd w:id="813"/>
      <w:bookmarkEnd w:id="814"/>
      <w:bookmarkEnd w:id="815"/>
      <w:bookmarkEnd w:id="816"/>
      <w:bookmarkEnd w:id="817"/>
    </w:p>
    <w:p w14:paraId="443A1AD1" w14:textId="2173B386" w:rsidR="00C05A11" w:rsidRPr="00A00187" w:rsidRDefault="00C05A11" w:rsidP="006E207E">
      <w:pPr>
        <w:pStyle w:val="Podnadpis"/>
        <w:numPr>
          <w:ilvl w:val="0"/>
          <w:numId w:val="0"/>
        </w:numPr>
        <w:rPr>
          <w:color w:val="auto"/>
        </w:rPr>
      </w:pPr>
      <w:bookmarkStart w:id="818" w:name="_Toc515871395"/>
      <w:bookmarkStart w:id="819" w:name="_Toc11135126"/>
      <w:bookmarkStart w:id="820" w:name="_Toc43841445"/>
      <w:bookmarkStart w:id="821" w:name="_Toc75952247"/>
      <w:bookmarkStart w:id="822" w:name="_Toc106106706"/>
      <w:bookmarkStart w:id="823" w:name="_Toc109802030"/>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72</w:t>
      </w:r>
      <w:r w:rsidRPr="00A00187">
        <w:rPr>
          <w:noProof/>
          <w:color w:val="auto"/>
        </w:rPr>
        <w:fldChar w:fldCharType="end"/>
      </w:r>
      <w:r w:rsidRPr="00A00187">
        <w:rPr>
          <w:color w:val="auto"/>
        </w:rPr>
        <w:t>: KS – vyřizování odvolacích trestních věcí v letech 2008–</w:t>
      </w:r>
      <w:bookmarkEnd w:id="818"/>
      <w:r w:rsidRPr="00A00187">
        <w:rPr>
          <w:color w:val="auto"/>
        </w:rPr>
        <w:t>20</w:t>
      </w:r>
      <w:bookmarkEnd w:id="819"/>
      <w:bookmarkEnd w:id="820"/>
      <w:r w:rsidRPr="00A00187">
        <w:rPr>
          <w:color w:val="auto"/>
        </w:rPr>
        <w:t>2</w:t>
      </w:r>
      <w:bookmarkEnd w:id="821"/>
      <w:r w:rsidRPr="00A00187">
        <w:rPr>
          <w:color w:val="auto"/>
        </w:rPr>
        <w:t>1</w:t>
      </w:r>
      <w:bookmarkEnd w:id="822"/>
      <w:bookmarkEnd w:id="823"/>
    </w:p>
    <w:p w14:paraId="69170960" w14:textId="7BFF751D" w:rsidR="008430BD" w:rsidRPr="00A00187" w:rsidRDefault="008F4EB5" w:rsidP="008430BD">
      <w:r w:rsidRPr="00A00187">
        <w:rPr>
          <w:noProof/>
        </w:rPr>
        <w:drawing>
          <wp:inline distT="0" distB="0" distL="0" distR="0" wp14:anchorId="185A8038" wp14:editId="2374239A">
            <wp:extent cx="5025390" cy="3657600"/>
            <wp:effectExtent l="0" t="0" r="3810"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C9DAF0A" w14:textId="77777777" w:rsidR="007637E6" w:rsidRPr="00A00187" w:rsidRDefault="007637E6" w:rsidP="007637E6">
      <w:pPr>
        <w:pStyle w:val="OdstavecASR"/>
      </w:pPr>
    </w:p>
    <w:p w14:paraId="303137F8" w14:textId="4147B0CD" w:rsidR="007637E6" w:rsidRPr="00A00187" w:rsidRDefault="007637E6" w:rsidP="007637E6">
      <w:pPr>
        <w:pStyle w:val="OdstavecASR"/>
      </w:pPr>
      <w:r w:rsidRPr="00A00187">
        <w:t xml:space="preserve">Zajímavé je, že počet vyřízených trestních věcí u okresních soudů klesal, ale nápad v druhostupňové trestní agendě u krajských soudů byl v letech 2013 až 2016 stabilní. Až od roku 2017 se i zde </w:t>
      </w:r>
      <w:r w:rsidR="00A668DE" w:rsidRPr="00A00187">
        <w:t xml:space="preserve">projevil </w:t>
      </w:r>
      <w:r w:rsidRPr="00A00187">
        <w:t>pokles. Nápad v této agendě neklesal, protože u okresních státních zastupitelství se snižoval počet věcí ve zkráceném přípravném řízení a tím docházelo ke snížení nápadu u okresních soudů. Jednalo se ale především o jednodušší trestní věci, které většinou končily u okresních soudů trestním příkazem</w:t>
      </w:r>
      <w:r w:rsidR="00256CBF" w:rsidRPr="00A00187">
        <w:t xml:space="preserve">; ten nemůže být napaden odvoláním ke krajskému soudu, ale odporem, </w:t>
      </w:r>
      <w:r w:rsidR="00755920" w:rsidRPr="00A00187">
        <w:t>o</w:t>
      </w:r>
      <w:r w:rsidR="00755920">
        <w:t> </w:t>
      </w:r>
      <w:r w:rsidR="00256CBF" w:rsidRPr="00A00187">
        <w:t>němž rozhoduje opět soud okresní</w:t>
      </w:r>
      <w:r w:rsidRPr="00A00187">
        <w:t>. Proto se pokles vyřízené prvostupňové agendy u okresních soudů většinou neprojevil v odvolací agendě krajských soudů.</w:t>
      </w:r>
      <w:r w:rsidR="0026203B" w:rsidRPr="00A00187">
        <w:t xml:space="preserve"> </w:t>
      </w:r>
      <w:r w:rsidR="00755920" w:rsidRPr="00A00187">
        <w:t>V</w:t>
      </w:r>
      <w:r w:rsidR="00755920">
        <w:t> </w:t>
      </w:r>
      <w:r w:rsidR="0026203B" w:rsidRPr="00A00187">
        <w:t xml:space="preserve">letech 2017 až 2019 vidíme klesající trend, jak v počtu příchozích, tak </w:t>
      </w:r>
      <w:r w:rsidR="00755920" w:rsidRPr="00A00187">
        <w:t>i</w:t>
      </w:r>
      <w:r w:rsidR="00755920">
        <w:t> </w:t>
      </w:r>
      <w:r w:rsidR="0026203B" w:rsidRPr="00A00187">
        <w:t>v počtu vyřízených věcí.</w:t>
      </w:r>
      <w:r w:rsidRPr="00A00187">
        <w:t xml:space="preserve"> V roce 2020 pokles </w:t>
      </w:r>
      <w:r w:rsidR="00EC3536" w:rsidRPr="00A00187">
        <w:t xml:space="preserve">akceleroval, což lze pravděpodobně </w:t>
      </w:r>
      <w:r w:rsidRPr="00A00187">
        <w:t>opět přisoudit pandemii COVID</w:t>
      </w:r>
      <w:r w:rsidRPr="00A00187">
        <w:noBreakHyphen/>
        <w:t>19</w:t>
      </w:r>
      <w:r w:rsidR="00EC3536" w:rsidRPr="00A00187">
        <w:t xml:space="preserve">; zároveň totiž po několikaletém poklesu vzrostl (byť nijak závažně) </w:t>
      </w:r>
      <w:r w:rsidR="00755920" w:rsidRPr="00A00187">
        <w:t>i</w:t>
      </w:r>
      <w:r w:rsidR="00755920">
        <w:t> </w:t>
      </w:r>
      <w:r w:rsidR="00EC3536" w:rsidRPr="00A00187">
        <w:t>p</w:t>
      </w:r>
      <w:r w:rsidRPr="00A00187">
        <w:t>očet nevyřízených věcí</w:t>
      </w:r>
      <w:r w:rsidR="0026203B" w:rsidRPr="00A00187">
        <w:t xml:space="preserve">. </w:t>
      </w:r>
      <w:r w:rsidRPr="00A00187">
        <w:t xml:space="preserve">V roce 2021 došlo k mírnému poklesu příchozích, vyřízených </w:t>
      </w:r>
      <w:r w:rsidR="00755920" w:rsidRPr="00A00187">
        <w:t>a</w:t>
      </w:r>
      <w:r w:rsidR="00755920">
        <w:t> </w:t>
      </w:r>
      <w:r w:rsidRPr="00A00187">
        <w:t xml:space="preserve">nevyřízených věcí. Pokles je ale velmi malý </w:t>
      </w:r>
      <w:r w:rsidR="00755920" w:rsidRPr="00A00187">
        <w:t>a</w:t>
      </w:r>
      <w:r w:rsidR="00755920">
        <w:t> </w:t>
      </w:r>
      <w:r w:rsidRPr="00A00187">
        <w:t>není důvod se jím dále podrobněji zabývat.</w:t>
      </w:r>
    </w:p>
    <w:p w14:paraId="4F93397F" w14:textId="31B940CF" w:rsidR="009E53AF" w:rsidRPr="00A00187" w:rsidRDefault="00A668DE" w:rsidP="009E53AF">
      <w:pPr>
        <w:spacing w:after="160" w:line="259" w:lineRule="auto"/>
      </w:pPr>
      <w:r w:rsidRPr="00A00187">
        <w:t>Z dat uvedených v tabulce vyplývá</w:t>
      </w:r>
      <w:r w:rsidR="007637E6" w:rsidRPr="00A00187">
        <w:t xml:space="preserve">, že míra vyřizování dosáhla </w:t>
      </w:r>
      <w:r w:rsidR="00755920" w:rsidRPr="00A00187">
        <w:t>u</w:t>
      </w:r>
      <w:r w:rsidR="00755920">
        <w:t> </w:t>
      </w:r>
      <w:r w:rsidR="007637E6" w:rsidRPr="00A00187">
        <w:t>všech soudů 100</w:t>
      </w:r>
      <w:r w:rsidR="00CB570A">
        <w:t> %</w:t>
      </w:r>
      <w:r w:rsidR="007637E6" w:rsidRPr="00A00187">
        <w:t xml:space="preserve"> </w:t>
      </w:r>
      <w:r w:rsidR="00BE458D" w:rsidRPr="00A00187">
        <w:t>s tím, že u</w:t>
      </w:r>
      <w:r w:rsidR="00641DB9">
        <w:t> </w:t>
      </w:r>
      <w:r w:rsidR="00BE458D" w:rsidRPr="00A00187">
        <w:t>většiny soudů byla tato hodnota nepatrně překročena</w:t>
      </w:r>
      <w:r w:rsidR="009C3280" w:rsidRPr="00A00187">
        <w:t xml:space="preserve">. </w:t>
      </w:r>
      <w:r w:rsidR="007637E6" w:rsidRPr="00A00187">
        <w:t xml:space="preserve">Vývoj v počtu příchozích </w:t>
      </w:r>
      <w:r w:rsidR="00755920" w:rsidRPr="00A00187">
        <w:t>a</w:t>
      </w:r>
      <w:r w:rsidR="00755920">
        <w:t> </w:t>
      </w:r>
      <w:r w:rsidR="007637E6" w:rsidRPr="00A00187">
        <w:t>vyřízených věcí se liší soud od soudu,</w:t>
      </w:r>
      <w:r w:rsidR="00BE458D" w:rsidRPr="00A00187">
        <w:t xml:space="preserve"> avšak </w:t>
      </w:r>
      <w:r w:rsidR="00755920" w:rsidRPr="00A00187">
        <w:t>u</w:t>
      </w:r>
      <w:r w:rsidR="00755920">
        <w:t> </w:t>
      </w:r>
      <w:r w:rsidR="00BE458D" w:rsidRPr="00A00187">
        <w:t>jednotlivých soudů je bez podstatných změn.</w:t>
      </w:r>
    </w:p>
    <w:p w14:paraId="79D7FB0B" w14:textId="03A0EC3B" w:rsidR="007637E6" w:rsidRPr="00A00187" w:rsidRDefault="007637E6" w:rsidP="009E53AF">
      <w:pPr>
        <w:spacing w:after="160" w:line="259" w:lineRule="auto"/>
      </w:pPr>
      <w:r w:rsidRPr="00A00187">
        <w:br w:type="page"/>
      </w:r>
    </w:p>
    <w:p w14:paraId="56888A69" w14:textId="09A8B8F3" w:rsidR="007637E6" w:rsidRPr="00A00187" w:rsidRDefault="007637E6" w:rsidP="007637E6">
      <w:pPr>
        <w:pStyle w:val="Podnadpis"/>
        <w:rPr>
          <w:color w:val="auto"/>
        </w:rPr>
      </w:pPr>
      <w:bookmarkStart w:id="824" w:name="_Toc75952366"/>
      <w:bookmarkStart w:id="825" w:name="_Toc106106821"/>
      <w:bookmarkStart w:id="826" w:name="_Toc109802144"/>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59</w:t>
      </w:r>
      <w:r w:rsidRPr="00A00187">
        <w:rPr>
          <w:noProof/>
          <w:color w:val="auto"/>
        </w:rPr>
        <w:fldChar w:fldCharType="end"/>
      </w:r>
      <w:r w:rsidRPr="00A00187">
        <w:rPr>
          <w:color w:val="auto"/>
        </w:rPr>
        <w:t>:</w:t>
      </w:r>
      <w:bookmarkStart w:id="827" w:name="_Toc485734615"/>
      <w:bookmarkStart w:id="828" w:name="_Toc487792853"/>
      <w:r w:rsidRPr="00A00187">
        <w:rPr>
          <w:color w:val="auto"/>
        </w:rPr>
        <w:t xml:space="preserve"> KS – vyřizování odvolacích trestních věcí dle soudů</w:t>
      </w:r>
      <w:bookmarkEnd w:id="824"/>
      <w:bookmarkEnd w:id="825"/>
      <w:bookmarkEnd w:id="827"/>
      <w:bookmarkEnd w:id="828"/>
      <w:bookmarkEnd w:id="826"/>
    </w:p>
    <w:tbl>
      <w:tblPr>
        <w:tblW w:w="9100" w:type="dxa"/>
        <w:tblCellMar>
          <w:left w:w="70" w:type="dxa"/>
          <w:right w:w="70" w:type="dxa"/>
        </w:tblCellMar>
        <w:tblLook w:val="04A0" w:firstRow="1" w:lastRow="0" w:firstColumn="1" w:lastColumn="0" w:noHBand="0" w:noVBand="1"/>
      </w:tblPr>
      <w:tblGrid>
        <w:gridCol w:w="1836"/>
        <w:gridCol w:w="1017"/>
        <w:gridCol w:w="936"/>
        <w:gridCol w:w="1097"/>
        <w:gridCol w:w="890"/>
        <w:gridCol w:w="872"/>
        <w:gridCol w:w="936"/>
        <w:gridCol w:w="1516"/>
      </w:tblGrid>
      <w:tr w:rsidR="00AC1E67" w:rsidRPr="00A00187" w14:paraId="4EB8AFE9" w14:textId="77777777" w:rsidTr="007637E6">
        <w:trPr>
          <w:trHeight w:val="330"/>
        </w:trPr>
        <w:tc>
          <w:tcPr>
            <w:tcW w:w="1836" w:type="dxa"/>
            <w:vMerge w:val="restart"/>
            <w:tcBorders>
              <w:top w:val="double" w:sz="6" w:space="0" w:color="auto"/>
              <w:left w:val="nil"/>
              <w:bottom w:val="double" w:sz="6" w:space="0" w:color="000000"/>
              <w:right w:val="nil"/>
            </w:tcBorders>
            <w:shd w:val="clear" w:color="auto" w:fill="auto"/>
            <w:noWrap/>
            <w:vAlign w:val="center"/>
            <w:hideMark/>
          </w:tcPr>
          <w:p w14:paraId="0540F318" w14:textId="09CA3D22" w:rsidR="007637E6" w:rsidRPr="00A00187" w:rsidRDefault="00A8348B" w:rsidP="009C3280">
            <w:pPr>
              <w:spacing w:line="240" w:lineRule="auto"/>
              <w:jc w:val="center"/>
              <w:rPr>
                <w:rFonts w:eastAsia="Times New Roman"/>
                <w:b/>
                <w:bCs/>
                <w:szCs w:val="24"/>
                <w:lang w:eastAsia="cs-CZ"/>
              </w:rPr>
            </w:pPr>
            <w:r w:rsidRPr="00A00187">
              <w:rPr>
                <w:rFonts w:eastAsia="Times New Roman"/>
                <w:b/>
                <w:bCs/>
                <w:szCs w:val="24"/>
                <w:lang w:eastAsia="cs-CZ"/>
              </w:rPr>
              <w:t>S</w:t>
            </w:r>
            <w:r w:rsidR="007637E6" w:rsidRPr="00A00187">
              <w:rPr>
                <w:rFonts w:eastAsia="Times New Roman"/>
                <w:b/>
                <w:bCs/>
                <w:szCs w:val="24"/>
                <w:lang w:eastAsia="cs-CZ"/>
              </w:rPr>
              <w:t>oud</w:t>
            </w:r>
          </w:p>
        </w:tc>
        <w:tc>
          <w:tcPr>
            <w:tcW w:w="5748" w:type="dxa"/>
            <w:gridSpan w:val="6"/>
            <w:tcBorders>
              <w:top w:val="double" w:sz="6" w:space="0" w:color="auto"/>
              <w:left w:val="nil"/>
              <w:bottom w:val="nil"/>
              <w:right w:val="single" w:sz="4" w:space="0" w:color="000000"/>
            </w:tcBorders>
            <w:shd w:val="clear" w:color="auto" w:fill="auto"/>
            <w:noWrap/>
            <w:vAlign w:val="center"/>
            <w:hideMark/>
          </w:tcPr>
          <w:p w14:paraId="27BA985E"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6" w:type="dxa"/>
            <w:vMerge w:val="restart"/>
            <w:tcBorders>
              <w:top w:val="double" w:sz="6" w:space="0" w:color="auto"/>
              <w:left w:val="nil"/>
              <w:bottom w:val="double" w:sz="6" w:space="0" w:color="000000"/>
              <w:right w:val="nil"/>
            </w:tcBorders>
            <w:shd w:val="clear" w:color="auto" w:fill="auto"/>
            <w:vAlign w:val="center"/>
            <w:hideMark/>
          </w:tcPr>
          <w:p w14:paraId="3C7424E8"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57995769" w14:textId="77777777" w:rsidTr="007637E6">
        <w:trPr>
          <w:trHeight w:val="330"/>
        </w:trPr>
        <w:tc>
          <w:tcPr>
            <w:tcW w:w="1836" w:type="dxa"/>
            <w:vMerge/>
            <w:tcBorders>
              <w:top w:val="double" w:sz="6" w:space="0" w:color="auto"/>
              <w:left w:val="nil"/>
              <w:bottom w:val="double" w:sz="6" w:space="0" w:color="000000"/>
              <w:right w:val="nil"/>
            </w:tcBorders>
            <w:vAlign w:val="center"/>
            <w:hideMark/>
          </w:tcPr>
          <w:p w14:paraId="1E4154B7" w14:textId="77777777" w:rsidR="007637E6" w:rsidRPr="00A00187" w:rsidRDefault="007637E6" w:rsidP="007637E6">
            <w:pPr>
              <w:spacing w:line="240" w:lineRule="auto"/>
              <w:jc w:val="left"/>
              <w:rPr>
                <w:rFonts w:eastAsia="Times New Roman"/>
                <w:b/>
                <w:bCs/>
                <w:szCs w:val="24"/>
                <w:lang w:eastAsia="cs-CZ"/>
              </w:rPr>
            </w:pPr>
          </w:p>
        </w:tc>
        <w:tc>
          <w:tcPr>
            <w:tcW w:w="1953" w:type="dxa"/>
            <w:gridSpan w:val="2"/>
            <w:tcBorders>
              <w:top w:val="nil"/>
              <w:left w:val="nil"/>
              <w:bottom w:val="double" w:sz="6" w:space="0" w:color="auto"/>
              <w:right w:val="nil"/>
            </w:tcBorders>
            <w:shd w:val="clear" w:color="auto" w:fill="auto"/>
            <w:noWrap/>
            <w:vAlign w:val="center"/>
            <w:hideMark/>
          </w:tcPr>
          <w:p w14:paraId="4B5BA681"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8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60F7B48"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808" w:type="dxa"/>
            <w:gridSpan w:val="2"/>
            <w:tcBorders>
              <w:top w:val="nil"/>
              <w:left w:val="nil"/>
              <w:bottom w:val="double" w:sz="6" w:space="0" w:color="auto"/>
              <w:right w:val="single" w:sz="4" w:space="0" w:color="000000"/>
            </w:tcBorders>
            <w:shd w:val="clear" w:color="auto" w:fill="auto"/>
            <w:noWrap/>
            <w:vAlign w:val="center"/>
            <w:hideMark/>
          </w:tcPr>
          <w:p w14:paraId="6AF93984"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6" w:type="dxa"/>
            <w:vMerge/>
            <w:tcBorders>
              <w:top w:val="double" w:sz="6" w:space="0" w:color="auto"/>
              <w:left w:val="nil"/>
              <w:bottom w:val="double" w:sz="6" w:space="0" w:color="000000"/>
              <w:right w:val="nil"/>
            </w:tcBorders>
            <w:vAlign w:val="center"/>
            <w:hideMark/>
          </w:tcPr>
          <w:p w14:paraId="76207E47" w14:textId="77777777" w:rsidR="007637E6" w:rsidRPr="00A00187" w:rsidRDefault="007637E6" w:rsidP="007637E6">
            <w:pPr>
              <w:spacing w:line="240" w:lineRule="auto"/>
              <w:jc w:val="left"/>
              <w:rPr>
                <w:rFonts w:eastAsia="Times New Roman"/>
                <w:b/>
                <w:bCs/>
                <w:szCs w:val="24"/>
                <w:lang w:eastAsia="cs-CZ"/>
              </w:rPr>
            </w:pPr>
          </w:p>
        </w:tc>
      </w:tr>
      <w:tr w:rsidR="00AC1E67" w:rsidRPr="00A00187" w14:paraId="3A9A4E16" w14:textId="77777777" w:rsidTr="007637E6">
        <w:trPr>
          <w:trHeight w:val="330"/>
        </w:trPr>
        <w:tc>
          <w:tcPr>
            <w:tcW w:w="1836" w:type="dxa"/>
            <w:tcBorders>
              <w:top w:val="single" w:sz="4" w:space="0" w:color="auto"/>
              <w:left w:val="nil"/>
              <w:bottom w:val="single" w:sz="4" w:space="0" w:color="auto"/>
              <w:right w:val="nil"/>
            </w:tcBorders>
            <w:shd w:val="clear" w:color="auto" w:fill="auto"/>
            <w:noWrap/>
            <w:vAlign w:val="bottom"/>
            <w:hideMark/>
          </w:tcPr>
          <w:p w14:paraId="30BB4D75"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MS Praha</w:t>
            </w:r>
          </w:p>
        </w:tc>
        <w:tc>
          <w:tcPr>
            <w:tcW w:w="1017" w:type="dxa"/>
            <w:tcBorders>
              <w:top w:val="single" w:sz="4" w:space="0" w:color="auto"/>
              <w:left w:val="nil"/>
              <w:bottom w:val="single" w:sz="4" w:space="0" w:color="auto"/>
              <w:right w:val="nil"/>
            </w:tcBorders>
            <w:shd w:val="clear" w:color="auto" w:fill="auto"/>
            <w:noWrap/>
            <w:vAlign w:val="bottom"/>
            <w:hideMark/>
          </w:tcPr>
          <w:p w14:paraId="1C975414"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3 215</w:t>
            </w:r>
          </w:p>
        </w:tc>
        <w:tc>
          <w:tcPr>
            <w:tcW w:w="936" w:type="dxa"/>
            <w:tcBorders>
              <w:top w:val="single" w:sz="4" w:space="0" w:color="auto"/>
              <w:left w:val="nil"/>
              <w:bottom w:val="single" w:sz="4" w:space="0" w:color="auto"/>
              <w:right w:val="nil"/>
            </w:tcBorders>
            <w:shd w:val="clear" w:color="auto" w:fill="auto"/>
            <w:noWrap/>
            <w:vAlign w:val="center"/>
            <w:hideMark/>
          </w:tcPr>
          <w:p w14:paraId="74813D2F" w14:textId="7C2AAEEC"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7" w:type="dxa"/>
            <w:tcBorders>
              <w:top w:val="single" w:sz="4" w:space="0" w:color="auto"/>
              <w:left w:val="single" w:sz="4" w:space="0" w:color="auto"/>
              <w:bottom w:val="single" w:sz="4" w:space="0" w:color="auto"/>
              <w:right w:val="nil"/>
            </w:tcBorders>
            <w:shd w:val="clear" w:color="auto" w:fill="auto"/>
            <w:noWrap/>
            <w:vAlign w:val="bottom"/>
            <w:hideMark/>
          </w:tcPr>
          <w:p w14:paraId="1D151D93"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3 215</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4E1C60A6" w14:textId="50B6001C"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872" w:type="dxa"/>
            <w:tcBorders>
              <w:top w:val="single" w:sz="4" w:space="0" w:color="auto"/>
              <w:left w:val="nil"/>
              <w:bottom w:val="single" w:sz="4" w:space="0" w:color="auto"/>
              <w:right w:val="nil"/>
            </w:tcBorders>
            <w:shd w:val="clear" w:color="auto" w:fill="auto"/>
            <w:noWrap/>
            <w:vAlign w:val="bottom"/>
            <w:hideMark/>
          </w:tcPr>
          <w:p w14:paraId="31B4AEC0"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185</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BA0CB8C" w14:textId="3F3332C0"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62ADA4DB" w14:textId="4DE4BD7E"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100,0</w:t>
            </w:r>
            <w:r w:rsidR="00CB570A">
              <w:rPr>
                <w:rFonts w:eastAsia="Times New Roman"/>
                <w:szCs w:val="24"/>
                <w:lang w:eastAsia="cs-CZ"/>
              </w:rPr>
              <w:t> %</w:t>
            </w:r>
          </w:p>
        </w:tc>
      </w:tr>
      <w:tr w:rsidR="00AC1E67" w:rsidRPr="00A00187" w14:paraId="513E66A9" w14:textId="77777777" w:rsidTr="007637E6">
        <w:trPr>
          <w:trHeight w:val="315"/>
        </w:trPr>
        <w:tc>
          <w:tcPr>
            <w:tcW w:w="1836" w:type="dxa"/>
            <w:tcBorders>
              <w:top w:val="nil"/>
              <w:left w:val="nil"/>
              <w:bottom w:val="single" w:sz="4" w:space="0" w:color="auto"/>
              <w:right w:val="nil"/>
            </w:tcBorders>
            <w:shd w:val="clear" w:color="auto" w:fill="auto"/>
            <w:noWrap/>
            <w:vAlign w:val="bottom"/>
            <w:hideMark/>
          </w:tcPr>
          <w:p w14:paraId="4CB26461"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Praha</w:t>
            </w:r>
          </w:p>
        </w:tc>
        <w:tc>
          <w:tcPr>
            <w:tcW w:w="1017" w:type="dxa"/>
            <w:tcBorders>
              <w:top w:val="nil"/>
              <w:left w:val="nil"/>
              <w:bottom w:val="single" w:sz="4" w:space="0" w:color="auto"/>
              <w:right w:val="nil"/>
            </w:tcBorders>
            <w:shd w:val="clear" w:color="auto" w:fill="auto"/>
            <w:noWrap/>
            <w:vAlign w:val="bottom"/>
            <w:hideMark/>
          </w:tcPr>
          <w:p w14:paraId="72C1B487" w14:textId="1A368DE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2 567</w:t>
            </w:r>
          </w:p>
        </w:tc>
        <w:tc>
          <w:tcPr>
            <w:tcW w:w="936" w:type="dxa"/>
            <w:tcBorders>
              <w:top w:val="nil"/>
              <w:left w:val="nil"/>
              <w:bottom w:val="single" w:sz="4" w:space="0" w:color="auto"/>
              <w:right w:val="nil"/>
            </w:tcBorders>
            <w:shd w:val="clear" w:color="auto" w:fill="auto"/>
            <w:noWrap/>
            <w:vAlign w:val="center"/>
            <w:hideMark/>
          </w:tcPr>
          <w:p w14:paraId="0C379057" w14:textId="0C85816F"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7" w:type="dxa"/>
            <w:tcBorders>
              <w:top w:val="nil"/>
              <w:left w:val="single" w:sz="4" w:space="0" w:color="auto"/>
              <w:bottom w:val="single" w:sz="4" w:space="0" w:color="auto"/>
              <w:right w:val="nil"/>
            </w:tcBorders>
            <w:shd w:val="clear" w:color="auto" w:fill="auto"/>
            <w:noWrap/>
            <w:vAlign w:val="bottom"/>
            <w:hideMark/>
          </w:tcPr>
          <w:p w14:paraId="4AA8FF4B" w14:textId="73A2B481"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2 581</w:t>
            </w:r>
          </w:p>
        </w:tc>
        <w:tc>
          <w:tcPr>
            <w:tcW w:w="890" w:type="dxa"/>
            <w:tcBorders>
              <w:top w:val="nil"/>
              <w:left w:val="nil"/>
              <w:bottom w:val="single" w:sz="4" w:space="0" w:color="auto"/>
              <w:right w:val="single" w:sz="4" w:space="0" w:color="auto"/>
            </w:tcBorders>
            <w:shd w:val="clear" w:color="auto" w:fill="auto"/>
            <w:noWrap/>
            <w:vAlign w:val="center"/>
            <w:hideMark/>
          </w:tcPr>
          <w:p w14:paraId="5056C819" w14:textId="712F0185"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872" w:type="dxa"/>
            <w:tcBorders>
              <w:top w:val="nil"/>
              <w:left w:val="nil"/>
              <w:bottom w:val="single" w:sz="4" w:space="0" w:color="auto"/>
              <w:right w:val="nil"/>
            </w:tcBorders>
            <w:shd w:val="clear" w:color="auto" w:fill="auto"/>
            <w:noWrap/>
            <w:vAlign w:val="bottom"/>
            <w:hideMark/>
          </w:tcPr>
          <w:p w14:paraId="2C47377B"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45</w:t>
            </w:r>
          </w:p>
        </w:tc>
        <w:tc>
          <w:tcPr>
            <w:tcW w:w="936" w:type="dxa"/>
            <w:tcBorders>
              <w:top w:val="nil"/>
              <w:left w:val="nil"/>
              <w:bottom w:val="single" w:sz="4" w:space="0" w:color="auto"/>
              <w:right w:val="single" w:sz="4" w:space="0" w:color="auto"/>
            </w:tcBorders>
            <w:shd w:val="clear" w:color="auto" w:fill="auto"/>
            <w:noWrap/>
            <w:vAlign w:val="center"/>
            <w:hideMark/>
          </w:tcPr>
          <w:p w14:paraId="43283FB4" w14:textId="2A2EBE94"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A20A3F2" w14:textId="312914B8"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100,5</w:t>
            </w:r>
            <w:r w:rsidR="00CB570A">
              <w:rPr>
                <w:rFonts w:eastAsia="Times New Roman"/>
                <w:szCs w:val="24"/>
                <w:lang w:eastAsia="cs-CZ"/>
              </w:rPr>
              <w:t> %</w:t>
            </w:r>
          </w:p>
        </w:tc>
      </w:tr>
      <w:tr w:rsidR="00AC1E67" w:rsidRPr="00A00187" w14:paraId="34D90022" w14:textId="77777777" w:rsidTr="007637E6">
        <w:trPr>
          <w:trHeight w:val="315"/>
        </w:trPr>
        <w:tc>
          <w:tcPr>
            <w:tcW w:w="1836" w:type="dxa"/>
            <w:tcBorders>
              <w:top w:val="nil"/>
              <w:left w:val="nil"/>
              <w:bottom w:val="single" w:sz="4" w:space="0" w:color="auto"/>
              <w:right w:val="nil"/>
            </w:tcBorders>
            <w:shd w:val="clear" w:color="auto" w:fill="auto"/>
            <w:noWrap/>
            <w:vAlign w:val="bottom"/>
            <w:hideMark/>
          </w:tcPr>
          <w:p w14:paraId="61F54306"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Č. Budějovice</w:t>
            </w:r>
          </w:p>
        </w:tc>
        <w:tc>
          <w:tcPr>
            <w:tcW w:w="1017" w:type="dxa"/>
            <w:tcBorders>
              <w:top w:val="nil"/>
              <w:left w:val="nil"/>
              <w:bottom w:val="single" w:sz="4" w:space="0" w:color="auto"/>
              <w:right w:val="nil"/>
            </w:tcBorders>
            <w:shd w:val="clear" w:color="auto" w:fill="auto"/>
            <w:noWrap/>
            <w:vAlign w:val="bottom"/>
            <w:hideMark/>
          </w:tcPr>
          <w:p w14:paraId="19193106"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921</w:t>
            </w:r>
          </w:p>
        </w:tc>
        <w:tc>
          <w:tcPr>
            <w:tcW w:w="936" w:type="dxa"/>
            <w:tcBorders>
              <w:top w:val="nil"/>
              <w:left w:val="nil"/>
              <w:bottom w:val="single" w:sz="4" w:space="0" w:color="auto"/>
              <w:right w:val="nil"/>
            </w:tcBorders>
            <w:shd w:val="clear" w:color="auto" w:fill="auto"/>
            <w:noWrap/>
            <w:vAlign w:val="center"/>
            <w:hideMark/>
          </w:tcPr>
          <w:p w14:paraId="767A5F9C" w14:textId="78C32FCD"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097" w:type="dxa"/>
            <w:tcBorders>
              <w:top w:val="nil"/>
              <w:left w:val="single" w:sz="4" w:space="0" w:color="auto"/>
              <w:bottom w:val="single" w:sz="4" w:space="0" w:color="auto"/>
              <w:right w:val="nil"/>
            </w:tcBorders>
            <w:shd w:val="clear" w:color="auto" w:fill="auto"/>
            <w:noWrap/>
            <w:vAlign w:val="bottom"/>
            <w:hideMark/>
          </w:tcPr>
          <w:p w14:paraId="4FB2D8DC"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966</w:t>
            </w:r>
          </w:p>
        </w:tc>
        <w:tc>
          <w:tcPr>
            <w:tcW w:w="890" w:type="dxa"/>
            <w:tcBorders>
              <w:top w:val="nil"/>
              <w:left w:val="nil"/>
              <w:bottom w:val="single" w:sz="4" w:space="0" w:color="auto"/>
              <w:right w:val="single" w:sz="4" w:space="0" w:color="auto"/>
            </w:tcBorders>
            <w:shd w:val="clear" w:color="auto" w:fill="auto"/>
            <w:noWrap/>
            <w:vAlign w:val="center"/>
            <w:hideMark/>
          </w:tcPr>
          <w:p w14:paraId="1B364D0F" w14:textId="335A32DE"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872" w:type="dxa"/>
            <w:tcBorders>
              <w:top w:val="nil"/>
              <w:left w:val="nil"/>
              <w:bottom w:val="single" w:sz="4" w:space="0" w:color="auto"/>
              <w:right w:val="nil"/>
            </w:tcBorders>
            <w:shd w:val="clear" w:color="auto" w:fill="auto"/>
            <w:noWrap/>
            <w:vAlign w:val="bottom"/>
            <w:hideMark/>
          </w:tcPr>
          <w:p w14:paraId="0D3709D3"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97</w:t>
            </w:r>
          </w:p>
        </w:tc>
        <w:tc>
          <w:tcPr>
            <w:tcW w:w="936" w:type="dxa"/>
            <w:tcBorders>
              <w:top w:val="nil"/>
              <w:left w:val="nil"/>
              <w:bottom w:val="single" w:sz="4" w:space="0" w:color="auto"/>
              <w:right w:val="single" w:sz="4" w:space="0" w:color="auto"/>
            </w:tcBorders>
            <w:shd w:val="clear" w:color="auto" w:fill="auto"/>
            <w:noWrap/>
            <w:vAlign w:val="center"/>
            <w:hideMark/>
          </w:tcPr>
          <w:p w14:paraId="1380A12C" w14:textId="5E51EA89"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48B3CD55" w14:textId="6DE0890E"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104,9</w:t>
            </w:r>
            <w:r w:rsidR="00CB570A">
              <w:rPr>
                <w:rFonts w:eastAsia="Times New Roman"/>
                <w:szCs w:val="24"/>
                <w:lang w:eastAsia="cs-CZ"/>
              </w:rPr>
              <w:t> %</w:t>
            </w:r>
          </w:p>
        </w:tc>
      </w:tr>
      <w:tr w:rsidR="00AC1E67" w:rsidRPr="00A00187" w14:paraId="29C21EA3" w14:textId="77777777" w:rsidTr="007637E6">
        <w:trPr>
          <w:trHeight w:val="315"/>
        </w:trPr>
        <w:tc>
          <w:tcPr>
            <w:tcW w:w="1836" w:type="dxa"/>
            <w:tcBorders>
              <w:top w:val="nil"/>
              <w:left w:val="nil"/>
              <w:bottom w:val="single" w:sz="4" w:space="0" w:color="auto"/>
              <w:right w:val="nil"/>
            </w:tcBorders>
            <w:shd w:val="clear" w:color="auto" w:fill="auto"/>
            <w:noWrap/>
            <w:vAlign w:val="bottom"/>
            <w:hideMark/>
          </w:tcPr>
          <w:p w14:paraId="03E6F26B"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Plzeň</w:t>
            </w:r>
          </w:p>
        </w:tc>
        <w:tc>
          <w:tcPr>
            <w:tcW w:w="1017" w:type="dxa"/>
            <w:tcBorders>
              <w:top w:val="nil"/>
              <w:left w:val="nil"/>
              <w:bottom w:val="single" w:sz="4" w:space="0" w:color="auto"/>
              <w:right w:val="nil"/>
            </w:tcBorders>
            <w:shd w:val="clear" w:color="auto" w:fill="auto"/>
            <w:noWrap/>
            <w:vAlign w:val="bottom"/>
            <w:hideMark/>
          </w:tcPr>
          <w:p w14:paraId="4DEEB316" w14:textId="39EDD27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1 974</w:t>
            </w:r>
          </w:p>
        </w:tc>
        <w:tc>
          <w:tcPr>
            <w:tcW w:w="936" w:type="dxa"/>
            <w:tcBorders>
              <w:top w:val="nil"/>
              <w:left w:val="nil"/>
              <w:bottom w:val="single" w:sz="4" w:space="0" w:color="auto"/>
              <w:right w:val="nil"/>
            </w:tcBorders>
            <w:shd w:val="clear" w:color="auto" w:fill="auto"/>
            <w:noWrap/>
            <w:vAlign w:val="center"/>
            <w:hideMark/>
          </w:tcPr>
          <w:p w14:paraId="59592004" w14:textId="730DB951"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97" w:type="dxa"/>
            <w:tcBorders>
              <w:top w:val="nil"/>
              <w:left w:val="single" w:sz="4" w:space="0" w:color="auto"/>
              <w:bottom w:val="single" w:sz="4" w:space="0" w:color="auto"/>
              <w:right w:val="nil"/>
            </w:tcBorders>
            <w:shd w:val="clear" w:color="auto" w:fill="auto"/>
            <w:noWrap/>
            <w:vAlign w:val="bottom"/>
            <w:hideMark/>
          </w:tcPr>
          <w:p w14:paraId="4B2E2F2A" w14:textId="0F6D6AB1"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2 002</w:t>
            </w:r>
          </w:p>
        </w:tc>
        <w:tc>
          <w:tcPr>
            <w:tcW w:w="890" w:type="dxa"/>
            <w:tcBorders>
              <w:top w:val="nil"/>
              <w:left w:val="nil"/>
              <w:bottom w:val="single" w:sz="4" w:space="0" w:color="auto"/>
              <w:right w:val="single" w:sz="4" w:space="0" w:color="auto"/>
            </w:tcBorders>
            <w:shd w:val="clear" w:color="auto" w:fill="auto"/>
            <w:noWrap/>
            <w:vAlign w:val="center"/>
            <w:hideMark/>
          </w:tcPr>
          <w:p w14:paraId="45D445CF" w14:textId="265E49B0"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872" w:type="dxa"/>
            <w:tcBorders>
              <w:top w:val="nil"/>
              <w:left w:val="nil"/>
              <w:bottom w:val="single" w:sz="4" w:space="0" w:color="auto"/>
              <w:right w:val="nil"/>
            </w:tcBorders>
            <w:shd w:val="clear" w:color="auto" w:fill="auto"/>
            <w:noWrap/>
            <w:vAlign w:val="bottom"/>
            <w:hideMark/>
          </w:tcPr>
          <w:p w14:paraId="7B86F115"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189</w:t>
            </w:r>
          </w:p>
        </w:tc>
        <w:tc>
          <w:tcPr>
            <w:tcW w:w="936" w:type="dxa"/>
            <w:tcBorders>
              <w:top w:val="nil"/>
              <w:left w:val="nil"/>
              <w:bottom w:val="single" w:sz="4" w:space="0" w:color="auto"/>
              <w:right w:val="single" w:sz="4" w:space="0" w:color="auto"/>
            </w:tcBorders>
            <w:shd w:val="clear" w:color="auto" w:fill="auto"/>
            <w:noWrap/>
            <w:vAlign w:val="center"/>
            <w:hideMark/>
          </w:tcPr>
          <w:p w14:paraId="02DBBF80" w14:textId="079F8182"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434E3132" w14:textId="4DBEA5C9"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101,4</w:t>
            </w:r>
            <w:r w:rsidR="00CB570A">
              <w:rPr>
                <w:rFonts w:eastAsia="Times New Roman"/>
                <w:szCs w:val="24"/>
                <w:lang w:eastAsia="cs-CZ"/>
              </w:rPr>
              <w:t> %</w:t>
            </w:r>
          </w:p>
        </w:tc>
      </w:tr>
      <w:tr w:rsidR="00AC1E67" w:rsidRPr="00A00187" w14:paraId="48E73380" w14:textId="77777777" w:rsidTr="007637E6">
        <w:trPr>
          <w:trHeight w:val="315"/>
        </w:trPr>
        <w:tc>
          <w:tcPr>
            <w:tcW w:w="1836" w:type="dxa"/>
            <w:tcBorders>
              <w:top w:val="nil"/>
              <w:left w:val="nil"/>
              <w:bottom w:val="single" w:sz="4" w:space="0" w:color="auto"/>
              <w:right w:val="nil"/>
            </w:tcBorders>
            <w:shd w:val="clear" w:color="auto" w:fill="auto"/>
            <w:noWrap/>
            <w:vAlign w:val="bottom"/>
            <w:hideMark/>
          </w:tcPr>
          <w:p w14:paraId="171E2B09"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Ústí n. Labem</w:t>
            </w:r>
          </w:p>
        </w:tc>
        <w:tc>
          <w:tcPr>
            <w:tcW w:w="1017" w:type="dxa"/>
            <w:tcBorders>
              <w:top w:val="nil"/>
              <w:left w:val="nil"/>
              <w:bottom w:val="single" w:sz="4" w:space="0" w:color="auto"/>
              <w:right w:val="nil"/>
            </w:tcBorders>
            <w:shd w:val="clear" w:color="auto" w:fill="auto"/>
            <w:noWrap/>
            <w:vAlign w:val="bottom"/>
            <w:hideMark/>
          </w:tcPr>
          <w:p w14:paraId="7B65A73F" w14:textId="73AF33DB"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2 961</w:t>
            </w:r>
          </w:p>
        </w:tc>
        <w:tc>
          <w:tcPr>
            <w:tcW w:w="936" w:type="dxa"/>
            <w:tcBorders>
              <w:top w:val="nil"/>
              <w:left w:val="nil"/>
              <w:bottom w:val="single" w:sz="4" w:space="0" w:color="auto"/>
              <w:right w:val="nil"/>
            </w:tcBorders>
            <w:shd w:val="clear" w:color="auto" w:fill="auto"/>
            <w:noWrap/>
            <w:vAlign w:val="center"/>
            <w:hideMark/>
          </w:tcPr>
          <w:p w14:paraId="05CE17D2" w14:textId="708B3D5A"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97" w:type="dxa"/>
            <w:tcBorders>
              <w:top w:val="nil"/>
              <w:left w:val="single" w:sz="4" w:space="0" w:color="auto"/>
              <w:bottom w:val="single" w:sz="4" w:space="0" w:color="auto"/>
              <w:right w:val="nil"/>
            </w:tcBorders>
            <w:shd w:val="clear" w:color="auto" w:fill="auto"/>
            <w:noWrap/>
            <w:vAlign w:val="bottom"/>
            <w:hideMark/>
          </w:tcPr>
          <w:p w14:paraId="4E74978C" w14:textId="0D263FE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2 971</w:t>
            </w:r>
          </w:p>
        </w:tc>
        <w:tc>
          <w:tcPr>
            <w:tcW w:w="890" w:type="dxa"/>
            <w:tcBorders>
              <w:top w:val="nil"/>
              <w:left w:val="nil"/>
              <w:bottom w:val="single" w:sz="4" w:space="0" w:color="auto"/>
              <w:right w:val="single" w:sz="4" w:space="0" w:color="auto"/>
            </w:tcBorders>
            <w:shd w:val="clear" w:color="auto" w:fill="auto"/>
            <w:noWrap/>
            <w:vAlign w:val="center"/>
            <w:hideMark/>
          </w:tcPr>
          <w:p w14:paraId="69E6C1E7" w14:textId="0A3DB304"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872" w:type="dxa"/>
            <w:tcBorders>
              <w:top w:val="nil"/>
              <w:left w:val="nil"/>
              <w:bottom w:val="single" w:sz="4" w:space="0" w:color="auto"/>
              <w:right w:val="nil"/>
            </w:tcBorders>
            <w:shd w:val="clear" w:color="auto" w:fill="auto"/>
            <w:noWrap/>
            <w:vAlign w:val="bottom"/>
            <w:hideMark/>
          </w:tcPr>
          <w:p w14:paraId="54A9B846"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350</w:t>
            </w:r>
          </w:p>
        </w:tc>
        <w:tc>
          <w:tcPr>
            <w:tcW w:w="936" w:type="dxa"/>
            <w:tcBorders>
              <w:top w:val="nil"/>
              <w:left w:val="nil"/>
              <w:bottom w:val="single" w:sz="4" w:space="0" w:color="auto"/>
              <w:right w:val="single" w:sz="4" w:space="0" w:color="auto"/>
            </w:tcBorders>
            <w:shd w:val="clear" w:color="auto" w:fill="auto"/>
            <w:noWrap/>
            <w:vAlign w:val="center"/>
            <w:hideMark/>
          </w:tcPr>
          <w:p w14:paraId="0E0F2ADA" w14:textId="0D3815BF"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6EBA35E" w14:textId="01310739"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100,3</w:t>
            </w:r>
            <w:r w:rsidR="00CB570A">
              <w:rPr>
                <w:rFonts w:eastAsia="Times New Roman"/>
                <w:szCs w:val="24"/>
                <w:lang w:eastAsia="cs-CZ"/>
              </w:rPr>
              <w:t> %</w:t>
            </w:r>
          </w:p>
        </w:tc>
      </w:tr>
      <w:tr w:rsidR="00AC1E67" w:rsidRPr="00A00187" w14:paraId="5ADDC533" w14:textId="77777777" w:rsidTr="007637E6">
        <w:trPr>
          <w:trHeight w:val="315"/>
        </w:trPr>
        <w:tc>
          <w:tcPr>
            <w:tcW w:w="1836" w:type="dxa"/>
            <w:tcBorders>
              <w:top w:val="nil"/>
              <w:left w:val="nil"/>
              <w:bottom w:val="single" w:sz="4" w:space="0" w:color="auto"/>
              <w:right w:val="nil"/>
            </w:tcBorders>
            <w:shd w:val="clear" w:color="auto" w:fill="auto"/>
            <w:noWrap/>
            <w:vAlign w:val="bottom"/>
            <w:hideMark/>
          </w:tcPr>
          <w:p w14:paraId="68AF9422"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Hr. Králové</w:t>
            </w:r>
          </w:p>
        </w:tc>
        <w:tc>
          <w:tcPr>
            <w:tcW w:w="1017" w:type="dxa"/>
            <w:tcBorders>
              <w:top w:val="nil"/>
              <w:left w:val="nil"/>
              <w:bottom w:val="single" w:sz="4" w:space="0" w:color="auto"/>
              <w:right w:val="nil"/>
            </w:tcBorders>
            <w:shd w:val="clear" w:color="auto" w:fill="auto"/>
            <w:noWrap/>
            <w:vAlign w:val="bottom"/>
            <w:hideMark/>
          </w:tcPr>
          <w:p w14:paraId="32D2C600" w14:textId="23654D99"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1 719</w:t>
            </w:r>
          </w:p>
        </w:tc>
        <w:tc>
          <w:tcPr>
            <w:tcW w:w="936" w:type="dxa"/>
            <w:tcBorders>
              <w:top w:val="nil"/>
              <w:left w:val="nil"/>
              <w:bottom w:val="single" w:sz="4" w:space="0" w:color="auto"/>
              <w:right w:val="nil"/>
            </w:tcBorders>
            <w:shd w:val="clear" w:color="auto" w:fill="auto"/>
            <w:noWrap/>
            <w:vAlign w:val="center"/>
            <w:hideMark/>
          </w:tcPr>
          <w:p w14:paraId="5B02CC2F" w14:textId="28BD9950"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7" w:type="dxa"/>
            <w:tcBorders>
              <w:top w:val="nil"/>
              <w:left w:val="single" w:sz="4" w:space="0" w:color="auto"/>
              <w:bottom w:val="single" w:sz="4" w:space="0" w:color="auto"/>
              <w:right w:val="nil"/>
            </w:tcBorders>
            <w:shd w:val="clear" w:color="auto" w:fill="auto"/>
            <w:noWrap/>
            <w:vAlign w:val="bottom"/>
            <w:hideMark/>
          </w:tcPr>
          <w:p w14:paraId="15600D48" w14:textId="636AA419"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1 728</w:t>
            </w:r>
          </w:p>
        </w:tc>
        <w:tc>
          <w:tcPr>
            <w:tcW w:w="890" w:type="dxa"/>
            <w:tcBorders>
              <w:top w:val="nil"/>
              <w:left w:val="nil"/>
              <w:bottom w:val="single" w:sz="4" w:space="0" w:color="auto"/>
              <w:right w:val="single" w:sz="4" w:space="0" w:color="auto"/>
            </w:tcBorders>
            <w:shd w:val="clear" w:color="auto" w:fill="auto"/>
            <w:noWrap/>
            <w:vAlign w:val="center"/>
            <w:hideMark/>
          </w:tcPr>
          <w:p w14:paraId="20EA2D58" w14:textId="7C095E44"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872" w:type="dxa"/>
            <w:tcBorders>
              <w:top w:val="nil"/>
              <w:left w:val="nil"/>
              <w:bottom w:val="single" w:sz="4" w:space="0" w:color="auto"/>
              <w:right w:val="nil"/>
            </w:tcBorders>
            <w:shd w:val="clear" w:color="auto" w:fill="auto"/>
            <w:noWrap/>
            <w:vAlign w:val="bottom"/>
            <w:hideMark/>
          </w:tcPr>
          <w:p w14:paraId="52DA468F"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79</w:t>
            </w:r>
          </w:p>
        </w:tc>
        <w:tc>
          <w:tcPr>
            <w:tcW w:w="936" w:type="dxa"/>
            <w:tcBorders>
              <w:top w:val="nil"/>
              <w:left w:val="nil"/>
              <w:bottom w:val="single" w:sz="4" w:space="0" w:color="auto"/>
              <w:right w:val="single" w:sz="4" w:space="0" w:color="auto"/>
            </w:tcBorders>
            <w:shd w:val="clear" w:color="auto" w:fill="auto"/>
            <w:noWrap/>
            <w:vAlign w:val="center"/>
            <w:hideMark/>
          </w:tcPr>
          <w:p w14:paraId="1AD1C1A1" w14:textId="3BA6F8BC"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7BFE039E" w14:textId="11F219A9"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100,5</w:t>
            </w:r>
            <w:r w:rsidR="00CB570A">
              <w:rPr>
                <w:rFonts w:eastAsia="Times New Roman"/>
                <w:szCs w:val="24"/>
                <w:lang w:eastAsia="cs-CZ"/>
              </w:rPr>
              <w:t> %</w:t>
            </w:r>
          </w:p>
        </w:tc>
      </w:tr>
      <w:tr w:rsidR="00AC1E67" w:rsidRPr="00A00187" w14:paraId="207C0D79" w14:textId="77777777" w:rsidTr="007637E6">
        <w:trPr>
          <w:trHeight w:val="315"/>
        </w:trPr>
        <w:tc>
          <w:tcPr>
            <w:tcW w:w="1836" w:type="dxa"/>
            <w:tcBorders>
              <w:top w:val="nil"/>
              <w:left w:val="nil"/>
              <w:bottom w:val="single" w:sz="4" w:space="0" w:color="auto"/>
              <w:right w:val="nil"/>
            </w:tcBorders>
            <w:shd w:val="clear" w:color="auto" w:fill="auto"/>
            <w:noWrap/>
            <w:vAlign w:val="bottom"/>
            <w:hideMark/>
          </w:tcPr>
          <w:p w14:paraId="08E318A9"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Brno</w:t>
            </w:r>
          </w:p>
        </w:tc>
        <w:tc>
          <w:tcPr>
            <w:tcW w:w="1017" w:type="dxa"/>
            <w:tcBorders>
              <w:top w:val="nil"/>
              <w:left w:val="nil"/>
              <w:bottom w:val="single" w:sz="4" w:space="0" w:color="auto"/>
              <w:right w:val="nil"/>
            </w:tcBorders>
            <w:shd w:val="clear" w:color="auto" w:fill="auto"/>
            <w:noWrap/>
            <w:vAlign w:val="bottom"/>
            <w:hideMark/>
          </w:tcPr>
          <w:p w14:paraId="0B35CACA" w14:textId="005EB5EF"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2 525</w:t>
            </w:r>
          </w:p>
        </w:tc>
        <w:tc>
          <w:tcPr>
            <w:tcW w:w="936" w:type="dxa"/>
            <w:tcBorders>
              <w:top w:val="nil"/>
              <w:left w:val="nil"/>
              <w:bottom w:val="single" w:sz="4" w:space="0" w:color="auto"/>
              <w:right w:val="nil"/>
            </w:tcBorders>
            <w:shd w:val="clear" w:color="auto" w:fill="auto"/>
            <w:noWrap/>
            <w:vAlign w:val="center"/>
            <w:hideMark/>
          </w:tcPr>
          <w:p w14:paraId="29B14E1F" w14:textId="0CAF5008"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097" w:type="dxa"/>
            <w:tcBorders>
              <w:top w:val="nil"/>
              <w:left w:val="single" w:sz="4" w:space="0" w:color="auto"/>
              <w:bottom w:val="single" w:sz="4" w:space="0" w:color="auto"/>
              <w:right w:val="nil"/>
            </w:tcBorders>
            <w:shd w:val="clear" w:color="auto" w:fill="auto"/>
            <w:noWrap/>
            <w:vAlign w:val="bottom"/>
            <w:hideMark/>
          </w:tcPr>
          <w:p w14:paraId="120ED195" w14:textId="1CAE3D19"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2 562</w:t>
            </w:r>
          </w:p>
        </w:tc>
        <w:tc>
          <w:tcPr>
            <w:tcW w:w="890" w:type="dxa"/>
            <w:tcBorders>
              <w:top w:val="nil"/>
              <w:left w:val="nil"/>
              <w:bottom w:val="single" w:sz="4" w:space="0" w:color="auto"/>
              <w:right w:val="single" w:sz="4" w:space="0" w:color="auto"/>
            </w:tcBorders>
            <w:shd w:val="clear" w:color="auto" w:fill="auto"/>
            <w:noWrap/>
            <w:vAlign w:val="center"/>
            <w:hideMark/>
          </w:tcPr>
          <w:p w14:paraId="5D8AFE32" w14:textId="0E72514A"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872" w:type="dxa"/>
            <w:tcBorders>
              <w:top w:val="nil"/>
              <w:left w:val="nil"/>
              <w:bottom w:val="single" w:sz="4" w:space="0" w:color="auto"/>
              <w:right w:val="nil"/>
            </w:tcBorders>
            <w:shd w:val="clear" w:color="auto" w:fill="auto"/>
            <w:noWrap/>
            <w:vAlign w:val="bottom"/>
            <w:hideMark/>
          </w:tcPr>
          <w:p w14:paraId="38469F6D"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220</w:t>
            </w:r>
          </w:p>
        </w:tc>
        <w:tc>
          <w:tcPr>
            <w:tcW w:w="936" w:type="dxa"/>
            <w:tcBorders>
              <w:top w:val="nil"/>
              <w:left w:val="nil"/>
              <w:bottom w:val="single" w:sz="4" w:space="0" w:color="auto"/>
              <w:right w:val="single" w:sz="4" w:space="0" w:color="auto"/>
            </w:tcBorders>
            <w:shd w:val="clear" w:color="auto" w:fill="auto"/>
            <w:noWrap/>
            <w:vAlign w:val="center"/>
            <w:hideMark/>
          </w:tcPr>
          <w:p w14:paraId="085EFB95" w14:textId="0FA10E8E"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516" w:type="dxa"/>
            <w:tcBorders>
              <w:top w:val="nil"/>
              <w:left w:val="nil"/>
              <w:bottom w:val="single" w:sz="4" w:space="0" w:color="auto"/>
              <w:right w:val="nil"/>
            </w:tcBorders>
            <w:shd w:val="clear" w:color="auto" w:fill="auto"/>
            <w:noWrap/>
            <w:vAlign w:val="center"/>
            <w:hideMark/>
          </w:tcPr>
          <w:p w14:paraId="3EE63495" w14:textId="002738F1"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101,5</w:t>
            </w:r>
            <w:r w:rsidR="00CB570A">
              <w:rPr>
                <w:rFonts w:eastAsia="Times New Roman"/>
                <w:szCs w:val="24"/>
                <w:lang w:eastAsia="cs-CZ"/>
              </w:rPr>
              <w:t> %</w:t>
            </w:r>
          </w:p>
        </w:tc>
      </w:tr>
      <w:tr w:rsidR="00AC1E67" w:rsidRPr="00A00187" w14:paraId="4C1B0EA6" w14:textId="77777777" w:rsidTr="007637E6">
        <w:trPr>
          <w:trHeight w:val="330"/>
        </w:trPr>
        <w:tc>
          <w:tcPr>
            <w:tcW w:w="1836" w:type="dxa"/>
            <w:tcBorders>
              <w:top w:val="nil"/>
              <w:left w:val="nil"/>
              <w:bottom w:val="double" w:sz="6" w:space="0" w:color="auto"/>
              <w:right w:val="nil"/>
            </w:tcBorders>
            <w:shd w:val="clear" w:color="auto" w:fill="auto"/>
            <w:noWrap/>
            <w:vAlign w:val="bottom"/>
            <w:hideMark/>
          </w:tcPr>
          <w:p w14:paraId="521DB086"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Ostrava</w:t>
            </w:r>
          </w:p>
        </w:tc>
        <w:tc>
          <w:tcPr>
            <w:tcW w:w="1017" w:type="dxa"/>
            <w:tcBorders>
              <w:top w:val="nil"/>
              <w:left w:val="nil"/>
              <w:bottom w:val="double" w:sz="6" w:space="0" w:color="auto"/>
              <w:right w:val="nil"/>
            </w:tcBorders>
            <w:shd w:val="clear" w:color="auto" w:fill="auto"/>
            <w:noWrap/>
            <w:vAlign w:val="bottom"/>
            <w:hideMark/>
          </w:tcPr>
          <w:p w14:paraId="5809EF27" w14:textId="4C765303"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3 236</w:t>
            </w:r>
          </w:p>
        </w:tc>
        <w:tc>
          <w:tcPr>
            <w:tcW w:w="936" w:type="dxa"/>
            <w:tcBorders>
              <w:top w:val="nil"/>
              <w:left w:val="nil"/>
              <w:bottom w:val="double" w:sz="6" w:space="0" w:color="auto"/>
              <w:right w:val="nil"/>
            </w:tcBorders>
            <w:shd w:val="clear" w:color="auto" w:fill="auto"/>
            <w:noWrap/>
            <w:vAlign w:val="center"/>
            <w:hideMark/>
          </w:tcPr>
          <w:p w14:paraId="10288948" w14:textId="3C9DFEB3"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97" w:type="dxa"/>
            <w:tcBorders>
              <w:top w:val="nil"/>
              <w:left w:val="single" w:sz="4" w:space="0" w:color="auto"/>
              <w:bottom w:val="double" w:sz="6" w:space="0" w:color="auto"/>
              <w:right w:val="nil"/>
            </w:tcBorders>
            <w:shd w:val="clear" w:color="auto" w:fill="auto"/>
            <w:noWrap/>
            <w:vAlign w:val="bottom"/>
            <w:hideMark/>
          </w:tcPr>
          <w:p w14:paraId="7E274806" w14:textId="52CCFA61"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3 250</w:t>
            </w:r>
          </w:p>
        </w:tc>
        <w:tc>
          <w:tcPr>
            <w:tcW w:w="890" w:type="dxa"/>
            <w:tcBorders>
              <w:top w:val="nil"/>
              <w:left w:val="nil"/>
              <w:bottom w:val="double" w:sz="6" w:space="0" w:color="auto"/>
              <w:right w:val="single" w:sz="4" w:space="0" w:color="auto"/>
            </w:tcBorders>
            <w:shd w:val="clear" w:color="auto" w:fill="auto"/>
            <w:noWrap/>
            <w:vAlign w:val="center"/>
            <w:hideMark/>
          </w:tcPr>
          <w:p w14:paraId="44030936" w14:textId="52A53DA7"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872" w:type="dxa"/>
            <w:tcBorders>
              <w:top w:val="nil"/>
              <w:left w:val="nil"/>
              <w:bottom w:val="double" w:sz="6" w:space="0" w:color="auto"/>
              <w:right w:val="nil"/>
            </w:tcBorders>
            <w:shd w:val="clear" w:color="auto" w:fill="auto"/>
            <w:noWrap/>
            <w:vAlign w:val="bottom"/>
            <w:hideMark/>
          </w:tcPr>
          <w:p w14:paraId="43854059"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338</w:t>
            </w:r>
          </w:p>
        </w:tc>
        <w:tc>
          <w:tcPr>
            <w:tcW w:w="936" w:type="dxa"/>
            <w:tcBorders>
              <w:top w:val="nil"/>
              <w:left w:val="nil"/>
              <w:bottom w:val="double" w:sz="6" w:space="0" w:color="auto"/>
              <w:right w:val="single" w:sz="4" w:space="0" w:color="auto"/>
            </w:tcBorders>
            <w:shd w:val="clear" w:color="auto" w:fill="auto"/>
            <w:noWrap/>
            <w:vAlign w:val="center"/>
            <w:hideMark/>
          </w:tcPr>
          <w:p w14:paraId="6A02671A" w14:textId="30B8114A" w:rsidR="007637E6" w:rsidRPr="00A00187" w:rsidRDefault="007637E6"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516" w:type="dxa"/>
            <w:tcBorders>
              <w:top w:val="nil"/>
              <w:left w:val="nil"/>
              <w:bottom w:val="nil"/>
              <w:right w:val="nil"/>
            </w:tcBorders>
            <w:shd w:val="clear" w:color="auto" w:fill="auto"/>
            <w:noWrap/>
            <w:vAlign w:val="center"/>
            <w:hideMark/>
          </w:tcPr>
          <w:p w14:paraId="793A494D" w14:textId="0B941340"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100,4</w:t>
            </w:r>
            <w:r w:rsidR="00CB570A">
              <w:rPr>
                <w:rFonts w:eastAsia="Times New Roman"/>
                <w:szCs w:val="24"/>
                <w:lang w:eastAsia="cs-CZ"/>
              </w:rPr>
              <w:t> %</w:t>
            </w:r>
          </w:p>
        </w:tc>
      </w:tr>
      <w:tr w:rsidR="00AC1E67" w:rsidRPr="00A00187" w14:paraId="579391F9" w14:textId="77777777" w:rsidTr="007637E6">
        <w:trPr>
          <w:trHeight w:val="345"/>
        </w:trPr>
        <w:tc>
          <w:tcPr>
            <w:tcW w:w="1836" w:type="dxa"/>
            <w:tcBorders>
              <w:top w:val="nil"/>
              <w:left w:val="nil"/>
              <w:bottom w:val="double" w:sz="6" w:space="0" w:color="auto"/>
              <w:right w:val="nil"/>
            </w:tcBorders>
            <w:shd w:val="clear" w:color="auto" w:fill="auto"/>
            <w:noWrap/>
            <w:vAlign w:val="bottom"/>
            <w:hideMark/>
          </w:tcPr>
          <w:p w14:paraId="450DE3ED" w14:textId="77777777" w:rsidR="007637E6" w:rsidRPr="00A00187" w:rsidRDefault="007637E6" w:rsidP="007637E6">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17" w:type="dxa"/>
            <w:tcBorders>
              <w:top w:val="nil"/>
              <w:left w:val="nil"/>
              <w:bottom w:val="double" w:sz="6" w:space="0" w:color="auto"/>
              <w:right w:val="nil"/>
            </w:tcBorders>
            <w:shd w:val="clear" w:color="auto" w:fill="auto"/>
            <w:noWrap/>
            <w:vAlign w:val="bottom"/>
            <w:hideMark/>
          </w:tcPr>
          <w:p w14:paraId="40EDCAF9" w14:textId="725B74FA"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1 9118</w:t>
            </w:r>
          </w:p>
        </w:tc>
        <w:tc>
          <w:tcPr>
            <w:tcW w:w="936" w:type="dxa"/>
            <w:tcBorders>
              <w:top w:val="nil"/>
              <w:left w:val="nil"/>
              <w:bottom w:val="double" w:sz="6" w:space="0" w:color="auto"/>
              <w:right w:val="nil"/>
            </w:tcBorders>
            <w:shd w:val="clear" w:color="auto" w:fill="auto"/>
            <w:noWrap/>
            <w:vAlign w:val="center"/>
            <w:hideMark/>
          </w:tcPr>
          <w:p w14:paraId="7D907E0E" w14:textId="1440F0EC" w:rsidR="007637E6" w:rsidRPr="00A00187" w:rsidRDefault="007637E6"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c>
          <w:tcPr>
            <w:tcW w:w="1097" w:type="dxa"/>
            <w:tcBorders>
              <w:top w:val="nil"/>
              <w:left w:val="single" w:sz="4" w:space="0" w:color="auto"/>
              <w:bottom w:val="double" w:sz="6" w:space="0" w:color="auto"/>
              <w:right w:val="nil"/>
            </w:tcBorders>
            <w:shd w:val="clear" w:color="auto" w:fill="auto"/>
            <w:noWrap/>
            <w:vAlign w:val="bottom"/>
            <w:hideMark/>
          </w:tcPr>
          <w:p w14:paraId="2B40E9DB" w14:textId="39A38FB6"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19 275</w:t>
            </w:r>
          </w:p>
        </w:tc>
        <w:tc>
          <w:tcPr>
            <w:tcW w:w="890" w:type="dxa"/>
            <w:tcBorders>
              <w:top w:val="nil"/>
              <w:left w:val="nil"/>
              <w:bottom w:val="double" w:sz="6" w:space="0" w:color="auto"/>
              <w:right w:val="single" w:sz="4" w:space="0" w:color="auto"/>
            </w:tcBorders>
            <w:shd w:val="clear" w:color="auto" w:fill="auto"/>
            <w:noWrap/>
            <w:vAlign w:val="center"/>
            <w:hideMark/>
          </w:tcPr>
          <w:p w14:paraId="74583951" w14:textId="283B0B3B" w:rsidR="007637E6" w:rsidRPr="00A00187" w:rsidRDefault="007637E6"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872" w:type="dxa"/>
            <w:tcBorders>
              <w:top w:val="nil"/>
              <w:left w:val="nil"/>
              <w:bottom w:val="double" w:sz="6" w:space="0" w:color="auto"/>
              <w:right w:val="nil"/>
            </w:tcBorders>
            <w:shd w:val="clear" w:color="auto" w:fill="auto"/>
            <w:noWrap/>
            <w:vAlign w:val="bottom"/>
            <w:hideMark/>
          </w:tcPr>
          <w:p w14:paraId="779BD28E" w14:textId="43F3BF82"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1 503</w:t>
            </w:r>
          </w:p>
        </w:tc>
        <w:tc>
          <w:tcPr>
            <w:tcW w:w="936" w:type="dxa"/>
            <w:tcBorders>
              <w:top w:val="nil"/>
              <w:left w:val="nil"/>
              <w:bottom w:val="double" w:sz="6" w:space="0" w:color="auto"/>
              <w:right w:val="single" w:sz="4" w:space="0" w:color="auto"/>
            </w:tcBorders>
            <w:shd w:val="clear" w:color="auto" w:fill="auto"/>
            <w:noWrap/>
            <w:vAlign w:val="center"/>
            <w:hideMark/>
          </w:tcPr>
          <w:p w14:paraId="2FE994C9" w14:textId="207C0419" w:rsidR="007637E6" w:rsidRPr="00A00187" w:rsidRDefault="007637E6"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-10</w:t>
            </w:r>
            <w:r w:rsidR="00CB570A">
              <w:rPr>
                <w:rFonts w:eastAsia="Times New Roman"/>
                <w:b/>
                <w:bCs/>
                <w:sz w:val="20"/>
                <w:szCs w:val="20"/>
                <w:lang w:eastAsia="cs-CZ"/>
              </w:rPr>
              <w:t> %</w:t>
            </w:r>
          </w:p>
        </w:tc>
        <w:tc>
          <w:tcPr>
            <w:tcW w:w="1516" w:type="dxa"/>
            <w:tcBorders>
              <w:top w:val="double" w:sz="6" w:space="0" w:color="auto"/>
              <w:left w:val="nil"/>
              <w:bottom w:val="double" w:sz="6" w:space="0" w:color="auto"/>
              <w:right w:val="nil"/>
            </w:tcBorders>
            <w:shd w:val="clear" w:color="auto" w:fill="auto"/>
            <w:noWrap/>
            <w:vAlign w:val="center"/>
            <w:hideMark/>
          </w:tcPr>
          <w:p w14:paraId="2EFDBEF5" w14:textId="1D54B670"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100,8</w:t>
            </w:r>
            <w:r w:rsidR="00CB570A">
              <w:rPr>
                <w:rFonts w:eastAsia="Times New Roman"/>
                <w:b/>
                <w:bCs/>
                <w:szCs w:val="24"/>
                <w:lang w:eastAsia="cs-CZ"/>
              </w:rPr>
              <w:t> %</w:t>
            </w:r>
          </w:p>
        </w:tc>
      </w:tr>
      <w:tr w:rsidR="00AC1E67" w:rsidRPr="00A00187" w14:paraId="3A79FFFB" w14:textId="77777777" w:rsidTr="007637E6">
        <w:trPr>
          <w:trHeight w:val="330"/>
        </w:trPr>
        <w:tc>
          <w:tcPr>
            <w:tcW w:w="1836" w:type="dxa"/>
            <w:tcBorders>
              <w:top w:val="nil"/>
              <w:left w:val="nil"/>
              <w:bottom w:val="nil"/>
              <w:right w:val="nil"/>
            </w:tcBorders>
            <w:shd w:val="clear" w:color="auto" w:fill="auto"/>
            <w:noWrap/>
            <w:vAlign w:val="bottom"/>
            <w:hideMark/>
          </w:tcPr>
          <w:p w14:paraId="5353D68C" w14:textId="77777777" w:rsidR="007637E6" w:rsidRPr="00A00187" w:rsidRDefault="007637E6" w:rsidP="007637E6">
            <w:pPr>
              <w:spacing w:line="240" w:lineRule="auto"/>
              <w:jc w:val="center"/>
              <w:rPr>
                <w:rFonts w:eastAsia="Times New Roman"/>
                <w:b/>
                <w:bCs/>
                <w:szCs w:val="24"/>
                <w:lang w:eastAsia="cs-CZ"/>
              </w:rPr>
            </w:pPr>
          </w:p>
        </w:tc>
        <w:tc>
          <w:tcPr>
            <w:tcW w:w="1017" w:type="dxa"/>
            <w:tcBorders>
              <w:top w:val="nil"/>
              <w:left w:val="nil"/>
              <w:bottom w:val="nil"/>
              <w:right w:val="nil"/>
            </w:tcBorders>
            <w:shd w:val="clear" w:color="auto" w:fill="auto"/>
            <w:noWrap/>
            <w:vAlign w:val="bottom"/>
            <w:hideMark/>
          </w:tcPr>
          <w:p w14:paraId="525A9193" w14:textId="77777777" w:rsidR="007637E6" w:rsidRPr="00A00187" w:rsidRDefault="007637E6" w:rsidP="007637E6">
            <w:pPr>
              <w:spacing w:line="240" w:lineRule="auto"/>
              <w:jc w:val="left"/>
              <w:rPr>
                <w:rFonts w:ascii="Times New Roman" w:eastAsia="Times New Roman" w:hAnsi="Times New Roman"/>
                <w:sz w:val="20"/>
                <w:szCs w:val="20"/>
                <w:lang w:eastAsia="cs-CZ"/>
              </w:rPr>
            </w:pPr>
          </w:p>
        </w:tc>
        <w:tc>
          <w:tcPr>
            <w:tcW w:w="936" w:type="dxa"/>
            <w:tcBorders>
              <w:top w:val="nil"/>
              <w:left w:val="nil"/>
              <w:bottom w:val="nil"/>
              <w:right w:val="nil"/>
            </w:tcBorders>
            <w:shd w:val="clear" w:color="auto" w:fill="auto"/>
            <w:noWrap/>
            <w:vAlign w:val="bottom"/>
            <w:hideMark/>
          </w:tcPr>
          <w:p w14:paraId="778F90A3" w14:textId="77777777" w:rsidR="007637E6" w:rsidRPr="00A00187" w:rsidRDefault="007637E6" w:rsidP="007637E6">
            <w:pPr>
              <w:spacing w:line="240" w:lineRule="auto"/>
              <w:jc w:val="left"/>
              <w:rPr>
                <w:rFonts w:ascii="Times New Roman" w:eastAsia="Times New Roman" w:hAnsi="Times New Roman"/>
                <w:sz w:val="20"/>
                <w:szCs w:val="20"/>
                <w:lang w:eastAsia="cs-CZ"/>
              </w:rPr>
            </w:pPr>
          </w:p>
        </w:tc>
        <w:tc>
          <w:tcPr>
            <w:tcW w:w="1097" w:type="dxa"/>
            <w:tcBorders>
              <w:top w:val="nil"/>
              <w:left w:val="nil"/>
              <w:bottom w:val="nil"/>
              <w:right w:val="nil"/>
            </w:tcBorders>
            <w:shd w:val="clear" w:color="auto" w:fill="auto"/>
            <w:noWrap/>
            <w:vAlign w:val="bottom"/>
            <w:hideMark/>
          </w:tcPr>
          <w:p w14:paraId="59ACAE0E" w14:textId="77777777" w:rsidR="007637E6" w:rsidRPr="00A00187" w:rsidRDefault="007637E6" w:rsidP="007637E6">
            <w:pPr>
              <w:spacing w:line="240" w:lineRule="auto"/>
              <w:jc w:val="left"/>
              <w:rPr>
                <w:rFonts w:ascii="Times New Roman" w:eastAsia="Times New Roman" w:hAnsi="Times New Roman"/>
                <w:sz w:val="20"/>
                <w:szCs w:val="20"/>
                <w:lang w:eastAsia="cs-CZ"/>
              </w:rPr>
            </w:pPr>
          </w:p>
        </w:tc>
        <w:tc>
          <w:tcPr>
            <w:tcW w:w="890" w:type="dxa"/>
            <w:tcBorders>
              <w:top w:val="nil"/>
              <w:left w:val="nil"/>
              <w:bottom w:val="nil"/>
              <w:right w:val="nil"/>
            </w:tcBorders>
            <w:shd w:val="clear" w:color="auto" w:fill="auto"/>
            <w:noWrap/>
            <w:vAlign w:val="bottom"/>
            <w:hideMark/>
          </w:tcPr>
          <w:p w14:paraId="509E3E34" w14:textId="77777777" w:rsidR="007637E6" w:rsidRPr="00A00187" w:rsidRDefault="007637E6" w:rsidP="00641DB9">
            <w:pPr>
              <w:spacing w:line="240" w:lineRule="auto"/>
              <w:jc w:val="center"/>
              <w:rPr>
                <w:rFonts w:ascii="Times New Roman" w:eastAsia="Times New Roman" w:hAnsi="Times New Roman"/>
                <w:sz w:val="20"/>
                <w:szCs w:val="20"/>
                <w:lang w:eastAsia="cs-CZ"/>
              </w:rPr>
            </w:pPr>
          </w:p>
        </w:tc>
        <w:tc>
          <w:tcPr>
            <w:tcW w:w="872" w:type="dxa"/>
            <w:tcBorders>
              <w:top w:val="nil"/>
              <w:left w:val="nil"/>
              <w:bottom w:val="nil"/>
              <w:right w:val="nil"/>
            </w:tcBorders>
            <w:shd w:val="clear" w:color="auto" w:fill="auto"/>
            <w:noWrap/>
            <w:vAlign w:val="bottom"/>
            <w:hideMark/>
          </w:tcPr>
          <w:p w14:paraId="61C5390A" w14:textId="77777777" w:rsidR="007637E6" w:rsidRPr="00A00187" w:rsidRDefault="007637E6" w:rsidP="007637E6">
            <w:pPr>
              <w:spacing w:line="240" w:lineRule="auto"/>
              <w:jc w:val="left"/>
              <w:rPr>
                <w:rFonts w:ascii="Times New Roman" w:eastAsia="Times New Roman" w:hAnsi="Times New Roman"/>
                <w:sz w:val="20"/>
                <w:szCs w:val="20"/>
                <w:lang w:eastAsia="cs-CZ"/>
              </w:rPr>
            </w:pPr>
          </w:p>
        </w:tc>
        <w:tc>
          <w:tcPr>
            <w:tcW w:w="936" w:type="dxa"/>
            <w:tcBorders>
              <w:top w:val="nil"/>
              <w:left w:val="nil"/>
              <w:bottom w:val="nil"/>
              <w:right w:val="nil"/>
            </w:tcBorders>
            <w:shd w:val="clear" w:color="auto" w:fill="auto"/>
            <w:noWrap/>
            <w:vAlign w:val="bottom"/>
            <w:hideMark/>
          </w:tcPr>
          <w:p w14:paraId="662A20E7" w14:textId="77777777" w:rsidR="007637E6" w:rsidRPr="00A00187" w:rsidRDefault="007637E6" w:rsidP="00641DB9">
            <w:pPr>
              <w:spacing w:line="240" w:lineRule="auto"/>
              <w:jc w:val="center"/>
              <w:rPr>
                <w:rFonts w:ascii="Times New Roman" w:eastAsia="Times New Roman" w:hAnsi="Times New Roman"/>
                <w:sz w:val="20"/>
                <w:szCs w:val="20"/>
                <w:lang w:eastAsia="cs-CZ"/>
              </w:rPr>
            </w:pPr>
          </w:p>
        </w:tc>
        <w:tc>
          <w:tcPr>
            <w:tcW w:w="1516" w:type="dxa"/>
            <w:tcBorders>
              <w:top w:val="nil"/>
              <w:left w:val="nil"/>
              <w:bottom w:val="nil"/>
              <w:right w:val="nil"/>
            </w:tcBorders>
            <w:shd w:val="clear" w:color="auto" w:fill="auto"/>
            <w:noWrap/>
            <w:vAlign w:val="bottom"/>
            <w:hideMark/>
          </w:tcPr>
          <w:p w14:paraId="793D29D0" w14:textId="77777777" w:rsidR="007637E6" w:rsidRPr="00A00187" w:rsidRDefault="007637E6" w:rsidP="007637E6">
            <w:pPr>
              <w:spacing w:line="240" w:lineRule="auto"/>
              <w:jc w:val="left"/>
              <w:rPr>
                <w:rFonts w:ascii="Times New Roman" w:eastAsia="Times New Roman" w:hAnsi="Times New Roman"/>
                <w:sz w:val="20"/>
                <w:szCs w:val="20"/>
                <w:lang w:eastAsia="cs-CZ"/>
              </w:rPr>
            </w:pPr>
          </w:p>
        </w:tc>
      </w:tr>
    </w:tbl>
    <w:p w14:paraId="33CFA109" w14:textId="7B107F5E" w:rsidR="008430BD" w:rsidRPr="00A00187" w:rsidRDefault="008430BD" w:rsidP="008430BD">
      <w:pPr>
        <w:pStyle w:val="Nadpis3"/>
        <w:numPr>
          <w:ilvl w:val="2"/>
          <w:numId w:val="1"/>
        </w:numPr>
        <w:rPr>
          <w:color w:val="auto"/>
        </w:rPr>
      </w:pPr>
      <w:bookmarkStart w:id="829" w:name="_Toc106092772"/>
      <w:bookmarkStart w:id="830" w:name="_Toc109801383"/>
      <w:r w:rsidRPr="00A00187">
        <w:rPr>
          <w:color w:val="auto"/>
        </w:rPr>
        <w:t>Vyřizování v přepočtu na soudce</w:t>
      </w:r>
      <w:bookmarkEnd w:id="829"/>
      <w:bookmarkEnd w:id="830"/>
    </w:p>
    <w:p w14:paraId="0655C774" w14:textId="40FF4668" w:rsidR="007637E6" w:rsidRPr="00A00187" w:rsidRDefault="007637E6" w:rsidP="007637E6">
      <w:r w:rsidRPr="00A00187">
        <w:t xml:space="preserve">Tabulka opět uvádí přepočet na skutečný úvazek dle dostupných dat. V počtu vyřízených a příchozích věcí na soudce (míněno na skutečný úvazek) vidíme, že mezi soudy jsou určité rozdíly, ale žádný soud extrémně nevybočuje. Suverénně nejméně nevyřízených věcí na soudce má KS Praha, nejvíce jich pak má KS Ústí nad Labem. </w:t>
      </w:r>
      <w:r w:rsidR="00FB26D6" w:rsidRPr="00A00187">
        <w:t xml:space="preserve">Nárůst můžeme </w:t>
      </w:r>
      <w:r w:rsidR="00BE458D" w:rsidRPr="00A00187">
        <w:t>sledovat</w:t>
      </w:r>
      <w:r w:rsidR="00FB26D6" w:rsidRPr="00A00187">
        <w:t xml:space="preserve"> </w:t>
      </w:r>
      <w:r w:rsidR="00755920" w:rsidRPr="00A00187">
        <w:t>u</w:t>
      </w:r>
      <w:r w:rsidR="00755920">
        <w:t> </w:t>
      </w:r>
      <w:r w:rsidR="00FB26D6" w:rsidRPr="00A00187">
        <w:t>KS v Ostravě, což je a</w:t>
      </w:r>
      <w:r w:rsidR="0071487E" w:rsidRPr="00A00187">
        <w:t>l</w:t>
      </w:r>
      <w:r w:rsidR="00FB26D6" w:rsidRPr="00A00187">
        <w:t>e</w:t>
      </w:r>
      <w:r w:rsidR="009C3280" w:rsidRPr="00A00187">
        <w:t xml:space="preserve"> </w:t>
      </w:r>
      <w:r w:rsidR="00FB26D6" w:rsidRPr="00A00187">
        <w:t xml:space="preserve">dáno změnou v počtu úvazků soudců, kteří agendu vyřizují. </w:t>
      </w:r>
      <w:r w:rsidRPr="00A00187">
        <w:t>Výsledky jsou víceméně v souladu s výsledky z předchozí části o délkách řízení.</w:t>
      </w:r>
    </w:p>
    <w:p w14:paraId="31771D38" w14:textId="7A9F4C88" w:rsidR="00FB26D6" w:rsidRPr="00A00187" w:rsidRDefault="00FB26D6" w:rsidP="00FB26D6">
      <w:pPr>
        <w:pStyle w:val="Podnadpis"/>
        <w:rPr>
          <w:color w:val="auto"/>
        </w:rPr>
      </w:pPr>
      <w:bookmarkStart w:id="831" w:name="_Toc43931234"/>
      <w:bookmarkStart w:id="832" w:name="_Toc75952367"/>
      <w:bookmarkStart w:id="833" w:name="_Toc106106822"/>
      <w:bookmarkStart w:id="834" w:name="_Toc109802145"/>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60</w:t>
      </w:r>
      <w:r w:rsidRPr="00A00187">
        <w:rPr>
          <w:noProof/>
          <w:color w:val="auto"/>
        </w:rPr>
        <w:fldChar w:fldCharType="end"/>
      </w:r>
      <w:r w:rsidRPr="00A00187">
        <w:rPr>
          <w:color w:val="auto"/>
        </w:rPr>
        <w:t xml:space="preserve">: KS – </w:t>
      </w:r>
      <w:proofErr w:type="spellStart"/>
      <w:r w:rsidRPr="00A00187">
        <w:rPr>
          <w:color w:val="auto"/>
        </w:rPr>
        <w:t>vyřiz</w:t>
      </w:r>
      <w:proofErr w:type="spellEnd"/>
      <w:r w:rsidRPr="00A00187">
        <w:rPr>
          <w:color w:val="auto"/>
        </w:rPr>
        <w:t xml:space="preserve">. odvolacích </w:t>
      </w:r>
      <w:proofErr w:type="spellStart"/>
      <w:r w:rsidRPr="00A00187">
        <w:rPr>
          <w:color w:val="auto"/>
        </w:rPr>
        <w:t>tr</w:t>
      </w:r>
      <w:proofErr w:type="spellEnd"/>
      <w:r w:rsidRPr="00A00187">
        <w:rPr>
          <w:color w:val="auto"/>
        </w:rPr>
        <w:t>. věcí na skutečný úvazek dle soudů</w:t>
      </w:r>
      <w:bookmarkEnd w:id="831"/>
      <w:bookmarkEnd w:id="832"/>
      <w:bookmarkEnd w:id="833"/>
      <w:bookmarkEnd w:id="834"/>
    </w:p>
    <w:tbl>
      <w:tblPr>
        <w:tblW w:w="9240" w:type="dxa"/>
        <w:tblCellMar>
          <w:left w:w="70" w:type="dxa"/>
          <w:right w:w="70" w:type="dxa"/>
        </w:tblCellMar>
        <w:tblLook w:val="04A0" w:firstRow="1" w:lastRow="0" w:firstColumn="1" w:lastColumn="0" w:noHBand="0" w:noVBand="1"/>
      </w:tblPr>
      <w:tblGrid>
        <w:gridCol w:w="2076"/>
        <w:gridCol w:w="1027"/>
        <w:gridCol w:w="1123"/>
        <w:gridCol w:w="988"/>
        <w:gridCol w:w="1132"/>
        <w:gridCol w:w="988"/>
        <w:gridCol w:w="927"/>
        <w:gridCol w:w="979"/>
      </w:tblGrid>
      <w:tr w:rsidR="00AC1E67" w:rsidRPr="00A00187" w14:paraId="50641AFD" w14:textId="77777777" w:rsidTr="007637E6">
        <w:trPr>
          <w:trHeight w:val="330"/>
        </w:trPr>
        <w:tc>
          <w:tcPr>
            <w:tcW w:w="2076" w:type="dxa"/>
            <w:vMerge w:val="restart"/>
            <w:tcBorders>
              <w:top w:val="double" w:sz="6" w:space="0" w:color="auto"/>
              <w:left w:val="nil"/>
              <w:bottom w:val="double" w:sz="6" w:space="0" w:color="000000"/>
              <w:right w:val="nil"/>
            </w:tcBorders>
            <w:shd w:val="clear" w:color="auto" w:fill="auto"/>
            <w:noWrap/>
            <w:vAlign w:val="center"/>
            <w:hideMark/>
          </w:tcPr>
          <w:p w14:paraId="55D90A40" w14:textId="5DCD1A64" w:rsidR="007637E6" w:rsidRPr="00A00187" w:rsidRDefault="00A8348B" w:rsidP="007637E6">
            <w:pPr>
              <w:spacing w:line="240" w:lineRule="auto"/>
              <w:jc w:val="center"/>
              <w:rPr>
                <w:rFonts w:eastAsia="Times New Roman"/>
                <w:b/>
                <w:bCs/>
                <w:szCs w:val="24"/>
                <w:lang w:eastAsia="cs-CZ"/>
              </w:rPr>
            </w:pPr>
            <w:r w:rsidRPr="00A00187">
              <w:rPr>
                <w:rFonts w:eastAsia="Times New Roman"/>
                <w:b/>
                <w:bCs/>
                <w:szCs w:val="24"/>
                <w:lang w:eastAsia="cs-CZ"/>
              </w:rPr>
              <w:t>S</w:t>
            </w:r>
            <w:r w:rsidR="007637E6" w:rsidRPr="00A00187">
              <w:rPr>
                <w:rFonts w:eastAsia="Times New Roman"/>
                <w:b/>
                <w:bCs/>
                <w:szCs w:val="24"/>
                <w:lang w:eastAsia="cs-CZ"/>
              </w:rPr>
              <w:t>oud</w:t>
            </w:r>
          </w:p>
        </w:tc>
        <w:tc>
          <w:tcPr>
            <w:tcW w:w="1027" w:type="dxa"/>
            <w:vMerge w:val="restart"/>
            <w:tcBorders>
              <w:top w:val="double" w:sz="6" w:space="0" w:color="auto"/>
              <w:left w:val="nil"/>
              <w:bottom w:val="double" w:sz="6" w:space="0" w:color="000000"/>
              <w:right w:val="nil"/>
            </w:tcBorders>
            <w:shd w:val="clear" w:color="auto" w:fill="auto"/>
            <w:vAlign w:val="center"/>
            <w:hideMark/>
          </w:tcPr>
          <w:p w14:paraId="026B2381"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137" w:type="dxa"/>
            <w:gridSpan w:val="6"/>
            <w:tcBorders>
              <w:top w:val="double" w:sz="6" w:space="0" w:color="auto"/>
              <w:left w:val="nil"/>
              <w:bottom w:val="nil"/>
              <w:right w:val="nil"/>
            </w:tcBorders>
            <w:shd w:val="clear" w:color="auto" w:fill="auto"/>
            <w:noWrap/>
            <w:vAlign w:val="center"/>
            <w:hideMark/>
          </w:tcPr>
          <w:p w14:paraId="633DAEB4" w14:textId="11934DBF" w:rsidR="007637E6" w:rsidRPr="00A00187" w:rsidRDefault="00310D82" w:rsidP="007637E6">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AC1E67" w:rsidRPr="00A00187" w14:paraId="6196FFE4" w14:textId="77777777" w:rsidTr="007637E6">
        <w:trPr>
          <w:trHeight w:val="330"/>
        </w:trPr>
        <w:tc>
          <w:tcPr>
            <w:tcW w:w="2076" w:type="dxa"/>
            <w:vMerge/>
            <w:tcBorders>
              <w:top w:val="double" w:sz="6" w:space="0" w:color="auto"/>
              <w:left w:val="nil"/>
              <w:bottom w:val="double" w:sz="6" w:space="0" w:color="000000"/>
              <w:right w:val="nil"/>
            </w:tcBorders>
            <w:vAlign w:val="center"/>
            <w:hideMark/>
          </w:tcPr>
          <w:p w14:paraId="2B6C4676" w14:textId="77777777" w:rsidR="007637E6" w:rsidRPr="00A00187" w:rsidRDefault="007637E6" w:rsidP="007637E6">
            <w:pPr>
              <w:spacing w:line="240" w:lineRule="auto"/>
              <w:jc w:val="left"/>
              <w:rPr>
                <w:rFonts w:eastAsia="Times New Roman"/>
                <w:b/>
                <w:bCs/>
                <w:szCs w:val="24"/>
                <w:lang w:eastAsia="cs-CZ"/>
              </w:rPr>
            </w:pPr>
          </w:p>
        </w:tc>
        <w:tc>
          <w:tcPr>
            <w:tcW w:w="1027" w:type="dxa"/>
            <w:vMerge/>
            <w:tcBorders>
              <w:top w:val="double" w:sz="6" w:space="0" w:color="auto"/>
              <w:left w:val="nil"/>
              <w:bottom w:val="double" w:sz="6" w:space="0" w:color="000000"/>
              <w:right w:val="nil"/>
            </w:tcBorders>
            <w:vAlign w:val="center"/>
            <w:hideMark/>
          </w:tcPr>
          <w:p w14:paraId="73D7DB94" w14:textId="77777777" w:rsidR="007637E6" w:rsidRPr="00A00187" w:rsidRDefault="007637E6" w:rsidP="007637E6">
            <w:pPr>
              <w:spacing w:line="240" w:lineRule="auto"/>
              <w:jc w:val="left"/>
              <w:rPr>
                <w:rFonts w:eastAsia="Times New Roman"/>
                <w:b/>
                <w:bCs/>
                <w:szCs w:val="24"/>
                <w:lang w:eastAsia="cs-CZ"/>
              </w:rPr>
            </w:pPr>
          </w:p>
        </w:tc>
        <w:tc>
          <w:tcPr>
            <w:tcW w:w="2111" w:type="dxa"/>
            <w:gridSpan w:val="2"/>
            <w:tcBorders>
              <w:top w:val="nil"/>
              <w:left w:val="nil"/>
              <w:bottom w:val="double" w:sz="6" w:space="0" w:color="auto"/>
              <w:right w:val="nil"/>
            </w:tcBorders>
            <w:shd w:val="clear" w:color="auto" w:fill="auto"/>
            <w:noWrap/>
            <w:vAlign w:val="center"/>
            <w:hideMark/>
          </w:tcPr>
          <w:p w14:paraId="3B0FBE3E"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12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6022591"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906" w:type="dxa"/>
            <w:gridSpan w:val="2"/>
            <w:tcBorders>
              <w:top w:val="nil"/>
              <w:left w:val="nil"/>
              <w:bottom w:val="double" w:sz="6" w:space="0" w:color="auto"/>
              <w:right w:val="nil"/>
            </w:tcBorders>
            <w:shd w:val="clear" w:color="auto" w:fill="auto"/>
            <w:noWrap/>
            <w:vAlign w:val="center"/>
            <w:hideMark/>
          </w:tcPr>
          <w:p w14:paraId="7B680BBB" w14:textId="77777777"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27EC9B49" w14:textId="77777777" w:rsidTr="007637E6">
        <w:trPr>
          <w:trHeight w:val="330"/>
        </w:trPr>
        <w:tc>
          <w:tcPr>
            <w:tcW w:w="2076" w:type="dxa"/>
            <w:tcBorders>
              <w:top w:val="single" w:sz="4" w:space="0" w:color="auto"/>
              <w:left w:val="nil"/>
              <w:bottom w:val="single" w:sz="4" w:space="0" w:color="auto"/>
              <w:right w:val="nil"/>
            </w:tcBorders>
            <w:shd w:val="clear" w:color="auto" w:fill="auto"/>
            <w:noWrap/>
            <w:vAlign w:val="bottom"/>
            <w:hideMark/>
          </w:tcPr>
          <w:p w14:paraId="78E3AA83"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MS Praha</w:t>
            </w:r>
          </w:p>
        </w:tc>
        <w:tc>
          <w:tcPr>
            <w:tcW w:w="1027" w:type="dxa"/>
            <w:tcBorders>
              <w:top w:val="single" w:sz="4" w:space="0" w:color="auto"/>
              <w:left w:val="nil"/>
              <w:bottom w:val="single" w:sz="4" w:space="0" w:color="auto"/>
              <w:right w:val="nil"/>
            </w:tcBorders>
            <w:shd w:val="clear" w:color="auto" w:fill="auto"/>
            <w:noWrap/>
            <w:vAlign w:val="bottom"/>
            <w:hideMark/>
          </w:tcPr>
          <w:p w14:paraId="511157E1"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22</w:t>
            </w:r>
          </w:p>
        </w:tc>
        <w:tc>
          <w:tcPr>
            <w:tcW w:w="1123" w:type="dxa"/>
            <w:tcBorders>
              <w:top w:val="single" w:sz="4" w:space="0" w:color="auto"/>
              <w:left w:val="nil"/>
              <w:bottom w:val="single" w:sz="4" w:space="0" w:color="auto"/>
              <w:right w:val="nil"/>
            </w:tcBorders>
            <w:shd w:val="clear" w:color="auto" w:fill="auto"/>
            <w:noWrap/>
            <w:vAlign w:val="bottom"/>
            <w:hideMark/>
          </w:tcPr>
          <w:p w14:paraId="216528FC" w14:textId="2310C0DC"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146,14</w:t>
            </w:r>
          </w:p>
        </w:tc>
        <w:tc>
          <w:tcPr>
            <w:tcW w:w="988" w:type="dxa"/>
            <w:tcBorders>
              <w:top w:val="single" w:sz="4" w:space="0" w:color="auto"/>
              <w:left w:val="nil"/>
              <w:bottom w:val="single" w:sz="4" w:space="0" w:color="auto"/>
              <w:right w:val="nil"/>
            </w:tcBorders>
            <w:shd w:val="clear" w:color="auto" w:fill="auto"/>
            <w:noWrap/>
            <w:vAlign w:val="center"/>
            <w:hideMark/>
          </w:tcPr>
          <w:p w14:paraId="40E201A5" w14:textId="34A9E58C"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32" w:type="dxa"/>
            <w:tcBorders>
              <w:top w:val="nil"/>
              <w:left w:val="single" w:sz="4" w:space="0" w:color="auto"/>
              <w:bottom w:val="single" w:sz="4" w:space="0" w:color="auto"/>
              <w:right w:val="nil"/>
            </w:tcBorders>
            <w:shd w:val="clear" w:color="auto" w:fill="auto"/>
            <w:noWrap/>
            <w:vAlign w:val="bottom"/>
            <w:hideMark/>
          </w:tcPr>
          <w:p w14:paraId="3965F653" w14:textId="6A37FFFD"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146,14</w:t>
            </w:r>
          </w:p>
        </w:tc>
        <w:tc>
          <w:tcPr>
            <w:tcW w:w="988" w:type="dxa"/>
            <w:tcBorders>
              <w:top w:val="nil"/>
              <w:left w:val="nil"/>
              <w:bottom w:val="single" w:sz="4" w:space="0" w:color="auto"/>
              <w:right w:val="single" w:sz="4" w:space="0" w:color="auto"/>
            </w:tcBorders>
            <w:shd w:val="clear" w:color="auto" w:fill="auto"/>
            <w:noWrap/>
            <w:vAlign w:val="center"/>
            <w:hideMark/>
          </w:tcPr>
          <w:p w14:paraId="17A7B0C3" w14:textId="1C264F4F"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27" w:type="dxa"/>
            <w:tcBorders>
              <w:top w:val="single" w:sz="4" w:space="0" w:color="auto"/>
              <w:left w:val="nil"/>
              <w:bottom w:val="single" w:sz="4" w:space="0" w:color="auto"/>
              <w:right w:val="nil"/>
            </w:tcBorders>
            <w:shd w:val="clear" w:color="auto" w:fill="auto"/>
            <w:noWrap/>
            <w:vAlign w:val="bottom"/>
            <w:hideMark/>
          </w:tcPr>
          <w:p w14:paraId="1734DDD1" w14:textId="074A5CF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8,41</w:t>
            </w:r>
          </w:p>
        </w:tc>
        <w:tc>
          <w:tcPr>
            <w:tcW w:w="979" w:type="dxa"/>
            <w:tcBorders>
              <w:top w:val="single" w:sz="4" w:space="0" w:color="auto"/>
              <w:left w:val="nil"/>
              <w:bottom w:val="single" w:sz="4" w:space="0" w:color="auto"/>
              <w:right w:val="nil"/>
            </w:tcBorders>
            <w:shd w:val="clear" w:color="auto" w:fill="auto"/>
            <w:noWrap/>
            <w:vAlign w:val="center"/>
            <w:hideMark/>
          </w:tcPr>
          <w:p w14:paraId="622E5E82" w14:textId="6C5C27F2"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6EC8D4C8" w14:textId="77777777" w:rsidTr="007637E6">
        <w:trPr>
          <w:trHeight w:val="315"/>
        </w:trPr>
        <w:tc>
          <w:tcPr>
            <w:tcW w:w="2076" w:type="dxa"/>
            <w:tcBorders>
              <w:top w:val="nil"/>
              <w:left w:val="nil"/>
              <w:bottom w:val="single" w:sz="4" w:space="0" w:color="auto"/>
              <w:right w:val="nil"/>
            </w:tcBorders>
            <w:shd w:val="clear" w:color="auto" w:fill="auto"/>
            <w:noWrap/>
            <w:vAlign w:val="bottom"/>
            <w:hideMark/>
          </w:tcPr>
          <w:p w14:paraId="3B0E153D"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Praha</w:t>
            </w:r>
          </w:p>
        </w:tc>
        <w:tc>
          <w:tcPr>
            <w:tcW w:w="1027" w:type="dxa"/>
            <w:tcBorders>
              <w:top w:val="nil"/>
              <w:left w:val="nil"/>
              <w:bottom w:val="single" w:sz="4" w:space="0" w:color="auto"/>
              <w:right w:val="nil"/>
            </w:tcBorders>
            <w:shd w:val="clear" w:color="auto" w:fill="auto"/>
            <w:noWrap/>
            <w:vAlign w:val="bottom"/>
            <w:hideMark/>
          </w:tcPr>
          <w:p w14:paraId="26519735"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18</w:t>
            </w:r>
          </w:p>
        </w:tc>
        <w:tc>
          <w:tcPr>
            <w:tcW w:w="1123" w:type="dxa"/>
            <w:tcBorders>
              <w:top w:val="nil"/>
              <w:left w:val="nil"/>
              <w:bottom w:val="single" w:sz="4" w:space="0" w:color="auto"/>
              <w:right w:val="nil"/>
            </w:tcBorders>
            <w:shd w:val="clear" w:color="auto" w:fill="auto"/>
            <w:noWrap/>
            <w:vAlign w:val="bottom"/>
            <w:hideMark/>
          </w:tcPr>
          <w:p w14:paraId="2322A220" w14:textId="05F7585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142,61</w:t>
            </w:r>
          </w:p>
        </w:tc>
        <w:tc>
          <w:tcPr>
            <w:tcW w:w="988" w:type="dxa"/>
            <w:tcBorders>
              <w:top w:val="nil"/>
              <w:left w:val="nil"/>
              <w:bottom w:val="single" w:sz="4" w:space="0" w:color="auto"/>
              <w:right w:val="nil"/>
            </w:tcBorders>
            <w:shd w:val="clear" w:color="auto" w:fill="auto"/>
            <w:noWrap/>
            <w:vAlign w:val="center"/>
            <w:hideMark/>
          </w:tcPr>
          <w:p w14:paraId="02B25F40" w14:textId="011AF053"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132" w:type="dxa"/>
            <w:tcBorders>
              <w:top w:val="nil"/>
              <w:left w:val="single" w:sz="4" w:space="0" w:color="auto"/>
              <w:bottom w:val="single" w:sz="4" w:space="0" w:color="auto"/>
              <w:right w:val="nil"/>
            </w:tcBorders>
            <w:shd w:val="clear" w:color="auto" w:fill="auto"/>
            <w:noWrap/>
            <w:vAlign w:val="bottom"/>
            <w:hideMark/>
          </w:tcPr>
          <w:p w14:paraId="0FFCC184" w14:textId="1D85D0A0"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143,39</w:t>
            </w:r>
          </w:p>
        </w:tc>
        <w:tc>
          <w:tcPr>
            <w:tcW w:w="988" w:type="dxa"/>
            <w:tcBorders>
              <w:top w:val="nil"/>
              <w:left w:val="nil"/>
              <w:bottom w:val="single" w:sz="4" w:space="0" w:color="auto"/>
              <w:right w:val="single" w:sz="4" w:space="0" w:color="auto"/>
            </w:tcBorders>
            <w:shd w:val="clear" w:color="auto" w:fill="auto"/>
            <w:noWrap/>
            <w:vAlign w:val="center"/>
            <w:hideMark/>
          </w:tcPr>
          <w:p w14:paraId="6E989F52" w14:textId="7E118D34"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927" w:type="dxa"/>
            <w:tcBorders>
              <w:top w:val="nil"/>
              <w:left w:val="nil"/>
              <w:bottom w:val="single" w:sz="4" w:space="0" w:color="auto"/>
              <w:right w:val="nil"/>
            </w:tcBorders>
            <w:shd w:val="clear" w:color="auto" w:fill="auto"/>
            <w:noWrap/>
            <w:vAlign w:val="bottom"/>
            <w:hideMark/>
          </w:tcPr>
          <w:p w14:paraId="702510BC" w14:textId="14267334"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2,50</w:t>
            </w:r>
          </w:p>
        </w:tc>
        <w:tc>
          <w:tcPr>
            <w:tcW w:w="979" w:type="dxa"/>
            <w:tcBorders>
              <w:top w:val="nil"/>
              <w:left w:val="nil"/>
              <w:bottom w:val="single" w:sz="4" w:space="0" w:color="auto"/>
              <w:right w:val="nil"/>
            </w:tcBorders>
            <w:shd w:val="clear" w:color="auto" w:fill="auto"/>
            <w:noWrap/>
            <w:vAlign w:val="center"/>
            <w:hideMark/>
          </w:tcPr>
          <w:p w14:paraId="58FFF78D" w14:textId="2B463B93"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r>
      <w:tr w:rsidR="00AC1E67" w:rsidRPr="00A00187" w14:paraId="4EEE3568" w14:textId="77777777" w:rsidTr="007637E6">
        <w:trPr>
          <w:trHeight w:val="315"/>
        </w:trPr>
        <w:tc>
          <w:tcPr>
            <w:tcW w:w="2076" w:type="dxa"/>
            <w:tcBorders>
              <w:top w:val="nil"/>
              <w:left w:val="nil"/>
              <w:bottom w:val="single" w:sz="4" w:space="0" w:color="auto"/>
              <w:right w:val="nil"/>
            </w:tcBorders>
            <w:shd w:val="clear" w:color="auto" w:fill="auto"/>
            <w:noWrap/>
            <w:vAlign w:val="bottom"/>
            <w:hideMark/>
          </w:tcPr>
          <w:p w14:paraId="2997E076"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Č. Budějovice</w:t>
            </w:r>
          </w:p>
        </w:tc>
        <w:tc>
          <w:tcPr>
            <w:tcW w:w="1027" w:type="dxa"/>
            <w:tcBorders>
              <w:top w:val="nil"/>
              <w:left w:val="nil"/>
              <w:bottom w:val="single" w:sz="4" w:space="0" w:color="auto"/>
              <w:right w:val="nil"/>
            </w:tcBorders>
            <w:shd w:val="clear" w:color="auto" w:fill="auto"/>
            <w:noWrap/>
            <w:vAlign w:val="bottom"/>
            <w:hideMark/>
          </w:tcPr>
          <w:p w14:paraId="428AE69C" w14:textId="7F942A9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10,5</w:t>
            </w:r>
          </w:p>
        </w:tc>
        <w:tc>
          <w:tcPr>
            <w:tcW w:w="1123" w:type="dxa"/>
            <w:tcBorders>
              <w:top w:val="nil"/>
              <w:left w:val="nil"/>
              <w:bottom w:val="single" w:sz="4" w:space="0" w:color="auto"/>
              <w:right w:val="nil"/>
            </w:tcBorders>
            <w:shd w:val="clear" w:color="auto" w:fill="auto"/>
            <w:noWrap/>
            <w:vAlign w:val="bottom"/>
            <w:hideMark/>
          </w:tcPr>
          <w:p w14:paraId="65BDBD0B" w14:textId="263A7CD1"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87,71</w:t>
            </w:r>
          </w:p>
        </w:tc>
        <w:tc>
          <w:tcPr>
            <w:tcW w:w="988" w:type="dxa"/>
            <w:tcBorders>
              <w:top w:val="nil"/>
              <w:left w:val="nil"/>
              <w:bottom w:val="single" w:sz="4" w:space="0" w:color="auto"/>
              <w:right w:val="nil"/>
            </w:tcBorders>
            <w:shd w:val="clear" w:color="auto" w:fill="auto"/>
            <w:noWrap/>
            <w:vAlign w:val="center"/>
            <w:hideMark/>
          </w:tcPr>
          <w:p w14:paraId="3B0A4F0D" w14:textId="7C2BEB15"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1132" w:type="dxa"/>
            <w:tcBorders>
              <w:top w:val="nil"/>
              <w:left w:val="single" w:sz="4" w:space="0" w:color="auto"/>
              <w:bottom w:val="single" w:sz="4" w:space="0" w:color="auto"/>
              <w:right w:val="nil"/>
            </w:tcBorders>
            <w:shd w:val="clear" w:color="auto" w:fill="auto"/>
            <w:noWrap/>
            <w:vAlign w:val="bottom"/>
            <w:hideMark/>
          </w:tcPr>
          <w:p w14:paraId="15876976" w14:textId="3C713E80"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92,00</w:t>
            </w:r>
          </w:p>
        </w:tc>
        <w:tc>
          <w:tcPr>
            <w:tcW w:w="988" w:type="dxa"/>
            <w:tcBorders>
              <w:top w:val="nil"/>
              <w:left w:val="nil"/>
              <w:bottom w:val="single" w:sz="4" w:space="0" w:color="auto"/>
              <w:right w:val="single" w:sz="4" w:space="0" w:color="auto"/>
            </w:tcBorders>
            <w:shd w:val="clear" w:color="auto" w:fill="auto"/>
            <w:noWrap/>
            <w:vAlign w:val="center"/>
            <w:hideMark/>
          </w:tcPr>
          <w:p w14:paraId="06E58F24" w14:textId="17431CF4"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27" w:type="dxa"/>
            <w:tcBorders>
              <w:top w:val="nil"/>
              <w:left w:val="nil"/>
              <w:bottom w:val="single" w:sz="4" w:space="0" w:color="auto"/>
              <w:right w:val="nil"/>
            </w:tcBorders>
            <w:shd w:val="clear" w:color="auto" w:fill="auto"/>
            <w:noWrap/>
            <w:vAlign w:val="bottom"/>
            <w:hideMark/>
          </w:tcPr>
          <w:p w14:paraId="2FB0FF31" w14:textId="057D553C"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9,24</w:t>
            </w:r>
          </w:p>
        </w:tc>
        <w:tc>
          <w:tcPr>
            <w:tcW w:w="979" w:type="dxa"/>
            <w:tcBorders>
              <w:top w:val="nil"/>
              <w:left w:val="nil"/>
              <w:bottom w:val="single" w:sz="4" w:space="0" w:color="auto"/>
              <w:right w:val="nil"/>
            </w:tcBorders>
            <w:shd w:val="clear" w:color="auto" w:fill="auto"/>
            <w:noWrap/>
            <w:vAlign w:val="center"/>
            <w:hideMark/>
          </w:tcPr>
          <w:p w14:paraId="343ACD99" w14:textId="01CA8549"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-31</w:t>
            </w:r>
            <w:r w:rsidR="00CB570A">
              <w:rPr>
                <w:rFonts w:eastAsia="Times New Roman"/>
                <w:sz w:val="20"/>
                <w:szCs w:val="20"/>
                <w:lang w:eastAsia="cs-CZ"/>
              </w:rPr>
              <w:t> %</w:t>
            </w:r>
          </w:p>
        </w:tc>
      </w:tr>
      <w:tr w:rsidR="00AC1E67" w:rsidRPr="00A00187" w14:paraId="69C89AC5" w14:textId="77777777" w:rsidTr="007637E6">
        <w:trPr>
          <w:trHeight w:val="315"/>
        </w:trPr>
        <w:tc>
          <w:tcPr>
            <w:tcW w:w="2076" w:type="dxa"/>
            <w:tcBorders>
              <w:top w:val="nil"/>
              <w:left w:val="nil"/>
              <w:bottom w:val="single" w:sz="4" w:space="0" w:color="auto"/>
              <w:right w:val="nil"/>
            </w:tcBorders>
            <w:shd w:val="clear" w:color="auto" w:fill="auto"/>
            <w:noWrap/>
            <w:vAlign w:val="bottom"/>
            <w:hideMark/>
          </w:tcPr>
          <w:p w14:paraId="2383B3EB"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Plzeň</w:t>
            </w:r>
          </w:p>
        </w:tc>
        <w:tc>
          <w:tcPr>
            <w:tcW w:w="1027" w:type="dxa"/>
            <w:tcBorders>
              <w:top w:val="nil"/>
              <w:left w:val="nil"/>
              <w:bottom w:val="single" w:sz="4" w:space="0" w:color="auto"/>
              <w:right w:val="nil"/>
            </w:tcBorders>
            <w:shd w:val="clear" w:color="auto" w:fill="auto"/>
            <w:noWrap/>
            <w:vAlign w:val="bottom"/>
            <w:hideMark/>
          </w:tcPr>
          <w:p w14:paraId="0E9A0FBF" w14:textId="6B8CE2EE"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16,3</w:t>
            </w:r>
          </w:p>
        </w:tc>
        <w:tc>
          <w:tcPr>
            <w:tcW w:w="1123" w:type="dxa"/>
            <w:tcBorders>
              <w:top w:val="nil"/>
              <w:left w:val="nil"/>
              <w:bottom w:val="single" w:sz="4" w:space="0" w:color="auto"/>
              <w:right w:val="nil"/>
            </w:tcBorders>
            <w:shd w:val="clear" w:color="auto" w:fill="auto"/>
            <w:noWrap/>
            <w:vAlign w:val="bottom"/>
            <w:hideMark/>
          </w:tcPr>
          <w:p w14:paraId="475ACFE7" w14:textId="42A7F7A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121,10</w:t>
            </w:r>
          </w:p>
        </w:tc>
        <w:tc>
          <w:tcPr>
            <w:tcW w:w="988" w:type="dxa"/>
            <w:tcBorders>
              <w:top w:val="nil"/>
              <w:left w:val="nil"/>
              <w:bottom w:val="single" w:sz="4" w:space="0" w:color="auto"/>
              <w:right w:val="nil"/>
            </w:tcBorders>
            <w:shd w:val="clear" w:color="auto" w:fill="auto"/>
            <w:noWrap/>
            <w:vAlign w:val="center"/>
            <w:hideMark/>
          </w:tcPr>
          <w:p w14:paraId="01E6AFA2" w14:textId="1E08F6F9"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32" w:type="dxa"/>
            <w:tcBorders>
              <w:top w:val="nil"/>
              <w:left w:val="single" w:sz="4" w:space="0" w:color="auto"/>
              <w:bottom w:val="single" w:sz="4" w:space="0" w:color="auto"/>
              <w:right w:val="nil"/>
            </w:tcBorders>
            <w:shd w:val="clear" w:color="auto" w:fill="auto"/>
            <w:noWrap/>
            <w:vAlign w:val="bottom"/>
            <w:hideMark/>
          </w:tcPr>
          <w:p w14:paraId="09EC7DBF" w14:textId="196C54D0"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122,82</w:t>
            </w:r>
          </w:p>
        </w:tc>
        <w:tc>
          <w:tcPr>
            <w:tcW w:w="988" w:type="dxa"/>
            <w:tcBorders>
              <w:top w:val="nil"/>
              <w:left w:val="nil"/>
              <w:bottom w:val="single" w:sz="4" w:space="0" w:color="auto"/>
              <w:right w:val="single" w:sz="4" w:space="0" w:color="auto"/>
            </w:tcBorders>
            <w:shd w:val="clear" w:color="auto" w:fill="auto"/>
            <w:noWrap/>
            <w:vAlign w:val="center"/>
            <w:hideMark/>
          </w:tcPr>
          <w:p w14:paraId="50A0BC17" w14:textId="2A6B6656"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927" w:type="dxa"/>
            <w:tcBorders>
              <w:top w:val="nil"/>
              <w:left w:val="nil"/>
              <w:bottom w:val="single" w:sz="4" w:space="0" w:color="auto"/>
              <w:right w:val="nil"/>
            </w:tcBorders>
            <w:shd w:val="clear" w:color="auto" w:fill="auto"/>
            <w:noWrap/>
            <w:vAlign w:val="bottom"/>
            <w:hideMark/>
          </w:tcPr>
          <w:p w14:paraId="415C9590" w14:textId="1BF0485D"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11,60</w:t>
            </w:r>
          </w:p>
        </w:tc>
        <w:tc>
          <w:tcPr>
            <w:tcW w:w="979" w:type="dxa"/>
            <w:tcBorders>
              <w:top w:val="nil"/>
              <w:left w:val="nil"/>
              <w:bottom w:val="single" w:sz="4" w:space="0" w:color="auto"/>
              <w:right w:val="nil"/>
            </w:tcBorders>
            <w:shd w:val="clear" w:color="auto" w:fill="auto"/>
            <w:noWrap/>
            <w:vAlign w:val="center"/>
            <w:hideMark/>
          </w:tcPr>
          <w:p w14:paraId="17E2905A" w14:textId="754456E3"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r>
      <w:tr w:rsidR="00AC1E67" w:rsidRPr="00A00187" w14:paraId="09CF96EF" w14:textId="77777777" w:rsidTr="007637E6">
        <w:trPr>
          <w:trHeight w:val="315"/>
        </w:trPr>
        <w:tc>
          <w:tcPr>
            <w:tcW w:w="2076" w:type="dxa"/>
            <w:tcBorders>
              <w:top w:val="nil"/>
              <w:left w:val="nil"/>
              <w:bottom w:val="single" w:sz="4" w:space="0" w:color="auto"/>
              <w:right w:val="nil"/>
            </w:tcBorders>
            <w:shd w:val="clear" w:color="auto" w:fill="auto"/>
            <w:noWrap/>
            <w:vAlign w:val="bottom"/>
            <w:hideMark/>
          </w:tcPr>
          <w:p w14:paraId="4FE65BBF"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Ústí n. Labem</w:t>
            </w:r>
          </w:p>
        </w:tc>
        <w:tc>
          <w:tcPr>
            <w:tcW w:w="1027" w:type="dxa"/>
            <w:tcBorders>
              <w:top w:val="nil"/>
              <w:left w:val="nil"/>
              <w:bottom w:val="single" w:sz="4" w:space="0" w:color="auto"/>
              <w:right w:val="nil"/>
            </w:tcBorders>
            <w:shd w:val="clear" w:color="auto" w:fill="auto"/>
            <w:noWrap/>
            <w:vAlign w:val="bottom"/>
            <w:hideMark/>
          </w:tcPr>
          <w:p w14:paraId="535A829B" w14:textId="77673CBF"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22,2</w:t>
            </w:r>
          </w:p>
        </w:tc>
        <w:tc>
          <w:tcPr>
            <w:tcW w:w="1123" w:type="dxa"/>
            <w:tcBorders>
              <w:top w:val="nil"/>
              <w:left w:val="nil"/>
              <w:bottom w:val="single" w:sz="4" w:space="0" w:color="auto"/>
              <w:right w:val="nil"/>
            </w:tcBorders>
            <w:shd w:val="clear" w:color="auto" w:fill="auto"/>
            <w:noWrap/>
            <w:vAlign w:val="bottom"/>
            <w:hideMark/>
          </w:tcPr>
          <w:p w14:paraId="52515471" w14:textId="615BDB6E"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133,38</w:t>
            </w:r>
          </w:p>
        </w:tc>
        <w:tc>
          <w:tcPr>
            <w:tcW w:w="988" w:type="dxa"/>
            <w:tcBorders>
              <w:top w:val="nil"/>
              <w:left w:val="nil"/>
              <w:bottom w:val="single" w:sz="4" w:space="0" w:color="auto"/>
              <w:right w:val="nil"/>
            </w:tcBorders>
            <w:shd w:val="clear" w:color="auto" w:fill="auto"/>
            <w:noWrap/>
            <w:vAlign w:val="center"/>
            <w:hideMark/>
          </w:tcPr>
          <w:p w14:paraId="15214E9E" w14:textId="265467BB"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132" w:type="dxa"/>
            <w:tcBorders>
              <w:top w:val="nil"/>
              <w:left w:val="single" w:sz="4" w:space="0" w:color="auto"/>
              <w:bottom w:val="single" w:sz="4" w:space="0" w:color="auto"/>
              <w:right w:val="nil"/>
            </w:tcBorders>
            <w:shd w:val="clear" w:color="auto" w:fill="auto"/>
            <w:noWrap/>
            <w:vAlign w:val="bottom"/>
            <w:hideMark/>
          </w:tcPr>
          <w:p w14:paraId="39D1B587" w14:textId="782AE80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133,83</w:t>
            </w:r>
          </w:p>
        </w:tc>
        <w:tc>
          <w:tcPr>
            <w:tcW w:w="988" w:type="dxa"/>
            <w:tcBorders>
              <w:top w:val="nil"/>
              <w:left w:val="nil"/>
              <w:bottom w:val="single" w:sz="4" w:space="0" w:color="auto"/>
              <w:right w:val="single" w:sz="4" w:space="0" w:color="auto"/>
            </w:tcBorders>
            <w:shd w:val="clear" w:color="auto" w:fill="auto"/>
            <w:noWrap/>
            <w:vAlign w:val="center"/>
            <w:hideMark/>
          </w:tcPr>
          <w:p w14:paraId="3D2DC360" w14:textId="49E39152"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27" w:type="dxa"/>
            <w:tcBorders>
              <w:top w:val="nil"/>
              <w:left w:val="nil"/>
              <w:bottom w:val="single" w:sz="4" w:space="0" w:color="auto"/>
              <w:right w:val="nil"/>
            </w:tcBorders>
            <w:shd w:val="clear" w:color="auto" w:fill="auto"/>
            <w:noWrap/>
            <w:vAlign w:val="bottom"/>
            <w:hideMark/>
          </w:tcPr>
          <w:p w14:paraId="1FAD10B8" w14:textId="21D36E4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15,77</w:t>
            </w:r>
          </w:p>
        </w:tc>
        <w:tc>
          <w:tcPr>
            <w:tcW w:w="979" w:type="dxa"/>
            <w:tcBorders>
              <w:top w:val="nil"/>
              <w:left w:val="nil"/>
              <w:bottom w:val="single" w:sz="4" w:space="0" w:color="auto"/>
              <w:right w:val="nil"/>
            </w:tcBorders>
            <w:shd w:val="clear" w:color="auto" w:fill="auto"/>
            <w:noWrap/>
            <w:vAlign w:val="center"/>
            <w:hideMark/>
          </w:tcPr>
          <w:p w14:paraId="4D672A53" w14:textId="618075B0"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326DDD44" w14:textId="77777777" w:rsidTr="007637E6">
        <w:trPr>
          <w:trHeight w:val="315"/>
        </w:trPr>
        <w:tc>
          <w:tcPr>
            <w:tcW w:w="2076" w:type="dxa"/>
            <w:tcBorders>
              <w:top w:val="nil"/>
              <w:left w:val="nil"/>
              <w:bottom w:val="single" w:sz="4" w:space="0" w:color="auto"/>
              <w:right w:val="nil"/>
            </w:tcBorders>
            <w:shd w:val="clear" w:color="auto" w:fill="auto"/>
            <w:noWrap/>
            <w:vAlign w:val="bottom"/>
            <w:hideMark/>
          </w:tcPr>
          <w:p w14:paraId="7BDE0E0F"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Hr. Králové</w:t>
            </w:r>
          </w:p>
        </w:tc>
        <w:tc>
          <w:tcPr>
            <w:tcW w:w="1027" w:type="dxa"/>
            <w:tcBorders>
              <w:top w:val="nil"/>
              <w:left w:val="nil"/>
              <w:bottom w:val="single" w:sz="4" w:space="0" w:color="auto"/>
              <w:right w:val="nil"/>
            </w:tcBorders>
            <w:shd w:val="clear" w:color="auto" w:fill="auto"/>
            <w:noWrap/>
            <w:vAlign w:val="bottom"/>
            <w:hideMark/>
          </w:tcPr>
          <w:p w14:paraId="10CE6158"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12</w:t>
            </w:r>
          </w:p>
        </w:tc>
        <w:tc>
          <w:tcPr>
            <w:tcW w:w="1123" w:type="dxa"/>
            <w:tcBorders>
              <w:top w:val="nil"/>
              <w:left w:val="nil"/>
              <w:bottom w:val="single" w:sz="4" w:space="0" w:color="auto"/>
              <w:right w:val="nil"/>
            </w:tcBorders>
            <w:shd w:val="clear" w:color="auto" w:fill="auto"/>
            <w:noWrap/>
            <w:vAlign w:val="bottom"/>
            <w:hideMark/>
          </w:tcPr>
          <w:p w14:paraId="5879253D" w14:textId="281403CB"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143,25</w:t>
            </w:r>
          </w:p>
        </w:tc>
        <w:tc>
          <w:tcPr>
            <w:tcW w:w="988" w:type="dxa"/>
            <w:tcBorders>
              <w:top w:val="nil"/>
              <w:left w:val="nil"/>
              <w:bottom w:val="single" w:sz="4" w:space="0" w:color="auto"/>
              <w:right w:val="nil"/>
            </w:tcBorders>
            <w:shd w:val="clear" w:color="auto" w:fill="auto"/>
            <w:noWrap/>
            <w:vAlign w:val="center"/>
            <w:hideMark/>
          </w:tcPr>
          <w:p w14:paraId="3A967ECF" w14:textId="7B50C820"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1132" w:type="dxa"/>
            <w:tcBorders>
              <w:top w:val="nil"/>
              <w:left w:val="single" w:sz="4" w:space="0" w:color="auto"/>
              <w:bottom w:val="single" w:sz="4" w:space="0" w:color="auto"/>
              <w:right w:val="nil"/>
            </w:tcBorders>
            <w:shd w:val="clear" w:color="auto" w:fill="auto"/>
            <w:noWrap/>
            <w:vAlign w:val="bottom"/>
            <w:hideMark/>
          </w:tcPr>
          <w:p w14:paraId="3A8BA962" w14:textId="5E57B71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144,00</w:t>
            </w:r>
          </w:p>
        </w:tc>
        <w:tc>
          <w:tcPr>
            <w:tcW w:w="988" w:type="dxa"/>
            <w:tcBorders>
              <w:top w:val="nil"/>
              <w:left w:val="nil"/>
              <w:bottom w:val="single" w:sz="4" w:space="0" w:color="auto"/>
              <w:right w:val="single" w:sz="4" w:space="0" w:color="auto"/>
            </w:tcBorders>
            <w:shd w:val="clear" w:color="auto" w:fill="auto"/>
            <w:noWrap/>
            <w:vAlign w:val="center"/>
            <w:hideMark/>
          </w:tcPr>
          <w:p w14:paraId="1AEDFACE" w14:textId="3FF1DF2F"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927" w:type="dxa"/>
            <w:tcBorders>
              <w:top w:val="nil"/>
              <w:left w:val="nil"/>
              <w:bottom w:val="single" w:sz="4" w:space="0" w:color="auto"/>
              <w:right w:val="nil"/>
            </w:tcBorders>
            <w:shd w:val="clear" w:color="auto" w:fill="auto"/>
            <w:noWrap/>
            <w:vAlign w:val="bottom"/>
            <w:hideMark/>
          </w:tcPr>
          <w:p w14:paraId="36BB8162" w14:textId="20515A12"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6,58</w:t>
            </w:r>
          </w:p>
        </w:tc>
        <w:tc>
          <w:tcPr>
            <w:tcW w:w="979" w:type="dxa"/>
            <w:tcBorders>
              <w:top w:val="nil"/>
              <w:left w:val="nil"/>
              <w:bottom w:val="single" w:sz="4" w:space="0" w:color="auto"/>
              <w:right w:val="nil"/>
            </w:tcBorders>
            <w:shd w:val="clear" w:color="auto" w:fill="auto"/>
            <w:noWrap/>
            <w:vAlign w:val="center"/>
            <w:hideMark/>
          </w:tcPr>
          <w:p w14:paraId="525F708E" w14:textId="0BB5FA3A"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AC1E67" w:rsidRPr="00A00187" w14:paraId="0AFA07D4" w14:textId="77777777" w:rsidTr="007637E6">
        <w:trPr>
          <w:trHeight w:val="315"/>
        </w:trPr>
        <w:tc>
          <w:tcPr>
            <w:tcW w:w="2076" w:type="dxa"/>
            <w:tcBorders>
              <w:top w:val="nil"/>
              <w:left w:val="nil"/>
              <w:bottom w:val="single" w:sz="4" w:space="0" w:color="auto"/>
              <w:right w:val="nil"/>
            </w:tcBorders>
            <w:shd w:val="clear" w:color="auto" w:fill="auto"/>
            <w:noWrap/>
            <w:vAlign w:val="bottom"/>
            <w:hideMark/>
          </w:tcPr>
          <w:p w14:paraId="3BCE3FD6"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Brno</w:t>
            </w:r>
          </w:p>
        </w:tc>
        <w:tc>
          <w:tcPr>
            <w:tcW w:w="1027" w:type="dxa"/>
            <w:tcBorders>
              <w:top w:val="nil"/>
              <w:left w:val="nil"/>
              <w:bottom w:val="single" w:sz="4" w:space="0" w:color="auto"/>
              <w:right w:val="nil"/>
            </w:tcBorders>
            <w:shd w:val="clear" w:color="auto" w:fill="auto"/>
            <w:noWrap/>
            <w:vAlign w:val="bottom"/>
            <w:hideMark/>
          </w:tcPr>
          <w:p w14:paraId="7273CF2E" w14:textId="77777777"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18</w:t>
            </w:r>
          </w:p>
        </w:tc>
        <w:tc>
          <w:tcPr>
            <w:tcW w:w="1123" w:type="dxa"/>
            <w:tcBorders>
              <w:top w:val="nil"/>
              <w:left w:val="nil"/>
              <w:bottom w:val="single" w:sz="4" w:space="0" w:color="auto"/>
              <w:right w:val="nil"/>
            </w:tcBorders>
            <w:shd w:val="clear" w:color="auto" w:fill="auto"/>
            <w:noWrap/>
            <w:vAlign w:val="bottom"/>
            <w:hideMark/>
          </w:tcPr>
          <w:p w14:paraId="5FDFFAC4" w14:textId="51655D3B"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140,28</w:t>
            </w:r>
          </w:p>
        </w:tc>
        <w:tc>
          <w:tcPr>
            <w:tcW w:w="988" w:type="dxa"/>
            <w:tcBorders>
              <w:top w:val="nil"/>
              <w:left w:val="nil"/>
              <w:bottom w:val="single" w:sz="4" w:space="0" w:color="auto"/>
              <w:right w:val="nil"/>
            </w:tcBorders>
            <w:shd w:val="clear" w:color="auto" w:fill="auto"/>
            <w:noWrap/>
            <w:vAlign w:val="center"/>
            <w:hideMark/>
          </w:tcPr>
          <w:p w14:paraId="2EA41023" w14:textId="328B2F81"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32" w:type="dxa"/>
            <w:tcBorders>
              <w:top w:val="nil"/>
              <w:left w:val="single" w:sz="4" w:space="0" w:color="auto"/>
              <w:bottom w:val="single" w:sz="4" w:space="0" w:color="auto"/>
              <w:right w:val="nil"/>
            </w:tcBorders>
            <w:shd w:val="clear" w:color="auto" w:fill="auto"/>
            <w:noWrap/>
            <w:vAlign w:val="bottom"/>
            <w:hideMark/>
          </w:tcPr>
          <w:p w14:paraId="670BEDDF" w14:textId="4E747EF5"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142,33</w:t>
            </w:r>
          </w:p>
        </w:tc>
        <w:tc>
          <w:tcPr>
            <w:tcW w:w="988" w:type="dxa"/>
            <w:tcBorders>
              <w:top w:val="nil"/>
              <w:left w:val="nil"/>
              <w:bottom w:val="single" w:sz="4" w:space="0" w:color="auto"/>
              <w:right w:val="single" w:sz="4" w:space="0" w:color="auto"/>
            </w:tcBorders>
            <w:shd w:val="clear" w:color="auto" w:fill="auto"/>
            <w:noWrap/>
            <w:vAlign w:val="center"/>
            <w:hideMark/>
          </w:tcPr>
          <w:p w14:paraId="4FB17813" w14:textId="3BFE26B7"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27" w:type="dxa"/>
            <w:tcBorders>
              <w:top w:val="nil"/>
              <w:left w:val="nil"/>
              <w:bottom w:val="single" w:sz="4" w:space="0" w:color="auto"/>
              <w:right w:val="nil"/>
            </w:tcBorders>
            <w:shd w:val="clear" w:color="auto" w:fill="auto"/>
            <w:noWrap/>
            <w:vAlign w:val="bottom"/>
            <w:hideMark/>
          </w:tcPr>
          <w:p w14:paraId="6658589A" w14:textId="77A9047F"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12,22</w:t>
            </w:r>
          </w:p>
        </w:tc>
        <w:tc>
          <w:tcPr>
            <w:tcW w:w="979" w:type="dxa"/>
            <w:tcBorders>
              <w:top w:val="nil"/>
              <w:left w:val="nil"/>
              <w:bottom w:val="single" w:sz="4" w:space="0" w:color="auto"/>
              <w:right w:val="nil"/>
            </w:tcBorders>
            <w:shd w:val="clear" w:color="auto" w:fill="auto"/>
            <w:noWrap/>
            <w:vAlign w:val="center"/>
            <w:hideMark/>
          </w:tcPr>
          <w:p w14:paraId="664BF4C5" w14:textId="068AE410"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1B57DE82" w14:textId="77777777" w:rsidTr="007637E6">
        <w:trPr>
          <w:trHeight w:val="330"/>
        </w:trPr>
        <w:tc>
          <w:tcPr>
            <w:tcW w:w="2076" w:type="dxa"/>
            <w:tcBorders>
              <w:top w:val="nil"/>
              <w:left w:val="nil"/>
              <w:bottom w:val="double" w:sz="6" w:space="0" w:color="auto"/>
              <w:right w:val="nil"/>
            </w:tcBorders>
            <w:shd w:val="clear" w:color="auto" w:fill="auto"/>
            <w:noWrap/>
            <w:vAlign w:val="bottom"/>
            <w:hideMark/>
          </w:tcPr>
          <w:p w14:paraId="350B16D3" w14:textId="77777777" w:rsidR="007637E6" w:rsidRPr="00A00187" w:rsidRDefault="007637E6" w:rsidP="007637E6">
            <w:pPr>
              <w:spacing w:line="240" w:lineRule="auto"/>
              <w:jc w:val="left"/>
              <w:rPr>
                <w:rFonts w:eastAsia="Times New Roman"/>
                <w:szCs w:val="24"/>
                <w:lang w:eastAsia="cs-CZ"/>
              </w:rPr>
            </w:pPr>
            <w:r w:rsidRPr="00A00187">
              <w:rPr>
                <w:rFonts w:eastAsia="Times New Roman"/>
                <w:szCs w:val="24"/>
                <w:lang w:eastAsia="cs-CZ"/>
              </w:rPr>
              <w:t>KS Ostrava</w:t>
            </w:r>
          </w:p>
        </w:tc>
        <w:tc>
          <w:tcPr>
            <w:tcW w:w="1027" w:type="dxa"/>
            <w:tcBorders>
              <w:top w:val="nil"/>
              <w:left w:val="nil"/>
              <w:bottom w:val="double" w:sz="6" w:space="0" w:color="auto"/>
              <w:right w:val="nil"/>
            </w:tcBorders>
            <w:shd w:val="clear" w:color="auto" w:fill="auto"/>
            <w:noWrap/>
            <w:vAlign w:val="bottom"/>
            <w:hideMark/>
          </w:tcPr>
          <w:p w14:paraId="05776915" w14:textId="6B1F8F2F"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29,5</w:t>
            </w:r>
          </w:p>
        </w:tc>
        <w:tc>
          <w:tcPr>
            <w:tcW w:w="1123" w:type="dxa"/>
            <w:tcBorders>
              <w:top w:val="nil"/>
              <w:left w:val="nil"/>
              <w:bottom w:val="double" w:sz="6" w:space="0" w:color="auto"/>
              <w:right w:val="nil"/>
            </w:tcBorders>
            <w:shd w:val="clear" w:color="auto" w:fill="auto"/>
            <w:noWrap/>
            <w:vAlign w:val="bottom"/>
            <w:hideMark/>
          </w:tcPr>
          <w:p w14:paraId="51070898" w14:textId="00148CE4"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109,69</w:t>
            </w:r>
          </w:p>
        </w:tc>
        <w:tc>
          <w:tcPr>
            <w:tcW w:w="988" w:type="dxa"/>
            <w:tcBorders>
              <w:top w:val="nil"/>
              <w:left w:val="nil"/>
              <w:bottom w:val="double" w:sz="6" w:space="0" w:color="auto"/>
              <w:right w:val="nil"/>
            </w:tcBorders>
            <w:shd w:val="clear" w:color="auto" w:fill="auto"/>
            <w:noWrap/>
            <w:vAlign w:val="center"/>
            <w:hideMark/>
          </w:tcPr>
          <w:p w14:paraId="15E19161" w14:textId="78E707D1"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132" w:type="dxa"/>
            <w:tcBorders>
              <w:top w:val="nil"/>
              <w:left w:val="single" w:sz="4" w:space="0" w:color="auto"/>
              <w:bottom w:val="double" w:sz="6" w:space="0" w:color="auto"/>
              <w:right w:val="nil"/>
            </w:tcBorders>
            <w:shd w:val="clear" w:color="auto" w:fill="auto"/>
            <w:noWrap/>
            <w:vAlign w:val="bottom"/>
            <w:hideMark/>
          </w:tcPr>
          <w:p w14:paraId="0992E7C5" w14:textId="212C2185"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110,17</w:t>
            </w:r>
          </w:p>
        </w:tc>
        <w:tc>
          <w:tcPr>
            <w:tcW w:w="988" w:type="dxa"/>
            <w:tcBorders>
              <w:top w:val="nil"/>
              <w:left w:val="nil"/>
              <w:bottom w:val="double" w:sz="6" w:space="0" w:color="auto"/>
              <w:right w:val="single" w:sz="4" w:space="0" w:color="auto"/>
            </w:tcBorders>
            <w:shd w:val="clear" w:color="auto" w:fill="auto"/>
            <w:noWrap/>
            <w:vAlign w:val="center"/>
            <w:hideMark/>
          </w:tcPr>
          <w:p w14:paraId="63D22683" w14:textId="42AB0665"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927" w:type="dxa"/>
            <w:tcBorders>
              <w:top w:val="nil"/>
              <w:left w:val="nil"/>
              <w:bottom w:val="double" w:sz="6" w:space="0" w:color="auto"/>
              <w:right w:val="nil"/>
            </w:tcBorders>
            <w:shd w:val="clear" w:color="auto" w:fill="auto"/>
            <w:noWrap/>
            <w:vAlign w:val="bottom"/>
            <w:hideMark/>
          </w:tcPr>
          <w:p w14:paraId="101C6767" w14:textId="0CD4C496" w:rsidR="007637E6" w:rsidRPr="00A00187" w:rsidRDefault="007637E6" w:rsidP="007637E6">
            <w:pPr>
              <w:spacing w:line="240" w:lineRule="auto"/>
              <w:jc w:val="center"/>
              <w:rPr>
                <w:rFonts w:eastAsia="Times New Roman"/>
                <w:szCs w:val="24"/>
                <w:lang w:eastAsia="cs-CZ"/>
              </w:rPr>
            </w:pPr>
            <w:r w:rsidRPr="00A00187">
              <w:rPr>
                <w:rFonts w:eastAsia="Times New Roman"/>
                <w:szCs w:val="24"/>
                <w:lang w:eastAsia="cs-CZ"/>
              </w:rPr>
              <w:t>11,46</w:t>
            </w:r>
          </w:p>
        </w:tc>
        <w:tc>
          <w:tcPr>
            <w:tcW w:w="979" w:type="dxa"/>
            <w:tcBorders>
              <w:top w:val="nil"/>
              <w:left w:val="nil"/>
              <w:bottom w:val="double" w:sz="6" w:space="0" w:color="auto"/>
              <w:right w:val="nil"/>
            </w:tcBorders>
            <w:shd w:val="clear" w:color="auto" w:fill="auto"/>
            <w:noWrap/>
            <w:vAlign w:val="center"/>
            <w:hideMark/>
          </w:tcPr>
          <w:p w14:paraId="2CB79EE7" w14:textId="3382FCE5" w:rsidR="007637E6" w:rsidRPr="00A00187" w:rsidRDefault="007637E6" w:rsidP="007637E6">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7637E6" w:rsidRPr="00A00187" w14:paraId="251CC929" w14:textId="77777777" w:rsidTr="007637E6">
        <w:trPr>
          <w:trHeight w:val="345"/>
        </w:trPr>
        <w:tc>
          <w:tcPr>
            <w:tcW w:w="2076" w:type="dxa"/>
            <w:tcBorders>
              <w:top w:val="nil"/>
              <w:left w:val="nil"/>
              <w:bottom w:val="double" w:sz="6" w:space="0" w:color="auto"/>
              <w:right w:val="nil"/>
            </w:tcBorders>
            <w:shd w:val="clear" w:color="auto" w:fill="auto"/>
            <w:noWrap/>
            <w:vAlign w:val="bottom"/>
            <w:hideMark/>
          </w:tcPr>
          <w:p w14:paraId="14FFEBDC" w14:textId="77777777" w:rsidR="007637E6" w:rsidRPr="00A00187" w:rsidRDefault="007637E6" w:rsidP="007637E6">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27" w:type="dxa"/>
            <w:tcBorders>
              <w:top w:val="nil"/>
              <w:left w:val="nil"/>
              <w:bottom w:val="double" w:sz="6" w:space="0" w:color="auto"/>
              <w:right w:val="nil"/>
            </w:tcBorders>
            <w:shd w:val="clear" w:color="auto" w:fill="auto"/>
            <w:noWrap/>
            <w:vAlign w:val="bottom"/>
            <w:hideMark/>
          </w:tcPr>
          <w:p w14:paraId="3908071A" w14:textId="13271BBE"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148,5</w:t>
            </w:r>
          </w:p>
        </w:tc>
        <w:tc>
          <w:tcPr>
            <w:tcW w:w="1123" w:type="dxa"/>
            <w:tcBorders>
              <w:top w:val="nil"/>
              <w:left w:val="nil"/>
              <w:bottom w:val="double" w:sz="6" w:space="0" w:color="auto"/>
              <w:right w:val="nil"/>
            </w:tcBorders>
            <w:shd w:val="clear" w:color="auto" w:fill="auto"/>
            <w:noWrap/>
            <w:vAlign w:val="bottom"/>
            <w:hideMark/>
          </w:tcPr>
          <w:p w14:paraId="0405426C" w14:textId="25E3B0C8"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128,74</w:t>
            </w:r>
          </w:p>
        </w:tc>
        <w:tc>
          <w:tcPr>
            <w:tcW w:w="988" w:type="dxa"/>
            <w:tcBorders>
              <w:top w:val="nil"/>
              <w:left w:val="nil"/>
              <w:bottom w:val="double" w:sz="6" w:space="0" w:color="auto"/>
              <w:right w:val="nil"/>
            </w:tcBorders>
            <w:shd w:val="clear" w:color="auto" w:fill="auto"/>
            <w:noWrap/>
            <w:vAlign w:val="center"/>
            <w:hideMark/>
          </w:tcPr>
          <w:p w14:paraId="58D1D1C5" w14:textId="24E3E62D" w:rsidR="007637E6" w:rsidRPr="00A00187" w:rsidRDefault="007637E6" w:rsidP="007637E6">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1132" w:type="dxa"/>
            <w:tcBorders>
              <w:top w:val="nil"/>
              <w:left w:val="single" w:sz="4" w:space="0" w:color="auto"/>
              <w:bottom w:val="double" w:sz="6" w:space="0" w:color="auto"/>
              <w:right w:val="nil"/>
            </w:tcBorders>
            <w:shd w:val="clear" w:color="auto" w:fill="auto"/>
            <w:noWrap/>
            <w:vAlign w:val="bottom"/>
            <w:hideMark/>
          </w:tcPr>
          <w:p w14:paraId="046956AD" w14:textId="7C16C4BF"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129,80</w:t>
            </w:r>
          </w:p>
        </w:tc>
        <w:tc>
          <w:tcPr>
            <w:tcW w:w="988" w:type="dxa"/>
            <w:tcBorders>
              <w:top w:val="nil"/>
              <w:left w:val="nil"/>
              <w:bottom w:val="double" w:sz="6" w:space="0" w:color="auto"/>
              <w:right w:val="single" w:sz="4" w:space="0" w:color="auto"/>
            </w:tcBorders>
            <w:shd w:val="clear" w:color="auto" w:fill="auto"/>
            <w:noWrap/>
            <w:vAlign w:val="center"/>
            <w:hideMark/>
          </w:tcPr>
          <w:p w14:paraId="582ED1BC" w14:textId="286F146B" w:rsidR="007637E6" w:rsidRPr="00A00187" w:rsidRDefault="007637E6" w:rsidP="007637E6">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c>
          <w:tcPr>
            <w:tcW w:w="927" w:type="dxa"/>
            <w:tcBorders>
              <w:top w:val="nil"/>
              <w:left w:val="nil"/>
              <w:bottom w:val="double" w:sz="6" w:space="0" w:color="auto"/>
              <w:right w:val="nil"/>
            </w:tcBorders>
            <w:shd w:val="clear" w:color="auto" w:fill="auto"/>
            <w:noWrap/>
            <w:vAlign w:val="bottom"/>
            <w:hideMark/>
          </w:tcPr>
          <w:p w14:paraId="1730FD8E" w14:textId="1FC935AC" w:rsidR="007637E6" w:rsidRPr="00A00187" w:rsidRDefault="007637E6" w:rsidP="007637E6">
            <w:pPr>
              <w:spacing w:line="240" w:lineRule="auto"/>
              <w:jc w:val="center"/>
              <w:rPr>
                <w:rFonts w:eastAsia="Times New Roman"/>
                <w:b/>
                <w:bCs/>
                <w:szCs w:val="24"/>
                <w:lang w:eastAsia="cs-CZ"/>
              </w:rPr>
            </w:pPr>
            <w:r w:rsidRPr="00A00187">
              <w:rPr>
                <w:rFonts w:eastAsia="Times New Roman"/>
                <w:b/>
                <w:bCs/>
                <w:szCs w:val="24"/>
                <w:lang w:eastAsia="cs-CZ"/>
              </w:rPr>
              <w:t>10,12</w:t>
            </w:r>
          </w:p>
        </w:tc>
        <w:tc>
          <w:tcPr>
            <w:tcW w:w="979" w:type="dxa"/>
            <w:tcBorders>
              <w:top w:val="nil"/>
              <w:left w:val="nil"/>
              <w:bottom w:val="double" w:sz="6" w:space="0" w:color="auto"/>
              <w:right w:val="nil"/>
            </w:tcBorders>
            <w:shd w:val="clear" w:color="auto" w:fill="auto"/>
            <w:noWrap/>
            <w:vAlign w:val="center"/>
            <w:hideMark/>
          </w:tcPr>
          <w:p w14:paraId="4D7BE569" w14:textId="673BF32E" w:rsidR="007637E6" w:rsidRPr="00A00187" w:rsidRDefault="007637E6" w:rsidP="007637E6">
            <w:pPr>
              <w:spacing w:line="240" w:lineRule="auto"/>
              <w:jc w:val="center"/>
              <w:rPr>
                <w:rFonts w:eastAsia="Times New Roman"/>
                <w:b/>
                <w:bCs/>
                <w:sz w:val="20"/>
                <w:szCs w:val="20"/>
                <w:lang w:eastAsia="cs-CZ"/>
              </w:rPr>
            </w:pPr>
            <w:r w:rsidRPr="00A00187">
              <w:rPr>
                <w:rFonts w:eastAsia="Times New Roman"/>
                <w:b/>
                <w:bCs/>
                <w:sz w:val="20"/>
                <w:szCs w:val="20"/>
                <w:lang w:eastAsia="cs-CZ"/>
              </w:rPr>
              <w:t>-5</w:t>
            </w:r>
            <w:r w:rsidR="00CB570A">
              <w:rPr>
                <w:rFonts w:eastAsia="Times New Roman"/>
                <w:b/>
                <w:bCs/>
                <w:sz w:val="20"/>
                <w:szCs w:val="20"/>
                <w:lang w:eastAsia="cs-CZ"/>
              </w:rPr>
              <w:t> %</w:t>
            </w:r>
          </w:p>
        </w:tc>
      </w:tr>
    </w:tbl>
    <w:p w14:paraId="2CAE50A6" w14:textId="77777777" w:rsidR="00FB26D6" w:rsidRPr="00A00187" w:rsidRDefault="00FB26D6" w:rsidP="00FB26D6">
      <w:bookmarkStart w:id="835" w:name="_Toc515871265"/>
    </w:p>
    <w:p w14:paraId="349AB245" w14:textId="5B1A4ABD" w:rsidR="00CB570A" w:rsidRDefault="00FB26D6" w:rsidP="00FB26D6">
      <w:r w:rsidRPr="00A00187">
        <w:t>Oproti loňskému roku se snížil skutečný počet soudců (úvazků) o 8 (ze 157 na 149)</w:t>
      </w:r>
      <w:r w:rsidR="00BE458D" w:rsidRPr="00A00187">
        <w:t xml:space="preserve">, </w:t>
      </w:r>
      <w:r w:rsidR="00491B79" w:rsidRPr="00A00187">
        <w:t xml:space="preserve">který plyne zejména </w:t>
      </w:r>
      <w:r w:rsidR="004802C7">
        <w:t xml:space="preserve">v důsledku </w:t>
      </w:r>
      <w:r w:rsidR="00491B79" w:rsidRPr="00A00187">
        <w:t>z</w:t>
      </w:r>
      <w:r w:rsidR="00310D82">
        <w:t> </w:t>
      </w:r>
      <w:r w:rsidR="00491B79" w:rsidRPr="00A00187">
        <w:t xml:space="preserve">poklesu </w:t>
      </w:r>
      <w:r w:rsidR="00755920" w:rsidRPr="00A00187">
        <w:t>u</w:t>
      </w:r>
      <w:r w:rsidR="00755920">
        <w:t> </w:t>
      </w:r>
      <w:r w:rsidR="00491B79" w:rsidRPr="00A00187">
        <w:t>KS v Ostravě.</w:t>
      </w:r>
    </w:p>
    <w:p w14:paraId="17BB9F62" w14:textId="095FA071" w:rsidR="00EC3536" w:rsidRPr="00A00187" w:rsidRDefault="00EC3536" w:rsidP="00FB26D6"/>
    <w:p w14:paraId="09D25363" w14:textId="7F9EAEFF" w:rsidR="00FB26D6" w:rsidRPr="00A00187" w:rsidRDefault="00FB26D6" w:rsidP="00FB26D6">
      <w:r w:rsidRPr="00A00187">
        <w:t xml:space="preserve">Prvostupňovou agendu vyřizuje </w:t>
      </w:r>
      <w:r w:rsidR="009A6919" w:rsidRPr="00A00187">
        <w:t>85</w:t>
      </w:r>
      <w:r w:rsidRPr="00A00187">
        <w:t xml:space="preserve"> soudců a odvolací agendu 149 soudců, vidíme tedy, že odvolací úsek je zhruba o dvě třetiny větší než úsek prvostupňový. Pokud oba počty soudců sečteme, dostaneme </w:t>
      </w:r>
      <w:r w:rsidR="009A6919" w:rsidRPr="00A00187">
        <w:t xml:space="preserve">v roce 2021 </w:t>
      </w:r>
      <w:r w:rsidRPr="00A00187">
        <w:t>číslo 2</w:t>
      </w:r>
      <w:r w:rsidR="009A6919" w:rsidRPr="00A00187">
        <w:t>34</w:t>
      </w:r>
      <w:r w:rsidRPr="00A00187">
        <w:t xml:space="preserve">, </w:t>
      </w:r>
      <w:r w:rsidR="00EC3536" w:rsidRPr="00A00187">
        <w:t xml:space="preserve">které </w:t>
      </w:r>
      <w:r w:rsidRPr="00A00187">
        <w:t xml:space="preserve">je prakticky shodné s evidenčním počtem soudců. Vidíme tedy, že na rozdíl od okresních soudů </w:t>
      </w:r>
      <w:r w:rsidR="00BE458D" w:rsidRPr="00A00187">
        <w:t xml:space="preserve">je </w:t>
      </w:r>
      <w:r w:rsidRPr="00A00187">
        <w:t xml:space="preserve">evidenční počet podobný jako „reálný“ počet soudců. Roli zde mimo jiné určitě budou hrát mateřské/rodičovské dovolené, kterých je u krajských soudů </w:t>
      </w:r>
      <w:r w:rsidRPr="00A00187">
        <w:lastRenderedPageBreak/>
        <w:t xml:space="preserve">výrazně méně. </w:t>
      </w:r>
      <w:r w:rsidR="00EC3536" w:rsidRPr="00A00187">
        <w:t xml:space="preserve">Vliv mohou mít </w:t>
      </w:r>
      <w:r w:rsidR="00755920" w:rsidRPr="00A00187">
        <w:t>i</w:t>
      </w:r>
      <w:r w:rsidR="00755920">
        <w:t> </w:t>
      </w:r>
      <w:r w:rsidRPr="00A00187">
        <w:t>stáž</w:t>
      </w:r>
      <w:r w:rsidR="00EC3536" w:rsidRPr="00A00187">
        <w:t>e</w:t>
      </w:r>
      <w:r w:rsidRPr="00A00187">
        <w:t xml:space="preserve"> </w:t>
      </w:r>
      <w:r w:rsidR="00BE458D" w:rsidRPr="00A00187">
        <w:t xml:space="preserve">soudců </w:t>
      </w:r>
      <w:r w:rsidRPr="00A00187">
        <w:t>z okresních soudů</w:t>
      </w:r>
      <w:r w:rsidR="00EC3536" w:rsidRPr="00A00187">
        <w:t>, které se do evidenčního počtu krajského soudu nepromítají</w:t>
      </w:r>
      <w:r w:rsidR="009C3280" w:rsidRPr="00A00187">
        <w:t>.</w:t>
      </w:r>
    </w:p>
    <w:p w14:paraId="53C74A62" w14:textId="0866604D" w:rsidR="00A47A03" w:rsidRPr="00A00187" w:rsidRDefault="008430BD" w:rsidP="008430BD">
      <w:pPr>
        <w:pStyle w:val="Nadpis3"/>
        <w:numPr>
          <w:ilvl w:val="2"/>
          <w:numId w:val="1"/>
        </w:numPr>
        <w:rPr>
          <w:color w:val="auto"/>
        </w:rPr>
      </w:pPr>
      <w:bookmarkStart w:id="836" w:name="_Toc106092773"/>
      <w:bookmarkStart w:id="837" w:name="_Toc109801384"/>
      <w:proofErr w:type="spellStart"/>
      <w:r w:rsidRPr="00A00187">
        <w:rPr>
          <w:color w:val="auto"/>
        </w:rPr>
        <w:t>Disposition</w:t>
      </w:r>
      <w:proofErr w:type="spellEnd"/>
      <w:r w:rsidRPr="00A00187">
        <w:rPr>
          <w:color w:val="auto"/>
        </w:rPr>
        <w:t xml:space="preserve"> </w:t>
      </w:r>
      <w:proofErr w:type="spellStart"/>
      <w:r w:rsidRPr="00A00187">
        <w:rPr>
          <w:color w:val="auto"/>
        </w:rPr>
        <w:t>time</w:t>
      </w:r>
      <w:bookmarkEnd w:id="835"/>
      <w:proofErr w:type="spellEnd"/>
      <w:r w:rsidRPr="00A00187">
        <w:rPr>
          <w:color w:val="auto"/>
        </w:rPr>
        <w:t xml:space="preserve"> (dispoziční čas)</w:t>
      </w:r>
      <w:bookmarkEnd w:id="836"/>
      <w:bookmarkEnd w:id="837"/>
    </w:p>
    <w:p w14:paraId="04EC0A1B" w14:textId="4ADF2012" w:rsidR="00AF4C7E" w:rsidRPr="00A00187" w:rsidRDefault="00AF4C7E" w:rsidP="00AF4C7E">
      <w:r w:rsidRPr="00A00187">
        <w:t>Z grafu je patrné, že DT je opravdu nízký a </w:t>
      </w:r>
      <w:r w:rsidR="00BD58A7" w:rsidRPr="00A00187">
        <w:t>z dlouhodobého hlediska</w:t>
      </w:r>
      <w:r w:rsidRPr="00A00187">
        <w:t> </w:t>
      </w:r>
      <w:r w:rsidR="00BD58A7" w:rsidRPr="00A00187">
        <w:t xml:space="preserve">poměrně </w:t>
      </w:r>
      <w:r w:rsidRPr="00A00187">
        <w:t xml:space="preserve">neměnný, což </w:t>
      </w:r>
      <w:r w:rsidR="00BD58A7" w:rsidRPr="00A00187">
        <w:t>vyplývá</w:t>
      </w:r>
      <w:r w:rsidRPr="00A00187">
        <w:t xml:space="preserve"> z poměru vyřízených a nevyřízených věcí a z toho, že jsou tyto ukazatele také poměrně neměnné. Vzhledem k poklesu nápadu</w:t>
      </w:r>
      <w:r w:rsidR="00913976" w:rsidRPr="00A00187">
        <w:t xml:space="preserve"> </w:t>
      </w:r>
      <w:r w:rsidRPr="00A00187">
        <w:t>a tedy i vyřízených věcí</w:t>
      </w:r>
      <w:r w:rsidR="00913976" w:rsidRPr="00A00187">
        <w:t xml:space="preserve"> i</w:t>
      </w:r>
      <w:r w:rsidRPr="00A00187">
        <w:t> mírnému růstu počtu nevyřízených věcí</w:t>
      </w:r>
      <w:r w:rsidR="00913976" w:rsidRPr="00A00187">
        <w:t>,</w:t>
      </w:r>
      <w:r w:rsidRPr="00A00187">
        <w:t xml:space="preserve"> </w:t>
      </w:r>
      <w:r w:rsidR="00BD58A7" w:rsidRPr="00A00187">
        <w:t>DT v roce 2020 vzrostl</w:t>
      </w:r>
      <w:r w:rsidRPr="00A00187">
        <w:t>. Nárůst čin</w:t>
      </w:r>
      <w:r w:rsidR="00BD58A7" w:rsidRPr="00A00187">
        <w:t>il</w:t>
      </w:r>
      <w:r w:rsidRPr="00A00187">
        <w:t xml:space="preserve"> 7 dnů, což ale představuje 29</w:t>
      </w:r>
      <w:r w:rsidR="00CB570A">
        <w:t> %</w:t>
      </w:r>
      <w:r w:rsidRPr="00A00187">
        <w:t>.</w:t>
      </w:r>
      <w:r w:rsidR="00BD58A7" w:rsidRPr="00A00187">
        <w:t xml:space="preserve"> Následně v roce 2021 DT opět </w:t>
      </w:r>
      <w:r w:rsidR="00755920" w:rsidRPr="00A00187">
        <w:t>o</w:t>
      </w:r>
      <w:r w:rsidR="00755920">
        <w:t> </w:t>
      </w:r>
      <w:r w:rsidR="00BD58A7" w:rsidRPr="00A00187">
        <w:t xml:space="preserve">něco klesl. Je možné, že DT opět klesne na úroveň před rokem 2020. </w:t>
      </w:r>
      <w:r w:rsidR="00EC3536" w:rsidRPr="00A00187">
        <w:t xml:space="preserve">Předpokládalo by to ale, že dojde </w:t>
      </w:r>
      <w:r w:rsidR="00E60CAE" w:rsidRPr="00A00187">
        <w:t xml:space="preserve">k trvalejšímu poklesu v počtu nevyřízených věcí či opětovnému nárůstu v počtu věcí vyřízených. </w:t>
      </w:r>
      <w:r w:rsidR="00C0776D" w:rsidRPr="00A00187">
        <w:t>Z</w:t>
      </w:r>
      <w:r w:rsidR="00E60CAE" w:rsidRPr="00A00187">
        <w:t xml:space="preserve"> reálného hlediska </w:t>
      </w:r>
      <w:r w:rsidR="00C0776D" w:rsidRPr="00A00187">
        <w:t xml:space="preserve">však </w:t>
      </w:r>
      <w:r w:rsidR="00E60CAE" w:rsidRPr="00A00187">
        <w:t xml:space="preserve">nejsou </w:t>
      </w:r>
      <w:r w:rsidR="00EC3536" w:rsidRPr="00A00187">
        <w:t xml:space="preserve">takto nevýznamné </w:t>
      </w:r>
      <w:r w:rsidR="00E60CAE" w:rsidRPr="00A00187">
        <w:t>statistické změn</w:t>
      </w:r>
      <w:r w:rsidR="00C0776D" w:rsidRPr="00A00187">
        <w:t>y</w:t>
      </w:r>
      <w:r w:rsidR="00E60CAE" w:rsidRPr="00A00187">
        <w:t xml:space="preserve"> důležité.</w:t>
      </w:r>
    </w:p>
    <w:p w14:paraId="6E4C6BC6" w14:textId="57FCD0DA" w:rsidR="00AF4C7E" w:rsidRPr="00A00187" w:rsidRDefault="00AF4C7E" w:rsidP="00AF4C7E">
      <w:pPr>
        <w:pStyle w:val="Podnadpis"/>
        <w:numPr>
          <w:ilvl w:val="0"/>
          <w:numId w:val="0"/>
        </w:numPr>
        <w:rPr>
          <w:color w:val="auto"/>
        </w:rPr>
      </w:pPr>
      <w:bookmarkStart w:id="838" w:name="_Toc515871396"/>
      <w:bookmarkStart w:id="839" w:name="_Toc11135127"/>
      <w:bookmarkStart w:id="840" w:name="_Toc43841446"/>
      <w:bookmarkStart w:id="841" w:name="_Toc75952248"/>
      <w:bookmarkStart w:id="842" w:name="_Toc106106707"/>
      <w:bookmarkStart w:id="843" w:name="_Toc109802031"/>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73</w:t>
      </w:r>
      <w:r w:rsidRPr="00A00187">
        <w:rPr>
          <w:noProof/>
          <w:color w:val="auto"/>
        </w:rPr>
        <w:fldChar w:fldCharType="end"/>
      </w:r>
      <w:r w:rsidRPr="00A00187">
        <w:rPr>
          <w:color w:val="auto"/>
        </w:rPr>
        <w:t>: KS – DT odvolacího trestního řízení v letech 2008–</w:t>
      </w:r>
      <w:bookmarkEnd w:id="838"/>
      <w:r w:rsidRPr="00A00187">
        <w:rPr>
          <w:color w:val="auto"/>
        </w:rPr>
        <w:t>20</w:t>
      </w:r>
      <w:bookmarkEnd w:id="839"/>
      <w:bookmarkEnd w:id="840"/>
      <w:r w:rsidRPr="00A00187">
        <w:rPr>
          <w:color w:val="auto"/>
        </w:rPr>
        <w:t>2</w:t>
      </w:r>
      <w:bookmarkEnd w:id="841"/>
      <w:r w:rsidRPr="00A00187">
        <w:rPr>
          <w:color w:val="auto"/>
        </w:rPr>
        <w:t>1</w:t>
      </w:r>
      <w:bookmarkEnd w:id="842"/>
      <w:bookmarkEnd w:id="843"/>
    </w:p>
    <w:p w14:paraId="212E34F6" w14:textId="77777777" w:rsidR="00E60CAE" w:rsidRPr="00A00187" w:rsidRDefault="00BD58A7">
      <w:pPr>
        <w:spacing w:after="160" w:line="259" w:lineRule="auto"/>
        <w:jc w:val="left"/>
      </w:pPr>
      <w:r w:rsidRPr="00A00187">
        <w:rPr>
          <w:noProof/>
        </w:rPr>
        <w:drawing>
          <wp:inline distT="0" distB="0" distL="0" distR="0" wp14:anchorId="6C5E8935" wp14:editId="33C79861">
            <wp:extent cx="5025390" cy="3657600"/>
            <wp:effectExtent l="0" t="0" r="381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4B289E7" w14:textId="472A7E97" w:rsidR="00E60CAE" w:rsidRPr="00A00187" w:rsidRDefault="00E60CAE" w:rsidP="00E60CAE">
      <w:pPr>
        <w:pStyle w:val="Podnadpis"/>
        <w:rPr>
          <w:color w:val="auto"/>
        </w:rPr>
      </w:pPr>
      <w:bookmarkStart w:id="844" w:name="_Toc11133256"/>
      <w:bookmarkStart w:id="845" w:name="_Toc43931235"/>
      <w:bookmarkStart w:id="846" w:name="_Toc75952368"/>
      <w:bookmarkStart w:id="847" w:name="_Toc106106823"/>
      <w:bookmarkStart w:id="848" w:name="_Toc109802146"/>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61</w:t>
      </w:r>
      <w:r w:rsidRPr="00A00187">
        <w:rPr>
          <w:noProof/>
          <w:color w:val="auto"/>
        </w:rPr>
        <w:fldChar w:fldCharType="end"/>
      </w:r>
      <w:r w:rsidRPr="00A00187">
        <w:rPr>
          <w:color w:val="auto"/>
        </w:rPr>
        <w:t>: KS – DT odvolacího trestního řízení dle soudů</w:t>
      </w:r>
      <w:bookmarkEnd w:id="844"/>
      <w:bookmarkEnd w:id="845"/>
      <w:bookmarkEnd w:id="846"/>
      <w:bookmarkEnd w:id="847"/>
      <w:bookmarkEnd w:id="848"/>
    </w:p>
    <w:tbl>
      <w:tblPr>
        <w:tblW w:w="5992" w:type="dxa"/>
        <w:tblCellMar>
          <w:left w:w="70" w:type="dxa"/>
          <w:right w:w="70" w:type="dxa"/>
        </w:tblCellMar>
        <w:tblLook w:val="04A0" w:firstRow="1" w:lastRow="0" w:firstColumn="1" w:lastColumn="0" w:noHBand="0" w:noVBand="1"/>
      </w:tblPr>
      <w:tblGrid>
        <w:gridCol w:w="2796"/>
        <w:gridCol w:w="1042"/>
        <w:gridCol w:w="2154"/>
      </w:tblGrid>
      <w:tr w:rsidR="00AC1E67" w:rsidRPr="00A00187" w14:paraId="228377E2" w14:textId="77777777" w:rsidTr="00E60CAE">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5D15FCC6" w14:textId="77777777" w:rsidR="00E60CAE" w:rsidRPr="00A00187" w:rsidRDefault="00E60CAE" w:rsidP="00E60CAE">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196" w:type="dxa"/>
            <w:gridSpan w:val="2"/>
            <w:tcBorders>
              <w:top w:val="double" w:sz="6" w:space="0" w:color="auto"/>
              <w:left w:val="nil"/>
              <w:bottom w:val="double" w:sz="6" w:space="0" w:color="auto"/>
              <w:right w:val="nil"/>
            </w:tcBorders>
            <w:shd w:val="clear" w:color="auto" w:fill="auto"/>
            <w:noWrap/>
            <w:vAlign w:val="center"/>
            <w:hideMark/>
          </w:tcPr>
          <w:p w14:paraId="2F8F2B78" w14:textId="77777777" w:rsidR="00E60CAE" w:rsidRPr="00A00187" w:rsidRDefault="00E60CAE" w:rsidP="00E60CAE">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0FC5B94C" w14:textId="77777777" w:rsidTr="00E60CAE">
        <w:trPr>
          <w:trHeight w:val="330"/>
        </w:trPr>
        <w:tc>
          <w:tcPr>
            <w:tcW w:w="2796" w:type="dxa"/>
            <w:tcBorders>
              <w:top w:val="nil"/>
              <w:left w:val="nil"/>
              <w:bottom w:val="single" w:sz="4" w:space="0" w:color="auto"/>
              <w:right w:val="nil"/>
            </w:tcBorders>
            <w:shd w:val="clear" w:color="auto" w:fill="auto"/>
            <w:noWrap/>
            <w:vAlign w:val="bottom"/>
            <w:hideMark/>
          </w:tcPr>
          <w:p w14:paraId="289AD20C"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MS Praha</w:t>
            </w:r>
          </w:p>
        </w:tc>
        <w:tc>
          <w:tcPr>
            <w:tcW w:w="1042" w:type="dxa"/>
            <w:tcBorders>
              <w:top w:val="nil"/>
              <w:left w:val="nil"/>
              <w:bottom w:val="single" w:sz="4" w:space="0" w:color="auto"/>
              <w:right w:val="nil"/>
            </w:tcBorders>
            <w:shd w:val="clear" w:color="auto" w:fill="auto"/>
            <w:noWrap/>
            <w:vAlign w:val="bottom"/>
            <w:hideMark/>
          </w:tcPr>
          <w:p w14:paraId="5678F1FF"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21</w:t>
            </w:r>
          </w:p>
        </w:tc>
        <w:tc>
          <w:tcPr>
            <w:tcW w:w="2154" w:type="dxa"/>
            <w:tcBorders>
              <w:top w:val="nil"/>
              <w:left w:val="nil"/>
              <w:bottom w:val="single" w:sz="4" w:space="0" w:color="auto"/>
              <w:right w:val="nil"/>
            </w:tcBorders>
            <w:shd w:val="clear" w:color="auto" w:fill="auto"/>
            <w:noWrap/>
            <w:vAlign w:val="center"/>
            <w:hideMark/>
          </w:tcPr>
          <w:p w14:paraId="78E8A318" w14:textId="1A6743AF"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5C894122" w14:textId="77777777" w:rsidTr="00E60CAE">
        <w:trPr>
          <w:trHeight w:val="315"/>
        </w:trPr>
        <w:tc>
          <w:tcPr>
            <w:tcW w:w="2796" w:type="dxa"/>
            <w:tcBorders>
              <w:top w:val="nil"/>
              <w:left w:val="nil"/>
              <w:bottom w:val="single" w:sz="4" w:space="0" w:color="auto"/>
              <w:right w:val="nil"/>
            </w:tcBorders>
            <w:shd w:val="clear" w:color="auto" w:fill="auto"/>
            <w:noWrap/>
            <w:vAlign w:val="bottom"/>
            <w:hideMark/>
          </w:tcPr>
          <w:p w14:paraId="2F62498A"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KS Praha</w:t>
            </w:r>
          </w:p>
        </w:tc>
        <w:tc>
          <w:tcPr>
            <w:tcW w:w="1042" w:type="dxa"/>
            <w:tcBorders>
              <w:top w:val="nil"/>
              <w:left w:val="nil"/>
              <w:bottom w:val="single" w:sz="4" w:space="0" w:color="auto"/>
              <w:right w:val="nil"/>
            </w:tcBorders>
            <w:shd w:val="clear" w:color="auto" w:fill="auto"/>
            <w:noWrap/>
            <w:vAlign w:val="bottom"/>
            <w:hideMark/>
          </w:tcPr>
          <w:p w14:paraId="68ABFE0F"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6</w:t>
            </w:r>
          </w:p>
        </w:tc>
        <w:tc>
          <w:tcPr>
            <w:tcW w:w="2154" w:type="dxa"/>
            <w:tcBorders>
              <w:top w:val="nil"/>
              <w:left w:val="nil"/>
              <w:bottom w:val="single" w:sz="4" w:space="0" w:color="auto"/>
              <w:right w:val="nil"/>
            </w:tcBorders>
            <w:shd w:val="clear" w:color="auto" w:fill="auto"/>
            <w:noWrap/>
            <w:vAlign w:val="center"/>
            <w:hideMark/>
          </w:tcPr>
          <w:p w14:paraId="293E77DE" w14:textId="069C6206"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-30</w:t>
            </w:r>
            <w:r w:rsidR="00CB570A">
              <w:rPr>
                <w:rFonts w:eastAsia="Times New Roman"/>
                <w:sz w:val="20"/>
                <w:szCs w:val="20"/>
                <w:lang w:eastAsia="cs-CZ"/>
              </w:rPr>
              <w:t> %</w:t>
            </w:r>
          </w:p>
        </w:tc>
      </w:tr>
      <w:tr w:rsidR="00AC1E67" w:rsidRPr="00A00187" w14:paraId="2B663DD4" w14:textId="77777777" w:rsidTr="00E60CAE">
        <w:trPr>
          <w:trHeight w:val="315"/>
        </w:trPr>
        <w:tc>
          <w:tcPr>
            <w:tcW w:w="2796" w:type="dxa"/>
            <w:tcBorders>
              <w:top w:val="nil"/>
              <w:left w:val="nil"/>
              <w:bottom w:val="single" w:sz="4" w:space="0" w:color="auto"/>
              <w:right w:val="nil"/>
            </w:tcBorders>
            <w:shd w:val="clear" w:color="auto" w:fill="auto"/>
            <w:noWrap/>
            <w:vAlign w:val="bottom"/>
            <w:hideMark/>
          </w:tcPr>
          <w:p w14:paraId="1894AC1E"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KS Č. Budějovice</w:t>
            </w:r>
          </w:p>
        </w:tc>
        <w:tc>
          <w:tcPr>
            <w:tcW w:w="1042" w:type="dxa"/>
            <w:tcBorders>
              <w:top w:val="nil"/>
              <w:left w:val="nil"/>
              <w:bottom w:val="single" w:sz="4" w:space="0" w:color="auto"/>
              <w:right w:val="nil"/>
            </w:tcBorders>
            <w:shd w:val="clear" w:color="auto" w:fill="auto"/>
            <w:noWrap/>
            <w:vAlign w:val="bottom"/>
            <w:hideMark/>
          </w:tcPr>
          <w:p w14:paraId="1A9BAA8E"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37</w:t>
            </w:r>
          </w:p>
        </w:tc>
        <w:tc>
          <w:tcPr>
            <w:tcW w:w="2154" w:type="dxa"/>
            <w:tcBorders>
              <w:top w:val="nil"/>
              <w:left w:val="nil"/>
              <w:bottom w:val="single" w:sz="4" w:space="0" w:color="auto"/>
              <w:right w:val="nil"/>
            </w:tcBorders>
            <w:shd w:val="clear" w:color="auto" w:fill="auto"/>
            <w:noWrap/>
            <w:vAlign w:val="center"/>
            <w:hideMark/>
          </w:tcPr>
          <w:p w14:paraId="60EAD124" w14:textId="386944AA"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-28</w:t>
            </w:r>
            <w:r w:rsidR="00CB570A">
              <w:rPr>
                <w:rFonts w:eastAsia="Times New Roman"/>
                <w:sz w:val="20"/>
                <w:szCs w:val="20"/>
                <w:lang w:eastAsia="cs-CZ"/>
              </w:rPr>
              <w:t> %</w:t>
            </w:r>
          </w:p>
        </w:tc>
      </w:tr>
      <w:tr w:rsidR="00AC1E67" w:rsidRPr="00A00187" w14:paraId="5572C7BE" w14:textId="77777777" w:rsidTr="00E60CAE">
        <w:trPr>
          <w:trHeight w:val="315"/>
        </w:trPr>
        <w:tc>
          <w:tcPr>
            <w:tcW w:w="2796" w:type="dxa"/>
            <w:tcBorders>
              <w:top w:val="nil"/>
              <w:left w:val="nil"/>
              <w:bottom w:val="single" w:sz="4" w:space="0" w:color="auto"/>
              <w:right w:val="nil"/>
            </w:tcBorders>
            <w:shd w:val="clear" w:color="auto" w:fill="auto"/>
            <w:noWrap/>
            <w:vAlign w:val="bottom"/>
            <w:hideMark/>
          </w:tcPr>
          <w:p w14:paraId="0C5EA923"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KS Plzeň</w:t>
            </w:r>
          </w:p>
        </w:tc>
        <w:tc>
          <w:tcPr>
            <w:tcW w:w="1042" w:type="dxa"/>
            <w:tcBorders>
              <w:top w:val="nil"/>
              <w:left w:val="nil"/>
              <w:bottom w:val="single" w:sz="4" w:space="0" w:color="auto"/>
              <w:right w:val="nil"/>
            </w:tcBorders>
            <w:shd w:val="clear" w:color="auto" w:fill="auto"/>
            <w:noWrap/>
            <w:vAlign w:val="bottom"/>
            <w:hideMark/>
          </w:tcPr>
          <w:p w14:paraId="268B6342"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34</w:t>
            </w:r>
          </w:p>
        </w:tc>
        <w:tc>
          <w:tcPr>
            <w:tcW w:w="2154" w:type="dxa"/>
            <w:tcBorders>
              <w:top w:val="nil"/>
              <w:left w:val="nil"/>
              <w:bottom w:val="single" w:sz="4" w:space="0" w:color="auto"/>
              <w:right w:val="nil"/>
            </w:tcBorders>
            <w:shd w:val="clear" w:color="auto" w:fill="auto"/>
            <w:noWrap/>
            <w:vAlign w:val="center"/>
            <w:hideMark/>
          </w:tcPr>
          <w:p w14:paraId="4C6B8FA7" w14:textId="397C0859"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r>
      <w:tr w:rsidR="00AC1E67" w:rsidRPr="00A00187" w14:paraId="66C834E5" w14:textId="77777777" w:rsidTr="00E60CAE">
        <w:trPr>
          <w:trHeight w:val="315"/>
        </w:trPr>
        <w:tc>
          <w:tcPr>
            <w:tcW w:w="2796" w:type="dxa"/>
            <w:tcBorders>
              <w:top w:val="nil"/>
              <w:left w:val="nil"/>
              <w:bottom w:val="single" w:sz="4" w:space="0" w:color="auto"/>
              <w:right w:val="nil"/>
            </w:tcBorders>
            <w:shd w:val="clear" w:color="auto" w:fill="auto"/>
            <w:noWrap/>
            <w:vAlign w:val="bottom"/>
            <w:hideMark/>
          </w:tcPr>
          <w:p w14:paraId="2F65A834"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KS Ústí n. Labem</w:t>
            </w:r>
          </w:p>
        </w:tc>
        <w:tc>
          <w:tcPr>
            <w:tcW w:w="1042" w:type="dxa"/>
            <w:tcBorders>
              <w:top w:val="nil"/>
              <w:left w:val="nil"/>
              <w:bottom w:val="single" w:sz="4" w:space="0" w:color="auto"/>
              <w:right w:val="nil"/>
            </w:tcBorders>
            <w:shd w:val="clear" w:color="auto" w:fill="auto"/>
            <w:noWrap/>
            <w:vAlign w:val="bottom"/>
            <w:hideMark/>
          </w:tcPr>
          <w:p w14:paraId="69F2A71C"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43</w:t>
            </w:r>
          </w:p>
        </w:tc>
        <w:tc>
          <w:tcPr>
            <w:tcW w:w="2154" w:type="dxa"/>
            <w:tcBorders>
              <w:top w:val="nil"/>
              <w:left w:val="nil"/>
              <w:bottom w:val="single" w:sz="4" w:space="0" w:color="auto"/>
              <w:right w:val="nil"/>
            </w:tcBorders>
            <w:shd w:val="clear" w:color="auto" w:fill="auto"/>
            <w:noWrap/>
            <w:vAlign w:val="center"/>
            <w:hideMark/>
          </w:tcPr>
          <w:p w14:paraId="1D01BD4F" w14:textId="665908F5"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62F08AEC" w14:textId="77777777" w:rsidTr="00E60CAE">
        <w:trPr>
          <w:trHeight w:val="315"/>
        </w:trPr>
        <w:tc>
          <w:tcPr>
            <w:tcW w:w="2796" w:type="dxa"/>
            <w:tcBorders>
              <w:top w:val="nil"/>
              <w:left w:val="nil"/>
              <w:bottom w:val="single" w:sz="4" w:space="0" w:color="auto"/>
              <w:right w:val="nil"/>
            </w:tcBorders>
            <w:shd w:val="clear" w:color="auto" w:fill="auto"/>
            <w:noWrap/>
            <w:vAlign w:val="bottom"/>
            <w:hideMark/>
          </w:tcPr>
          <w:p w14:paraId="29A2340C"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KS Hr. Králové</w:t>
            </w:r>
          </w:p>
        </w:tc>
        <w:tc>
          <w:tcPr>
            <w:tcW w:w="1042" w:type="dxa"/>
            <w:tcBorders>
              <w:top w:val="nil"/>
              <w:left w:val="nil"/>
              <w:bottom w:val="single" w:sz="4" w:space="0" w:color="auto"/>
              <w:right w:val="nil"/>
            </w:tcBorders>
            <w:shd w:val="clear" w:color="auto" w:fill="auto"/>
            <w:noWrap/>
            <w:vAlign w:val="bottom"/>
            <w:hideMark/>
          </w:tcPr>
          <w:p w14:paraId="4EB377B1"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17</w:t>
            </w:r>
          </w:p>
        </w:tc>
        <w:tc>
          <w:tcPr>
            <w:tcW w:w="2154" w:type="dxa"/>
            <w:tcBorders>
              <w:top w:val="nil"/>
              <w:left w:val="nil"/>
              <w:bottom w:val="single" w:sz="4" w:space="0" w:color="auto"/>
              <w:right w:val="nil"/>
            </w:tcBorders>
            <w:shd w:val="clear" w:color="auto" w:fill="auto"/>
            <w:noWrap/>
            <w:vAlign w:val="center"/>
            <w:hideMark/>
          </w:tcPr>
          <w:p w14:paraId="56039824" w14:textId="00B99BEA"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6B1E9113" w14:textId="77777777" w:rsidTr="00E60CAE">
        <w:trPr>
          <w:trHeight w:val="315"/>
        </w:trPr>
        <w:tc>
          <w:tcPr>
            <w:tcW w:w="2796" w:type="dxa"/>
            <w:tcBorders>
              <w:top w:val="nil"/>
              <w:left w:val="nil"/>
              <w:bottom w:val="single" w:sz="4" w:space="0" w:color="auto"/>
              <w:right w:val="nil"/>
            </w:tcBorders>
            <w:shd w:val="clear" w:color="auto" w:fill="auto"/>
            <w:noWrap/>
            <w:vAlign w:val="bottom"/>
            <w:hideMark/>
          </w:tcPr>
          <w:p w14:paraId="410E6483"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KS Brno</w:t>
            </w:r>
          </w:p>
        </w:tc>
        <w:tc>
          <w:tcPr>
            <w:tcW w:w="1042" w:type="dxa"/>
            <w:tcBorders>
              <w:top w:val="nil"/>
              <w:left w:val="nil"/>
              <w:bottom w:val="single" w:sz="4" w:space="0" w:color="auto"/>
              <w:right w:val="nil"/>
            </w:tcBorders>
            <w:shd w:val="clear" w:color="auto" w:fill="auto"/>
            <w:noWrap/>
            <w:vAlign w:val="bottom"/>
            <w:hideMark/>
          </w:tcPr>
          <w:p w14:paraId="6032DB31"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31</w:t>
            </w:r>
          </w:p>
        </w:tc>
        <w:tc>
          <w:tcPr>
            <w:tcW w:w="2154" w:type="dxa"/>
            <w:tcBorders>
              <w:top w:val="nil"/>
              <w:left w:val="nil"/>
              <w:bottom w:val="single" w:sz="4" w:space="0" w:color="auto"/>
              <w:right w:val="nil"/>
            </w:tcBorders>
            <w:shd w:val="clear" w:color="auto" w:fill="auto"/>
            <w:noWrap/>
            <w:vAlign w:val="center"/>
            <w:hideMark/>
          </w:tcPr>
          <w:p w14:paraId="1A0FCC55" w14:textId="6B9F0B9D"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2F78EC21" w14:textId="77777777" w:rsidTr="00E60CAE">
        <w:trPr>
          <w:trHeight w:val="330"/>
        </w:trPr>
        <w:tc>
          <w:tcPr>
            <w:tcW w:w="2796" w:type="dxa"/>
            <w:tcBorders>
              <w:top w:val="nil"/>
              <w:left w:val="nil"/>
              <w:bottom w:val="double" w:sz="6" w:space="0" w:color="auto"/>
              <w:right w:val="nil"/>
            </w:tcBorders>
            <w:shd w:val="clear" w:color="auto" w:fill="auto"/>
            <w:noWrap/>
            <w:vAlign w:val="bottom"/>
            <w:hideMark/>
          </w:tcPr>
          <w:p w14:paraId="0EB06896" w14:textId="77777777" w:rsidR="00E60CAE" w:rsidRPr="00A00187" w:rsidRDefault="00E60CAE" w:rsidP="00E60CAE">
            <w:pPr>
              <w:spacing w:line="240" w:lineRule="auto"/>
              <w:jc w:val="left"/>
              <w:rPr>
                <w:rFonts w:eastAsia="Times New Roman"/>
                <w:szCs w:val="24"/>
                <w:lang w:eastAsia="cs-CZ"/>
              </w:rPr>
            </w:pPr>
            <w:r w:rsidRPr="00A00187">
              <w:rPr>
                <w:rFonts w:eastAsia="Times New Roman"/>
                <w:szCs w:val="24"/>
                <w:lang w:eastAsia="cs-CZ"/>
              </w:rPr>
              <w:t>KS Ostrava</w:t>
            </w:r>
          </w:p>
        </w:tc>
        <w:tc>
          <w:tcPr>
            <w:tcW w:w="1042" w:type="dxa"/>
            <w:tcBorders>
              <w:top w:val="nil"/>
              <w:left w:val="nil"/>
              <w:bottom w:val="double" w:sz="6" w:space="0" w:color="auto"/>
              <w:right w:val="nil"/>
            </w:tcBorders>
            <w:shd w:val="clear" w:color="auto" w:fill="auto"/>
            <w:noWrap/>
            <w:vAlign w:val="bottom"/>
            <w:hideMark/>
          </w:tcPr>
          <w:p w14:paraId="20A8FE83" w14:textId="77777777" w:rsidR="00E60CAE" w:rsidRPr="00A00187" w:rsidRDefault="00E60CAE" w:rsidP="00E60CAE">
            <w:pPr>
              <w:spacing w:line="240" w:lineRule="auto"/>
              <w:jc w:val="center"/>
              <w:rPr>
                <w:rFonts w:eastAsia="Times New Roman"/>
                <w:szCs w:val="24"/>
                <w:lang w:eastAsia="cs-CZ"/>
              </w:rPr>
            </w:pPr>
            <w:r w:rsidRPr="00A00187">
              <w:rPr>
                <w:rFonts w:eastAsia="Times New Roman"/>
                <w:szCs w:val="24"/>
                <w:lang w:eastAsia="cs-CZ"/>
              </w:rPr>
              <w:t>38</w:t>
            </w:r>
          </w:p>
        </w:tc>
        <w:tc>
          <w:tcPr>
            <w:tcW w:w="2154" w:type="dxa"/>
            <w:tcBorders>
              <w:top w:val="nil"/>
              <w:left w:val="nil"/>
              <w:bottom w:val="double" w:sz="6" w:space="0" w:color="auto"/>
              <w:right w:val="nil"/>
            </w:tcBorders>
            <w:shd w:val="clear" w:color="auto" w:fill="auto"/>
            <w:noWrap/>
            <w:vAlign w:val="center"/>
            <w:hideMark/>
          </w:tcPr>
          <w:p w14:paraId="0E38AE07" w14:textId="4F8D7B4C" w:rsidR="00E60CAE" w:rsidRPr="00A00187" w:rsidRDefault="00E60CAE"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r>
      <w:tr w:rsidR="00AC1E67" w:rsidRPr="00A00187" w14:paraId="5D421F12" w14:textId="77777777" w:rsidTr="00E60CAE">
        <w:trPr>
          <w:trHeight w:val="345"/>
        </w:trPr>
        <w:tc>
          <w:tcPr>
            <w:tcW w:w="2796" w:type="dxa"/>
            <w:tcBorders>
              <w:top w:val="nil"/>
              <w:left w:val="nil"/>
              <w:bottom w:val="double" w:sz="6" w:space="0" w:color="auto"/>
              <w:right w:val="nil"/>
            </w:tcBorders>
            <w:shd w:val="clear" w:color="auto" w:fill="auto"/>
            <w:noWrap/>
            <w:vAlign w:val="bottom"/>
            <w:hideMark/>
          </w:tcPr>
          <w:p w14:paraId="4D07808F" w14:textId="77777777" w:rsidR="00E60CAE" w:rsidRPr="00A00187" w:rsidRDefault="00E60CAE" w:rsidP="00E60CAE">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42" w:type="dxa"/>
            <w:tcBorders>
              <w:top w:val="nil"/>
              <w:left w:val="nil"/>
              <w:bottom w:val="double" w:sz="6" w:space="0" w:color="auto"/>
              <w:right w:val="nil"/>
            </w:tcBorders>
            <w:shd w:val="clear" w:color="auto" w:fill="auto"/>
            <w:noWrap/>
            <w:vAlign w:val="bottom"/>
            <w:hideMark/>
          </w:tcPr>
          <w:p w14:paraId="33DBCE3C" w14:textId="77777777" w:rsidR="00E60CAE" w:rsidRPr="00A00187" w:rsidRDefault="00E60CAE" w:rsidP="00E60CAE">
            <w:pPr>
              <w:spacing w:line="240" w:lineRule="auto"/>
              <w:jc w:val="center"/>
              <w:rPr>
                <w:rFonts w:eastAsia="Times New Roman"/>
                <w:b/>
                <w:bCs/>
                <w:szCs w:val="24"/>
                <w:lang w:eastAsia="cs-CZ"/>
              </w:rPr>
            </w:pPr>
            <w:r w:rsidRPr="00A00187">
              <w:rPr>
                <w:rFonts w:eastAsia="Times New Roman"/>
                <w:b/>
                <w:bCs/>
                <w:szCs w:val="24"/>
                <w:lang w:eastAsia="cs-CZ"/>
              </w:rPr>
              <w:t>28</w:t>
            </w:r>
          </w:p>
        </w:tc>
        <w:tc>
          <w:tcPr>
            <w:tcW w:w="2154" w:type="dxa"/>
            <w:tcBorders>
              <w:top w:val="nil"/>
              <w:left w:val="nil"/>
              <w:bottom w:val="double" w:sz="6" w:space="0" w:color="auto"/>
              <w:right w:val="nil"/>
            </w:tcBorders>
            <w:shd w:val="clear" w:color="auto" w:fill="auto"/>
            <w:noWrap/>
            <w:vAlign w:val="center"/>
            <w:hideMark/>
          </w:tcPr>
          <w:p w14:paraId="128396F0" w14:textId="01C00255" w:rsidR="00E60CAE" w:rsidRPr="00A00187" w:rsidRDefault="00E60CA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-8</w:t>
            </w:r>
            <w:r w:rsidR="00CB570A">
              <w:rPr>
                <w:rFonts w:eastAsia="Times New Roman"/>
                <w:b/>
                <w:bCs/>
                <w:sz w:val="20"/>
                <w:szCs w:val="20"/>
                <w:lang w:eastAsia="cs-CZ"/>
              </w:rPr>
              <w:t> %</w:t>
            </w:r>
          </w:p>
        </w:tc>
      </w:tr>
      <w:tr w:rsidR="00AC1E67" w:rsidRPr="00A00187" w14:paraId="6B883841" w14:textId="77777777" w:rsidTr="00E60CAE">
        <w:trPr>
          <w:trHeight w:val="330"/>
        </w:trPr>
        <w:tc>
          <w:tcPr>
            <w:tcW w:w="2796" w:type="dxa"/>
            <w:tcBorders>
              <w:top w:val="nil"/>
              <w:left w:val="nil"/>
              <w:bottom w:val="nil"/>
              <w:right w:val="nil"/>
            </w:tcBorders>
            <w:shd w:val="clear" w:color="auto" w:fill="auto"/>
            <w:noWrap/>
            <w:vAlign w:val="bottom"/>
            <w:hideMark/>
          </w:tcPr>
          <w:p w14:paraId="4CAEE3FC" w14:textId="77777777" w:rsidR="00E60CAE" w:rsidRPr="00A00187" w:rsidRDefault="00E60CAE" w:rsidP="00E60CAE">
            <w:pPr>
              <w:spacing w:line="240" w:lineRule="auto"/>
              <w:jc w:val="center"/>
              <w:rPr>
                <w:rFonts w:eastAsia="Times New Roman"/>
                <w:b/>
                <w:bCs/>
                <w:sz w:val="20"/>
                <w:szCs w:val="20"/>
                <w:lang w:eastAsia="cs-CZ"/>
              </w:rPr>
            </w:pPr>
          </w:p>
        </w:tc>
        <w:tc>
          <w:tcPr>
            <w:tcW w:w="1042" w:type="dxa"/>
            <w:tcBorders>
              <w:top w:val="nil"/>
              <w:left w:val="nil"/>
              <w:bottom w:val="nil"/>
              <w:right w:val="nil"/>
            </w:tcBorders>
            <w:shd w:val="clear" w:color="auto" w:fill="auto"/>
            <w:noWrap/>
            <w:vAlign w:val="bottom"/>
            <w:hideMark/>
          </w:tcPr>
          <w:p w14:paraId="6C6D0A58" w14:textId="77777777" w:rsidR="00E60CAE" w:rsidRPr="00A00187" w:rsidRDefault="00E60CAE" w:rsidP="00E60CAE">
            <w:pPr>
              <w:spacing w:line="240" w:lineRule="auto"/>
              <w:jc w:val="left"/>
              <w:rPr>
                <w:rFonts w:ascii="Times New Roman" w:eastAsia="Times New Roman" w:hAnsi="Times New Roman"/>
                <w:sz w:val="20"/>
                <w:szCs w:val="20"/>
                <w:lang w:eastAsia="cs-CZ"/>
              </w:rPr>
            </w:pPr>
          </w:p>
        </w:tc>
        <w:tc>
          <w:tcPr>
            <w:tcW w:w="2154" w:type="dxa"/>
            <w:tcBorders>
              <w:top w:val="nil"/>
              <w:left w:val="nil"/>
              <w:bottom w:val="nil"/>
              <w:right w:val="nil"/>
            </w:tcBorders>
            <w:shd w:val="clear" w:color="auto" w:fill="auto"/>
            <w:noWrap/>
            <w:vAlign w:val="bottom"/>
            <w:hideMark/>
          </w:tcPr>
          <w:p w14:paraId="2E32BCF8" w14:textId="77777777" w:rsidR="00E60CAE" w:rsidRPr="00A00187" w:rsidRDefault="00E60CAE" w:rsidP="00E60CAE">
            <w:pPr>
              <w:spacing w:line="240" w:lineRule="auto"/>
              <w:jc w:val="left"/>
              <w:rPr>
                <w:rFonts w:ascii="Times New Roman" w:eastAsia="Times New Roman" w:hAnsi="Times New Roman"/>
                <w:sz w:val="20"/>
                <w:szCs w:val="20"/>
                <w:lang w:eastAsia="cs-CZ"/>
              </w:rPr>
            </w:pPr>
          </w:p>
        </w:tc>
      </w:tr>
    </w:tbl>
    <w:p w14:paraId="07E76464" w14:textId="33B81C56" w:rsidR="00E60CAE" w:rsidRPr="00A00187" w:rsidRDefault="00E60CAE" w:rsidP="00E60CAE">
      <w:pPr>
        <w:pStyle w:val="OdstavecASR"/>
      </w:pPr>
      <w:r w:rsidRPr="00A00187">
        <w:t xml:space="preserve">V tabulce vidíme, že relativní změny jsou u některých soudů </w:t>
      </w:r>
      <w:r w:rsidR="00EC3536" w:rsidRPr="00A00187">
        <w:t xml:space="preserve">poměrně významné </w:t>
      </w:r>
      <w:r w:rsidRPr="00A00187">
        <w:t>(o</w:t>
      </w:r>
      <w:r w:rsidR="00641DB9">
        <w:t> </w:t>
      </w:r>
      <w:r w:rsidRPr="00A00187">
        <w:t>desítky procent). Absolutní změny jsou ale opět malé. Výsledky v této podkapitole korespondují s výsledky z podkapitol </w:t>
      </w:r>
      <w:r w:rsidRPr="00A00187">
        <w:fldChar w:fldCharType="begin"/>
      </w:r>
      <w:r w:rsidRPr="00A00187">
        <w:instrText xml:space="preserve"> REF _Ref511391169 \r \h  \* MERGEFORMAT </w:instrText>
      </w:r>
      <w:r w:rsidRPr="00A00187">
        <w:fldChar w:fldCharType="separate"/>
      </w:r>
      <w:r w:rsidR="00DE6B5E">
        <w:t>3.5.1</w:t>
      </w:r>
      <w:r w:rsidRPr="00A00187">
        <w:fldChar w:fldCharType="end"/>
      </w:r>
      <w:r w:rsidRPr="00A00187">
        <w:t xml:space="preserve"> a </w:t>
      </w:r>
      <w:r w:rsidRPr="00A00187">
        <w:fldChar w:fldCharType="begin"/>
      </w:r>
      <w:r w:rsidRPr="00A00187">
        <w:instrText xml:space="preserve"> REF _Ref40897302 \r \h </w:instrText>
      </w:r>
      <w:r w:rsidR="00A00187">
        <w:instrText xml:space="preserve"> \* MERGEFORMAT </w:instrText>
      </w:r>
      <w:r w:rsidRPr="00A00187">
        <w:fldChar w:fldCharType="separate"/>
      </w:r>
      <w:r w:rsidR="00DE6B5E">
        <w:t>3.5.2</w:t>
      </w:r>
      <w:r w:rsidRPr="00A00187">
        <w:fldChar w:fldCharType="end"/>
      </w:r>
      <w:r w:rsidRPr="00A00187">
        <w:t>. Agenda je</w:t>
      </w:r>
      <w:r w:rsidR="00DB200B" w:rsidRPr="00A00187">
        <w:t xml:space="preserve"> </w:t>
      </w:r>
      <w:r w:rsidRPr="00A00187">
        <w:t>ze statistického hlediska na vyřizování v zásadě bezproblémová a lze očekávat, že v příštích letech se opět ustálí.</w:t>
      </w:r>
    </w:p>
    <w:p w14:paraId="6AB767A6" w14:textId="0AD825C9" w:rsidR="00A47A03" w:rsidRPr="00A00187" w:rsidRDefault="00A47A03">
      <w:pPr>
        <w:spacing w:after="160" w:line="259" w:lineRule="auto"/>
        <w:jc w:val="left"/>
        <w:rPr>
          <w:rFonts w:eastAsia="Times New Roman"/>
          <w:b/>
          <w:bCs/>
        </w:rPr>
      </w:pPr>
      <w:r w:rsidRPr="00A00187">
        <w:br w:type="page"/>
      </w:r>
    </w:p>
    <w:p w14:paraId="4C3CFCB6" w14:textId="56F7AC62" w:rsidR="008430BD" w:rsidRPr="00A00187" w:rsidRDefault="008430BD" w:rsidP="008430BD">
      <w:pPr>
        <w:pStyle w:val="Nadpis2"/>
        <w:numPr>
          <w:ilvl w:val="1"/>
          <w:numId w:val="1"/>
        </w:numPr>
        <w:spacing w:before="120"/>
        <w:rPr>
          <w:color w:val="auto"/>
        </w:rPr>
      </w:pPr>
      <w:bookmarkStart w:id="849" w:name="_Toc515871266"/>
      <w:bookmarkStart w:id="850" w:name="_Ref70586663"/>
      <w:bookmarkStart w:id="851" w:name="_Toc106092774"/>
      <w:bookmarkStart w:id="852" w:name="_Toc109801385"/>
      <w:r w:rsidRPr="00A00187">
        <w:rPr>
          <w:color w:val="auto"/>
        </w:rPr>
        <w:lastRenderedPageBreak/>
        <w:t>Správní agenda</w:t>
      </w:r>
      <w:bookmarkEnd w:id="849"/>
      <w:bookmarkEnd w:id="850"/>
      <w:bookmarkEnd w:id="851"/>
      <w:bookmarkEnd w:id="852"/>
    </w:p>
    <w:p w14:paraId="7FFDBC32" w14:textId="45D42A6A" w:rsidR="00DB200B" w:rsidRPr="00A00187" w:rsidRDefault="00DB200B" w:rsidP="00DB200B">
      <w:pPr>
        <w:pStyle w:val="OdstavecASR"/>
      </w:pPr>
      <w:r w:rsidRPr="00A00187">
        <w:t xml:space="preserve">Správní agenda krajských soudů zahrnuje rejstříky A (všeobecná správní agenda), </w:t>
      </w:r>
      <w:proofErr w:type="spellStart"/>
      <w:r w:rsidRPr="00A00187">
        <w:t>Af</w:t>
      </w:r>
      <w:proofErr w:type="spellEnd"/>
      <w:r w:rsidRPr="00A00187">
        <w:t xml:space="preserve"> (agenda ve věcech finanční správy), Ad (sociální a důchodová agenda) a </w:t>
      </w:r>
      <w:proofErr w:type="spellStart"/>
      <w:r w:rsidRPr="00A00187">
        <w:t>Az</w:t>
      </w:r>
      <w:proofErr w:type="spellEnd"/>
      <w:r w:rsidRPr="00A00187">
        <w:t xml:space="preserve"> (azylová agenda). V roce 2010 došlo ke změně ve vykazování. Do roku 2009 totiž správní agenda zahrnovala rejstříky </w:t>
      </w:r>
      <w:proofErr w:type="spellStart"/>
      <w:r w:rsidRPr="00A00187">
        <w:t>Az</w:t>
      </w:r>
      <w:proofErr w:type="spellEnd"/>
      <w:r w:rsidRPr="00A00187">
        <w:t>, Ca a </w:t>
      </w:r>
      <w:proofErr w:type="spellStart"/>
      <w:r w:rsidRPr="00A00187">
        <w:t>Cad</w:t>
      </w:r>
      <w:proofErr w:type="spellEnd"/>
      <w:r w:rsidRPr="00A00187">
        <w:t>. K žádným dalším změnám ve vedení statistik nedošlo. V roce 2012 došlo ke změně v příslušnosti správních soudů, která do určité míry ulevila Městskému soudu v Praze.</w:t>
      </w:r>
      <w:r w:rsidR="00826107" w:rsidRPr="00A00187">
        <w:t xml:space="preserve"> Tento soud totiž byl na správním úseku dlouhodobě přetížený.</w:t>
      </w:r>
    </w:p>
    <w:p w14:paraId="527DB0FD" w14:textId="79BDB71C" w:rsidR="008430BD" w:rsidRPr="00A00187" w:rsidRDefault="008430BD" w:rsidP="008430BD">
      <w:pPr>
        <w:pStyle w:val="Nadpis3"/>
        <w:numPr>
          <w:ilvl w:val="2"/>
          <w:numId w:val="1"/>
        </w:numPr>
        <w:rPr>
          <w:color w:val="auto"/>
        </w:rPr>
      </w:pPr>
      <w:bookmarkStart w:id="853" w:name="_Toc43903076"/>
      <w:bookmarkStart w:id="854" w:name="_Toc106092775"/>
      <w:bookmarkStart w:id="855" w:name="_Toc109801386"/>
      <w:r w:rsidRPr="00A00187">
        <w:rPr>
          <w:color w:val="auto"/>
        </w:rPr>
        <w:t>Délka řízení</w:t>
      </w:r>
      <w:bookmarkEnd w:id="853"/>
      <w:bookmarkEnd w:id="854"/>
      <w:bookmarkEnd w:id="855"/>
    </w:p>
    <w:p w14:paraId="2BD35943" w14:textId="681F6AF6" w:rsidR="00DB200B" w:rsidRPr="00A00187" w:rsidRDefault="00DB200B" w:rsidP="00DB200B">
      <w:pPr>
        <w:pStyle w:val="OdstavecASR"/>
      </w:pPr>
      <w:r w:rsidRPr="00A00187">
        <w:t>Z</w:t>
      </w:r>
      <w:r w:rsidR="00314BD2">
        <w:t> </w:t>
      </w:r>
      <w:r w:rsidRPr="00A00187">
        <w:t>grafu</w:t>
      </w:r>
      <w:r w:rsidR="00314BD2">
        <w:t xml:space="preserve"> </w:t>
      </w:r>
      <w:r w:rsidRPr="00A00187">
        <w:t xml:space="preserve">vyplývá, že délka řízení vykazovala až do roku 2014 (respektive 2015) jasný stoupající trend. Ten byl způsoben především tím, že správní úseky soudů byly značně </w:t>
      </w:r>
      <w:r w:rsidR="00C0776D" w:rsidRPr="00A00187">
        <w:t>přetížené,</w:t>
      </w:r>
      <w:r w:rsidR="00BA69C7" w:rsidRPr="00A00187">
        <w:t xml:space="preserve"> </w:t>
      </w:r>
      <w:r w:rsidRPr="00A00187">
        <w:t xml:space="preserve">a soudy, především pak MS Praha, </w:t>
      </w:r>
      <w:r w:rsidR="00C0776D" w:rsidRPr="00A00187">
        <w:t xml:space="preserve">zvládaly </w:t>
      </w:r>
      <w:r w:rsidRPr="00A00187">
        <w:t>vyřizovat správní věci jen s velkými obtížemi.</w:t>
      </w:r>
    </w:p>
    <w:p w14:paraId="30FE3199" w14:textId="5BA31290" w:rsidR="00CB570A" w:rsidRDefault="00CE6640" w:rsidP="00DB200B">
      <w:pPr>
        <w:pStyle w:val="OdstavecASR"/>
      </w:pPr>
      <w:r w:rsidRPr="00A00187">
        <w:t>K</w:t>
      </w:r>
      <w:r w:rsidR="00DB200B" w:rsidRPr="00A00187">
        <w:t xml:space="preserve">olem roku 2017 se podařilo </w:t>
      </w:r>
      <w:r w:rsidR="00C0776D" w:rsidRPr="00A00187">
        <w:t xml:space="preserve">nepříznivý </w:t>
      </w:r>
      <w:r w:rsidR="00DB200B" w:rsidRPr="00A00187">
        <w:t xml:space="preserve">trend </w:t>
      </w:r>
      <w:r w:rsidRPr="00A00187">
        <w:t xml:space="preserve">krátkodobě </w:t>
      </w:r>
      <w:r w:rsidR="00DB200B" w:rsidRPr="00A00187">
        <w:t xml:space="preserve">zastavit. V roce 2017 sice mírně vzrostl medián, ale na druhou stranu klesl devadesátý percentil. V roce 2018 dokonce klesl medián, průměr i devadesátý percentil. V roce 2019 </w:t>
      </w:r>
      <w:r w:rsidR="00755920" w:rsidRPr="00A00187">
        <w:t>a</w:t>
      </w:r>
      <w:r w:rsidR="00755920">
        <w:t> </w:t>
      </w:r>
      <w:r w:rsidR="00DB200B" w:rsidRPr="00A00187">
        <w:t>2020 ale začal</w:t>
      </w:r>
      <w:r w:rsidR="00524AD4" w:rsidRPr="00A00187">
        <w:t>y</w:t>
      </w:r>
      <w:r w:rsidR="00DB200B" w:rsidRPr="00A00187">
        <w:t xml:space="preserve"> ukazatele opět růst. Průměr a medián byl nejvyšší ve sledovaném období. V roce 2021 došlo k mírnému poklesu. </w:t>
      </w:r>
      <w:r w:rsidR="00320D67" w:rsidRPr="00A00187">
        <w:t xml:space="preserve">Výše uvedené </w:t>
      </w:r>
      <w:r w:rsidR="00B531C8" w:rsidRPr="00A00187">
        <w:t xml:space="preserve">skutečnosti </w:t>
      </w:r>
      <w:r w:rsidR="00524AD4" w:rsidRPr="00A00187">
        <w:t>naznačuj</w:t>
      </w:r>
      <w:r w:rsidR="00B531C8" w:rsidRPr="00A00187">
        <w:t>í</w:t>
      </w:r>
      <w:r w:rsidR="00524AD4" w:rsidRPr="00A00187">
        <w:t xml:space="preserve">, </w:t>
      </w:r>
      <w:r w:rsidR="00320D67" w:rsidRPr="00A00187">
        <w:t xml:space="preserve">že </w:t>
      </w:r>
      <w:r w:rsidR="00524AD4" w:rsidRPr="00A00187">
        <w:t xml:space="preserve">pokud jde </w:t>
      </w:r>
      <w:r w:rsidR="00755920" w:rsidRPr="00A00187">
        <w:t>o</w:t>
      </w:r>
      <w:r w:rsidR="00755920">
        <w:t> </w:t>
      </w:r>
      <w:r w:rsidR="00524AD4" w:rsidRPr="00A00187">
        <w:t xml:space="preserve">délku řízení, </w:t>
      </w:r>
      <w:r w:rsidR="00320D67" w:rsidRPr="00A00187">
        <w:t xml:space="preserve">situace ve správním soudnictví </w:t>
      </w:r>
      <w:r w:rsidR="00524AD4" w:rsidRPr="00A00187">
        <w:t>se doposud výrazněji nezlepšila.</w:t>
      </w:r>
      <w:r w:rsidR="00320D67" w:rsidRPr="00A00187">
        <w:t xml:space="preserve"> </w:t>
      </w:r>
      <w:r w:rsidR="00C0776D" w:rsidRPr="00A00187">
        <w:t>Nicméně</w:t>
      </w:r>
      <w:r w:rsidR="00BA69C7" w:rsidRPr="00A00187">
        <w:t xml:space="preserve"> se změnilo</w:t>
      </w:r>
      <w:r w:rsidR="00C0776D" w:rsidRPr="00A00187">
        <w:t xml:space="preserve"> </w:t>
      </w:r>
      <w:r w:rsidR="00DB200B" w:rsidRPr="00A00187">
        <w:t>složení portfolia vyřizovaných věcí v</w:t>
      </w:r>
      <w:r w:rsidR="00D6313E" w:rsidRPr="00A00187">
        <w:t> </w:t>
      </w:r>
      <w:r w:rsidR="00DB200B" w:rsidRPr="00A00187">
        <w:t>daném období, kd</w:t>
      </w:r>
      <w:r w:rsidR="00524AD4" w:rsidRPr="00A00187">
        <w:t>e</w:t>
      </w:r>
      <w:r w:rsidR="00DB200B" w:rsidRPr="00A00187">
        <w:t xml:space="preserve"> se zvýšil podíl </w:t>
      </w:r>
      <w:r w:rsidR="00C0776D" w:rsidRPr="00A00187">
        <w:t>vyřízení dlouhodobě nevyřízených věcí</w:t>
      </w:r>
      <w:r w:rsidR="00524AD4" w:rsidRPr="00A00187">
        <w:t>; to naznačuje, že ke zlepšení</w:t>
      </w:r>
      <w:r w:rsidR="00BA69C7" w:rsidRPr="00A00187">
        <w:t xml:space="preserve"> délek řízení</w:t>
      </w:r>
      <w:r w:rsidR="00524AD4" w:rsidRPr="00A00187">
        <w:t xml:space="preserve"> by měl</w:t>
      </w:r>
      <w:r w:rsidR="00BA69C7" w:rsidRPr="00A00187">
        <w:t>o</w:t>
      </w:r>
      <w:r w:rsidR="00524AD4" w:rsidRPr="00A00187">
        <w:t xml:space="preserve"> dojít v dohledné době.</w:t>
      </w:r>
    </w:p>
    <w:p w14:paraId="682E9DD4" w14:textId="31899B18" w:rsidR="00DB200B" w:rsidRPr="00A00187" w:rsidRDefault="00DB200B" w:rsidP="00DB200B">
      <w:pPr>
        <w:pStyle w:val="Podnadpis"/>
        <w:rPr>
          <w:color w:val="auto"/>
        </w:rPr>
      </w:pPr>
      <w:bookmarkStart w:id="856" w:name="_Toc75952249"/>
      <w:bookmarkStart w:id="857" w:name="_Toc106106708"/>
      <w:bookmarkStart w:id="858" w:name="_Toc109802032"/>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74</w:t>
      </w:r>
      <w:r w:rsidRPr="00A00187">
        <w:rPr>
          <w:noProof/>
          <w:color w:val="auto"/>
        </w:rPr>
        <w:fldChar w:fldCharType="end"/>
      </w:r>
      <w:r w:rsidRPr="00A00187">
        <w:rPr>
          <w:color w:val="auto"/>
        </w:rPr>
        <w:t>: KS – délka správního řízení u KS v letech 2008–202</w:t>
      </w:r>
      <w:bookmarkEnd w:id="856"/>
      <w:r w:rsidRPr="00A00187">
        <w:rPr>
          <w:color w:val="auto"/>
        </w:rPr>
        <w:t>1</w:t>
      </w:r>
      <w:bookmarkEnd w:id="857"/>
      <w:bookmarkEnd w:id="858"/>
    </w:p>
    <w:p w14:paraId="23AD415D" w14:textId="0790A742" w:rsidR="00DB200B" w:rsidRPr="00A00187" w:rsidRDefault="00DB200B" w:rsidP="00DB200B">
      <w:pPr>
        <w:pStyle w:val="OdstavecASR"/>
      </w:pPr>
      <w:r w:rsidRPr="00A00187">
        <w:rPr>
          <w:noProof/>
        </w:rPr>
        <w:drawing>
          <wp:inline distT="0" distB="0" distL="0" distR="0" wp14:anchorId="49B53652" wp14:editId="592F5304">
            <wp:extent cx="5025390" cy="3657600"/>
            <wp:effectExtent l="0" t="0" r="3810"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CB30FE1" w14:textId="4A4E1A26" w:rsidR="00826107" w:rsidRPr="00A00187" w:rsidRDefault="00C0776D" w:rsidP="00826107">
      <w:pPr>
        <w:pStyle w:val="OdstavecASR"/>
      </w:pPr>
      <w:r w:rsidRPr="00A00187">
        <w:t>Z dat uvedených v tabulce je patrné</w:t>
      </w:r>
      <w:r w:rsidR="00826107" w:rsidRPr="00A00187">
        <w:t xml:space="preserve">, že MS Praha vykazuje velmi vysoké délky řízení, což potvrzuje výše uvedené tvrzení o zatíženosti soudů. Vysoké délky řízení </w:t>
      </w:r>
      <w:r w:rsidRPr="00A00187">
        <w:t xml:space="preserve">rovněž </w:t>
      </w:r>
      <w:r w:rsidR="00826107" w:rsidRPr="00A00187">
        <w:t xml:space="preserve">vykazuje i například KS Brno </w:t>
      </w:r>
      <w:r w:rsidR="00755920" w:rsidRPr="00A00187">
        <w:t>a</w:t>
      </w:r>
      <w:r w:rsidR="00755920">
        <w:t> </w:t>
      </w:r>
      <w:r w:rsidR="00E8109E" w:rsidRPr="00A00187">
        <w:t>nejdelší</w:t>
      </w:r>
      <w:r w:rsidR="00826107" w:rsidRPr="00A00187">
        <w:t xml:space="preserve"> řízení v roce 2021 vykázal KS v Ústí nad Labem. V zásadě můžeme konstatovat, že se s délkou řízení potýká většina soudů.</w:t>
      </w:r>
    </w:p>
    <w:p w14:paraId="74FAE0D6" w14:textId="0C80C967" w:rsidR="00CB570A" w:rsidRDefault="00826107" w:rsidP="00826107">
      <w:pPr>
        <w:pStyle w:val="OdstavecASR"/>
      </w:pPr>
      <w:r w:rsidRPr="00A00187">
        <w:lastRenderedPageBreak/>
        <w:t xml:space="preserve">Rozdíl mezi MS Praha </w:t>
      </w:r>
      <w:r w:rsidR="00755920" w:rsidRPr="00A00187">
        <w:t>a</w:t>
      </w:r>
      <w:r w:rsidR="00755920">
        <w:t> </w:t>
      </w:r>
      <w:r w:rsidR="00C0776D" w:rsidRPr="00A00187">
        <w:t>ostatním</w:t>
      </w:r>
      <w:r w:rsidR="002706AC" w:rsidRPr="00A00187">
        <w:t>i</w:t>
      </w:r>
      <w:r w:rsidR="00C0776D" w:rsidRPr="00A00187">
        <w:t xml:space="preserve"> krajskými soudy </w:t>
      </w:r>
      <w:r w:rsidRPr="00A00187">
        <w:t>se postupně zmenšoval, což můžeme považovat za</w:t>
      </w:r>
      <w:r w:rsidR="00AC2D1E" w:rsidRPr="00A00187">
        <w:t xml:space="preserve"> pozitivní vývoj</w:t>
      </w:r>
      <w:r w:rsidRPr="00A00187">
        <w:t xml:space="preserve">. Největší rozdíl registrujeme v roce 2014, kdy byla mediánová délka řízení v Praze 763 dnů a 310 dnů ve zbytku ČR (rozdíl 353 dnů, </w:t>
      </w:r>
      <w:r w:rsidR="00AC2D1E" w:rsidRPr="00A00187">
        <w:t>tzn.</w:t>
      </w:r>
      <w:r w:rsidRPr="00A00187">
        <w:t xml:space="preserve"> téměř rok). V roce 2021 byl </w:t>
      </w:r>
      <w:r w:rsidR="00AC2D1E" w:rsidRPr="00A00187">
        <w:t xml:space="preserve">pak </w:t>
      </w:r>
      <w:r w:rsidRPr="00A00187">
        <w:t xml:space="preserve">v Praze medián 562 dnů </w:t>
      </w:r>
      <w:r w:rsidR="00755920" w:rsidRPr="00A00187">
        <w:t>a</w:t>
      </w:r>
      <w:r w:rsidR="00755920">
        <w:t> </w:t>
      </w:r>
      <w:r w:rsidRPr="00A00187">
        <w:t>ve zbytku ČR 362 dnů (rozdíl 200 dnů). V Praze se tedy délka řízení výrazně snížila</w:t>
      </w:r>
      <w:r w:rsidR="00864D6B" w:rsidRPr="00A00187">
        <w:t>,</w:t>
      </w:r>
      <w:r w:rsidR="004C6ACB" w:rsidRPr="00A00187">
        <w:t xml:space="preserve"> ve zbytku ČR </w:t>
      </w:r>
      <w:r w:rsidR="00AC2D1E" w:rsidRPr="00A00187">
        <w:t xml:space="preserve">naopak </w:t>
      </w:r>
      <w:r w:rsidR="004C6ACB" w:rsidRPr="00A00187">
        <w:t>zvýšila.</w:t>
      </w:r>
    </w:p>
    <w:p w14:paraId="12541B63" w14:textId="22C1843D" w:rsidR="00826107" w:rsidRPr="00A00187" w:rsidRDefault="00826107" w:rsidP="00826107">
      <w:r w:rsidRPr="00A00187">
        <w:t xml:space="preserve">Poměrně zajímavý je fakt, že mediánová délka řízení je u KS v Brně </w:t>
      </w:r>
      <w:r w:rsidR="000E1EB9" w:rsidRPr="00A00187">
        <w:t xml:space="preserve">dlouhodobě </w:t>
      </w:r>
      <w:r w:rsidRPr="00A00187">
        <w:t xml:space="preserve">vyšší než průměrná délka řízení. To je v oblasti soudnictví značně nezvyklé, neboť průměrné délky řízení jsou obvykle „taženy“ extrémně vysokými hodnotami. </w:t>
      </w:r>
      <w:r w:rsidR="00EF4217" w:rsidRPr="00A00187">
        <w:t>Ovšem ani</w:t>
      </w:r>
      <w:r w:rsidRPr="00A00187">
        <w:t> u ostatních krajských soudů nejsou rozdíly mezi mediánem a průměrem příliš velké.</w:t>
      </w:r>
    </w:p>
    <w:p w14:paraId="3FAB58BE" w14:textId="0456C6EA" w:rsidR="00826107" w:rsidRPr="00A00187" w:rsidRDefault="00826107" w:rsidP="00826107">
      <w:pPr>
        <w:pStyle w:val="Podnadpis"/>
        <w:rPr>
          <w:color w:val="auto"/>
        </w:rPr>
      </w:pPr>
      <w:bookmarkStart w:id="859" w:name="_Toc515871490"/>
      <w:bookmarkStart w:id="860" w:name="_Toc11133257"/>
      <w:bookmarkStart w:id="861" w:name="_Toc43931236"/>
      <w:bookmarkStart w:id="862" w:name="_Toc75952369"/>
      <w:bookmarkStart w:id="863" w:name="_Toc106106824"/>
      <w:bookmarkStart w:id="864" w:name="_Toc109802147"/>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62</w:t>
      </w:r>
      <w:r w:rsidRPr="00A00187">
        <w:rPr>
          <w:noProof/>
          <w:color w:val="auto"/>
        </w:rPr>
        <w:fldChar w:fldCharType="end"/>
      </w:r>
      <w:r w:rsidRPr="00A00187">
        <w:rPr>
          <w:color w:val="auto"/>
        </w:rPr>
        <w:t>: KS – délky správního řízení dle soudů</w:t>
      </w:r>
      <w:bookmarkEnd w:id="859"/>
      <w:bookmarkEnd w:id="860"/>
      <w:bookmarkEnd w:id="861"/>
      <w:bookmarkEnd w:id="862"/>
      <w:bookmarkEnd w:id="863"/>
      <w:bookmarkEnd w:id="864"/>
    </w:p>
    <w:tbl>
      <w:tblPr>
        <w:tblW w:w="8347" w:type="dxa"/>
        <w:tblCellMar>
          <w:left w:w="70" w:type="dxa"/>
          <w:right w:w="70" w:type="dxa"/>
        </w:tblCellMar>
        <w:tblLook w:val="04A0" w:firstRow="1" w:lastRow="0" w:firstColumn="1" w:lastColumn="0" w:noHBand="0" w:noVBand="1"/>
      </w:tblPr>
      <w:tblGrid>
        <w:gridCol w:w="2496"/>
        <w:gridCol w:w="1048"/>
        <w:gridCol w:w="994"/>
        <w:gridCol w:w="991"/>
        <w:gridCol w:w="999"/>
        <w:gridCol w:w="835"/>
        <w:gridCol w:w="984"/>
      </w:tblGrid>
      <w:tr w:rsidR="00AC1E67" w:rsidRPr="00A00187" w14:paraId="40305E37" w14:textId="77777777" w:rsidTr="00641DB9">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2F468BDF" w14:textId="552E0B1A" w:rsidR="00826107" w:rsidRPr="00A00187" w:rsidRDefault="00A8348B" w:rsidP="00826107">
            <w:pPr>
              <w:spacing w:line="240" w:lineRule="auto"/>
              <w:jc w:val="center"/>
              <w:rPr>
                <w:rFonts w:eastAsia="Times New Roman"/>
                <w:b/>
                <w:bCs/>
                <w:szCs w:val="24"/>
                <w:lang w:eastAsia="cs-CZ"/>
              </w:rPr>
            </w:pPr>
            <w:r w:rsidRPr="00A00187">
              <w:rPr>
                <w:rFonts w:eastAsia="Times New Roman"/>
                <w:b/>
                <w:bCs/>
                <w:szCs w:val="24"/>
                <w:lang w:eastAsia="cs-CZ"/>
              </w:rPr>
              <w:t>S</w:t>
            </w:r>
            <w:r w:rsidR="00826107" w:rsidRPr="00A00187">
              <w:rPr>
                <w:rFonts w:eastAsia="Times New Roman"/>
                <w:b/>
                <w:bCs/>
                <w:szCs w:val="24"/>
                <w:lang w:eastAsia="cs-CZ"/>
              </w:rPr>
              <w:t>oud</w:t>
            </w:r>
          </w:p>
        </w:tc>
        <w:tc>
          <w:tcPr>
            <w:tcW w:w="5847" w:type="dxa"/>
            <w:gridSpan w:val="6"/>
            <w:tcBorders>
              <w:top w:val="double" w:sz="6" w:space="0" w:color="auto"/>
              <w:left w:val="nil"/>
              <w:bottom w:val="nil"/>
              <w:right w:val="nil"/>
            </w:tcBorders>
            <w:shd w:val="clear" w:color="auto" w:fill="auto"/>
            <w:noWrap/>
            <w:vAlign w:val="center"/>
            <w:hideMark/>
          </w:tcPr>
          <w:p w14:paraId="4070BDDB" w14:textId="77777777" w:rsidR="00826107" w:rsidRPr="00A00187" w:rsidRDefault="00826107" w:rsidP="00826107">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17BD3C2E" w14:textId="77777777" w:rsidTr="00641DB9">
        <w:trPr>
          <w:trHeight w:val="330"/>
        </w:trPr>
        <w:tc>
          <w:tcPr>
            <w:tcW w:w="2496" w:type="dxa"/>
            <w:vMerge/>
            <w:tcBorders>
              <w:top w:val="double" w:sz="6" w:space="0" w:color="auto"/>
              <w:left w:val="nil"/>
              <w:bottom w:val="double" w:sz="6" w:space="0" w:color="000000"/>
              <w:right w:val="nil"/>
            </w:tcBorders>
            <w:vAlign w:val="center"/>
            <w:hideMark/>
          </w:tcPr>
          <w:p w14:paraId="1A9B2DCA" w14:textId="77777777" w:rsidR="00826107" w:rsidRPr="00A00187" w:rsidRDefault="00826107" w:rsidP="00826107">
            <w:pPr>
              <w:spacing w:line="240" w:lineRule="auto"/>
              <w:jc w:val="left"/>
              <w:rPr>
                <w:rFonts w:eastAsia="Times New Roman"/>
                <w:b/>
                <w:bCs/>
                <w:szCs w:val="24"/>
                <w:lang w:eastAsia="cs-CZ"/>
              </w:rPr>
            </w:pPr>
          </w:p>
        </w:tc>
        <w:tc>
          <w:tcPr>
            <w:tcW w:w="2042" w:type="dxa"/>
            <w:gridSpan w:val="2"/>
            <w:tcBorders>
              <w:top w:val="nil"/>
              <w:left w:val="nil"/>
              <w:bottom w:val="double" w:sz="6" w:space="0" w:color="auto"/>
              <w:right w:val="nil"/>
            </w:tcBorders>
            <w:shd w:val="clear" w:color="auto" w:fill="auto"/>
            <w:noWrap/>
            <w:vAlign w:val="center"/>
            <w:hideMark/>
          </w:tcPr>
          <w:p w14:paraId="4E384EA3" w14:textId="77777777" w:rsidR="00826107" w:rsidRPr="00A00187" w:rsidRDefault="00826107" w:rsidP="00826107">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198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12D9C27" w14:textId="77777777" w:rsidR="00826107" w:rsidRPr="00A00187" w:rsidRDefault="00826107" w:rsidP="00826107">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1819" w:type="dxa"/>
            <w:gridSpan w:val="2"/>
            <w:tcBorders>
              <w:top w:val="nil"/>
              <w:left w:val="nil"/>
              <w:bottom w:val="double" w:sz="6" w:space="0" w:color="auto"/>
              <w:right w:val="nil"/>
            </w:tcBorders>
            <w:shd w:val="clear" w:color="auto" w:fill="auto"/>
            <w:noWrap/>
            <w:vAlign w:val="center"/>
            <w:hideMark/>
          </w:tcPr>
          <w:p w14:paraId="2DCC7550" w14:textId="77777777" w:rsidR="00826107" w:rsidRPr="00A00187" w:rsidRDefault="00826107" w:rsidP="00826107">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7D96823D" w14:textId="77777777" w:rsidTr="00641DB9">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51BA7A71"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MS Praha</w:t>
            </w:r>
          </w:p>
        </w:tc>
        <w:tc>
          <w:tcPr>
            <w:tcW w:w="1048" w:type="dxa"/>
            <w:tcBorders>
              <w:top w:val="single" w:sz="4" w:space="0" w:color="auto"/>
              <w:left w:val="nil"/>
              <w:bottom w:val="single" w:sz="4" w:space="0" w:color="auto"/>
              <w:right w:val="nil"/>
            </w:tcBorders>
            <w:shd w:val="clear" w:color="auto" w:fill="auto"/>
            <w:noWrap/>
            <w:vAlign w:val="bottom"/>
            <w:hideMark/>
          </w:tcPr>
          <w:p w14:paraId="79F810B2"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643</w:t>
            </w:r>
          </w:p>
        </w:tc>
        <w:tc>
          <w:tcPr>
            <w:tcW w:w="994" w:type="dxa"/>
            <w:tcBorders>
              <w:top w:val="single" w:sz="4" w:space="0" w:color="auto"/>
              <w:left w:val="nil"/>
              <w:bottom w:val="single" w:sz="4" w:space="0" w:color="auto"/>
              <w:right w:val="nil"/>
            </w:tcBorders>
            <w:shd w:val="clear" w:color="auto" w:fill="auto"/>
            <w:noWrap/>
            <w:vAlign w:val="center"/>
            <w:hideMark/>
          </w:tcPr>
          <w:p w14:paraId="3CA58017" w14:textId="09334B2D"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991" w:type="dxa"/>
            <w:tcBorders>
              <w:top w:val="nil"/>
              <w:left w:val="single" w:sz="4" w:space="0" w:color="auto"/>
              <w:bottom w:val="single" w:sz="4" w:space="0" w:color="auto"/>
              <w:right w:val="nil"/>
            </w:tcBorders>
            <w:shd w:val="clear" w:color="auto" w:fill="auto"/>
            <w:noWrap/>
            <w:vAlign w:val="bottom"/>
            <w:hideMark/>
          </w:tcPr>
          <w:p w14:paraId="342FBCE9"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562</w:t>
            </w:r>
          </w:p>
        </w:tc>
        <w:tc>
          <w:tcPr>
            <w:tcW w:w="999" w:type="dxa"/>
            <w:tcBorders>
              <w:top w:val="nil"/>
              <w:left w:val="nil"/>
              <w:bottom w:val="single" w:sz="4" w:space="0" w:color="auto"/>
              <w:right w:val="single" w:sz="4" w:space="0" w:color="auto"/>
            </w:tcBorders>
            <w:shd w:val="clear" w:color="auto" w:fill="auto"/>
            <w:noWrap/>
            <w:vAlign w:val="center"/>
            <w:hideMark/>
          </w:tcPr>
          <w:p w14:paraId="266F0638" w14:textId="5EDE54E3"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835" w:type="dxa"/>
            <w:tcBorders>
              <w:top w:val="single" w:sz="4" w:space="0" w:color="auto"/>
              <w:left w:val="nil"/>
              <w:bottom w:val="single" w:sz="4" w:space="0" w:color="auto"/>
              <w:right w:val="nil"/>
            </w:tcBorders>
            <w:shd w:val="clear" w:color="auto" w:fill="auto"/>
            <w:noWrap/>
            <w:vAlign w:val="bottom"/>
            <w:hideMark/>
          </w:tcPr>
          <w:p w14:paraId="0C4E6871"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1277</w:t>
            </w:r>
          </w:p>
        </w:tc>
        <w:tc>
          <w:tcPr>
            <w:tcW w:w="984" w:type="dxa"/>
            <w:tcBorders>
              <w:top w:val="single" w:sz="4" w:space="0" w:color="auto"/>
              <w:left w:val="nil"/>
              <w:bottom w:val="single" w:sz="4" w:space="0" w:color="auto"/>
              <w:right w:val="nil"/>
            </w:tcBorders>
            <w:shd w:val="clear" w:color="auto" w:fill="auto"/>
            <w:noWrap/>
            <w:vAlign w:val="center"/>
            <w:hideMark/>
          </w:tcPr>
          <w:p w14:paraId="37095F37" w14:textId="3D0BB77B"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r>
      <w:tr w:rsidR="00AC1E67" w:rsidRPr="00A00187" w14:paraId="09CA13DB"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120F6662"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KS Praha</w:t>
            </w:r>
          </w:p>
        </w:tc>
        <w:tc>
          <w:tcPr>
            <w:tcW w:w="1048" w:type="dxa"/>
            <w:tcBorders>
              <w:top w:val="nil"/>
              <w:left w:val="nil"/>
              <w:bottom w:val="single" w:sz="4" w:space="0" w:color="auto"/>
              <w:right w:val="nil"/>
            </w:tcBorders>
            <w:shd w:val="clear" w:color="auto" w:fill="auto"/>
            <w:noWrap/>
            <w:vAlign w:val="bottom"/>
            <w:hideMark/>
          </w:tcPr>
          <w:p w14:paraId="73D779C4"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489</w:t>
            </w:r>
          </w:p>
        </w:tc>
        <w:tc>
          <w:tcPr>
            <w:tcW w:w="994" w:type="dxa"/>
            <w:tcBorders>
              <w:top w:val="nil"/>
              <w:left w:val="nil"/>
              <w:bottom w:val="single" w:sz="4" w:space="0" w:color="auto"/>
              <w:right w:val="nil"/>
            </w:tcBorders>
            <w:shd w:val="clear" w:color="auto" w:fill="auto"/>
            <w:noWrap/>
            <w:vAlign w:val="center"/>
            <w:hideMark/>
          </w:tcPr>
          <w:p w14:paraId="2C674EF0" w14:textId="38CC0E39"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91" w:type="dxa"/>
            <w:tcBorders>
              <w:top w:val="nil"/>
              <w:left w:val="single" w:sz="4" w:space="0" w:color="auto"/>
              <w:bottom w:val="single" w:sz="4" w:space="0" w:color="auto"/>
              <w:right w:val="nil"/>
            </w:tcBorders>
            <w:shd w:val="clear" w:color="auto" w:fill="auto"/>
            <w:noWrap/>
            <w:vAlign w:val="bottom"/>
            <w:hideMark/>
          </w:tcPr>
          <w:p w14:paraId="124C150C"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459</w:t>
            </w:r>
          </w:p>
        </w:tc>
        <w:tc>
          <w:tcPr>
            <w:tcW w:w="999" w:type="dxa"/>
            <w:tcBorders>
              <w:top w:val="nil"/>
              <w:left w:val="nil"/>
              <w:bottom w:val="single" w:sz="4" w:space="0" w:color="auto"/>
              <w:right w:val="single" w:sz="4" w:space="0" w:color="auto"/>
            </w:tcBorders>
            <w:shd w:val="clear" w:color="auto" w:fill="auto"/>
            <w:noWrap/>
            <w:vAlign w:val="center"/>
            <w:hideMark/>
          </w:tcPr>
          <w:p w14:paraId="0BD02842" w14:textId="4BF664F1"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835" w:type="dxa"/>
            <w:tcBorders>
              <w:top w:val="nil"/>
              <w:left w:val="nil"/>
              <w:bottom w:val="single" w:sz="4" w:space="0" w:color="auto"/>
              <w:right w:val="nil"/>
            </w:tcBorders>
            <w:shd w:val="clear" w:color="auto" w:fill="auto"/>
            <w:noWrap/>
            <w:vAlign w:val="bottom"/>
            <w:hideMark/>
          </w:tcPr>
          <w:p w14:paraId="4BA5169C"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931</w:t>
            </w:r>
          </w:p>
        </w:tc>
        <w:tc>
          <w:tcPr>
            <w:tcW w:w="984" w:type="dxa"/>
            <w:tcBorders>
              <w:top w:val="nil"/>
              <w:left w:val="nil"/>
              <w:bottom w:val="single" w:sz="4" w:space="0" w:color="auto"/>
              <w:right w:val="nil"/>
            </w:tcBorders>
            <w:shd w:val="clear" w:color="auto" w:fill="auto"/>
            <w:noWrap/>
            <w:vAlign w:val="center"/>
            <w:hideMark/>
          </w:tcPr>
          <w:p w14:paraId="17614613" w14:textId="6839F41C"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276D46B1"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286880F1"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KS Č. Budějovice</w:t>
            </w:r>
          </w:p>
        </w:tc>
        <w:tc>
          <w:tcPr>
            <w:tcW w:w="1048" w:type="dxa"/>
            <w:tcBorders>
              <w:top w:val="nil"/>
              <w:left w:val="nil"/>
              <w:bottom w:val="single" w:sz="4" w:space="0" w:color="auto"/>
              <w:right w:val="nil"/>
            </w:tcBorders>
            <w:shd w:val="clear" w:color="auto" w:fill="auto"/>
            <w:noWrap/>
            <w:vAlign w:val="bottom"/>
            <w:hideMark/>
          </w:tcPr>
          <w:p w14:paraId="4C2762DC"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154</w:t>
            </w:r>
          </w:p>
        </w:tc>
        <w:tc>
          <w:tcPr>
            <w:tcW w:w="994" w:type="dxa"/>
            <w:tcBorders>
              <w:top w:val="nil"/>
              <w:left w:val="nil"/>
              <w:bottom w:val="single" w:sz="4" w:space="0" w:color="auto"/>
              <w:right w:val="nil"/>
            </w:tcBorders>
            <w:shd w:val="clear" w:color="auto" w:fill="auto"/>
            <w:noWrap/>
            <w:vAlign w:val="center"/>
            <w:hideMark/>
          </w:tcPr>
          <w:p w14:paraId="1E086C70" w14:textId="27D29967"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-28</w:t>
            </w:r>
            <w:r w:rsidR="00CB570A">
              <w:rPr>
                <w:rFonts w:eastAsia="Times New Roman"/>
                <w:sz w:val="20"/>
                <w:szCs w:val="20"/>
                <w:lang w:eastAsia="cs-CZ"/>
              </w:rPr>
              <w:t> %</w:t>
            </w:r>
          </w:p>
        </w:tc>
        <w:tc>
          <w:tcPr>
            <w:tcW w:w="991" w:type="dxa"/>
            <w:tcBorders>
              <w:top w:val="nil"/>
              <w:left w:val="single" w:sz="4" w:space="0" w:color="auto"/>
              <w:bottom w:val="single" w:sz="4" w:space="0" w:color="auto"/>
              <w:right w:val="nil"/>
            </w:tcBorders>
            <w:shd w:val="clear" w:color="auto" w:fill="auto"/>
            <w:noWrap/>
            <w:vAlign w:val="bottom"/>
            <w:hideMark/>
          </w:tcPr>
          <w:p w14:paraId="4434C859"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203</w:t>
            </w:r>
          </w:p>
        </w:tc>
        <w:tc>
          <w:tcPr>
            <w:tcW w:w="999" w:type="dxa"/>
            <w:tcBorders>
              <w:top w:val="nil"/>
              <w:left w:val="nil"/>
              <w:bottom w:val="single" w:sz="4" w:space="0" w:color="auto"/>
              <w:right w:val="single" w:sz="4" w:space="0" w:color="auto"/>
            </w:tcBorders>
            <w:shd w:val="clear" w:color="auto" w:fill="auto"/>
            <w:noWrap/>
            <w:vAlign w:val="center"/>
            <w:hideMark/>
          </w:tcPr>
          <w:p w14:paraId="37F6D8FF" w14:textId="0BADD0BB"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835" w:type="dxa"/>
            <w:tcBorders>
              <w:top w:val="nil"/>
              <w:left w:val="nil"/>
              <w:bottom w:val="single" w:sz="4" w:space="0" w:color="auto"/>
              <w:right w:val="nil"/>
            </w:tcBorders>
            <w:shd w:val="clear" w:color="auto" w:fill="auto"/>
            <w:noWrap/>
            <w:vAlign w:val="bottom"/>
            <w:hideMark/>
          </w:tcPr>
          <w:p w14:paraId="13EF803D"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359</w:t>
            </w:r>
          </w:p>
        </w:tc>
        <w:tc>
          <w:tcPr>
            <w:tcW w:w="984" w:type="dxa"/>
            <w:tcBorders>
              <w:top w:val="nil"/>
              <w:left w:val="nil"/>
              <w:bottom w:val="single" w:sz="4" w:space="0" w:color="auto"/>
              <w:right w:val="nil"/>
            </w:tcBorders>
            <w:shd w:val="clear" w:color="auto" w:fill="auto"/>
            <w:noWrap/>
            <w:vAlign w:val="center"/>
            <w:hideMark/>
          </w:tcPr>
          <w:p w14:paraId="66175037" w14:textId="354311D7"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2B5D87DB"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263DBFAE"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KS Plzeň</w:t>
            </w:r>
          </w:p>
        </w:tc>
        <w:tc>
          <w:tcPr>
            <w:tcW w:w="1048" w:type="dxa"/>
            <w:tcBorders>
              <w:top w:val="nil"/>
              <w:left w:val="nil"/>
              <w:bottom w:val="single" w:sz="4" w:space="0" w:color="auto"/>
              <w:right w:val="nil"/>
            </w:tcBorders>
            <w:shd w:val="clear" w:color="auto" w:fill="auto"/>
            <w:noWrap/>
            <w:vAlign w:val="bottom"/>
            <w:hideMark/>
          </w:tcPr>
          <w:p w14:paraId="29EF45B6"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305</w:t>
            </w:r>
          </w:p>
        </w:tc>
        <w:tc>
          <w:tcPr>
            <w:tcW w:w="994" w:type="dxa"/>
            <w:tcBorders>
              <w:top w:val="nil"/>
              <w:left w:val="nil"/>
              <w:bottom w:val="single" w:sz="4" w:space="0" w:color="auto"/>
              <w:right w:val="nil"/>
            </w:tcBorders>
            <w:shd w:val="clear" w:color="auto" w:fill="auto"/>
            <w:noWrap/>
            <w:vAlign w:val="center"/>
            <w:hideMark/>
          </w:tcPr>
          <w:p w14:paraId="5B52263D" w14:textId="2CF8965C"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991" w:type="dxa"/>
            <w:tcBorders>
              <w:top w:val="nil"/>
              <w:left w:val="single" w:sz="4" w:space="0" w:color="auto"/>
              <w:bottom w:val="single" w:sz="4" w:space="0" w:color="auto"/>
              <w:right w:val="nil"/>
            </w:tcBorders>
            <w:shd w:val="clear" w:color="auto" w:fill="auto"/>
            <w:noWrap/>
            <w:vAlign w:val="bottom"/>
            <w:hideMark/>
          </w:tcPr>
          <w:p w14:paraId="7991EB2B"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199</w:t>
            </w:r>
          </w:p>
        </w:tc>
        <w:tc>
          <w:tcPr>
            <w:tcW w:w="999" w:type="dxa"/>
            <w:tcBorders>
              <w:top w:val="nil"/>
              <w:left w:val="nil"/>
              <w:bottom w:val="single" w:sz="4" w:space="0" w:color="auto"/>
              <w:right w:val="single" w:sz="4" w:space="0" w:color="auto"/>
            </w:tcBorders>
            <w:shd w:val="clear" w:color="auto" w:fill="auto"/>
            <w:noWrap/>
            <w:vAlign w:val="center"/>
            <w:hideMark/>
          </w:tcPr>
          <w:p w14:paraId="6DF7B7DF" w14:textId="236CAC5B"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835" w:type="dxa"/>
            <w:tcBorders>
              <w:top w:val="nil"/>
              <w:left w:val="nil"/>
              <w:bottom w:val="single" w:sz="4" w:space="0" w:color="auto"/>
              <w:right w:val="nil"/>
            </w:tcBorders>
            <w:shd w:val="clear" w:color="auto" w:fill="auto"/>
            <w:noWrap/>
            <w:vAlign w:val="bottom"/>
            <w:hideMark/>
          </w:tcPr>
          <w:p w14:paraId="5355CB8A"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744</w:t>
            </w:r>
          </w:p>
        </w:tc>
        <w:tc>
          <w:tcPr>
            <w:tcW w:w="984" w:type="dxa"/>
            <w:tcBorders>
              <w:top w:val="nil"/>
              <w:left w:val="nil"/>
              <w:bottom w:val="single" w:sz="4" w:space="0" w:color="auto"/>
              <w:right w:val="nil"/>
            </w:tcBorders>
            <w:shd w:val="clear" w:color="auto" w:fill="auto"/>
            <w:noWrap/>
            <w:vAlign w:val="center"/>
            <w:hideMark/>
          </w:tcPr>
          <w:p w14:paraId="1D6E4BC5" w14:textId="3F6BD969"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3680F2C3"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3E319461"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KS Ústí n. Labem</w:t>
            </w:r>
          </w:p>
        </w:tc>
        <w:tc>
          <w:tcPr>
            <w:tcW w:w="1048" w:type="dxa"/>
            <w:tcBorders>
              <w:top w:val="nil"/>
              <w:left w:val="nil"/>
              <w:bottom w:val="single" w:sz="4" w:space="0" w:color="auto"/>
              <w:right w:val="nil"/>
            </w:tcBorders>
            <w:shd w:val="clear" w:color="auto" w:fill="auto"/>
            <w:noWrap/>
            <w:vAlign w:val="bottom"/>
            <w:hideMark/>
          </w:tcPr>
          <w:p w14:paraId="0F163372"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633</w:t>
            </w:r>
          </w:p>
        </w:tc>
        <w:tc>
          <w:tcPr>
            <w:tcW w:w="994" w:type="dxa"/>
            <w:tcBorders>
              <w:top w:val="nil"/>
              <w:left w:val="nil"/>
              <w:bottom w:val="single" w:sz="4" w:space="0" w:color="auto"/>
              <w:right w:val="nil"/>
            </w:tcBorders>
            <w:shd w:val="clear" w:color="auto" w:fill="auto"/>
            <w:noWrap/>
            <w:vAlign w:val="center"/>
            <w:hideMark/>
          </w:tcPr>
          <w:p w14:paraId="61C04699" w14:textId="0505322E"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991" w:type="dxa"/>
            <w:tcBorders>
              <w:top w:val="nil"/>
              <w:left w:val="single" w:sz="4" w:space="0" w:color="auto"/>
              <w:bottom w:val="single" w:sz="4" w:space="0" w:color="auto"/>
              <w:right w:val="nil"/>
            </w:tcBorders>
            <w:shd w:val="clear" w:color="auto" w:fill="auto"/>
            <w:noWrap/>
            <w:vAlign w:val="bottom"/>
            <w:hideMark/>
          </w:tcPr>
          <w:p w14:paraId="28613F8A"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613</w:t>
            </w:r>
          </w:p>
        </w:tc>
        <w:tc>
          <w:tcPr>
            <w:tcW w:w="999" w:type="dxa"/>
            <w:tcBorders>
              <w:top w:val="nil"/>
              <w:left w:val="nil"/>
              <w:bottom w:val="single" w:sz="4" w:space="0" w:color="auto"/>
              <w:right w:val="single" w:sz="4" w:space="0" w:color="auto"/>
            </w:tcBorders>
            <w:shd w:val="clear" w:color="auto" w:fill="auto"/>
            <w:noWrap/>
            <w:vAlign w:val="center"/>
            <w:hideMark/>
          </w:tcPr>
          <w:p w14:paraId="35CF5073" w14:textId="6D986A6D"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+34</w:t>
            </w:r>
            <w:r w:rsidR="00CB570A">
              <w:rPr>
                <w:rFonts w:eastAsia="Times New Roman"/>
                <w:sz w:val="20"/>
                <w:szCs w:val="20"/>
                <w:lang w:eastAsia="cs-CZ"/>
              </w:rPr>
              <w:t> %</w:t>
            </w:r>
          </w:p>
        </w:tc>
        <w:tc>
          <w:tcPr>
            <w:tcW w:w="835" w:type="dxa"/>
            <w:tcBorders>
              <w:top w:val="nil"/>
              <w:left w:val="nil"/>
              <w:bottom w:val="single" w:sz="4" w:space="0" w:color="auto"/>
              <w:right w:val="nil"/>
            </w:tcBorders>
            <w:shd w:val="clear" w:color="auto" w:fill="auto"/>
            <w:noWrap/>
            <w:vAlign w:val="bottom"/>
            <w:hideMark/>
          </w:tcPr>
          <w:p w14:paraId="6D4E11E8" w14:textId="626CD4B0"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1</w:t>
            </w:r>
            <w:r w:rsidR="00A8348B" w:rsidRPr="00A00187">
              <w:rPr>
                <w:rFonts w:eastAsia="Times New Roman"/>
                <w:szCs w:val="24"/>
                <w:lang w:eastAsia="cs-CZ"/>
              </w:rPr>
              <w:t xml:space="preserve"> </w:t>
            </w:r>
            <w:r w:rsidRPr="00A00187">
              <w:rPr>
                <w:rFonts w:eastAsia="Times New Roman"/>
                <w:szCs w:val="24"/>
                <w:lang w:eastAsia="cs-CZ"/>
              </w:rPr>
              <w:t>246</w:t>
            </w:r>
          </w:p>
        </w:tc>
        <w:tc>
          <w:tcPr>
            <w:tcW w:w="984" w:type="dxa"/>
            <w:tcBorders>
              <w:top w:val="nil"/>
              <w:left w:val="nil"/>
              <w:bottom w:val="single" w:sz="4" w:space="0" w:color="auto"/>
              <w:right w:val="nil"/>
            </w:tcBorders>
            <w:shd w:val="clear" w:color="auto" w:fill="auto"/>
            <w:noWrap/>
            <w:vAlign w:val="center"/>
            <w:hideMark/>
          </w:tcPr>
          <w:p w14:paraId="6711F215" w14:textId="78AC41CD"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79D227D2"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0BEDE23C"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KS Hr. Králové</w:t>
            </w:r>
          </w:p>
        </w:tc>
        <w:tc>
          <w:tcPr>
            <w:tcW w:w="1048" w:type="dxa"/>
            <w:tcBorders>
              <w:top w:val="nil"/>
              <w:left w:val="nil"/>
              <w:bottom w:val="single" w:sz="4" w:space="0" w:color="auto"/>
              <w:right w:val="nil"/>
            </w:tcBorders>
            <w:shd w:val="clear" w:color="auto" w:fill="auto"/>
            <w:noWrap/>
            <w:vAlign w:val="bottom"/>
            <w:hideMark/>
          </w:tcPr>
          <w:p w14:paraId="400CBE89"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365</w:t>
            </w:r>
          </w:p>
        </w:tc>
        <w:tc>
          <w:tcPr>
            <w:tcW w:w="994" w:type="dxa"/>
            <w:tcBorders>
              <w:top w:val="nil"/>
              <w:left w:val="nil"/>
              <w:bottom w:val="single" w:sz="4" w:space="0" w:color="auto"/>
              <w:right w:val="nil"/>
            </w:tcBorders>
            <w:shd w:val="clear" w:color="auto" w:fill="auto"/>
            <w:noWrap/>
            <w:vAlign w:val="center"/>
            <w:hideMark/>
          </w:tcPr>
          <w:p w14:paraId="43F66416" w14:textId="5E6CE402"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991" w:type="dxa"/>
            <w:tcBorders>
              <w:top w:val="nil"/>
              <w:left w:val="single" w:sz="4" w:space="0" w:color="auto"/>
              <w:bottom w:val="single" w:sz="4" w:space="0" w:color="auto"/>
              <w:right w:val="nil"/>
            </w:tcBorders>
            <w:shd w:val="clear" w:color="auto" w:fill="auto"/>
            <w:noWrap/>
            <w:vAlign w:val="bottom"/>
            <w:hideMark/>
          </w:tcPr>
          <w:p w14:paraId="5E6A836C"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316</w:t>
            </w:r>
          </w:p>
        </w:tc>
        <w:tc>
          <w:tcPr>
            <w:tcW w:w="999" w:type="dxa"/>
            <w:tcBorders>
              <w:top w:val="nil"/>
              <w:left w:val="nil"/>
              <w:bottom w:val="single" w:sz="4" w:space="0" w:color="auto"/>
              <w:right w:val="single" w:sz="4" w:space="0" w:color="auto"/>
            </w:tcBorders>
            <w:shd w:val="clear" w:color="auto" w:fill="auto"/>
            <w:noWrap/>
            <w:vAlign w:val="center"/>
            <w:hideMark/>
          </w:tcPr>
          <w:p w14:paraId="3740A17F" w14:textId="0976DAC9"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835" w:type="dxa"/>
            <w:tcBorders>
              <w:top w:val="nil"/>
              <w:left w:val="nil"/>
              <w:bottom w:val="single" w:sz="4" w:space="0" w:color="auto"/>
              <w:right w:val="nil"/>
            </w:tcBorders>
            <w:shd w:val="clear" w:color="auto" w:fill="auto"/>
            <w:noWrap/>
            <w:vAlign w:val="bottom"/>
            <w:hideMark/>
          </w:tcPr>
          <w:p w14:paraId="4580681E"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707</w:t>
            </w:r>
          </w:p>
        </w:tc>
        <w:tc>
          <w:tcPr>
            <w:tcW w:w="984" w:type="dxa"/>
            <w:tcBorders>
              <w:top w:val="nil"/>
              <w:left w:val="nil"/>
              <w:bottom w:val="single" w:sz="4" w:space="0" w:color="auto"/>
              <w:right w:val="nil"/>
            </w:tcBorders>
            <w:shd w:val="clear" w:color="auto" w:fill="auto"/>
            <w:noWrap/>
            <w:vAlign w:val="center"/>
            <w:hideMark/>
          </w:tcPr>
          <w:p w14:paraId="6A271EB6" w14:textId="2AAF9032"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r>
      <w:tr w:rsidR="00AC1E67" w:rsidRPr="00A00187" w14:paraId="04C8070C"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0E4E9F39"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KS Brno</w:t>
            </w:r>
          </w:p>
        </w:tc>
        <w:tc>
          <w:tcPr>
            <w:tcW w:w="1048" w:type="dxa"/>
            <w:tcBorders>
              <w:top w:val="nil"/>
              <w:left w:val="nil"/>
              <w:bottom w:val="single" w:sz="4" w:space="0" w:color="auto"/>
              <w:right w:val="nil"/>
            </w:tcBorders>
            <w:shd w:val="clear" w:color="auto" w:fill="auto"/>
            <w:noWrap/>
            <w:vAlign w:val="bottom"/>
            <w:hideMark/>
          </w:tcPr>
          <w:p w14:paraId="793F11F7"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559</w:t>
            </w:r>
          </w:p>
        </w:tc>
        <w:tc>
          <w:tcPr>
            <w:tcW w:w="994" w:type="dxa"/>
            <w:tcBorders>
              <w:top w:val="nil"/>
              <w:left w:val="nil"/>
              <w:bottom w:val="single" w:sz="4" w:space="0" w:color="auto"/>
              <w:right w:val="nil"/>
            </w:tcBorders>
            <w:shd w:val="clear" w:color="auto" w:fill="auto"/>
            <w:noWrap/>
            <w:vAlign w:val="center"/>
            <w:hideMark/>
          </w:tcPr>
          <w:p w14:paraId="03A11CC8" w14:textId="04254885"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991" w:type="dxa"/>
            <w:tcBorders>
              <w:top w:val="nil"/>
              <w:left w:val="single" w:sz="4" w:space="0" w:color="auto"/>
              <w:bottom w:val="single" w:sz="4" w:space="0" w:color="auto"/>
              <w:right w:val="nil"/>
            </w:tcBorders>
            <w:shd w:val="clear" w:color="auto" w:fill="auto"/>
            <w:noWrap/>
            <w:vAlign w:val="bottom"/>
            <w:hideMark/>
          </w:tcPr>
          <w:p w14:paraId="56D9D56F"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599</w:t>
            </w:r>
          </w:p>
        </w:tc>
        <w:tc>
          <w:tcPr>
            <w:tcW w:w="999" w:type="dxa"/>
            <w:tcBorders>
              <w:top w:val="nil"/>
              <w:left w:val="nil"/>
              <w:bottom w:val="single" w:sz="4" w:space="0" w:color="auto"/>
              <w:right w:val="single" w:sz="4" w:space="0" w:color="auto"/>
            </w:tcBorders>
            <w:shd w:val="clear" w:color="auto" w:fill="auto"/>
            <w:noWrap/>
            <w:vAlign w:val="center"/>
            <w:hideMark/>
          </w:tcPr>
          <w:p w14:paraId="7DDDE6AD" w14:textId="4B1D3C27"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835" w:type="dxa"/>
            <w:tcBorders>
              <w:top w:val="nil"/>
              <w:left w:val="nil"/>
              <w:bottom w:val="single" w:sz="4" w:space="0" w:color="auto"/>
              <w:right w:val="nil"/>
            </w:tcBorders>
            <w:shd w:val="clear" w:color="auto" w:fill="auto"/>
            <w:noWrap/>
            <w:vAlign w:val="bottom"/>
            <w:hideMark/>
          </w:tcPr>
          <w:p w14:paraId="44E77581"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874</w:t>
            </w:r>
          </w:p>
        </w:tc>
        <w:tc>
          <w:tcPr>
            <w:tcW w:w="984" w:type="dxa"/>
            <w:tcBorders>
              <w:top w:val="nil"/>
              <w:left w:val="nil"/>
              <w:bottom w:val="single" w:sz="4" w:space="0" w:color="auto"/>
              <w:right w:val="nil"/>
            </w:tcBorders>
            <w:shd w:val="clear" w:color="auto" w:fill="auto"/>
            <w:noWrap/>
            <w:vAlign w:val="center"/>
            <w:hideMark/>
          </w:tcPr>
          <w:p w14:paraId="7E93BD09" w14:textId="0C9D6C38"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71649614" w14:textId="77777777" w:rsidTr="00641DB9">
        <w:trPr>
          <w:trHeight w:val="330"/>
        </w:trPr>
        <w:tc>
          <w:tcPr>
            <w:tcW w:w="2496" w:type="dxa"/>
            <w:tcBorders>
              <w:top w:val="nil"/>
              <w:left w:val="nil"/>
              <w:bottom w:val="double" w:sz="6" w:space="0" w:color="auto"/>
              <w:right w:val="nil"/>
            </w:tcBorders>
            <w:shd w:val="clear" w:color="auto" w:fill="auto"/>
            <w:noWrap/>
            <w:vAlign w:val="bottom"/>
            <w:hideMark/>
          </w:tcPr>
          <w:p w14:paraId="08C305BE" w14:textId="77777777" w:rsidR="00826107" w:rsidRPr="00A00187" w:rsidRDefault="00826107" w:rsidP="00826107">
            <w:pPr>
              <w:spacing w:line="240" w:lineRule="auto"/>
              <w:jc w:val="left"/>
              <w:rPr>
                <w:rFonts w:eastAsia="Times New Roman"/>
                <w:szCs w:val="24"/>
                <w:lang w:eastAsia="cs-CZ"/>
              </w:rPr>
            </w:pPr>
            <w:r w:rsidRPr="00A00187">
              <w:rPr>
                <w:rFonts w:eastAsia="Times New Roman"/>
                <w:szCs w:val="24"/>
                <w:lang w:eastAsia="cs-CZ"/>
              </w:rPr>
              <w:t>KS Ostrava</w:t>
            </w:r>
          </w:p>
        </w:tc>
        <w:tc>
          <w:tcPr>
            <w:tcW w:w="1048" w:type="dxa"/>
            <w:tcBorders>
              <w:top w:val="nil"/>
              <w:left w:val="nil"/>
              <w:bottom w:val="double" w:sz="6" w:space="0" w:color="auto"/>
              <w:right w:val="nil"/>
            </w:tcBorders>
            <w:shd w:val="clear" w:color="auto" w:fill="auto"/>
            <w:noWrap/>
            <w:vAlign w:val="bottom"/>
            <w:hideMark/>
          </w:tcPr>
          <w:p w14:paraId="3CC00E35"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281</w:t>
            </w:r>
          </w:p>
        </w:tc>
        <w:tc>
          <w:tcPr>
            <w:tcW w:w="994" w:type="dxa"/>
            <w:tcBorders>
              <w:top w:val="nil"/>
              <w:left w:val="nil"/>
              <w:bottom w:val="double" w:sz="6" w:space="0" w:color="auto"/>
              <w:right w:val="nil"/>
            </w:tcBorders>
            <w:shd w:val="clear" w:color="auto" w:fill="auto"/>
            <w:noWrap/>
            <w:vAlign w:val="center"/>
            <w:hideMark/>
          </w:tcPr>
          <w:p w14:paraId="2EEDEC55" w14:textId="4702D78E"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c>
          <w:tcPr>
            <w:tcW w:w="991" w:type="dxa"/>
            <w:tcBorders>
              <w:top w:val="nil"/>
              <w:left w:val="single" w:sz="4" w:space="0" w:color="auto"/>
              <w:bottom w:val="double" w:sz="6" w:space="0" w:color="auto"/>
              <w:right w:val="nil"/>
            </w:tcBorders>
            <w:shd w:val="clear" w:color="auto" w:fill="auto"/>
            <w:noWrap/>
            <w:vAlign w:val="bottom"/>
            <w:hideMark/>
          </w:tcPr>
          <w:p w14:paraId="789053FD"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220</w:t>
            </w:r>
          </w:p>
        </w:tc>
        <w:tc>
          <w:tcPr>
            <w:tcW w:w="999" w:type="dxa"/>
            <w:tcBorders>
              <w:top w:val="nil"/>
              <w:left w:val="nil"/>
              <w:bottom w:val="double" w:sz="6" w:space="0" w:color="auto"/>
              <w:right w:val="single" w:sz="4" w:space="0" w:color="auto"/>
            </w:tcBorders>
            <w:shd w:val="clear" w:color="auto" w:fill="auto"/>
            <w:noWrap/>
            <w:vAlign w:val="center"/>
            <w:hideMark/>
          </w:tcPr>
          <w:p w14:paraId="53F30C51" w14:textId="4D0DF45C"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835" w:type="dxa"/>
            <w:tcBorders>
              <w:top w:val="nil"/>
              <w:left w:val="nil"/>
              <w:bottom w:val="double" w:sz="6" w:space="0" w:color="auto"/>
              <w:right w:val="nil"/>
            </w:tcBorders>
            <w:shd w:val="clear" w:color="auto" w:fill="auto"/>
            <w:noWrap/>
            <w:vAlign w:val="bottom"/>
            <w:hideMark/>
          </w:tcPr>
          <w:p w14:paraId="2E2C5F8F" w14:textId="77777777" w:rsidR="00826107" w:rsidRPr="00A00187" w:rsidRDefault="00826107" w:rsidP="00612CFD">
            <w:pPr>
              <w:spacing w:line="240" w:lineRule="auto"/>
              <w:jc w:val="center"/>
              <w:rPr>
                <w:rFonts w:eastAsia="Times New Roman"/>
                <w:szCs w:val="24"/>
                <w:lang w:eastAsia="cs-CZ"/>
              </w:rPr>
            </w:pPr>
            <w:r w:rsidRPr="00A00187">
              <w:rPr>
                <w:rFonts w:eastAsia="Times New Roman"/>
                <w:szCs w:val="24"/>
                <w:lang w:eastAsia="cs-CZ"/>
              </w:rPr>
              <w:t>537</w:t>
            </w:r>
          </w:p>
        </w:tc>
        <w:tc>
          <w:tcPr>
            <w:tcW w:w="984" w:type="dxa"/>
            <w:tcBorders>
              <w:top w:val="nil"/>
              <w:left w:val="nil"/>
              <w:bottom w:val="double" w:sz="6" w:space="0" w:color="auto"/>
              <w:right w:val="nil"/>
            </w:tcBorders>
            <w:shd w:val="clear" w:color="auto" w:fill="auto"/>
            <w:noWrap/>
            <w:vAlign w:val="center"/>
            <w:hideMark/>
          </w:tcPr>
          <w:p w14:paraId="775ACC82" w14:textId="42DD7231" w:rsidR="00826107" w:rsidRPr="00A00187" w:rsidRDefault="00826107" w:rsidP="00612CFD">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r>
      <w:tr w:rsidR="00AC1E67" w:rsidRPr="00A00187" w14:paraId="197143A6" w14:textId="77777777" w:rsidTr="00641DB9">
        <w:trPr>
          <w:trHeight w:val="345"/>
        </w:trPr>
        <w:tc>
          <w:tcPr>
            <w:tcW w:w="2496" w:type="dxa"/>
            <w:tcBorders>
              <w:top w:val="nil"/>
              <w:left w:val="nil"/>
              <w:bottom w:val="double" w:sz="6" w:space="0" w:color="auto"/>
              <w:right w:val="nil"/>
            </w:tcBorders>
            <w:shd w:val="clear" w:color="auto" w:fill="auto"/>
            <w:noWrap/>
            <w:vAlign w:val="bottom"/>
            <w:hideMark/>
          </w:tcPr>
          <w:p w14:paraId="3ADE6B09" w14:textId="77777777" w:rsidR="00826107" w:rsidRPr="00A00187" w:rsidRDefault="00826107" w:rsidP="00826107">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48" w:type="dxa"/>
            <w:tcBorders>
              <w:top w:val="nil"/>
              <w:left w:val="nil"/>
              <w:bottom w:val="double" w:sz="6" w:space="0" w:color="auto"/>
              <w:right w:val="nil"/>
            </w:tcBorders>
            <w:shd w:val="clear" w:color="auto" w:fill="auto"/>
            <w:noWrap/>
            <w:vAlign w:val="bottom"/>
            <w:hideMark/>
          </w:tcPr>
          <w:p w14:paraId="01BD1629" w14:textId="77777777" w:rsidR="00826107" w:rsidRPr="00A00187" w:rsidRDefault="00826107" w:rsidP="00612CFD">
            <w:pPr>
              <w:spacing w:line="240" w:lineRule="auto"/>
              <w:jc w:val="center"/>
              <w:rPr>
                <w:rFonts w:eastAsia="Times New Roman"/>
                <w:b/>
                <w:bCs/>
                <w:szCs w:val="24"/>
                <w:lang w:eastAsia="cs-CZ"/>
              </w:rPr>
            </w:pPr>
            <w:r w:rsidRPr="00A00187">
              <w:rPr>
                <w:rFonts w:eastAsia="Times New Roman"/>
                <w:b/>
                <w:bCs/>
                <w:szCs w:val="24"/>
                <w:lang w:eastAsia="cs-CZ"/>
              </w:rPr>
              <w:t>511</w:t>
            </w:r>
          </w:p>
        </w:tc>
        <w:tc>
          <w:tcPr>
            <w:tcW w:w="994" w:type="dxa"/>
            <w:tcBorders>
              <w:top w:val="nil"/>
              <w:left w:val="nil"/>
              <w:bottom w:val="double" w:sz="6" w:space="0" w:color="auto"/>
              <w:right w:val="nil"/>
            </w:tcBorders>
            <w:shd w:val="clear" w:color="auto" w:fill="auto"/>
            <w:noWrap/>
            <w:vAlign w:val="center"/>
            <w:hideMark/>
          </w:tcPr>
          <w:p w14:paraId="4E07C6DC" w14:textId="7A06688D" w:rsidR="00826107" w:rsidRPr="00A00187" w:rsidRDefault="00826107" w:rsidP="00612CFD">
            <w:pPr>
              <w:spacing w:line="240" w:lineRule="auto"/>
              <w:jc w:val="center"/>
              <w:rPr>
                <w:rFonts w:eastAsia="Times New Roman"/>
                <w:b/>
                <w:bCs/>
                <w:sz w:val="20"/>
                <w:szCs w:val="20"/>
                <w:lang w:eastAsia="cs-CZ"/>
              </w:rPr>
            </w:pPr>
            <w:r w:rsidRPr="00A00187">
              <w:rPr>
                <w:rFonts w:eastAsia="Times New Roman"/>
                <w:b/>
                <w:bCs/>
                <w:sz w:val="20"/>
                <w:szCs w:val="20"/>
                <w:lang w:eastAsia="cs-CZ"/>
              </w:rPr>
              <w:t>-3</w:t>
            </w:r>
            <w:r w:rsidR="00CB570A">
              <w:rPr>
                <w:rFonts w:eastAsia="Times New Roman"/>
                <w:b/>
                <w:bCs/>
                <w:sz w:val="20"/>
                <w:szCs w:val="20"/>
                <w:lang w:eastAsia="cs-CZ"/>
              </w:rPr>
              <w:t> %</w:t>
            </w:r>
          </w:p>
        </w:tc>
        <w:tc>
          <w:tcPr>
            <w:tcW w:w="991" w:type="dxa"/>
            <w:tcBorders>
              <w:top w:val="nil"/>
              <w:left w:val="single" w:sz="4" w:space="0" w:color="auto"/>
              <w:bottom w:val="double" w:sz="6" w:space="0" w:color="auto"/>
              <w:right w:val="nil"/>
            </w:tcBorders>
            <w:shd w:val="clear" w:color="auto" w:fill="auto"/>
            <w:noWrap/>
            <w:vAlign w:val="bottom"/>
            <w:hideMark/>
          </w:tcPr>
          <w:p w14:paraId="1B64C6F5" w14:textId="77777777" w:rsidR="00826107" w:rsidRPr="00A00187" w:rsidRDefault="00826107" w:rsidP="00612CFD">
            <w:pPr>
              <w:spacing w:line="240" w:lineRule="auto"/>
              <w:jc w:val="center"/>
              <w:rPr>
                <w:rFonts w:eastAsia="Times New Roman"/>
                <w:b/>
                <w:bCs/>
                <w:szCs w:val="24"/>
                <w:lang w:eastAsia="cs-CZ"/>
              </w:rPr>
            </w:pPr>
            <w:r w:rsidRPr="00A00187">
              <w:rPr>
                <w:rFonts w:eastAsia="Times New Roman"/>
                <w:b/>
                <w:bCs/>
                <w:szCs w:val="24"/>
                <w:lang w:eastAsia="cs-CZ"/>
              </w:rPr>
              <w:t>415</w:t>
            </w:r>
          </w:p>
        </w:tc>
        <w:tc>
          <w:tcPr>
            <w:tcW w:w="999" w:type="dxa"/>
            <w:tcBorders>
              <w:top w:val="nil"/>
              <w:left w:val="nil"/>
              <w:bottom w:val="double" w:sz="6" w:space="0" w:color="auto"/>
              <w:right w:val="single" w:sz="4" w:space="0" w:color="auto"/>
            </w:tcBorders>
            <w:shd w:val="clear" w:color="auto" w:fill="auto"/>
            <w:noWrap/>
            <w:vAlign w:val="center"/>
            <w:hideMark/>
          </w:tcPr>
          <w:p w14:paraId="0431781A" w14:textId="286135F8" w:rsidR="00826107" w:rsidRPr="00A00187" w:rsidRDefault="00826107" w:rsidP="00612CFD">
            <w:pPr>
              <w:spacing w:line="240" w:lineRule="auto"/>
              <w:jc w:val="center"/>
              <w:rPr>
                <w:rFonts w:eastAsia="Times New Roman"/>
                <w:b/>
                <w:bCs/>
                <w:sz w:val="20"/>
                <w:szCs w:val="20"/>
                <w:lang w:eastAsia="cs-CZ"/>
              </w:rPr>
            </w:pPr>
            <w:r w:rsidRPr="00A00187">
              <w:rPr>
                <w:rFonts w:eastAsia="Times New Roman"/>
                <w:b/>
                <w:bCs/>
                <w:sz w:val="20"/>
                <w:szCs w:val="20"/>
                <w:lang w:eastAsia="cs-CZ"/>
              </w:rPr>
              <w:t>-5</w:t>
            </w:r>
            <w:r w:rsidR="00CB570A">
              <w:rPr>
                <w:rFonts w:eastAsia="Times New Roman"/>
                <w:b/>
                <w:bCs/>
                <w:sz w:val="20"/>
                <w:szCs w:val="20"/>
                <w:lang w:eastAsia="cs-CZ"/>
              </w:rPr>
              <w:t> %</w:t>
            </w:r>
          </w:p>
        </w:tc>
        <w:tc>
          <w:tcPr>
            <w:tcW w:w="835" w:type="dxa"/>
            <w:tcBorders>
              <w:top w:val="nil"/>
              <w:left w:val="nil"/>
              <w:bottom w:val="double" w:sz="6" w:space="0" w:color="auto"/>
              <w:right w:val="nil"/>
            </w:tcBorders>
            <w:shd w:val="clear" w:color="auto" w:fill="auto"/>
            <w:noWrap/>
            <w:vAlign w:val="bottom"/>
            <w:hideMark/>
          </w:tcPr>
          <w:p w14:paraId="78D941C7" w14:textId="04284187" w:rsidR="00826107" w:rsidRPr="00A00187" w:rsidRDefault="00826107" w:rsidP="00612CFD">
            <w:pPr>
              <w:spacing w:line="240" w:lineRule="auto"/>
              <w:jc w:val="center"/>
              <w:rPr>
                <w:rFonts w:eastAsia="Times New Roman"/>
                <w:b/>
                <w:bCs/>
                <w:szCs w:val="24"/>
                <w:lang w:eastAsia="cs-CZ"/>
              </w:rPr>
            </w:pPr>
            <w:r w:rsidRPr="00A00187">
              <w:rPr>
                <w:rFonts w:eastAsia="Times New Roman"/>
                <w:b/>
                <w:bCs/>
                <w:szCs w:val="24"/>
                <w:lang w:eastAsia="cs-CZ"/>
              </w:rPr>
              <w:t>1</w:t>
            </w:r>
            <w:r w:rsidR="00A8348B" w:rsidRPr="00A00187">
              <w:rPr>
                <w:rFonts w:eastAsia="Times New Roman"/>
                <w:b/>
                <w:bCs/>
                <w:szCs w:val="24"/>
                <w:lang w:eastAsia="cs-CZ"/>
              </w:rPr>
              <w:t xml:space="preserve"> </w:t>
            </w:r>
            <w:r w:rsidRPr="00A00187">
              <w:rPr>
                <w:rFonts w:eastAsia="Times New Roman"/>
                <w:b/>
                <w:bCs/>
                <w:szCs w:val="24"/>
                <w:lang w:eastAsia="cs-CZ"/>
              </w:rPr>
              <w:t>105</w:t>
            </w:r>
          </w:p>
        </w:tc>
        <w:tc>
          <w:tcPr>
            <w:tcW w:w="984" w:type="dxa"/>
            <w:tcBorders>
              <w:top w:val="nil"/>
              <w:left w:val="nil"/>
              <w:bottom w:val="double" w:sz="6" w:space="0" w:color="auto"/>
              <w:right w:val="nil"/>
            </w:tcBorders>
            <w:shd w:val="clear" w:color="auto" w:fill="auto"/>
            <w:noWrap/>
            <w:vAlign w:val="center"/>
            <w:hideMark/>
          </w:tcPr>
          <w:p w14:paraId="41BD624F" w14:textId="6C837385" w:rsidR="00826107" w:rsidRPr="00A00187" w:rsidRDefault="00826107" w:rsidP="00612CFD">
            <w:pPr>
              <w:spacing w:line="240" w:lineRule="auto"/>
              <w:jc w:val="center"/>
              <w:rPr>
                <w:rFonts w:eastAsia="Times New Roman"/>
                <w:b/>
                <w:bCs/>
                <w:sz w:val="20"/>
                <w:szCs w:val="20"/>
                <w:lang w:eastAsia="cs-CZ"/>
              </w:rPr>
            </w:pPr>
            <w:r w:rsidRPr="00A00187">
              <w:rPr>
                <w:rFonts w:eastAsia="Times New Roman"/>
                <w:b/>
                <w:bCs/>
                <w:sz w:val="20"/>
                <w:szCs w:val="20"/>
                <w:lang w:eastAsia="cs-CZ"/>
              </w:rPr>
              <w:t>-4</w:t>
            </w:r>
            <w:r w:rsidR="00CB570A">
              <w:rPr>
                <w:rFonts w:eastAsia="Times New Roman"/>
                <w:b/>
                <w:bCs/>
                <w:sz w:val="20"/>
                <w:szCs w:val="20"/>
                <w:lang w:eastAsia="cs-CZ"/>
              </w:rPr>
              <w:t> %</w:t>
            </w:r>
          </w:p>
        </w:tc>
      </w:tr>
      <w:tr w:rsidR="00AC1E67" w:rsidRPr="00A00187" w14:paraId="63C67FD0" w14:textId="77777777" w:rsidTr="00641DB9">
        <w:trPr>
          <w:trHeight w:val="330"/>
        </w:trPr>
        <w:tc>
          <w:tcPr>
            <w:tcW w:w="2496" w:type="dxa"/>
            <w:tcBorders>
              <w:top w:val="nil"/>
              <w:left w:val="nil"/>
              <w:bottom w:val="nil"/>
              <w:right w:val="nil"/>
            </w:tcBorders>
            <w:shd w:val="clear" w:color="auto" w:fill="auto"/>
            <w:noWrap/>
            <w:vAlign w:val="bottom"/>
            <w:hideMark/>
          </w:tcPr>
          <w:p w14:paraId="293CEDB4" w14:textId="77777777" w:rsidR="00826107" w:rsidRPr="00A00187" w:rsidRDefault="00826107" w:rsidP="00641DB9">
            <w:pPr>
              <w:spacing w:line="240" w:lineRule="auto"/>
              <w:jc w:val="center"/>
              <w:rPr>
                <w:rFonts w:eastAsia="Times New Roman"/>
                <w:b/>
                <w:bCs/>
                <w:sz w:val="20"/>
                <w:szCs w:val="20"/>
                <w:lang w:eastAsia="cs-CZ"/>
              </w:rPr>
            </w:pPr>
          </w:p>
        </w:tc>
        <w:tc>
          <w:tcPr>
            <w:tcW w:w="1048" w:type="dxa"/>
            <w:tcBorders>
              <w:top w:val="nil"/>
              <w:left w:val="nil"/>
              <w:bottom w:val="nil"/>
              <w:right w:val="nil"/>
            </w:tcBorders>
            <w:shd w:val="clear" w:color="auto" w:fill="auto"/>
            <w:noWrap/>
            <w:vAlign w:val="bottom"/>
            <w:hideMark/>
          </w:tcPr>
          <w:p w14:paraId="2177E749" w14:textId="77777777" w:rsidR="00826107" w:rsidRPr="00A00187" w:rsidRDefault="00826107" w:rsidP="00826107">
            <w:pPr>
              <w:spacing w:line="240" w:lineRule="auto"/>
              <w:jc w:val="left"/>
              <w:rPr>
                <w:rFonts w:ascii="Times New Roman" w:eastAsia="Times New Roman" w:hAnsi="Times New Roman"/>
                <w:sz w:val="20"/>
                <w:szCs w:val="20"/>
                <w:lang w:eastAsia="cs-CZ"/>
              </w:rPr>
            </w:pPr>
          </w:p>
        </w:tc>
        <w:tc>
          <w:tcPr>
            <w:tcW w:w="994" w:type="dxa"/>
            <w:tcBorders>
              <w:top w:val="nil"/>
              <w:left w:val="nil"/>
              <w:bottom w:val="nil"/>
              <w:right w:val="nil"/>
            </w:tcBorders>
            <w:shd w:val="clear" w:color="auto" w:fill="auto"/>
            <w:noWrap/>
            <w:vAlign w:val="bottom"/>
            <w:hideMark/>
          </w:tcPr>
          <w:p w14:paraId="0FF0ADA5" w14:textId="77777777" w:rsidR="00826107" w:rsidRPr="00A00187" w:rsidRDefault="00826107" w:rsidP="00826107">
            <w:pPr>
              <w:spacing w:line="240" w:lineRule="auto"/>
              <w:jc w:val="left"/>
              <w:rPr>
                <w:rFonts w:ascii="Times New Roman" w:eastAsia="Times New Roman" w:hAnsi="Times New Roman"/>
                <w:sz w:val="20"/>
                <w:szCs w:val="20"/>
                <w:lang w:eastAsia="cs-CZ"/>
              </w:rPr>
            </w:pPr>
          </w:p>
        </w:tc>
        <w:tc>
          <w:tcPr>
            <w:tcW w:w="991" w:type="dxa"/>
            <w:tcBorders>
              <w:top w:val="nil"/>
              <w:left w:val="nil"/>
              <w:bottom w:val="nil"/>
              <w:right w:val="nil"/>
            </w:tcBorders>
            <w:shd w:val="clear" w:color="auto" w:fill="auto"/>
            <w:noWrap/>
            <w:vAlign w:val="bottom"/>
            <w:hideMark/>
          </w:tcPr>
          <w:p w14:paraId="1F42496B" w14:textId="77777777" w:rsidR="00826107" w:rsidRPr="00A00187" w:rsidRDefault="00826107" w:rsidP="00826107">
            <w:pPr>
              <w:spacing w:line="240" w:lineRule="auto"/>
              <w:jc w:val="left"/>
              <w:rPr>
                <w:rFonts w:ascii="Times New Roman" w:eastAsia="Times New Roman" w:hAnsi="Times New Roman"/>
                <w:sz w:val="20"/>
                <w:szCs w:val="20"/>
                <w:lang w:eastAsia="cs-CZ"/>
              </w:rPr>
            </w:pPr>
          </w:p>
        </w:tc>
        <w:tc>
          <w:tcPr>
            <w:tcW w:w="999" w:type="dxa"/>
            <w:tcBorders>
              <w:top w:val="nil"/>
              <w:left w:val="nil"/>
              <w:bottom w:val="nil"/>
              <w:right w:val="nil"/>
            </w:tcBorders>
            <w:shd w:val="clear" w:color="auto" w:fill="auto"/>
            <w:noWrap/>
            <w:vAlign w:val="bottom"/>
            <w:hideMark/>
          </w:tcPr>
          <w:p w14:paraId="4D07435F" w14:textId="77777777" w:rsidR="00826107" w:rsidRPr="00A00187" w:rsidRDefault="00826107" w:rsidP="00826107">
            <w:pPr>
              <w:spacing w:line="240" w:lineRule="auto"/>
              <w:jc w:val="left"/>
              <w:rPr>
                <w:rFonts w:ascii="Times New Roman" w:eastAsia="Times New Roman" w:hAnsi="Times New Roman"/>
                <w:sz w:val="20"/>
                <w:szCs w:val="20"/>
                <w:lang w:eastAsia="cs-CZ"/>
              </w:rPr>
            </w:pPr>
          </w:p>
        </w:tc>
        <w:tc>
          <w:tcPr>
            <w:tcW w:w="835" w:type="dxa"/>
            <w:tcBorders>
              <w:top w:val="nil"/>
              <w:left w:val="nil"/>
              <w:bottom w:val="nil"/>
              <w:right w:val="nil"/>
            </w:tcBorders>
            <w:shd w:val="clear" w:color="auto" w:fill="auto"/>
            <w:noWrap/>
            <w:vAlign w:val="bottom"/>
            <w:hideMark/>
          </w:tcPr>
          <w:p w14:paraId="2AB06184" w14:textId="77777777" w:rsidR="00826107" w:rsidRPr="00A00187" w:rsidRDefault="00826107" w:rsidP="00826107">
            <w:pPr>
              <w:spacing w:line="240" w:lineRule="auto"/>
              <w:jc w:val="left"/>
              <w:rPr>
                <w:rFonts w:ascii="Times New Roman" w:eastAsia="Times New Roman" w:hAnsi="Times New Roman"/>
                <w:sz w:val="20"/>
                <w:szCs w:val="20"/>
                <w:lang w:eastAsia="cs-CZ"/>
              </w:rPr>
            </w:pPr>
          </w:p>
        </w:tc>
        <w:tc>
          <w:tcPr>
            <w:tcW w:w="984" w:type="dxa"/>
            <w:tcBorders>
              <w:top w:val="nil"/>
              <w:left w:val="nil"/>
              <w:bottom w:val="nil"/>
              <w:right w:val="nil"/>
            </w:tcBorders>
            <w:shd w:val="clear" w:color="auto" w:fill="auto"/>
            <w:noWrap/>
            <w:vAlign w:val="bottom"/>
            <w:hideMark/>
          </w:tcPr>
          <w:p w14:paraId="4B99BBCD" w14:textId="77777777" w:rsidR="00826107" w:rsidRPr="00A00187" w:rsidRDefault="00826107" w:rsidP="00826107">
            <w:pPr>
              <w:spacing w:line="240" w:lineRule="auto"/>
              <w:jc w:val="left"/>
              <w:rPr>
                <w:rFonts w:ascii="Times New Roman" w:eastAsia="Times New Roman" w:hAnsi="Times New Roman"/>
                <w:sz w:val="20"/>
                <w:szCs w:val="20"/>
                <w:lang w:eastAsia="cs-CZ"/>
              </w:rPr>
            </w:pPr>
          </w:p>
        </w:tc>
      </w:tr>
    </w:tbl>
    <w:p w14:paraId="5C89D5FC" w14:textId="48831682" w:rsidR="00CB570A" w:rsidRDefault="004C6ACB" w:rsidP="004C6ACB">
      <w:pPr>
        <w:pStyle w:val="OdstavecASR"/>
      </w:pPr>
      <w:bookmarkStart w:id="865" w:name="_Hlk68866436"/>
      <w:r w:rsidRPr="00A00187">
        <w:t xml:space="preserve">Stejně jako u ostatních agend jsou na závěr délky řízení zobrazeny v histogramu. Šířka intervalu je 50 dnů. V porovnání s ostatními agendami je ve správní agendě vysoký medián </w:t>
      </w:r>
      <w:r w:rsidR="00755920" w:rsidRPr="00A00187">
        <w:t>a</w:t>
      </w:r>
      <w:r w:rsidR="00755920">
        <w:t> </w:t>
      </w:r>
      <w:r w:rsidRPr="00A00187">
        <w:t xml:space="preserve">rovněž distribuce délek řízení je jiná, mnohem „plošší“. </w:t>
      </w:r>
      <w:r w:rsidR="00524AD4" w:rsidRPr="00A00187">
        <w:t>Č</w:t>
      </w:r>
      <w:r w:rsidRPr="00A00187">
        <w:t xml:space="preserve">etnost délek řízení </w:t>
      </w:r>
      <w:r w:rsidR="00524AD4" w:rsidRPr="00A00187">
        <w:t xml:space="preserve">tedy </w:t>
      </w:r>
      <w:r w:rsidRPr="00A00187">
        <w:t>klesá s rostoucí délkou řízení mnohem pomaleji.</w:t>
      </w:r>
    </w:p>
    <w:bookmarkEnd w:id="865"/>
    <w:p w14:paraId="53799652" w14:textId="57907949" w:rsidR="00DB200B" w:rsidRPr="00A00187" w:rsidRDefault="00DB200B" w:rsidP="00DB200B">
      <w:pPr>
        <w:pStyle w:val="OdstavecASR"/>
      </w:pPr>
    </w:p>
    <w:p w14:paraId="2010C94C" w14:textId="669A0996" w:rsidR="004C6ACB" w:rsidRPr="00A00187" w:rsidRDefault="004C6ACB" w:rsidP="004C6ACB">
      <w:pPr>
        <w:pStyle w:val="Podnadpis"/>
        <w:rPr>
          <w:color w:val="auto"/>
        </w:rPr>
      </w:pPr>
      <w:bookmarkStart w:id="866" w:name="_Toc75952250"/>
      <w:bookmarkStart w:id="867" w:name="_Toc106106709"/>
      <w:bookmarkStart w:id="868" w:name="_Toc109802033"/>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75</w:t>
      </w:r>
      <w:r w:rsidRPr="00A00187">
        <w:rPr>
          <w:color w:val="auto"/>
        </w:rPr>
        <w:fldChar w:fldCharType="end"/>
      </w:r>
      <w:r w:rsidRPr="00A00187">
        <w:rPr>
          <w:color w:val="auto"/>
        </w:rPr>
        <w:t>: KS – distribuce délek správního řízení</w:t>
      </w:r>
      <w:bookmarkEnd w:id="866"/>
      <w:bookmarkEnd w:id="867"/>
      <w:bookmarkEnd w:id="868"/>
    </w:p>
    <w:p w14:paraId="1CDE51CC" w14:textId="2FB8F1FE" w:rsidR="004C6ACB" w:rsidRPr="00A00187" w:rsidRDefault="004C6ACB" w:rsidP="00DB200B">
      <w:pPr>
        <w:pStyle w:val="OdstavecASR"/>
      </w:pPr>
      <w:r w:rsidRPr="00A00187">
        <w:rPr>
          <w:noProof/>
        </w:rPr>
        <w:drawing>
          <wp:inline distT="0" distB="0" distL="0" distR="0" wp14:anchorId="10F4F3A6" wp14:editId="57D55F61">
            <wp:extent cx="5025390" cy="3657600"/>
            <wp:effectExtent l="0" t="0" r="381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065AE79" w14:textId="064F4E53" w:rsidR="008430BD" w:rsidRPr="00A00187" w:rsidRDefault="008430BD" w:rsidP="008430BD">
      <w:pPr>
        <w:pStyle w:val="Nadpis3"/>
        <w:numPr>
          <w:ilvl w:val="2"/>
          <w:numId w:val="1"/>
        </w:numPr>
        <w:rPr>
          <w:color w:val="auto"/>
        </w:rPr>
      </w:pPr>
      <w:bookmarkStart w:id="869" w:name="_Toc515871268"/>
      <w:bookmarkStart w:id="870" w:name="_Toc106092776"/>
      <w:bookmarkStart w:id="871" w:name="_Toc109801387"/>
      <w:r w:rsidRPr="00A00187">
        <w:rPr>
          <w:color w:val="auto"/>
        </w:rPr>
        <w:t>Vyřizování věcí</w:t>
      </w:r>
      <w:bookmarkEnd w:id="869"/>
      <w:bookmarkEnd w:id="870"/>
      <w:bookmarkEnd w:id="871"/>
    </w:p>
    <w:p w14:paraId="62A05828" w14:textId="74AFBE76" w:rsidR="00697801" w:rsidRPr="00A00187" w:rsidRDefault="00697801" w:rsidP="00697801">
      <w:pPr>
        <w:pStyle w:val="OdstavecASR"/>
      </w:pPr>
      <w:r w:rsidRPr="00A00187">
        <w:t>Z</w:t>
      </w:r>
      <w:r w:rsidR="00314BD2">
        <w:t> </w:t>
      </w:r>
      <w:r w:rsidRPr="00A00187">
        <w:t>grafu</w:t>
      </w:r>
      <w:r w:rsidR="00314BD2">
        <w:t xml:space="preserve"> </w:t>
      </w:r>
      <w:r w:rsidRPr="00A00187">
        <w:t xml:space="preserve">níže je patrné, že nápad se v průběhu let poměrně rychle mění. To může plynout z legislativních změn, ze změn v jednotlivých agendách (např. v azylové agendě) nebo jednorázových šoků. Počet vyřízených věcí samozřejmě s určitým zpožděním kopíruje počet věcí napadlých. </w:t>
      </w:r>
      <w:r w:rsidR="00314DB5" w:rsidRPr="00A00187">
        <w:t>Od roku 2014 dále</w:t>
      </w:r>
      <w:r w:rsidRPr="00A00187">
        <w:t xml:space="preserve"> vidíme dva znepokojivé jevy. Počet příchozích věcí poměrně rychle stoupal a zároveň převyšoval počet věcí vyřízených, což </w:t>
      </w:r>
      <w:r w:rsidR="00404353" w:rsidRPr="00A00187">
        <w:t xml:space="preserve">vedlo </w:t>
      </w:r>
      <w:r w:rsidRPr="00A00187">
        <w:t xml:space="preserve">k trvalému růstu v počtu nevyřízených věcí. </w:t>
      </w:r>
      <w:r w:rsidR="00524AD4" w:rsidRPr="00A00187">
        <w:t>T</w:t>
      </w:r>
      <w:r w:rsidRPr="00A00187">
        <w:t>eprve</w:t>
      </w:r>
      <w:r w:rsidR="00357C62" w:rsidRPr="00A00187">
        <w:t xml:space="preserve"> </w:t>
      </w:r>
      <w:r w:rsidRPr="00A00187">
        <w:t>v roce 2019 došlo k značnému poklesu v počtu příchozích věcí</w:t>
      </w:r>
      <w:r w:rsidR="00524AD4" w:rsidRPr="00A00187">
        <w:t>, který</w:t>
      </w:r>
      <w:r w:rsidR="00357C62" w:rsidRPr="00A00187">
        <w:t xml:space="preserve"> </w:t>
      </w:r>
      <w:r w:rsidR="008C17F9" w:rsidRPr="00A00187">
        <w:t xml:space="preserve">se </w:t>
      </w:r>
      <w:r w:rsidR="006E0900" w:rsidRPr="00A00187">
        <w:t>promítnul</w:t>
      </w:r>
      <w:r w:rsidR="008C17F9" w:rsidRPr="00A00187">
        <w:t xml:space="preserve"> také na poklesu počtu nevyřízených věcí </w:t>
      </w:r>
      <w:r w:rsidR="00755920" w:rsidRPr="00A00187">
        <w:t>a</w:t>
      </w:r>
      <w:r w:rsidR="00755920">
        <w:t> </w:t>
      </w:r>
      <w:r w:rsidR="00357C62" w:rsidRPr="00A00187">
        <w:t>na</w:t>
      </w:r>
      <w:r w:rsidR="007D74DC" w:rsidRPr="00A00187">
        <w:t xml:space="preserve"> </w:t>
      </w:r>
      <w:r w:rsidR="00357C62" w:rsidRPr="00A00187">
        <w:t xml:space="preserve">značném </w:t>
      </w:r>
      <w:r w:rsidR="008C17F9" w:rsidRPr="00A00187">
        <w:t xml:space="preserve">poklesu </w:t>
      </w:r>
      <w:proofErr w:type="spellStart"/>
      <w:r w:rsidR="008C17F9" w:rsidRPr="00A00187">
        <w:t>disposition</w:t>
      </w:r>
      <w:proofErr w:type="spellEnd"/>
      <w:r w:rsidR="008C17F9" w:rsidRPr="00A00187">
        <w:t xml:space="preserve"> </w:t>
      </w:r>
      <w:proofErr w:type="spellStart"/>
      <w:r w:rsidR="008C17F9" w:rsidRPr="00A00187">
        <w:t>time</w:t>
      </w:r>
      <w:proofErr w:type="spellEnd"/>
      <w:r w:rsidR="008C17F9" w:rsidRPr="00A00187">
        <w:t xml:space="preserve"> v těchto letech</w:t>
      </w:r>
      <w:r w:rsidRPr="00A00187">
        <w:t>.</w:t>
      </w:r>
      <w:r w:rsidR="001E3723" w:rsidRPr="00A00187">
        <w:t xml:space="preserve"> </w:t>
      </w:r>
      <w:r w:rsidRPr="00A00187">
        <w:t xml:space="preserve">Počet vyřízených věcí se ale podařilo soudům udržet na úrovni roku 2019 (zřejmě díky velkému množství nedodělků), což vedlo k výraznému poklesu v počtu nevyřízených věcí. Oproti roku 2018 tak poklesl počet příchozích věcí </w:t>
      </w:r>
      <w:r w:rsidR="00755920" w:rsidRPr="00A00187">
        <w:t>o</w:t>
      </w:r>
      <w:r w:rsidR="00755920">
        <w:t> </w:t>
      </w:r>
      <w:r w:rsidRPr="00A00187">
        <w:t>16</w:t>
      </w:r>
      <w:r w:rsidR="00CB570A">
        <w:t> %</w:t>
      </w:r>
      <w:r w:rsidRPr="00A00187">
        <w:t xml:space="preserve"> </w:t>
      </w:r>
      <w:r w:rsidR="00755920" w:rsidRPr="00A00187">
        <w:t>a</w:t>
      </w:r>
      <w:r w:rsidR="00755920">
        <w:t> </w:t>
      </w:r>
      <w:r w:rsidRPr="00A00187">
        <w:t xml:space="preserve">počet nevyřízených věcí dokonce </w:t>
      </w:r>
      <w:r w:rsidR="00755920" w:rsidRPr="00A00187">
        <w:t>o</w:t>
      </w:r>
      <w:r w:rsidR="00755920">
        <w:t> </w:t>
      </w:r>
      <w:r w:rsidRPr="00A00187">
        <w:t>32</w:t>
      </w:r>
      <w:r w:rsidR="00CB570A">
        <w:t> %</w:t>
      </w:r>
      <w:r w:rsidRPr="00A00187">
        <w:t xml:space="preserve">. To ukazuje, že situace ve správním soudnictví se </w:t>
      </w:r>
      <w:r w:rsidR="00524AD4" w:rsidRPr="00A00187">
        <w:t xml:space="preserve">z hlediska vyřizování věcí </w:t>
      </w:r>
      <w:r w:rsidRPr="00A00187">
        <w:t xml:space="preserve">rychle zlepšuje, </w:t>
      </w:r>
      <w:r w:rsidR="00755920" w:rsidRPr="00A00187">
        <w:t>a</w:t>
      </w:r>
      <w:r w:rsidR="00755920">
        <w:t> </w:t>
      </w:r>
      <w:r w:rsidRPr="00A00187">
        <w:t xml:space="preserve">to z velké části díky klesajícímu nápadu. </w:t>
      </w:r>
      <w:r w:rsidR="00524AD4" w:rsidRPr="00A00187">
        <w:t xml:space="preserve">Pomohlo nicméně </w:t>
      </w:r>
      <w:r w:rsidR="00755920" w:rsidRPr="00A00187">
        <w:t>i</w:t>
      </w:r>
      <w:r w:rsidR="00755920">
        <w:t> </w:t>
      </w:r>
      <w:r w:rsidRPr="00A00187">
        <w:t>posílení správních úseků některých soudů.</w:t>
      </w:r>
    </w:p>
    <w:p w14:paraId="3C62E49A" w14:textId="0D271E27" w:rsidR="00697801" w:rsidRPr="00A00187" w:rsidRDefault="00697801" w:rsidP="00697801">
      <w:pPr>
        <w:pStyle w:val="OdstavecASR"/>
      </w:pPr>
      <w:r w:rsidRPr="00A00187">
        <w:t xml:space="preserve">Pohled na počty nevyřízených věcí ukazuje, že počet extrémně dlouho nevyřízených věcí (déle než 3 roky, případně nevyřízené 1 až 3 roky) také </w:t>
      </w:r>
      <w:r w:rsidR="00524AD4" w:rsidRPr="00A00187">
        <w:t xml:space="preserve">postupně </w:t>
      </w:r>
      <w:r w:rsidRPr="00A00187">
        <w:t xml:space="preserve">klesá. To je další </w:t>
      </w:r>
      <w:r w:rsidR="00AC2D1E" w:rsidRPr="00A00187">
        <w:t>pozitivum</w:t>
      </w:r>
      <w:r w:rsidR="00357C62" w:rsidRPr="00A00187">
        <w:t xml:space="preserve"> </w:t>
      </w:r>
      <w:r w:rsidRPr="00A00187">
        <w:t>pro správní soudnictví a také částečně vysvětluje, proč nedochází ke snížení v délkách řízení.</w:t>
      </w:r>
    </w:p>
    <w:p w14:paraId="2B7C8252" w14:textId="77777777" w:rsidR="00697801" w:rsidRPr="00A00187" w:rsidRDefault="00697801" w:rsidP="00697801"/>
    <w:p w14:paraId="71555FBB" w14:textId="392CAD77" w:rsidR="00931912" w:rsidRPr="00A00187" w:rsidRDefault="00931912" w:rsidP="00931912">
      <w:pPr>
        <w:pStyle w:val="Podnadpis"/>
        <w:numPr>
          <w:ilvl w:val="0"/>
          <w:numId w:val="0"/>
        </w:numPr>
        <w:rPr>
          <w:color w:val="auto"/>
        </w:rPr>
      </w:pPr>
      <w:bookmarkStart w:id="872" w:name="_Toc11135130"/>
      <w:bookmarkStart w:id="873" w:name="_Toc43841449"/>
      <w:bookmarkStart w:id="874" w:name="_Toc75952251"/>
      <w:bookmarkStart w:id="875" w:name="_Toc106106710"/>
      <w:bookmarkStart w:id="876" w:name="_Toc109802034"/>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76</w:t>
      </w:r>
      <w:r w:rsidRPr="00A00187">
        <w:rPr>
          <w:noProof/>
          <w:color w:val="auto"/>
        </w:rPr>
        <w:fldChar w:fldCharType="end"/>
      </w:r>
      <w:r w:rsidRPr="00A00187">
        <w:rPr>
          <w:color w:val="auto"/>
        </w:rPr>
        <w:t>: KS – vyřizování správních věcí v letech 2008–20</w:t>
      </w:r>
      <w:bookmarkEnd w:id="872"/>
      <w:bookmarkEnd w:id="873"/>
      <w:r w:rsidRPr="00A00187">
        <w:rPr>
          <w:color w:val="auto"/>
        </w:rPr>
        <w:t>2</w:t>
      </w:r>
      <w:bookmarkEnd w:id="874"/>
      <w:r w:rsidRPr="00A00187">
        <w:rPr>
          <w:color w:val="auto"/>
        </w:rPr>
        <w:t>1</w:t>
      </w:r>
      <w:bookmarkEnd w:id="875"/>
      <w:bookmarkEnd w:id="876"/>
    </w:p>
    <w:p w14:paraId="4EB07B78" w14:textId="51B8015A" w:rsidR="00931912" w:rsidRPr="00A00187" w:rsidRDefault="001E3723" w:rsidP="00931912">
      <w:r w:rsidRPr="00A00187">
        <w:rPr>
          <w:noProof/>
        </w:rPr>
        <w:drawing>
          <wp:inline distT="0" distB="0" distL="0" distR="0" wp14:anchorId="360BA5E4" wp14:editId="3696C95F">
            <wp:extent cx="5029200" cy="36576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1FE5B36" w14:textId="1C259C5F" w:rsidR="00931912" w:rsidRPr="00A00187" w:rsidRDefault="00931912" w:rsidP="00931912"/>
    <w:p w14:paraId="37DDCB6A" w14:textId="60B44C5B" w:rsidR="00697801" w:rsidRPr="00A00187" w:rsidRDefault="00697801" w:rsidP="00697801">
      <w:pPr>
        <w:pStyle w:val="Podnadpis"/>
        <w:rPr>
          <w:color w:val="auto"/>
        </w:rPr>
      </w:pPr>
      <w:bookmarkStart w:id="877" w:name="_Toc75952370"/>
      <w:bookmarkStart w:id="878" w:name="_Toc106106825"/>
      <w:bookmarkStart w:id="879" w:name="_Toc109802148"/>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63</w:t>
      </w:r>
      <w:r w:rsidRPr="00A00187">
        <w:rPr>
          <w:noProof/>
          <w:color w:val="auto"/>
        </w:rPr>
        <w:fldChar w:fldCharType="end"/>
      </w:r>
      <w:r w:rsidRPr="00A00187">
        <w:rPr>
          <w:color w:val="auto"/>
        </w:rPr>
        <w:t>: KS – vyřizování správních věcí dle soudů</w:t>
      </w:r>
      <w:bookmarkEnd w:id="877"/>
      <w:bookmarkEnd w:id="878"/>
      <w:bookmarkEnd w:id="879"/>
    </w:p>
    <w:tbl>
      <w:tblPr>
        <w:tblW w:w="9214" w:type="dxa"/>
        <w:tblCellMar>
          <w:left w:w="70" w:type="dxa"/>
          <w:right w:w="70" w:type="dxa"/>
        </w:tblCellMar>
        <w:tblLook w:val="04A0" w:firstRow="1" w:lastRow="0" w:firstColumn="1" w:lastColumn="0" w:noHBand="0" w:noVBand="1"/>
      </w:tblPr>
      <w:tblGrid>
        <w:gridCol w:w="2036"/>
        <w:gridCol w:w="898"/>
        <w:gridCol w:w="953"/>
        <w:gridCol w:w="1044"/>
        <w:gridCol w:w="953"/>
        <w:gridCol w:w="907"/>
        <w:gridCol w:w="864"/>
        <w:gridCol w:w="1559"/>
      </w:tblGrid>
      <w:tr w:rsidR="00AC1E67" w:rsidRPr="00A00187" w14:paraId="25CDCF19" w14:textId="77777777" w:rsidTr="00641DB9">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518A44C6" w14:textId="79F04359" w:rsidR="00697801" w:rsidRPr="00A00187" w:rsidRDefault="00A8348B" w:rsidP="00697801">
            <w:pPr>
              <w:spacing w:line="240" w:lineRule="auto"/>
              <w:jc w:val="center"/>
              <w:rPr>
                <w:rFonts w:eastAsia="Times New Roman"/>
                <w:b/>
                <w:bCs/>
                <w:szCs w:val="24"/>
                <w:lang w:eastAsia="cs-CZ"/>
              </w:rPr>
            </w:pPr>
            <w:r w:rsidRPr="00A00187">
              <w:rPr>
                <w:rFonts w:eastAsia="Times New Roman"/>
                <w:b/>
                <w:bCs/>
                <w:szCs w:val="24"/>
                <w:lang w:eastAsia="cs-CZ"/>
              </w:rPr>
              <w:t>S</w:t>
            </w:r>
            <w:r w:rsidR="009E53AF" w:rsidRPr="00A00187">
              <w:rPr>
                <w:rFonts w:eastAsia="Times New Roman"/>
                <w:b/>
                <w:bCs/>
                <w:szCs w:val="24"/>
                <w:lang w:eastAsia="cs-CZ"/>
              </w:rPr>
              <w:t>oud</w:t>
            </w:r>
          </w:p>
        </w:tc>
        <w:tc>
          <w:tcPr>
            <w:tcW w:w="5619" w:type="dxa"/>
            <w:gridSpan w:val="6"/>
            <w:tcBorders>
              <w:top w:val="double" w:sz="6" w:space="0" w:color="auto"/>
              <w:left w:val="nil"/>
              <w:bottom w:val="nil"/>
              <w:right w:val="single" w:sz="4" w:space="0" w:color="000000"/>
            </w:tcBorders>
            <w:shd w:val="clear" w:color="auto" w:fill="auto"/>
            <w:noWrap/>
            <w:vAlign w:val="center"/>
            <w:hideMark/>
          </w:tcPr>
          <w:p w14:paraId="407D3499"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59" w:type="dxa"/>
            <w:vMerge w:val="restart"/>
            <w:tcBorders>
              <w:top w:val="double" w:sz="6" w:space="0" w:color="auto"/>
              <w:left w:val="nil"/>
              <w:bottom w:val="double" w:sz="6" w:space="0" w:color="000000"/>
              <w:right w:val="nil"/>
            </w:tcBorders>
            <w:shd w:val="clear" w:color="auto" w:fill="auto"/>
            <w:vAlign w:val="center"/>
            <w:hideMark/>
          </w:tcPr>
          <w:p w14:paraId="1E57B52A"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Míra vyřizování</w:t>
            </w:r>
          </w:p>
        </w:tc>
      </w:tr>
      <w:tr w:rsidR="00AC1E67" w:rsidRPr="00A00187" w14:paraId="7343CB28" w14:textId="77777777" w:rsidTr="00641DB9">
        <w:trPr>
          <w:trHeight w:val="330"/>
        </w:trPr>
        <w:tc>
          <w:tcPr>
            <w:tcW w:w="2036" w:type="dxa"/>
            <w:vMerge/>
            <w:tcBorders>
              <w:top w:val="double" w:sz="6" w:space="0" w:color="auto"/>
              <w:left w:val="nil"/>
              <w:bottom w:val="double" w:sz="6" w:space="0" w:color="000000"/>
              <w:right w:val="nil"/>
            </w:tcBorders>
            <w:vAlign w:val="center"/>
            <w:hideMark/>
          </w:tcPr>
          <w:p w14:paraId="638EA674" w14:textId="77777777" w:rsidR="00697801" w:rsidRPr="00A00187" w:rsidRDefault="00697801" w:rsidP="00697801">
            <w:pPr>
              <w:spacing w:line="240" w:lineRule="auto"/>
              <w:jc w:val="left"/>
              <w:rPr>
                <w:rFonts w:eastAsia="Times New Roman"/>
                <w:b/>
                <w:bCs/>
                <w:szCs w:val="24"/>
                <w:lang w:eastAsia="cs-CZ"/>
              </w:rPr>
            </w:pPr>
          </w:p>
        </w:tc>
        <w:tc>
          <w:tcPr>
            <w:tcW w:w="1851" w:type="dxa"/>
            <w:gridSpan w:val="2"/>
            <w:tcBorders>
              <w:top w:val="nil"/>
              <w:left w:val="nil"/>
              <w:bottom w:val="double" w:sz="6" w:space="0" w:color="auto"/>
              <w:right w:val="nil"/>
            </w:tcBorders>
            <w:shd w:val="clear" w:color="auto" w:fill="auto"/>
            <w:noWrap/>
            <w:vAlign w:val="center"/>
            <w:hideMark/>
          </w:tcPr>
          <w:p w14:paraId="7294AF11"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9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D0D13D7"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771" w:type="dxa"/>
            <w:gridSpan w:val="2"/>
            <w:tcBorders>
              <w:top w:val="nil"/>
              <w:left w:val="nil"/>
              <w:bottom w:val="double" w:sz="6" w:space="0" w:color="auto"/>
              <w:right w:val="single" w:sz="4" w:space="0" w:color="000000"/>
            </w:tcBorders>
            <w:shd w:val="clear" w:color="auto" w:fill="auto"/>
            <w:noWrap/>
            <w:vAlign w:val="center"/>
            <w:hideMark/>
          </w:tcPr>
          <w:p w14:paraId="09BEF1E8"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59" w:type="dxa"/>
            <w:vMerge/>
            <w:tcBorders>
              <w:top w:val="double" w:sz="6" w:space="0" w:color="auto"/>
              <w:left w:val="nil"/>
              <w:bottom w:val="double" w:sz="6" w:space="0" w:color="000000"/>
              <w:right w:val="nil"/>
            </w:tcBorders>
            <w:vAlign w:val="center"/>
            <w:hideMark/>
          </w:tcPr>
          <w:p w14:paraId="7D52F9BD" w14:textId="77777777" w:rsidR="00697801" w:rsidRPr="00A00187" w:rsidRDefault="00697801" w:rsidP="00697801">
            <w:pPr>
              <w:spacing w:line="240" w:lineRule="auto"/>
              <w:jc w:val="left"/>
              <w:rPr>
                <w:rFonts w:eastAsia="Times New Roman"/>
                <w:b/>
                <w:bCs/>
                <w:szCs w:val="24"/>
                <w:lang w:eastAsia="cs-CZ"/>
              </w:rPr>
            </w:pPr>
          </w:p>
        </w:tc>
      </w:tr>
      <w:tr w:rsidR="00AC1E67" w:rsidRPr="00A00187" w14:paraId="7354DB39" w14:textId="77777777" w:rsidTr="00641DB9">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0AD5B558"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MS Praha</w:t>
            </w:r>
          </w:p>
        </w:tc>
        <w:tc>
          <w:tcPr>
            <w:tcW w:w="898" w:type="dxa"/>
            <w:tcBorders>
              <w:top w:val="single" w:sz="4" w:space="0" w:color="auto"/>
              <w:left w:val="nil"/>
              <w:bottom w:val="single" w:sz="4" w:space="0" w:color="auto"/>
              <w:right w:val="nil"/>
            </w:tcBorders>
            <w:shd w:val="clear" w:color="auto" w:fill="auto"/>
            <w:noWrap/>
            <w:vAlign w:val="bottom"/>
            <w:hideMark/>
          </w:tcPr>
          <w:p w14:paraId="439AB587"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3 260</w:t>
            </w:r>
          </w:p>
        </w:tc>
        <w:tc>
          <w:tcPr>
            <w:tcW w:w="953" w:type="dxa"/>
            <w:tcBorders>
              <w:top w:val="single" w:sz="4" w:space="0" w:color="auto"/>
              <w:left w:val="nil"/>
              <w:bottom w:val="single" w:sz="4" w:space="0" w:color="auto"/>
              <w:right w:val="nil"/>
            </w:tcBorders>
            <w:shd w:val="clear" w:color="auto" w:fill="auto"/>
            <w:noWrap/>
            <w:vAlign w:val="center"/>
            <w:hideMark/>
          </w:tcPr>
          <w:p w14:paraId="2132DD9A" w14:textId="7D63997E"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44" w:type="dxa"/>
            <w:tcBorders>
              <w:top w:val="single" w:sz="4" w:space="0" w:color="auto"/>
              <w:left w:val="single" w:sz="4" w:space="0" w:color="auto"/>
              <w:bottom w:val="single" w:sz="4" w:space="0" w:color="auto"/>
              <w:right w:val="nil"/>
            </w:tcBorders>
            <w:shd w:val="clear" w:color="auto" w:fill="auto"/>
            <w:noWrap/>
            <w:vAlign w:val="bottom"/>
            <w:hideMark/>
          </w:tcPr>
          <w:p w14:paraId="376C2374"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3 851</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14:paraId="4A98F00F" w14:textId="3A79FC86"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07" w:type="dxa"/>
            <w:tcBorders>
              <w:top w:val="single" w:sz="4" w:space="0" w:color="auto"/>
              <w:left w:val="nil"/>
              <w:bottom w:val="single" w:sz="4" w:space="0" w:color="auto"/>
              <w:right w:val="nil"/>
            </w:tcBorders>
            <w:shd w:val="clear" w:color="auto" w:fill="auto"/>
            <w:noWrap/>
            <w:vAlign w:val="bottom"/>
            <w:hideMark/>
          </w:tcPr>
          <w:p w14:paraId="683E3DE6"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3 206</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14:paraId="36D98137" w14:textId="1ED9709E"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513EDA98" w14:textId="68F9858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118,1</w:t>
            </w:r>
            <w:r w:rsidR="00CB570A">
              <w:rPr>
                <w:rFonts w:eastAsia="Times New Roman"/>
                <w:szCs w:val="24"/>
                <w:lang w:eastAsia="cs-CZ"/>
              </w:rPr>
              <w:t> %</w:t>
            </w:r>
          </w:p>
        </w:tc>
      </w:tr>
      <w:tr w:rsidR="00AC1E67" w:rsidRPr="00A00187" w14:paraId="29522F51" w14:textId="77777777" w:rsidTr="00641DB9">
        <w:trPr>
          <w:trHeight w:val="315"/>
        </w:trPr>
        <w:tc>
          <w:tcPr>
            <w:tcW w:w="2036" w:type="dxa"/>
            <w:tcBorders>
              <w:top w:val="nil"/>
              <w:left w:val="nil"/>
              <w:bottom w:val="single" w:sz="4" w:space="0" w:color="auto"/>
              <w:right w:val="nil"/>
            </w:tcBorders>
            <w:shd w:val="clear" w:color="auto" w:fill="auto"/>
            <w:noWrap/>
            <w:vAlign w:val="bottom"/>
            <w:hideMark/>
          </w:tcPr>
          <w:p w14:paraId="196B0A07"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KS Praha</w:t>
            </w:r>
          </w:p>
        </w:tc>
        <w:tc>
          <w:tcPr>
            <w:tcW w:w="898" w:type="dxa"/>
            <w:tcBorders>
              <w:top w:val="nil"/>
              <w:left w:val="nil"/>
              <w:bottom w:val="single" w:sz="4" w:space="0" w:color="auto"/>
              <w:right w:val="nil"/>
            </w:tcBorders>
            <w:shd w:val="clear" w:color="auto" w:fill="auto"/>
            <w:noWrap/>
            <w:vAlign w:val="bottom"/>
            <w:hideMark/>
          </w:tcPr>
          <w:p w14:paraId="3A6C6CCF"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892</w:t>
            </w:r>
          </w:p>
        </w:tc>
        <w:tc>
          <w:tcPr>
            <w:tcW w:w="953" w:type="dxa"/>
            <w:tcBorders>
              <w:top w:val="nil"/>
              <w:left w:val="nil"/>
              <w:bottom w:val="single" w:sz="4" w:space="0" w:color="auto"/>
              <w:right w:val="nil"/>
            </w:tcBorders>
            <w:shd w:val="clear" w:color="auto" w:fill="auto"/>
            <w:noWrap/>
            <w:vAlign w:val="center"/>
            <w:hideMark/>
          </w:tcPr>
          <w:p w14:paraId="6C9718DD" w14:textId="710480DD"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1044" w:type="dxa"/>
            <w:tcBorders>
              <w:top w:val="nil"/>
              <w:left w:val="single" w:sz="4" w:space="0" w:color="auto"/>
              <w:bottom w:val="single" w:sz="4" w:space="0" w:color="auto"/>
              <w:right w:val="nil"/>
            </w:tcBorders>
            <w:shd w:val="clear" w:color="auto" w:fill="auto"/>
            <w:noWrap/>
            <w:vAlign w:val="bottom"/>
            <w:hideMark/>
          </w:tcPr>
          <w:p w14:paraId="7BA1C40D"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1170</w:t>
            </w:r>
          </w:p>
        </w:tc>
        <w:tc>
          <w:tcPr>
            <w:tcW w:w="953" w:type="dxa"/>
            <w:tcBorders>
              <w:top w:val="nil"/>
              <w:left w:val="nil"/>
              <w:bottom w:val="single" w:sz="4" w:space="0" w:color="auto"/>
              <w:right w:val="single" w:sz="4" w:space="0" w:color="auto"/>
            </w:tcBorders>
            <w:shd w:val="clear" w:color="auto" w:fill="auto"/>
            <w:noWrap/>
            <w:vAlign w:val="center"/>
            <w:hideMark/>
          </w:tcPr>
          <w:p w14:paraId="07EB2AFA" w14:textId="74D96CA7"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c>
          <w:tcPr>
            <w:tcW w:w="907" w:type="dxa"/>
            <w:tcBorders>
              <w:top w:val="nil"/>
              <w:left w:val="nil"/>
              <w:bottom w:val="single" w:sz="4" w:space="0" w:color="auto"/>
              <w:right w:val="nil"/>
            </w:tcBorders>
            <w:shd w:val="clear" w:color="auto" w:fill="auto"/>
            <w:noWrap/>
            <w:vAlign w:val="bottom"/>
            <w:hideMark/>
          </w:tcPr>
          <w:p w14:paraId="63DC5CDC"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734</w:t>
            </w:r>
          </w:p>
        </w:tc>
        <w:tc>
          <w:tcPr>
            <w:tcW w:w="864" w:type="dxa"/>
            <w:tcBorders>
              <w:top w:val="nil"/>
              <w:left w:val="nil"/>
              <w:bottom w:val="single" w:sz="4" w:space="0" w:color="auto"/>
              <w:right w:val="single" w:sz="4" w:space="0" w:color="auto"/>
            </w:tcBorders>
            <w:shd w:val="clear" w:color="auto" w:fill="auto"/>
            <w:noWrap/>
            <w:vAlign w:val="center"/>
            <w:hideMark/>
          </w:tcPr>
          <w:p w14:paraId="17E34BED" w14:textId="16C227EB"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05E47B13" w14:textId="10E82DAD"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131,2</w:t>
            </w:r>
            <w:r w:rsidR="00CB570A">
              <w:rPr>
                <w:rFonts w:eastAsia="Times New Roman"/>
                <w:szCs w:val="24"/>
                <w:lang w:eastAsia="cs-CZ"/>
              </w:rPr>
              <w:t> %</w:t>
            </w:r>
          </w:p>
        </w:tc>
      </w:tr>
      <w:tr w:rsidR="00AC1E67" w:rsidRPr="00A00187" w14:paraId="41C90C97" w14:textId="77777777" w:rsidTr="00641DB9">
        <w:trPr>
          <w:trHeight w:val="315"/>
        </w:trPr>
        <w:tc>
          <w:tcPr>
            <w:tcW w:w="2036" w:type="dxa"/>
            <w:tcBorders>
              <w:top w:val="nil"/>
              <w:left w:val="nil"/>
              <w:bottom w:val="single" w:sz="4" w:space="0" w:color="auto"/>
              <w:right w:val="nil"/>
            </w:tcBorders>
            <w:shd w:val="clear" w:color="auto" w:fill="auto"/>
            <w:noWrap/>
            <w:vAlign w:val="bottom"/>
            <w:hideMark/>
          </w:tcPr>
          <w:p w14:paraId="50EDFEBB"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KS Č. Budějovice</w:t>
            </w:r>
          </w:p>
        </w:tc>
        <w:tc>
          <w:tcPr>
            <w:tcW w:w="898" w:type="dxa"/>
            <w:tcBorders>
              <w:top w:val="nil"/>
              <w:left w:val="nil"/>
              <w:bottom w:val="single" w:sz="4" w:space="0" w:color="auto"/>
              <w:right w:val="nil"/>
            </w:tcBorders>
            <w:shd w:val="clear" w:color="auto" w:fill="auto"/>
            <w:noWrap/>
            <w:vAlign w:val="bottom"/>
            <w:hideMark/>
          </w:tcPr>
          <w:p w14:paraId="555230A3"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376</w:t>
            </w:r>
          </w:p>
        </w:tc>
        <w:tc>
          <w:tcPr>
            <w:tcW w:w="953" w:type="dxa"/>
            <w:tcBorders>
              <w:top w:val="nil"/>
              <w:left w:val="nil"/>
              <w:bottom w:val="single" w:sz="4" w:space="0" w:color="auto"/>
              <w:right w:val="nil"/>
            </w:tcBorders>
            <w:shd w:val="clear" w:color="auto" w:fill="auto"/>
            <w:noWrap/>
            <w:vAlign w:val="center"/>
            <w:hideMark/>
          </w:tcPr>
          <w:p w14:paraId="4D20BBD9" w14:textId="54D0957F"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044" w:type="dxa"/>
            <w:tcBorders>
              <w:top w:val="nil"/>
              <w:left w:val="single" w:sz="4" w:space="0" w:color="auto"/>
              <w:bottom w:val="single" w:sz="4" w:space="0" w:color="auto"/>
              <w:right w:val="nil"/>
            </w:tcBorders>
            <w:shd w:val="clear" w:color="auto" w:fill="auto"/>
            <w:noWrap/>
            <w:vAlign w:val="bottom"/>
            <w:hideMark/>
          </w:tcPr>
          <w:p w14:paraId="7BD35D7A"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345</w:t>
            </w:r>
          </w:p>
        </w:tc>
        <w:tc>
          <w:tcPr>
            <w:tcW w:w="953" w:type="dxa"/>
            <w:tcBorders>
              <w:top w:val="nil"/>
              <w:left w:val="nil"/>
              <w:bottom w:val="single" w:sz="4" w:space="0" w:color="auto"/>
              <w:right w:val="single" w:sz="4" w:space="0" w:color="auto"/>
            </w:tcBorders>
            <w:shd w:val="clear" w:color="auto" w:fill="auto"/>
            <w:noWrap/>
            <w:vAlign w:val="center"/>
            <w:hideMark/>
          </w:tcPr>
          <w:p w14:paraId="76B615DE" w14:textId="542A49EA"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07" w:type="dxa"/>
            <w:tcBorders>
              <w:top w:val="nil"/>
              <w:left w:val="nil"/>
              <w:bottom w:val="single" w:sz="4" w:space="0" w:color="auto"/>
              <w:right w:val="nil"/>
            </w:tcBorders>
            <w:shd w:val="clear" w:color="auto" w:fill="auto"/>
            <w:noWrap/>
            <w:vAlign w:val="bottom"/>
            <w:hideMark/>
          </w:tcPr>
          <w:p w14:paraId="4271CBED"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189</w:t>
            </w:r>
          </w:p>
        </w:tc>
        <w:tc>
          <w:tcPr>
            <w:tcW w:w="864" w:type="dxa"/>
            <w:tcBorders>
              <w:top w:val="nil"/>
              <w:left w:val="nil"/>
              <w:bottom w:val="single" w:sz="4" w:space="0" w:color="auto"/>
              <w:right w:val="single" w:sz="4" w:space="0" w:color="auto"/>
            </w:tcBorders>
            <w:shd w:val="clear" w:color="auto" w:fill="auto"/>
            <w:noWrap/>
            <w:vAlign w:val="center"/>
            <w:hideMark/>
          </w:tcPr>
          <w:p w14:paraId="22A91AB1" w14:textId="31821B48"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4C71B8BD" w14:textId="409154F3"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91,8</w:t>
            </w:r>
            <w:r w:rsidR="00CB570A">
              <w:rPr>
                <w:rFonts w:eastAsia="Times New Roman"/>
                <w:szCs w:val="24"/>
                <w:lang w:eastAsia="cs-CZ"/>
              </w:rPr>
              <w:t> %</w:t>
            </w:r>
          </w:p>
        </w:tc>
      </w:tr>
      <w:tr w:rsidR="00AC1E67" w:rsidRPr="00A00187" w14:paraId="48723469" w14:textId="77777777" w:rsidTr="00641DB9">
        <w:trPr>
          <w:trHeight w:val="315"/>
        </w:trPr>
        <w:tc>
          <w:tcPr>
            <w:tcW w:w="2036" w:type="dxa"/>
            <w:tcBorders>
              <w:top w:val="nil"/>
              <w:left w:val="nil"/>
              <w:bottom w:val="single" w:sz="4" w:space="0" w:color="auto"/>
              <w:right w:val="nil"/>
            </w:tcBorders>
            <w:shd w:val="clear" w:color="auto" w:fill="auto"/>
            <w:noWrap/>
            <w:vAlign w:val="bottom"/>
            <w:hideMark/>
          </w:tcPr>
          <w:p w14:paraId="58F4E634"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KS Plzeň</w:t>
            </w:r>
          </w:p>
        </w:tc>
        <w:tc>
          <w:tcPr>
            <w:tcW w:w="898" w:type="dxa"/>
            <w:tcBorders>
              <w:top w:val="nil"/>
              <w:left w:val="nil"/>
              <w:bottom w:val="single" w:sz="4" w:space="0" w:color="auto"/>
              <w:right w:val="nil"/>
            </w:tcBorders>
            <w:shd w:val="clear" w:color="auto" w:fill="auto"/>
            <w:noWrap/>
            <w:vAlign w:val="bottom"/>
            <w:hideMark/>
          </w:tcPr>
          <w:p w14:paraId="46304191"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665</w:t>
            </w:r>
          </w:p>
        </w:tc>
        <w:tc>
          <w:tcPr>
            <w:tcW w:w="953" w:type="dxa"/>
            <w:tcBorders>
              <w:top w:val="nil"/>
              <w:left w:val="nil"/>
              <w:bottom w:val="single" w:sz="4" w:space="0" w:color="auto"/>
              <w:right w:val="nil"/>
            </w:tcBorders>
            <w:shd w:val="clear" w:color="auto" w:fill="auto"/>
            <w:noWrap/>
            <w:vAlign w:val="center"/>
            <w:hideMark/>
          </w:tcPr>
          <w:p w14:paraId="44502800" w14:textId="610402AD"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44" w:type="dxa"/>
            <w:tcBorders>
              <w:top w:val="nil"/>
              <w:left w:val="single" w:sz="4" w:space="0" w:color="auto"/>
              <w:bottom w:val="single" w:sz="4" w:space="0" w:color="auto"/>
              <w:right w:val="nil"/>
            </w:tcBorders>
            <w:shd w:val="clear" w:color="auto" w:fill="auto"/>
            <w:noWrap/>
            <w:vAlign w:val="bottom"/>
            <w:hideMark/>
          </w:tcPr>
          <w:p w14:paraId="521B570C"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714</w:t>
            </w:r>
          </w:p>
        </w:tc>
        <w:tc>
          <w:tcPr>
            <w:tcW w:w="953" w:type="dxa"/>
            <w:tcBorders>
              <w:top w:val="nil"/>
              <w:left w:val="nil"/>
              <w:bottom w:val="single" w:sz="4" w:space="0" w:color="auto"/>
              <w:right w:val="single" w:sz="4" w:space="0" w:color="auto"/>
            </w:tcBorders>
            <w:shd w:val="clear" w:color="auto" w:fill="auto"/>
            <w:noWrap/>
            <w:vAlign w:val="center"/>
            <w:hideMark/>
          </w:tcPr>
          <w:p w14:paraId="7DE75966" w14:textId="75626A99"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907" w:type="dxa"/>
            <w:tcBorders>
              <w:top w:val="nil"/>
              <w:left w:val="nil"/>
              <w:bottom w:val="single" w:sz="4" w:space="0" w:color="auto"/>
              <w:right w:val="nil"/>
            </w:tcBorders>
            <w:shd w:val="clear" w:color="auto" w:fill="auto"/>
            <w:noWrap/>
            <w:vAlign w:val="bottom"/>
            <w:hideMark/>
          </w:tcPr>
          <w:p w14:paraId="2F5D896E"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384</w:t>
            </w:r>
          </w:p>
        </w:tc>
        <w:tc>
          <w:tcPr>
            <w:tcW w:w="864" w:type="dxa"/>
            <w:tcBorders>
              <w:top w:val="nil"/>
              <w:left w:val="nil"/>
              <w:bottom w:val="single" w:sz="4" w:space="0" w:color="auto"/>
              <w:right w:val="single" w:sz="4" w:space="0" w:color="auto"/>
            </w:tcBorders>
            <w:shd w:val="clear" w:color="auto" w:fill="auto"/>
            <w:noWrap/>
            <w:vAlign w:val="center"/>
            <w:hideMark/>
          </w:tcPr>
          <w:p w14:paraId="326DFFAD" w14:textId="675D5E20"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40F66AF6" w14:textId="79AD613C" w:rsidR="00697801" w:rsidRPr="00A00187" w:rsidRDefault="00697801" w:rsidP="000F1418">
            <w:pPr>
              <w:spacing w:line="240" w:lineRule="auto"/>
              <w:jc w:val="center"/>
              <w:rPr>
                <w:rFonts w:eastAsia="Times New Roman"/>
                <w:szCs w:val="24"/>
                <w:lang w:eastAsia="cs-CZ"/>
              </w:rPr>
            </w:pPr>
            <w:r w:rsidRPr="00A00187">
              <w:rPr>
                <w:rFonts w:eastAsia="Times New Roman"/>
                <w:szCs w:val="24"/>
                <w:lang w:eastAsia="cs-CZ"/>
              </w:rPr>
              <w:t>107,4</w:t>
            </w:r>
            <w:r w:rsidR="00CB570A">
              <w:rPr>
                <w:rFonts w:eastAsia="Times New Roman"/>
                <w:szCs w:val="24"/>
                <w:lang w:eastAsia="cs-CZ"/>
              </w:rPr>
              <w:t> %</w:t>
            </w:r>
          </w:p>
        </w:tc>
      </w:tr>
      <w:tr w:rsidR="00AC1E67" w:rsidRPr="00A00187" w14:paraId="12EF9D22" w14:textId="77777777" w:rsidTr="00641DB9">
        <w:trPr>
          <w:trHeight w:val="315"/>
        </w:trPr>
        <w:tc>
          <w:tcPr>
            <w:tcW w:w="2036" w:type="dxa"/>
            <w:tcBorders>
              <w:top w:val="nil"/>
              <w:left w:val="nil"/>
              <w:bottom w:val="single" w:sz="4" w:space="0" w:color="auto"/>
              <w:right w:val="nil"/>
            </w:tcBorders>
            <w:shd w:val="clear" w:color="auto" w:fill="auto"/>
            <w:noWrap/>
            <w:vAlign w:val="bottom"/>
            <w:hideMark/>
          </w:tcPr>
          <w:p w14:paraId="60518033"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KS Ústí n. Labem</w:t>
            </w:r>
          </w:p>
        </w:tc>
        <w:tc>
          <w:tcPr>
            <w:tcW w:w="898" w:type="dxa"/>
            <w:tcBorders>
              <w:top w:val="nil"/>
              <w:left w:val="nil"/>
              <w:bottom w:val="single" w:sz="4" w:space="0" w:color="auto"/>
              <w:right w:val="nil"/>
            </w:tcBorders>
            <w:shd w:val="clear" w:color="auto" w:fill="auto"/>
            <w:noWrap/>
            <w:vAlign w:val="bottom"/>
            <w:hideMark/>
          </w:tcPr>
          <w:p w14:paraId="31B01F7C"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632</w:t>
            </w:r>
          </w:p>
        </w:tc>
        <w:tc>
          <w:tcPr>
            <w:tcW w:w="953" w:type="dxa"/>
            <w:tcBorders>
              <w:top w:val="nil"/>
              <w:left w:val="nil"/>
              <w:bottom w:val="single" w:sz="4" w:space="0" w:color="auto"/>
              <w:right w:val="nil"/>
            </w:tcBorders>
            <w:shd w:val="clear" w:color="auto" w:fill="auto"/>
            <w:noWrap/>
            <w:vAlign w:val="center"/>
            <w:hideMark/>
          </w:tcPr>
          <w:p w14:paraId="4CB4B4A8" w14:textId="71E78302"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1044" w:type="dxa"/>
            <w:tcBorders>
              <w:top w:val="nil"/>
              <w:left w:val="single" w:sz="4" w:space="0" w:color="auto"/>
              <w:bottom w:val="single" w:sz="4" w:space="0" w:color="auto"/>
              <w:right w:val="nil"/>
            </w:tcBorders>
            <w:shd w:val="clear" w:color="auto" w:fill="auto"/>
            <w:noWrap/>
            <w:vAlign w:val="bottom"/>
            <w:hideMark/>
          </w:tcPr>
          <w:p w14:paraId="4B837E5A"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828</w:t>
            </w:r>
          </w:p>
        </w:tc>
        <w:tc>
          <w:tcPr>
            <w:tcW w:w="953" w:type="dxa"/>
            <w:tcBorders>
              <w:top w:val="nil"/>
              <w:left w:val="nil"/>
              <w:bottom w:val="single" w:sz="4" w:space="0" w:color="auto"/>
              <w:right w:val="single" w:sz="4" w:space="0" w:color="auto"/>
            </w:tcBorders>
            <w:shd w:val="clear" w:color="auto" w:fill="auto"/>
            <w:noWrap/>
            <w:vAlign w:val="center"/>
            <w:hideMark/>
          </w:tcPr>
          <w:p w14:paraId="0E931D10" w14:textId="5BA0728E"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907" w:type="dxa"/>
            <w:tcBorders>
              <w:top w:val="nil"/>
              <w:left w:val="nil"/>
              <w:bottom w:val="single" w:sz="4" w:space="0" w:color="auto"/>
              <w:right w:val="nil"/>
            </w:tcBorders>
            <w:shd w:val="clear" w:color="auto" w:fill="auto"/>
            <w:noWrap/>
            <w:vAlign w:val="bottom"/>
            <w:hideMark/>
          </w:tcPr>
          <w:p w14:paraId="3CCEA489"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690</w:t>
            </w:r>
          </w:p>
        </w:tc>
        <w:tc>
          <w:tcPr>
            <w:tcW w:w="864" w:type="dxa"/>
            <w:tcBorders>
              <w:top w:val="nil"/>
              <w:left w:val="nil"/>
              <w:bottom w:val="single" w:sz="4" w:space="0" w:color="auto"/>
              <w:right w:val="single" w:sz="4" w:space="0" w:color="auto"/>
            </w:tcBorders>
            <w:shd w:val="clear" w:color="auto" w:fill="auto"/>
            <w:noWrap/>
            <w:vAlign w:val="center"/>
            <w:hideMark/>
          </w:tcPr>
          <w:p w14:paraId="5E8AFEAC" w14:textId="03F0E654"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155903B3" w14:textId="786F506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131,0</w:t>
            </w:r>
            <w:r w:rsidR="00CB570A">
              <w:rPr>
                <w:rFonts w:eastAsia="Times New Roman"/>
                <w:szCs w:val="24"/>
                <w:lang w:eastAsia="cs-CZ"/>
              </w:rPr>
              <w:t> %</w:t>
            </w:r>
          </w:p>
        </w:tc>
      </w:tr>
      <w:tr w:rsidR="00AC1E67" w:rsidRPr="00A00187" w14:paraId="66091931" w14:textId="77777777" w:rsidTr="00641DB9">
        <w:trPr>
          <w:trHeight w:val="315"/>
        </w:trPr>
        <w:tc>
          <w:tcPr>
            <w:tcW w:w="2036" w:type="dxa"/>
            <w:tcBorders>
              <w:top w:val="nil"/>
              <w:left w:val="nil"/>
              <w:bottom w:val="single" w:sz="4" w:space="0" w:color="auto"/>
              <w:right w:val="nil"/>
            </w:tcBorders>
            <w:shd w:val="clear" w:color="auto" w:fill="auto"/>
            <w:noWrap/>
            <w:vAlign w:val="bottom"/>
            <w:hideMark/>
          </w:tcPr>
          <w:p w14:paraId="0D6BD02F"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KS Hr. Králové</w:t>
            </w:r>
          </w:p>
        </w:tc>
        <w:tc>
          <w:tcPr>
            <w:tcW w:w="898" w:type="dxa"/>
            <w:tcBorders>
              <w:top w:val="nil"/>
              <w:left w:val="nil"/>
              <w:bottom w:val="single" w:sz="4" w:space="0" w:color="auto"/>
              <w:right w:val="nil"/>
            </w:tcBorders>
            <w:shd w:val="clear" w:color="auto" w:fill="auto"/>
            <w:noWrap/>
            <w:vAlign w:val="bottom"/>
            <w:hideMark/>
          </w:tcPr>
          <w:p w14:paraId="7C1E62B4"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644</w:t>
            </w:r>
          </w:p>
        </w:tc>
        <w:tc>
          <w:tcPr>
            <w:tcW w:w="953" w:type="dxa"/>
            <w:tcBorders>
              <w:top w:val="nil"/>
              <w:left w:val="nil"/>
              <w:bottom w:val="single" w:sz="4" w:space="0" w:color="auto"/>
              <w:right w:val="nil"/>
            </w:tcBorders>
            <w:shd w:val="clear" w:color="auto" w:fill="auto"/>
            <w:noWrap/>
            <w:vAlign w:val="center"/>
            <w:hideMark/>
          </w:tcPr>
          <w:p w14:paraId="34BD861B" w14:textId="5999CD99"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44" w:type="dxa"/>
            <w:tcBorders>
              <w:top w:val="nil"/>
              <w:left w:val="single" w:sz="4" w:space="0" w:color="auto"/>
              <w:bottom w:val="single" w:sz="4" w:space="0" w:color="auto"/>
              <w:right w:val="nil"/>
            </w:tcBorders>
            <w:shd w:val="clear" w:color="auto" w:fill="auto"/>
            <w:noWrap/>
            <w:vAlign w:val="bottom"/>
            <w:hideMark/>
          </w:tcPr>
          <w:p w14:paraId="65CE973E"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795</w:t>
            </w:r>
          </w:p>
        </w:tc>
        <w:tc>
          <w:tcPr>
            <w:tcW w:w="953" w:type="dxa"/>
            <w:tcBorders>
              <w:top w:val="nil"/>
              <w:left w:val="nil"/>
              <w:bottom w:val="single" w:sz="4" w:space="0" w:color="auto"/>
              <w:right w:val="single" w:sz="4" w:space="0" w:color="auto"/>
            </w:tcBorders>
            <w:shd w:val="clear" w:color="auto" w:fill="auto"/>
            <w:noWrap/>
            <w:vAlign w:val="center"/>
            <w:hideMark/>
          </w:tcPr>
          <w:p w14:paraId="418D12C5" w14:textId="35579EE8"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07" w:type="dxa"/>
            <w:tcBorders>
              <w:top w:val="nil"/>
              <w:left w:val="nil"/>
              <w:bottom w:val="single" w:sz="4" w:space="0" w:color="auto"/>
              <w:right w:val="nil"/>
            </w:tcBorders>
            <w:shd w:val="clear" w:color="auto" w:fill="auto"/>
            <w:noWrap/>
            <w:vAlign w:val="bottom"/>
            <w:hideMark/>
          </w:tcPr>
          <w:p w14:paraId="5C15E2F6"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424</w:t>
            </w:r>
          </w:p>
        </w:tc>
        <w:tc>
          <w:tcPr>
            <w:tcW w:w="864" w:type="dxa"/>
            <w:tcBorders>
              <w:top w:val="nil"/>
              <w:left w:val="nil"/>
              <w:bottom w:val="single" w:sz="4" w:space="0" w:color="auto"/>
              <w:right w:val="single" w:sz="4" w:space="0" w:color="auto"/>
            </w:tcBorders>
            <w:shd w:val="clear" w:color="auto" w:fill="auto"/>
            <w:noWrap/>
            <w:vAlign w:val="center"/>
            <w:hideMark/>
          </w:tcPr>
          <w:p w14:paraId="4EB0D793" w14:textId="4BC0E780"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714B04EE" w14:textId="3A2B6FAD"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123,4</w:t>
            </w:r>
            <w:r w:rsidR="00CB570A">
              <w:rPr>
                <w:rFonts w:eastAsia="Times New Roman"/>
                <w:szCs w:val="24"/>
                <w:lang w:eastAsia="cs-CZ"/>
              </w:rPr>
              <w:t> %</w:t>
            </w:r>
          </w:p>
        </w:tc>
      </w:tr>
      <w:tr w:rsidR="00AC1E67" w:rsidRPr="00A00187" w14:paraId="434E675F" w14:textId="77777777" w:rsidTr="00641DB9">
        <w:trPr>
          <w:trHeight w:val="315"/>
        </w:trPr>
        <w:tc>
          <w:tcPr>
            <w:tcW w:w="2036" w:type="dxa"/>
            <w:tcBorders>
              <w:top w:val="nil"/>
              <w:left w:val="nil"/>
              <w:bottom w:val="single" w:sz="4" w:space="0" w:color="auto"/>
              <w:right w:val="nil"/>
            </w:tcBorders>
            <w:shd w:val="clear" w:color="auto" w:fill="auto"/>
            <w:noWrap/>
            <w:vAlign w:val="bottom"/>
            <w:hideMark/>
          </w:tcPr>
          <w:p w14:paraId="06185B06"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KS Brno</w:t>
            </w:r>
          </w:p>
        </w:tc>
        <w:tc>
          <w:tcPr>
            <w:tcW w:w="898" w:type="dxa"/>
            <w:tcBorders>
              <w:top w:val="nil"/>
              <w:left w:val="nil"/>
              <w:bottom w:val="single" w:sz="4" w:space="0" w:color="auto"/>
              <w:right w:val="nil"/>
            </w:tcBorders>
            <w:shd w:val="clear" w:color="auto" w:fill="auto"/>
            <w:noWrap/>
            <w:vAlign w:val="bottom"/>
            <w:hideMark/>
          </w:tcPr>
          <w:p w14:paraId="6F68B012"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1610</w:t>
            </w:r>
          </w:p>
        </w:tc>
        <w:tc>
          <w:tcPr>
            <w:tcW w:w="953" w:type="dxa"/>
            <w:tcBorders>
              <w:top w:val="nil"/>
              <w:left w:val="nil"/>
              <w:bottom w:val="single" w:sz="4" w:space="0" w:color="auto"/>
              <w:right w:val="nil"/>
            </w:tcBorders>
            <w:shd w:val="clear" w:color="auto" w:fill="auto"/>
            <w:noWrap/>
            <w:vAlign w:val="center"/>
            <w:hideMark/>
          </w:tcPr>
          <w:p w14:paraId="1E3799E7" w14:textId="7C7159BE"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044" w:type="dxa"/>
            <w:tcBorders>
              <w:top w:val="nil"/>
              <w:left w:val="single" w:sz="4" w:space="0" w:color="auto"/>
              <w:bottom w:val="single" w:sz="4" w:space="0" w:color="auto"/>
              <w:right w:val="nil"/>
            </w:tcBorders>
            <w:shd w:val="clear" w:color="auto" w:fill="auto"/>
            <w:noWrap/>
            <w:vAlign w:val="bottom"/>
            <w:hideMark/>
          </w:tcPr>
          <w:p w14:paraId="5617F408"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2005</w:t>
            </w:r>
          </w:p>
        </w:tc>
        <w:tc>
          <w:tcPr>
            <w:tcW w:w="953" w:type="dxa"/>
            <w:tcBorders>
              <w:top w:val="nil"/>
              <w:left w:val="nil"/>
              <w:bottom w:val="single" w:sz="4" w:space="0" w:color="auto"/>
              <w:right w:val="single" w:sz="4" w:space="0" w:color="auto"/>
            </w:tcBorders>
            <w:shd w:val="clear" w:color="auto" w:fill="auto"/>
            <w:noWrap/>
            <w:vAlign w:val="center"/>
            <w:hideMark/>
          </w:tcPr>
          <w:p w14:paraId="6FF9AAD3" w14:textId="7D7804A4"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07" w:type="dxa"/>
            <w:tcBorders>
              <w:top w:val="nil"/>
              <w:left w:val="nil"/>
              <w:bottom w:val="single" w:sz="4" w:space="0" w:color="auto"/>
              <w:right w:val="nil"/>
            </w:tcBorders>
            <w:shd w:val="clear" w:color="auto" w:fill="auto"/>
            <w:noWrap/>
            <w:vAlign w:val="bottom"/>
            <w:hideMark/>
          </w:tcPr>
          <w:p w14:paraId="581B4B46"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1703</w:t>
            </w:r>
          </w:p>
        </w:tc>
        <w:tc>
          <w:tcPr>
            <w:tcW w:w="864" w:type="dxa"/>
            <w:tcBorders>
              <w:top w:val="nil"/>
              <w:left w:val="nil"/>
              <w:bottom w:val="single" w:sz="4" w:space="0" w:color="auto"/>
              <w:right w:val="single" w:sz="4" w:space="0" w:color="auto"/>
            </w:tcBorders>
            <w:shd w:val="clear" w:color="auto" w:fill="auto"/>
            <w:noWrap/>
            <w:vAlign w:val="center"/>
            <w:hideMark/>
          </w:tcPr>
          <w:p w14:paraId="2A23A88E" w14:textId="427E022D"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3506072F" w14:textId="0C0F13BC"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124,5</w:t>
            </w:r>
            <w:r w:rsidR="00CB570A">
              <w:t> %</w:t>
            </w:r>
          </w:p>
        </w:tc>
      </w:tr>
      <w:tr w:rsidR="00AC1E67" w:rsidRPr="00A00187" w14:paraId="7E8ADBBC" w14:textId="77777777" w:rsidTr="00641DB9">
        <w:trPr>
          <w:trHeight w:val="330"/>
        </w:trPr>
        <w:tc>
          <w:tcPr>
            <w:tcW w:w="2036" w:type="dxa"/>
            <w:tcBorders>
              <w:top w:val="nil"/>
              <w:left w:val="nil"/>
              <w:bottom w:val="double" w:sz="6" w:space="0" w:color="auto"/>
              <w:right w:val="nil"/>
            </w:tcBorders>
            <w:shd w:val="clear" w:color="auto" w:fill="auto"/>
            <w:noWrap/>
            <w:vAlign w:val="bottom"/>
            <w:hideMark/>
          </w:tcPr>
          <w:p w14:paraId="31E0846D" w14:textId="77777777" w:rsidR="00697801" w:rsidRPr="00A00187" w:rsidRDefault="00697801" w:rsidP="00697801">
            <w:pPr>
              <w:spacing w:line="240" w:lineRule="auto"/>
              <w:jc w:val="left"/>
              <w:rPr>
                <w:rFonts w:eastAsia="Times New Roman"/>
                <w:szCs w:val="24"/>
                <w:lang w:eastAsia="cs-CZ"/>
              </w:rPr>
            </w:pPr>
            <w:r w:rsidRPr="00A00187">
              <w:rPr>
                <w:rFonts w:eastAsia="Times New Roman"/>
                <w:szCs w:val="24"/>
                <w:lang w:eastAsia="cs-CZ"/>
              </w:rPr>
              <w:t>KS Ostrava</w:t>
            </w:r>
          </w:p>
        </w:tc>
        <w:tc>
          <w:tcPr>
            <w:tcW w:w="898" w:type="dxa"/>
            <w:tcBorders>
              <w:top w:val="nil"/>
              <w:left w:val="nil"/>
              <w:bottom w:val="double" w:sz="6" w:space="0" w:color="auto"/>
              <w:right w:val="nil"/>
            </w:tcBorders>
            <w:shd w:val="clear" w:color="auto" w:fill="auto"/>
            <w:noWrap/>
            <w:vAlign w:val="bottom"/>
            <w:hideMark/>
          </w:tcPr>
          <w:p w14:paraId="0D450611"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1226</w:t>
            </w:r>
          </w:p>
        </w:tc>
        <w:tc>
          <w:tcPr>
            <w:tcW w:w="953" w:type="dxa"/>
            <w:tcBorders>
              <w:top w:val="nil"/>
              <w:left w:val="nil"/>
              <w:bottom w:val="double" w:sz="6" w:space="0" w:color="auto"/>
              <w:right w:val="nil"/>
            </w:tcBorders>
            <w:shd w:val="clear" w:color="auto" w:fill="auto"/>
            <w:noWrap/>
            <w:vAlign w:val="center"/>
            <w:hideMark/>
          </w:tcPr>
          <w:p w14:paraId="2C06840E" w14:textId="238CD532"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044" w:type="dxa"/>
            <w:tcBorders>
              <w:top w:val="nil"/>
              <w:left w:val="single" w:sz="4" w:space="0" w:color="auto"/>
              <w:bottom w:val="double" w:sz="6" w:space="0" w:color="auto"/>
              <w:right w:val="nil"/>
            </w:tcBorders>
            <w:shd w:val="clear" w:color="auto" w:fill="auto"/>
            <w:noWrap/>
            <w:vAlign w:val="bottom"/>
            <w:hideMark/>
          </w:tcPr>
          <w:p w14:paraId="1104EAAD"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1356</w:t>
            </w:r>
          </w:p>
        </w:tc>
        <w:tc>
          <w:tcPr>
            <w:tcW w:w="953" w:type="dxa"/>
            <w:tcBorders>
              <w:top w:val="nil"/>
              <w:left w:val="nil"/>
              <w:bottom w:val="double" w:sz="6" w:space="0" w:color="auto"/>
              <w:right w:val="single" w:sz="4" w:space="0" w:color="auto"/>
            </w:tcBorders>
            <w:shd w:val="clear" w:color="auto" w:fill="auto"/>
            <w:noWrap/>
            <w:vAlign w:val="center"/>
            <w:hideMark/>
          </w:tcPr>
          <w:p w14:paraId="04AB9D4F" w14:textId="00570A08"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07" w:type="dxa"/>
            <w:tcBorders>
              <w:top w:val="nil"/>
              <w:left w:val="nil"/>
              <w:bottom w:val="double" w:sz="6" w:space="0" w:color="auto"/>
              <w:right w:val="nil"/>
            </w:tcBorders>
            <w:shd w:val="clear" w:color="auto" w:fill="auto"/>
            <w:noWrap/>
            <w:vAlign w:val="bottom"/>
            <w:hideMark/>
          </w:tcPr>
          <w:p w14:paraId="46BE847D" w14:textId="77777777"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693</w:t>
            </w:r>
          </w:p>
        </w:tc>
        <w:tc>
          <w:tcPr>
            <w:tcW w:w="864" w:type="dxa"/>
            <w:tcBorders>
              <w:top w:val="nil"/>
              <w:left w:val="nil"/>
              <w:bottom w:val="double" w:sz="6" w:space="0" w:color="auto"/>
              <w:right w:val="single" w:sz="4" w:space="0" w:color="auto"/>
            </w:tcBorders>
            <w:shd w:val="clear" w:color="auto" w:fill="auto"/>
            <w:noWrap/>
            <w:vAlign w:val="center"/>
            <w:hideMark/>
          </w:tcPr>
          <w:p w14:paraId="15ED905F" w14:textId="772648AB" w:rsidR="00697801" w:rsidRPr="00A00187" w:rsidRDefault="00697801" w:rsidP="00641DB9">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1559" w:type="dxa"/>
            <w:tcBorders>
              <w:top w:val="nil"/>
              <w:left w:val="nil"/>
              <w:bottom w:val="nil"/>
              <w:right w:val="nil"/>
            </w:tcBorders>
            <w:shd w:val="clear" w:color="auto" w:fill="auto"/>
            <w:noWrap/>
            <w:vAlign w:val="center"/>
            <w:hideMark/>
          </w:tcPr>
          <w:p w14:paraId="55C841A3" w14:textId="06B67ECE" w:rsidR="00697801" w:rsidRPr="00A00187" w:rsidRDefault="00697801" w:rsidP="00697801">
            <w:pPr>
              <w:spacing w:line="240" w:lineRule="auto"/>
              <w:jc w:val="center"/>
              <w:rPr>
                <w:rFonts w:eastAsia="Times New Roman"/>
                <w:szCs w:val="24"/>
                <w:lang w:eastAsia="cs-CZ"/>
              </w:rPr>
            </w:pPr>
            <w:r w:rsidRPr="00A00187">
              <w:rPr>
                <w:rFonts w:eastAsia="Times New Roman"/>
                <w:szCs w:val="24"/>
                <w:lang w:eastAsia="cs-CZ"/>
              </w:rPr>
              <w:t>110,6</w:t>
            </w:r>
            <w:r w:rsidR="00CB570A">
              <w:t> %</w:t>
            </w:r>
          </w:p>
        </w:tc>
      </w:tr>
      <w:tr w:rsidR="00AC1E67" w:rsidRPr="00A00187" w14:paraId="17B831EB" w14:textId="77777777" w:rsidTr="00641DB9">
        <w:trPr>
          <w:trHeight w:val="345"/>
        </w:trPr>
        <w:tc>
          <w:tcPr>
            <w:tcW w:w="2036" w:type="dxa"/>
            <w:tcBorders>
              <w:top w:val="nil"/>
              <w:left w:val="nil"/>
              <w:bottom w:val="double" w:sz="6" w:space="0" w:color="auto"/>
              <w:right w:val="nil"/>
            </w:tcBorders>
            <w:shd w:val="clear" w:color="auto" w:fill="auto"/>
            <w:noWrap/>
            <w:vAlign w:val="bottom"/>
            <w:hideMark/>
          </w:tcPr>
          <w:p w14:paraId="301CAD1D" w14:textId="77777777" w:rsidR="00697801" w:rsidRPr="00A00187" w:rsidRDefault="00697801" w:rsidP="00697801">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898" w:type="dxa"/>
            <w:tcBorders>
              <w:top w:val="nil"/>
              <w:left w:val="nil"/>
              <w:bottom w:val="double" w:sz="6" w:space="0" w:color="auto"/>
              <w:right w:val="nil"/>
            </w:tcBorders>
            <w:shd w:val="clear" w:color="auto" w:fill="auto"/>
            <w:noWrap/>
            <w:vAlign w:val="bottom"/>
            <w:hideMark/>
          </w:tcPr>
          <w:p w14:paraId="572A0814"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9 305</w:t>
            </w:r>
          </w:p>
        </w:tc>
        <w:tc>
          <w:tcPr>
            <w:tcW w:w="953" w:type="dxa"/>
            <w:tcBorders>
              <w:top w:val="nil"/>
              <w:left w:val="nil"/>
              <w:bottom w:val="double" w:sz="6" w:space="0" w:color="auto"/>
              <w:right w:val="nil"/>
            </w:tcBorders>
            <w:shd w:val="clear" w:color="auto" w:fill="auto"/>
            <w:noWrap/>
            <w:vAlign w:val="center"/>
            <w:hideMark/>
          </w:tcPr>
          <w:p w14:paraId="0284B93E" w14:textId="6CDBACB6" w:rsidR="00697801" w:rsidRPr="00A00187" w:rsidRDefault="00697801"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-7</w:t>
            </w:r>
            <w:r w:rsidR="00CB570A">
              <w:rPr>
                <w:rFonts w:eastAsia="Times New Roman"/>
                <w:b/>
                <w:bCs/>
                <w:sz w:val="20"/>
                <w:szCs w:val="20"/>
                <w:lang w:eastAsia="cs-CZ"/>
              </w:rPr>
              <w:t> %</w:t>
            </w:r>
          </w:p>
        </w:tc>
        <w:tc>
          <w:tcPr>
            <w:tcW w:w="1044" w:type="dxa"/>
            <w:tcBorders>
              <w:top w:val="nil"/>
              <w:left w:val="single" w:sz="4" w:space="0" w:color="auto"/>
              <w:bottom w:val="double" w:sz="6" w:space="0" w:color="auto"/>
              <w:right w:val="nil"/>
            </w:tcBorders>
            <w:shd w:val="clear" w:color="auto" w:fill="auto"/>
            <w:noWrap/>
            <w:vAlign w:val="bottom"/>
            <w:hideMark/>
          </w:tcPr>
          <w:p w14:paraId="38C3280F"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11 064</w:t>
            </w:r>
          </w:p>
        </w:tc>
        <w:tc>
          <w:tcPr>
            <w:tcW w:w="953" w:type="dxa"/>
            <w:tcBorders>
              <w:top w:val="nil"/>
              <w:left w:val="nil"/>
              <w:bottom w:val="double" w:sz="6" w:space="0" w:color="auto"/>
              <w:right w:val="single" w:sz="4" w:space="0" w:color="auto"/>
            </w:tcBorders>
            <w:shd w:val="clear" w:color="auto" w:fill="auto"/>
            <w:noWrap/>
            <w:vAlign w:val="center"/>
            <w:hideMark/>
          </w:tcPr>
          <w:p w14:paraId="31E4AB8F" w14:textId="26289186" w:rsidR="00697801" w:rsidRPr="00A00187" w:rsidRDefault="00697801"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907" w:type="dxa"/>
            <w:tcBorders>
              <w:top w:val="nil"/>
              <w:left w:val="nil"/>
              <w:bottom w:val="double" w:sz="6" w:space="0" w:color="auto"/>
              <w:right w:val="nil"/>
            </w:tcBorders>
            <w:shd w:val="clear" w:color="auto" w:fill="auto"/>
            <w:noWrap/>
            <w:vAlign w:val="bottom"/>
            <w:hideMark/>
          </w:tcPr>
          <w:p w14:paraId="2C964AD7" w14:textId="77777777"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8 023</w:t>
            </w:r>
          </w:p>
        </w:tc>
        <w:tc>
          <w:tcPr>
            <w:tcW w:w="864" w:type="dxa"/>
            <w:tcBorders>
              <w:top w:val="nil"/>
              <w:left w:val="nil"/>
              <w:bottom w:val="double" w:sz="6" w:space="0" w:color="auto"/>
              <w:right w:val="single" w:sz="4" w:space="0" w:color="auto"/>
            </w:tcBorders>
            <w:shd w:val="clear" w:color="auto" w:fill="auto"/>
            <w:noWrap/>
            <w:vAlign w:val="center"/>
            <w:hideMark/>
          </w:tcPr>
          <w:p w14:paraId="1CC1F54C" w14:textId="12BEBD89" w:rsidR="00697801" w:rsidRPr="00A00187" w:rsidRDefault="00697801"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-18</w:t>
            </w:r>
            <w:r w:rsidR="00CB570A">
              <w:rPr>
                <w:rFonts w:eastAsia="Times New Roman"/>
                <w:b/>
                <w:bCs/>
                <w:sz w:val="20"/>
                <w:szCs w:val="20"/>
                <w:lang w:eastAsia="cs-CZ"/>
              </w:rPr>
              <w:t> %</w:t>
            </w:r>
          </w:p>
        </w:tc>
        <w:tc>
          <w:tcPr>
            <w:tcW w:w="1559" w:type="dxa"/>
            <w:tcBorders>
              <w:top w:val="double" w:sz="6" w:space="0" w:color="auto"/>
              <w:left w:val="nil"/>
              <w:bottom w:val="double" w:sz="6" w:space="0" w:color="auto"/>
              <w:right w:val="nil"/>
            </w:tcBorders>
            <w:shd w:val="clear" w:color="auto" w:fill="auto"/>
            <w:noWrap/>
            <w:vAlign w:val="center"/>
            <w:hideMark/>
          </w:tcPr>
          <w:p w14:paraId="57EC1A42" w14:textId="20B7CDCA" w:rsidR="00697801" w:rsidRPr="00A00187" w:rsidRDefault="00697801" w:rsidP="00697801">
            <w:pPr>
              <w:spacing w:line="240" w:lineRule="auto"/>
              <w:jc w:val="center"/>
              <w:rPr>
                <w:rFonts w:eastAsia="Times New Roman"/>
                <w:b/>
                <w:bCs/>
                <w:szCs w:val="24"/>
                <w:lang w:eastAsia="cs-CZ"/>
              </w:rPr>
            </w:pPr>
            <w:r w:rsidRPr="00A00187">
              <w:rPr>
                <w:rFonts w:eastAsia="Times New Roman"/>
                <w:b/>
                <w:bCs/>
                <w:szCs w:val="24"/>
                <w:lang w:eastAsia="cs-CZ"/>
              </w:rPr>
              <w:t>118,9</w:t>
            </w:r>
            <w:r w:rsidR="00CB570A">
              <w:rPr>
                <w:rFonts w:eastAsia="Times New Roman"/>
                <w:b/>
                <w:bCs/>
                <w:szCs w:val="24"/>
                <w:lang w:eastAsia="cs-CZ"/>
              </w:rPr>
              <w:t> %</w:t>
            </w:r>
          </w:p>
        </w:tc>
      </w:tr>
      <w:tr w:rsidR="00AC1E67" w:rsidRPr="00A00187" w14:paraId="7F372309" w14:textId="77777777" w:rsidTr="00641DB9">
        <w:trPr>
          <w:trHeight w:val="330"/>
        </w:trPr>
        <w:tc>
          <w:tcPr>
            <w:tcW w:w="2036" w:type="dxa"/>
            <w:tcBorders>
              <w:top w:val="nil"/>
              <w:left w:val="nil"/>
              <w:bottom w:val="nil"/>
              <w:right w:val="nil"/>
            </w:tcBorders>
            <w:shd w:val="clear" w:color="auto" w:fill="auto"/>
            <w:noWrap/>
            <w:vAlign w:val="bottom"/>
            <w:hideMark/>
          </w:tcPr>
          <w:p w14:paraId="105FB2FB" w14:textId="77777777" w:rsidR="00697801" w:rsidRPr="00A00187" w:rsidRDefault="00697801" w:rsidP="00357C62">
            <w:pPr>
              <w:shd w:val="clear" w:color="auto" w:fill="FFFFFF" w:themeFill="background1"/>
              <w:spacing w:line="240" w:lineRule="auto"/>
              <w:jc w:val="center"/>
              <w:rPr>
                <w:rFonts w:eastAsia="Times New Roman"/>
                <w:b/>
                <w:bCs/>
                <w:szCs w:val="24"/>
                <w:lang w:eastAsia="cs-CZ"/>
              </w:rPr>
            </w:pPr>
          </w:p>
        </w:tc>
        <w:tc>
          <w:tcPr>
            <w:tcW w:w="898" w:type="dxa"/>
            <w:tcBorders>
              <w:top w:val="nil"/>
              <w:left w:val="nil"/>
              <w:bottom w:val="nil"/>
              <w:right w:val="nil"/>
            </w:tcBorders>
            <w:shd w:val="clear" w:color="auto" w:fill="auto"/>
            <w:noWrap/>
            <w:vAlign w:val="bottom"/>
            <w:hideMark/>
          </w:tcPr>
          <w:p w14:paraId="4261F9E9" w14:textId="77777777" w:rsidR="00697801" w:rsidRPr="00A00187" w:rsidRDefault="00697801" w:rsidP="00357C62">
            <w:pPr>
              <w:shd w:val="clear" w:color="auto" w:fill="FFFFFF" w:themeFill="background1"/>
              <w:spacing w:line="240" w:lineRule="auto"/>
              <w:jc w:val="left"/>
              <w:rPr>
                <w:rFonts w:ascii="Times New Roman" w:eastAsia="Times New Roman" w:hAnsi="Times New Roman"/>
                <w:sz w:val="20"/>
                <w:szCs w:val="20"/>
                <w:lang w:eastAsia="cs-CZ"/>
              </w:rPr>
            </w:pPr>
          </w:p>
        </w:tc>
        <w:tc>
          <w:tcPr>
            <w:tcW w:w="953" w:type="dxa"/>
            <w:tcBorders>
              <w:top w:val="nil"/>
              <w:left w:val="nil"/>
              <w:bottom w:val="nil"/>
              <w:right w:val="nil"/>
            </w:tcBorders>
            <w:shd w:val="clear" w:color="auto" w:fill="auto"/>
            <w:noWrap/>
            <w:vAlign w:val="bottom"/>
            <w:hideMark/>
          </w:tcPr>
          <w:p w14:paraId="43BD385C" w14:textId="77777777" w:rsidR="00697801" w:rsidRPr="00A00187" w:rsidRDefault="00697801" w:rsidP="00357C62">
            <w:pPr>
              <w:shd w:val="clear" w:color="auto" w:fill="FFFFFF" w:themeFill="background1"/>
              <w:spacing w:line="240" w:lineRule="auto"/>
              <w:jc w:val="left"/>
              <w:rPr>
                <w:rFonts w:ascii="Times New Roman" w:eastAsia="Times New Roman" w:hAnsi="Times New Roman"/>
                <w:sz w:val="20"/>
                <w:szCs w:val="20"/>
                <w:lang w:eastAsia="cs-CZ"/>
              </w:rPr>
            </w:pPr>
          </w:p>
        </w:tc>
        <w:tc>
          <w:tcPr>
            <w:tcW w:w="1044" w:type="dxa"/>
            <w:tcBorders>
              <w:top w:val="nil"/>
              <w:left w:val="nil"/>
              <w:bottom w:val="nil"/>
              <w:right w:val="nil"/>
            </w:tcBorders>
            <w:shd w:val="clear" w:color="auto" w:fill="auto"/>
            <w:noWrap/>
            <w:vAlign w:val="bottom"/>
            <w:hideMark/>
          </w:tcPr>
          <w:p w14:paraId="4D27FDA8" w14:textId="77777777" w:rsidR="00697801" w:rsidRPr="00A00187" w:rsidRDefault="00697801" w:rsidP="00357C62">
            <w:pPr>
              <w:shd w:val="clear" w:color="auto" w:fill="FFFFFF" w:themeFill="background1"/>
              <w:spacing w:line="240" w:lineRule="auto"/>
              <w:jc w:val="left"/>
              <w:rPr>
                <w:rFonts w:ascii="Times New Roman" w:eastAsia="Times New Roman" w:hAnsi="Times New Roman"/>
                <w:sz w:val="20"/>
                <w:szCs w:val="20"/>
                <w:lang w:eastAsia="cs-CZ"/>
              </w:rPr>
            </w:pPr>
          </w:p>
        </w:tc>
        <w:tc>
          <w:tcPr>
            <w:tcW w:w="953" w:type="dxa"/>
            <w:tcBorders>
              <w:top w:val="nil"/>
              <w:left w:val="nil"/>
              <w:bottom w:val="nil"/>
              <w:right w:val="nil"/>
            </w:tcBorders>
            <w:shd w:val="clear" w:color="auto" w:fill="auto"/>
            <w:noWrap/>
            <w:vAlign w:val="bottom"/>
            <w:hideMark/>
          </w:tcPr>
          <w:p w14:paraId="123B06E0" w14:textId="77777777" w:rsidR="00697801" w:rsidRPr="00A00187" w:rsidRDefault="00697801" w:rsidP="00357C62">
            <w:pPr>
              <w:shd w:val="clear" w:color="auto" w:fill="FFFFFF" w:themeFill="background1"/>
              <w:spacing w:line="240" w:lineRule="auto"/>
              <w:jc w:val="left"/>
              <w:rPr>
                <w:rFonts w:ascii="Times New Roman" w:eastAsia="Times New Roman" w:hAnsi="Times New Roman"/>
                <w:sz w:val="20"/>
                <w:szCs w:val="20"/>
                <w:lang w:eastAsia="cs-CZ"/>
              </w:rPr>
            </w:pPr>
          </w:p>
        </w:tc>
        <w:tc>
          <w:tcPr>
            <w:tcW w:w="907" w:type="dxa"/>
            <w:tcBorders>
              <w:top w:val="nil"/>
              <w:left w:val="nil"/>
              <w:bottom w:val="nil"/>
              <w:right w:val="nil"/>
            </w:tcBorders>
            <w:shd w:val="clear" w:color="auto" w:fill="auto"/>
            <w:noWrap/>
            <w:vAlign w:val="bottom"/>
            <w:hideMark/>
          </w:tcPr>
          <w:p w14:paraId="7D8387FA" w14:textId="77777777" w:rsidR="00697801" w:rsidRPr="00A00187" w:rsidRDefault="00697801" w:rsidP="00357C62">
            <w:pPr>
              <w:shd w:val="clear" w:color="auto" w:fill="FFFFFF" w:themeFill="background1"/>
              <w:spacing w:line="240" w:lineRule="auto"/>
              <w:jc w:val="left"/>
              <w:rPr>
                <w:rFonts w:ascii="Times New Roman" w:eastAsia="Times New Roman" w:hAnsi="Times New Roman"/>
                <w:sz w:val="20"/>
                <w:szCs w:val="20"/>
                <w:lang w:eastAsia="cs-CZ"/>
              </w:rPr>
            </w:pPr>
          </w:p>
        </w:tc>
        <w:tc>
          <w:tcPr>
            <w:tcW w:w="864" w:type="dxa"/>
            <w:tcBorders>
              <w:top w:val="nil"/>
              <w:left w:val="nil"/>
              <w:bottom w:val="nil"/>
              <w:right w:val="nil"/>
            </w:tcBorders>
            <w:shd w:val="clear" w:color="auto" w:fill="auto"/>
            <w:noWrap/>
            <w:vAlign w:val="bottom"/>
            <w:hideMark/>
          </w:tcPr>
          <w:p w14:paraId="3A048266" w14:textId="77777777" w:rsidR="00697801" w:rsidRPr="00A00187" w:rsidRDefault="00697801" w:rsidP="00357C62">
            <w:pPr>
              <w:shd w:val="clear" w:color="auto" w:fill="FFFFFF" w:themeFill="background1"/>
              <w:spacing w:line="240" w:lineRule="auto"/>
              <w:jc w:val="left"/>
              <w:rPr>
                <w:rFonts w:ascii="Times New Roman" w:eastAsia="Times New Roman" w:hAnsi="Times New Roman"/>
                <w:sz w:val="20"/>
                <w:szCs w:val="20"/>
                <w:lang w:eastAsia="cs-CZ"/>
              </w:rPr>
            </w:pPr>
          </w:p>
        </w:tc>
        <w:tc>
          <w:tcPr>
            <w:tcW w:w="1559" w:type="dxa"/>
            <w:tcBorders>
              <w:top w:val="nil"/>
              <w:left w:val="nil"/>
              <w:bottom w:val="nil"/>
              <w:right w:val="nil"/>
            </w:tcBorders>
            <w:shd w:val="clear" w:color="auto" w:fill="auto"/>
            <w:noWrap/>
            <w:vAlign w:val="bottom"/>
            <w:hideMark/>
          </w:tcPr>
          <w:p w14:paraId="5A0B5134" w14:textId="77777777" w:rsidR="00697801" w:rsidRPr="00A00187" w:rsidRDefault="00697801" w:rsidP="00357C62">
            <w:pPr>
              <w:shd w:val="clear" w:color="auto" w:fill="FFFFFF" w:themeFill="background1"/>
              <w:spacing w:line="240" w:lineRule="auto"/>
              <w:jc w:val="left"/>
              <w:rPr>
                <w:rFonts w:ascii="Times New Roman" w:eastAsia="Times New Roman" w:hAnsi="Times New Roman"/>
                <w:sz w:val="20"/>
                <w:szCs w:val="20"/>
                <w:lang w:eastAsia="cs-CZ"/>
              </w:rPr>
            </w:pPr>
          </w:p>
        </w:tc>
      </w:tr>
    </w:tbl>
    <w:p w14:paraId="4F16BFF1" w14:textId="0CC9241D" w:rsidR="00401B58" w:rsidRPr="00A00187" w:rsidRDefault="00697801" w:rsidP="00357C62">
      <w:pPr>
        <w:pStyle w:val="OdstavecASR"/>
        <w:shd w:val="clear" w:color="auto" w:fill="FFFFFF" w:themeFill="background1"/>
      </w:pPr>
      <w:r w:rsidRPr="00A00187">
        <w:t xml:space="preserve">Z jednotlivých soudů dokázaly v roce </w:t>
      </w:r>
      <w:r w:rsidR="00524AD4" w:rsidRPr="00A00187">
        <w:t xml:space="preserve">2021 </w:t>
      </w:r>
      <w:r w:rsidRPr="00A00187">
        <w:t>vyřídit stejně nebo více věcí, než přišlo, všechny soudy kromě KS v Českých Budějovicích</w:t>
      </w:r>
      <w:r w:rsidR="00505617" w:rsidRPr="00A00187">
        <w:t xml:space="preserve"> (tento soud ale dlouhodobě vykazuje ve správní agendě </w:t>
      </w:r>
      <w:r w:rsidR="00D94199" w:rsidRPr="00A00187">
        <w:t>dobré výsledky</w:t>
      </w:r>
      <w:r w:rsidR="00505617" w:rsidRPr="00A00187">
        <w:t xml:space="preserve">). Pokles v počtu nevyřízených věcí byl </w:t>
      </w:r>
      <w:r w:rsidR="00755920" w:rsidRPr="00A00187">
        <w:t>u</w:t>
      </w:r>
      <w:r w:rsidR="00755920">
        <w:t> </w:t>
      </w:r>
      <w:r w:rsidR="00505617" w:rsidRPr="00A00187">
        <w:t xml:space="preserve">všech </w:t>
      </w:r>
      <w:r w:rsidR="006E2675" w:rsidRPr="00A00187">
        <w:t xml:space="preserve">ostatních </w:t>
      </w:r>
      <w:r w:rsidR="00505617" w:rsidRPr="00A00187">
        <w:t>soud</w:t>
      </w:r>
      <w:r w:rsidR="006E2675" w:rsidRPr="00A00187">
        <w:t>ů</w:t>
      </w:r>
      <w:r w:rsidR="00505617" w:rsidRPr="00A00187">
        <w:t xml:space="preserve"> výrazný (11 až 27</w:t>
      </w:r>
      <w:r w:rsidR="00CB570A">
        <w:t> %</w:t>
      </w:r>
      <w:r w:rsidR="00505617" w:rsidRPr="00A00187">
        <w:t>).</w:t>
      </w:r>
    </w:p>
    <w:p w14:paraId="575F89C7" w14:textId="0AD601FB" w:rsidR="00697801" w:rsidRPr="00A00187" w:rsidRDefault="00697801" w:rsidP="00357C62">
      <w:pPr>
        <w:pStyle w:val="OdstavecASR"/>
        <w:shd w:val="clear" w:color="auto" w:fill="FFFFFF" w:themeFill="background1"/>
      </w:pPr>
      <w:r w:rsidRPr="00A00187">
        <w:t>Data v této podkapitole nejsou nijak normalizována, takže nelze činit závěry o celkové zatíženosti jednotlivých soudů. K tomu slouží ostatní podkapitoly.</w:t>
      </w:r>
    </w:p>
    <w:p w14:paraId="6E7369B9" w14:textId="22FB3F15" w:rsidR="00505617" w:rsidRPr="00A00187" w:rsidRDefault="00505617" w:rsidP="00505617">
      <w:pPr>
        <w:pStyle w:val="OdstavecASR"/>
      </w:pPr>
      <w:r w:rsidRPr="00A00187">
        <w:t xml:space="preserve">U správní agendy rovněž můžeme zkoumat, jak se měnilo složení příchozích věcí. K tomu slouží následující skládaný plošný graf. Graf ukazuje, že </w:t>
      </w:r>
      <w:r w:rsidR="007A1371" w:rsidRPr="00A00187">
        <w:t>v letech</w:t>
      </w:r>
      <w:r w:rsidRPr="00A00187">
        <w:t xml:space="preserve"> 2012</w:t>
      </w:r>
      <w:r w:rsidR="007A1371" w:rsidRPr="00A00187">
        <w:t>-2018</w:t>
      </w:r>
      <w:r w:rsidRPr="00A00187">
        <w:t xml:space="preserve"> rost</w:t>
      </w:r>
      <w:r w:rsidR="007A1371" w:rsidRPr="00A00187">
        <w:t>l</w:t>
      </w:r>
      <w:r w:rsidRPr="00A00187">
        <w:t xml:space="preserve"> počet příchozích věcí ve všeobecné správní agendě (rejstřík A). V roce 2012, kdy začal růst </w:t>
      </w:r>
      <w:r w:rsidR="00D94199" w:rsidRPr="00A00187">
        <w:t>počet věcí zapisovaných do</w:t>
      </w:r>
      <w:r w:rsidRPr="00A00187">
        <w:t xml:space="preserve"> </w:t>
      </w:r>
      <w:r w:rsidRPr="00A00187">
        <w:lastRenderedPageBreak/>
        <w:t>rejstřík</w:t>
      </w:r>
      <w:r w:rsidR="00D94199" w:rsidRPr="00A00187">
        <w:t>u</w:t>
      </w:r>
      <w:r w:rsidRPr="00A00187">
        <w:t xml:space="preserve"> A, byl počet příchozích věcí v tomto rejstříku 3 895 (45,4</w:t>
      </w:r>
      <w:r w:rsidR="00CB570A">
        <w:t> %</w:t>
      </w:r>
      <w:r w:rsidRPr="00A00187">
        <w:t xml:space="preserve"> celkového počtu příchozích věcí ve správním soudnictví). V roce 2018 </w:t>
      </w:r>
      <w:r w:rsidR="00D94199" w:rsidRPr="00A00187">
        <w:t>pak</w:t>
      </w:r>
      <w:r w:rsidR="00AF260E" w:rsidRPr="00A00187">
        <w:t xml:space="preserve"> </w:t>
      </w:r>
      <w:r w:rsidRPr="00A00187">
        <w:t>7 002 věcí (62,9</w:t>
      </w:r>
      <w:r w:rsidR="00CB570A">
        <w:t> %</w:t>
      </w:r>
      <w:r w:rsidRPr="00A00187">
        <w:t xml:space="preserve"> z celkového počtu). V posledních letech roste také azylová agenda (rejstřík </w:t>
      </w:r>
      <w:proofErr w:type="spellStart"/>
      <w:r w:rsidRPr="00A00187">
        <w:t>Az</w:t>
      </w:r>
      <w:proofErr w:type="spellEnd"/>
      <w:r w:rsidRPr="00A00187">
        <w:t xml:space="preserve">). V roce 2019 došlo k poklesu </w:t>
      </w:r>
      <w:r w:rsidR="00D94199" w:rsidRPr="00A00187">
        <w:t xml:space="preserve">věcí zapsaných </w:t>
      </w:r>
      <w:r w:rsidRPr="00A00187">
        <w:t xml:space="preserve">především </w:t>
      </w:r>
      <w:r w:rsidR="00D94199" w:rsidRPr="00A00187">
        <w:t>do</w:t>
      </w:r>
      <w:r w:rsidRPr="00A00187">
        <w:t xml:space="preserve"> rejstříku A, mírně rovněž </w:t>
      </w:r>
      <w:r w:rsidR="00D94199" w:rsidRPr="00A00187">
        <w:t>do</w:t>
      </w:r>
      <w:r w:rsidRPr="00A00187">
        <w:t xml:space="preserve"> rejstříku </w:t>
      </w:r>
      <w:proofErr w:type="spellStart"/>
      <w:r w:rsidRPr="00A00187">
        <w:t>Af</w:t>
      </w:r>
      <w:proofErr w:type="spellEnd"/>
      <w:r w:rsidRPr="00A00187">
        <w:t xml:space="preserve">. Naopak poněkud </w:t>
      </w:r>
      <w:r w:rsidR="00D94199" w:rsidRPr="00A00187">
        <w:t>vzrostl počet věcí zapsaných do</w:t>
      </w:r>
      <w:r w:rsidR="00AF260E" w:rsidRPr="00A00187">
        <w:t xml:space="preserve"> </w:t>
      </w:r>
      <w:r w:rsidRPr="00A00187">
        <w:t>rejstřík</w:t>
      </w:r>
      <w:r w:rsidR="00D94199" w:rsidRPr="00A00187">
        <w:t>u</w:t>
      </w:r>
      <w:r w:rsidR="00AF260E" w:rsidRPr="00A00187">
        <w:t xml:space="preserve"> </w:t>
      </w:r>
      <w:proofErr w:type="spellStart"/>
      <w:r w:rsidRPr="00A00187">
        <w:t>Az</w:t>
      </w:r>
      <w:proofErr w:type="spellEnd"/>
      <w:r w:rsidRPr="00A00187">
        <w:t>. V </w:t>
      </w:r>
      <w:r w:rsidR="00F0024F" w:rsidRPr="00A00187">
        <w:t>letech</w:t>
      </w:r>
      <w:r w:rsidRPr="00A00187">
        <w:t xml:space="preserve"> 2020</w:t>
      </w:r>
      <w:r w:rsidR="00F0024F" w:rsidRPr="00A00187">
        <w:t xml:space="preserve"> </w:t>
      </w:r>
      <w:r w:rsidR="00755920" w:rsidRPr="00A00187">
        <w:t>a</w:t>
      </w:r>
      <w:r w:rsidR="00755920">
        <w:t> </w:t>
      </w:r>
      <w:r w:rsidR="00F0024F" w:rsidRPr="00A00187">
        <w:t>2021</w:t>
      </w:r>
      <w:r w:rsidRPr="00A00187">
        <w:t xml:space="preserve"> pokračoval pokles </w:t>
      </w:r>
      <w:r w:rsidR="00D94199" w:rsidRPr="00A00187">
        <w:t>poč</w:t>
      </w:r>
      <w:r w:rsidR="00AF260E" w:rsidRPr="00A00187">
        <w:t>tu</w:t>
      </w:r>
      <w:r w:rsidR="00D94199" w:rsidRPr="00A00187">
        <w:t xml:space="preserve"> věcí zapsaných do </w:t>
      </w:r>
      <w:r w:rsidRPr="00A00187">
        <w:t>rejstříku A.</w:t>
      </w:r>
      <w:r w:rsidR="00F0024F" w:rsidRPr="00A00187">
        <w:t xml:space="preserve"> </w:t>
      </w:r>
      <w:r w:rsidR="007667F4" w:rsidRPr="00A00187">
        <w:t>Pokles příchozích věcí ve správní</w:t>
      </w:r>
      <w:r w:rsidR="007A1371" w:rsidRPr="00A00187">
        <w:t>m</w:t>
      </w:r>
      <w:r w:rsidR="007667F4" w:rsidRPr="00A00187">
        <w:t xml:space="preserve"> soudnictví lze </w:t>
      </w:r>
      <w:r w:rsidR="007A1371" w:rsidRPr="00A00187">
        <w:t xml:space="preserve">tak </w:t>
      </w:r>
      <w:r w:rsidR="007667F4" w:rsidRPr="00A00187">
        <w:t>tedy téměř výhradně přisoudit poklesu</w:t>
      </w:r>
      <w:r w:rsidR="00314BD2">
        <w:t xml:space="preserve"> </w:t>
      </w:r>
      <w:r w:rsidR="00D94199" w:rsidRPr="00A00187">
        <w:t xml:space="preserve">počtu věcí zapsaných do </w:t>
      </w:r>
      <w:r w:rsidR="007667F4" w:rsidRPr="00A00187">
        <w:t>rejstříku A.</w:t>
      </w:r>
    </w:p>
    <w:p w14:paraId="4CCF1F21" w14:textId="766E2631" w:rsidR="00F0024F" w:rsidRPr="00A00187" w:rsidRDefault="00F0024F" w:rsidP="00F0024F">
      <w:pPr>
        <w:pStyle w:val="Podnadpis"/>
        <w:rPr>
          <w:color w:val="auto"/>
        </w:rPr>
      </w:pPr>
      <w:bookmarkStart w:id="880" w:name="_Toc43841450"/>
      <w:bookmarkStart w:id="881" w:name="_Toc75952252"/>
      <w:bookmarkStart w:id="882" w:name="_Toc106106711"/>
      <w:bookmarkStart w:id="883" w:name="_Toc109802035"/>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77</w:t>
      </w:r>
      <w:r w:rsidRPr="00A00187">
        <w:rPr>
          <w:noProof/>
          <w:color w:val="auto"/>
        </w:rPr>
        <w:fldChar w:fldCharType="end"/>
      </w:r>
      <w:r w:rsidRPr="00A00187">
        <w:rPr>
          <w:color w:val="auto"/>
        </w:rPr>
        <w:t>: KS – vývoj počtu příchozích věcí dle agend správního soudnictví</w:t>
      </w:r>
      <w:bookmarkEnd w:id="880"/>
      <w:bookmarkEnd w:id="881"/>
      <w:bookmarkEnd w:id="882"/>
      <w:bookmarkEnd w:id="883"/>
    </w:p>
    <w:p w14:paraId="0533DD0D" w14:textId="1F2DDDF7" w:rsidR="00505617" w:rsidRPr="00A00187" w:rsidRDefault="00F0024F" w:rsidP="00505617">
      <w:pPr>
        <w:pStyle w:val="OdstavecASR"/>
      </w:pPr>
      <w:r w:rsidRPr="00A00187">
        <w:rPr>
          <w:noProof/>
        </w:rPr>
        <w:drawing>
          <wp:inline distT="0" distB="0" distL="0" distR="0" wp14:anchorId="473DF2A1" wp14:editId="33A6C059">
            <wp:extent cx="5025390" cy="3657600"/>
            <wp:effectExtent l="0" t="0" r="3810"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24F80C0" w14:textId="179D9872" w:rsidR="00F0024F" w:rsidRPr="00A00187" w:rsidRDefault="00F0024F" w:rsidP="00F0024F">
      <w:pPr>
        <w:pStyle w:val="OdstavecASR"/>
      </w:pPr>
      <w:r w:rsidRPr="00A00187">
        <w:t>Další tabulka ukazuje složení nevyřízených věcí ve správním soudnictví v procentech k 31. 12. 2021. Za nej</w:t>
      </w:r>
      <w:r w:rsidR="00AF260E" w:rsidRPr="00A00187">
        <w:t>obtížnější</w:t>
      </w:r>
      <w:r w:rsidRPr="00A00187">
        <w:t xml:space="preserve"> bývá v průměru považována agenda </w:t>
      </w:r>
      <w:proofErr w:type="spellStart"/>
      <w:r w:rsidRPr="00A00187">
        <w:t>Af</w:t>
      </w:r>
      <w:proofErr w:type="spellEnd"/>
      <w:r w:rsidRPr="00A00187">
        <w:t>. Byť je toto tvrzení nutno brát s</w:t>
      </w:r>
      <w:r w:rsidR="00D94199" w:rsidRPr="00A00187">
        <w:t> </w:t>
      </w:r>
      <w:r w:rsidRPr="00A00187">
        <w:t>rezervou</w:t>
      </w:r>
      <w:r w:rsidR="00D94199" w:rsidRPr="00A00187">
        <w:t>,</w:t>
      </w:r>
      <w:r w:rsidRPr="00A00187">
        <w:t xml:space="preserve"> zejména vzhledem k vysoké variabilitě skladby „zbytkové“ všeobecné agendy A, potvrzuje je</w:t>
      </w:r>
      <w:r w:rsidR="00CE1D1E" w:rsidRPr="00A00187">
        <w:t>j</w:t>
      </w:r>
      <w:r w:rsidRPr="00A00187">
        <w:t xml:space="preserve"> fakt, že agenda </w:t>
      </w:r>
      <w:proofErr w:type="spellStart"/>
      <w:r w:rsidRPr="00A00187">
        <w:t>Af</w:t>
      </w:r>
      <w:proofErr w:type="spellEnd"/>
      <w:r w:rsidRPr="00A00187">
        <w:t xml:space="preserve"> tvoří výrazně větší část počtu nevyřízených věcí než je její podíl na celkovém počtu ve věcech příchozích. U soudu tak zůstávají tyto věci v průměru nejdéle nevyřízené, což potvrzuje i délka řízení získaná z pravomocně skončených věcí.</w:t>
      </w:r>
    </w:p>
    <w:p w14:paraId="3A4B4FCC" w14:textId="77777777" w:rsidR="007667F4" w:rsidRPr="00A00187" w:rsidRDefault="007667F4">
      <w:pPr>
        <w:spacing w:after="160" w:line="259" w:lineRule="auto"/>
        <w:jc w:val="left"/>
        <w:rPr>
          <w:rFonts w:eastAsia="Times New Roman"/>
          <w:b/>
          <w:iCs/>
          <w:spacing w:val="15"/>
          <w:szCs w:val="24"/>
        </w:rPr>
      </w:pPr>
      <w:bookmarkStart w:id="884" w:name="_Toc515871492"/>
      <w:bookmarkStart w:id="885" w:name="_Toc11133259"/>
      <w:bookmarkStart w:id="886" w:name="_Toc43931238"/>
      <w:bookmarkStart w:id="887" w:name="_Toc75952371"/>
      <w:bookmarkStart w:id="888" w:name="_Hlk99022221"/>
      <w:r w:rsidRPr="00A00187">
        <w:br w:type="page"/>
      </w:r>
    </w:p>
    <w:p w14:paraId="3A986D25" w14:textId="379E8E61" w:rsidR="00F0024F" w:rsidRPr="00A00187" w:rsidRDefault="00F0024F" w:rsidP="00F0024F">
      <w:pPr>
        <w:pStyle w:val="Podnadpis"/>
        <w:rPr>
          <w:color w:val="auto"/>
        </w:rPr>
      </w:pPr>
      <w:bookmarkStart w:id="889" w:name="_Toc106106826"/>
      <w:bookmarkStart w:id="890" w:name="_Toc109802149"/>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64</w:t>
      </w:r>
      <w:r w:rsidRPr="00A00187">
        <w:rPr>
          <w:noProof/>
          <w:color w:val="auto"/>
        </w:rPr>
        <w:fldChar w:fldCharType="end"/>
      </w:r>
      <w:r w:rsidRPr="00A00187">
        <w:rPr>
          <w:color w:val="auto"/>
        </w:rPr>
        <w:t>: KS – podíl nevyřízených věcí druhů agendy správního soudnictví</w:t>
      </w:r>
      <w:bookmarkEnd w:id="884"/>
      <w:bookmarkEnd w:id="885"/>
      <w:bookmarkEnd w:id="886"/>
      <w:bookmarkEnd w:id="887"/>
      <w:bookmarkEnd w:id="889"/>
      <w:bookmarkEnd w:id="890"/>
    </w:p>
    <w:tbl>
      <w:tblPr>
        <w:tblW w:w="6200" w:type="dxa"/>
        <w:tblCellMar>
          <w:left w:w="70" w:type="dxa"/>
          <w:right w:w="70" w:type="dxa"/>
        </w:tblCellMar>
        <w:tblLook w:val="04A0" w:firstRow="1" w:lastRow="0" w:firstColumn="1" w:lastColumn="0" w:noHBand="0" w:noVBand="1"/>
      </w:tblPr>
      <w:tblGrid>
        <w:gridCol w:w="2184"/>
        <w:gridCol w:w="1007"/>
        <w:gridCol w:w="1007"/>
        <w:gridCol w:w="1001"/>
        <w:gridCol w:w="1001"/>
      </w:tblGrid>
      <w:tr w:rsidR="00AC1E67" w:rsidRPr="00A00187" w14:paraId="403443EE" w14:textId="77777777" w:rsidTr="00F0024F">
        <w:trPr>
          <w:trHeight w:val="345"/>
        </w:trPr>
        <w:tc>
          <w:tcPr>
            <w:tcW w:w="2184" w:type="dxa"/>
            <w:vMerge w:val="restart"/>
            <w:tcBorders>
              <w:top w:val="double" w:sz="6" w:space="0" w:color="auto"/>
              <w:left w:val="nil"/>
              <w:bottom w:val="double" w:sz="6" w:space="0" w:color="000000"/>
              <w:right w:val="nil"/>
            </w:tcBorders>
            <w:shd w:val="clear" w:color="auto" w:fill="auto"/>
            <w:vAlign w:val="center"/>
            <w:hideMark/>
          </w:tcPr>
          <w:bookmarkEnd w:id="888"/>
          <w:p w14:paraId="545B9A60"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4016" w:type="dxa"/>
            <w:gridSpan w:val="4"/>
            <w:tcBorders>
              <w:top w:val="double" w:sz="6" w:space="0" w:color="auto"/>
              <w:left w:val="nil"/>
              <w:bottom w:val="nil"/>
              <w:right w:val="nil"/>
            </w:tcBorders>
            <w:shd w:val="clear" w:color="auto" w:fill="auto"/>
            <w:noWrap/>
            <w:vAlign w:val="bottom"/>
            <w:hideMark/>
          </w:tcPr>
          <w:p w14:paraId="593E2592"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Agenda</w:t>
            </w:r>
          </w:p>
        </w:tc>
      </w:tr>
      <w:tr w:rsidR="00AC1E67" w:rsidRPr="00A00187" w14:paraId="417C12CD" w14:textId="77777777" w:rsidTr="00F0024F">
        <w:trPr>
          <w:trHeight w:val="345"/>
        </w:trPr>
        <w:tc>
          <w:tcPr>
            <w:tcW w:w="2184" w:type="dxa"/>
            <w:vMerge/>
            <w:tcBorders>
              <w:top w:val="double" w:sz="6" w:space="0" w:color="auto"/>
              <w:left w:val="nil"/>
              <w:bottom w:val="double" w:sz="6" w:space="0" w:color="000000"/>
              <w:right w:val="nil"/>
            </w:tcBorders>
            <w:vAlign w:val="center"/>
            <w:hideMark/>
          </w:tcPr>
          <w:p w14:paraId="301EDEE6" w14:textId="77777777" w:rsidR="00F0024F" w:rsidRPr="00A00187" w:rsidRDefault="00F0024F" w:rsidP="00F0024F">
            <w:pPr>
              <w:spacing w:line="240" w:lineRule="auto"/>
              <w:jc w:val="left"/>
              <w:rPr>
                <w:rFonts w:eastAsia="Times New Roman"/>
                <w:b/>
                <w:bCs/>
                <w:szCs w:val="24"/>
                <w:lang w:eastAsia="cs-CZ"/>
              </w:rPr>
            </w:pPr>
          </w:p>
        </w:tc>
        <w:tc>
          <w:tcPr>
            <w:tcW w:w="1007" w:type="dxa"/>
            <w:tcBorders>
              <w:top w:val="nil"/>
              <w:left w:val="nil"/>
              <w:bottom w:val="double" w:sz="6" w:space="0" w:color="auto"/>
              <w:right w:val="nil"/>
            </w:tcBorders>
            <w:shd w:val="clear" w:color="auto" w:fill="auto"/>
            <w:vAlign w:val="center"/>
            <w:hideMark/>
          </w:tcPr>
          <w:p w14:paraId="2B59E470"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A</w:t>
            </w:r>
          </w:p>
        </w:tc>
        <w:tc>
          <w:tcPr>
            <w:tcW w:w="1007" w:type="dxa"/>
            <w:tcBorders>
              <w:top w:val="nil"/>
              <w:left w:val="nil"/>
              <w:bottom w:val="double" w:sz="6" w:space="0" w:color="auto"/>
              <w:right w:val="nil"/>
            </w:tcBorders>
            <w:shd w:val="clear" w:color="auto" w:fill="auto"/>
            <w:vAlign w:val="center"/>
            <w:hideMark/>
          </w:tcPr>
          <w:p w14:paraId="329D7015" w14:textId="77777777" w:rsidR="00F0024F" w:rsidRPr="00A00187" w:rsidRDefault="00F0024F" w:rsidP="00F0024F">
            <w:pPr>
              <w:spacing w:line="240" w:lineRule="auto"/>
              <w:jc w:val="center"/>
              <w:rPr>
                <w:rFonts w:eastAsia="Times New Roman"/>
                <w:b/>
                <w:bCs/>
                <w:szCs w:val="24"/>
                <w:lang w:eastAsia="cs-CZ"/>
              </w:rPr>
            </w:pPr>
            <w:proofErr w:type="spellStart"/>
            <w:r w:rsidRPr="00A00187">
              <w:rPr>
                <w:rFonts w:eastAsia="Times New Roman"/>
                <w:b/>
                <w:bCs/>
                <w:szCs w:val="24"/>
                <w:lang w:eastAsia="cs-CZ"/>
              </w:rPr>
              <w:t>Af</w:t>
            </w:r>
            <w:proofErr w:type="spellEnd"/>
          </w:p>
        </w:tc>
        <w:tc>
          <w:tcPr>
            <w:tcW w:w="1001" w:type="dxa"/>
            <w:tcBorders>
              <w:top w:val="nil"/>
              <w:left w:val="nil"/>
              <w:bottom w:val="double" w:sz="6" w:space="0" w:color="auto"/>
              <w:right w:val="nil"/>
            </w:tcBorders>
            <w:shd w:val="clear" w:color="auto" w:fill="auto"/>
            <w:vAlign w:val="center"/>
            <w:hideMark/>
          </w:tcPr>
          <w:p w14:paraId="5CE1B5D6"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Ad</w:t>
            </w:r>
          </w:p>
        </w:tc>
        <w:tc>
          <w:tcPr>
            <w:tcW w:w="1001" w:type="dxa"/>
            <w:tcBorders>
              <w:top w:val="nil"/>
              <w:left w:val="nil"/>
              <w:bottom w:val="double" w:sz="6" w:space="0" w:color="auto"/>
              <w:right w:val="nil"/>
            </w:tcBorders>
            <w:shd w:val="clear" w:color="auto" w:fill="auto"/>
            <w:vAlign w:val="center"/>
            <w:hideMark/>
          </w:tcPr>
          <w:p w14:paraId="5A09B546" w14:textId="77777777" w:rsidR="00F0024F" w:rsidRPr="00A00187" w:rsidRDefault="00F0024F" w:rsidP="00F0024F">
            <w:pPr>
              <w:spacing w:line="240" w:lineRule="auto"/>
              <w:jc w:val="center"/>
              <w:rPr>
                <w:rFonts w:eastAsia="Times New Roman"/>
                <w:b/>
                <w:bCs/>
                <w:szCs w:val="24"/>
                <w:lang w:eastAsia="cs-CZ"/>
              </w:rPr>
            </w:pPr>
            <w:proofErr w:type="spellStart"/>
            <w:r w:rsidRPr="00A00187">
              <w:rPr>
                <w:rFonts w:eastAsia="Times New Roman"/>
                <w:b/>
                <w:bCs/>
                <w:szCs w:val="24"/>
                <w:lang w:eastAsia="cs-CZ"/>
              </w:rPr>
              <w:t>Az</w:t>
            </w:r>
            <w:proofErr w:type="spellEnd"/>
          </w:p>
        </w:tc>
      </w:tr>
      <w:tr w:rsidR="00AC1E67" w:rsidRPr="00A00187" w14:paraId="6397ABB5" w14:textId="77777777" w:rsidTr="00F0024F">
        <w:trPr>
          <w:trHeight w:val="330"/>
        </w:trPr>
        <w:tc>
          <w:tcPr>
            <w:tcW w:w="2184" w:type="dxa"/>
            <w:tcBorders>
              <w:top w:val="nil"/>
              <w:left w:val="nil"/>
              <w:bottom w:val="single" w:sz="4" w:space="0" w:color="auto"/>
              <w:right w:val="nil"/>
            </w:tcBorders>
            <w:shd w:val="clear" w:color="auto" w:fill="auto"/>
            <w:noWrap/>
            <w:vAlign w:val="bottom"/>
            <w:hideMark/>
          </w:tcPr>
          <w:p w14:paraId="4FEA0A2E"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MS Praha</w:t>
            </w:r>
          </w:p>
        </w:tc>
        <w:tc>
          <w:tcPr>
            <w:tcW w:w="1007" w:type="dxa"/>
            <w:tcBorders>
              <w:top w:val="nil"/>
              <w:left w:val="nil"/>
              <w:bottom w:val="single" w:sz="4" w:space="0" w:color="auto"/>
              <w:right w:val="nil"/>
            </w:tcBorders>
            <w:shd w:val="clear" w:color="auto" w:fill="auto"/>
            <w:noWrap/>
            <w:vAlign w:val="bottom"/>
            <w:hideMark/>
          </w:tcPr>
          <w:p w14:paraId="60955A08" w14:textId="6DDCA334"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58</w:t>
            </w:r>
            <w:r w:rsidR="007667F4" w:rsidRPr="00A00187">
              <w:rPr>
                <w:rFonts w:eastAsia="Times New Roman"/>
                <w:szCs w:val="24"/>
                <w:lang w:eastAsia="cs-CZ"/>
              </w:rPr>
              <w:t>,</w:t>
            </w:r>
            <w:r w:rsidRPr="00A00187">
              <w:rPr>
                <w:rFonts w:eastAsia="Times New Roman"/>
                <w:szCs w:val="24"/>
                <w:lang w:eastAsia="cs-CZ"/>
              </w:rPr>
              <w:t>92</w:t>
            </w:r>
          </w:p>
        </w:tc>
        <w:tc>
          <w:tcPr>
            <w:tcW w:w="1007" w:type="dxa"/>
            <w:tcBorders>
              <w:top w:val="nil"/>
              <w:left w:val="nil"/>
              <w:bottom w:val="single" w:sz="4" w:space="0" w:color="auto"/>
              <w:right w:val="nil"/>
            </w:tcBorders>
            <w:shd w:val="clear" w:color="auto" w:fill="auto"/>
            <w:noWrap/>
            <w:vAlign w:val="bottom"/>
            <w:hideMark/>
          </w:tcPr>
          <w:p w14:paraId="5CABBE25" w14:textId="47E66BFC"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18</w:t>
            </w:r>
            <w:r w:rsidR="007667F4" w:rsidRPr="00A00187">
              <w:rPr>
                <w:rFonts w:eastAsia="Times New Roman"/>
                <w:szCs w:val="24"/>
                <w:lang w:eastAsia="cs-CZ"/>
              </w:rPr>
              <w:t>,</w:t>
            </w:r>
            <w:r w:rsidRPr="00A00187">
              <w:rPr>
                <w:rFonts w:eastAsia="Times New Roman"/>
                <w:szCs w:val="24"/>
                <w:lang w:eastAsia="cs-CZ"/>
              </w:rPr>
              <w:t>65</w:t>
            </w:r>
          </w:p>
        </w:tc>
        <w:tc>
          <w:tcPr>
            <w:tcW w:w="1001" w:type="dxa"/>
            <w:tcBorders>
              <w:top w:val="nil"/>
              <w:left w:val="nil"/>
              <w:bottom w:val="single" w:sz="4" w:space="0" w:color="auto"/>
              <w:right w:val="nil"/>
            </w:tcBorders>
            <w:shd w:val="clear" w:color="auto" w:fill="auto"/>
            <w:noWrap/>
            <w:vAlign w:val="bottom"/>
            <w:hideMark/>
          </w:tcPr>
          <w:p w14:paraId="43AA7818" w14:textId="665F4C01"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13</w:t>
            </w:r>
            <w:r w:rsidR="007667F4" w:rsidRPr="00A00187">
              <w:rPr>
                <w:rFonts w:eastAsia="Times New Roman"/>
                <w:szCs w:val="24"/>
                <w:lang w:eastAsia="cs-CZ"/>
              </w:rPr>
              <w:t>,</w:t>
            </w:r>
            <w:r w:rsidRPr="00A00187">
              <w:rPr>
                <w:rFonts w:eastAsia="Times New Roman"/>
                <w:szCs w:val="24"/>
                <w:lang w:eastAsia="cs-CZ"/>
              </w:rPr>
              <w:t>91</w:t>
            </w:r>
          </w:p>
        </w:tc>
        <w:tc>
          <w:tcPr>
            <w:tcW w:w="1001" w:type="dxa"/>
            <w:tcBorders>
              <w:top w:val="nil"/>
              <w:left w:val="nil"/>
              <w:bottom w:val="single" w:sz="4" w:space="0" w:color="auto"/>
              <w:right w:val="nil"/>
            </w:tcBorders>
            <w:shd w:val="clear" w:color="auto" w:fill="auto"/>
            <w:noWrap/>
            <w:vAlign w:val="bottom"/>
            <w:hideMark/>
          </w:tcPr>
          <w:p w14:paraId="7DCE04B6" w14:textId="507C5D5E"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8</w:t>
            </w:r>
            <w:r w:rsidR="007667F4" w:rsidRPr="00A00187">
              <w:rPr>
                <w:rFonts w:eastAsia="Times New Roman"/>
                <w:szCs w:val="24"/>
                <w:lang w:eastAsia="cs-CZ"/>
              </w:rPr>
              <w:t>,</w:t>
            </w:r>
            <w:r w:rsidRPr="00A00187">
              <w:rPr>
                <w:rFonts w:eastAsia="Times New Roman"/>
                <w:szCs w:val="24"/>
                <w:lang w:eastAsia="cs-CZ"/>
              </w:rPr>
              <w:t>52</w:t>
            </w:r>
          </w:p>
        </w:tc>
      </w:tr>
      <w:tr w:rsidR="00AC1E67" w:rsidRPr="00A00187" w14:paraId="10D27C23" w14:textId="77777777" w:rsidTr="00F0024F">
        <w:trPr>
          <w:trHeight w:val="315"/>
        </w:trPr>
        <w:tc>
          <w:tcPr>
            <w:tcW w:w="2184" w:type="dxa"/>
            <w:tcBorders>
              <w:top w:val="nil"/>
              <w:left w:val="nil"/>
              <w:bottom w:val="single" w:sz="4" w:space="0" w:color="auto"/>
              <w:right w:val="nil"/>
            </w:tcBorders>
            <w:shd w:val="clear" w:color="auto" w:fill="auto"/>
            <w:noWrap/>
            <w:vAlign w:val="bottom"/>
            <w:hideMark/>
          </w:tcPr>
          <w:p w14:paraId="4CA326AE"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Praha</w:t>
            </w:r>
          </w:p>
        </w:tc>
        <w:tc>
          <w:tcPr>
            <w:tcW w:w="1007" w:type="dxa"/>
            <w:tcBorders>
              <w:top w:val="nil"/>
              <w:left w:val="nil"/>
              <w:bottom w:val="single" w:sz="4" w:space="0" w:color="auto"/>
              <w:right w:val="nil"/>
            </w:tcBorders>
            <w:shd w:val="clear" w:color="auto" w:fill="auto"/>
            <w:noWrap/>
            <w:vAlign w:val="bottom"/>
            <w:hideMark/>
          </w:tcPr>
          <w:p w14:paraId="2A0FB894" w14:textId="59648C57"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50</w:t>
            </w:r>
            <w:r w:rsidR="007667F4" w:rsidRPr="00A00187">
              <w:rPr>
                <w:rFonts w:eastAsia="Times New Roman"/>
                <w:szCs w:val="24"/>
                <w:lang w:eastAsia="cs-CZ"/>
              </w:rPr>
              <w:t>,</w:t>
            </w:r>
            <w:r w:rsidRPr="00A00187">
              <w:rPr>
                <w:rFonts w:eastAsia="Times New Roman"/>
                <w:szCs w:val="24"/>
                <w:lang w:eastAsia="cs-CZ"/>
              </w:rPr>
              <w:t>27</w:t>
            </w:r>
          </w:p>
        </w:tc>
        <w:tc>
          <w:tcPr>
            <w:tcW w:w="1007" w:type="dxa"/>
            <w:tcBorders>
              <w:top w:val="nil"/>
              <w:left w:val="nil"/>
              <w:bottom w:val="single" w:sz="4" w:space="0" w:color="auto"/>
              <w:right w:val="nil"/>
            </w:tcBorders>
            <w:shd w:val="clear" w:color="auto" w:fill="auto"/>
            <w:noWrap/>
            <w:vAlign w:val="bottom"/>
            <w:hideMark/>
          </w:tcPr>
          <w:p w14:paraId="3828D7AA" w14:textId="2A5D0BE6"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29</w:t>
            </w:r>
            <w:r w:rsidR="007667F4" w:rsidRPr="00A00187">
              <w:rPr>
                <w:rFonts w:eastAsia="Times New Roman"/>
                <w:szCs w:val="24"/>
                <w:lang w:eastAsia="cs-CZ"/>
              </w:rPr>
              <w:t>,</w:t>
            </w:r>
            <w:r w:rsidRPr="00A00187">
              <w:rPr>
                <w:rFonts w:eastAsia="Times New Roman"/>
                <w:szCs w:val="24"/>
                <w:lang w:eastAsia="cs-CZ"/>
              </w:rPr>
              <w:t>16</w:t>
            </w:r>
          </w:p>
        </w:tc>
        <w:tc>
          <w:tcPr>
            <w:tcW w:w="1001" w:type="dxa"/>
            <w:tcBorders>
              <w:top w:val="nil"/>
              <w:left w:val="nil"/>
              <w:bottom w:val="single" w:sz="4" w:space="0" w:color="auto"/>
              <w:right w:val="nil"/>
            </w:tcBorders>
            <w:shd w:val="clear" w:color="auto" w:fill="auto"/>
            <w:noWrap/>
            <w:vAlign w:val="bottom"/>
            <w:hideMark/>
          </w:tcPr>
          <w:p w14:paraId="11E65CB1" w14:textId="2793B17E"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17</w:t>
            </w:r>
            <w:r w:rsidR="007667F4" w:rsidRPr="00A00187">
              <w:rPr>
                <w:rFonts w:eastAsia="Times New Roman"/>
                <w:szCs w:val="24"/>
                <w:lang w:eastAsia="cs-CZ"/>
              </w:rPr>
              <w:t>,</w:t>
            </w:r>
            <w:r w:rsidRPr="00A00187">
              <w:rPr>
                <w:rFonts w:eastAsia="Times New Roman"/>
                <w:szCs w:val="24"/>
                <w:lang w:eastAsia="cs-CZ"/>
              </w:rPr>
              <w:t>85</w:t>
            </w:r>
          </w:p>
        </w:tc>
        <w:tc>
          <w:tcPr>
            <w:tcW w:w="1001" w:type="dxa"/>
            <w:tcBorders>
              <w:top w:val="nil"/>
              <w:left w:val="nil"/>
              <w:bottom w:val="single" w:sz="4" w:space="0" w:color="auto"/>
              <w:right w:val="nil"/>
            </w:tcBorders>
            <w:shd w:val="clear" w:color="auto" w:fill="auto"/>
            <w:noWrap/>
            <w:vAlign w:val="bottom"/>
            <w:hideMark/>
          </w:tcPr>
          <w:p w14:paraId="4D7EB42A" w14:textId="53084F22"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2</w:t>
            </w:r>
            <w:r w:rsidR="007667F4" w:rsidRPr="00A00187">
              <w:rPr>
                <w:rFonts w:eastAsia="Times New Roman"/>
                <w:szCs w:val="24"/>
                <w:lang w:eastAsia="cs-CZ"/>
              </w:rPr>
              <w:t>,</w:t>
            </w:r>
            <w:r w:rsidRPr="00A00187">
              <w:rPr>
                <w:rFonts w:eastAsia="Times New Roman"/>
                <w:szCs w:val="24"/>
                <w:lang w:eastAsia="cs-CZ"/>
              </w:rPr>
              <w:t>72</w:t>
            </w:r>
          </w:p>
        </w:tc>
      </w:tr>
      <w:tr w:rsidR="00AC1E67" w:rsidRPr="00A00187" w14:paraId="58BDE0F7" w14:textId="77777777" w:rsidTr="00F0024F">
        <w:trPr>
          <w:trHeight w:val="315"/>
        </w:trPr>
        <w:tc>
          <w:tcPr>
            <w:tcW w:w="2184" w:type="dxa"/>
            <w:tcBorders>
              <w:top w:val="nil"/>
              <w:left w:val="nil"/>
              <w:bottom w:val="single" w:sz="4" w:space="0" w:color="auto"/>
              <w:right w:val="nil"/>
            </w:tcBorders>
            <w:shd w:val="clear" w:color="auto" w:fill="auto"/>
            <w:noWrap/>
            <w:vAlign w:val="bottom"/>
            <w:hideMark/>
          </w:tcPr>
          <w:p w14:paraId="75F10C20"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Č. Budějovice</w:t>
            </w:r>
          </w:p>
        </w:tc>
        <w:tc>
          <w:tcPr>
            <w:tcW w:w="1007" w:type="dxa"/>
            <w:tcBorders>
              <w:top w:val="nil"/>
              <w:left w:val="nil"/>
              <w:bottom w:val="single" w:sz="4" w:space="0" w:color="auto"/>
              <w:right w:val="nil"/>
            </w:tcBorders>
            <w:shd w:val="clear" w:color="auto" w:fill="auto"/>
            <w:noWrap/>
            <w:vAlign w:val="bottom"/>
            <w:hideMark/>
          </w:tcPr>
          <w:p w14:paraId="3B6B176B" w14:textId="628B95DF"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42</w:t>
            </w:r>
            <w:r w:rsidR="007667F4" w:rsidRPr="00A00187">
              <w:rPr>
                <w:rFonts w:eastAsia="Times New Roman"/>
                <w:szCs w:val="24"/>
                <w:lang w:eastAsia="cs-CZ"/>
              </w:rPr>
              <w:t>,</w:t>
            </w:r>
            <w:r w:rsidRPr="00A00187">
              <w:rPr>
                <w:rFonts w:eastAsia="Times New Roman"/>
                <w:szCs w:val="24"/>
                <w:lang w:eastAsia="cs-CZ"/>
              </w:rPr>
              <w:t>86</w:t>
            </w:r>
          </w:p>
        </w:tc>
        <w:tc>
          <w:tcPr>
            <w:tcW w:w="1007" w:type="dxa"/>
            <w:tcBorders>
              <w:top w:val="nil"/>
              <w:left w:val="nil"/>
              <w:bottom w:val="single" w:sz="4" w:space="0" w:color="auto"/>
              <w:right w:val="nil"/>
            </w:tcBorders>
            <w:shd w:val="clear" w:color="auto" w:fill="auto"/>
            <w:noWrap/>
            <w:vAlign w:val="bottom"/>
            <w:hideMark/>
          </w:tcPr>
          <w:p w14:paraId="166E3E03" w14:textId="740E7267"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37</w:t>
            </w:r>
            <w:r w:rsidR="007667F4" w:rsidRPr="00A00187">
              <w:rPr>
                <w:rFonts w:eastAsia="Times New Roman"/>
                <w:szCs w:val="24"/>
                <w:lang w:eastAsia="cs-CZ"/>
              </w:rPr>
              <w:t>,</w:t>
            </w:r>
            <w:r w:rsidRPr="00A00187">
              <w:rPr>
                <w:rFonts w:eastAsia="Times New Roman"/>
                <w:szCs w:val="24"/>
                <w:lang w:eastAsia="cs-CZ"/>
              </w:rPr>
              <w:t>04</w:t>
            </w:r>
          </w:p>
        </w:tc>
        <w:tc>
          <w:tcPr>
            <w:tcW w:w="1001" w:type="dxa"/>
            <w:tcBorders>
              <w:top w:val="nil"/>
              <w:left w:val="nil"/>
              <w:bottom w:val="single" w:sz="4" w:space="0" w:color="auto"/>
              <w:right w:val="nil"/>
            </w:tcBorders>
            <w:shd w:val="clear" w:color="auto" w:fill="auto"/>
            <w:noWrap/>
            <w:vAlign w:val="bottom"/>
            <w:hideMark/>
          </w:tcPr>
          <w:p w14:paraId="1E4DC046" w14:textId="01441F3E"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18</w:t>
            </w:r>
            <w:r w:rsidR="007667F4" w:rsidRPr="00A00187">
              <w:rPr>
                <w:rFonts w:eastAsia="Times New Roman"/>
                <w:szCs w:val="24"/>
                <w:lang w:eastAsia="cs-CZ"/>
              </w:rPr>
              <w:t>,</w:t>
            </w:r>
            <w:r w:rsidRPr="00A00187">
              <w:rPr>
                <w:rFonts w:eastAsia="Times New Roman"/>
                <w:szCs w:val="24"/>
                <w:lang w:eastAsia="cs-CZ"/>
              </w:rPr>
              <w:t>52</w:t>
            </w:r>
          </w:p>
        </w:tc>
        <w:tc>
          <w:tcPr>
            <w:tcW w:w="1001" w:type="dxa"/>
            <w:tcBorders>
              <w:top w:val="nil"/>
              <w:left w:val="nil"/>
              <w:bottom w:val="single" w:sz="4" w:space="0" w:color="auto"/>
              <w:right w:val="nil"/>
            </w:tcBorders>
            <w:shd w:val="clear" w:color="auto" w:fill="auto"/>
            <w:noWrap/>
            <w:vAlign w:val="bottom"/>
            <w:hideMark/>
          </w:tcPr>
          <w:p w14:paraId="27D60656" w14:textId="1E432404"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w:t>
            </w:r>
            <w:r w:rsidR="007667F4" w:rsidRPr="00A00187">
              <w:rPr>
                <w:rFonts w:eastAsia="Times New Roman"/>
                <w:szCs w:val="24"/>
                <w:lang w:eastAsia="cs-CZ"/>
              </w:rPr>
              <w:t>,</w:t>
            </w:r>
            <w:r w:rsidRPr="00A00187">
              <w:rPr>
                <w:rFonts w:eastAsia="Times New Roman"/>
                <w:szCs w:val="24"/>
                <w:lang w:eastAsia="cs-CZ"/>
              </w:rPr>
              <w:t>59</w:t>
            </w:r>
          </w:p>
        </w:tc>
      </w:tr>
      <w:tr w:rsidR="00AC1E67" w:rsidRPr="00A00187" w14:paraId="1B57B872" w14:textId="77777777" w:rsidTr="00F0024F">
        <w:trPr>
          <w:trHeight w:val="315"/>
        </w:trPr>
        <w:tc>
          <w:tcPr>
            <w:tcW w:w="2184" w:type="dxa"/>
            <w:tcBorders>
              <w:top w:val="nil"/>
              <w:left w:val="nil"/>
              <w:bottom w:val="single" w:sz="4" w:space="0" w:color="auto"/>
              <w:right w:val="nil"/>
            </w:tcBorders>
            <w:shd w:val="clear" w:color="auto" w:fill="auto"/>
            <w:noWrap/>
            <w:vAlign w:val="bottom"/>
            <w:hideMark/>
          </w:tcPr>
          <w:p w14:paraId="076C47C3"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Plzeň</w:t>
            </w:r>
          </w:p>
        </w:tc>
        <w:tc>
          <w:tcPr>
            <w:tcW w:w="1007" w:type="dxa"/>
            <w:tcBorders>
              <w:top w:val="nil"/>
              <w:left w:val="nil"/>
              <w:bottom w:val="single" w:sz="4" w:space="0" w:color="auto"/>
              <w:right w:val="nil"/>
            </w:tcBorders>
            <w:shd w:val="clear" w:color="auto" w:fill="auto"/>
            <w:noWrap/>
            <w:vAlign w:val="bottom"/>
            <w:hideMark/>
          </w:tcPr>
          <w:p w14:paraId="6009CA1F" w14:textId="18AB0B4B"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67</w:t>
            </w:r>
            <w:r w:rsidR="007667F4" w:rsidRPr="00A00187">
              <w:rPr>
                <w:rFonts w:eastAsia="Times New Roman"/>
                <w:szCs w:val="24"/>
                <w:lang w:eastAsia="cs-CZ"/>
              </w:rPr>
              <w:t>,</w:t>
            </w:r>
            <w:r w:rsidRPr="00A00187">
              <w:rPr>
                <w:rFonts w:eastAsia="Times New Roman"/>
                <w:szCs w:val="24"/>
                <w:lang w:eastAsia="cs-CZ"/>
              </w:rPr>
              <w:t>71</w:t>
            </w:r>
          </w:p>
        </w:tc>
        <w:tc>
          <w:tcPr>
            <w:tcW w:w="1007" w:type="dxa"/>
            <w:tcBorders>
              <w:top w:val="nil"/>
              <w:left w:val="nil"/>
              <w:bottom w:val="single" w:sz="4" w:space="0" w:color="auto"/>
              <w:right w:val="nil"/>
            </w:tcBorders>
            <w:shd w:val="clear" w:color="auto" w:fill="auto"/>
            <w:noWrap/>
            <w:vAlign w:val="bottom"/>
            <w:hideMark/>
          </w:tcPr>
          <w:p w14:paraId="729BEFA2" w14:textId="5F701991"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19</w:t>
            </w:r>
            <w:r w:rsidR="007667F4" w:rsidRPr="00A00187">
              <w:rPr>
                <w:rFonts w:eastAsia="Times New Roman"/>
                <w:szCs w:val="24"/>
                <w:lang w:eastAsia="cs-CZ"/>
              </w:rPr>
              <w:t>,</w:t>
            </w:r>
            <w:r w:rsidRPr="00A00187">
              <w:rPr>
                <w:rFonts w:eastAsia="Times New Roman"/>
                <w:szCs w:val="24"/>
                <w:lang w:eastAsia="cs-CZ"/>
              </w:rPr>
              <w:t>01</w:t>
            </w:r>
          </w:p>
        </w:tc>
        <w:tc>
          <w:tcPr>
            <w:tcW w:w="1001" w:type="dxa"/>
            <w:tcBorders>
              <w:top w:val="nil"/>
              <w:left w:val="nil"/>
              <w:bottom w:val="single" w:sz="4" w:space="0" w:color="auto"/>
              <w:right w:val="nil"/>
            </w:tcBorders>
            <w:shd w:val="clear" w:color="auto" w:fill="auto"/>
            <w:noWrap/>
            <w:vAlign w:val="bottom"/>
            <w:hideMark/>
          </w:tcPr>
          <w:p w14:paraId="63451B07" w14:textId="715A7C09"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10</w:t>
            </w:r>
            <w:r w:rsidR="007667F4" w:rsidRPr="00A00187">
              <w:rPr>
                <w:rFonts w:eastAsia="Times New Roman"/>
                <w:szCs w:val="24"/>
                <w:lang w:eastAsia="cs-CZ"/>
              </w:rPr>
              <w:t>,</w:t>
            </w:r>
            <w:r w:rsidRPr="00A00187">
              <w:rPr>
                <w:rFonts w:eastAsia="Times New Roman"/>
                <w:szCs w:val="24"/>
                <w:lang w:eastAsia="cs-CZ"/>
              </w:rPr>
              <w:t>16</w:t>
            </w:r>
          </w:p>
        </w:tc>
        <w:tc>
          <w:tcPr>
            <w:tcW w:w="1001" w:type="dxa"/>
            <w:tcBorders>
              <w:top w:val="nil"/>
              <w:left w:val="nil"/>
              <w:bottom w:val="single" w:sz="4" w:space="0" w:color="auto"/>
              <w:right w:val="nil"/>
            </w:tcBorders>
            <w:shd w:val="clear" w:color="auto" w:fill="auto"/>
            <w:noWrap/>
            <w:vAlign w:val="bottom"/>
            <w:hideMark/>
          </w:tcPr>
          <w:p w14:paraId="6D2ABB13" w14:textId="6136EF4F"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3</w:t>
            </w:r>
            <w:r w:rsidR="007667F4" w:rsidRPr="00A00187">
              <w:rPr>
                <w:rFonts w:eastAsia="Times New Roman"/>
                <w:szCs w:val="24"/>
                <w:lang w:eastAsia="cs-CZ"/>
              </w:rPr>
              <w:t>,</w:t>
            </w:r>
            <w:r w:rsidRPr="00A00187">
              <w:rPr>
                <w:rFonts w:eastAsia="Times New Roman"/>
                <w:szCs w:val="24"/>
                <w:lang w:eastAsia="cs-CZ"/>
              </w:rPr>
              <w:t>13</w:t>
            </w:r>
          </w:p>
        </w:tc>
      </w:tr>
      <w:tr w:rsidR="00AC1E67" w:rsidRPr="00A00187" w14:paraId="38DE287D" w14:textId="77777777" w:rsidTr="00F0024F">
        <w:trPr>
          <w:trHeight w:val="315"/>
        </w:trPr>
        <w:tc>
          <w:tcPr>
            <w:tcW w:w="2184" w:type="dxa"/>
            <w:tcBorders>
              <w:top w:val="nil"/>
              <w:left w:val="nil"/>
              <w:bottom w:val="single" w:sz="4" w:space="0" w:color="auto"/>
              <w:right w:val="nil"/>
            </w:tcBorders>
            <w:shd w:val="clear" w:color="auto" w:fill="auto"/>
            <w:noWrap/>
            <w:vAlign w:val="bottom"/>
            <w:hideMark/>
          </w:tcPr>
          <w:p w14:paraId="0F4BC0AA"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Ústí n. Labem</w:t>
            </w:r>
          </w:p>
        </w:tc>
        <w:tc>
          <w:tcPr>
            <w:tcW w:w="1007" w:type="dxa"/>
            <w:tcBorders>
              <w:top w:val="nil"/>
              <w:left w:val="nil"/>
              <w:bottom w:val="single" w:sz="4" w:space="0" w:color="auto"/>
              <w:right w:val="nil"/>
            </w:tcBorders>
            <w:shd w:val="clear" w:color="auto" w:fill="auto"/>
            <w:noWrap/>
            <w:vAlign w:val="bottom"/>
            <w:hideMark/>
          </w:tcPr>
          <w:p w14:paraId="682AE5AA" w14:textId="50AE783A"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56</w:t>
            </w:r>
            <w:r w:rsidR="007667F4" w:rsidRPr="00A00187">
              <w:rPr>
                <w:rFonts w:eastAsia="Times New Roman"/>
                <w:szCs w:val="24"/>
                <w:lang w:eastAsia="cs-CZ"/>
              </w:rPr>
              <w:t>,</w:t>
            </w:r>
            <w:r w:rsidRPr="00A00187">
              <w:rPr>
                <w:rFonts w:eastAsia="Times New Roman"/>
                <w:szCs w:val="24"/>
                <w:lang w:eastAsia="cs-CZ"/>
              </w:rPr>
              <w:t>96</w:t>
            </w:r>
          </w:p>
        </w:tc>
        <w:tc>
          <w:tcPr>
            <w:tcW w:w="1007" w:type="dxa"/>
            <w:tcBorders>
              <w:top w:val="nil"/>
              <w:left w:val="nil"/>
              <w:bottom w:val="single" w:sz="4" w:space="0" w:color="auto"/>
              <w:right w:val="nil"/>
            </w:tcBorders>
            <w:shd w:val="clear" w:color="auto" w:fill="auto"/>
            <w:noWrap/>
            <w:vAlign w:val="bottom"/>
            <w:hideMark/>
          </w:tcPr>
          <w:p w14:paraId="50B99588" w14:textId="550D2B1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25</w:t>
            </w:r>
            <w:r w:rsidR="007667F4" w:rsidRPr="00A00187">
              <w:rPr>
                <w:rFonts w:eastAsia="Times New Roman"/>
                <w:szCs w:val="24"/>
                <w:lang w:eastAsia="cs-CZ"/>
              </w:rPr>
              <w:t>,</w:t>
            </w:r>
            <w:r w:rsidRPr="00A00187">
              <w:rPr>
                <w:rFonts w:eastAsia="Times New Roman"/>
                <w:szCs w:val="24"/>
                <w:lang w:eastAsia="cs-CZ"/>
              </w:rPr>
              <w:t>07</w:t>
            </w:r>
          </w:p>
        </w:tc>
        <w:tc>
          <w:tcPr>
            <w:tcW w:w="1001" w:type="dxa"/>
            <w:tcBorders>
              <w:top w:val="nil"/>
              <w:left w:val="nil"/>
              <w:bottom w:val="single" w:sz="4" w:space="0" w:color="auto"/>
              <w:right w:val="nil"/>
            </w:tcBorders>
            <w:shd w:val="clear" w:color="auto" w:fill="auto"/>
            <w:noWrap/>
            <w:vAlign w:val="bottom"/>
            <w:hideMark/>
          </w:tcPr>
          <w:p w14:paraId="7AAA5606" w14:textId="4BD133CB"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15</w:t>
            </w:r>
            <w:r w:rsidR="007667F4" w:rsidRPr="00A00187">
              <w:rPr>
                <w:rFonts w:eastAsia="Times New Roman"/>
                <w:szCs w:val="24"/>
                <w:lang w:eastAsia="cs-CZ"/>
              </w:rPr>
              <w:t>,</w:t>
            </w:r>
            <w:r w:rsidRPr="00A00187">
              <w:rPr>
                <w:rFonts w:eastAsia="Times New Roman"/>
                <w:szCs w:val="24"/>
                <w:lang w:eastAsia="cs-CZ"/>
              </w:rPr>
              <w:t>94</w:t>
            </w:r>
          </w:p>
        </w:tc>
        <w:tc>
          <w:tcPr>
            <w:tcW w:w="1001" w:type="dxa"/>
            <w:tcBorders>
              <w:top w:val="nil"/>
              <w:left w:val="nil"/>
              <w:bottom w:val="single" w:sz="4" w:space="0" w:color="auto"/>
              <w:right w:val="nil"/>
            </w:tcBorders>
            <w:shd w:val="clear" w:color="auto" w:fill="auto"/>
            <w:noWrap/>
            <w:vAlign w:val="bottom"/>
            <w:hideMark/>
          </w:tcPr>
          <w:p w14:paraId="73B3194A" w14:textId="6AFBFF71"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2</w:t>
            </w:r>
            <w:r w:rsidR="007667F4" w:rsidRPr="00A00187">
              <w:rPr>
                <w:rFonts w:eastAsia="Times New Roman"/>
                <w:szCs w:val="24"/>
                <w:lang w:eastAsia="cs-CZ"/>
              </w:rPr>
              <w:t>,</w:t>
            </w:r>
            <w:r w:rsidRPr="00A00187">
              <w:rPr>
                <w:rFonts w:eastAsia="Times New Roman"/>
                <w:szCs w:val="24"/>
                <w:lang w:eastAsia="cs-CZ"/>
              </w:rPr>
              <w:t>03</w:t>
            </w:r>
          </w:p>
        </w:tc>
      </w:tr>
      <w:tr w:rsidR="00AC1E67" w:rsidRPr="00A00187" w14:paraId="614771E3" w14:textId="77777777" w:rsidTr="00F0024F">
        <w:trPr>
          <w:trHeight w:val="315"/>
        </w:trPr>
        <w:tc>
          <w:tcPr>
            <w:tcW w:w="2184" w:type="dxa"/>
            <w:tcBorders>
              <w:top w:val="nil"/>
              <w:left w:val="nil"/>
              <w:bottom w:val="single" w:sz="4" w:space="0" w:color="auto"/>
              <w:right w:val="nil"/>
            </w:tcBorders>
            <w:shd w:val="clear" w:color="auto" w:fill="auto"/>
            <w:noWrap/>
            <w:vAlign w:val="bottom"/>
            <w:hideMark/>
          </w:tcPr>
          <w:p w14:paraId="3DC41FF2"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Hr. Králové</w:t>
            </w:r>
          </w:p>
        </w:tc>
        <w:tc>
          <w:tcPr>
            <w:tcW w:w="1007" w:type="dxa"/>
            <w:tcBorders>
              <w:top w:val="nil"/>
              <w:left w:val="nil"/>
              <w:bottom w:val="single" w:sz="4" w:space="0" w:color="auto"/>
              <w:right w:val="nil"/>
            </w:tcBorders>
            <w:shd w:val="clear" w:color="auto" w:fill="auto"/>
            <w:noWrap/>
            <w:vAlign w:val="bottom"/>
            <w:hideMark/>
          </w:tcPr>
          <w:p w14:paraId="280A6D45" w14:textId="2EAC061C"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37</w:t>
            </w:r>
            <w:r w:rsidR="007667F4" w:rsidRPr="00A00187">
              <w:rPr>
                <w:rFonts w:eastAsia="Times New Roman"/>
                <w:szCs w:val="24"/>
                <w:lang w:eastAsia="cs-CZ"/>
              </w:rPr>
              <w:t>,</w:t>
            </w:r>
            <w:r w:rsidRPr="00A00187">
              <w:rPr>
                <w:rFonts w:eastAsia="Times New Roman"/>
                <w:szCs w:val="24"/>
                <w:lang w:eastAsia="cs-CZ"/>
              </w:rPr>
              <w:t>26</w:t>
            </w:r>
          </w:p>
        </w:tc>
        <w:tc>
          <w:tcPr>
            <w:tcW w:w="1007" w:type="dxa"/>
            <w:tcBorders>
              <w:top w:val="nil"/>
              <w:left w:val="nil"/>
              <w:bottom w:val="single" w:sz="4" w:space="0" w:color="auto"/>
              <w:right w:val="nil"/>
            </w:tcBorders>
            <w:shd w:val="clear" w:color="auto" w:fill="auto"/>
            <w:noWrap/>
            <w:vAlign w:val="bottom"/>
            <w:hideMark/>
          </w:tcPr>
          <w:p w14:paraId="330EA830" w14:textId="13B6E29B"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29</w:t>
            </w:r>
            <w:r w:rsidR="007667F4" w:rsidRPr="00A00187">
              <w:rPr>
                <w:rFonts w:eastAsia="Times New Roman"/>
                <w:szCs w:val="24"/>
                <w:lang w:eastAsia="cs-CZ"/>
              </w:rPr>
              <w:t>,</w:t>
            </w:r>
            <w:r w:rsidRPr="00A00187">
              <w:rPr>
                <w:rFonts w:eastAsia="Times New Roman"/>
                <w:szCs w:val="24"/>
                <w:lang w:eastAsia="cs-CZ"/>
              </w:rPr>
              <w:t>01</w:t>
            </w:r>
          </w:p>
        </w:tc>
        <w:tc>
          <w:tcPr>
            <w:tcW w:w="1001" w:type="dxa"/>
            <w:tcBorders>
              <w:top w:val="nil"/>
              <w:left w:val="nil"/>
              <w:bottom w:val="single" w:sz="4" w:space="0" w:color="auto"/>
              <w:right w:val="nil"/>
            </w:tcBorders>
            <w:shd w:val="clear" w:color="auto" w:fill="auto"/>
            <w:noWrap/>
            <w:vAlign w:val="bottom"/>
            <w:hideMark/>
          </w:tcPr>
          <w:p w14:paraId="54571526" w14:textId="6C2A80EB"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20</w:t>
            </w:r>
            <w:r w:rsidR="007667F4" w:rsidRPr="00A00187">
              <w:rPr>
                <w:rFonts w:eastAsia="Times New Roman"/>
                <w:szCs w:val="24"/>
                <w:lang w:eastAsia="cs-CZ"/>
              </w:rPr>
              <w:t>,</w:t>
            </w:r>
            <w:r w:rsidRPr="00A00187">
              <w:rPr>
                <w:rFonts w:eastAsia="Times New Roman"/>
                <w:szCs w:val="24"/>
                <w:lang w:eastAsia="cs-CZ"/>
              </w:rPr>
              <w:t>75</w:t>
            </w:r>
          </w:p>
        </w:tc>
        <w:tc>
          <w:tcPr>
            <w:tcW w:w="1001" w:type="dxa"/>
            <w:tcBorders>
              <w:top w:val="nil"/>
              <w:left w:val="nil"/>
              <w:bottom w:val="single" w:sz="4" w:space="0" w:color="auto"/>
              <w:right w:val="nil"/>
            </w:tcBorders>
            <w:shd w:val="clear" w:color="auto" w:fill="auto"/>
            <w:noWrap/>
            <w:vAlign w:val="bottom"/>
            <w:hideMark/>
          </w:tcPr>
          <w:p w14:paraId="2BD3393C" w14:textId="7042447F"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12</w:t>
            </w:r>
            <w:r w:rsidR="007667F4" w:rsidRPr="00A00187">
              <w:rPr>
                <w:rFonts w:eastAsia="Times New Roman"/>
                <w:szCs w:val="24"/>
                <w:lang w:eastAsia="cs-CZ"/>
              </w:rPr>
              <w:t>,</w:t>
            </w:r>
            <w:r w:rsidRPr="00A00187">
              <w:rPr>
                <w:rFonts w:eastAsia="Times New Roman"/>
                <w:szCs w:val="24"/>
                <w:lang w:eastAsia="cs-CZ"/>
              </w:rPr>
              <w:t>97</w:t>
            </w:r>
          </w:p>
        </w:tc>
      </w:tr>
      <w:tr w:rsidR="00AC1E67" w:rsidRPr="00A00187" w14:paraId="1ED33D06" w14:textId="77777777" w:rsidTr="00F0024F">
        <w:trPr>
          <w:trHeight w:val="315"/>
        </w:trPr>
        <w:tc>
          <w:tcPr>
            <w:tcW w:w="2184" w:type="dxa"/>
            <w:tcBorders>
              <w:top w:val="nil"/>
              <w:left w:val="nil"/>
              <w:bottom w:val="single" w:sz="4" w:space="0" w:color="auto"/>
              <w:right w:val="nil"/>
            </w:tcBorders>
            <w:shd w:val="clear" w:color="auto" w:fill="auto"/>
            <w:noWrap/>
            <w:vAlign w:val="bottom"/>
            <w:hideMark/>
          </w:tcPr>
          <w:p w14:paraId="0CE8E90F"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Brno</w:t>
            </w:r>
          </w:p>
        </w:tc>
        <w:tc>
          <w:tcPr>
            <w:tcW w:w="1007" w:type="dxa"/>
            <w:tcBorders>
              <w:top w:val="nil"/>
              <w:left w:val="nil"/>
              <w:bottom w:val="single" w:sz="4" w:space="0" w:color="auto"/>
              <w:right w:val="nil"/>
            </w:tcBorders>
            <w:shd w:val="clear" w:color="auto" w:fill="auto"/>
            <w:noWrap/>
            <w:vAlign w:val="bottom"/>
            <w:hideMark/>
          </w:tcPr>
          <w:p w14:paraId="5E41A4E3" w14:textId="0108DFE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44</w:t>
            </w:r>
            <w:r w:rsidR="007667F4" w:rsidRPr="00A00187">
              <w:rPr>
                <w:rFonts w:eastAsia="Times New Roman"/>
                <w:szCs w:val="24"/>
                <w:lang w:eastAsia="cs-CZ"/>
              </w:rPr>
              <w:t>,</w:t>
            </w:r>
            <w:r w:rsidRPr="00A00187">
              <w:rPr>
                <w:rFonts w:eastAsia="Times New Roman"/>
                <w:szCs w:val="24"/>
                <w:lang w:eastAsia="cs-CZ"/>
              </w:rPr>
              <w:t>63</w:t>
            </w:r>
          </w:p>
        </w:tc>
        <w:tc>
          <w:tcPr>
            <w:tcW w:w="1007" w:type="dxa"/>
            <w:tcBorders>
              <w:top w:val="nil"/>
              <w:left w:val="nil"/>
              <w:bottom w:val="single" w:sz="4" w:space="0" w:color="auto"/>
              <w:right w:val="nil"/>
            </w:tcBorders>
            <w:shd w:val="clear" w:color="auto" w:fill="auto"/>
            <w:noWrap/>
            <w:vAlign w:val="bottom"/>
            <w:hideMark/>
          </w:tcPr>
          <w:p w14:paraId="175F7A66" w14:textId="14B17EC3"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30</w:t>
            </w:r>
            <w:r w:rsidR="007667F4" w:rsidRPr="00A00187">
              <w:rPr>
                <w:rFonts w:eastAsia="Times New Roman"/>
                <w:szCs w:val="24"/>
                <w:lang w:eastAsia="cs-CZ"/>
              </w:rPr>
              <w:t>,</w:t>
            </w:r>
            <w:r w:rsidRPr="00A00187">
              <w:rPr>
                <w:rFonts w:eastAsia="Times New Roman"/>
                <w:szCs w:val="24"/>
                <w:lang w:eastAsia="cs-CZ"/>
              </w:rPr>
              <w:t>59</w:t>
            </w:r>
          </w:p>
        </w:tc>
        <w:tc>
          <w:tcPr>
            <w:tcW w:w="1001" w:type="dxa"/>
            <w:tcBorders>
              <w:top w:val="nil"/>
              <w:left w:val="nil"/>
              <w:bottom w:val="single" w:sz="4" w:space="0" w:color="auto"/>
              <w:right w:val="nil"/>
            </w:tcBorders>
            <w:shd w:val="clear" w:color="auto" w:fill="auto"/>
            <w:noWrap/>
            <w:vAlign w:val="bottom"/>
            <w:hideMark/>
          </w:tcPr>
          <w:p w14:paraId="44E75E0A" w14:textId="7F784B2E"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10</w:t>
            </w:r>
            <w:r w:rsidR="007667F4" w:rsidRPr="00A00187">
              <w:rPr>
                <w:rFonts w:eastAsia="Times New Roman"/>
                <w:szCs w:val="24"/>
                <w:lang w:eastAsia="cs-CZ"/>
              </w:rPr>
              <w:t>,</w:t>
            </w:r>
            <w:r w:rsidRPr="00A00187">
              <w:rPr>
                <w:rFonts w:eastAsia="Times New Roman"/>
                <w:szCs w:val="24"/>
                <w:lang w:eastAsia="cs-CZ"/>
              </w:rPr>
              <w:t>57</w:t>
            </w:r>
          </w:p>
        </w:tc>
        <w:tc>
          <w:tcPr>
            <w:tcW w:w="1001" w:type="dxa"/>
            <w:tcBorders>
              <w:top w:val="nil"/>
              <w:left w:val="nil"/>
              <w:bottom w:val="single" w:sz="4" w:space="0" w:color="auto"/>
              <w:right w:val="nil"/>
            </w:tcBorders>
            <w:shd w:val="clear" w:color="auto" w:fill="auto"/>
            <w:noWrap/>
            <w:vAlign w:val="bottom"/>
            <w:hideMark/>
          </w:tcPr>
          <w:p w14:paraId="7B0F8E4E" w14:textId="3BE33E7C"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14</w:t>
            </w:r>
            <w:r w:rsidR="007667F4" w:rsidRPr="00A00187">
              <w:rPr>
                <w:rFonts w:eastAsia="Times New Roman"/>
                <w:szCs w:val="24"/>
                <w:lang w:eastAsia="cs-CZ"/>
              </w:rPr>
              <w:t>,</w:t>
            </w:r>
            <w:r w:rsidRPr="00A00187">
              <w:rPr>
                <w:rFonts w:eastAsia="Times New Roman"/>
                <w:szCs w:val="24"/>
                <w:lang w:eastAsia="cs-CZ"/>
              </w:rPr>
              <w:t>21</w:t>
            </w:r>
          </w:p>
        </w:tc>
      </w:tr>
      <w:tr w:rsidR="00AC1E67" w:rsidRPr="00A00187" w14:paraId="662BB81B" w14:textId="77777777" w:rsidTr="00F0024F">
        <w:trPr>
          <w:trHeight w:val="330"/>
        </w:trPr>
        <w:tc>
          <w:tcPr>
            <w:tcW w:w="2184" w:type="dxa"/>
            <w:tcBorders>
              <w:top w:val="nil"/>
              <w:left w:val="nil"/>
              <w:bottom w:val="double" w:sz="6" w:space="0" w:color="auto"/>
              <w:right w:val="nil"/>
            </w:tcBorders>
            <w:shd w:val="clear" w:color="auto" w:fill="auto"/>
            <w:noWrap/>
            <w:vAlign w:val="bottom"/>
            <w:hideMark/>
          </w:tcPr>
          <w:p w14:paraId="28D8DE3B"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Ostrava</w:t>
            </w:r>
          </w:p>
        </w:tc>
        <w:tc>
          <w:tcPr>
            <w:tcW w:w="1007" w:type="dxa"/>
            <w:tcBorders>
              <w:top w:val="nil"/>
              <w:left w:val="nil"/>
              <w:bottom w:val="double" w:sz="6" w:space="0" w:color="auto"/>
              <w:right w:val="nil"/>
            </w:tcBorders>
            <w:shd w:val="clear" w:color="auto" w:fill="auto"/>
            <w:noWrap/>
            <w:vAlign w:val="bottom"/>
            <w:hideMark/>
          </w:tcPr>
          <w:p w14:paraId="22D2491D" w14:textId="2A452F7A"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44</w:t>
            </w:r>
            <w:r w:rsidR="007667F4" w:rsidRPr="00A00187">
              <w:rPr>
                <w:rFonts w:eastAsia="Times New Roman"/>
                <w:szCs w:val="24"/>
                <w:lang w:eastAsia="cs-CZ"/>
              </w:rPr>
              <w:t>,</w:t>
            </w:r>
            <w:r w:rsidRPr="00A00187">
              <w:rPr>
                <w:rFonts w:eastAsia="Times New Roman"/>
                <w:szCs w:val="24"/>
                <w:lang w:eastAsia="cs-CZ"/>
              </w:rPr>
              <w:t>59</w:t>
            </w:r>
          </w:p>
        </w:tc>
        <w:tc>
          <w:tcPr>
            <w:tcW w:w="1007" w:type="dxa"/>
            <w:tcBorders>
              <w:top w:val="nil"/>
              <w:left w:val="nil"/>
              <w:bottom w:val="double" w:sz="6" w:space="0" w:color="auto"/>
              <w:right w:val="nil"/>
            </w:tcBorders>
            <w:shd w:val="clear" w:color="auto" w:fill="auto"/>
            <w:noWrap/>
            <w:vAlign w:val="bottom"/>
            <w:hideMark/>
          </w:tcPr>
          <w:p w14:paraId="784BA28A" w14:textId="67CCAA93"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29</w:t>
            </w:r>
            <w:r w:rsidR="007667F4" w:rsidRPr="00A00187">
              <w:rPr>
                <w:rFonts w:eastAsia="Times New Roman"/>
                <w:szCs w:val="24"/>
                <w:lang w:eastAsia="cs-CZ"/>
              </w:rPr>
              <w:t>,</w:t>
            </w:r>
            <w:r w:rsidRPr="00A00187">
              <w:rPr>
                <w:rFonts w:eastAsia="Times New Roman"/>
                <w:szCs w:val="24"/>
                <w:lang w:eastAsia="cs-CZ"/>
              </w:rPr>
              <w:t>29</w:t>
            </w:r>
          </w:p>
        </w:tc>
        <w:tc>
          <w:tcPr>
            <w:tcW w:w="1001" w:type="dxa"/>
            <w:tcBorders>
              <w:top w:val="nil"/>
              <w:left w:val="nil"/>
              <w:bottom w:val="double" w:sz="6" w:space="0" w:color="auto"/>
              <w:right w:val="nil"/>
            </w:tcBorders>
            <w:shd w:val="clear" w:color="auto" w:fill="auto"/>
            <w:noWrap/>
            <w:vAlign w:val="bottom"/>
            <w:hideMark/>
          </w:tcPr>
          <w:p w14:paraId="08A79381" w14:textId="17D63F99"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17</w:t>
            </w:r>
            <w:r w:rsidR="007667F4" w:rsidRPr="00A00187">
              <w:rPr>
                <w:rFonts w:eastAsia="Times New Roman"/>
                <w:szCs w:val="24"/>
                <w:lang w:eastAsia="cs-CZ"/>
              </w:rPr>
              <w:t>,</w:t>
            </w:r>
            <w:r w:rsidRPr="00A00187">
              <w:rPr>
                <w:rFonts w:eastAsia="Times New Roman"/>
                <w:szCs w:val="24"/>
                <w:lang w:eastAsia="cs-CZ"/>
              </w:rPr>
              <w:t>32</w:t>
            </w:r>
          </w:p>
        </w:tc>
        <w:tc>
          <w:tcPr>
            <w:tcW w:w="1001" w:type="dxa"/>
            <w:tcBorders>
              <w:top w:val="nil"/>
              <w:left w:val="nil"/>
              <w:bottom w:val="double" w:sz="6" w:space="0" w:color="auto"/>
              <w:right w:val="nil"/>
            </w:tcBorders>
            <w:shd w:val="clear" w:color="auto" w:fill="auto"/>
            <w:noWrap/>
            <w:vAlign w:val="bottom"/>
            <w:hideMark/>
          </w:tcPr>
          <w:p w14:paraId="1FD269A6" w14:textId="265BDCB7"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8</w:t>
            </w:r>
            <w:r w:rsidR="007667F4" w:rsidRPr="00A00187">
              <w:rPr>
                <w:rFonts w:eastAsia="Times New Roman"/>
                <w:szCs w:val="24"/>
                <w:lang w:eastAsia="cs-CZ"/>
              </w:rPr>
              <w:t>,</w:t>
            </w:r>
            <w:r w:rsidRPr="00A00187">
              <w:rPr>
                <w:rFonts w:eastAsia="Times New Roman"/>
                <w:szCs w:val="24"/>
                <w:lang w:eastAsia="cs-CZ"/>
              </w:rPr>
              <w:t>80</w:t>
            </w:r>
          </w:p>
        </w:tc>
      </w:tr>
      <w:tr w:rsidR="00AC1E67" w:rsidRPr="00A00187" w14:paraId="3867D263" w14:textId="77777777" w:rsidTr="00F0024F">
        <w:trPr>
          <w:trHeight w:val="345"/>
        </w:trPr>
        <w:tc>
          <w:tcPr>
            <w:tcW w:w="2184" w:type="dxa"/>
            <w:tcBorders>
              <w:top w:val="nil"/>
              <w:left w:val="nil"/>
              <w:bottom w:val="double" w:sz="6" w:space="0" w:color="auto"/>
              <w:right w:val="nil"/>
            </w:tcBorders>
            <w:shd w:val="clear" w:color="auto" w:fill="auto"/>
            <w:noWrap/>
            <w:vAlign w:val="bottom"/>
            <w:hideMark/>
          </w:tcPr>
          <w:p w14:paraId="3642C37E" w14:textId="77777777" w:rsidR="00F0024F" w:rsidRPr="00A00187" w:rsidRDefault="00F0024F" w:rsidP="00F0024F">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07" w:type="dxa"/>
            <w:tcBorders>
              <w:top w:val="nil"/>
              <w:left w:val="nil"/>
              <w:bottom w:val="double" w:sz="6" w:space="0" w:color="auto"/>
              <w:right w:val="nil"/>
            </w:tcBorders>
            <w:shd w:val="clear" w:color="auto" w:fill="auto"/>
            <w:noWrap/>
            <w:vAlign w:val="bottom"/>
            <w:hideMark/>
          </w:tcPr>
          <w:p w14:paraId="3A5290E4" w14:textId="06B2E514"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52</w:t>
            </w:r>
            <w:r w:rsidR="007667F4" w:rsidRPr="00A00187">
              <w:rPr>
                <w:rFonts w:eastAsia="Times New Roman"/>
                <w:b/>
                <w:bCs/>
                <w:szCs w:val="24"/>
                <w:lang w:eastAsia="cs-CZ"/>
              </w:rPr>
              <w:t>,</w:t>
            </w:r>
            <w:r w:rsidRPr="00A00187">
              <w:rPr>
                <w:rFonts w:eastAsia="Times New Roman"/>
                <w:b/>
                <w:bCs/>
                <w:szCs w:val="24"/>
                <w:lang w:eastAsia="cs-CZ"/>
              </w:rPr>
              <w:t>59</w:t>
            </w:r>
          </w:p>
        </w:tc>
        <w:tc>
          <w:tcPr>
            <w:tcW w:w="1007" w:type="dxa"/>
            <w:tcBorders>
              <w:top w:val="nil"/>
              <w:left w:val="nil"/>
              <w:bottom w:val="double" w:sz="6" w:space="0" w:color="auto"/>
              <w:right w:val="nil"/>
            </w:tcBorders>
            <w:shd w:val="clear" w:color="auto" w:fill="auto"/>
            <w:noWrap/>
            <w:vAlign w:val="bottom"/>
            <w:hideMark/>
          </w:tcPr>
          <w:p w14:paraId="0C8D45AF" w14:textId="72E437CF"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24</w:t>
            </w:r>
            <w:r w:rsidR="007667F4" w:rsidRPr="00A00187">
              <w:rPr>
                <w:rFonts w:eastAsia="Times New Roman"/>
                <w:b/>
                <w:bCs/>
                <w:szCs w:val="24"/>
                <w:lang w:eastAsia="cs-CZ"/>
              </w:rPr>
              <w:t>,</w:t>
            </w:r>
            <w:r w:rsidRPr="00A00187">
              <w:rPr>
                <w:rFonts w:eastAsia="Times New Roman"/>
                <w:b/>
                <w:bCs/>
                <w:szCs w:val="24"/>
                <w:lang w:eastAsia="cs-CZ"/>
              </w:rPr>
              <w:t>62</w:t>
            </w:r>
          </w:p>
        </w:tc>
        <w:tc>
          <w:tcPr>
            <w:tcW w:w="1001" w:type="dxa"/>
            <w:tcBorders>
              <w:top w:val="nil"/>
              <w:left w:val="nil"/>
              <w:bottom w:val="double" w:sz="6" w:space="0" w:color="auto"/>
              <w:right w:val="nil"/>
            </w:tcBorders>
            <w:shd w:val="clear" w:color="auto" w:fill="auto"/>
            <w:noWrap/>
            <w:vAlign w:val="bottom"/>
            <w:hideMark/>
          </w:tcPr>
          <w:p w14:paraId="22B70FA9" w14:textId="39F08BCA"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14</w:t>
            </w:r>
            <w:r w:rsidR="007667F4" w:rsidRPr="00A00187">
              <w:rPr>
                <w:rFonts w:eastAsia="Times New Roman"/>
                <w:b/>
                <w:bCs/>
                <w:szCs w:val="24"/>
                <w:lang w:eastAsia="cs-CZ"/>
              </w:rPr>
              <w:t>,</w:t>
            </w:r>
            <w:r w:rsidRPr="00A00187">
              <w:rPr>
                <w:rFonts w:eastAsia="Times New Roman"/>
                <w:b/>
                <w:bCs/>
                <w:szCs w:val="24"/>
                <w:lang w:eastAsia="cs-CZ"/>
              </w:rPr>
              <w:t>32</w:t>
            </w:r>
          </w:p>
        </w:tc>
        <w:tc>
          <w:tcPr>
            <w:tcW w:w="1001" w:type="dxa"/>
            <w:tcBorders>
              <w:top w:val="nil"/>
              <w:left w:val="nil"/>
              <w:bottom w:val="double" w:sz="6" w:space="0" w:color="auto"/>
              <w:right w:val="nil"/>
            </w:tcBorders>
            <w:shd w:val="clear" w:color="auto" w:fill="auto"/>
            <w:noWrap/>
            <w:vAlign w:val="bottom"/>
            <w:hideMark/>
          </w:tcPr>
          <w:p w14:paraId="63E08C00" w14:textId="281276AF"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8</w:t>
            </w:r>
            <w:r w:rsidR="007667F4" w:rsidRPr="00A00187">
              <w:rPr>
                <w:rFonts w:eastAsia="Times New Roman"/>
                <w:b/>
                <w:bCs/>
                <w:szCs w:val="24"/>
                <w:lang w:eastAsia="cs-CZ"/>
              </w:rPr>
              <w:t>,</w:t>
            </w:r>
            <w:r w:rsidRPr="00A00187">
              <w:rPr>
                <w:rFonts w:eastAsia="Times New Roman"/>
                <w:b/>
                <w:bCs/>
                <w:szCs w:val="24"/>
                <w:lang w:eastAsia="cs-CZ"/>
              </w:rPr>
              <w:t>48</w:t>
            </w:r>
          </w:p>
        </w:tc>
      </w:tr>
    </w:tbl>
    <w:p w14:paraId="08EAD17E" w14:textId="01FA562E" w:rsidR="008430BD" w:rsidRPr="00A00187" w:rsidRDefault="008430BD" w:rsidP="008430BD">
      <w:pPr>
        <w:pStyle w:val="Nadpis3"/>
        <w:numPr>
          <w:ilvl w:val="2"/>
          <w:numId w:val="1"/>
        </w:numPr>
        <w:rPr>
          <w:color w:val="auto"/>
        </w:rPr>
      </w:pPr>
      <w:bookmarkStart w:id="891" w:name="_Toc515871269"/>
      <w:bookmarkStart w:id="892" w:name="_Toc106092777"/>
      <w:bookmarkStart w:id="893" w:name="_Toc109801388"/>
      <w:r w:rsidRPr="00A00187">
        <w:rPr>
          <w:color w:val="auto"/>
        </w:rPr>
        <w:t>Vyřizování věcí v přepočtu na soudce</w:t>
      </w:r>
      <w:bookmarkEnd w:id="891"/>
      <w:bookmarkEnd w:id="892"/>
      <w:bookmarkEnd w:id="893"/>
    </w:p>
    <w:p w14:paraId="26EA15E1" w14:textId="77777777" w:rsidR="00F0024F" w:rsidRPr="00A00187" w:rsidRDefault="00F0024F" w:rsidP="00F0024F">
      <w:pPr>
        <w:pStyle w:val="OdstavecASR"/>
      </w:pPr>
      <w:r w:rsidRPr="00A00187">
        <w:t>Na rozdíl od ostatních agend bylo možné počet soudců, kteří vyřizují správní agendu</w:t>
      </w:r>
      <w:r w:rsidR="007A1371" w:rsidRPr="00A00187">
        <w:t>,</w:t>
      </w:r>
      <w:r w:rsidRPr="00A00187">
        <w:t xml:space="preserve"> dohledat i v předchozích verzích zprávy. Tento rok nicméně budou využita data ze stejného zdroje jako u ostatních agend, tedy údaje o skutečném počtu úvazků získané dotazníkovým šetřením od soudů.</w:t>
      </w:r>
    </w:p>
    <w:p w14:paraId="7D5616DA" w14:textId="2EE3E2A3" w:rsidR="00F0024F" w:rsidRPr="00A00187" w:rsidRDefault="00F0024F" w:rsidP="00F0024F">
      <w:pPr>
        <w:pStyle w:val="OdstavecASR"/>
      </w:pPr>
      <w:r w:rsidRPr="00A00187">
        <w:t>V tabulce tedy uvádíme údaje</w:t>
      </w:r>
      <w:r w:rsidR="007A1371" w:rsidRPr="00A00187">
        <w:t xml:space="preserve"> založené na počtu </w:t>
      </w:r>
      <w:r w:rsidRPr="00A00187">
        <w:t>soudců (úvazků) k 1. 1. 2022. Údaje o nápadu, obživě a vyřízených věcech jsou za rok 2021. Data o počtu nevyřízených věcí jsou k 31. 12. 2021.</w:t>
      </w:r>
    </w:p>
    <w:p w14:paraId="00D4938C" w14:textId="1BAFBCA2" w:rsidR="00F0024F" w:rsidRPr="00A00187" w:rsidRDefault="00F0024F" w:rsidP="00F0024F">
      <w:pPr>
        <w:pStyle w:val="OdstavecASR"/>
      </w:pPr>
      <w:r w:rsidRPr="00A00187">
        <w:t xml:space="preserve">Ve zprávě za rok 2019 byl </w:t>
      </w:r>
      <w:r w:rsidR="007A1371" w:rsidRPr="00A00187">
        <w:t xml:space="preserve">zachycen </w:t>
      </w:r>
      <w:r w:rsidRPr="00A00187">
        <w:t xml:space="preserve">počet soudců 98, </w:t>
      </w:r>
      <w:r w:rsidR="00CE1D1E" w:rsidRPr="00A00187">
        <w:t xml:space="preserve">v roce </w:t>
      </w:r>
      <w:r w:rsidR="007A1371" w:rsidRPr="00A00187">
        <w:t>2020</w:t>
      </w:r>
      <w:r w:rsidR="00AF260E" w:rsidRPr="00A00187">
        <w:t xml:space="preserve"> </w:t>
      </w:r>
      <w:r w:rsidR="007A1371" w:rsidRPr="00A00187">
        <w:t>činil</w:t>
      </w:r>
      <w:r w:rsidR="00AF260E" w:rsidRPr="00A00187">
        <w:t xml:space="preserve"> </w:t>
      </w:r>
      <w:r w:rsidR="00CE1D1E" w:rsidRPr="00A00187">
        <w:t xml:space="preserve">počet soudců </w:t>
      </w:r>
      <w:r w:rsidRPr="00A00187">
        <w:t xml:space="preserve">113 </w:t>
      </w:r>
      <w:r w:rsidR="00755920" w:rsidRPr="00A00187">
        <w:t>a</w:t>
      </w:r>
      <w:r w:rsidR="00755920">
        <w:t> </w:t>
      </w:r>
      <w:r w:rsidR="002E70DB" w:rsidRPr="00A00187">
        <w:t>v</w:t>
      </w:r>
      <w:r w:rsidR="00CE1D1E" w:rsidRPr="00A00187">
        <w:t> roce 2021</w:t>
      </w:r>
      <w:r w:rsidR="00314BD2">
        <w:t xml:space="preserve"> </w:t>
      </w:r>
      <w:r w:rsidR="002E70DB" w:rsidRPr="00A00187">
        <w:t xml:space="preserve">činí </w:t>
      </w:r>
      <w:r w:rsidRPr="00A00187">
        <w:t>118. To je nárůst celkem o 20 soudců (20</w:t>
      </w:r>
      <w:r w:rsidR="00CB570A">
        <w:t> %</w:t>
      </w:r>
      <w:r w:rsidRPr="00A00187">
        <w:t>). To spolu s poklesem v nápadu soudům umožnilo vyřídit mnohem více věcí, než jich na soudy přišlo.</w:t>
      </w:r>
    </w:p>
    <w:p w14:paraId="41918CB2" w14:textId="70FE5654" w:rsidR="00F0024F" w:rsidRPr="00A00187" w:rsidRDefault="00F0024F" w:rsidP="00F0024F">
      <w:pPr>
        <w:pStyle w:val="Podnadpis"/>
        <w:rPr>
          <w:color w:val="auto"/>
        </w:rPr>
      </w:pPr>
      <w:bookmarkStart w:id="894" w:name="_Toc75952372"/>
      <w:bookmarkStart w:id="895" w:name="_Toc106106827"/>
      <w:bookmarkStart w:id="896" w:name="_Toc109802150"/>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65</w:t>
      </w:r>
      <w:r w:rsidRPr="00A00187">
        <w:rPr>
          <w:noProof/>
          <w:color w:val="auto"/>
        </w:rPr>
        <w:fldChar w:fldCharType="end"/>
      </w:r>
      <w:r w:rsidRPr="00A00187">
        <w:rPr>
          <w:color w:val="auto"/>
        </w:rPr>
        <w:t>: KS – vyřizování správních věcí na skutečný úvazek dle soudů</w:t>
      </w:r>
      <w:bookmarkEnd w:id="894"/>
      <w:bookmarkEnd w:id="895"/>
      <w:bookmarkEnd w:id="896"/>
    </w:p>
    <w:tbl>
      <w:tblPr>
        <w:tblW w:w="9240" w:type="dxa"/>
        <w:tblCellMar>
          <w:left w:w="70" w:type="dxa"/>
          <w:right w:w="70" w:type="dxa"/>
        </w:tblCellMar>
        <w:tblLook w:val="04A0" w:firstRow="1" w:lastRow="0" w:firstColumn="1" w:lastColumn="0" w:noHBand="0" w:noVBand="1"/>
      </w:tblPr>
      <w:tblGrid>
        <w:gridCol w:w="2076"/>
        <w:gridCol w:w="1028"/>
        <w:gridCol w:w="1026"/>
        <w:gridCol w:w="952"/>
        <w:gridCol w:w="1240"/>
        <w:gridCol w:w="940"/>
        <w:gridCol w:w="1036"/>
        <w:gridCol w:w="942"/>
      </w:tblGrid>
      <w:tr w:rsidR="00AC1E67" w:rsidRPr="00A00187" w14:paraId="7C727CFF" w14:textId="77777777" w:rsidTr="00F0024F">
        <w:trPr>
          <w:trHeight w:val="330"/>
        </w:trPr>
        <w:tc>
          <w:tcPr>
            <w:tcW w:w="2076" w:type="dxa"/>
            <w:vMerge w:val="restart"/>
            <w:tcBorders>
              <w:top w:val="double" w:sz="6" w:space="0" w:color="auto"/>
              <w:left w:val="nil"/>
              <w:bottom w:val="double" w:sz="6" w:space="0" w:color="000000"/>
              <w:right w:val="nil"/>
            </w:tcBorders>
            <w:shd w:val="clear" w:color="auto" w:fill="auto"/>
            <w:noWrap/>
            <w:vAlign w:val="center"/>
            <w:hideMark/>
          </w:tcPr>
          <w:p w14:paraId="4671D525" w14:textId="7B7D408C" w:rsidR="00F0024F" w:rsidRPr="00A00187" w:rsidRDefault="00A8348B" w:rsidP="00F0024F">
            <w:pPr>
              <w:spacing w:line="240" w:lineRule="auto"/>
              <w:jc w:val="center"/>
              <w:rPr>
                <w:rFonts w:eastAsia="Times New Roman"/>
                <w:b/>
                <w:bCs/>
                <w:szCs w:val="24"/>
                <w:lang w:eastAsia="cs-CZ"/>
              </w:rPr>
            </w:pPr>
            <w:r w:rsidRPr="00A00187">
              <w:rPr>
                <w:rFonts w:eastAsia="Times New Roman"/>
                <w:b/>
                <w:bCs/>
                <w:szCs w:val="24"/>
                <w:lang w:eastAsia="cs-CZ"/>
              </w:rPr>
              <w:t>S</w:t>
            </w:r>
            <w:r w:rsidR="00F0024F" w:rsidRPr="00A00187">
              <w:rPr>
                <w:rFonts w:eastAsia="Times New Roman"/>
                <w:b/>
                <w:bCs/>
                <w:szCs w:val="24"/>
                <w:lang w:eastAsia="cs-CZ"/>
              </w:rPr>
              <w:t>oud</w:t>
            </w:r>
          </w:p>
        </w:tc>
        <w:tc>
          <w:tcPr>
            <w:tcW w:w="1028" w:type="dxa"/>
            <w:vMerge w:val="restart"/>
            <w:tcBorders>
              <w:top w:val="double" w:sz="6" w:space="0" w:color="auto"/>
              <w:left w:val="nil"/>
              <w:bottom w:val="double" w:sz="6" w:space="0" w:color="000000"/>
              <w:right w:val="nil"/>
            </w:tcBorders>
            <w:shd w:val="clear" w:color="auto" w:fill="auto"/>
            <w:vAlign w:val="center"/>
            <w:hideMark/>
          </w:tcPr>
          <w:p w14:paraId="180AC7EE"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136" w:type="dxa"/>
            <w:gridSpan w:val="6"/>
            <w:tcBorders>
              <w:top w:val="double" w:sz="6" w:space="0" w:color="auto"/>
              <w:left w:val="nil"/>
              <w:bottom w:val="nil"/>
              <w:right w:val="nil"/>
            </w:tcBorders>
            <w:shd w:val="clear" w:color="auto" w:fill="auto"/>
            <w:noWrap/>
            <w:vAlign w:val="center"/>
            <w:hideMark/>
          </w:tcPr>
          <w:p w14:paraId="70A4C6FB" w14:textId="1AB210E6" w:rsidR="00F0024F" w:rsidRPr="00A00187" w:rsidRDefault="00310D82" w:rsidP="00F0024F">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AC1E67" w:rsidRPr="00A00187" w14:paraId="32291189" w14:textId="77777777" w:rsidTr="00F0024F">
        <w:trPr>
          <w:trHeight w:val="330"/>
        </w:trPr>
        <w:tc>
          <w:tcPr>
            <w:tcW w:w="2076" w:type="dxa"/>
            <w:vMerge/>
            <w:tcBorders>
              <w:top w:val="double" w:sz="6" w:space="0" w:color="auto"/>
              <w:left w:val="nil"/>
              <w:bottom w:val="double" w:sz="6" w:space="0" w:color="000000"/>
              <w:right w:val="nil"/>
            </w:tcBorders>
            <w:vAlign w:val="center"/>
            <w:hideMark/>
          </w:tcPr>
          <w:p w14:paraId="4F323F8B" w14:textId="77777777" w:rsidR="00F0024F" w:rsidRPr="00A00187" w:rsidRDefault="00F0024F" w:rsidP="00F0024F">
            <w:pPr>
              <w:spacing w:line="240" w:lineRule="auto"/>
              <w:jc w:val="left"/>
              <w:rPr>
                <w:rFonts w:eastAsia="Times New Roman"/>
                <w:b/>
                <w:bCs/>
                <w:szCs w:val="24"/>
                <w:lang w:eastAsia="cs-CZ"/>
              </w:rPr>
            </w:pPr>
          </w:p>
        </w:tc>
        <w:tc>
          <w:tcPr>
            <w:tcW w:w="1028" w:type="dxa"/>
            <w:vMerge/>
            <w:tcBorders>
              <w:top w:val="double" w:sz="6" w:space="0" w:color="auto"/>
              <w:left w:val="nil"/>
              <w:bottom w:val="double" w:sz="6" w:space="0" w:color="000000"/>
              <w:right w:val="nil"/>
            </w:tcBorders>
            <w:vAlign w:val="center"/>
            <w:hideMark/>
          </w:tcPr>
          <w:p w14:paraId="55BC898B" w14:textId="77777777" w:rsidR="00F0024F" w:rsidRPr="00A00187" w:rsidRDefault="00F0024F" w:rsidP="00F0024F">
            <w:pPr>
              <w:spacing w:line="240" w:lineRule="auto"/>
              <w:jc w:val="left"/>
              <w:rPr>
                <w:rFonts w:eastAsia="Times New Roman"/>
                <w:b/>
                <w:bCs/>
                <w:szCs w:val="24"/>
                <w:lang w:eastAsia="cs-CZ"/>
              </w:rPr>
            </w:pPr>
          </w:p>
        </w:tc>
        <w:tc>
          <w:tcPr>
            <w:tcW w:w="1978" w:type="dxa"/>
            <w:gridSpan w:val="2"/>
            <w:tcBorders>
              <w:top w:val="nil"/>
              <w:left w:val="nil"/>
              <w:bottom w:val="double" w:sz="6" w:space="0" w:color="auto"/>
              <w:right w:val="nil"/>
            </w:tcBorders>
            <w:shd w:val="clear" w:color="auto" w:fill="auto"/>
            <w:noWrap/>
            <w:vAlign w:val="center"/>
            <w:hideMark/>
          </w:tcPr>
          <w:p w14:paraId="3CF56F5D"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1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EBE22C5"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978" w:type="dxa"/>
            <w:gridSpan w:val="2"/>
            <w:tcBorders>
              <w:top w:val="nil"/>
              <w:left w:val="nil"/>
              <w:bottom w:val="double" w:sz="6" w:space="0" w:color="auto"/>
              <w:right w:val="nil"/>
            </w:tcBorders>
            <w:shd w:val="clear" w:color="auto" w:fill="auto"/>
            <w:noWrap/>
            <w:vAlign w:val="center"/>
            <w:hideMark/>
          </w:tcPr>
          <w:p w14:paraId="4F48AD31" w14:textId="77777777"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5FE472D9" w14:textId="77777777" w:rsidTr="00F0024F">
        <w:trPr>
          <w:trHeight w:val="330"/>
        </w:trPr>
        <w:tc>
          <w:tcPr>
            <w:tcW w:w="2076" w:type="dxa"/>
            <w:tcBorders>
              <w:top w:val="single" w:sz="4" w:space="0" w:color="auto"/>
              <w:left w:val="nil"/>
              <w:bottom w:val="single" w:sz="4" w:space="0" w:color="auto"/>
              <w:right w:val="nil"/>
            </w:tcBorders>
            <w:shd w:val="clear" w:color="auto" w:fill="auto"/>
            <w:noWrap/>
            <w:vAlign w:val="bottom"/>
            <w:hideMark/>
          </w:tcPr>
          <w:p w14:paraId="6C927B59"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MS Praha</w:t>
            </w:r>
          </w:p>
        </w:tc>
        <w:tc>
          <w:tcPr>
            <w:tcW w:w="1028" w:type="dxa"/>
            <w:tcBorders>
              <w:top w:val="single" w:sz="4" w:space="0" w:color="auto"/>
              <w:left w:val="nil"/>
              <w:bottom w:val="single" w:sz="4" w:space="0" w:color="auto"/>
              <w:right w:val="nil"/>
            </w:tcBorders>
            <w:shd w:val="clear" w:color="auto" w:fill="auto"/>
            <w:noWrap/>
            <w:vAlign w:val="bottom"/>
            <w:hideMark/>
          </w:tcPr>
          <w:p w14:paraId="4A930995" w14:textId="77777777"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39</w:t>
            </w:r>
          </w:p>
        </w:tc>
        <w:tc>
          <w:tcPr>
            <w:tcW w:w="1026" w:type="dxa"/>
            <w:tcBorders>
              <w:top w:val="single" w:sz="4" w:space="0" w:color="auto"/>
              <w:left w:val="nil"/>
              <w:bottom w:val="single" w:sz="4" w:space="0" w:color="auto"/>
              <w:right w:val="nil"/>
            </w:tcBorders>
            <w:shd w:val="clear" w:color="auto" w:fill="auto"/>
            <w:noWrap/>
            <w:vAlign w:val="bottom"/>
            <w:hideMark/>
          </w:tcPr>
          <w:p w14:paraId="05E36389" w14:textId="39381EA4"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83,59</w:t>
            </w:r>
          </w:p>
        </w:tc>
        <w:tc>
          <w:tcPr>
            <w:tcW w:w="952" w:type="dxa"/>
            <w:tcBorders>
              <w:top w:val="single" w:sz="4" w:space="0" w:color="auto"/>
              <w:left w:val="nil"/>
              <w:bottom w:val="single" w:sz="4" w:space="0" w:color="auto"/>
              <w:right w:val="nil"/>
            </w:tcBorders>
            <w:shd w:val="clear" w:color="auto" w:fill="auto"/>
            <w:noWrap/>
            <w:vAlign w:val="center"/>
            <w:hideMark/>
          </w:tcPr>
          <w:p w14:paraId="7F6E4067" w14:textId="46D252CC"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240" w:type="dxa"/>
            <w:tcBorders>
              <w:top w:val="nil"/>
              <w:left w:val="single" w:sz="4" w:space="0" w:color="auto"/>
              <w:bottom w:val="single" w:sz="4" w:space="0" w:color="auto"/>
              <w:right w:val="nil"/>
            </w:tcBorders>
            <w:shd w:val="clear" w:color="auto" w:fill="auto"/>
            <w:noWrap/>
            <w:vAlign w:val="bottom"/>
            <w:hideMark/>
          </w:tcPr>
          <w:p w14:paraId="43A9B41E" w14:textId="43FEF732"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98,74</w:t>
            </w:r>
          </w:p>
        </w:tc>
        <w:tc>
          <w:tcPr>
            <w:tcW w:w="940" w:type="dxa"/>
            <w:tcBorders>
              <w:top w:val="nil"/>
              <w:left w:val="nil"/>
              <w:bottom w:val="single" w:sz="4" w:space="0" w:color="auto"/>
              <w:right w:val="single" w:sz="4" w:space="0" w:color="auto"/>
            </w:tcBorders>
            <w:shd w:val="clear" w:color="auto" w:fill="auto"/>
            <w:noWrap/>
            <w:vAlign w:val="center"/>
            <w:hideMark/>
          </w:tcPr>
          <w:p w14:paraId="606FB0BF" w14:textId="3A15059D"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036" w:type="dxa"/>
            <w:tcBorders>
              <w:top w:val="single" w:sz="4" w:space="0" w:color="auto"/>
              <w:left w:val="nil"/>
              <w:bottom w:val="single" w:sz="4" w:space="0" w:color="auto"/>
              <w:right w:val="nil"/>
            </w:tcBorders>
            <w:shd w:val="clear" w:color="auto" w:fill="auto"/>
            <w:noWrap/>
            <w:vAlign w:val="bottom"/>
            <w:hideMark/>
          </w:tcPr>
          <w:p w14:paraId="37DC8506" w14:textId="615084E9"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82,21</w:t>
            </w:r>
          </w:p>
        </w:tc>
        <w:tc>
          <w:tcPr>
            <w:tcW w:w="942" w:type="dxa"/>
            <w:tcBorders>
              <w:top w:val="single" w:sz="4" w:space="0" w:color="auto"/>
              <w:left w:val="nil"/>
              <w:bottom w:val="single" w:sz="4" w:space="0" w:color="auto"/>
              <w:right w:val="nil"/>
            </w:tcBorders>
            <w:shd w:val="clear" w:color="auto" w:fill="auto"/>
            <w:noWrap/>
            <w:vAlign w:val="center"/>
            <w:hideMark/>
          </w:tcPr>
          <w:p w14:paraId="21E817C4" w14:textId="42810ADB"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r>
      <w:tr w:rsidR="00AC1E67" w:rsidRPr="00A00187" w14:paraId="06515F63" w14:textId="77777777" w:rsidTr="00F0024F">
        <w:trPr>
          <w:trHeight w:val="315"/>
        </w:trPr>
        <w:tc>
          <w:tcPr>
            <w:tcW w:w="2076" w:type="dxa"/>
            <w:tcBorders>
              <w:top w:val="nil"/>
              <w:left w:val="nil"/>
              <w:bottom w:val="single" w:sz="4" w:space="0" w:color="auto"/>
              <w:right w:val="nil"/>
            </w:tcBorders>
            <w:shd w:val="clear" w:color="auto" w:fill="auto"/>
            <w:noWrap/>
            <w:vAlign w:val="bottom"/>
            <w:hideMark/>
          </w:tcPr>
          <w:p w14:paraId="5A16D4F5"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Praha</w:t>
            </w:r>
          </w:p>
        </w:tc>
        <w:tc>
          <w:tcPr>
            <w:tcW w:w="1028" w:type="dxa"/>
            <w:tcBorders>
              <w:top w:val="nil"/>
              <w:left w:val="nil"/>
              <w:bottom w:val="single" w:sz="4" w:space="0" w:color="auto"/>
              <w:right w:val="nil"/>
            </w:tcBorders>
            <w:shd w:val="clear" w:color="auto" w:fill="auto"/>
            <w:noWrap/>
            <w:vAlign w:val="bottom"/>
            <w:hideMark/>
          </w:tcPr>
          <w:p w14:paraId="38F4AAF3" w14:textId="69E6AB94"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12,9</w:t>
            </w:r>
          </w:p>
        </w:tc>
        <w:tc>
          <w:tcPr>
            <w:tcW w:w="1026" w:type="dxa"/>
            <w:tcBorders>
              <w:top w:val="nil"/>
              <w:left w:val="nil"/>
              <w:bottom w:val="single" w:sz="4" w:space="0" w:color="auto"/>
              <w:right w:val="nil"/>
            </w:tcBorders>
            <w:shd w:val="clear" w:color="auto" w:fill="auto"/>
            <w:noWrap/>
            <w:vAlign w:val="bottom"/>
            <w:hideMark/>
          </w:tcPr>
          <w:p w14:paraId="1D4EEDFE" w14:textId="31C71408"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69,15</w:t>
            </w:r>
          </w:p>
        </w:tc>
        <w:tc>
          <w:tcPr>
            <w:tcW w:w="952" w:type="dxa"/>
            <w:tcBorders>
              <w:top w:val="nil"/>
              <w:left w:val="nil"/>
              <w:bottom w:val="single" w:sz="4" w:space="0" w:color="auto"/>
              <w:right w:val="nil"/>
            </w:tcBorders>
            <w:shd w:val="clear" w:color="auto" w:fill="auto"/>
            <w:noWrap/>
            <w:vAlign w:val="center"/>
            <w:hideMark/>
          </w:tcPr>
          <w:p w14:paraId="780CE836" w14:textId="0DBF3966"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240" w:type="dxa"/>
            <w:tcBorders>
              <w:top w:val="nil"/>
              <w:left w:val="single" w:sz="4" w:space="0" w:color="auto"/>
              <w:bottom w:val="single" w:sz="4" w:space="0" w:color="auto"/>
              <w:right w:val="nil"/>
            </w:tcBorders>
            <w:shd w:val="clear" w:color="auto" w:fill="auto"/>
            <w:noWrap/>
            <w:vAlign w:val="bottom"/>
            <w:hideMark/>
          </w:tcPr>
          <w:p w14:paraId="22354FA3" w14:textId="00637DF5"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90,70</w:t>
            </w:r>
          </w:p>
        </w:tc>
        <w:tc>
          <w:tcPr>
            <w:tcW w:w="940" w:type="dxa"/>
            <w:tcBorders>
              <w:top w:val="nil"/>
              <w:left w:val="nil"/>
              <w:bottom w:val="single" w:sz="4" w:space="0" w:color="auto"/>
              <w:right w:val="single" w:sz="4" w:space="0" w:color="auto"/>
            </w:tcBorders>
            <w:shd w:val="clear" w:color="auto" w:fill="auto"/>
            <w:noWrap/>
            <w:vAlign w:val="center"/>
            <w:hideMark/>
          </w:tcPr>
          <w:p w14:paraId="723CE8F8" w14:textId="53853565"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36" w:type="dxa"/>
            <w:tcBorders>
              <w:top w:val="nil"/>
              <w:left w:val="nil"/>
              <w:bottom w:val="single" w:sz="4" w:space="0" w:color="auto"/>
              <w:right w:val="nil"/>
            </w:tcBorders>
            <w:shd w:val="clear" w:color="auto" w:fill="auto"/>
            <w:noWrap/>
            <w:vAlign w:val="bottom"/>
            <w:hideMark/>
          </w:tcPr>
          <w:p w14:paraId="25C25A3F" w14:textId="58908C33"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56,90</w:t>
            </w:r>
          </w:p>
        </w:tc>
        <w:tc>
          <w:tcPr>
            <w:tcW w:w="942" w:type="dxa"/>
            <w:tcBorders>
              <w:top w:val="nil"/>
              <w:left w:val="nil"/>
              <w:bottom w:val="single" w:sz="4" w:space="0" w:color="auto"/>
              <w:right w:val="nil"/>
            </w:tcBorders>
            <w:shd w:val="clear" w:color="auto" w:fill="auto"/>
            <w:noWrap/>
            <w:vAlign w:val="center"/>
            <w:hideMark/>
          </w:tcPr>
          <w:p w14:paraId="2C0CE8F2" w14:textId="6B8A4035"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r>
      <w:tr w:rsidR="00AC1E67" w:rsidRPr="00A00187" w14:paraId="21BDFA6A" w14:textId="77777777" w:rsidTr="00F0024F">
        <w:trPr>
          <w:trHeight w:val="315"/>
        </w:trPr>
        <w:tc>
          <w:tcPr>
            <w:tcW w:w="2076" w:type="dxa"/>
            <w:tcBorders>
              <w:top w:val="nil"/>
              <w:left w:val="nil"/>
              <w:bottom w:val="single" w:sz="4" w:space="0" w:color="auto"/>
              <w:right w:val="nil"/>
            </w:tcBorders>
            <w:shd w:val="clear" w:color="auto" w:fill="auto"/>
            <w:noWrap/>
            <w:vAlign w:val="bottom"/>
            <w:hideMark/>
          </w:tcPr>
          <w:p w14:paraId="7AC519C6"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Č. Budějovice</w:t>
            </w:r>
          </w:p>
        </w:tc>
        <w:tc>
          <w:tcPr>
            <w:tcW w:w="1028" w:type="dxa"/>
            <w:tcBorders>
              <w:top w:val="nil"/>
              <w:left w:val="nil"/>
              <w:bottom w:val="single" w:sz="4" w:space="0" w:color="auto"/>
              <w:right w:val="nil"/>
            </w:tcBorders>
            <w:shd w:val="clear" w:color="auto" w:fill="auto"/>
            <w:noWrap/>
            <w:vAlign w:val="bottom"/>
            <w:hideMark/>
          </w:tcPr>
          <w:p w14:paraId="767AC5B3" w14:textId="77777777"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w:t>
            </w:r>
          </w:p>
        </w:tc>
        <w:tc>
          <w:tcPr>
            <w:tcW w:w="1026" w:type="dxa"/>
            <w:tcBorders>
              <w:top w:val="nil"/>
              <w:left w:val="nil"/>
              <w:bottom w:val="single" w:sz="4" w:space="0" w:color="auto"/>
              <w:right w:val="nil"/>
            </w:tcBorders>
            <w:shd w:val="clear" w:color="auto" w:fill="auto"/>
            <w:noWrap/>
            <w:vAlign w:val="bottom"/>
            <w:hideMark/>
          </w:tcPr>
          <w:p w14:paraId="5EFF5F22" w14:textId="2FFA9CD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75,20</w:t>
            </w:r>
          </w:p>
        </w:tc>
        <w:tc>
          <w:tcPr>
            <w:tcW w:w="952" w:type="dxa"/>
            <w:tcBorders>
              <w:top w:val="nil"/>
              <w:left w:val="nil"/>
              <w:bottom w:val="single" w:sz="4" w:space="0" w:color="auto"/>
              <w:right w:val="nil"/>
            </w:tcBorders>
            <w:shd w:val="clear" w:color="auto" w:fill="auto"/>
            <w:noWrap/>
            <w:vAlign w:val="center"/>
            <w:hideMark/>
          </w:tcPr>
          <w:p w14:paraId="05F185FA" w14:textId="7C09B6FF"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c>
          <w:tcPr>
            <w:tcW w:w="1240" w:type="dxa"/>
            <w:tcBorders>
              <w:top w:val="nil"/>
              <w:left w:val="single" w:sz="4" w:space="0" w:color="auto"/>
              <w:bottom w:val="single" w:sz="4" w:space="0" w:color="auto"/>
              <w:right w:val="nil"/>
            </w:tcBorders>
            <w:shd w:val="clear" w:color="auto" w:fill="auto"/>
            <w:noWrap/>
            <w:vAlign w:val="bottom"/>
            <w:hideMark/>
          </w:tcPr>
          <w:p w14:paraId="1DAD8D82" w14:textId="13EE9A74"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69,00</w:t>
            </w:r>
          </w:p>
        </w:tc>
        <w:tc>
          <w:tcPr>
            <w:tcW w:w="940" w:type="dxa"/>
            <w:tcBorders>
              <w:top w:val="nil"/>
              <w:left w:val="nil"/>
              <w:bottom w:val="single" w:sz="4" w:space="0" w:color="auto"/>
              <w:right w:val="single" w:sz="4" w:space="0" w:color="auto"/>
            </w:tcBorders>
            <w:shd w:val="clear" w:color="auto" w:fill="auto"/>
            <w:noWrap/>
            <w:vAlign w:val="center"/>
            <w:hideMark/>
          </w:tcPr>
          <w:p w14:paraId="261A64DB" w14:textId="385E49F8"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c>
          <w:tcPr>
            <w:tcW w:w="1036" w:type="dxa"/>
            <w:tcBorders>
              <w:top w:val="nil"/>
              <w:left w:val="nil"/>
              <w:bottom w:val="single" w:sz="4" w:space="0" w:color="auto"/>
              <w:right w:val="nil"/>
            </w:tcBorders>
            <w:shd w:val="clear" w:color="auto" w:fill="auto"/>
            <w:noWrap/>
            <w:vAlign w:val="bottom"/>
            <w:hideMark/>
          </w:tcPr>
          <w:p w14:paraId="5D9BFAFA" w14:textId="1F44B511"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37,80</w:t>
            </w:r>
          </w:p>
        </w:tc>
        <w:tc>
          <w:tcPr>
            <w:tcW w:w="942" w:type="dxa"/>
            <w:tcBorders>
              <w:top w:val="nil"/>
              <w:left w:val="nil"/>
              <w:bottom w:val="single" w:sz="4" w:space="0" w:color="auto"/>
              <w:right w:val="nil"/>
            </w:tcBorders>
            <w:shd w:val="clear" w:color="auto" w:fill="auto"/>
            <w:noWrap/>
            <w:vAlign w:val="center"/>
            <w:hideMark/>
          </w:tcPr>
          <w:p w14:paraId="43F8255B" w14:textId="31CE2A7D"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r>
      <w:tr w:rsidR="00AC1E67" w:rsidRPr="00A00187" w14:paraId="7546B45A" w14:textId="77777777" w:rsidTr="00F0024F">
        <w:trPr>
          <w:trHeight w:val="315"/>
        </w:trPr>
        <w:tc>
          <w:tcPr>
            <w:tcW w:w="2076" w:type="dxa"/>
            <w:tcBorders>
              <w:top w:val="nil"/>
              <w:left w:val="nil"/>
              <w:bottom w:val="single" w:sz="4" w:space="0" w:color="auto"/>
              <w:right w:val="nil"/>
            </w:tcBorders>
            <w:shd w:val="clear" w:color="auto" w:fill="auto"/>
            <w:noWrap/>
            <w:vAlign w:val="bottom"/>
            <w:hideMark/>
          </w:tcPr>
          <w:p w14:paraId="103C6CA2"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Plzeň</w:t>
            </w:r>
          </w:p>
        </w:tc>
        <w:tc>
          <w:tcPr>
            <w:tcW w:w="1028" w:type="dxa"/>
            <w:tcBorders>
              <w:top w:val="nil"/>
              <w:left w:val="nil"/>
              <w:bottom w:val="single" w:sz="4" w:space="0" w:color="auto"/>
              <w:right w:val="nil"/>
            </w:tcBorders>
            <w:shd w:val="clear" w:color="auto" w:fill="auto"/>
            <w:noWrap/>
            <w:vAlign w:val="bottom"/>
            <w:hideMark/>
          </w:tcPr>
          <w:p w14:paraId="79203833" w14:textId="054C3074"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8,25</w:t>
            </w:r>
          </w:p>
        </w:tc>
        <w:tc>
          <w:tcPr>
            <w:tcW w:w="1026" w:type="dxa"/>
            <w:tcBorders>
              <w:top w:val="nil"/>
              <w:left w:val="nil"/>
              <w:bottom w:val="single" w:sz="4" w:space="0" w:color="auto"/>
              <w:right w:val="nil"/>
            </w:tcBorders>
            <w:shd w:val="clear" w:color="auto" w:fill="auto"/>
            <w:noWrap/>
            <w:vAlign w:val="bottom"/>
            <w:hideMark/>
          </w:tcPr>
          <w:p w14:paraId="6418E2F4" w14:textId="26F2D33C"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80,61</w:t>
            </w:r>
          </w:p>
        </w:tc>
        <w:tc>
          <w:tcPr>
            <w:tcW w:w="952" w:type="dxa"/>
            <w:tcBorders>
              <w:top w:val="nil"/>
              <w:left w:val="nil"/>
              <w:bottom w:val="single" w:sz="4" w:space="0" w:color="auto"/>
              <w:right w:val="nil"/>
            </w:tcBorders>
            <w:shd w:val="clear" w:color="auto" w:fill="auto"/>
            <w:noWrap/>
            <w:vAlign w:val="center"/>
            <w:hideMark/>
          </w:tcPr>
          <w:p w14:paraId="29C7902C" w14:textId="1BBE56A4"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240" w:type="dxa"/>
            <w:tcBorders>
              <w:top w:val="nil"/>
              <w:left w:val="single" w:sz="4" w:space="0" w:color="auto"/>
              <w:bottom w:val="single" w:sz="4" w:space="0" w:color="auto"/>
              <w:right w:val="nil"/>
            </w:tcBorders>
            <w:shd w:val="clear" w:color="auto" w:fill="auto"/>
            <w:noWrap/>
            <w:vAlign w:val="bottom"/>
            <w:hideMark/>
          </w:tcPr>
          <w:p w14:paraId="67F2A02E" w14:textId="71DE24E6"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86,55</w:t>
            </w:r>
          </w:p>
        </w:tc>
        <w:tc>
          <w:tcPr>
            <w:tcW w:w="940" w:type="dxa"/>
            <w:tcBorders>
              <w:top w:val="nil"/>
              <w:left w:val="nil"/>
              <w:bottom w:val="single" w:sz="4" w:space="0" w:color="auto"/>
              <w:right w:val="single" w:sz="4" w:space="0" w:color="auto"/>
            </w:tcBorders>
            <w:shd w:val="clear" w:color="auto" w:fill="auto"/>
            <w:noWrap/>
            <w:vAlign w:val="center"/>
            <w:hideMark/>
          </w:tcPr>
          <w:p w14:paraId="61F7E764" w14:textId="1448869D"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c>
          <w:tcPr>
            <w:tcW w:w="1036" w:type="dxa"/>
            <w:tcBorders>
              <w:top w:val="nil"/>
              <w:left w:val="nil"/>
              <w:bottom w:val="single" w:sz="4" w:space="0" w:color="auto"/>
              <w:right w:val="nil"/>
            </w:tcBorders>
            <w:shd w:val="clear" w:color="auto" w:fill="auto"/>
            <w:noWrap/>
            <w:vAlign w:val="bottom"/>
            <w:hideMark/>
          </w:tcPr>
          <w:p w14:paraId="7E74C9A1" w14:textId="4BFEF89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46,55</w:t>
            </w:r>
          </w:p>
        </w:tc>
        <w:tc>
          <w:tcPr>
            <w:tcW w:w="942" w:type="dxa"/>
            <w:tcBorders>
              <w:top w:val="nil"/>
              <w:left w:val="nil"/>
              <w:bottom w:val="single" w:sz="4" w:space="0" w:color="auto"/>
              <w:right w:val="nil"/>
            </w:tcBorders>
            <w:shd w:val="clear" w:color="auto" w:fill="auto"/>
            <w:noWrap/>
            <w:vAlign w:val="center"/>
            <w:hideMark/>
          </w:tcPr>
          <w:p w14:paraId="616831AD" w14:textId="4D40D35A"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5F19108D" w14:textId="77777777" w:rsidTr="00F0024F">
        <w:trPr>
          <w:trHeight w:val="315"/>
        </w:trPr>
        <w:tc>
          <w:tcPr>
            <w:tcW w:w="2076" w:type="dxa"/>
            <w:tcBorders>
              <w:top w:val="nil"/>
              <w:left w:val="nil"/>
              <w:bottom w:val="single" w:sz="4" w:space="0" w:color="auto"/>
              <w:right w:val="nil"/>
            </w:tcBorders>
            <w:shd w:val="clear" w:color="auto" w:fill="auto"/>
            <w:noWrap/>
            <w:vAlign w:val="bottom"/>
            <w:hideMark/>
          </w:tcPr>
          <w:p w14:paraId="3481E039"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Ústí n. Labem</w:t>
            </w:r>
          </w:p>
        </w:tc>
        <w:tc>
          <w:tcPr>
            <w:tcW w:w="1028" w:type="dxa"/>
            <w:tcBorders>
              <w:top w:val="nil"/>
              <w:left w:val="nil"/>
              <w:bottom w:val="single" w:sz="4" w:space="0" w:color="auto"/>
              <w:right w:val="nil"/>
            </w:tcBorders>
            <w:shd w:val="clear" w:color="auto" w:fill="auto"/>
            <w:noWrap/>
            <w:vAlign w:val="bottom"/>
            <w:hideMark/>
          </w:tcPr>
          <w:p w14:paraId="7583CA8A" w14:textId="05B53AE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11,91</w:t>
            </w:r>
          </w:p>
        </w:tc>
        <w:tc>
          <w:tcPr>
            <w:tcW w:w="1026" w:type="dxa"/>
            <w:tcBorders>
              <w:top w:val="nil"/>
              <w:left w:val="nil"/>
              <w:bottom w:val="single" w:sz="4" w:space="0" w:color="auto"/>
              <w:right w:val="nil"/>
            </w:tcBorders>
            <w:shd w:val="clear" w:color="auto" w:fill="auto"/>
            <w:noWrap/>
            <w:vAlign w:val="bottom"/>
            <w:hideMark/>
          </w:tcPr>
          <w:p w14:paraId="5BFDF62F" w14:textId="65C37FC8"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53,06</w:t>
            </w:r>
          </w:p>
        </w:tc>
        <w:tc>
          <w:tcPr>
            <w:tcW w:w="952" w:type="dxa"/>
            <w:tcBorders>
              <w:top w:val="nil"/>
              <w:left w:val="nil"/>
              <w:bottom w:val="single" w:sz="4" w:space="0" w:color="auto"/>
              <w:right w:val="nil"/>
            </w:tcBorders>
            <w:shd w:val="clear" w:color="auto" w:fill="auto"/>
            <w:noWrap/>
            <w:vAlign w:val="center"/>
            <w:hideMark/>
          </w:tcPr>
          <w:p w14:paraId="38DA5233" w14:textId="700E8ABF"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-39</w:t>
            </w:r>
            <w:r w:rsidR="00CB570A">
              <w:rPr>
                <w:rFonts w:eastAsia="Times New Roman"/>
                <w:sz w:val="20"/>
                <w:szCs w:val="20"/>
                <w:lang w:eastAsia="cs-CZ"/>
              </w:rPr>
              <w:t> %</w:t>
            </w:r>
          </w:p>
        </w:tc>
        <w:tc>
          <w:tcPr>
            <w:tcW w:w="1240" w:type="dxa"/>
            <w:tcBorders>
              <w:top w:val="nil"/>
              <w:left w:val="single" w:sz="4" w:space="0" w:color="auto"/>
              <w:bottom w:val="single" w:sz="4" w:space="0" w:color="auto"/>
              <w:right w:val="nil"/>
            </w:tcBorders>
            <w:shd w:val="clear" w:color="auto" w:fill="auto"/>
            <w:noWrap/>
            <w:vAlign w:val="bottom"/>
            <w:hideMark/>
          </w:tcPr>
          <w:p w14:paraId="2A90424C" w14:textId="51835627"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69,52</w:t>
            </w:r>
          </w:p>
        </w:tc>
        <w:tc>
          <w:tcPr>
            <w:tcW w:w="940" w:type="dxa"/>
            <w:tcBorders>
              <w:top w:val="nil"/>
              <w:left w:val="nil"/>
              <w:bottom w:val="single" w:sz="4" w:space="0" w:color="auto"/>
              <w:right w:val="single" w:sz="4" w:space="0" w:color="auto"/>
            </w:tcBorders>
            <w:shd w:val="clear" w:color="auto" w:fill="auto"/>
            <w:noWrap/>
            <w:vAlign w:val="center"/>
            <w:hideMark/>
          </w:tcPr>
          <w:p w14:paraId="7B4C3A4B" w14:textId="3D60EE81"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-34</w:t>
            </w:r>
            <w:r w:rsidR="00CB570A">
              <w:rPr>
                <w:rFonts w:eastAsia="Times New Roman"/>
                <w:sz w:val="20"/>
                <w:szCs w:val="20"/>
                <w:lang w:eastAsia="cs-CZ"/>
              </w:rPr>
              <w:t> %</w:t>
            </w:r>
          </w:p>
        </w:tc>
        <w:tc>
          <w:tcPr>
            <w:tcW w:w="1036" w:type="dxa"/>
            <w:tcBorders>
              <w:top w:val="nil"/>
              <w:left w:val="nil"/>
              <w:bottom w:val="single" w:sz="4" w:space="0" w:color="auto"/>
              <w:right w:val="nil"/>
            </w:tcBorders>
            <w:shd w:val="clear" w:color="auto" w:fill="auto"/>
            <w:noWrap/>
            <w:vAlign w:val="bottom"/>
            <w:hideMark/>
          </w:tcPr>
          <w:p w14:paraId="36654389" w14:textId="58928661"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57,93</w:t>
            </w:r>
          </w:p>
        </w:tc>
        <w:tc>
          <w:tcPr>
            <w:tcW w:w="942" w:type="dxa"/>
            <w:tcBorders>
              <w:top w:val="nil"/>
              <w:left w:val="nil"/>
              <w:bottom w:val="single" w:sz="4" w:space="0" w:color="auto"/>
              <w:right w:val="nil"/>
            </w:tcBorders>
            <w:shd w:val="clear" w:color="auto" w:fill="auto"/>
            <w:noWrap/>
            <w:vAlign w:val="center"/>
            <w:hideMark/>
          </w:tcPr>
          <w:p w14:paraId="65DCB503" w14:textId="4AF90AA5"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-43</w:t>
            </w:r>
            <w:r w:rsidR="00CB570A">
              <w:rPr>
                <w:rFonts w:eastAsia="Times New Roman"/>
                <w:sz w:val="20"/>
                <w:szCs w:val="20"/>
                <w:lang w:eastAsia="cs-CZ"/>
              </w:rPr>
              <w:t> %</w:t>
            </w:r>
          </w:p>
        </w:tc>
      </w:tr>
      <w:tr w:rsidR="00AC1E67" w:rsidRPr="00A00187" w14:paraId="6E666686" w14:textId="77777777" w:rsidTr="00F0024F">
        <w:trPr>
          <w:trHeight w:val="315"/>
        </w:trPr>
        <w:tc>
          <w:tcPr>
            <w:tcW w:w="2076" w:type="dxa"/>
            <w:tcBorders>
              <w:top w:val="nil"/>
              <w:left w:val="nil"/>
              <w:bottom w:val="single" w:sz="4" w:space="0" w:color="auto"/>
              <w:right w:val="nil"/>
            </w:tcBorders>
            <w:shd w:val="clear" w:color="auto" w:fill="auto"/>
            <w:noWrap/>
            <w:vAlign w:val="bottom"/>
            <w:hideMark/>
          </w:tcPr>
          <w:p w14:paraId="5F9CD09B"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Hr. Králové</w:t>
            </w:r>
          </w:p>
        </w:tc>
        <w:tc>
          <w:tcPr>
            <w:tcW w:w="1028" w:type="dxa"/>
            <w:tcBorders>
              <w:top w:val="nil"/>
              <w:left w:val="nil"/>
              <w:bottom w:val="single" w:sz="4" w:space="0" w:color="auto"/>
              <w:right w:val="nil"/>
            </w:tcBorders>
            <w:shd w:val="clear" w:color="auto" w:fill="auto"/>
            <w:noWrap/>
            <w:vAlign w:val="bottom"/>
            <w:hideMark/>
          </w:tcPr>
          <w:p w14:paraId="1DFBACEB" w14:textId="3890E836"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11,7</w:t>
            </w:r>
          </w:p>
        </w:tc>
        <w:tc>
          <w:tcPr>
            <w:tcW w:w="1026" w:type="dxa"/>
            <w:tcBorders>
              <w:top w:val="nil"/>
              <w:left w:val="nil"/>
              <w:bottom w:val="single" w:sz="4" w:space="0" w:color="auto"/>
              <w:right w:val="nil"/>
            </w:tcBorders>
            <w:shd w:val="clear" w:color="auto" w:fill="auto"/>
            <w:noWrap/>
            <w:vAlign w:val="bottom"/>
            <w:hideMark/>
          </w:tcPr>
          <w:p w14:paraId="5B256858" w14:textId="0A37D30F"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55,04</w:t>
            </w:r>
          </w:p>
        </w:tc>
        <w:tc>
          <w:tcPr>
            <w:tcW w:w="952" w:type="dxa"/>
            <w:tcBorders>
              <w:top w:val="nil"/>
              <w:left w:val="nil"/>
              <w:bottom w:val="single" w:sz="4" w:space="0" w:color="auto"/>
              <w:right w:val="nil"/>
            </w:tcBorders>
            <w:shd w:val="clear" w:color="auto" w:fill="auto"/>
            <w:noWrap/>
            <w:vAlign w:val="center"/>
            <w:hideMark/>
          </w:tcPr>
          <w:p w14:paraId="4520E1EB" w14:textId="78EDB1ED"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240" w:type="dxa"/>
            <w:tcBorders>
              <w:top w:val="nil"/>
              <w:left w:val="single" w:sz="4" w:space="0" w:color="auto"/>
              <w:bottom w:val="single" w:sz="4" w:space="0" w:color="auto"/>
              <w:right w:val="nil"/>
            </w:tcBorders>
            <w:shd w:val="clear" w:color="auto" w:fill="auto"/>
            <w:noWrap/>
            <w:vAlign w:val="bottom"/>
            <w:hideMark/>
          </w:tcPr>
          <w:p w14:paraId="1987C812" w14:textId="525C5CCD"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67,95</w:t>
            </w:r>
          </w:p>
        </w:tc>
        <w:tc>
          <w:tcPr>
            <w:tcW w:w="940" w:type="dxa"/>
            <w:tcBorders>
              <w:top w:val="nil"/>
              <w:left w:val="nil"/>
              <w:bottom w:val="single" w:sz="4" w:space="0" w:color="auto"/>
              <w:right w:val="single" w:sz="4" w:space="0" w:color="auto"/>
            </w:tcBorders>
            <w:shd w:val="clear" w:color="auto" w:fill="auto"/>
            <w:noWrap/>
            <w:vAlign w:val="center"/>
            <w:hideMark/>
          </w:tcPr>
          <w:p w14:paraId="091309E6" w14:textId="4AAAB0EA"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36" w:type="dxa"/>
            <w:tcBorders>
              <w:top w:val="nil"/>
              <w:left w:val="nil"/>
              <w:bottom w:val="single" w:sz="4" w:space="0" w:color="auto"/>
              <w:right w:val="nil"/>
            </w:tcBorders>
            <w:shd w:val="clear" w:color="auto" w:fill="auto"/>
            <w:noWrap/>
            <w:vAlign w:val="bottom"/>
            <w:hideMark/>
          </w:tcPr>
          <w:p w14:paraId="3A6F683D" w14:textId="72423B2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36,24</w:t>
            </w:r>
          </w:p>
        </w:tc>
        <w:tc>
          <w:tcPr>
            <w:tcW w:w="942" w:type="dxa"/>
            <w:tcBorders>
              <w:top w:val="nil"/>
              <w:left w:val="nil"/>
              <w:bottom w:val="single" w:sz="4" w:space="0" w:color="auto"/>
              <w:right w:val="nil"/>
            </w:tcBorders>
            <w:shd w:val="clear" w:color="auto" w:fill="auto"/>
            <w:noWrap/>
            <w:vAlign w:val="center"/>
            <w:hideMark/>
          </w:tcPr>
          <w:p w14:paraId="5EFEC207" w14:textId="4F1A4BCF"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r>
      <w:tr w:rsidR="00AC1E67" w:rsidRPr="00A00187" w14:paraId="1B731397" w14:textId="77777777" w:rsidTr="00F0024F">
        <w:trPr>
          <w:trHeight w:val="315"/>
        </w:trPr>
        <w:tc>
          <w:tcPr>
            <w:tcW w:w="2076" w:type="dxa"/>
            <w:tcBorders>
              <w:top w:val="nil"/>
              <w:left w:val="nil"/>
              <w:bottom w:val="single" w:sz="4" w:space="0" w:color="auto"/>
              <w:right w:val="nil"/>
            </w:tcBorders>
            <w:shd w:val="clear" w:color="auto" w:fill="auto"/>
            <w:noWrap/>
            <w:vAlign w:val="bottom"/>
            <w:hideMark/>
          </w:tcPr>
          <w:p w14:paraId="697816AB"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Brno</w:t>
            </w:r>
          </w:p>
        </w:tc>
        <w:tc>
          <w:tcPr>
            <w:tcW w:w="1028" w:type="dxa"/>
            <w:tcBorders>
              <w:top w:val="nil"/>
              <w:left w:val="nil"/>
              <w:bottom w:val="single" w:sz="4" w:space="0" w:color="auto"/>
              <w:right w:val="nil"/>
            </w:tcBorders>
            <w:shd w:val="clear" w:color="auto" w:fill="auto"/>
            <w:noWrap/>
            <w:vAlign w:val="bottom"/>
            <w:hideMark/>
          </w:tcPr>
          <w:p w14:paraId="3F0A7EDB" w14:textId="33B6BB63"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17,5</w:t>
            </w:r>
          </w:p>
        </w:tc>
        <w:tc>
          <w:tcPr>
            <w:tcW w:w="1026" w:type="dxa"/>
            <w:tcBorders>
              <w:top w:val="nil"/>
              <w:left w:val="nil"/>
              <w:bottom w:val="single" w:sz="4" w:space="0" w:color="auto"/>
              <w:right w:val="nil"/>
            </w:tcBorders>
            <w:shd w:val="clear" w:color="auto" w:fill="auto"/>
            <w:noWrap/>
            <w:vAlign w:val="bottom"/>
            <w:hideMark/>
          </w:tcPr>
          <w:p w14:paraId="10B15E25" w14:textId="15AB2E4F"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92,00</w:t>
            </w:r>
          </w:p>
        </w:tc>
        <w:tc>
          <w:tcPr>
            <w:tcW w:w="952" w:type="dxa"/>
            <w:tcBorders>
              <w:top w:val="nil"/>
              <w:left w:val="nil"/>
              <w:bottom w:val="single" w:sz="4" w:space="0" w:color="auto"/>
              <w:right w:val="nil"/>
            </w:tcBorders>
            <w:shd w:val="clear" w:color="auto" w:fill="auto"/>
            <w:noWrap/>
            <w:vAlign w:val="center"/>
            <w:hideMark/>
          </w:tcPr>
          <w:p w14:paraId="7F7568F6" w14:textId="51CFCAB5"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240" w:type="dxa"/>
            <w:tcBorders>
              <w:top w:val="nil"/>
              <w:left w:val="single" w:sz="4" w:space="0" w:color="auto"/>
              <w:bottom w:val="single" w:sz="4" w:space="0" w:color="auto"/>
              <w:right w:val="nil"/>
            </w:tcBorders>
            <w:shd w:val="clear" w:color="auto" w:fill="auto"/>
            <w:noWrap/>
            <w:vAlign w:val="bottom"/>
            <w:hideMark/>
          </w:tcPr>
          <w:p w14:paraId="5648960F" w14:textId="4C6CA05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114,57</w:t>
            </w:r>
          </w:p>
        </w:tc>
        <w:tc>
          <w:tcPr>
            <w:tcW w:w="940" w:type="dxa"/>
            <w:tcBorders>
              <w:top w:val="nil"/>
              <w:left w:val="nil"/>
              <w:bottom w:val="single" w:sz="4" w:space="0" w:color="auto"/>
              <w:right w:val="single" w:sz="4" w:space="0" w:color="auto"/>
            </w:tcBorders>
            <w:shd w:val="clear" w:color="auto" w:fill="auto"/>
            <w:noWrap/>
            <w:vAlign w:val="center"/>
            <w:hideMark/>
          </w:tcPr>
          <w:p w14:paraId="39B19E7B" w14:textId="1151E9FC"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036" w:type="dxa"/>
            <w:tcBorders>
              <w:top w:val="nil"/>
              <w:left w:val="nil"/>
              <w:bottom w:val="single" w:sz="4" w:space="0" w:color="auto"/>
              <w:right w:val="nil"/>
            </w:tcBorders>
            <w:shd w:val="clear" w:color="auto" w:fill="auto"/>
            <w:noWrap/>
            <w:vAlign w:val="bottom"/>
            <w:hideMark/>
          </w:tcPr>
          <w:p w14:paraId="6E19B723" w14:textId="39652AEE"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97,31</w:t>
            </w:r>
          </w:p>
        </w:tc>
        <w:tc>
          <w:tcPr>
            <w:tcW w:w="942" w:type="dxa"/>
            <w:tcBorders>
              <w:top w:val="nil"/>
              <w:left w:val="nil"/>
              <w:bottom w:val="single" w:sz="4" w:space="0" w:color="auto"/>
              <w:right w:val="nil"/>
            </w:tcBorders>
            <w:shd w:val="clear" w:color="auto" w:fill="auto"/>
            <w:noWrap/>
            <w:vAlign w:val="center"/>
            <w:hideMark/>
          </w:tcPr>
          <w:p w14:paraId="6B93AD7A" w14:textId="3EDB254F"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r>
      <w:tr w:rsidR="00AC1E67" w:rsidRPr="00A00187" w14:paraId="672C7858" w14:textId="77777777" w:rsidTr="00F0024F">
        <w:trPr>
          <w:trHeight w:val="330"/>
        </w:trPr>
        <w:tc>
          <w:tcPr>
            <w:tcW w:w="2076" w:type="dxa"/>
            <w:tcBorders>
              <w:top w:val="nil"/>
              <w:left w:val="nil"/>
              <w:bottom w:val="double" w:sz="6" w:space="0" w:color="auto"/>
              <w:right w:val="nil"/>
            </w:tcBorders>
            <w:shd w:val="clear" w:color="auto" w:fill="auto"/>
            <w:noWrap/>
            <w:vAlign w:val="bottom"/>
            <w:hideMark/>
          </w:tcPr>
          <w:p w14:paraId="28C33B7C" w14:textId="77777777" w:rsidR="00F0024F" w:rsidRPr="00A00187" w:rsidRDefault="00F0024F" w:rsidP="00F0024F">
            <w:pPr>
              <w:spacing w:line="240" w:lineRule="auto"/>
              <w:jc w:val="left"/>
              <w:rPr>
                <w:rFonts w:eastAsia="Times New Roman"/>
                <w:szCs w:val="24"/>
                <w:lang w:eastAsia="cs-CZ"/>
              </w:rPr>
            </w:pPr>
            <w:r w:rsidRPr="00A00187">
              <w:rPr>
                <w:rFonts w:eastAsia="Times New Roman"/>
                <w:szCs w:val="24"/>
                <w:lang w:eastAsia="cs-CZ"/>
              </w:rPr>
              <w:t>KS Ostrava</w:t>
            </w:r>
          </w:p>
        </w:tc>
        <w:tc>
          <w:tcPr>
            <w:tcW w:w="1028" w:type="dxa"/>
            <w:tcBorders>
              <w:top w:val="nil"/>
              <w:left w:val="nil"/>
              <w:bottom w:val="double" w:sz="6" w:space="0" w:color="auto"/>
              <w:right w:val="nil"/>
            </w:tcBorders>
            <w:shd w:val="clear" w:color="auto" w:fill="auto"/>
            <w:noWrap/>
            <w:vAlign w:val="bottom"/>
            <w:hideMark/>
          </w:tcPr>
          <w:p w14:paraId="64CDBD4A" w14:textId="46EB3C32"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12,5</w:t>
            </w:r>
          </w:p>
        </w:tc>
        <w:tc>
          <w:tcPr>
            <w:tcW w:w="1026" w:type="dxa"/>
            <w:tcBorders>
              <w:top w:val="nil"/>
              <w:left w:val="nil"/>
              <w:bottom w:val="double" w:sz="6" w:space="0" w:color="auto"/>
              <w:right w:val="nil"/>
            </w:tcBorders>
            <w:shd w:val="clear" w:color="auto" w:fill="auto"/>
            <w:noWrap/>
            <w:vAlign w:val="bottom"/>
            <w:hideMark/>
          </w:tcPr>
          <w:p w14:paraId="43E3B765" w14:textId="137697F0"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98,08</w:t>
            </w:r>
          </w:p>
        </w:tc>
        <w:tc>
          <w:tcPr>
            <w:tcW w:w="952" w:type="dxa"/>
            <w:tcBorders>
              <w:top w:val="nil"/>
              <w:left w:val="nil"/>
              <w:bottom w:val="double" w:sz="6" w:space="0" w:color="auto"/>
              <w:right w:val="nil"/>
            </w:tcBorders>
            <w:shd w:val="clear" w:color="auto" w:fill="auto"/>
            <w:noWrap/>
            <w:vAlign w:val="center"/>
            <w:hideMark/>
          </w:tcPr>
          <w:p w14:paraId="11FF6CAB" w14:textId="2BA0541A"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-23</w:t>
            </w:r>
            <w:r w:rsidR="00CB570A">
              <w:rPr>
                <w:rFonts w:eastAsia="Times New Roman"/>
                <w:sz w:val="20"/>
                <w:szCs w:val="20"/>
                <w:lang w:eastAsia="cs-CZ"/>
              </w:rPr>
              <w:t> %</w:t>
            </w:r>
          </w:p>
        </w:tc>
        <w:tc>
          <w:tcPr>
            <w:tcW w:w="1240" w:type="dxa"/>
            <w:tcBorders>
              <w:top w:val="nil"/>
              <w:left w:val="single" w:sz="4" w:space="0" w:color="auto"/>
              <w:bottom w:val="double" w:sz="6" w:space="0" w:color="auto"/>
              <w:right w:val="nil"/>
            </w:tcBorders>
            <w:shd w:val="clear" w:color="auto" w:fill="auto"/>
            <w:noWrap/>
            <w:vAlign w:val="bottom"/>
            <w:hideMark/>
          </w:tcPr>
          <w:p w14:paraId="0EF8A0D5" w14:textId="32E9E4F7"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108,48</w:t>
            </w:r>
          </w:p>
        </w:tc>
        <w:tc>
          <w:tcPr>
            <w:tcW w:w="940" w:type="dxa"/>
            <w:tcBorders>
              <w:top w:val="nil"/>
              <w:left w:val="nil"/>
              <w:bottom w:val="double" w:sz="6" w:space="0" w:color="auto"/>
              <w:right w:val="single" w:sz="4" w:space="0" w:color="auto"/>
            </w:tcBorders>
            <w:shd w:val="clear" w:color="auto" w:fill="auto"/>
            <w:noWrap/>
            <w:vAlign w:val="center"/>
            <w:hideMark/>
          </w:tcPr>
          <w:p w14:paraId="733ED482" w14:textId="0E8A2E62"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36" w:type="dxa"/>
            <w:tcBorders>
              <w:top w:val="nil"/>
              <w:left w:val="nil"/>
              <w:bottom w:val="double" w:sz="6" w:space="0" w:color="auto"/>
              <w:right w:val="nil"/>
            </w:tcBorders>
            <w:shd w:val="clear" w:color="auto" w:fill="auto"/>
            <w:noWrap/>
            <w:vAlign w:val="bottom"/>
            <w:hideMark/>
          </w:tcPr>
          <w:p w14:paraId="4C6B63DB" w14:textId="2678FA8A" w:rsidR="00F0024F" w:rsidRPr="00A00187" w:rsidRDefault="00F0024F" w:rsidP="00F0024F">
            <w:pPr>
              <w:spacing w:line="240" w:lineRule="auto"/>
              <w:jc w:val="center"/>
              <w:rPr>
                <w:rFonts w:eastAsia="Times New Roman"/>
                <w:szCs w:val="24"/>
                <w:lang w:eastAsia="cs-CZ"/>
              </w:rPr>
            </w:pPr>
            <w:r w:rsidRPr="00A00187">
              <w:rPr>
                <w:rFonts w:eastAsia="Times New Roman"/>
                <w:szCs w:val="24"/>
                <w:lang w:eastAsia="cs-CZ"/>
              </w:rPr>
              <w:t>55,44</w:t>
            </w:r>
          </w:p>
        </w:tc>
        <w:tc>
          <w:tcPr>
            <w:tcW w:w="942" w:type="dxa"/>
            <w:tcBorders>
              <w:top w:val="nil"/>
              <w:left w:val="nil"/>
              <w:bottom w:val="double" w:sz="6" w:space="0" w:color="auto"/>
              <w:right w:val="nil"/>
            </w:tcBorders>
            <w:shd w:val="clear" w:color="auto" w:fill="auto"/>
            <w:noWrap/>
            <w:vAlign w:val="center"/>
            <w:hideMark/>
          </w:tcPr>
          <w:p w14:paraId="4EE2A04D" w14:textId="78330AC2" w:rsidR="00F0024F" w:rsidRPr="00A00187" w:rsidRDefault="00F0024F" w:rsidP="00641DB9">
            <w:pPr>
              <w:spacing w:line="240" w:lineRule="auto"/>
              <w:jc w:val="center"/>
              <w:rPr>
                <w:rFonts w:eastAsia="Times New Roman"/>
                <w:sz w:val="20"/>
                <w:szCs w:val="20"/>
                <w:lang w:eastAsia="cs-CZ"/>
              </w:rPr>
            </w:pPr>
            <w:r w:rsidRPr="00A00187">
              <w:rPr>
                <w:rFonts w:eastAsia="Times New Roman"/>
                <w:sz w:val="20"/>
                <w:szCs w:val="20"/>
                <w:lang w:eastAsia="cs-CZ"/>
              </w:rPr>
              <w:t>-23</w:t>
            </w:r>
            <w:r w:rsidR="00CB570A">
              <w:rPr>
                <w:rFonts w:eastAsia="Times New Roman"/>
                <w:sz w:val="20"/>
                <w:szCs w:val="20"/>
                <w:lang w:eastAsia="cs-CZ"/>
              </w:rPr>
              <w:t> %</w:t>
            </w:r>
          </w:p>
        </w:tc>
      </w:tr>
      <w:tr w:rsidR="00AC1E67" w:rsidRPr="00A00187" w14:paraId="64B0FC80" w14:textId="77777777" w:rsidTr="00F0024F">
        <w:trPr>
          <w:trHeight w:val="345"/>
        </w:trPr>
        <w:tc>
          <w:tcPr>
            <w:tcW w:w="2076" w:type="dxa"/>
            <w:tcBorders>
              <w:top w:val="nil"/>
              <w:left w:val="nil"/>
              <w:bottom w:val="double" w:sz="6" w:space="0" w:color="auto"/>
              <w:right w:val="nil"/>
            </w:tcBorders>
            <w:shd w:val="clear" w:color="auto" w:fill="auto"/>
            <w:noWrap/>
            <w:vAlign w:val="bottom"/>
            <w:hideMark/>
          </w:tcPr>
          <w:p w14:paraId="3011C806" w14:textId="77777777" w:rsidR="00F0024F" w:rsidRPr="00A00187" w:rsidRDefault="00F0024F" w:rsidP="00F0024F">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28" w:type="dxa"/>
            <w:tcBorders>
              <w:top w:val="nil"/>
              <w:left w:val="nil"/>
              <w:bottom w:val="double" w:sz="6" w:space="0" w:color="auto"/>
              <w:right w:val="nil"/>
            </w:tcBorders>
            <w:shd w:val="clear" w:color="auto" w:fill="auto"/>
            <w:noWrap/>
            <w:vAlign w:val="bottom"/>
            <w:hideMark/>
          </w:tcPr>
          <w:p w14:paraId="353351EA" w14:textId="7A324B8F"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118,76</w:t>
            </w:r>
          </w:p>
        </w:tc>
        <w:tc>
          <w:tcPr>
            <w:tcW w:w="1026" w:type="dxa"/>
            <w:tcBorders>
              <w:top w:val="nil"/>
              <w:left w:val="nil"/>
              <w:bottom w:val="double" w:sz="6" w:space="0" w:color="auto"/>
              <w:right w:val="nil"/>
            </w:tcBorders>
            <w:shd w:val="clear" w:color="auto" w:fill="auto"/>
            <w:noWrap/>
            <w:vAlign w:val="bottom"/>
            <w:hideMark/>
          </w:tcPr>
          <w:p w14:paraId="0CDA5FA5" w14:textId="1A8B0581"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78,35</w:t>
            </w:r>
          </w:p>
        </w:tc>
        <w:tc>
          <w:tcPr>
            <w:tcW w:w="952" w:type="dxa"/>
            <w:tcBorders>
              <w:top w:val="nil"/>
              <w:left w:val="nil"/>
              <w:bottom w:val="double" w:sz="6" w:space="0" w:color="auto"/>
              <w:right w:val="nil"/>
            </w:tcBorders>
            <w:shd w:val="clear" w:color="auto" w:fill="auto"/>
            <w:noWrap/>
            <w:vAlign w:val="center"/>
            <w:hideMark/>
          </w:tcPr>
          <w:p w14:paraId="3093E40E" w14:textId="40C734D3" w:rsidR="00F0024F" w:rsidRPr="00A00187" w:rsidRDefault="00F0024F"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-24</w:t>
            </w:r>
            <w:r w:rsidR="00CB570A">
              <w:rPr>
                <w:rFonts w:eastAsia="Times New Roman"/>
                <w:b/>
                <w:bCs/>
                <w:sz w:val="20"/>
                <w:szCs w:val="20"/>
                <w:lang w:eastAsia="cs-CZ"/>
              </w:rPr>
              <w:t> %</w:t>
            </w:r>
          </w:p>
        </w:tc>
        <w:tc>
          <w:tcPr>
            <w:tcW w:w="1240" w:type="dxa"/>
            <w:tcBorders>
              <w:top w:val="nil"/>
              <w:left w:val="single" w:sz="4" w:space="0" w:color="auto"/>
              <w:bottom w:val="double" w:sz="6" w:space="0" w:color="auto"/>
              <w:right w:val="nil"/>
            </w:tcBorders>
            <w:shd w:val="clear" w:color="auto" w:fill="auto"/>
            <w:noWrap/>
            <w:vAlign w:val="bottom"/>
            <w:hideMark/>
          </w:tcPr>
          <w:p w14:paraId="34A0BFE2" w14:textId="6D9C1B11"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93,16</w:t>
            </w:r>
          </w:p>
        </w:tc>
        <w:tc>
          <w:tcPr>
            <w:tcW w:w="940" w:type="dxa"/>
            <w:tcBorders>
              <w:top w:val="nil"/>
              <w:left w:val="nil"/>
              <w:bottom w:val="double" w:sz="6" w:space="0" w:color="auto"/>
              <w:right w:val="single" w:sz="4" w:space="0" w:color="auto"/>
            </w:tcBorders>
            <w:shd w:val="clear" w:color="auto" w:fill="auto"/>
            <w:noWrap/>
            <w:vAlign w:val="center"/>
            <w:hideMark/>
          </w:tcPr>
          <w:p w14:paraId="15EE0FEE" w14:textId="6622242A" w:rsidR="00F0024F" w:rsidRPr="00A00187" w:rsidRDefault="00F0024F"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-19</w:t>
            </w:r>
            <w:r w:rsidR="00CB570A">
              <w:rPr>
                <w:rFonts w:eastAsia="Times New Roman"/>
                <w:b/>
                <w:bCs/>
                <w:sz w:val="20"/>
                <w:szCs w:val="20"/>
                <w:lang w:eastAsia="cs-CZ"/>
              </w:rPr>
              <w:t> %</w:t>
            </w:r>
          </w:p>
        </w:tc>
        <w:tc>
          <w:tcPr>
            <w:tcW w:w="1036" w:type="dxa"/>
            <w:tcBorders>
              <w:top w:val="nil"/>
              <w:left w:val="nil"/>
              <w:bottom w:val="double" w:sz="6" w:space="0" w:color="auto"/>
              <w:right w:val="nil"/>
            </w:tcBorders>
            <w:shd w:val="clear" w:color="auto" w:fill="auto"/>
            <w:noWrap/>
            <w:vAlign w:val="bottom"/>
            <w:hideMark/>
          </w:tcPr>
          <w:p w14:paraId="68E5D43B" w14:textId="2F6BD3A1" w:rsidR="00F0024F" w:rsidRPr="00A00187" w:rsidRDefault="00F0024F" w:rsidP="00F0024F">
            <w:pPr>
              <w:spacing w:line="240" w:lineRule="auto"/>
              <w:jc w:val="center"/>
              <w:rPr>
                <w:rFonts w:eastAsia="Times New Roman"/>
                <w:b/>
                <w:bCs/>
                <w:szCs w:val="24"/>
                <w:lang w:eastAsia="cs-CZ"/>
              </w:rPr>
            </w:pPr>
            <w:r w:rsidRPr="00A00187">
              <w:rPr>
                <w:rFonts w:eastAsia="Times New Roman"/>
                <w:b/>
                <w:bCs/>
                <w:szCs w:val="24"/>
                <w:lang w:eastAsia="cs-CZ"/>
              </w:rPr>
              <w:t>67,56</w:t>
            </w:r>
          </w:p>
        </w:tc>
        <w:tc>
          <w:tcPr>
            <w:tcW w:w="942" w:type="dxa"/>
            <w:tcBorders>
              <w:top w:val="nil"/>
              <w:left w:val="nil"/>
              <w:bottom w:val="double" w:sz="6" w:space="0" w:color="auto"/>
              <w:right w:val="nil"/>
            </w:tcBorders>
            <w:shd w:val="clear" w:color="auto" w:fill="auto"/>
            <w:noWrap/>
            <w:vAlign w:val="center"/>
            <w:hideMark/>
          </w:tcPr>
          <w:p w14:paraId="540BD32B" w14:textId="5930A41E" w:rsidR="00F0024F" w:rsidRPr="00A00187" w:rsidRDefault="00F0024F"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-33</w:t>
            </w:r>
            <w:r w:rsidR="00CB570A">
              <w:rPr>
                <w:rFonts w:eastAsia="Times New Roman"/>
                <w:b/>
                <w:bCs/>
                <w:sz w:val="20"/>
                <w:szCs w:val="20"/>
                <w:lang w:eastAsia="cs-CZ"/>
              </w:rPr>
              <w:t> %</w:t>
            </w:r>
          </w:p>
        </w:tc>
      </w:tr>
      <w:tr w:rsidR="00AC1E67" w:rsidRPr="00A00187" w14:paraId="7A94D30E" w14:textId="77777777" w:rsidTr="00F0024F">
        <w:trPr>
          <w:trHeight w:val="330"/>
        </w:trPr>
        <w:tc>
          <w:tcPr>
            <w:tcW w:w="2076" w:type="dxa"/>
            <w:tcBorders>
              <w:top w:val="nil"/>
              <w:left w:val="nil"/>
              <w:bottom w:val="nil"/>
              <w:right w:val="nil"/>
            </w:tcBorders>
            <w:shd w:val="clear" w:color="auto" w:fill="auto"/>
            <w:noWrap/>
            <w:vAlign w:val="bottom"/>
            <w:hideMark/>
          </w:tcPr>
          <w:p w14:paraId="74D39935" w14:textId="77777777" w:rsidR="00F0024F" w:rsidRPr="00A00187" w:rsidRDefault="00F0024F" w:rsidP="00F0024F">
            <w:pPr>
              <w:spacing w:line="240" w:lineRule="auto"/>
              <w:jc w:val="center"/>
              <w:rPr>
                <w:rFonts w:eastAsia="Times New Roman"/>
                <w:b/>
                <w:bCs/>
                <w:sz w:val="20"/>
                <w:szCs w:val="20"/>
                <w:lang w:eastAsia="cs-CZ"/>
              </w:rPr>
            </w:pPr>
          </w:p>
        </w:tc>
        <w:tc>
          <w:tcPr>
            <w:tcW w:w="1028" w:type="dxa"/>
            <w:tcBorders>
              <w:top w:val="nil"/>
              <w:left w:val="nil"/>
              <w:bottom w:val="nil"/>
              <w:right w:val="nil"/>
            </w:tcBorders>
            <w:shd w:val="clear" w:color="auto" w:fill="auto"/>
            <w:noWrap/>
            <w:vAlign w:val="bottom"/>
            <w:hideMark/>
          </w:tcPr>
          <w:p w14:paraId="74A976DE" w14:textId="77777777" w:rsidR="00F0024F" w:rsidRPr="00A00187" w:rsidRDefault="00F0024F" w:rsidP="00F0024F">
            <w:pPr>
              <w:spacing w:line="240" w:lineRule="auto"/>
              <w:jc w:val="left"/>
              <w:rPr>
                <w:rFonts w:ascii="Times New Roman" w:eastAsia="Times New Roman" w:hAnsi="Times New Roman"/>
                <w:sz w:val="20"/>
                <w:szCs w:val="20"/>
                <w:lang w:eastAsia="cs-CZ"/>
              </w:rPr>
            </w:pPr>
          </w:p>
        </w:tc>
        <w:tc>
          <w:tcPr>
            <w:tcW w:w="1026" w:type="dxa"/>
            <w:tcBorders>
              <w:top w:val="nil"/>
              <w:left w:val="nil"/>
              <w:bottom w:val="nil"/>
              <w:right w:val="nil"/>
            </w:tcBorders>
            <w:shd w:val="clear" w:color="auto" w:fill="auto"/>
            <w:noWrap/>
            <w:vAlign w:val="bottom"/>
            <w:hideMark/>
          </w:tcPr>
          <w:p w14:paraId="24422327" w14:textId="77777777" w:rsidR="00F0024F" w:rsidRPr="00A00187" w:rsidRDefault="00F0024F" w:rsidP="00F0024F">
            <w:pPr>
              <w:spacing w:line="240" w:lineRule="auto"/>
              <w:jc w:val="left"/>
              <w:rPr>
                <w:rFonts w:ascii="Times New Roman" w:eastAsia="Times New Roman" w:hAnsi="Times New Roman"/>
                <w:sz w:val="20"/>
                <w:szCs w:val="20"/>
                <w:lang w:eastAsia="cs-CZ"/>
              </w:rPr>
            </w:pPr>
          </w:p>
        </w:tc>
        <w:tc>
          <w:tcPr>
            <w:tcW w:w="952" w:type="dxa"/>
            <w:tcBorders>
              <w:top w:val="nil"/>
              <w:left w:val="nil"/>
              <w:bottom w:val="nil"/>
              <w:right w:val="nil"/>
            </w:tcBorders>
            <w:shd w:val="clear" w:color="auto" w:fill="auto"/>
            <w:noWrap/>
            <w:vAlign w:val="bottom"/>
            <w:hideMark/>
          </w:tcPr>
          <w:p w14:paraId="184B566D" w14:textId="77777777" w:rsidR="00F0024F" w:rsidRPr="00A00187" w:rsidRDefault="00F0024F" w:rsidP="00F0024F">
            <w:pPr>
              <w:spacing w:line="240" w:lineRule="auto"/>
              <w:jc w:val="left"/>
              <w:rPr>
                <w:rFonts w:ascii="Times New Roman" w:eastAsia="Times New Roman" w:hAnsi="Times New Roman"/>
                <w:sz w:val="20"/>
                <w:szCs w:val="20"/>
                <w:lang w:eastAsia="cs-CZ"/>
              </w:rPr>
            </w:pPr>
          </w:p>
        </w:tc>
        <w:tc>
          <w:tcPr>
            <w:tcW w:w="1240" w:type="dxa"/>
            <w:tcBorders>
              <w:top w:val="nil"/>
              <w:left w:val="nil"/>
              <w:bottom w:val="nil"/>
              <w:right w:val="nil"/>
            </w:tcBorders>
            <w:shd w:val="clear" w:color="auto" w:fill="auto"/>
            <w:noWrap/>
            <w:vAlign w:val="bottom"/>
            <w:hideMark/>
          </w:tcPr>
          <w:p w14:paraId="1D3F6379" w14:textId="77777777" w:rsidR="00F0024F" w:rsidRPr="00A00187" w:rsidRDefault="00F0024F" w:rsidP="00F0024F">
            <w:pPr>
              <w:spacing w:line="240" w:lineRule="auto"/>
              <w:jc w:val="left"/>
              <w:rPr>
                <w:rFonts w:ascii="Times New Roman" w:eastAsia="Times New Roman" w:hAnsi="Times New Roman"/>
                <w:sz w:val="20"/>
                <w:szCs w:val="20"/>
                <w:lang w:eastAsia="cs-CZ"/>
              </w:rPr>
            </w:pPr>
          </w:p>
        </w:tc>
        <w:tc>
          <w:tcPr>
            <w:tcW w:w="940" w:type="dxa"/>
            <w:tcBorders>
              <w:top w:val="nil"/>
              <w:left w:val="nil"/>
              <w:bottom w:val="nil"/>
              <w:right w:val="nil"/>
            </w:tcBorders>
            <w:shd w:val="clear" w:color="auto" w:fill="auto"/>
            <w:noWrap/>
            <w:vAlign w:val="bottom"/>
            <w:hideMark/>
          </w:tcPr>
          <w:p w14:paraId="23D7E490" w14:textId="77777777" w:rsidR="00F0024F" w:rsidRPr="00A00187" w:rsidRDefault="00F0024F" w:rsidP="00F0024F">
            <w:pPr>
              <w:spacing w:line="240" w:lineRule="auto"/>
              <w:jc w:val="left"/>
              <w:rPr>
                <w:rFonts w:ascii="Times New Roman" w:eastAsia="Times New Roman" w:hAnsi="Times New Roman"/>
                <w:sz w:val="20"/>
                <w:szCs w:val="20"/>
                <w:lang w:eastAsia="cs-CZ"/>
              </w:rPr>
            </w:pPr>
          </w:p>
        </w:tc>
        <w:tc>
          <w:tcPr>
            <w:tcW w:w="1036" w:type="dxa"/>
            <w:tcBorders>
              <w:top w:val="nil"/>
              <w:left w:val="nil"/>
              <w:bottom w:val="nil"/>
              <w:right w:val="nil"/>
            </w:tcBorders>
            <w:shd w:val="clear" w:color="auto" w:fill="auto"/>
            <w:noWrap/>
            <w:vAlign w:val="bottom"/>
            <w:hideMark/>
          </w:tcPr>
          <w:p w14:paraId="2C68265B" w14:textId="77777777" w:rsidR="00F0024F" w:rsidRPr="00A00187" w:rsidRDefault="00F0024F" w:rsidP="00F0024F">
            <w:pPr>
              <w:spacing w:line="240" w:lineRule="auto"/>
              <w:jc w:val="left"/>
              <w:rPr>
                <w:rFonts w:ascii="Times New Roman" w:eastAsia="Times New Roman" w:hAnsi="Times New Roman"/>
                <w:sz w:val="20"/>
                <w:szCs w:val="20"/>
                <w:lang w:eastAsia="cs-CZ"/>
              </w:rPr>
            </w:pPr>
          </w:p>
        </w:tc>
        <w:tc>
          <w:tcPr>
            <w:tcW w:w="942" w:type="dxa"/>
            <w:tcBorders>
              <w:top w:val="nil"/>
              <w:left w:val="nil"/>
              <w:bottom w:val="nil"/>
              <w:right w:val="nil"/>
            </w:tcBorders>
            <w:shd w:val="clear" w:color="auto" w:fill="auto"/>
            <w:noWrap/>
            <w:vAlign w:val="bottom"/>
            <w:hideMark/>
          </w:tcPr>
          <w:p w14:paraId="329433D2" w14:textId="77777777" w:rsidR="00F0024F" w:rsidRPr="00A00187" w:rsidRDefault="00F0024F" w:rsidP="00F0024F">
            <w:pPr>
              <w:spacing w:line="240" w:lineRule="auto"/>
              <w:jc w:val="left"/>
              <w:rPr>
                <w:rFonts w:ascii="Times New Roman" w:eastAsia="Times New Roman" w:hAnsi="Times New Roman"/>
                <w:sz w:val="20"/>
                <w:szCs w:val="20"/>
                <w:lang w:eastAsia="cs-CZ"/>
              </w:rPr>
            </w:pPr>
          </w:p>
        </w:tc>
      </w:tr>
    </w:tbl>
    <w:p w14:paraId="5B889316" w14:textId="086151C7" w:rsidR="007667F4" w:rsidRPr="00A00187" w:rsidRDefault="00755920" w:rsidP="007667F4">
      <w:pPr>
        <w:pStyle w:val="OdstavecASR"/>
      </w:pPr>
      <w:r w:rsidRPr="00A00187">
        <w:t>U</w:t>
      </w:r>
      <w:r>
        <w:t> </w:t>
      </w:r>
      <w:r w:rsidR="007667F4" w:rsidRPr="00A00187">
        <w:t xml:space="preserve">všech soudů došlo k poklesu v počtu nevyřízených věcí na soudce, </w:t>
      </w:r>
      <w:r w:rsidR="007A1371" w:rsidRPr="00A00187">
        <w:t xml:space="preserve">byť </w:t>
      </w:r>
      <w:r w:rsidRPr="00A00187">
        <w:t>u</w:t>
      </w:r>
      <w:r>
        <w:t> </w:t>
      </w:r>
      <w:r w:rsidR="007667F4" w:rsidRPr="00A00187">
        <w:t xml:space="preserve">KS v Českých Budějovicích pokles plyne ze zvýšení počtu soudců na správním úseku. Mimořádný pokles vidíme </w:t>
      </w:r>
      <w:r w:rsidRPr="00A00187">
        <w:t>u</w:t>
      </w:r>
      <w:r>
        <w:t> </w:t>
      </w:r>
      <w:r w:rsidR="007667F4" w:rsidRPr="00A00187">
        <w:t xml:space="preserve">KS v Ústí nad Labem, kde značně poklesl počet nevyřízených věcí </w:t>
      </w:r>
      <w:r w:rsidRPr="00A00187">
        <w:t>a</w:t>
      </w:r>
      <w:r>
        <w:t> </w:t>
      </w:r>
      <w:r w:rsidR="007667F4" w:rsidRPr="00A00187">
        <w:t xml:space="preserve">rovněž došlo k posílení úseku. </w:t>
      </w:r>
      <w:r w:rsidR="007A1371" w:rsidRPr="00A00187">
        <w:t>T</w:t>
      </w:r>
      <w:r w:rsidR="007667F4" w:rsidRPr="00A00187">
        <w:t>ento soud</w:t>
      </w:r>
      <w:r w:rsidR="007A1371" w:rsidRPr="00A00187">
        <w:t xml:space="preserve"> tak</w:t>
      </w:r>
      <w:r w:rsidR="007667F4" w:rsidRPr="00A00187">
        <w:t xml:space="preserve"> „vypadl“ ze skupiny soudů s nejvyšším počtem nevyřízených věcí na soudce. Nejvyšší počet nevyřízených věcí na soudce tak nyní vykazují KS Brno </w:t>
      </w:r>
      <w:r w:rsidRPr="00A00187">
        <w:t>a</w:t>
      </w:r>
      <w:r>
        <w:t> </w:t>
      </w:r>
      <w:r w:rsidR="007667F4" w:rsidRPr="00A00187">
        <w:t xml:space="preserve">MS Praha. Naopak nejnižší počet je </w:t>
      </w:r>
      <w:r w:rsidRPr="00A00187">
        <w:t>u</w:t>
      </w:r>
      <w:r>
        <w:t> </w:t>
      </w:r>
      <w:r w:rsidR="007667F4" w:rsidRPr="00A00187">
        <w:t xml:space="preserve">KS v Hradci Králové (zde hraje roli </w:t>
      </w:r>
      <w:r w:rsidRPr="00A00187">
        <w:t>i</w:t>
      </w:r>
      <w:r>
        <w:t> </w:t>
      </w:r>
      <w:r w:rsidR="007667F4" w:rsidRPr="00A00187">
        <w:t xml:space="preserve">to, že soud má na úseku relativně </w:t>
      </w:r>
      <w:r w:rsidR="00861CD0" w:rsidRPr="00A00187">
        <w:t xml:space="preserve">vyšší </w:t>
      </w:r>
      <w:r w:rsidR="00861CD0" w:rsidRPr="00A00187">
        <w:lastRenderedPageBreak/>
        <w:t>počet</w:t>
      </w:r>
      <w:r w:rsidR="007667F4" w:rsidRPr="00A00187">
        <w:t xml:space="preserve"> soudců než většina ostatních soudů) </w:t>
      </w:r>
      <w:r w:rsidRPr="00A00187">
        <w:t>a</w:t>
      </w:r>
      <w:r>
        <w:t> </w:t>
      </w:r>
      <w:r w:rsidR="00861CD0" w:rsidRPr="00A00187">
        <w:t xml:space="preserve">také </w:t>
      </w:r>
      <w:r w:rsidRPr="00A00187">
        <w:t>u</w:t>
      </w:r>
      <w:r>
        <w:t> </w:t>
      </w:r>
      <w:r w:rsidR="007667F4" w:rsidRPr="00A00187">
        <w:t xml:space="preserve">KS České Budějovice. Celkově vidíme, že počet nevyřízených věcí na soudce klesl </w:t>
      </w:r>
      <w:r w:rsidRPr="00A00187">
        <w:t>o</w:t>
      </w:r>
      <w:r>
        <w:t> </w:t>
      </w:r>
      <w:r w:rsidR="007667F4" w:rsidRPr="00A00187">
        <w:t>třetinu.</w:t>
      </w:r>
    </w:p>
    <w:p w14:paraId="0993016B" w14:textId="002F11BE" w:rsidR="008430BD" w:rsidRPr="00A00187" w:rsidRDefault="008430BD" w:rsidP="008430BD">
      <w:pPr>
        <w:pStyle w:val="Nadpis3"/>
        <w:numPr>
          <w:ilvl w:val="2"/>
          <w:numId w:val="1"/>
        </w:numPr>
        <w:rPr>
          <w:color w:val="auto"/>
        </w:rPr>
      </w:pPr>
      <w:bookmarkStart w:id="897" w:name="_Toc515871270"/>
      <w:bookmarkStart w:id="898" w:name="_Toc106092778"/>
      <w:bookmarkStart w:id="899" w:name="_Toc109801389"/>
      <w:proofErr w:type="spellStart"/>
      <w:r w:rsidRPr="00A00187">
        <w:rPr>
          <w:color w:val="auto"/>
        </w:rPr>
        <w:t>Disposition</w:t>
      </w:r>
      <w:proofErr w:type="spellEnd"/>
      <w:r w:rsidRPr="00A00187">
        <w:rPr>
          <w:color w:val="auto"/>
        </w:rPr>
        <w:t xml:space="preserve"> </w:t>
      </w:r>
      <w:proofErr w:type="spellStart"/>
      <w:r w:rsidRPr="00A00187">
        <w:rPr>
          <w:color w:val="auto"/>
        </w:rPr>
        <w:t>time</w:t>
      </w:r>
      <w:bookmarkEnd w:id="897"/>
      <w:proofErr w:type="spellEnd"/>
      <w:r w:rsidRPr="00A00187">
        <w:rPr>
          <w:color w:val="auto"/>
        </w:rPr>
        <w:t xml:space="preserve"> (dispoziční čas)</w:t>
      </w:r>
      <w:bookmarkEnd w:id="898"/>
      <w:bookmarkEnd w:id="899"/>
    </w:p>
    <w:p w14:paraId="3422A898" w14:textId="725CEEE6" w:rsidR="001730EA" w:rsidRPr="00A00187" w:rsidRDefault="001730EA" w:rsidP="001730EA">
      <w:bookmarkStart w:id="900" w:name="_Hlk99023144"/>
      <w:r w:rsidRPr="00A00187">
        <w:t xml:space="preserve">Velký nárůst v DT v roce 2011 vyplývá z toho, že v roce 2010 došlo k velkému dočasnému poklesu v nápadu, který se samozřejmě odrazil i v poklesu počtu vyřízených věcí. Vzhledem k vysokým délkám řízení </w:t>
      </w:r>
      <w:r w:rsidR="007A1371" w:rsidRPr="00A00187">
        <w:t xml:space="preserve">se tento jev v DT projevil </w:t>
      </w:r>
      <w:r w:rsidRPr="00A00187">
        <w:t>až o rok později.</w:t>
      </w:r>
    </w:p>
    <w:p w14:paraId="58F7A316" w14:textId="21D8F1B6" w:rsidR="00CB570A" w:rsidRDefault="001730EA" w:rsidP="001730EA">
      <w:pPr>
        <w:pStyle w:val="OdstavecASR"/>
      </w:pPr>
      <w:r w:rsidRPr="00A00187">
        <w:t xml:space="preserve">DT dále potvrzuje závěry z předchozích podkapitol. Od roku 2019 DT klesá </w:t>
      </w:r>
      <w:r w:rsidR="00CE1D1E" w:rsidRPr="00A00187">
        <w:t xml:space="preserve">v důsledku </w:t>
      </w:r>
      <w:r w:rsidRPr="00A00187">
        <w:t>výrazné</w:t>
      </w:r>
      <w:r w:rsidR="00CE1D1E" w:rsidRPr="00A00187">
        <w:t>ho</w:t>
      </w:r>
      <w:r w:rsidRPr="00A00187">
        <w:t xml:space="preserve"> poklesu v počtu nevyřízených věcí. </w:t>
      </w:r>
      <w:r w:rsidR="007A1371" w:rsidRPr="00A00187">
        <w:t>DT se tak</w:t>
      </w:r>
      <w:r w:rsidR="002E70DB" w:rsidRPr="00A00187">
        <w:t xml:space="preserve"> </w:t>
      </w:r>
      <w:r w:rsidRPr="00A00187">
        <w:t>drží pod 365</w:t>
      </w:r>
      <w:r w:rsidR="007A1371" w:rsidRPr="00A00187">
        <w:t xml:space="preserve"> dny po šestiletém období</w:t>
      </w:r>
      <w:r w:rsidRPr="00A00187">
        <w:t xml:space="preserve">. To znamená, že počet nevyřízených věcí je </w:t>
      </w:r>
      <w:r w:rsidR="007474D8" w:rsidRPr="00A00187">
        <w:t xml:space="preserve">nižší </w:t>
      </w:r>
      <w:r w:rsidRPr="00A00187">
        <w:t>než počet věcí vyřízených. Od roku 2018 do roku 2021 klesl DT o </w:t>
      </w:r>
      <w:r w:rsidR="00751A31" w:rsidRPr="00A00187">
        <w:t>147</w:t>
      </w:r>
      <w:r w:rsidRPr="00A00187">
        <w:t xml:space="preserve"> </w:t>
      </w:r>
      <w:r w:rsidR="00433EC5">
        <w:t xml:space="preserve">dnů </w:t>
      </w:r>
      <w:r w:rsidRPr="00A00187">
        <w:t>(o </w:t>
      </w:r>
      <w:r w:rsidR="00751A31" w:rsidRPr="00A00187">
        <w:t>36</w:t>
      </w:r>
      <w:r w:rsidR="00CB570A">
        <w:t> %</w:t>
      </w:r>
      <w:r w:rsidRPr="00A00187">
        <w:t>). Podobně jako u ostatních ukazatelů DT jasně ukazuje, že největší problémy s vyřizováním správní agendy mají MS Praha, KS Ústí nad Labem, KS Brno a </w:t>
      </w:r>
      <w:r w:rsidR="00751A31" w:rsidRPr="00A00187">
        <w:t xml:space="preserve">částečně </w:t>
      </w:r>
      <w:r w:rsidR="00755920" w:rsidRPr="00A00187">
        <w:t>i</w:t>
      </w:r>
      <w:r w:rsidR="00755920">
        <w:t> </w:t>
      </w:r>
      <w:r w:rsidRPr="00A00187">
        <w:t xml:space="preserve">KS Praha. U těchto soudů ale došlo </w:t>
      </w:r>
      <w:r w:rsidR="007A1371" w:rsidRPr="00A00187">
        <w:t xml:space="preserve">v roce 2021 </w:t>
      </w:r>
      <w:r w:rsidRPr="00A00187">
        <w:t>k výraznému zlepšení.</w:t>
      </w:r>
    </w:p>
    <w:p w14:paraId="76F1309C" w14:textId="742C32DC" w:rsidR="001730EA" w:rsidRPr="00A00187" w:rsidRDefault="001730EA" w:rsidP="001730EA">
      <w:pPr>
        <w:pStyle w:val="Podnadpis"/>
        <w:rPr>
          <w:color w:val="auto"/>
        </w:rPr>
      </w:pPr>
      <w:bookmarkStart w:id="901" w:name="_Toc515871401"/>
      <w:bookmarkStart w:id="902" w:name="_Toc11135132"/>
      <w:bookmarkStart w:id="903" w:name="_Toc43841451"/>
      <w:bookmarkStart w:id="904" w:name="_Toc75952253"/>
      <w:bookmarkStart w:id="905" w:name="_Toc106106712"/>
      <w:bookmarkStart w:id="906" w:name="_Toc109802036"/>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78</w:t>
      </w:r>
      <w:r w:rsidRPr="00A00187">
        <w:rPr>
          <w:noProof/>
          <w:color w:val="auto"/>
        </w:rPr>
        <w:fldChar w:fldCharType="end"/>
      </w:r>
      <w:r w:rsidRPr="00A00187">
        <w:rPr>
          <w:color w:val="auto"/>
        </w:rPr>
        <w:t>: KS – DT správního řízení v letech 2008–20</w:t>
      </w:r>
      <w:bookmarkEnd w:id="901"/>
      <w:bookmarkEnd w:id="902"/>
      <w:bookmarkEnd w:id="903"/>
      <w:r w:rsidRPr="00A00187">
        <w:rPr>
          <w:color w:val="auto"/>
        </w:rPr>
        <w:t>2</w:t>
      </w:r>
      <w:bookmarkEnd w:id="904"/>
      <w:r w:rsidR="00751A31" w:rsidRPr="00A00187">
        <w:rPr>
          <w:color w:val="auto"/>
        </w:rPr>
        <w:t>1</w:t>
      </w:r>
      <w:bookmarkEnd w:id="905"/>
      <w:bookmarkEnd w:id="906"/>
    </w:p>
    <w:p w14:paraId="6CA019FC" w14:textId="1BB8659F" w:rsidR="001730EA" w:rsidRPr="00A00187" w:rsidRDefault="001730EA" w:rsidP="001730EA">
      <w:pPr>
        <w:pStyle w:val="OdstavecASR"/>
      </w:pPr>
      <w:r w:rsidRPr="00A00187">
        <w:rPr>
          <w:noProof/>
        </w:rPr>
        <w:drawing>
          <wp:inline distT="0" distB="0" distL="0" distR="0" wp14:anchorId="1F214E40" wp14:editId="5F71618E">
            <wp:extent cx="5025390" cy="3657600"/>
            <wp:effectExtent l="0" t="0" r="3810" b="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bookmarkEnd w:id="900"/>
    <w:p w14:paraId="62280F7D" w14:textId="77777777" w:rsidR="008430BD" w:rsidRPr="00A00187" w:rsidRDefault="008430BD" w:rsidP="008430BD"/>
    <w:p w14:paraId="765E0230" w14:textId="77777777" w:rsidR="00751A31" w:rsidRPr="00A00187" w:rsidRDefault="00751A31">
      <w:pPr>
        <w:spacing w:after="160" w:line="259" w:lineRule="auto"/>
        <w:jc w:val="left"/>
        <w:rPr>
          <w:rFonts w:eastAsia="Times New Roman"/>
          <w:b/>
          <w:iCs/>
          <w:spacing w:val="15"/>
          <w:szCs w:val="24"/>
        </w:rPr>
      </w:pPr>
      <w:bookmarkStart w:id="907" w:name="_Toc515871494"/>
      <w:bookmarkStart w:id="908" w:name="_Toc11133261"/>
      <w:bookmarkStart w:id="909" w:name="_Toc43931240"/>
      <w:bookmarkStart w:id="910" w:name="_Toc75952373"/>
      <w:r w:rsidRPr="00A00187">
        <w:br w:type="page"/>
      </w:r>
    </w:p>
    <w:p w14:paraId="5813319D" w14:textId="50B3D00D" w:rsidR="00751A31" w:rsidRPr="00A00187" w:rsidRDefault="00751A31" w:rsidP="00751A31">
      <w:pPr>
        <w:pStyle w:val="Podnadpis"/>
        <w:rPr>
          <w:color w:val="auto"/>
        </w:rPr>
      </w:pPr>
      <w:bookmarkStart w:id="911" w:name="_Toc106106828"/>
      <w:bookmarkStart w:id="912" w:name="_Toc109802151"/>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66</w:t>
      </w:r>
      <w:r w:rsidRPr="00A00187">
        <w:rPr>
          <w:noProof/>
          <w:color w:val="auto"/>
        </w:rPr>
        <w:fldChar w:fldCharType="end"/>
      </w:r>
      <w:r w:rsidRPr="00A00187">
        <w:rPr>
          <w:color w:val="auto"/>
        </w:rPr>
        <w:t>: KS – DT správního řízení dle soudů</w:t>
      </w:r>
      <w:bookmarkEnd w:id="907"/>
      <w:bookmarkEnd w:id="908"/>
      <w:bookmarkEnd w:id="909"/>
      <w:bookmarkEnd w:id="910"/>
      <w:bookmarkEnd w:id="911"/>
      <w:bookmarkEnd w:id="912"/>
    </w:p>
    <w:tbl>
      <w:tblPr>
        <w:tblW w:w="5992" w:type="dxa"/>
        <w:tblCellMar>
          <w:left w:w="70" w:type="dxa"/>
          <w:right w:w="70" w:type="dxa"/>
        </w:tblCellMar>
        <w:tblLook w:val="04A0" w:firstRow="1" w:lastRow="0" w:firstColumn="1" w:lastColumn="0" w:noHBand="0" w:noVBand="1"/>
      </w:tblPr>
      <w:tblGrid>
        <w:gridCol w:w="2796"/>
        <w:gridCol w:w="1236"/>
        <w:gridCol w:w="1960"/>
      </w:tblGrid>
      <w:tr w:rsidR="00AC1E67" w:rsidRPr="00A00187" w14:paraId="33ECBF69" w14:textId="77777777" w:rsidTr="00751A31">
        <w:trPr>
          <w:trHeight w:val="345"/>
        </w:trPr>
        <w:tc>
          <w:tcPr>
            <w:tcW w:w="2796" w:type="dxa"/>
            <w:tcBorders>
              <w:top w:val="double" w:sz="6" w:space="0" w:color="auto"/>
              <w:left w:val="nil"/>
              <w:bottom w:val="double" w:sz="6" w:space="0" w:color="auto"/>
              <w:right w:val="nil"/>
            </w:tcBorders>
            <w:shd w:val="clear" w:color="auto" w:fill="auto"/>
            <w:noWrap/>
            <w:vAlign w:val="center"/>
            <w:hideMark/>
          </w:tcPr>
          <w:p w14:paraId="77639E8E" w14:textId="77777777" w:rsidR="00751A31" w:rsidRPr="00A00187" w:rsidRDefault="00751A31" w:rsidP="00751A31">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3196" w:type="dxa"/>
            <w:gridSpan w:val="2"/>
            <w:tcBorders>
              <w:top w:val="double" w:sz="6" w:space="0" w:color="auto"/>
              <w:left w:val="nil"/>
              <w:bottom w:val="double" w:sz="6" w:space="0" w:color="auto"/>
              <w:right w:val="nil"/>
            </w:tcBorders>
            <w:shd w:val="clear" w:color="auto" w:fill="auto"/>
            <w:noWrap/>
            <w:vAlign w:val="center"/>
            <w:hideMark/>
          </w:tcPr>
          <w:p w14:paraId="43C69271" w14:textId="77777777" w:rsidR="00751A31" w:rsidRPr="00A00187" w:rsidRDefault="00751A31" w:rsidP="00751A31">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40AB7AE6" w14:textId="77777777" w:rsidTr="00751A31">
        <w:trPr>
          <w:trHeight w:val="330"/>
        </w:trPr>
        <w:tc>
          <w:tcPr>
            <w:tcW w:w="2796" w:type="dxa"/>
            <w:tcBorders>
              <w:top w:val="nil"/>
              <w:left w:val="nil"/>
              <w:bottom w:val="single" w:sz="4" w:space="0" w:color="auto"/>
              <w:right w:val="nil"/>
            </w:tcBorders>
            <w:shd w:val="clear" w:color="auto" w:fill="auto"/>
            <w:noWrap/>
            <w:vAlign w:val="bottom"/>
            <w:hideMark/>
          </w:tcPr>
          <w:p w14:paraId="1C77E821"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MS Praha</w:t>
            </w:r>
          </w:p>
        </w:tc>
        <w:tc>
          <w:tcPr>
            <w:tcW w:w="1236" w:type="dxa"/>
            <w:tcBorders>
              <w:top w:val="nil"/>
              <w:left w:val="nil"/>
              <w:bottom w:val="single" w:sz="4" w:space="0" w:color="auto"/>
              <w:right w:val="nil"/>
            </w:tcBorders>
            <w:shd w:val="clear" w:color="auto" w:fill="auto"/>
            <w:noWrap/>
            <w:vAlign w:val="bottom"/>
            <w:hideMark/>
          </w:tcPr>
          <w:p w14:paraId="3F10EA51"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304</w:t>
            </w:r>
          </w:p>
        </w:tc>
        <w:tc>
          <w:tcPr>
            <w:tcW w:w="1960" w:type="dxa"/>
            <w:tcBorders>
              <w:top w:val="nil"/>
              <w:left w:val="nil"/>
              <w:bottom w:val="single" w:sz="4" w:space="0" w:color="auto"/>
              <w:right w:val="nil"/>
            </w:tcBorders>
            <w:shd w:val="clear" w:color="auto" w:fill="auto"/>
            <w:noWrap/>
            <w:vAlign w:val="center"/>
            <w:hideMark/>
          </w:tcPr>
          <w:p w14:paraId="06FA0556" w14:textId="35425227"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16D66262" w14:textId="77777777" w:rsidTr="00751A31">
        <w:trPr>
          <w:trHeight w:val="315"/>
        </w:trPr>
        <w:tc>
          <w:tcPr>
            <w:tcW w:w="2796" w:type="dxa"/>
            <w:tcBorders>
              <w:top w:val="nil"/>
              <w:left w:val="nil"/>
              <w:bottom w:val="single" w:sz="4" w:space="0" w:color="auto"/>
              <w:right w:val="nil"/>
            </w:tcBorders>
            <w:shd w:val="clear" w:color="auto" w:fill="auto"/>
            <w:noWrap/>
            <w:vAlign w:val="bottom"/>
            <w:hideMark/>
          </w:tcPr>
          <w:p w14:paraId="0D96AE69"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KS Praha</w:t>
            </w:r>
          </w:p>
        </w:tc>
        <w:tc>
          <w:tcPr>
            <w:tcW w:w="1236" w:type="dxa"/>
            <w:tcBorders>
              <w:top w:val="nil"/>
              <w:left w:val="nil"/>
              <w:bottom w:val="single" w:sz="4" w:space="0" w:color="auto"/>
              <w:right w:val="nil"/>
            </w:tcBorders>
            <w:shd w:val="clear" w:color="auto" w:fill="auto"/>
            <w:noWrap/>
            <w:vAlign w:val="bottom"/>
            <w:hideMark/>
          </w:tcPr>
          <w:p w14:paraId="68ADB85A"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229</w:t>
            </w:r>
          </w:p>
        </w:tc>
        <w:tc>
          <w:tcPr>
            <w:tcW w:w="1960" w:type="dxa"/>
            <w:tcBorders>
              <w:top w:val="nil"/>
              <w:left w:val="nil"/>
              <w:bottom w:val="single" w:sz="4" w:space="0" w:color="auto"/>
              <w:right w:val="nil"/>
            </w:tcBorders>
            <w:shd w:val="clear" w:color="auto" w:fill="auto"/>
            <w:noWrap/>
            <w:vAlign w:val="center"/>
            <w:hideMark/>
          </w:tcPr>
          <w:p w14:paraId="6B86361A" w14:textId="4C56714B"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-37</w:t>
            </w:r>
            <w:r w:rsidR="00CB570A">
              <w:rPr>
                <w:rFonts w:eastAsia="Times New Roman"/>
                <w:sz w:val="20"/>
                <w:szCs w:val="20"/>
                <w:lang w:eastAsia="cs-CZ"/>
              </w:rPr>
              <w:t> %</w:t>
            </w:r>
          </w:p>
        </w:tc>
      </w:tr>
      <w:tr w:rsidR="00AC1E67" w:rsidRPr="00A00187" w14:paraId="70845B96" w14:textId="77777777" w:rsidTr="00751A31">
        <w:trPr>
          <w:trHeight w:val="315"/>
        </w:trPr>
        <w:tc>
          <w:tcPr>
            <w:tcW w:w="2796" w:type="dxa"/>
            <w:tcBorders>
              <w:top w:val="nil"/>
              <w:left w:val="nil"/>
              <w:bottom w:val="single" w:sz="4" w:space="0" w:color="auto"/>
              <w:right w:val="nil"/>
            </w:tcBorders>
            <w:shd w:val="clear" w:color="auto" w:fill="auto"/>
            <w:noWrap/>
            <w:vAlign w:val="bottom"/>
            <w:hideMark/>
          </w:tcPr>
          <w:p w14:paraId="39890279"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KS Č. Budějovice</w:t>
            </w:r>
          </w:p>
        </w:tc>
        <w:tc>
          <w:tcPr>
            <w:tcW w:w="1236" w:type="dxa"/>
            <w:tcBorders>
              <w:top w:val="nil"/>
              <w:left w:val="nil"/>
              <w:bottom w:val="single" w:sz="4" w:space="0" w:color="auto"/>
              <w:right w:val="nil"/>
            </w:tcBorders>
            <w:shd w:val="clear" w:color="auto" w:fill="auto"/>
            <w:noWrap/>
            <w:vAlign w:val="bottom"/>
            <w:hideMark/>
          </w:tcPr>
          <w:p w14:paraId="5830B0A0"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200</w:t>
            </w:r>
          </w:p>
        </w:tc>
        <w:tc>
          <w:tcPr>
            <w:tcW w:w="1960" w:type="dxa"/>
            <w:tcBorders>
              <w:top w:val="nil"/>
              <w:left w:val="nil"/>
              <w:bottom w:val="single" w:sz="4" w:space="0" w:color="auto"/>
              <w:right w:val="nil"/>
            </w:tcBorders>
            <w:shd w:val="clear" w:color="auto" w:fill="auto"/>
            <w:noWrap/>
            <w:vAlign w:val="center"/>
            <w:hideMark/>
          </w:tcPr>
          <w:p w14:paraId="5EF4CDB4" w14:textId="2B451CE5"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r>
      <w:tr w:rsidR="00AC1E67" w:rsidRPr="00A00187" w14:paraId="20F52867" w14:textId="77777777" w:rsidTr="00751A31">
        <w:trPr>
          <w:trHeight w:val="315"/>
        </w:trPr>
        <w:tc>
          <w:tcPr>
            <w:tcW w:w="2796" w:type="dxa"/>
            <w:tcBorders>
              <w:top w:val="nil"/>
              <w:left w:val="nil"/>
              <w:bottom w:val="single" w:sz="4" w:space="0" w:color="auto"/>
              <w:right w:val="nil"/>
            </w:tcBorders>
            <w:shd w:val="clear" w:color="auto" w:fill="auto"/>
            <w:noWrap/>
            <w:vAlign w:val="bottom"/>
            <w:hideMark/>
          </w:tcPr>
          <w:p w14:paraId="20BA8A99"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KS Plzeň</w:t>
            </w:r>
          </w:p>
        </w:tc>
        <w:tc>
          <w:tcPr>
            <w:tcW w:w="1236" w:type="dxa"/>
            <w:tcBorders>
              <w:top w:val="nil"/>
              <w:left w:val="nil"/>
              <w:bottom w:val="single" w:sz="4" w:space="0" w:color="auto"/>
              <w:right w:val="nil"/>
            </w:tcBorders>
            <w:shd w:val="clear" w:color="auto" w:fill="auto"/>
            <w:noWrap/>
            <w:vAlign w:val="bottom"/>
            <w:hideMark/>
          </w:tcPr>
          <w:p w14:paraId="2F63C1DC"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196</w:t>
            </w:r>
          </w:p>
        </w:tc>
        <w:tc>
          <w:tcPr>
            <w:tcW w:w="1960" w:type="dxa"/>
            <w:tcBorders>
              <w:top w:val="nil"/>
              <w:left w:val="nil"/>
              <w:bottom w:val="single" w:sz="4" w:space="0" w:color="auto"/>
              <w:right w:val="nil"/>
            </w:tcBorders>
            <w:shd w:val="clear" w:color="auto" w:fill="auto"/>
            <w:noWrap/>
            <w:vAlign w:val="center"/>
            <w:hideMark/>
          </w:tcPr>
          <w:p w14:paraId="2110EA31" w14:textId="15723E15"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748F221B" w14:textId="77777777" w:rsidTr="00751A31">
        <w:trPr>
          <w:trHeight w:val="315"/>
        </w:trPr>
        <w:tc>
          <w:tcPr>
            <w:tcW w:w="2796" w:type="dxa"/>
            <w:tcBorders>
              <w:top w:val="nil"/>
              <w:left w:val="nil"/>
              <w:bottom w:val="single" w:sz="4" w:space="0" w:color="auto"/>
              <w:right w:val="nil"/>
            </w:tcBorders>
            <w:shd w:val="clear" w:color="auto" w:fill="auto"/>
            <w:noWrap/>
            <w:vAlign w:val="bottom"/>
            <w:hideMark/>
          </w:tcPr>
          <w:p w14:paraId="781BBFA5"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KS Ústí n. Labem</w:t>
            </w:r>
          </w:p>
        </w:tc>
        <w:tc>
          <w:tcPr>
            <w:tcW w:w="1236" w:type="dxa"/>
            <w:tcBorders>
              <w:top w:val="nil"/>
              <w:left w:val="nil"/>
              <w:bottom w:val="single" w:sz="4" w:space="0" w:color="auto"/>
              <w:right w:val="nil"/>
            </w:tcBorders>
            <w:shd w:val="clear" w:color="auto" w:fill="auto"/>
            <w:noWrap/>
            <w:vAlign w:val="bottom"/>
            <w:hideMark/>
          </w:tcPr>
          <w:p w14:paraId="5B94210A"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304</w:t>
            </w:r>
          </w:p>
        </w:tc>
        <w:tc>
          <w:tcPr>
            <w:tcW w:w="1960" w:type="dxa"/>
            <w:tcBorders>
              <w:top w:val="nil"/>
              <w:left w:val="nil"/>
              <w:bottom w:val="single" w:sz="4" w:space="0" w:color="auto"/>
              <w:right w:val="nil"/>
            </w:tcBorders>
            <w:shd w:val="clear" w:color="auto" w:fill="auto"/>
            <w:noWrap/>
            <w:vAlign w:val="center"/>
            <w:hideMark/>
          </w:tcPr>
          <w:p w14:paraId="5CC45F76" w14:textId="5AC46AA4"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4C14A5B0" w14:textId="77777777" w:rsidTr="00751A31">
        <w:trPr>
          <w:trHeight w:val="315"/>
        </w:trPr>
        <w:tc>
          <w:tcPr>
            <w:tcW w:w="2796" w:type="dxa"/>
            <w:tcBorders>
              <w:top w:val="nil"/>
              <w:left w:val="nil"/>
              <w:bottom w:val="single" w:sz="4" w:space="0" w:color="auto"/>
              <w:right w:val="nil"/>
            </w:tcBorders>
            <w:shd w:val="clear" w:color="auto" w:fill="auto"/>
            <w:noWrap/>
            <w:vAlign w:val="bottom"/>
            <w:hideMark/>
          </w:tcPr>
          <w:p w14:paraId="321C69C2"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KS Hr. Králové</w:t>
            </w:r>
          </w:p>
        </w:tc>
        <w:tc>
          <w:tcPr>
            <w:tcW w:w="1236" w:type="dxa"/>
            <w:tcBorders>
              <w:top w:val="nil"/>
              <w:left w:val="nil"/>
              <w:bottom w:val="single" w:sz="4" w:space="0" w:color="auto"/>
              <w:right w:val="nil"/>
            </w:tcBorders>
            <w:shd w:val="clear" w:color="auto" w:fill="auto"/>
            <w:noWrap/>
            <w:vAlign w:val="bottom"/>
            <w:hideMark/>
          </w:tcPr>
          <w:p w14:paraId="07120C60"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195</w:t>
            </w:r>
          </w:p>
        </w:tc>
        <w:tc>
          <w:tcPr>
            <w:tcW w:w="1960" w:type="dxa"/>
            <w:tcBorders>
              <w:top w:val="nil"/>
              <w:left w:val="nil"/>
              <w:bottom w:val="single" w:sz="4" w:space="0" w:color="auto"/>
              <w:right w:val="nil"/>
            </w:tcBorders>
            <w:shd w:val="clear" w:color="auto" w:fill="auto"/>
            <w:noWrap/>
            <w:vAlign w:val="center"/>
            <w:hideMark/>
          </w:tcPr>
          <w:p w14:paraId="5A716AA2" w14:textId="3C3C0C91"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r>
      <w:tr w:rsidR="00AC1E67" w:rsidRPr="00A00187" w14:paraId="5A63FEF6" w14:textId="77777777" w:rsidTr="00751A31">
        <w:trPr>
          <w:trHeight w:val="315"/>
        </w:trPr>
        <w:tc>
          <w:tcPr>
            <w:tcW w:w="2796" w:type="dxa"/>
            <w:tcBorders>
              <w:top w:val="nil"/>
              <w:left w:val="nil"/>
              <w:bottom w:val="single" w:sz="4" w:space="0" w:color="auto"/>
              <w:right w:val="nil"/>
            </w:tcBorders>
            <w:shd w:val="clear" w:color="auto" w:fill="auto"/>
            <w:noWrap/>
            <w:vAlign w:val="bottom"/>
            <w:hideMark/>
          </w:tcPr>
          <w:p w14:paraId="4F252CCD"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KS Brno</w:t>
            </w:r>
          </w:p>
        </w:tc>
        <w:tc>
          <w:tcPr>
            <w:tcW w:w="1236" w:type="dxa"/>
            <w:tcBorders>
              <w:top w:val="nil"/>
              <w:left w:val="nil"/>
              <w:bottom w:val="single" w:sz="4" w:space="0" w:color="auto"/>
              <w:right w:val="nil"/>
            </w:tcBorders>
            <w:shd w:val="clear" w:color="auto" w:fill="auto"/>
            <w:noWrap/>
            <w:vAlign w:val="bottom"/>
            <w:hideMark/>
          </w:tcPr>
          <w:p w14:paraId="60348279"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310</w:t>
            </w:r>
          </w:p>
        </w:tc>
        <w:tc>
          <w:tcPr>
            <w:tcW w:w="1960" w:type="dxa"/>
            <w:tcBorders>
              <w:top w:val="nil"/>
              <w:left w:val="nil"/>
              <w:bottom w:val="single" w:sz="4" w:space="0" w:color="auto"/>
              <w:right w:val="nil"/>
            </w:tcBorders>
            <w:shd w:val="clear" w:color="auto" w:fill="auto"/>
            <w:noWrap/>
            <w:vAlign w:val="center"/>
            <w:hideMark/>
          </w:tcPr>
          <w:p w14:paraId="597E392B" w14:textId="66BADB3C"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r>
      <w:tr w:rsidR="00AC1E67" w:rsidRPr="00A00187" w14:paraId="7D5755A7" w14:textId="77777777" w:rsidTr="00751A31">
        <w:trPr>
          <w:trHeight w:val="330"/>
        </w:trPr>
        <w:tc>
          <w:tcPr>
            <w:tcW w:w="2796" w:type="dxa"/>
            <w:tcBorders>
              <w:top w:val="nil"/>
              <w:left w:val="nil"/>
              <w:bottom w:val="double" w:sz="6" w:space="0" w:color="auto"/>
              <w:right w:val="nil"/>
            </w:tcBorders>
            <w:shd w:val="clear" w:color="auto" w:fill="auto"/>
            <w:noWrap/>
            <w:vAlign w:val="bottom"/>
            <w:hideMark/>
          </w:tcPr>
          <w:p w14:paraId="49390320" w14:textId="77777777" w:rsidR="00751A31" w:rsidRPr="00A00187" w:rsidRDefault="00751A31" w:rsidP="00751A31">
            <w:pPr>
              <w:spacing w:line="240" w:lineRule="auto"/>
              <w:jc w:val="left"/>
              <w:rPr>
                <w:rFonts w:eastAsia="Times New Roman"/>
                <w:szCs w:val="24"/>
                <w:lang w:eastAsia="cs-CZ"/>
              </w:rPr>
            </w:pPr>
            <w:r w:rsidRPr="00A00187">
              <w:rPr>
                <w:rFonts w:eastAsia="Times New Roman"/>
                <w:szCs w:val="24"/>
                <w:lang w:eastAsia="cs-CZ"/>
              </w:rPr>
              <w:t>KS Ostrava</w:t>
            </w:r>
          </w:p>
        </w:tc>
        <w:tc>
          <w:tcPr>
            <w:tcW w:w="1236" w:type="dxa"/>
            <w:tcBorders>
              <w:top w:val="nil"/>
              <w:left w:val="nil"/>
              <w:bottom w:val="double" w:sz="6" w:space="0" w:color="auto"/>
              <w:right w:val="nil"/>
            </w:tcBorders>
            <w:shd w:val="clear" w:color="auto" w:fill="auto"/>
            <w:noWrap/>
            <w:vAlign w:val="bottom"/>
            <w:hideMark/>
          </w:tcPr>
          <w:p w14:paraId="2B39C1B6" w14:textId="77777777" w:rsidR="00751A31" w:rsidRPr="00A00187" w:rsidRDefault="00751A31" w:rsidP="00751A31">
            <w:pPr>
              <w:spacing w:line="240" w:lineRule="auto"/>
              <w:jc w:val="center"/>
              <w:rPr>
                <w:rFonts w:eastAsia="Times New Roman"/>
                <w:szCs w:val="24"/>
                <w:lang w:eastAsia="cs-CZ"/>
              </w:rPr>
            </w:pPr>
            <w:r w:rsidRPr="00A00187">
              <w:rPr>
                <w:rFonts w:eastAsia="Times New Roman"/>
                <w:szCs w:val="24"/>
                <w:lang w:eastAsia="cs-CZ"/>
              </w:rPr>
              <w:t>187</w:t>
            </w:r>
          </w:p>
        </w:tc>
        <w:tc>
          <w:tcPr>
            <w:tcW w:w="1960" w:type="dxa"/>
            <w:tcBorders>
              <w:top w:val="nil"/>
              <w:left w:val="nil"/>
              <w:bottom w:val="double" w:sz="6" w:space="0" w:color="auto"/>
              <w:right w:val="nil"/>
            </w:tcBorders>
            <w:shd w:val="clear" w:color="auto" w:fill="auto"/>
            <w:noWrap/>
            <w:vAlign w:val="center"/>
            <w:hideMark/>
          </w:tcPr>
          <w:p w14:paraId="61C929D9" w14:textId="29796E5B" w:rsidR="00751A31" w:rsidRPr="00A00187" w:rsidRDefault="00751A31" w:rsidP="00641DB9">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r>
      <w:tr w:rsidR="00AC1E67" w:rsidRPr="00A00187" w14:paraId="0FA37E77" w14:textId="77777777" w:rsidTr="00751A31">
        <w:trPr>
          <w:trHeight w:val="345"/>
        </w:trPr>
        <w:tc>
          <w:tcPr>
            <w:tcW w:w="2796" w:type="dxa"/>
            <w:tcBorders>
              <w:top w:val="nil"/>
              <w:left w:val="nil"/>
              <w:bottom w:val="double" w:sz="6" w:space="0" w:color="auto"/>
              <w:right w:val="nil"/>
            </w:tcBorders>
            <w:shd w:val="clear" w:color="auto" w:fill="auto"/>
            <w:noWrap/>
            <w:vAlign w:val="bottom"/>
            <w:hideMark/>
          </w:tcPr>
          <w:p w14:paraId="1A7DD01F" w14:textId="77777777" w:rsidR="00751A31" w:rsidRPr="00A00187" w:rsidRDefault="00751A31" w:rsidP="00751A31">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236" w:type="dxa"/>
            <w:tcBorders>
              <w:top w:val="nil"/>
              <w:left w:val="nil"/>
              <w:bottom w:val="double" w:sz="6" w:space="0" w:color="auto"/>
              <w:right w:val="nil"/>
            </w:tcBorders>
            <w:shd w:val="clear" w:color="auto" w:fill="auto"/>
            <w:noWrap/>
            <w:vAlign w:val="bottom"/>
            <w:hideMark/>
          </w:tcPr>
          <w:p w14:paraId="67A5F0D4" w14:textId="77777777" w:rsidR="00751A31" w:rsidRPr="00A00187" w:rsidRDefault="00751A31" w:rsidP="00751A31">
            <w:pPr>
              <w:spacing w:line="240" w:lineRule="auto"/>
              <w:jc w:val="center"/>
              <w:rPr>
                <w:rFonts w:eastAsia="Times New Roman"/>
                <w:b/>
                <w:bCs/>
                <w:szCs w:val="24"/>
                <w:lang w:eastAsia="cs-CZ"/>
              </w:rPr>
            </w:pPr>
            <w:r w:rsidRPr="00A00187">
              <w:rPr>
                <w:rFonts w:eastAsia="Times New Roman"/>
                <w:b/>
                <w:bCs/>
                <w:szCs w:val="24"/>
                <w:lang w:eastAsia="cs-CZ"/>
              </w:rPr>
              <w:t>265</w:t>
            </w:r>
          </w:p>
        </w:tc>
        <w:tc>
          <w:tcPr>
            <w:tcW w:w="1960" w:type="dxa"/>
            <w:tcBorders>
              <w:top w:val="nil"/>
              <w:left w:val="nil"/>
              <w:bottom w:val="double" w:sz="6" w:space="0" w:color="auto"/>
              <w:right w:val="nil"/>
            </w:tcBorders>
            <w:shd w:val="clear" w:color="auto" w:fill="auto"/>
            <w:noWrap/>
            <w:vAlign w:val="center"/>
            <w:hideMark/>
          </w:tcPr>
          <w:p w14:paraId="6414DE5D" w14:textId="328B5F91" w:rsidR="00751A31" w:rsidRPr="00A00187" w:rsidRDefault="00751A31"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r>
      <w:tr w:rsidR="00AC1E67" w:rsidRPr="00A00187" w14:paraId="0B12638A" w14:textId="77777777" w:rsidTr="00751A31">
        <w:trPr>
          <w:trHeight w:val="330"/>
        </w:trPr>
        <w:tc>
          <w:tcPr>
            <w:tcW w:w="2796" w:type="dxa"/>
            <w:tcBorders>
              <w:top w:val="nil"/>
              <w:left w:val="nil"/>
              <w:bottom w:val="nil"/>
              <w:right w:val="nil"/>
            </w:tcBorders>
            <w:shd w:val="clear" w:color="auto" w:fill="auto"/>
            <w:noWrap/>
            <w:vAlign w:val="bottom"/>
            <w:hideMark/>
          </w:tcPr>
          <w:p w14:paraId="0E374532" w14:textId="77777777" w:rsidR="00751A31" w:rsidRPr="00A00187" w:rsidRDefault="00751A31" w:rsidP="00751A31">
            <w:pPr>
              <w:spacing w:line="240" w:lineRule="auto"/>
              <w:jc w:val="center"/>
              <w:rPr>
                <w:rFonts w:eastAsia="Times New Roman"/>
                <w:b/>
                <w:bCs/>
                <w:sz w:val="20"/>
                <w:szCs w:val="20"/>
                <w:lang w:eastAsia="cs-CZ"/>
              </w:rPr>
            </w:pPr>
          </w:p>
        </w:tc>
        <w:tc>
          <w:tcPr>
            <w:tcW w:w="1236" w:type="dxa"/>
            <w:tcBorders>
              <w:top w:val="nil"/>
              <w:left w:val="nil"/>
              <w:bottom w:val="nil"/>
              <w:right w:val="nil"/>
            </w:tcBorders>
            <w:shd w:val="clear" w:color="auto" w:fill="auto"/>
            <w:noWrap/>
            <w:vAlign w:val="bottom"/>
            <w:hideMark/>
          </w:tcPr>
          <w:p w14:paraId="796637D9" w14:textId="77777777" w:rsidR="00751A31" w:rsidRPr="00A00187" w:rsidRDefault="00751A31" w:rsidP="00751A31">
            <w:pPr>
              <w:spacing w:line="240" w:lineRule="auto"/>
              <w:jc w:val="left"/>
              <w:rPr>
                <w:rFonts w:ascii="Times New Roman" w:eastAsia="Times New Roman" w:hAnsi="Times New Roman"/>
                <w:sz w:val="20"/>
                <w:szCs w:val="20"/>
                <w:lang w:eastAsia="cs-CZ"/>
              </w:rPr>
            </w:pPr>
          </w:p>
        </w:tc>
        <w:tc>
          <w:tcPr>
            <w:tcW w:w="1960" w:type="dxa"/>
            <w:tcBorders>
              <w:top w:val="nil"/>
              <w:left w:val="nil"/>
              <w:bottom w:val="nil"/>
              <w:right w:val="nil"/>
            </w:tcBorders>
            <w:shd w:val="clear" w:color="auto" w:fill="auto"/>
            <w:noWrap/>
            <w:vAlign w:val="bottom"/>
            <w:hideMark/>
          </w:tcPr>
          <w:p w14:paraId="617971DF" w14:textId="77777777" w:rsidR="00751A31" w:rsidRPr="00A00187" w:rsidRDefault="00751A31" w:rsidP="00751A31">
            <w:pPr>
              <w:spacing w:line="240" w:lineRule="auto"/>
              <w:jc w:val="left"/>
              <w:rPr>
                <w:rFonts w:ascii="Times New Roman" w:eastAsia="Times New Roman" w:hAnsi="Times New Roman"/>
                <w:sz w:val="20"/>
                <w:szCs w:val="20"/>
                <w:lang w:eastAsia="cs-CZ"/>
              </w:rPr>
            </w:pPr>
          </w:p>
        </w:tc>
      </w:tr>
    </w:tbl>
    <w:p w14:paraId="6AA2D523" w14:textId="629528ED" w:rsidR="00751A31" w:rsidRPr="00A00187" w:rsidRDefault="00751A31" w:rsidP="00751A31">
      <w:pPr>
        <w:pStyle w:val="OdstavecASR"/>
      </w:pPr>
      <w:r w:rsidRPr="00A00187">
        <w:t>Celkově jsou délky řízení ve správním soudnictví značně vysoké</w:t>
      </w:r>
      <w:r w:rsidR="00F1432C" w:rsidRPr="00A00187">
        <w:t xml:space="preserve"> </w:t>
      </w:r>
      <w:r w:rsidR="00755920" w:rsidRPr="00A00187">
        <w:t>a</w:t>
      </w:r>
      <w:r w:rsidR="00755920">
        <w:t> </w:t>
      </w:r>
      <w:r w:rsidR="00F1432C" w:rsidRPr="00A00187">
        <w:t>neklesají</w:t>
      </w:r>
      <w:r w:rsidR="007F3752" w:rsidRPr="00A00187">
        <w:t>.</w:t>
      </w:r>
      <w:r w:rsidR="002E70DB" w:rsidRPr="00A00187">
        <w:t xml:space="preserve"> </w:t>
      </w:r>
      <w:r w:rsidR="00921CDF" w:rsidRPr="00A00187">
        <w:t>Značná je</w:t>
      </w:r>
      <w:r w:rsidRPr="00A00187">
        <w:t xml:space="preserve"> i</w:t>
      </w:r>
      <w:r w:rsidR="00641DB9">
        <w:t> </w:t>
      </w:r>
      <w:r w:rsidR="00F1432C" w:rsidRPr="00A00187">
        <w:t>případová</w:t>
      </w:r>
      <w:r w:rsidRPr="00A00187">
        <w:t> z</w:t>
      </w:r>
      <w:r w:rsidR="00F1432C" w:rsidRPr="00A00187">
        <w:t>átěž</w:t>
      </w:r>
      <w:r w:rsidRPr="00A00187">
        <w:t xml:space="preserve"> správních úseků soudů</w:t>
      </w:r>
      <w:r w:rsidR="00F1432C" w:rsidRPr="00A00187">
        <w:t>, která ovšem rychle klesá</w:t>
      </w:r>
      <w:r w:rsidRPr="00A00187">
        <w:t xml:space="preserve">. </w:t>
      </w:r>
      <w:r w:rsidR="00921CDF" w:rsidRPr="00A00187">
        <w:t>S</w:t>
      </w:r>
      <w:r w:rsidRPr="00A00187">
        <w:t>ituac</w:t>
      </w:r>
      <w:r w:rsidR="00921CDF" w:rsidRPr="00A00187">
        <w:t>i</w:t>
      </w:r>
      <w:r w:rsidRPr="00A00187">
        <w:t xml:space="preserve"> ve správním soudnictví </w:t>
      </w:r>
      <w:r w:rsidR="00921CDF" w:rsidRPr="00A00187">
        <w:t xml:space="preserve">tak zatím stále nelze popsat jak </w:t>
      </w:r>
      <w:r w:rsidR="00755920" w:rsidRPr="00A00187">
        <w:t>o</w:t>
      </w:r>
      <w:r w:rsidR="00755920">
        <w:t> </w:t>
      </w:r>
      <w:r w:rsidR="00921CDF" w:rsidRPr="00A00187">
        <w:t>dobrou</w:t>
      </w:r>
      <w:r w:rsidR="00F1432C" w:rsidRPr="00A00187">
        <w:t>,</w:t>
      </w:r>
      <w:r w:rsidRPr="00A00187">
        <w:t xml:space="preserve"> </w:t>
      </w:r>
      <w:r w:rsidR="00921CDF" w:rsidRPr="00A00187">
        <w:t xml:space="preserve">ale </w:t>
      </w:r>
      <w:r w:rsidRPr="00A00187">
        <w:t xml:space="preserve">díky posilování správních úseků a poklesu v nápadu došlo k výraznému poklesu v počtu nevyřízených věcí v posledních </w:t>
      </w:r>
      <w:r w:rsidR="00F1432C" w:rsidRPr="00A00187">
        <w:t>třech</w:t>
      </w:r>
      <w:r w:rsidRPr="00A00187">
        <w:t xml:space="preserve"> letech. </w:t>
      </w:r>
      <w:r w:rsidR="00106459" w:rsidRPr="00A00187">
        <w:t xml:space="preserve">Stav </w:t>
      </w:r>
      <w:r w:rsidR="00754A2E" w:rsidRPr="00A00187">
        <w:t>správního soudnictví</w:t>
      </w:r>
      <w:r w:rsidRPr="00A00187">
        <w:t xml:space="preserve"> se tedy</w:t>
      </w:r>
      <w:r w:rsidR="00F1432C" w:rsidRPr="00A00187">
        <w:t xml:space="preserve"> rozhodně výrazně </w:t>
      </w:r>
      <w:r w:rsidRPr="00A00187">
        <w:t>zlepšil</w:t>
      </w:r>
      <w:r w:rsidR="00944930" w:rsidRPr="00A00187">
        <w:t xml:space="preserve">, ale další vývoj bude potřeba bedlivě sledovat, </w:t>
      </w:r>
      <w:r w:rsidR="00755920" w:rsidRPr="00A00187">
        <w:t>a</w:t>
      </w:r>
      <w:r w:rsidR="00755920">
        <w:t> </w:t>
      </w:r>
      <w:r w:rsidR="00944930" w:rsidRPr="00A00187">
        <w:t>to i</w:t>
      </w:r>
      <w:r w:rsidR="00641DB9">
        <w:t> </w:t>
      </w:r>
      <w:r w:rsidR="00944930" w:rsidRPr="00A00187">
        <w:t xml:space="preserve">proto, že správní agendy mohou podléhat náhlým </w:t>
      </w:r>
      <w:r w:rsidR="00755920" w:rsidRPr="00A00187">
        <w:t>a</w:t>
      </w:r>
      <w:r w:rsidR="00755920">
        <w:t> </w:t>
      </w:r>
      <w:r w:rsidR="00944930" w:rsidRPr="00A00187">
        <w:t>nepředvídatelným externím vlivům, jakým by mohl být například eventuální skokový nárůst azylové agendy v</w:t>
      </w:r>
      <w:r w:rsidR="002E70DB" w:rsidRPr="00A00187">
        <w:t> </w:t>
      </w:r>
      <w:r w:rsidR="00944930" w:rsidRPr="00A00187">
        <w:t>souvislosti</w:t>
      </w:r>
      <w:r w:rsidR="002E70DB" w:rsidRPr="00A00187">
        <w:t xml:space="preserve"> s válkou na Ukrajině.</w:t>
      </w:r>
    </w:p>
    <w:p w14:paraId="7E9E299A" w14:textId="0159F041" w:rsidR="00F1432C" w:rsidRPr="00A00187" w:rsidRDefault="00F1432C">
      <w:pPr>
        <w:spacing w:after="160" w:line="259" w:lineRule="auto"/>
        <w:jc w:val="left"/>
      </w:pPr>
      <w:r w:rsidRPr="00A00187">
        <w:br w:type="page"/>
      </w:r>
    </w:p>
    <w:p w14:paraId="14AF05E3" w14:textId="231FDF9D" w:rsidR="008430BD" w:rsidRPr="00A00187" w:rsidRDefault="008430BD" w:rsidP="008430BD">
      <w:pPr>
        <w:pStyle w:val="Nadpis2"/>
        <w:numPr>
          <w:ilvl w:val="1"/>
          <w:numId w:val="1"/>
        </w:numPr>
        <w:spacing w:before="120"/>
        <w:rPr>
          <w:color w:val="auto"/>
        </w:rPr>
      </w:pPr>
      <w:bookmarkStart w:id="913" w:name="_Ref511982760"/>
      <w:bookmarkStart w:id="914" w:name="_Toc515871272"/>
      <w:bookmarkStart w:id="915" w:name="_Toc106092779"/>
      <w:bookmarkStart w:id="916" w:name="_Toc109801390"/>
      <w:r w:rsidRPr="00A00187">
        <w:rPr>
          <w:color w:val="auto"/>
        </w:rPr>
        <w:lastRenderedPageBreak/>
        <w:t>Insolvenční agenda</w:t>
      </w:r>
      <w:bookmarkEnd w:id="913"/>
      <w:bookmarkEnd w:id="914"/>
      <w:bookmarkEnd w:id="915"/>
      <w:bookmarkEnd w:id="916"/>
    </w:p>
    <w:p w14:paraId="54B3FA94" w14:textId="15D85368" w:rsidR="008C6EE5" w:rsidRPr="00A00187" w:rsidRDefault="008C6EE5" w:rsidP="008C6EE5">
      <w:pPr>
        <w:pStyle w:val="OdstavecASR"/>
      </w:pPr>
      <w:r w:rsidRPr="00A00187">
        <w:t xml:space="preserve">Insolvenční agenda je vedena v prvostupňovém rejstříku INS. Ve vedení statistik nedošlo v průběhu sledovaných let k žádným změnám. Přesto můžeme očekávat, že se většina ukazatelů během let výrazně měnila. Jedná se totiž o poměrně novou agendu z roku 2008 (do té doby </w:t>
      </w:r>
      <w:r w:rsidR="003A0E7C" w:rsidRPr="00A00187">
        <w:t xml:space="preserve">bylo řízení </w:t>
      </w:r>
      <w:r w:rsidR="00755920" w:rsidRPr="00A00187">
        <w:t>o</w:t>
      </w:r>
      <w:r w:rsidR="00755920">
        <w:t> </w:t>
      </w:r>
      <w:r w:rsidR="003A0E7C" w:rsidRPr="00A00187">
        <w:t xml:space="preserve">úpadku </w:t>
      </w:r>
      <w:r w:rsidRPr="00A00187">
        <w:t>upraven</w:t>
      </w:r>
      <w:r w:rsidR="003A0E7C" w:rsidRPr="00A00187">
        <w:t>o</w:t>
      </w:r>
      <w:r w:rsidR="0083447C" w:rsidRPr="00A00187">
        <w:t xml:space="preserve"> </w:t>
      </w:r>
      <w:r w:rsidRPr="00A00187">
        <w:t>jiným systémem a byl</w:t>
      </w:r>
      <w:r w:rsidR="003A0E7C" w:rsidRPr="00A00187">
        <w:t>o</w:t>
      </w:r>
      <w:r w:rsidRPr="00A00187">
        <w:t xml:space="preserve"> veden</w:t>
      </w:r>
      <w:r w:rsidR="003A0E7C" w:rsidRPr="00A00187">
        <w:t>o</w:t>
      </w:r>
      <w:r w:rsidRPr="00A00187">
        <w:t xml:space="preserve"> v jiných rejstřících) a obvykle trvá několik let, než se ukazatele ustálí. Je ještě třeba připomenout, že součástí insolvenční agendy je projednávání a rozhodování incidenčních sporů, které jsou vedeny v rejstříku </w:t>
      </w:r>
      <w:proofErr w:type="spellStart"/>
      <w:r w:rsidRPr="00A00187">
        <w:t>ICm</w:t>
      </w:r>
      <w:proofErr w:type="spellEnd"/>
      <w:r w:rsidRPr="00A00187">
        <w:t>. Tomuto rejstříku se věnuje další kapitola.</w:t>
      </w:r>
    </w:p>
    <w:p w14:paraId="17A0F050" w14:textId="25ED2D59" w:rsidR="008C6EE5" w:rsidRPr="00A00187" w:rsidRDefault="003A0E7C" w:rsidP="008C6EE5">
      <w:pPr>
        <w:pStyle w:val="OdstavecASR"/>
      </w:pPr>
      <w:r w:rsidRPr="00A00187">
        <w:t xml:space="preserve">Původně insolvence zahrnovala </w:t>
      </w:r>
      <w:r w:rsidR="008C6EE5" w:rsidRPr="00A00187">
        <w:t xml:space="preserve">dvě zcela odlišné agendy – insolvenci podnikatelů (osob právnických a podnikajících fyzických osob) a insolvenci nepodnikatelů (zpravidla fyzických osob jako spotřebitelů). Insolvence fyzických osob </w:t>
      </w:r>
      <w:r w:rsidR="00944930" w:rsidRPr="00A00187">
        <w:t xml:space="preserve">– </w:t>
      </w:r>
      <w:r w:rsidR="008C6EE5" w:rsidRPr="00A00187">
        <w:t>spotřebitelů se označovaly jako spotřebitelské insolvence. Podnikatelské a spotřebitelské insolvence tak představovaly skutkově i právně rozdílné druhy insolvencí. V naprosté většině případů se spotřebitelské insolvence řešily a </w:t>
      </w:r>
      <w:r w:rsidR="00944930" w:rsidRPr="00A00187">
        <w:t xml:space="preserve">doposud </w:t>
      </w:r>
      <w:r w:rsidR="008C6EE5" w:rsidRPr="00A00187">
        <w:t xml:space="preserve">řeší tzv. oddlužením, naopak ty podnikatelské zpravidla konkursem. Toto rozdělení </w:t>
      </w:r>
      <w:r w:rsidR="00320597" w:rsidRPr="00A00187">
        <w:t xml:space="preserve">v souvislosti </w:t>
      </w:r>
      <w:r w:rsidR="00755920" w:rsidRPr="00A00187">
        <w:t>s</w:t>
      </w:r>
      <w:r w:rsidR="00755920">
        <w:t> </w:t>
      </w:r>
      <w:r w:rsidR="008C6EE5" w:rsidRPr="00A00187">
        <w:t>dalšími novelizacemi zákona č. 182/2006 Sb., o úpadku a způsobech jeho řešení (insolvenční zákon), který tuto agendu upravuje,</w:t>
      </w:r>
      <w:r w:rsidR="00320597" w:rsidRPr="00A00187">
        <w:t xml:space="preserve"> není již tak striktní</w:t>
      </w:r>
      <w:r w:rsidR="008C6EE5" w:rsidRPr="00A00187">
        <w:t>. Zejména významná novela insolvenčního zákona účinná od 1. července 2017, provedená zákonem č. 64/2017 Sb., ještě podstatněji otevřela podnikajícím fyzickým osobám možnost řešit úpadek oddlužením. I právnické osoby, které zákon nezařazuje mezi podnikatele, nadto mají možnost projít oddlužením</w:t>
      </w:r>
      <w:r w:rsidR="0083447C" w:rsidRPr="00A00187">
        <w:t xml:space="preserve">. </w:t>
      </w:r>
      <w:r w:rsidR="008C6EE5" w:rsidRPr="00A00187">
        <w:t xml:space="preserve">V důsledku toho již rozdělení na spotřebitelské a podnikatelské insolvence jen podle členění na fyzické a právnické osoby nadále plně nekoresponduje. Ministerstvo spravedlnosti </w:t>
      </w:r>
      <w:r w:rsidR="00944930" w:rsidRPr="00A00187">
        <w:t>v důsledku toho</w:t>
      </w:r>
      <w:r w:rsidR="0083447C" w:rsidRPr="00A00187">
        <w:t xml:space="preserve"> </w:t>
      </w:r>
      <w:r w:rsidR="00320597" w:rsidRPr="00A00187">
        <w:t xml:space="preserve">však, </w:t>
      </w:r>
      <w:r w:rsidR="008C6EE5" w:rsidRPr="00A00187">
        <w:t>bohužel</w:t>
      </w:r>
      <w:r w:rsidR="00320597" w:rsidRPr="00A00187">
        <w:t>,</w:t>
      </w:r>
      <w:r w:rsidR="008C6EE5" w:rsidRPr="00A00187">
        <w:t xml:space="preserve"> v současné době ne vždy disponuje daty, která by umožnila spotřebitelské a podnikatelské insolvence důsledně rozlišit. V podkapitole věnované délkám řízení proto dělíme insolvence na insolvence fyzických osob (ty ale zahrnují i podnikající fyzické osoby) a insolvence právnických osob. V ostatních podkapitolách nejsou k dispozici data, která by dělení umožnila. Další významná novela insolvenčního zákona (zákon č. 31/2019 Sb.), která nabyla účinnost dne 1. června 2019, kromě řady změn technického charakteru</w:t>
      </w:r>
      <w:r w:rsidR="00320597" w:rsidRPr="00A00187">
        <w:t>,</w:t>
      </w:r>
      <w:r w:rsidR="008C6EE5" w:rsidRPr="00A00187">
        <w:t xml:space="preserve"> opětovně zásadně zasáhla do procesu oddlužení. Jejím hlavním záměrem je zpřístupnění institutu oddlužení i dlužníkům v tzv. </w:t>
      </w:r>
      <w:r w:rsidR="008C6EE5" w:rsidRPr="00A00187">
        <w:rPr>
          <w:i/>
        </w:rPr>
        <w:t>dluhové pasti</w:t>
      </w:r>
      <w:r w:rsidR="008C6EE5" w:rsidRPr="00A00187">
        <w:t>. Novela zároveň reagovala na potřeby, které vyplynuly z aplikační praxe pro oddlužení fyzických osob – podnikatelů. Změny zavedené touto novelou jsou velmi významné a jejich účinek bude mít dopad v delším časovém horizontu. Mohou ovlivnit jak délky řízení, tak vyřizování insolvenčních věcí.</w:t>
      </w:r>
    </w:p>
    <w:p w14:paraId="318375B4" w14:textId="26F7BCC7" w:rsidR="008430BD" w:rsidRPr="00A00187" w:rsidRDefault="008430BD" w:rsidP="008430BD">
      <w:pPr>
        <w:pStyle w:val="Nadpis3"/>
        <w:numPr>
          <w:ilvl w:val="2"/>
          <w:numId w:val="1"/>
        </w:numPr>
        <w:rPr>
          <w:color w:val="auto"/>
        </w:rPr>
      </w:pPr>
      <w:bookmarkStart w:id="917" w:name="_Toc515871273"/>
      <w:bookmarkStart w:id="918" w:name="_Toc106092780"/>
      <w:bookmarkStart w:id="919" w:name="_Toc109801391"/>
      <w:r w:rsidRPr="00A00187">
        <w:rPr>
          <w:color w:val="auto"/>
        </w:rPr>
        <w:t>Délka řízení</w:t>
      </w:r>
      <w:bookmarkEnd w:id="917"/>
      <w:bookmarkEnd w:id="918"/>
      <w:bookmarkEnd w:id="919"/>
    </w:p>
    <w:p w14:paraId="70E15192" w14:textId="4A9C2830" w:rsidR="008C6EE5" w:rsidRPr="00A00187" w:rsidRDefault="008C6EE5" w:rsidP="008C6EE5">
      <w:pPr>
        <w:pStyle w:val="OdstavecASR"/>
      </w:pPr>
      <w:r w:rsidRPr="00A00187">
        <w:t>Sledování délky řízení je u této agendy složitější, protože se jedná o vícefázové řízení upravené insolvenčním zákonem. Jednoduše řečeno, v první fázi je rozhodnuto o insolvenčním návrhu, případně i o způsobu řešení úpadku. Pokud insolvenční soud nerozhodne o úpadku a vyřídí tedy insolvenční návrh jiným způsobem, řízení končí. V opačném případě nastává</w:t>
      </w:r>
      <w:r w:rsidR="0083447C" w:rsidRPr="00A00187">
        <w:t xml:space="preserve"> </w:t>
      </w:r>
      <w:r w:rsidRPr="00A00187">
        <w:t>další fáze řízení, jejíž délka se odvíjí především od způsobu řešení úpadku (oddlužení, konkurs, reorganizace). Například oddlužení běžně trvá pět let. Soud má reálný vliv na délku řízení pouze v první fázi, ve fázi řešení úpadku má u oddlužení pouze nepřímý vliv na délku řízení. Zkoumat tedy budeme délku řízení týkající se právě této první fáze insolvenčního řízení. Budeme pracovat s délkou řízení ode dne zahájení řízení do dne rozhodnutí o insolvenčním návrhu, tedy do dne, kdy bylo rozhodnuto o úpadku nebo bylo o insolvenčním návrhu rozhodnuto jinak.</w:t>
      </w:r>
    </w:p>
    <w:p w14:paraId="0F033E36" w14:textId="45F8573A" w:rsidR="008C6EE5" w:rsidRPr="00A00187" w:rsidRDefault="008C6EE5" w:rsidP="008C6EE5">
      <w:pPr>
        <w:pStyle w:val="Podnadpis"/>
        <w:numPr>
          <w:ilvl w:val="0"/>
          <w:numId w:val="0"/>
        </w:numPr>
        <w:rPr>
          <w:color w:val="auto"/>
        </w:rPr>
      </w:pPr>
      <w:bookmarkStart w:id="920" w:name="_Toc515871402"/>
      <w:bookmarkStart w:id="921" w:name="_Toc11135133"/>
      <w:bookmarkStart w:id="922" w:name="_Toc43841452"/>
      <w:bookmarkStart w:id="923" w:name="_Toc75952254"/>
      <w:bookmarkStart w:id="924" w:name="_Toc106106713"/>
      <w:bookmarkStart w:id="925" w:name="_Toc109802037"/>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79</w:t>
      </w:r>
      <w:r w:rsidRPr="00A00187">
        <w:rPr>
          <w:noProof/>
          <w:color w:val="auto"/>
        </w:rPr>
        <w:fldChar w:fldCharType="end"/>
      </w:r>
      <w:r w:rsidRPr="00A00187">
        <w:rPr>
          <w:color w:val="auto"/>
        </w:rPr>
        <w:t>: KS – délka insolvenčního řízení v letech 2008–20</w:t>
      </w:r>
      <w:bookmarkEnd w:id="920"/>
      <w:bookmarkEnd w:id="921"/>
      <w:bookmarkEnd w:id="922"/>
      <w:r w:rsidRPr="00A00187">
        <w:rPr>
          <w:color w:val="auto"/>
        </w:rPr>
        <w:t>2</w:t>
      </w:r>
      <w:bookmarkEnd w:id="923"/>
      <w:r w:rsidRPr="00A00187">
        <w:rPr>
          <w:color w:val="auto"/>
        </w:rPr>
        <w:t>1</w:t>
      </w:r>
      <w:bookmarkEnd w:id="924"/>
      <w:bookmarkEnd w:id="925"/>
    </w:p>
    <w:p w14:paraId="384B66E2" w14:textId="4088F0A0" w:rsidR="008C6EE5" w:rsidRPr="00A00187" w:rsidRDefault="003063D8" w:rsidP="008C6EE5">
      <w:r w:rsidRPr="00A00187">
        <w:rPr>
          <w:noProof/>
        </w:rPr>
        <w:drawing>
          <wp:inline distT="0" distB="0" distL="0" distR="0" wp14:anchorId="7C9E131A" wp14:editId="246E8FA2">
            <wp:extent cx="5025390" cy="3657600"/>
            <wp:effectExtent l="0" t="0" r="381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911E567" w14:textId="07829E03" w:rsidR="008C6EE5" w:rsidRPr="00A00187" w:rsidRDefault="008C6EE5" w:rsidP="008C6EE5"/>
    <w:p w14:paraId="062AD254" w14:textId="30FE5D98" w:rsidR="003063D8" w:rsidRPr="00A00187" w:rsidRDefault="003063D8" w:rsidP="003063D8">
      <w:pPr>
        <w:pStyle w:val="OdstavecASR"/>
      </w:pPr>
      <w:r w:rsidRPr="00A00187">
        <w:t xml:space="preserve">Na grafu sledujeme </w:t>
      </w:r>
      <w:r w:rsidR="007C05E5" w:rsidRPr="00A00187">
        <w:t xml:space="preserve">po většinu času </w:t>
      </w:r>
      <w:r w:rsidRPr="00A00187">
        <w:t>zjevný rostoucí trend</w:t>
      </w:r>
      <w:r w:rsidR="0014607E" w:rsidRPr="00A00187">
        <w:t xml:space="preserve"> do roku 2015</w:t>
      </w:r>
      <w:r w:rsidRPr="00A00187">
        <w:t>, který ale postupně zpomaluje</w:t>
      </w:r>
      <w:r w:rsidR="0014607E" w:rsidRPr="00A00187">
        <w:t xml:space="preserve"> </w:t>
      </w:r>
      <w:r w:rsidR="00755920" w:rsidRPr="00A00187">
        <w:t>a</w:t>
      </w:r>
      <w:r w:rsidR="00755920">
        <w:t> </w:t>
      </w:r>
      <w:r w:rsidR="0014607E" w:rsidRPr="00A00187">
        <w:t xml:space="preserve">v poslední </w:t>
      </w:r>
      <w:r w:rsidR="00755920" w:rsidRPr="00A00187">
        <w:t>3</w:t>
      </w:r>
      <w:r w:rsidR="00755920">
        <w:t> </w:t>
      </w:r>
      <w:r w:rsidR="0014607E" w:rsidRPr="00A00187">
        <w:t>letech se obrací</w:t>
      </w:r>
      <w:r w:rsidRPr="00A00187">
        <w:t>. Nárůst v prvních letech lze jednoduše vysvětlit. Jednalo se o zcela novou soudní agendu, počet napadlých a vyřízených věcí byl velmi malý a soudy neměly žádné nedodělky z minula. Postupem času se musela vykazovaná délka řízení nezbytně zvýšit. Od roku 2014 je již nicméně poměrně stabilní. V absolutních číslech jsou vykazované délky řízení v porovnání s ostatními agendami relativně malé. V roce 2017 vzrostl o několik dnů medián, ale na druhou stranu klesl devadesátý percentil. To znamená, že klesla variabilita v délkách řízení: vyřídit běžnou věc trvalo déle, ale extrémně dlouhé věci byly vyřízeny rychleji. V roce 2018 pak narostly medián, průměr i percentil 90, ale jen velmi mírně. V roce 2019 se trend obrátil a délky řízení začaly klesat. V roce 2020 například průměr klesl na úroveň roku 2013</w:t>
      </w:r>
      <w:r w:rsidR="009E53AF" w:rsidRPr="00A00187">
        <w:t>.</w:t>
      </w:r>
      <w:r w:rsidRPr="00A00187">
        <w:t xml:space="preserve"> </w:t>
      </w:r>
      <w:r w:rsidR="007C05E5" w:rsidRPr="00A00187">
        <w:t>V</w:t>
      </w:r>
      <w:r w:rsidRPr="00A00187">
        <w:t> roce 2021 délky řízení dále klesaly.</w:t>
      </w:r>
    </w:p>
    <w:p w14:paraId="4813F344" w14:textId="787BB30F" w:rsidR="003063D8" w:rsidRPr="00A00187" w:rsidRDefault="003063D8" w:rsidP="003063D8">
      <w:pPr>
        <w:pStyle w:val="OdstavecASR"/>
      </w:pPr>
      <w:r w:rsidRPr="00A00187">
        <w:t>V tabulce vidíme, že rozdíly v délce řízení jsou mezi soudy malé. To naznačuje, že v ČR není soud, který by měl výraznější problémy s vyřizováním insolvenčních návrhů.</w:t>
      </w:r>
    </w:p>
    <w:p w14:paraId="3C9137B4" w14:textId="6E0A8006" w:rsidR="00E77DF1" w:rsidRPr="00A00187" w:rsidRDefault="00E77DF1">
      <w:pPr>
        <w:spacing w:after="160" w:line="259" w:lineRule="auto"/>
        <w:jc w:val="left"/>
      </w:pPr>
      <w:r w:rsidRPr="00A00187">
        <w:br w:type="page"/>
      </w:r>
    </w:p>
    <w:p w14:paraId="4015E78B" w14:textId="12B59BDC" w:rsidR="00E77DF1" w:rsidRPr="00A00187" w:rsidRDefault="00E77DF1" w:rsidP="00E77DF1">
      <w:pPr>
        <w:pStyle w:val="Podnadpis"/>
        <w:rPr>
          <w:color w:val="auto"/>
        </w:rPr>
      </w:pPr>
      <w:bookmarkStart w:id="926" w:name="_Toc75952374"/>
      <w:bookmarkStart w:id="927" w:name="_Toc106106829"/>
      <w:bookmarkStart w:id="928" w:name="_Toc109802152"/>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67</w:t>
      </w:r>
      <w:r w:rsidRPr="00A00187">
        <w:rPr>
          <w:noProof/>
          <w:color w:val="auto"/>
        </w:rPr>
        <w:fldChar w:fldCharType="end"/>
      </w:r>
      <w:r w:rsidRPr="00A00187">
        <w:rPr>
          <w:color w:val="auto"/>
        </w:rPr>
        <w:t>: KS – délky insolvenčního řízení dle soudů</w:t>
      </w:r>
      <w:bookmarkEnd w:id="926"/>
      <w:bookmarkEnd w:id="927"/>
      <w:bookmarkEnd w:id="928"/>
    </w:p>
    <w:tbl>
      <w:tblPr>
        <w:tblW w:w="7655" w:type="dxa"/>
        <w:tblCellMar>
          <w:left w:w="70" w:type="dxa"/>
          <w:right w:w="70" w:type="dxa"/>
        </w:tblCellMar>
        <w:tblLook w:val="04A0" w:firstRow="1" w:lastRow="0" w:firstColumn="1" w:lastColumn="0" w:noHBand="0" w:noVBand="1"/>
      </w:tblPr>
      <w:tblGrid>
        <w:gridCol w:w="2496"/>
        <w:gridCol w:w="906"/>
        <w:gridCol w:w="851"/>
        <w:gridCol w:w="851"/>
        <w:gridCol w:w="850"/>
        <w:gridCol w:w="850"/>
        <w:gridCol w:w="851"/>
      </w:tblGrid>
      <w:tr w:rsidR="00AC1E67" w:rsidRPr="00A00187" w14:paraId="09E4D63A" w14:textId="77777777" w:rsidTr="00641DB9">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1E04EB1E" w14:textId="2BB26E6C" w:rsidR="00C342C0" w:rsidRPr="00A00187" w:rsidRDefault="00A8348B" w:rsidP="00C342C0">
            <w:pPr>
              <w:spacing w:line="240" w:lineRule="auto"/>
              <w:jc w:val="center"/>
              <w:rPr>
                <w:rFonts w:eastAsia="Times New Roman"/>
                <w:b/>
                <w:bCs/>
                <w:szCs w:val="24"/>
                <w:lang w:eastAsia="cs-CZ"/>
              </w:rPr>
            </w:pPr>
            <w:r w:rsidRPr="00A00187">
              <w:rPr>
                <w:rFonts w:eastAsia="Times New Roman"/>
                <w:b/>
                <w:bCs/>
                <w:szCs w:val="24"/>
                <w:lang w:eastAsia="cs-CZ"/>
              </w:rPr>
              <w:t>S</w:t>
            </w:r>
            <w:r w:rsidR="00C342C0" w:rsidRPr="00A00187">
              <w:rPr>
                <w:rFonts w:eastAsia="Times New Roman"/>
                <w:b/>
                <w:bCs/>
                <w:szCs w:val="24"/>
                <w:lang w:eastAsia="cs-CZ"/>
              </w:rPr>
              <w:t>oud</w:t>
            </w:r>
          </w:p>
        </w:tc>
        <w:tc>
          <w:tcPr>
            <w:tcW w:w="5159" w:type="dxa"/>
            <w:gridSpan w:val="6"/>
            <w:tcBorders>
              <w:top w:val="double" w:sz="6" w:space="0" w:color="auto"/>
              <w:left w:val="nil"/>
              <w:bottom w:val="nil"/>
              <w:right w:val="nil"/>
            </w:tcBorders>
            <w:shd w:val="clear" w:color="auto" w:fill="auto"/>
            <w:noWrap/>
            <w:vAlign w:val="center"/>
            <w:hideMark/>
          </w:tcPr>
          <w:p w14:paraId="3DBCAA7A" w14:textId="77777777" w:rsidR="00C342C0" w:rsidRPr="00A00187" w:rsidRDefault="00C342C0" w:rsidP="00C342C0">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00686E2F" w14:textId="77777777" w:rsidTr="00641DB9">
        <w:trPr>
          <w:trHeight w:val="330"/>
        </w:trPr>
        <w:tc>
          <w:tcPr>
            <w:tcW w:w="2496" w:type="dxa"/>
            <w:vMerge/>
            <w:tcBorders>
              <w:top w:val="double" w:sz="6" w:space="0" w:color="auto"/>
              <w:left w:val="nil"/>
              <w:bottom w:val="double" w:sz="6" w:space="0" w:color="000000"/>
              <w:right w:val="nil"/>
            </w:tcBorders>
            <w:vAlign w:val="center"/>
            <w:hideMark/>
          </w:tcPr>
          <w:p w14:paraId="2AFB229F" w14:textId="77777777" w:rsidR="00C342C0" w:rsidRPr="00A00187" w:rsidRDefault="00C342C0" w:rsidP="00C342C0">
            <w:pPr>
              <w:spacing w:line="240" w:lineRule="auto"/>
              <w:jc w:val="left"/>
              <w:rPr>
                <w:rFonts w:eastAsia="Times New Roman"/>
                <w:b/>
                <w:bCs/>
                <w:szCs w:val="24"/>
                <w:lang w:eastAsia="cs-CZ"/>
              </w:rPr>
            </w:pPr>
          </w:p>
        </w:tc>
        <w:tc>
          <w:tcPr>
            <w:tcW w:w="1757" w:type="dxa"/>
            <w:gridSpan w:val="2"/>
            <w:tcBorders>
              <w:top w:val="nil"/>
              <w:left w:val="nil"/>
              <w:bottom w:val="double" w:sz="6" w:space="0" w:color="auto"/>
              <w:right w:val="single" w:sz="4" w:space="0" w:color="000000"/>
            </w:tcBorders>
            <w:shd w:val="clear" w:color="auto" w:fill="auto"/>
            <w:noWrap/>
            <w:vAlign w:val="center"/>
            <w:hideMark/>
          </w:tcPr>
          <w:p w14:paraId="7F6C0666" w14:textId="77777777" w:rsidR="00C342C0" w:rsidRPr="00A00187" w:rsidRDefault="00C342C0" w:rsidP="00C342C0">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1701" w:type="dxa"/>
            <w:gridSpan w:val="2"/>
            <w:tcBorders>
              <w:top w:val="nil"/>
              <w:left w:val="nil"/>
              <w:bottom w:val="double" w:sz="6" w:space="0" w:color="auto"/>
              <w:right w:val="single" w:sz="4" w:space="0" w:color="000000"/>
            </w:tcBorders>
            <w:shd w:val="clear" w:color="auto" w:fill="auto"/>
            <w:noWrap/>
            <w:vAlign w:val="center"/>
            <w:hideMark/>
          </w:tcPr>
          <w:p w14:paraId="6E3E72AF" w14:textId="77777777" w:rsidR="00C342C0" w:rsidRPr="00A00187" w:rsidRDefault="00C342C0" w:rsidP="00C342C0">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1701" w:type="dxa"/>
            <w:gridSpan w:val="2"/>
            <w:tcBorders>
              <w:top w:val="nil"/>
              <w:left w:val="nil"/>
              <w:bottom w:val="double" w:sz="6" w:space="0" w:color="auto"/>
              <w:right w:val="nil"/>
            </w:tcBorders>
            <w:shd w:val="clear" w:color="auto" w:fill="auto"/>
            <w:noWrap/>
            <w:vAlign w:val="center"/>
            <w:hideMark/>
          </w:tcPr>
          <w:p w14:paraId="6CC298AF" w14:textId="77777777" w:rsidR="00C342C0" w:rsidRPr="00A00187" w:rsidRDefault="00C342C0" w:rsidP="00C342C0">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7D45BF0E" w14:textId="77777777" w:rsidTr="00641DB9">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4157B73F"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MS Praha</w:t>
            </w:r>
          </w:p>
        </w:tc>
        <w:tc>
          <w:tcPr>
            <w:tcW w:w="906" w:type="dxa"/>
            <w:tcBorders>
              <w:top w:val="single" w:sz="4" w:space="0" w:color="auto"/>
              <w:left w:val="nil"/>
              <w:bottom w:val="single" w:sz="4" w:space="0" w:color="auto"/>
              <w:right w:val="nil"/>
            </w:tcBorders>
            <w:shd w:val="clear" w:color="auto" w:fill="auto"/>
            <w:noWrap/>
            <w:vAlign w:val="bottom"/>
            <w:hideMark/>
          </w:tcPr>
          <w:p w14:paraId="5D1DD23D"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76</w:t>
            </w:r>
          </w:p>
        </w:tc>
        <w:tc>
          <w:tcPr>
            <w:tcW w:w="851" w:type="dxa"/>
            <w:tcBorders>
              <w:top w:val="single" w:sz="4" w:space="0" w:color="auto"/>
              <w:left w:val="nil"/>
              <w:bottom w:val="single" w:sz="4" w:space="0" w:color="auto"/>
              <w:right w:val="nil"/>
            </w:tcBorders>
            <w:shd w:val="clear" w:color="auto" w:fill="auto"/>
            <w:noWrap/>
            <w:vAlign w:val="center"/>
            <w:hideMark/>
          </w:tcPr>
          <w:p w14:paraId="5C175B08" w14:textId="12B5F328"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851" w:type="dxa"/>
            <w:tcBorders>
              <w:top w:val="nil"/>
              <w:left w:val="single" w:sz="4" w:space="0" w:color="auto"/>
              <w:bottom w:val="single" w:sz="4" w:space="0" w:color="auto"/>
              <w:right w:val="nil"/>
            </w:tcBorders>
            <w:shd w:val="clear" w:color="auto" w:fill="auto"/>
            <w:noWrap/>
            <w:vAlign w:val="bottom"/>
            <w:hideMark/>
          </w:tcPr>
          <w:p w14:paraId="070C18D4"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45</w:t>
            </w:r>
          </w:p>
        </w:tc>
        <w:tc>
          <w:tcPr>
            <w:tcW w:w="850" w:type="dxa"/>
            <w:tcBorders>
              <w:top w:val="nil"/>
              <w:left w:val="nil"/>
              <w:bottom w:val="single" w:sz="4" w:space="0" w:color="auto"/>
              <w:right w:val="single" w:sz="4" w:space="0" w:color="auto"/>
            </w:tcBorders>
            <w:shd w:val="clear" w:color="auto" w:fill="auto"/>
            <w:noWrap/>
            <w:vAlign w:val="center"/>
            <w:hideMark/>
          </w:tcPr>
          <w:p w14:paraId="76212519" w14:textId="0850215F"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850" w:type="dxa"/>
            <w:tcBorders>
              <w:top w:val="single" w:sz="4" w:space="0" w:color="auto"/>
              <w:left w:val="nil"/>
              <w:bottom w:val="single" w:sz="4" w:space="0" w:color="auto"/>
              <w:right w:val="nil"/>
            </w:tcBorders>
            <w:shd w:val="clear" w:color="auto" w:fill="auto"/>
            <w:noWrap/>
            <w:vAlign w:val="bottom"/>
            <w:hideMark/>
          </w:tcPr>
          <w:p w14:paraId="7099371A"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177</w:t>
            </w:r>
          </w:p>
        </w:tc>
        <w:tc>
          <w:tcPr>
            <w:tcW w:w="851" w:type="dxa"/>
            <w:tcBorders>
              <w:top w:val="single" w:sz="4" w:space="0" w:color="auto"/>
              <w:left w:val="nil"/>
              <w:bottom w:val="single" w:sz="4" w:space="0" w:color="auto"/>
              <w:right w:val="nil"/>
            </w:tcBorders>
            <w:shd w:val="clear" w:color="auto" w:fill="auto"/>
            <w:noWrap/>
            <w:vAlign w:val="center"/>
            <w:hideMark/>
          </w:tcPr>
          <w:p w14:paraId="40E3C693" w14:textId="3F60D2BE"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5C8A494D"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77BF6B20"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KS Praha</w:t>
            </w:r>
          </w:p>
        </w:tc>
        <w:tc>
          <w:tcPr>
            <w:tcW w:w="906" w:type="dxa"/>
            <w:tcBorders>
              <w:top w:val="nil"/>
              <w:left w:val="nil"/>
              <w:bottom w:val="single" w:sz="4" w:space="0" w:color="auto"/>
              <w:right w:val="nil"/>
            </w:tcBorders>
            <w:shd w:val="clear" w:color="auto" w:fill="auto"/>
            <w:noWrap/>
            <w:vAlign w:val="bottom"/>
            <w:hideMark/>
          </w:tcPr>
          <w:p w14:paraId="057DB253"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55</w:t>
            </w:r>
          </w:p>
        </w:tc>
        <w:tc>
          <w:tcPr>
            <w:tcW w:w="851" w:type="dxa"/>
            <w:tcBorders>
              <w:top w:val="nil"/>
              <w:left w:val="nil"/>
              <w:bottom w:val="single" w:sz="4" w:space="0" w:color="auto"/>
              <w:right w:val="nil"/>
            </w:tcBorders>
            <w:shd w:val="clear" w:color="auto" w:fill="auto"/>
            <w:noWrap/>
            <w:vAlign w:val="center"/>
            <w:hideMark/>
          </w:tcPr>
          <w:p w14:paraId="422ECBD4" w14:textId="04D0B9F7"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851" w:type="dxa"/>
            <w:tcBorders>
              <w:top w:val="nil"/>
              <w:left w:val="single" w:sz="4" w:space="0" w:color="auto"/>
              <w:bottom w:val="single" w:sz="4" w:space="0" w:color="auto"/>
              <w:right w:val="nil"/>
            </w:tcBorders>
            <w:shd w:val="clear" w:color="auto" w:fill="auto"/>
            <w:noWrap/>
            <w:vAlign w:val="bottom"/>
            <w:hideMark/>
          </w:tcPr>
          <w:p w14:paraId="184E6E44"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30</w:t>
            </w:r>
          </w:p>
        </w:tc>
        <w:tc>
          <w:tcPr>
            <w:tcW w:w="850" w:type="dxa"/>
            <w:tcBorders>
              <w:top w:val="nil"/>
              <w:left w:val="nil"/>
              <w:bottom w:val="single" w:sz="4" w:space="0" w:color="auto"/>
              <w:right w:val="single" w:sz="4" w:space="0" w:color="auto"/>
            </w:tcBorders>
            <w:shd w:val="clear" w:color="auto" w:fill="auto"/>
            <w:noWrap/>
            <w:vAlign w:val="center"/>
            <w:hideMark/>
          </w:tcPr>
          <w:p w14:paraId="13E8EFE9" w14:textId="4440505F"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850" w:type="dxa"/>
            <w:tcBorders>
              <w:top w:val="nil"/>
              <w:left w:val="nil"/>
              <w:bottom w:val="single" w:sz="4" w:space="0" w:color="auto"/>
              <w:right w:val="nil"/>
            </w:tcBorders>
            <w:shd w:val="clear" w:color="auto" w:fill="auto"/>
            <w:noWrap/>
            <w:vAlign w:val="bottom"/>
            <w:hideMark/>
          </w:tcPr>
          <w:p w14:paraId="6A4882E0"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127</w:t>
            </w:r>
          </w:p>
        </w:tc>
        <w:tc>
          <w:tcPr>
            <w:tcW w:w="851" w:type="dxa"/>
            <w:tcBorders>
              <w:top w:val="nil"/>
              <w:left w:val="nil"/>
              <w:bottom w:val="single" w:sz="4" w:space="0" w:color="auto"/>
              <w:right w:val="nil"/>
            </w:tcBorders>
            <w:shd w:val="clear" w:color="auto" w:fill="auto"/>
            <w:noWrap/>
            <w:vAlign w:val="center"/>
            <w:hideMark/>
          </w:tcPr>
          <w:p w14:paraId="7AD1C548" w14:textId="3B6AD4DE"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r>
      <w:tr w:rsidR="00AC1E67" w:rsidRPr="00A00187" w14:paraId="6BD09D98"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402AE969"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KS Č. Budějovice</w:t>
            </w:r>
          </w:p>
        </w:tc>
        <w:tc>
          <w:tcPr>
            <w:tcW w:w="906" w:type="dxa"/>
            <w:tcBorders>
              <w:top w:val="nil"/>
              <w:left w:val="nil"/>
              <w:bottom w:val="single" w:sz="4" w:space="0" w:color="auto"/>
              <w:right w:val="nil"/>
            </w:tcBorders>
            <w:shd w:val="clear" w:color="auto" w:fill="auto"/>
            <w:noWrap/>
            <w:vAlign w:val="bottom"/>
            <w:hideMark/>
          </w:tcPr>
          <w:p w14:paraId="49494433"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42</w:t>
            </w:r>
          </w:p>
        </w:tc>
        <w:tc>
          <w:tcPr>
            <w:tcW w:w="851" w:type="dxa"/>
            <w:tcBorders>
              <w:top w:val="nil"/>
              <w:left w:val="nil"/>
              <w:bottom w:val="single" w:sz="4" w:space="0" w:color="auto"/>
              <w:right w:val="nil"/>
            </w:tcBorders>
            <w:shd w:val="clear" w:color="auto" w:fill="auto"/>
            <w:noWrap/>
            <w:vAlign w:val="center"/>
            <w:hideMark/>
          </w:tcPr>
          <w:p w14:paraId="1ACA3750" w14:textId="0354771F"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851" w:type="dxa"/>
            <w:tcBorders>
              <w:top w:val="nil"/>
              <w:left w:val="single" w:sz="4" w:space="0" w:color="auto"/>
              <w:bottom w:val="single" w:sz="4" w:space="0" w:color="auto"/>
              <w:right w:val="nil"/>
            </w:tcBorders>
            <w:shd w:val="clear" w:color="auto" w:fill="auto"/>
            <w:noWrap/>
            <w:vAlign w:val="bottom"/>
            <w:hideMark/>
          </w:tcPr>
          <w:p w14:paraId="5AB8C949"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26</w:t>
            </w:r>
          </w:p>
        </w:tc>
        <w:tc>
          <w:tcPr>
            <w:tcW w:w="850" w:type="dxa"/>
            <w:tcBorders>
              <w:top w:val="nil"/>
              <w:left w:val="nil"/>
              <w:bottom w:val="single" w:sz="4" w:space="0" w:color="auto"/>
              <w:right w:val="single" w:sz="4" w:space="0" w:color="auto"/>
            </w:tcBorders>
            <w:shd w:val="clear" w:color="auto" w:fill="auto"/>
            <w:noWrap/>
            <w:vAlign w:val="center"/>
            <w:hideMark/>
          </w:tcPr>
          <w:p w14:paraId="7E0ECB75" w14:textId="4778B6E7"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c>
          <w:tcPr>
            <w:tcW w:w="850" w:type="dxa"/>
            <w:tcBorders>
              <w:top w:val="nil"/>
              <w:left w:val="nil"/>
              <w:bottom w:val="single" w:sz="4" w:space="0" w:color="auto"/>
              <w:right w:val="nil"/>
            </w:tcBorders>
            <w:shd w:val="clear" w:color="auto" w:fill="auto"/>
            <w:noWrap/>
            <w:vAlign w:val="bottom"/>
            <w:hideMark/>
          </w:tcPr>
          <w:p w14:paraId="18A054D2"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84</w:t>
            </w:r>
          </w:p>
        </w:tc>
        <w:tc>
          <w:tcPr>
            <w:tcW w:w="851" w:type="dxa"/>
            <w:tcBorders>
              <w:top w:val="nil"/>
              <w:left w:val="nil"/>
              <w:bottom w:val="single" w:sz="4" w:space="0" w:color="auto"/>
              <w:right w:val="nil"/>
            </w:tcBorders>
            <w:shd w:val="clear" w:color="auto" w:fill="auto"/>
            <w:noWrap/>
            <w:vAlign w:val="center"/>
            <w:hideMark/>
          </w:tcPr>
          <w:p w14:paraId="59E2C5F1" w14:textId="0B00BEA1"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r>
      <w:tr w:rsidR="00AC1E67" w:rsidRPr="00A00187" w14:paraId="7C5F67E7"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3D3AB167"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KS Plzeň</w:t>
            </w:r>
          </w:p>
        </w:tc>
        <w:tc>
          <w:tcPr>
            <w:tcW w:w="906" w:type="dxa"/>
            <w:tcBorders>
              <w:top w:val="nil"/>
              <w:left w:val="nil"/>
              <w:bottom w:val="single" w:sz="4" w:space="0" w:color="auto"/>
              <w:right w:val="nil"/>
            </w:tcBorders>
            <w:shd w:val="clear" w:color="auto" w:fill="auto"/>
            <w:noWrap/>
            <w:vAlign w:val="bottom"/>
            <w:hideMark/>
          </w:tcPr>
          <w:p w14:paraId="0FB48686"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60</w:t>
            </w:r>
          </w:p>
        </w:tc>
        <w:tc>
          <w:tcPr>
            <w:tcW w:w="851" w:type="dxa"/>
            <w:tcBorders>
              <w:top w:val="nil"/>
              <w:left w:val="nil"/>
              <w:bottom w:val="single" w:sz="4" w:space="0" w:color="auto"/>
              <w:right w:val="nil"/>
            </w:tcBorders>
            <w:shd w:val="clear" w:color="auto" w:fill="auto"/>
            <w:noWrap/>
            <w:vAlign w:val="center"/>
            <w:hideMark/>
          </w:tcPr>
          <w:p w14:paraId="1B998ECF" w14:textId="619FE050"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851" w:type="dxa"/>
            <w:tcBorders>
              <w:top w:val="nil"/>
              <w:left w:val="single" w:sz="4" w:space="0" w:color="auto"/>
              <w:bottom w:val="single" w:sz="4" w:space="0" w:color="auto"/>
              <w:right w:val="nil"/>
            </w:tcBorders>
            <w:shd w:val="clear" w:color="auto" w:fill="auto"/>
            <w:noWrap/>
            <w:vAlign w:val="bottom"/>
            <w:hideMark/>
          </w:tcPr>
          <w:p w14:paraId="6D0863A7"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41</w:t>
            </w:r>
          </w:p>
        </w:tc>
        <w:tc>
          <w:tcPr>
            <w:tcW w:w="850" w:type="dxa"/>
            <w:tcBorders>
              <w:top w:val="nil"/>
              <w:left w:val="nil"/>
              <w:bottom w:val="single" w:sz="4" w:space="0" w:color="auto"/>
              <w:right w:val="single" w:sz="4" w:space="0" w:color="auto"/>
            </w:tcBorders>
            <w:shd w:val="clear" w:color="auto" w:fill="auto"/>
            <w:noWrap/>
            <w:vAlign w:val="center"/>
            <w:hideMark/>
          </w:tcPr>
          <w:p w14:paraId="75E3F04E" w14:textId="7560E53D"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850" w:type="dxa"/>
            <w:tcBorders>
              <w:top w:val="nil"/>
              <w:left w:val="nil"/>
              <w:bottom w:val="single" w:sz="4" w:space="0" w:color="auto"/>
              <w:right w:val="nil"/>
            </w:tcBorders>
            <w:shd w:val="clear" w:color="auto" w:fill="auto"/>
            <w:noWrap/>
            <w:vAlign w:val="bottom"/>
            <w:hideMark/>
          </w:tcPr>
          <w:p w14:paraId="4486DD3E"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113</w:t>
            </w:r>
          </w:p>
        </w:tc>
        <w:tc>
          <w:tcPr>
            <w:tcW w:w="851" w:type="dxa"/>
            <w:tcBorders>
              <w:top w:val="nil"/>
              <w:left w:val="nil"/>
              <w:bottom w:val="single" w:sz="4" w:space="0" w:color="auto"/>
              <w:right w:val="nil"/>
            </w:tcBorders>
            <w:shd w:val="clear" w:color="auto" w:fill="auto"/>
            <w:noWrap/>
            <w:vAlign w:val="center"/>
            <w:hideMark/>
          </w:tcPr>
          <w:p w14:paraId="04E26593" w14:textId="459A8573"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282F9BF2"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73220F43"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KS Ústí n. Labem</w:t>
            </w:r>
          </w:p>
        </w:tc>
        <w:tc>
          <w:tcPr>
            <w:tcW w:w="906" w:type="dxa"/>
            <w:tcBorders>
              <w:top w:val="nil"/>
              <w:left w:val="nil"/>
              <w:bottom w:val="single" w:sz="4" w:space="0" w:color="auto"/>
              <w:right w:val="nil"/>
            </w:tcBorders>
            <w:shd w:val="clear" w:color="auto" w:fill="auto"/>
            <w:noWrap/>
            <w:vAlign w:val="bottom"/>
            <w:hideMark/>
          </w:tcPr>
          <w:p w14:paraId="7CB07167"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44</w:t>
            </w:r>
          </w:p>
        </w:tc>
        <w:tc>
          <w:tcPr>
            <w:tcW w:w="851" w:type="dxa"/>
            <w:tcBorders>
              <w:top w:val="nil"/>
              <w:left w:val="nil"/>
              <w:bottom w:val="single" w:sz="4" w:space="0" w:color="auto"/>
              <w:right w:val="nil"/>
            </w:tcBorders>
            <w:shd w:val="clear" w:color="auto" w:fill="auto"/>
            <w:noWrap/>
            <w:vAlign w:val="center"/>
            <w:hideMark/>
          </w:tcPr>
          <w:p w14:paraId="17FB6432" w14:textId="62B3618F"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851" w:type="dxa"/>
            <w:tcBorders>
              <w:top w:val="nil"/>
              <w:left w:val="single" w:sz="4" w:space="0" w:color="auto"/>
              <w:bottom w:val="single" w:sz="4" w:space="0" w:color="auto"/>
              <w:right w:val="nil"/>
            </w:tcBorders>
            <w:shd w:val="clear" w:color="auto" w:fill="auto"/>
            <w:noWrap/>
            <w:vAlign w:val="bottom"/>
            <w:hideMark/>
          </w:tcPr>
          <w:p w14:paraId="223F9BAC"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29</w:t>
            </w:r>
          </w:p>
        </w:tc>
        <w:tc>
          <w:tcPr>
            <w:tcW w:w="850" w:type="dxa"/>
            <w:tcBorders>
              <w:top w:val="nil"/>
              <w:left w:val="nil"/>
              <w:bottom w:val="single" w:sz="4" w:space="0" w:color="auto"/>
              <w:right w:val="single" w:sz="4" w:space="0" w:color="auto"/>
            </w:tcBorders>
            <w:shd w:val="clear" w:color="auto" w:fill="auto"/>
            <w:noWrap/>
            <w:vAlign w:val="center"/>
            <w:hideMark/>
          </w:tcPr>
          <w:p w14:paraId="7D43D03A" w14:textId="5C128EBB"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850" w:type="dxa"/>
            <w:tcBorders>
              <w:top w:val="nil"/>
              <w:left w:val="nil"/>
              <w:bottom w:val="single" w:sz="4" w:space="0" w:color="auto"/>
              <w:right w:val="nil"/>
            </w:tcBorders>
            <w:shd w:val="clear" w:color="auto" w:fill="auto"/>
            <w:noWrap/>
            <w:vAlign w:val="bottom"/>
            <w:hideMark/>
          </w:tcPr>
          <w:p w14:paraId="2D982A7F"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91</w:t>
            </w:r>
          </w:p>
        </w:tc>
        <w:tc>
          <w:tcPr>
            <w:tcW w:w="851" w:type="dxa"/>
            <w:tcBorders>
              <w:top w:val="nil"/>
              <w:left w:val="nil"/>
              <w:bottom w:val="single" w:sz="4" w:space="0" w:color="auto"/>
              <w:right w:val="nil"/>
            </w:tcBorders>
            <w:shd w:val="clear" w:color="auto" w:fill="auto"/>
            <w:noWrap/>
            <w:vAlign w:val="center"/>
            <w:hideMark/>
          </w:tcPr>
          <w:p w14:paraId="41A3137E" w14:textId="7C2E3FF3"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787D9D27"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457E5E38"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KS Hr. Králové</w:t>
            </w:r>
          </w:p>
        </w:tc>
        <w:tc>
          <w:tcPr>
            <w:tcW w:w="906" w:type="dxa"/>
            <w:tcBorders>
              <w:top w:val="nil"/>
              <w:left w:val="nil"/>
              <w:bottom w:val="single" w:sz="4" w:space="0" w:color="auto"/>
              <w:right w:val="nil"/>
            </w:tcBorders>
            <w:shd w:val="clear" w:color="auto" w:fill="auto"/>
            <w:noWrap/>
            <w:vAlign w:val="bottom"/>
            <w:hideMark/>
          </w:tcPr>
          <w:p w14:paraId="1BF152E0"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49</w:t>
            </w:r>
          </w:p>
        </w:tc>
        <w:tc>
          <w:tcPr>
            <w:tcW w:w="851" w:type="dxa"/>
            <w:tcBorders>
              <w:top w:val="nil"/>
              <w:left w:val="nil"/>
              <w:bottom w:val="single" w:sz="4" w:space="0" w:color="auto"/>
              <w:right w:val="nil"/>
            </w:tcBorders>
            <w:shd w:val="clear" w:color="auto" w:fill="auto"/>
            <w:noWrap/>
            <w:vAlign w:val="center"/>
            <w:hideMark/>
          </w:tcPr>
          <w:p w14:paraId="14052EA0" w14:textId="74EC78AB"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-23</w:t>
            </w:r>
            <w:r w:rsidR="00CB570A">
              <w:rPr>
                <w:rFonts w:eastAsia="Times New Roman"/>
                <w:sz w:val="20"/>
                <w:szCs w:val="20"/>
                <w:lang w:eastAsia="cs-CZ"/>
              </w:rPr>
              <w:t> %</w:t>
            </w:r>
          </w:p>
        </w:tc>
        <w:tc>
          <w:tcPr>
            <w:tcW w:w="851" w:type="dxa"/>
            <w:tcBorders>
              <w:top w:val="nil"/>
              <w:left w:val="single" w:sz="4" w:space="0" w:color="auto"/>
              <w:bottom w:val="single" w:sz="4" w:space="0" w:color="auto"/>
              <w:right w:val="nil"/>
            </w:tcBorders>
            <w:shd w:val="clear" w:color="auto" w:fill="auto"/>
            <w:noWrap/>
            <w:vAlign w:val="bottom"/>
            <w:hideMark/>
          </w:tcPr>
          <w:p w14:paraId="25DA5C09"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28</w:t>
            </w:r>
          </w:p>
        </w:tc>
        <w:tc>
          <w:tcPr>
            <w:tcW w:w="850" w:type="dxa"/>
            <w:tcBorders>
              <w:top w:val="nil"/>
              <w:left w:val="nil"/>
              <w:bottom w:val="single" w:sz="4" w:space="0" w:color="auto"/>
              <w:right w:val="single" w:sz="4" w:space="0" w:color="auto"/>
            </w:tcBorders>
            <w:shd w:val="clear" w:color="auto" w:fill="auto"/>
            <w:noWrap/>
            <w:vAlign w:val="center"/>
            <w:hideMark/>
          </w:tcPr>
          <w:p w14:paraId="450989AE" w14:textId="1F852A12"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c>
          <w:tcPr>
            <w:tcW w:w="850" w:type="dxa"/>
            <w:tcBorders>
              <w:top w:val="nil"/>
              <w:left w:val="nil"/>
              <w:bottom w:val="single" w:sz="4" w:space="0" w:color="auto"/>
              <w:right w:val="nil"/>
            </w:tcBorders>
            <w:shd w:val="clear" w:color="auto" w:fill="auto"/>
            <w:noWrap/>
            <w:vAlign w:val="bottom"/>
            <w:hideMark/>
          </w:tcPr>
          <w:p w14:paraId="19F3ABD5"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119</w:t>
            </w:r>
          </w:p>
        </w:tc>
        <w:tc>
          <w:tcPr>
            <w:tcW w:w="851" w:type="dxa"/>
            <w:tcBorders>
              <w:top w:val="nil"/>
              <w:left w:val="nil"/>
              <w:bottom w:val="single" w:sz="4" w:space="0" w:color="auto"/>
              <w:right w:val="nil"/>
            </w:tcBorders>
            <w:shd w:val="clear" w:color="auto" w:fill="auto"/>
            <w:noWrap/>
            <w:vAlign w:val="center"/>
            <w:hideMark/>
          </w:tcPr>
          <w:p w14:paraId="3413D921" w14:textId="1F2589F2"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r>
      <w:tr w:rsidR="00AC1E67" w:rsidRPr="00A00187" w14:paraId="1BC36DC3" w14:textId="77777777" w:rsidTr="00641DB9">
        <w:trPr>
          <w:trHeight w:val="315"/>
        </w:trPr>
        <w:tc>
          <w:tcPr>
            <w:tcW w:w="2496" w:type="dxa"/>
            <w:tcBorders>
              <w:top w:val="nil"/>
              <w:left w:val="nil"/>
              <w:bottom w:val="single" w:sz="4" w:space="0" w:color="auto"/>
              <w:right w:val="nil"/>
            </w:tcBorders>
            <w:shd w:val="clear" w:color="auto" w:fill="auto"/>
            <w:noWrap/>
            <w:vAlign w:val="bottom"/>
            <w:hideMark/>
          </w:tcPr>
          <w:p w14:paraId="0602DD07"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KS Brno</w:t>
            </w:r>
          </w:p>
        </w:tc>
        <w:tc>
          <w:tcPr>
            <w:tcW w:w="906" w:type="dxa"/>
            <w:tcBorders>
              <w:top w:val="nil"/>
              <w:left w:val="nil"/>
              <w:bottom w:val="single" w:sz="4" w:space="0" w:color="auto"/>
              <w:right w:val="nil"/>
            </w:tcBorders>
            <w:shd w:val="clear" w:color="auto" w:fill="auto"/>
            <w:noWrap/>
            <w:vAlign w:val="bottom"/>
            <w:hideMark/>
          </w:tcPr>
          <w:p w14:paraId="36E612C3"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54</w:t>
            </w:r>
          </w:p>
        </w:tc>
        <w:tc>
          <w:tcPr>
            <w:tcW w:w="851" w:type="dxa"/>
            <w:tcBorders>
              <w:top w:val="nil"/>
              <w:left w:val="nil"/>
              <w:bottom w:val="single" w:sz="4" w:space="0" w:color="auto"/>
              <w:right w:val="nil"/>
            </w:tcBorders>
            <w:shd w:val="clear" w:color="auto" w:fill="auto"/>
            <w:noWrap/>
            <w:vAlign w:val="center"/>
            <w:hideMark/>
          </w:tcPr>
          <w:p w14:paraId="336A85AD" w14:textId="2440E214"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851" w:type="dxa"/>
            <w:tcBorders>
              <w:top w:val="nil"/>
              <w:left w:val="single" w:sz="4" w:space="0" w:color="auto"/>
              <w:bottom w:val="single" w:sz="4" w:space="0" w:color="auto"/>
              <w:right w:val="nil"/>
            </w:tcBorders>
            <w:shd w:val="clear" w:color="auto" w:fill="auto"/>
            <w:noWrap/>
            <w:vAlign w:val="bottom"/>
            <w:hideMark/>
          </w:tcPr>
          <w:p w14:paraId="18971897"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34</w:t>
            </w:r>
          </w:p>
        </w:tc>
        <w:tc>
          <w:tcPr>
            <w:tcW w:w="850" w:type="dxa"/>
            <w:tcBorders>
              <w:top w:val="nil"/>
              <w:left w:val="nil"/>
              <w:bottom w:val="single" w:sz="4" w:space="0" w:color="auto"/>
              <w:right w:val="single" w:sz="4" w:space="0" w:color="auto"/>
            </w:tcBorders>
            <w:shd w:val="clear" w:color="auto" w:fill="auto"/>
            <w:noWrap/>
            <w:vAlign w:val="center"/>
            <w:hideMark/>
          </w:tcPr>
          <w:p w14:paraId="77970B0E" w14:textId="40C0DEF0"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c>
          <w:tcPr>
            <w:tcW w:w="850" w:type="dxa"/>
            <w:tcBorders>
              <w:top w:val="nil"/>
              <w:left w:val="nil"/>
              <w:bottom w:val="single" w:sz="4" w:space="0" w:color="auto"/>
              <w:right w:val="nil"/>
            </w:tcBorders>
            <w:shd w:val="clear" w:color="auto" w:fill="auto"/>
            <w:noWrap/>
            <w:vAlign w:val="bottom"/>
            <w:hideMark/>
          </w:tcPr>
          <w:p w14:paraId="78900CBF"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119</w:t>
            </w:r>
          </w:p>
        </w:tc>
        <w:tc>
          <w:tcPr>
            <w:tcW w:w="851" w:type="dxa"/>
            <w:tcBorders>
              <w:top w:val="nil"/>
              <w:left w:val="nil"/>
              <w:bottom w:val="single" w:sz="4" w:space="0" w:color="auto"/>
              <w:right w:val="nil"/>
            </w:tcBorders>
            <w:shd w:val="clear" w:color="auto" w:fill="auto"/>
            <w:noWrap/>
            <w:vAlign w:val="center"/>
            <w:hideMark/>
          </w:tcPr>
          <w:p w14:paraId="4945F48C" w14:textId="1583777B"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r>
      <w:tr w:rsidR="00AC1E67" w:rsidRPr="00A00187" w14:paraId="1010A685" w14:textId="77777777" w:rsidTr="00641DB9">
        <w:trPr>
          <w:trHeight w:val="330"/>
        </w:trPr>
        <w:tc>
          <w:tcPr>
            <w:tcW w:w="2496" w:type="dxa"/>
            <w:tcBorders>
              <w:top w:val="nil"/>
              <w:left w:val="nil"/>
              <w:bottom w:val="double" w:sz="6" w:space="0" w:color="auto"/>
              <w:right w:val="nil"/>
            </w:tcBorders>
            <w:shd w:val="clear" w:color="auto" w:fill="auto"/>
            <w:noWrap/>
            <w:vAlign w:val="bottom"/>
            <w:hideMark/>
          </w:tcPr>
          <w:p w14:paraId="33568F95" w14:textId="77777777" w:rsidR="00C342C0" w:rsidRPr="00A00187" w:rsidRDefault="00C342C0" w:rsidP="00C342C0">
            <w:pPr>
              <w:spacing w:line="240" w:lineRule="auto"/>
              <w:jc w:val="left"/>
              <w:rPr>
                <w:rFonts w:eastAsia="Times New Roman"/>
                <w:szCs w:val="24"/>
                <w:lang w:eastAsia="cs-CZ"/>
              </w:rPr>
            </w:pPr>
            <w:r w:rsidRPr="00A00187">
              <w:rPr>
                <w:rFonts w:eastAsia="Times New Roman"/>
                <w:szCs w:val="24"/>
                <w:lang w:eastAsia="cs-CZ"/>
              </w:rPr>
              <w:t>KS Ostrava</w:t>
            </w:r>
          </w:p>
        </w:tc>
        <w:tc>
          <w:tcPr>
            <w:tcW w:w="906" w:type="dxa"/>
            <w:tcBorders>
              <w:top w:val="nil"/>
              <w:left w:val="nil"/>
              <w:bottom w:val="double" w:sz="6" w:space="0" w:color="auto"/>
              <w:right w:val="nil"/>
            </w:tcBorders>
            <w:shd w:val="clear" w:color="auto" w:fill="auto"/>
            <w:noWrap/>
            <w:vAlign w:val="bottom"/>
            <w:hideMark/>
          </w:tcPr>
          <w:p w14:paraId="1ACF1462"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52</w:t>
            </w:r>
          </w:p>
        </w:tc>
        <w:tc>
          <w:tcPr>
            <w:tcW w:w="851" w:type="dxa"/>
            <w:tcBorders>
              <w:top w:val="nil"/>
              <w:left w:val="nil"/>
              <w:bottom w:val="double" w:sz="6" w:space="0" w:color="auto"/>
              <w:right w:val="nil"/>
            </w:tcBorders>
            <w:shd w:val="clear" w:color="auto" w:fill="auto"/>
            <w:noWrap/>
            <w:vAlign w:val="center"/>
            <w:hideMark/>
          </w:tcPr>
          <w:p w14:paraId="154DB17F" w14:textId="5139B74A"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851" w:type="dxa"/>
            <w:tcBorders>
              <w:top w:val="nil"/>
              <w:left w:val="single" w:sz="4" w:space="0" w:color="auto"/>
              <w:bottom w:val="double" w:sz="6" w:space="0" w:color="auto"/>
              <w:right w:val="nil"/>
            </w:tcBorders>
            <w:shd w:val="clear" w:color="auto" w:fill="auto"/>
            <w:noWrap/>
            <w:vAlign w:val="bottom"/>
            <w:hideMark/>
          </w:tcPr>
          <w:p w14:paraId="609F09F6"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35</w:t>
            </w:r>
          </w:p>
        </w:tc>
        <w:tc>
          <w:tcPr>
            <w:tcW w:w="850" w:type="dxa"/>
            <w:tcBorders>
              <w:top w:val="nil"/>
              <w:left w:val="nil"/>
              <w:bottom w:val="double" w:sz="6" w:space="0" w:color="auto"/>
              <w:right w:val="single" w:sz="4" w:space="0" w:color="auto"/>
            </w:tcBorders>
            <w:shd w:val="clear" w:color="auto" w:fill="auto"/>
            <w:noWrap/>
            <w:vAlign w:val="center"/>
            <w:hideMark/>
          </w:tcPr>
          <w:p w14:paraId="504DFE61" w14:textId="6C92E21E"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c>
          <w:tcPr>
            <w:tcW w:w="850" w:type="dxa"/>
            <w:tcBorders>
              <w:top w:val="nil"/>
              <w:left w:val="nil"/>
              <w:bottom w:val="double" w:sz="6" w:space="0" w:color="auto"/>
              <w:right w:val="nil"/>
            </w:tcBorders>
            <w:shd w:val="clear" w:color="auto" w:fill="auto"/>
            <w:noWrap/>
            <w:vAlign w:val="bottom"/>
            <w:hideMark/>
          </w:tcPr>
          <w:p w14:paraId="5B24AB2D" w14:textId="77777777" w:rsidR="00C342C0" w:rsidRPr="00A00187" w:rsidRDefault="00C342C0" w:rsidP="00C342C0">
            <w:pPr>
              <w:spacing w:line="240" w:lineRule="auto"/>
              <w:jc w:val="center"/>
              <w:rPr>
                <w:rFonts w:eastAsia="Times New Roman"/>
                <w:szCs w:val="24"/>
                <w:lang w:eastAsia="cs-CZ"/>
              </w:rPr>
            </w:pPr>
            <w:r w:rsidRPr="00A00187">
              <w:rPr>
                <w:rFonts w:eastAsia="Times New Roman"/>
                <w:szCs w:val="24"/>
                <w:lang w:eastAsia="cs-CZ"/>
              </w:rPr>
              <w:t>102</w:t>
            </w:r>
          </w:p>
        </w:tc>
        <w:tc>
          <w:tcPr>
            <w:tcW w:w="851" w:type="dxa"/>
            <w:tcBorders>
              <w:top w:val="nil"/>
              <w:left w:val="nil"/>
              <w:bottom w:val="double" w:sz="6" w:space="0" w:color="auto"/>
              <w:right w:val="nil"/>
            </w:tcBorders>
            <w:shd w:val="clear" w:color="auto" w:fill="auto"/>
            <w:noWrap/>
            <w:vAlign w:val="center"/>
            <w:hideMark/>
          </w:tcPr>
          <w:p w14:paraId="28C7B251" w14:textId="54D2AA74" w:rsidR="00C342C0" w:rsidRPr="00A00187" w:rsidRDefault="00C342C0" w:rsidP="00C342C0">
            <w:pPr>
              <w:spacing w:line="240" w:lineRule="auto"/>
              <w:jc w:val="center"/>
              <w:rPr>
                <w:rFonts w:eastAsia="Times New Roman"/>
                <w:sz w:val="20"/>
                <w:szCs w:val="20"/>
                <w:lang w:eastAsia="cs-CZ"/>
              </w:rPr>
            </w:pPr>
            <w:r w:rsidRPr="00A00187">
              <w:rPr>
                <w:rFonts w:eastAsia="Times New Roman"/>
                <w:sz w:val="20"/>
                <w:szCs w:val="20"/>
                <w:lang w:eastAsia="cs-CZ"/>
              </w:rPr>
              <w:t>-15</w:t>
            </w:r>
            <w:r w:rsidR="00CB570A">
              <w:rPr>
                <w:rFonts w:eastAsia="Times New Roman"/>
                <w:sz w:val="20"/>
                <w:szCs w:val="20"/>
                <w:lang w:eastAsia="cs-CZ"/>
              </w:rPr>
              <w:t> %</w:t>
            </w:r>
          </w:p>
        </w:tc>
      </w:tr>
      <w:tr w:rsidR="00AC1E67" w:rsidRPr="00A00187" w14:paraId="04A85C37" w14:textId="77777777" w:rsidTr="00641DB9">
        <w:trPr>
          <w:trHeight w:val="345"/>
        </w:trPr>
        <w:tc>
          <w:tcPr>
            <w:tcW w:w="2496" w:type="dxa"/>
            <w:tcBorders>
              <w:top w:val="nil"/>
              <w:left w:val="nil"/>
              <w:bottom w:val="double" w:sz="6" w:space="0" w:color="auto"/>
              <w:right w:val="nil"/>
            </w:tcBorders>
            <w:shd w:val="clear" w:color="auto" w:fill="auto"/>
            <w:noWrap/>
            <w:vAlign w:val="bottom"/>
            <w:hideMark/>
          </w:tcPr>
          <w:p w14:paraId="69D0EEAA" w14:textId="77777777" w:rsidR="00C342C0" w:rsidRPr="00A00187" w:rsidRDefault="00C342C0" w:rsidP="00C342C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906" w:type="dxa"/>
            <w:tcBorders>
              <w:top w:val="nil"/>
              <w:left w:val="nil"/>
              <w:bottom w:val="double" w:sz="6" w:space="0" w:color="auto"/>
              <w:right w:val="nil"/>
            </w:tcBorders>
            <w:shd w:val="clear" w:color="auto" w:fill="auto"/>
            <w:noWrap/>
            <w:vAlign w:val="center"/>
            <w:hideMark/>
          </w:tcPr>
          <w:p w14:paraId="0F60F25C" w14:textId="77777777" w:rsidR="00C342C0" w:rsidRPr="00A00187" w:rsidRDefault="00C342C0" w:rsidP="00C342C0">
            <w:pPr>
              <w:spacing w:line="240" w:lineRule="auto"/>
              <w:jc w:val="center"/>
              <w:rPr>
                <w:rFonts w:eastAsia="Times New Roman"/>
                <w:b/>
                <w:bCs/>
                <w:szCs w:val="24"/>
                <w:lang w:eastAsia="cs-CZ"/>
              </w:rPr>
            </w:pPr>
            <w:r w:rsidRPr="00A00187">
              <w:rPr>
                <w:rFonts w:eastAsia="Times New Roman"/>
                <w:b/>
                <w:bCs/>
                <w:szCs w:val="24"/>
                <w:lang w:eastAsia="cs-CZ"/>
              </w:rPr>
              <w:t>53</w:t>
            </w:r>
          </w:p>
        </w:tc>
        <w:tc>
          <w:tcPr>
            <w:tcW w:w="851" w:type="dxa"/>
            <w:tcBorders>
              <w:top w:val="nil"/>
              <w:left w:val="nil"/>
              <w:bottom w:val="double" w:sz="6" w:space="0" w:color="auto"/>
              <w:right w:val="nil"/>
            </w:tcBorders>
            <w:shd w:val="clear" w:color="auto" w:fill="auto"/>
            <w:noWrap/>
            <w:vAlign w:val="center"/>
            <w:hideMark/>
          </w:tcPr>
          <w:p w14:paraId="153E7DE7" w14:textId="6A9CA38D" w:rsidR="00C342C0" w:rsidRPr="00A00187" w:rsidRDefault="00C342C0" w:rsidP="00C342C0">
            <w:pPr>
              <w:spacing w:line="240" w:lineRule="auto"/>
              <w:jc w:val="center"/>
              <w:rPr>
                <w:rFonts w:eastAsia="Times New Roman"/>
                <w:b/>
                <w:bCs/>
                <w:sz w:val="20"/>
                <w:szCs w:val="20"/>
                <w:lang w:eastAsia="cs-CZ"/>
              </w:rPr>
            </w:pPr>
            <w:r w:rsidRPr="00A00187">
              <w:rPr>
                <w:rFonts w:eastAsia="Times New Roman"/>
                <w:b/>
                <w:bCs/>
                <w:sz w:val="20"/>
                <w:szCs w:val="20"/>
                <w:lang w:eastAsia="cs-CZ"/>
              </w:rPr>
              <w:t>-12</w:t>
            </w:r>
            <w:r w:rsidR="00CB570A">
              <w:rPr>
                <w:rFonts w:eastAsia="Times New Roman"/>
                <w:b/>
                <w:bCs/>
                <w:sz w:val="20"/>
                <w:szCs w:val="20"/>
                <w:lang w:eastAsia="cs-CZ"/>
              </w:rPr>
              <w:t> %</w:t>
            </w:r>
          </w:p>
        </w:tc>
        <w:tc>
          <w:tcPr>
            <w:tcW w:w="851" w:type="dxa"/>
            <w:tcBorders>
              <w:top w:val="nil"/>
              <w:left w:val="single" w:sz="4" w:space="0" w:color="auto"/>
              <w:bottom w:val="double" w:sz="6" w:space="0" w:color="auto"/>
              <w:right w:val="nil"/>
            </w:tcBorders>
            <w:shd w:val="clear" w:color="auto" w:fill="auto"/>
            <w:noWrap/>
            <w:vAlign w:val="center"/>
            <w:hideMark/>
          </w:tcPr>
          <w:p w14:paraId="1970CF87" w14:textId="77777777" w:rsidR="00C342C0" w:rsidRPr="00A00187" w:rsidRDefault="00C342C0" w:rsidP="00C342C0">
            <w:pPr>
              <w:spacing w:line="240" w:lineRule="auto"/>
              <w:jc w:val="center"/>
              <w:rPr>
                <w:rFonts w:eastAsia="Times New Roman"/>
                <w:b/>
                <w:bCs/>
                <w:szCs w:val="24"/>
                <w:lang w:eastAsia="cs-CZ"/>
              </w:rPr>
            </w:pPr>
            <w:r w:rsidRPr="00A00187">
              <w:rPr>
                <w:rFonts w:eastAsia="Times New Roman"/>
                <w:b/>
                <w:bCs/>
                <w:szCs w:val="24"/>
                <w:lang w:eastAsia="cs-CZ"/>
              </w:rPr>
              <w:t>33</w:t>
            </w:r>
          </w:p>
        </w:tc>
        <w:tc>
          <w:tcPr>
            <w:tcW w:w="850" w:type="dxa"/>
            <w:tcBorders>
              <w:top w:val="nil"/>
              <w:left w:val="nil"/>
              <w:bottom w:val="double" w:sz="6" w:space="0" w:color="auto"/>
              <w:right w:val="single" w:sz="4" w:space="0" w:color="auto"/>
            </w:tcBorders>
            <w:shd w:val="clear" w:color="auto" w:fill="auto"/>
            <w:noWrap/>
            <w:vAlign w:val="center"/>
            <w:hideMark/>
          </w:tcPr>
          <w:p w14:paraId="17D621E5" w14:textId="78B17955" w:rsidR="00C342C0" w:rsidRPr="00A00187" w:rsidRDefault="00C342C0" w:rsidP="00C342C0">
            <w:pPr>
              <w:spacing w:line="240" w:lineRule="auto"/>
              <w:jc w:val="center"/>
              <w:rPr>
                <w:rFonts w:eastAsia="Times New Roman"/>
                <w:b/>
                <w:bCs/>
                <w:sz w:val="20"/>
                <w:szCs w:val="20"/>
                <w:lang w:eastAsia="cs-CZ"/>
              </w:rPr>
            </w:pPr>
            <w:r w:rsidRPr="00A00187">
              <w:rPr>
                <w:rFonts w:eastAsia="Times New Roman"/>
                <w:b/>
                <w:bCs/>
                <w:sz w:val="20"/>
                <w:szCs w:val="20"/>
                <w:lang w:eastAsia="cs-CZ"/>
              </w:rPr>
              <w:t>-13</w:t>
            </w:r>
            <w:r w:rsidR="00CB570A">
              <w:rPr>
                <w:rFonts w:eastAsia="Times New Roman"/>
                <w:b/>
                <w:bCs/>
                <w:sz w:val="20"/>
                <w:szCs w:val="20"/>
                <w:lang w:eastAsia="cs-CZ"/>
              </w:rPr>
              <w:t> %</w:t>
            </w:r>
          </w:p>
        </w:tc>
        <w:tc>
          <w:tcPr>
            <w:tcW w:w="850" w:type="dxa"/>
            <w:tcBorders>
              <w:top w:val="nil"/>
              <w:left w:val="nil"/>
              <w:bottom w:val="double" w:sz="6" w:space="0" w:color="auto"/>
              <w:right w:val="nil"/>
            </w:tcBorders>
            <w:shd w:val="clear" w:color="auto" w:fill="auto"/>
            <w:noWrap/>
            <w:vAlign w:val="center"/>
            <w:hideMark/>
          </w:tcPr>
          <w:p w14:paraId="0CDF1C58" w14:textId="77777777" w:rsidR="00C342C0" w:rsidRPr="00A00187" w:rsidRDefault="00C342C0" w:rsidP="00C342C0">
            <w:pPr>
              <w:spacing w:line="240" w:lineRule="auto"/>
              <w:jc w:val="center"/>
              <w:rPr>
                <w:rFonts w:eastAsia="Times New Roman"/>
                <w:b/>
                <w:bCs/>
                <w:szCs w:val="24"/>
                <w:lang w:eastAsia="cs-CZ"/>
              </w:rPr>
            </w:pPr>
            <w:r w:rsidRPr="00A00187">
              <w:rPr>
                <w:rFonts w:eastAsia="Times New Roman"/>
                <w:b/>
                <w:bCs/>
                <w:szCs w:val="24"/>
                <w:lang w:eastAsia="cs-CZ"/>
              </w:rPr>
              <w:t>112</w:t>
            </w:r>
          </w:p>
        </w:tc>
        <w:tc>
          <w:tcPr>
            <w:tcW w:w="851" w:type="dxa"/>
            <w:tcBorders>
              <w:top w:val="nil"/>
              <w:left w:val="nil"/>
              <w:bottom w:val="double" w:sz="6" w:space="0" w:color="auto"/>
              <w:right w:val="nil"/>
            </w:tcBorders>
            <w:shd w:val="clear" w:color="auto" w:fill="auto"/>
            <w:noWrap/>
            <w:vAlign w:val="center"/>
            <w:hideMark/>
          </w:tcPr>
          <w:p w14:paraId="664F20C0" w14:textId="576972B0" w:rsidR="00C342C0" w:rsidRPr="00A00187" w:rsidRDefault="00C342C0" w:rsidP="00C342C0">
            <w:pPr>
              <w:spacing w:line="240" w:lineRule="auto"/>
              <w:jc w:val="center"/>
              <w:rPr>
                <w:rFonts w:eastAsia="Times New Roman"/>
                <w:b/>
                <w:bCs/>
                <w:sz w:val="20"/>
                <w:szCs w:val="20"/>
                <w:lang w:eastAsia="cs-CZ"/>
              </w:rPr>
            </w:pPr>
            <w:r w:rsidRPr="00A00187">
              <w:rPr>
                <w:rFonts w:eastAsia="Times New Roman"/>
                <w:b/>
                <w:bCs/>
                <w:sz w:val="20"/>
                <w:szCs w:val="20"/>
                <w:lang w:eastAsia="cs-CZ"/>
              </w:rPr>
              <w:t>-12</w:t>
            </w:r>
            <w:r w:rsidR="00CB570A">
              <w:rPr>
                <w:rFonts w:eastAsia="Times New Roman"/>
                <w:b/>
                <w:bCs/>
                <w:sz w:val="20"/>
                <w:szCs w:val="20"/>
                <w:lang w:eastAsia="cs-CZ"/>
              </w:rPr>
              <w:t> %</w:t>
            </w:r>
          </w:p>
        </w:tc>
      </w:tr>
      <w:tr w:rsidR="00AC1E67" w:rsidRPr="00A00187" w14:paraId="10A0112A" w14:textId="77777777" w:rsidTr="00641DB9">
        <w:trPr>
          <w:trHeight w:val="330"/>
        </w:trPr>
        <w:tc>
          <w:tcPr>
            <w:tcW w:w="2496" w:type="dxa"/>
            <w:tcBorders>
              <w:top w:val="nil"/>
              <w:left w:val="nil"/>
              <w:bottom w:val="nil"/>
              <w:right w:val="nil"/>
            </w:tcBorders>
            <w:shd w:val="clear" w:color="auto" w:fill="auto"/>
            <w:noWrap/>
            <w:vAlign w:val="bottom"/>
            <w:hideMark/>
          </w:tcPr>
          <w:p w14:paraId="49E66420" w14:textId="77777777" w:rsidR="00C342C0" w:rsidRPr="00A00187" w:rsidRDefault="00C342C0" w:rsidP="00C342C0">
            <w:pPr>
              <w:spacing w:line="240" w:lineRule="auto"/>
              <w:jc w:val="right"/>
              <w:rPr>
                <w:rFonts w:eastAsia="Times New Roman"/>
                <w:b/>
                <w:bCs/>
                <w:sz w:val="20"/>
                <w:szCs w:val="20"/>
                <w:lang w:eastAsia="cs-CZ"/>
              </w:rPr>
            </w:pPr>
          </w:p>
        </w:tc>
        <w:tc>
          <w:tcPr>
            <w:tcW w:w="906" w:type="dxa"/>
            <w:tcBorders>
              <w:top w:val="nil"/>
              <w:left w:val="nil"/>
              <w:bottom w:val="nil"/>
              <w:right w:val="nil"/>
            </w:tcBorders>
            <w:shd w:val="clear" w:color="auto" w:fill="auto"/>
            <w:noWrap/>
            <w:vAlign w:val="bottom"/>
            <w:hideMark/>
          </w:tcPr>
          <w:p w14:paraId="269BF7AB" w14:textId="77777777" w:rsidR="00C342C0" w:rsidRPr="00A00187" w:rsidRDefault="00C342C0" w:rsidP="00C342C0">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48791F02" w14:textId="77777777" w:rsidR="00C342C0" w:rsidRPr="00A00187" w:rsidRDefault="00C342C0" w:rsidP="00C342C0">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69A758EE" w14:textId="77777777" w:rsidR="00C342C0" w:rsidRPr="00A00187" w:rsidRDefault="00C342C0" w:rsidP="00C342C0">
            <w:pPr>
              <w:spacing w:line="240" w:lineRule="auto"/>
              <w:jc w:val="left"/>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bottom"/>
            <w:hideMark/>
          </w:tcPr>
          <w:p w14:paraId="540B8E0F" w14:textId="77777777" w:rsidR="00C342C0" w:rsidRPr="00A00187" w:rsidRDefault="00C342C0" w:rsidP="00C342C0">
            <w:pPr>
              <w:spacing w:line="240" w:lineRule="auto"/>
              <w:jc w:val="left"/>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bottom"/>
            <w:hideMark/>
          </w:tcPr>
          <w:p w14:paraId="5A55A8FE" w14:textId="77777777" w:rsidR="00C342C0" w:rsidRPr="00A00187" w:rsidRDefault="00C342C0" w:rsidP="00C342C0">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2341066C" w14:textId="77777777" w:rsidR="00C342C0" w:rsidRPr="00A00187" w:rsidRDefault="00C342C0" w:rsidP="00C342C0">
            <w:pPr>
              <w:spacing w:line="240" w:lineRule="auto"/>
              <w:jc w:val="left"/>
              <w:rPr>
                <w:rFonts w:ascii="Times New Roman" w:eastAsia="Times New Roman" w:hAnsi="Times New Roman"/>
                <w:sz w:val="20"/>
                <w:szCs w:val="20"/>
                <w:lang w:eastAsia="cs-CZ"/>
              </w:rPr>
            </w:pPr>
          </w:p>
        </w:tc>
      </w:tr>
    </w:tbl>
    <w:p w14:paraId="0DA69846" w14:textId="092483C1" w:rsidR="00641DB9" w:rsidRPr="00A00187" w:rsidRDefault="00641DB9" w:rsidP="00641DB9">
      <w:pPr>
        <w:tabs>
          <w:tab w:val="left" w:pos="2566"/>
          <w:tab w:val="left" w:pos="4050"/>
          <w:tab w:val="left" w:pos="5266"/>
        </w:tabs>
        <w:spacing w:line="240" w:lineRule="auto"/>
        <w:jc w:val="left"/>
        <w:rPr>
          <w:rFonts w:ascii="Times New Roman" w:eastAsia="Times New Roman" w:hAnsi="Times New Roman"/>
          <w:sz w:val="20"/>
          <w:szCs w:val="20"/>
          <w:lang w:eastAsia="cs-CZ"/>
        </w:rPr>
      </w:pPr>
    </w:p>
    <w:p w14:paraId="0D7402A8" w14:textId="48370022" w:rsidR="008430BD" w:rsidRPr="00A00187" w:rsidRDefault="008430BD" w:rsidP="008430BD">
      <w:pPr>
        <w:pStyle w:val="Nadpis3"/>
        <w:numPr>
          <w:ilvl w:val="2"/>
          <w:numId w:val="1"/>
        </w:numPr>
        <w:rPr>
          <w:color w:val="auto"/>
        </w:rPr>
      </w:pPr>
      <w:bookmarkStart w:id="929" w:name="_Toc43903082"/>
      <w:bookmarkStart w:id="930" w:name="_Toc106092781"/>
      <w:bookmarkStart w:id="931" w:name="_Toc109801392"/>
      <w:r w:rsidRPr="00A00187">
        <w:rPr>
          <w:color w:val="auto"/>
        </w:rPr>
        <w:t>Vyřizování věcí</w:t>
      </w:r>
      <w:bookmarkEnd w:id="929"/>
      <w:bookmarkEnd w:id="930"/>
      <w:bookmarkEnd w:id="931"/>
    </w:p>
    <w:p w14:paraId="22EF6E0E" w14:textId="10052D9C" w:rsidR="000F06FD" w:rsidRPr="00A00187" w:rsidRDefault="000F06FD" w:rsidP="000F06FD">
      <w:pPr>
        <w:pStyle w:val="Podnadpis"/>
        <w:rPr>
          <w:color w:val="auto"/>
        </w:rPr>
      </w:pPr>
      <w:bookmarkStart w:id="932" w:name="_Toc515871405"/>
      <w:bookmarkStart w:id="933" w:name="_Toc11135136"/>
      <w:bookmarkStart w:id="934" w:name="_Toc43841455"/>
      <w:bookmarkStart w:id="935" w:name="_Toc75952257"/>
      <w:bookmarkStart w:id="936" w:name="_Toc106106714"/>
      <w:bookmarkStart w:id="937" w:name="_Toc10980203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80</w:t>
      </w:r>
      <w:r w:rsidRPr="00A00187">
        <w:rPr>
          <w:noProof/>
          <w:color w:val="auto"/>
        </w:rPr>
        <w:fldChar w:fldCharType="end"/>
      </w:r>
      <w:r w:rsidRPr="00A00187">
        <w:rPr>
          <w:color w:val="auto"/>
        </w:rPr>
        <w:t>: KS – vyřizování insolvenčních věcí v letech 2008–20</w:t>
      </w:r>
      <w:bookmarkEnd w:id="932"/>
      <w:bookmarkEnd w:id="933"/>
      <w:bookmarkEnd w:id="934"/>
      <w:r w:rsidRPr="00A00187">
        <w:rPr>
          <w:color w:val="auto"/>
        </w:rPr>
        <w:t>20</w:t>
      </w:r>
      <w:bookmarkEnd w:id="935"/>
      <w:bookmarkEnd w:id="936"/>
      <w:bookmarkEnd w:id="937"/>
    </w:p>
    <w:p w14:paraId="09D50701" w14:textId="33CB4D00" w:rsidR="00CB570A" w:rsidRDefault="001E3723" w:rsidP="000F06FD">
      <w:pPr>
        <w:rPr>
          <w:noProof/>
        </w:rPr>
      </w:pPr>
      <w:r w:rsidRPr="00A00187">
        <w:rPr>
          <w:noProof/>
        </w:rPr>
        <w:drawing>
          <wp:inline distT="0" distB="0" distL="0" distR="0" wp14:anchorId="76DFEC21" wp14:editId="1A9422FE">
            <wp:extent cx="5029200" cy="36576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1D04A3D" w14:textId="2F3875A2" w:rsidR="007A185E" w:rsidRPr="00A00187" w:rsidRDefault="007A185E" w:rsidP="007A185E">
      <w:r w:rsidRPr="00A00187">
        <w:t xml:space="preserve">Sledovat vyřizování věcí je složitější, než je tomu u ostatních agend. Nápad je u této agendy principiálně stejný. Jedná se o jeden podaný insolvenční návrh nebo návrh na moratorium (viz seznam pojmů v příloze) před zahájením insolvenčního řízení (viz </w:t>
      </w:r>
      <w:proofErr w:type="spellStart"/>
      <w:r w:rsidRPr="00A00187">
        <w:t>ust</w:t>
      </w:r>
      <w:proofErr w:type="spellEnd"/>
      <w:r w:rsidRPr="00A00187">
        <w:t>. § 115 a násl. insolvenčního zákona). „Vyřízené věci“ v této podkapitole se nicméně vztahují k již zcela vyřízeným věcem. Jedná se tedy o věci, kde již skončilo celé insolvenční řízení, včetně případů, kde bylo o insolvenčním návrhu rozhodnuto jinak než rozhodnutím o úpadku. Nevyřízené věci po rozhodnutí o úpadku jsou věci, kde již bylo rozhodnuto o úpadku, případně o způsobu jeho řešení, a úpadek dlužníka je realizován určeným způsobem.</w:t>
      </w:r>
    </w:p>
    <w:p w14:paraId="4019567F" w14:textId="55A7BD23" w:rsidR="007A185E" w:rsidRPr="00A00187" w:rsidRDefault="007A185E" w:rsidP="007A185E">
      <w:pPr>
        <w:pStyle w:val="Podnadpis"/>
        <w:rPr>
          <w:color w:val="auto"/>
        </w:rPr>
      </w:pPr>
      <w:bookmarkStart w:id="938" w:name="_Toc11133265"/>
      <w:bookmarkStart w:id="939" w:name="_Toc43931244"/>
      <w:bookmarkStart w:id="940" w:name="_Toc75952377"/>
      <w:bookmarkStart w:id="941" w:name="_Toc106106830"/>
      <w:bookmarkStart w:id="942" w:name="_Toc109802153"/>
      <w:r w:rsidRPr="00A00187">
        <w:rPr>
          <w:color w:val="auto"/>
        </w:rPr>
        <w:lastRenderedPageBreak/>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68</w:t>
      </w:r>
      <w:r w:rsidRPr="00A00187">
        <w:rPr>
          <w:noProof/>
          <w:color w:val="auto"/>
        </w:rPr>
        <w:fldChar w:fldCharType="end"/>
      </w:r>
      <w:r w:rsidRPr="00A00187">
        <w:rPr>
          <w:color w:val="auto"/>
        </w:rPr>
        <w:t>: KS – vyřizování insolvenčních věcí dle soudů</w:t>
      </w:r>
      <w:bookmarkEnd w:id="938"/>
      <w:bookmarkEnd w:id="939"/>
      <w:bookmarkEnd w:id="940"/>
      <w:bookmarkEnd w:id="941"/>
      <w:bookmarkEnd w:id="942"/>
    </w:p>
    <w:tbl>
      <w:tblPr>
        <w:tblW w:w="9072" w:type="dxa"/>
        <w:tblCellMar>
          <w:left w:w="70" w:type="dxa"/>
          <w:right w:w="70" w:type="dxa"/>
        </w:tblCellMar>
        <w:tblLook w:val="04A0" w:firstRow="1" w:lastRow="0" w:firstColumn="1" w:lastColumn="0" w:noHBand="0" w:noVBand="1"/>
      </w:tblPr>
      <w:tblGrid>
        <w:gridCol w:w="1996"/>
        <w:gridCol w:w="901"/>
        <w:gridCol w:w="789"/>
        <w:gridCol w:w="908"/>
        <w:gridCol w:w="793"/>
        <w:gridCol w:w="931"/>
        <w:gridCol w:w="912"/>
        <w:gridCol w:w="1021"/>
        <w:gridCol w:w="821"/>
      </w:tblGrid>
      <w:tr w:rsidR="00AC1E67" w:rsidRPr="00A00187" w14:paraId="0F985CC5" w14:textId="77777777" w:rsidTr="00401B58">
        <w:trPr>
          <w:trHeight w:val="330"/>
        </w:trPr>
        <w:tc>
          <w:tcPr>
            <w:tcW w:w="1996" w:type="dxa"/>
            <w:vMerge w:val="restart"/>
            <w:tcBorders>
              <w:top w:val="double" w:sz="6" w:space="0" w:color="auto"/>
              <w:left w:val="nil"/>
              <w:bottom w:val="double" w:sz="6" w:space="0" w:color="000000"/>
              <w:right w:val="nil"/>
            </w:tcBorders>
            <w:shd w:val="clear" w:color="auto" w:fill="auto"/>
            <w:noWrap/>
            <w:vAlign w:val="center"/>
            <w:hideMark/>
          </w:tcPr>
          <w:p w14:paraId="7178DFDE" w14:textId="4A423CB4" w:rsidR="007A185E" w:rsidRPr="00A00187" w:rsidRDefault="00B541AE" w:rsidP="007A185E">
            <w:pPr>
              <w:spacing w:line="240" w:lineRule="auto"/>
              <w:jc w:val="center"/>
              <w:rPr>
                <w:rFonts w:eastAsia="Times New Roman"/>
                <w:b/>
                <w:bCs/>
                <w:szCs w:val="24"/>
                <w:lang w:eastAsia="cs-CZ"/>
              </w:rPr>
            </w:pPr>
            <w:r w:rsidRPr="00A00187">
              <w:rPr>
                <w:rFonts w:eastAsia="Times New Roman"/>
                <w:b/>
                <w:bCs/>
                <w:szCs w:val="24"/>
                <w:lang w:eastAsia="cs-CZ"/>
              </w:rPr>
              <w:t>S</w:t>
            </w:r>
            <w:r w:rsidR="007A185E" w:rsidRPr="00A00187">
              <w:rPr>
                <w:rFonts w:eastAsia="Times New Roman"/>
                <w:b/>
                <w:bCs/>
                <w:szCs w:val="24"/>
                <w:lang w:eastAsia="cs-CZ"/>
              </w:rPr>
              <w:t>oud</w:t>
            </w:r>
          </w:p>
        </w:tc>
        <w:tc>
          <w:tcPr>
            <w:tcW w:w="7076" w:type="dxa"/>
            <w:gridSpan w:val="8"/>
            <w:tcBorders>
              <w:top w:val="double" w:sz="6" w:space="0" w:color="auto"/>
              <w:left w:val="nil"/>
              <w:bottom w:val="nil"/>
              <w:right w:val="nil"/>
            </w:tcBorders>
            <w:shd w:val="clear" w:color="auto" w:fill="auto"/>
            <w:noWrap/>
            <w:vAlign w:val="center"/>
            <w:hideMark/>
          </w:tcPr>
          <w:p w14:paraId="45314E5F"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Počet věcí</w:t>
            </w:r>
          </w:p>
        </w:tc>
      </w:tr>
      <w:tr w:rsidR="00AC1E67" w:rsidRPr="00A00187" w14:paraId="0BA49D10" w14:textId="77777777" w:rsidTr="00401B58">
        <w:trPr>
          <w:trHeight w:val="960"/>
        </w:trPr>
        <w:tc>
          <w:tcPr>
            <w:tcW w:w="1996" w:type="dxa"/>
            <w:vMerge/>
            <w:tcBorders>
              <w:top w:val="double" w:sz="6" w:space="0" w:color="auto"/>
              <w:left w:val="nil"/>
              <w:bottom w:val="double" w:sz="6" w:space="0" w:color="000000"/>
              <w:right w:val="nil"/>
            </w:tcBorders>
            <w:vAlign w:val="center"/>
            <w:hideMark/>
          </w:tcPr>
          <w:p w14:paraId="632BA544" w14:textId="77777777" w:rsidR="007A185E" w:rsidRPr="00A00187" w:rsidRDefault="007A185E" w:rsidP="007A185E">
            <w:pPr>
              <w:spacing w:line="240" w:lineRule="auto"/>
              <w:jc w:val="left"/>
              <w:rPr>
                <w:rFonts w:eastAsia="Times New Roman"/>
                <w:b/>
                <w:bCs/>
                <w:szCs w:val="24"/>
                <w:lang w:eastAsia="cs-CZ"/>
              </w:rPr>
            </w:pPr>
          </w:p>
        </w:tc>
        <w:tc>
          <w:tcPr>
            <w:tcW w:w="1690" w:type="dxa"/>
            <w:gridSpan w:val="2"/>
            <w:tcBorders>
              <w:top w:val="nil"/>
              <w:left w:val="nil"/>
              <w:bottom w:val="double" w:sz="6" w:space="0" w:color="auto"/>
              <w:right w:val="nil"/>
            </w:tcBorders>
            <w:shd w:val="clear" w:color="auto" w:fill="auto"/>
            <w:vAlign w:val="center"/>
            <w:hideMark/>
          </w:tcPr>
          <w:p w14:paraId="1C700848"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70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0FA7F30"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vAlign w:val="center"/>
            <w:hideMark/>
          </w:tcPr>
          <w:p w14:paraId="74EDFD6C" w14:textId="7B7F4840"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 xml:space="preserve">Nevyřízeno před </w:t>
            </w:r>
            <w:proofErr w:type="spellStart"/>
            <w:r w:rsidRPr="00A00187">
              <w:rPr>
                <w:rFonts w:eastAsia="Times New Roman"/>
                <w:b/>
                <w:bCs/>
                <w:szCs w:val="24"/>
                <w:lang w:eastAsia="cs-CZ"/>
              </w:rPr>
              <w:t>rozh</w:t>
            </w:r>
            <w:proofErr w:type="spellEnd"/>
            <w:r w:rsidRPr="00A00187">
              <w:rPr>
                <w:rFonts w:eastAsia="Times New Roman"/>
                <w:b/>
                <w:bCs/>
                <w:szCs w:val="24"/>
                <w:lang w:eastAsia="cs-CZ"/>
              </w:rPr>
              <w:t>. o</w:t>
            </w:r>
            <w:r w:rsidR="00C259CE" w:rsidRPr="00A00187">
              <w:rPr>
                <w:rFonts w:eastAsia="Times New Roman"/>
                <w:b/>
                <w:bCs/>
                <w:szCs w:val="24"/>
                <w:lang w:eastAsia="cs-CZ"/>
              </w:rPr>
              <w:t> </w:t>
            </w:r>
            <w:r w:rsidRPr="00A00187">
              <w:rPr>
                <w:rFonts w:eastAsia="Times New Roman"/>
                <w:b/>
                <w:bCs/>
                <w:szCs w:val="24"/>
                <w:lang w:eastAsia="cs-CZ"/>
              </w:rPr>
              <w:t>úpadku</w:t>
            </w:r>
          </w:p>
        </w:tc>
        <w:tc>
          <w:tcPr>
            <w:tcW w:w="1842" w:type="dxa"/>
            <w:gridSpan w:val="2"/>
            <w:tcBorders>
              <w:top w:val="nil"/>
              <w:left w:val="nil"/>
              <w:bottom w:val="double" w:sz="6" w:space="0" w:color="auto"/>
              <w:right w:val="nil"/>
            </w:tcBorders>
            <w:shd w:val="clear" w:color="auto" w:fill="auto"/>
            <w:vAlign w:val="center"/>
            <w:hideMark/>
          </w:tcPr>
          <w:p w14:paraId="691FFFC8"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 xml:space="preserve">Nevyřízeno po </w:t>
            </w:r>
            <w:proofErr w:type="spellStart"/>
            <w:r w:rsidRPr="00A00187">
              <w:rPr>
                <w:rFonts w:eastAsia="Times New Roman"/>
                <w:b/>
                <w:bCs/>
                <w:szCs w:val="24"/>
                <w:lang w:eastAsia="cs-CZ"/>
              </w:rPr>
              <w:t>rozh</w:t>
            </w:r>
            <w:proofErr w:type="spellEnd"/>
            <w:r w:rsidRPr="00A00187">
              <w:rPr>
                <w:rFonts w:eastAsia="Times New Roman"/>
                <w:b/>
                <w:bCs/>
                <w:szCs w:val="24"/>
                <w:lang w:eastAsia="cs-CZ"/>
              </w:rPr>
              <w:t>. o úpadku</w:t>
            </w:r>
          </w:p>
        </w:tc>
      </w:tr>
      <w:tr w:rsidR="00AC1E67" w:rsidRPr="00A00187" w14:paraId="24F17C1E" w14:textId="77777777" w:rsidTr="00401B58">
        <w:trPr>
          <w:trHeight w:val="330"/>
        </w:trPr>
        <w:tc>
          <w:tcPr>
            <w:tcW w:w="1996" w:type="dxa"/>
            <w:tcBorders>
              <w:top w:val="single" w:sz="4" w:space="0" w:color="auto"/>
              <w:left w:val="nil"/>
              <w:bottom w:val="single" w:sz="4" w:space="0" w:color="auto"/>
              <w:right w:val="nil"/>
            </w:tcBorders>
            <w:shd w:val="clear" w:color="auto" w:fill="auto"/>
            <w:noWrap/>
            <w:vAlign w:val="bottom"/>
            <w:hideMark/>
          </w:tcPr>
          <w:p w14:paraId="452A1686"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MS Praha</w:t>
            </w:r>
          </w:p>
        </w:tc>
        <w:tc>
          <w:tcPr>
            <w:tcW w:w="901" w:type="dxa"/>
            <w:tcBorders>
              <w:top w:val="single" w:sz="4" w:space="0" w:color="auto"/>
              <w:left w:val="nil"/>
              <w:bottom w:val="single" w:sz="4" w:space="0" w:color="auto"/>
              <w:right w:val="nil"/>
            </w:tcBorders>
            <w:shd w:val="clear" w:color="auto" w:fill="auto"/>
            <w:noWrap/>
            <w:vAlign w:val="bottom"/>
            <w:hideMark/>
          </w:tcPr>
          <w:p w14:paraId="7AAEF6DB"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2 701</w:t>
            </w:r>
          </w:p>
        </w:tc>
        <w:tc>
          <w:tcPr>
            <w:tcW w:w="789" w:type="dxa"/>
            <w:tcBorders>
              <w:top w:val="single" w:sz="4" w:space="0" w:color="auto"/>
              <w:left w:val="nil"/>
              <w:bottom w:val="single" w:sz="4" w:space="0" w:color="auto"/>
              <w:right w:val="nil"/>
            </w:tcBorders>
            <w:shd w:val="clear" w:color="auto" w:fill="auto"/>
            <w:noWrap/>
            <w:vAlign w:val="center"/>
            <w:hideMark/>
          </w:tcPr>
          <w:p w14:paraId="25412A25" w14:textId="0139791E"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08" w:type="dxa"/>
            <w:tcBorders>
              <w:top w:val="single" w:sz="4" w:space="0" w:color="auto"/>
              <w:left w:val="single" w:sz="4" w:space="0" w:color="auto"/>
              <w:bottom w:val="single" w:sz="4" w:space="0" w:color="auto"/>
              <w:right w:val="nil"/>
            </w:tcBorders>
            <w:shd w:val="clear" w:color="auto" w:fill="auto"/>
            <w:noWrap/>
            <w:vAlign w:val="bottom"/>
            <w:hideMark/>
          </w:tcPr>
          <w:p w14:paraId="4FFA8736"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2 326</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14:paraId="5921FE2E" w14:textId="0489AED4"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31" w:type="dxa"/>
            <w:tcBorders>
              <w:top w:val="single" w:sz="4" w:space="0" w:color="auto"/>
              <w:left w:val="nil"/>
              <w:bottom w:val="single" w:sz="4" w:space="0" w:color="auto"/>
              <w:right w:val="nil"/>
            </w:tcBorders>
            <w:shd w:val="clear" w:color="auto" w:fill="auto"/>
            <w:noWrap/>
            <w:vAlign w:val="bottom"/>
            <w:hideMark/>
          </w:tcPr>
          <w:p w14:paraId="08210334"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325</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14:paraId="7584A938" w14:textId="0E7EDCAA"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-30</w:t>
            </w:r>
            <w:r w:rsidR="00CB570A">
              <w:rPr>
                <w:rFonts w:eastAsia="Times New Roman"/>
                <w:sz w:val="20"/>
                <w:szCs w:val="20"/>
                <w:lang w:eastAsia="cs-CZ"/>
              </w:rPr>
              <w:t> %</w:t>
            </w:r>
          </w:p>
        </w:tc>
        <w:tc>
          <w:tcPr>
            <w:tcW w:w="1021" w:type="dxa"/>
            <w:tcBorders>
              <w:top w:val="single" w:sz="4" w:space="0" w:color="auto"/>
              <w:left w:val="nil"/>
              <w:bottom w:val="single" w:sz="4" w:space="0" w:color="auto"/>
              <w:right w:val="nil"/>
            </w:tcBorders>
            <w:shd w:val="clear" w:color="auto" w:fill="auto"/>
            <w:noWrap/>
            <w:vAlign w:val="bottom"/>
            <w:hideMark/>
          </w:tcPr>
          <w:p w14:paraId="7D5CC68C"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9 170</w:t>
            </w:r>
          </w:p>
        </w:tc>
        <w:tc>
          <w:tcPr>
            <w:tcW w:w="821" w:type="dxa"/>
            <w:tcBorders>
              <w:top w:val="single" w:sz="4" w:space="0" w:color="auto"/>
              <w:left w:val="nil"/>
              <w:bottom w:val="single" w:sz="4" w:space="0" w:color="auto"/>
              <w:right w:val="nil"/>
            </w:tcBorders>
            <w:shd w:val="clear" w:color="auto" w:fill="auto"/>
            <w:noWrap/>
            <w:vAlign w:val="center"/>
            <w:hideMark/>
          </w:tcPr>
          <w:p w14:paraId="6B39D6C7" w14:textId="58DF3072"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619556BB" w14:textId="77777777" w:rsidTr="00401B58">
        <w:trPr>
          <w:trHeight w:val="315"/>
        </w:trPr>
        <w:tc>
          <w:tcPr>
            <w:tcW w:w="1996" w:type="dxa"/>
            <w:tcBorders>
              <w:top w:val="nil"/>
              <w:left w:val="nil"/>
              <w:bottom w:val="single" w:sz="4" w:space="0" w:color="auto"/>
              <w:right w:val="nil"/>
            </w:tcBorders>
            <w:shd w:val="clear" w:color="auto" w:fill="auto"/>
            <w:noWrap/>
            <w:vAlign w:val="bottom"/>
            <w:hideMark/>
          </w:tcPr>
          <w:p w14:paraId="5F334D0F"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KS Praha</w:t>
            </w:r>
          </w:p>
        </w:tc>
        <w:tc>
          <w:tcPr>
            <w:tcW w:w="901" w:type="dxa"/>
            <w:tcBorders>
              <w:top w:val="nil"/>
              <w:left w:val="nil"/>
              <w:bottom w:val="single" w:sz="4" w:space="0" w:color="auto"/>
              <w:right w:val="nil"/>
            </w:tcBorders>
            <w:shd w:val="clear" w:color="auto" w:fill="auto"/>
            <w:noWrap/>
            <w:vAlign w:val="bottom"/>
            <w:hideMark/>
          </w:tcPr>
          <w:p w14:paraId="4E202133"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2 849</w:t>
            </w:r>
          </w:p>
        </w:tc>
        <w:tc>
          <w:tcPr>
            <w:tcW w:w="789" w:type="dxa"/>
            <w:tcBorders>
              <w:top w:val="nil"/>
              <w:left w:val="nil"/>
              <w:bottom w:val="single" w:sz="4" w:space="0" w:color="auto"/>
              <w:right w:val="nil"/>
            </w:tcBorders>
            <w:shd w:val="clear" w:color="auto" w:fill="auto"/>
            <w:noWrap/>
            <w:vAlign w:val="center"/>
            <w:hideMark/>
          </w:tcPr>
          <w:p w14:paraId="41A678D2" w14:textId="14E83264"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908" w:type="dxa"/>
            <w:tcBorders>
              <w:top w:val="nil"/>
              <w:left w:val="single" w:sz="4" w:space="0" w:color="auto"/>
              <w:bottom w:val="single" w:sz="4" w:space="0" w:color="auto"/>
              <w:right w:val="nil"/>
            </w:tcBorders>
            <w:shd w:val="clear" w:color="auto" w:fill="auto"/>
            <w:noWrap/>
            <w:vAlign w:val="bottom"/>
            <w:hideMark/>
          </w:tcPr>
          <w:p w14:paraId="2A75DB38"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3 009</w:t>
            </w:r>
          </w:p>
        </w:tc>
        <w:tc>
          <w:tcPr>
            <w:tcW w:w="793" w:type="dxa"/>
            <w:tcBorders>
              <w:top w:val="nil"/>
              <w:left w:val="nil"/>
              <w:bottom w:val="single" w:sz="4" w:space="0" w:color="auto"/>
              <w:right w:val="single" w:sz="4" w:space="0" w:color="auto"/>
            </w:tcBorders>
            <w:shd w:val="clear" w:color="auto" w:fill="auto"/>
            <w:noWrap/>
            <w:vAlign w:val="center"/>
            <w:hideMark/>
          </w:tcPr>
          <w:p w14:paraId="0667BF66" w14:textId="3104BD07"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931" w:type="dxa"/>
            <w:tcBorders>
              <w:top w:val="nil"/>
              <w:left w:val="nil"/>
              <w:bottom w:val="single" w:sz="4" w:space="0" w:color="auto"/>
              <w:right w:val="nil"/>
            </w:tcBorders>
            <w:shd w:val="clear" w:color="auto" w:fill="auto"/>
            <w:noWrap/>
            <w:vAlign w:val="bottom"/>
            <w:hideMark/>
          </w:tcPr>
          <w:p w14:paraId="55266D8B"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140</w:t>
            </w:r>
          </w:p>
        </w:tc>
        <w:tc>
          <w:tcPr>
            <w:tcW w:w="912" w:type="dxa"/>
            <w:tcBorders>
              <w:top w:val="nil"/>
              <w:left w:val="nil"/>
              <w:bottom w:val="single" w:sz="4" w:space="0" w:color="auto"/>
              <w:right w:val="single" w:sz="4" w:space="0" w:color="auto"/>
            </w:tcBorders>
            <w:shd w:val="clear" w:color="auto" w:fill="auto"/>
            <w:noWrap/>
            <w:vAlign w:val="center"/>
            <w:hideMark/>
          </w:tcPr>
          <w:p w14:paraId="3E453DE5" w14:textId="33E42E11"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-47</w:t>
            </w:r>
            <w:r w:rsidR="00CB570A">
              <w:rPr>
                <w:rFonts w:eastAsia="Times New Roman"/>
                <w:sz w:val="20"/>
                <w:szCs w:val="20"/>
                <w:lang w:eastAsia="cs-CZ"/>
              </w:rPr>
              <w:t> %</w:t>
            </w:r>
          </w:p>
        </w:tc>
        <w:tc>
          <w:tcPr>
            <w:tcW w:w="1021" w:type="dxa"/>
            <w:tcBorders>
              <w:top w:val="nil"/>
              <w:left w:val="nil"/>
              <w:bottom w:val="single" w:sz="4" w:space="0" w:color="auto"/>
              <w:right w:val="nil"/>
            </w:tcBorders>
            <w:shd w:val="clear" w:color="auto" w:fill="auto"/>
            <w:noWrap/>
            <w:vAlign w:val="bottom"/>
            <w:hideMark/>
          </w:tcPr>
          <w:p w14:paraId="01645037"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11 991</w:t>
            </w:r>
          </w:p>
        </w:tc>
        <w:tc>
          <w:tcPr>
            <w:tcW w:w="821" w:type="dxa"/>
            <w:tcBorders>
              <w:top w:val="nil"/>
              <w:left w:val="nil"/>
              <w:bottom w:val="single" w:sz="4" w:space="0" w:color="auto"/>
              <w:right w:val="nil"/>
            </w:tcBorders>
            <w:shd w:val="clear" w:color="auto" w:fill="auto"/>
            <w:noWrap/>
            <w:vAlign w:val="center"/>
            <w:hideMark/>
          </w:tcPr>
          <w:p w14:paraId="0065EF2E" w14:textId="05525B23"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1144FD1C" w14:textId="77777777" w:rsidTr="00401B58">
        <w:trPr>
          <w:trHeight w:val="315"/>
        </w:trPr>
        <w:tc>
          <w:tcPr>
            <w:tcW w:w="1996" w:type="dxa"/>
            <w:tcBorders>
              <w:top w:val="nil"/>
              <w:left w:val="nil"/>
              <w:bottom w:val="single" w:sz="4" w:space="0" w:color="auto"/>
              <w:right w:val="nil"/>
            </w:tcBorders>
            <w:shd w:val="clear" w:color="auto" w:fill="auto"/>
            <w:noWrap/>
            <w:vAlign w:val="bottom"/>
            <w:hideMark/>
          </w:tcPr>
          <w:p w14:paraId="392D30EA"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KS Č. Budějovice</w:t>
            </w:r>
          </w:p>
        </w:tc>
        <w:tc>
          <w:tcPr>
            <w:tcW w:w="901" w:type="dxa"/>
            <w:tcBorders>
              <w:top w:val="nil"/>
              <w:left w:val="nil"/>
              <w:bottom w:val="single" w:sz="4" w:space="0" w:color="auto"/>
              <w:right w:val="nil"/>
            </w:tcBorders>
            <w:shd w:val="clear" w:color="auto" w:fill="auto"/>
            <w:noWrap/>
            <w:vAlign w:val="bottom"/>
            <w:hideMark/>
          </w:tcPr>
          <w:p w14:paraId="15BA6172"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1 440</w:t>
            </w:r>
          </w:p>
        </w:tc>
        <w:tc>
          <w:tcPr>
            <w:tcW w:w="789" w:type="dxa"/>
            <w:tcBorders>
              <w:top w:val="nil"/>
              <w:left w:val="nil"/>
              <w:bottom w:val="single" w:sz="4" w:space="0" w:color="auto"/>
              <w:right w:val="nil"/>
            </w:tcBorders>
            <w:shd w:val="clear" w:color="auto" w:fill="auto"/>
            <w:noWrap/>
            <w:vAlign w:val="center"/>
            <w:hideMark/>
          </w:tcPr>
          <w:p w14:paraId="2A38FD20" w14:textId="2AE1EC8A"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908" w:type="dxa"/>
            <w:tcBorders>
              <w:top w:val="nil"/>
              <w:left w:val="single" w:sz="4" w:space="0" w:color="auto"/>
              <w:bottom w:val="single" w:sz="4" w:space="0" w:color="auto"/>
              <w:right w:val="nil"/>
            </w:tcBorders>
            <w:shd w:val="clear" w:color="auto" w:fill="auto"/>
            <w:noWrap/>
            <w:vAlign w:val="bottom"/>
            <w:hideMark/>
          </w:tcPr>
          <w:p w14:paraId="67537CA1"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2 041</w:t>
            </w:r>
          </w:p>
        </w:tc>
        <w:tc>
          <w:tcPr>
            <w:tcW w:w="793" w:type="dxa"/>
            <w:tcBorders>
              <w:top w:val="nil"/>
              <w:left w:val="nil"/>
              <w:bottom w:val="single" w:sz="4" w:space="0" w:color="auto"/>
              <w:right w:val="single" w:sz="4" w:space="0" w:color="auto"/>
            </w:tcBorders>
            <w:shd w:val="clear" w:color="auto" w:fill="auto"/>
            <w:noWrap/>
            <w:vAlign w:val="center"/>
            <w:hideMark/>
          </w:tcPr>
          <w:p w14:paraId="08E11BB0" w14:textId="1DD4905C"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31" w:type="dxa"/>
            <w:tcBorders>
              <w:top w:val="nil"/>
              <w:left w:val="nil"/>
              <w:bottom w:val="single" w:sz="4" w:space="0" w:color="auto"/>
              <w:right w:val="nil"/>
            </w:tcBorders>
            <w:shd w:val="clear" w:color="auto" w:fill="auto"/>
            <w:noWrap/>
            <w:vAlign w:val="bottom"/>
            <w:hideMark/>
          </w:tcPr>
          <w:p w14:paraId="3EEFD154"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27</w:t>
            </w:r>
          </w:p>
        </w:tc>
        <w:tc>
          <w:tcPr>
            <w:tcW w:w="912" w:type="dxa"/>
            <w:tcBorders>
              <w:top w:val="nil"/>
              <w:left w:val="nil"/>
              <w:bottom w:val="single" w:sz="4" w:space="0" w:color="auto"/>
              <w:right w:val="single" w:sz="4" w:space="0" w:color="auto"/>
            </w:tcBorders>
            <w:shd w:val="clear" w:color="auto" w:fill="auto"/>
            <w:noWrap/>
            <w:vAlign w:val="center"/>
            <w:hideMark/>
          </w:tcPr>
          <w:p w14:paraId="113E6BAB" w14:textId="53C80084"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021" w:type="dxa"/>
            <w:tcBorders>
              <w:top w:val="nil"/>
              <w:left w:val="nil"/>
              <w:bottom w:val="single" w:sz="4" w:space="0" w:color="auto"/>
              <w:right w:val="nil"/>
            </w:tcBorders>
            <w:shd w:val="clear" w:color="auto" w:fill="auto"/>
            <w:noWrap/>
            <w:vAlign w:val="bottom"/>
            <w:hideMark/>
          </w:tcPr>
          <w:p w14:paraId="22B54508"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6 664</w:t>
            </w:r>
          </w:p>
        </w:tc>
        <w:tc>
          <w:tcPr>
            <w:tcW w:w="821" w:type="dxa"/>
            <w:tcBorders>
              <w:top w:val="nil"/>
              <w:left w:val="nil"/>
              <w:bottom w:val="single" w:sz="4" w:space="0" w:color="auto"/>
              <w:right w:val="nil"/>
            </w:tcBorders>
            <w:shd w:val="clear" w:color="auto" w:fill="auto"/>
            <w:noWrap/>
            <w:vAlign w:val="center"/>
            <w:hideMark/>
          </w:tcPr>
          <w:p w14:paraId="1F260971" w14:textId="437EF966"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6C9787F9" w14:textId="77777777" w:rsidTr="00401B58">
        <w:trPr>
          <w:trHeight w:val="315"/>
        </w:trPr>
        <w:tc>
          <w:tcPr>
            <w:tcW w:w="1996" w:type="dxa"/>
            <w:tcBorders>
              <w:top w:val="nil"/>
              <w:left w:val="nil"/>
              <w:bottom w:val="single" w:sz="4" w:space="0" w:color="auto"/>
              <w:right w:val="nil"/>
            </w:tcBorders>
            <w:shd w:val="clear" w:color="auto" w:fill="auto"/>
            <w:noWrap/>
            <w:vAlign w:val="bottom"/>
            <w:hideMark/>
          </w:tcPr>
          <w:p w14:paraId="1EAED279"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KS Plzeň</w:t>
            </w:r>
          </w:p>
        </w:tc>
        <w:tc>
          <w:tcPr>
            <w:tcW w:w="901" w:type="dxa"/>
            <w:tcBorders>
              <w:top w:val="nil"/>
              <w:left w:val="nil"/>
              <w:bottom w:val="single" w:sz="4" w:space="0" w:color="auto"/>
              <w:right w:val="nil"/>
            </w:tcBorders>
            <w:shd w:val="clear" w:color="auto" w:fill="auto"/>
            <w:noWrap/>
            <w:vAlign w:val="bottom"/>
            <w:hideMark/>
          </w:tcPr>
          <w:p w14:paraId="33CD2162"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2 259</w:t>
            </w:r>
          </w:p>
        </w:tc>
        <w:tc>
          <w:tcPr>
            <w:tcW w:w="789" w:type="dxa"/>
            <w:tcBorders>
              <w:top w:val="nil"/>
              <w:left w:val="nil"/>
              <w:bottom w:val="single" w:sz="4" w:space="0" w:color="auto"/>
              <w:right w:val="nil"/>
            </w:tcBorders>
            <w:shd w:val="clear" w:color="auto" w:fill="auto"/>
            <w:noWrap/>
            <w:vAlign w:val="center"/>
            <w:hideMark/>
          </w:tcPr>
          <w:p w14:paraId="5F8673A2" w14:textId="383C30AE"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08" w:type="dxa"/>
            <w:tcBorders>
              <w:top w:val="nil"/>
              <w:left w:val="single" w:sz="4" w:space="0" w:color="auto"/>
              <w:bottom w:val="single" w:sz="4" w:space="0" w:color="auto"/>
              <w:right w:val="nil"/>
            </w:tcBorders>
            <w:shd w:val="clear" w:color="auto" w:fill="auto"/>
            <w:noWrap/>
            <w:vAlign w:val="bottom"/>
            <w:hideMark/>
          </w:tcPr>
          <w:p w14:paraId="440EEF2F"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2 510</w:t>
            </w:r>
          </w:p>
        </w:tc>
        <w:tc>
          <w:tcPr>
            <w:tcW w:w="793" w:type="dxa"/>
            <w:tcBorders>
              <w:top w:val="nil"/>
              <w:left w:val="nil"/>
              <w:bottom w:val="single" w:sz="4" w:space="0" w:color="auto"/>
              <w:right w:val="single" w:sz="4" w:space="0" w:color="auto"/>
            </w:tcBorders>
            <w:shd w:val="clear" w:color="auto" w:fill="auto"/>
            <w:noWrap/>
            <w:vAlign w:val="center"/>
            <w:hideMark/>
          </w:tcPr>
          <w:p w14:paraId="0BFAB60B" w14:textId="7EB2D297"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931" w:type="dxa"/>
            <w:tcBorders>
              <w:top w:val="nil"/>
              <w:left w:val="nil"/>
              <w:bottom w:val="single" w:sz="4" w:space="0" w:color="auto"/>
              <w:right w:val="nil"/>
            </w:tcBorders>
            <w:shd w:val="clear" w:color="auto" w:fill="auto"/>
            <w:noWrap/>
            <w:vAlign w:val="bottom"/>
            <w:hideMark/>
          </w:tcPr>
          <w:p w14:paraId="2C2680EA"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187</w:t>
            </w:r>
          </w:p>
        </w:tc>
        <w:tc>
          <w:tcPr>
            <w:tcW w:w="912" w:type="dxa"/>
            <w:tcBorders>
              <w:top w:val="nil"/>
              <w:left w:val="nil"/>
              <w:bottom w:val="single" w:sz="4" w:space="0" w:color="auto"/>
              <w:right w:val="single" w:sz="4" w:space="0" w:color="auto"/>
            </w:tcBorders>
            <w:shd w:val="clear" w:color="auto" w:fill="auto"/>
            <w:noWrap/>
            <w:vAlign w:val="center"/>
            <w:hideMark/>
          </w:tcPr>
          <w:p w14:paraId="5C2C5E55" w14:textId="3AC8A697"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-38</w:t>
            </w:r>
            <w:r w:rsidR="00CB570A">
              <w:rPr>
                <w:rFonts w:eastAsia="Times New Roman"/>
                <w:sz w:val="20"/>
                <w:szCs w:val="20"/>
                <w:lang w:eastAsia="cs-CZ"/>
              </w:rPr>
              <w:t> %</w:t>
            </w:r>
          </w:p>
        </w:tc>
        <w:tc>
          <w:tcPr>
            <w:tcW w:w="1021" w:type="dxa"/>
            <w:tcBorders>
              <w:top w:val="nil"/>
              <w:left w:val="nil"/>
              <w:bottom w:val="single" w:sz="4" w:space="0" w:color="auto"/>
              <w:right w:val="nil"/>
            </w:tcBorders>
            <w:shd w:val="clear" w:color="auto" w:fill="auto"/>
            <w:noWrap/>
            <w:vAlign w:val="bottom"/>
            <w:hideMark/>
          </w:tcPr>
          <w:p w14:paraId="2D2BCE1A"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10 136</w:t>
            </w:r>
          </w:p>
        </w:tc>
        <w:tc>
          <w:tcPr>
            <w:tcW w:w="821" w:type="dxa"/>
            <w:tcBorders>
              <w:top w:val="nil"/>
              <w:left w:val="nil"/>
              <w:bottom w:val="single" w:sz="4" w:space="0" w:color="auto"/>
              <w:right w:val="nil"/>
            </w:tcBorders>
            <w:shd w:val="clear" w:color="auto" w:fill="auto"/>
            <w:noWrap/>
            <w:vAlign w:val="center"/>
            <w:hideMark/>
          </w:tcPr>
          <w:p w14:paraId="048E9284" w14:textId="793293EB"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r>
      <w:tr w:rsidR="00AC1E67" w:rsidRPr="00A00187" w14:paraId="4A92412A" w14:textId="77777777" w:rsidTr="00401B58">
        <w:trPr>
          <w:trHeight w:val="315"/>
        </w:trPr>
        <w:tc>
          <w:tcPr>
            <w:tcW w:w="1996" w:type="dxa"/>
            <w:tcBorders>
              <w:top w:val="nil"/>
              <w:left w:val="nil"/>
              <w:bottom w:val="single" w:sz="4" w:space="0" w:color="auto"/>
              <w:right w:val="nil"/>
            </w:tcBorders>
            <w:shd w:val="clear" w:color="auto" w:fill="auto"/>
            <w:noWrap/>
            <w:vAlign w:val="bottom"/>
            <w:hideMark/>
          </w:tcPr>
          <w:p w14:paraId="0C485A3D"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KS Ústí n. Labem</w:t>
            </w:r>
          </w:p>
        </w:tc>
        <w:tc>
          <w:tcPr>
            <w:tcW w:w="901" w:type="dxa"/>
            <w:tcBorders>
              <w:top w:val="nil"/>
              <w:left w:val="nil"/>
              <w:bottom w:val="single" w:sz="4" w:space="0" w:color="auto"/>
              <w:right w:val="nil"/>
            </w:tcBorders>
            <w:shd w:val="clear" w:color="auto" w:fill="auto"/>
            <w:noWrap/>
            <w:vAlign w:val="bottom"/>
            <w:hideMark/>
          </w:tcPr>
          <w:p w14:paraId="4EBA9686"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3 803</w:t>
            </w:r>
          </w:p>
        </w:tc>
        <w:tc>
          <w:tcPr>
            <w:tcW w:w="789" w:type="dxa"/>
            <w:tcBorders>
              <w:top w:val="nil"/>
              <w:left w:val="nil"/>
              <w:bottom w:val="single" w:sz="4" w:space="0" w:color="auto"/>
              <w:right w:val="nil"/>
            </w:tcBorders>
            <w:shd w:val="clear" w:color="auto" w:fill="auto"/>
            <w:noWrap/>
            <w:vAlign w:val="center"/>
            <w:hideMark/>
          </w:tcPr>
          <w:p w14:paraId="672D6DA4" w14:textId="78244A6D"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908" w:type="dxa"/>
            <w:tcBorders>
              <w:top w:val="nil"/>
              <w:left w:val="single" w:sz="4" w:space="0" w:color="auto"/>
              <w:bottom w:val="single" w:sz="4" w:space="0" w:color="auto"/>
              <w:right w:val="nil"/>
            </w:tcBorders>
            <w:shd w:val="clear" w:color="auto" w:fill="auto"/>
            <w:noWrap/>
            <w:vAlign w:val="bottom"/>
            <w:hideMark/>
          </w:tcPr>
          <w:p w14:paraId="54D41A0C"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4 489</w:t>
            </w:r>
          </w:p>
        </w:tc>
        <w:tc>
          <w:tcPr>
            <w:tcW w:w="793" w:type="dxa"/>
            <w:tcBorders>
              <w:top w:val="nil"/>
              <w:left w:val="nil"/>
              <w:bottom w:val="single" w:sz="4" w:space="0" w:color="auto"/>
              <w:right w:val="single" w:sz="4" w:space="0" w:color="auto"/>
            </w:tcBorders>
            <w:shd w:val="clear" w:color="auto" w:fill="auto"/>
            <w:noWrap/>
            <w:vAlign w:val="center"/>
            <w:hideMark/>
          </w:tcPr>
          <w:p w14:paraId="67F826A8" w14:textId="2D45DB66"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c>
          <w:tcPr>
            <w:tcW w:w="931" w:type="dxa"/>
            <w:tcBorders>
              <w:top w:val="nil"/>
              <w:left w:val="nil"/>
              <w:bottom w:val="single" w:sz="4" w:space="0" w:color="auto"/>
              <w:right w:val="nil"/>
            </w:tcBorders>
            <w:shd w:val="clear" w:color="auto" w:fill="auto"/>
            <w:noWrap/>
            <w:vAlign w:val="bottom"/>
            <w:hideMark/>
          </w:tcPr>
          <w:p w14:paraId="35EFF53D"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189</w:t>
            </w:r>
          </w:p>
        </w:tc>
        <w:tc>
          <w:tcPr>
            <w:tcW w:w="912" w:type="dxa"/>
            <w:tcBorders>
              <w:top w:val="nil"/>
              <w:left w:val="nil"/>
              <w:bottom w:val="single" w:sz="4" w:space="0" w:color="auto"/>
              <w:right w:val="single" w:sz="4" w:space="0" w:color="auto"/>
            </w:tcBorders>
            <w:shd w:val="clear" w:color="auto" w:fill="auto"/>
            <w:noWrap/>
            <w:vAlign w:val="center"/>
            <w:hideMark/>
          </w:tcPr>
          <w:p w14:paraId="51A008D0" w14:textId="3EABB224"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-37</w:t>
            </w:r>
            <w:r w:rsidR="00CB570A">
              <w:rPr>
                <w:rFonts w:eastAsia="Times New Roman"/>
                <w:sz w:val="20"/>
                <w:szCs w:val="20"/>
                <w:lang w:eastAsia="cs-CZ"/>
              </w:rPr>
              <w:t> %</w:t>
            </w:r>
          </w:p>
        </w:tc>
        <w:tc>
          <w:tcPr>
            <w:tcW w:w="1021" w:type="dxa"/>
            <w:tcBorders>
              <w:top w:val="nil"/>
              <w:left w:val="nil"/>
              <w:bottom w:val="single" w:sz="4" w:space="0" w:color="auto"/>
              <w:right w:val="nil"/>
            </w:tcBorders>
            <w:shd w:val="clear" w:color="auto" w:fill="auto"/>
            <w:noWrap/>
            <w:vAlign w:val="bottom"/>
            <w:hideMark/>
          </w:tcPr>
          <w:p w14:paraId="037F03BC"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17 943</w:t>
            </w:r>
          </w:p>
        </w:tc>
        <w:tc>
          <w:tcPr>
            <w:tcW w:w="821" w:type="dxa"/>
            <w:tcBorders>
              <w:top w:val="nil"/>
              <w:left w:val="nil"/>
              <w:bottom w:val="single" w:sz="4" w:space="0" w:color="auto"/>
              <w:right w:val="nil"/>
            </w:tcBorders>
            <w:shd w:val="clear" w:color="auto" w:fill="auto"/>
            <w:noWrap/>
            <w:vAlign w:val="center"/>
            <w:hideMark/>
          </w:tcPr>
          <w:p w14:paraId="3ABEF38D" w14:textId="2461A4B8"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1A6D677A" w14:textId="77777777" w:rsidTr="00401B58">
        <w:trPr>
          <w:trHeight w:val="315"/>
        </w:trPr>
        <w:tc>
          <w:tcPr>
            <w:tcW w:w="1996" w:type="dxa"/>
            <w:tcBorders>
              <w:top w:val="nil"/>
              <w:left w:val="nil"/>
              <w:bottom w:val="single" w:sz="4" w:space="0" w:color="auto"/>
              <w:right w:val="nil"/>
            </w:tcBorders>
            <w:shd w:val="clear" w:color="auto" w:fill="auto"/>
            <w:noWrap/>
            <w:vAlign w:val="bottom"/>
            <w:hideMark/>
          </w:tcPr>
          <w:p w14:paraId="67DAB309"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KS Hr. Králové</w:t>
            </w:r>
          </w:p>
        </w:tc>
        <w:tc>
          <w:tcPr>
            <w:tcW w:w="901" w:type="dxa"/>
            <w:tcBorders>
              <w:top w:val="nil"/>
              <w:left w:val="nil"/>
              <w:bottom w:val="single" w:sz="4" w:space="0" w:color="auto"/>
              <w:right w:val="nil"/>
            </w:tcBorders>
            <w:shd w:val="clear" w:color="auto" w:fill="auto"/>
            <w:noWrap/>
            <w:vAlign w:val="bottom"/>
            <w:hideMark/>
          </w:tcPr>
          <w:p w14:paraId="4C1344BF"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2 348</w:t>
            </w:r>
          </w:p>
        </w:tc>
        <w:tc>
          <w:tcPr>
            <w:tcW w:w="789" w:type="dxa"/>
            <w:tcBorders>
              <w:top w:val="nil"/>
              <w:left w:val="nil"/>
              <w:bottom w:val="single" w:sz="4" w:space="0" w:color="auto"/>
              <w:right w:val="nil"/>
            </w:tcBorders>
            <w:shd w:val="clear" w:color="auto" w:fill="auto"/>
            <w:noWrap/>
            <w:vAlign w:val="center"/>
            <w:hideMark/>
          </w:tcPr>
          <w:p w14:paraId="1A41437B" w14:textId="23483D92"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908" w:type="dxa"/>
            <w:tcBorders>
              <w:top w:val="nil"/>
              <w:left w:val="single" w:sz="4" w:space="0" w:color="auto"/>
              <w:bottom w:val="single" w:sz="4" w:space="0" w:color="auto"/>
              <w:right w:val="nil"/>
            </w:tcBorders>
            <w:shd w:val="clear" w:color="auto" w:fill="auto"/>
            <w:noWrap/>
            <w:vAlign w:val="bottom"/>
            <w:hideMark/>
          </w:tcPr>
          <w:p w14:paraId="54C69555"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3 081</w:t>
            </w:r>
          </w:p>
        </w:tc>
        <w:tc>
          <w:tcPr>
            <w:tcW w:w="793" w:type="dxa"/>
            <w:tcBorders>
              <w:top w:val="nil"/>
              <w:left w:val="nil"/>
              <w:bottom w:val="single" w:sz="4" w:space="0" w:color="auto"/>
              <w:right w:val="single" w:sz="4" w:space="0" w:color="auto"/>
            </w:tcBorders>
            <w:shd w:val="clear" w:color="auto" w:fill="auto"/>
            <w:noWrap/>
            <w:vAlign w:val="center"/>
            <w:hideMark/>
          </w:tcPr>
          <w:p w14:paraId="615BBAF0" w14:textId="6BFEAB4C"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931" w:type="dxa"/>
            <w:tcBorders>
              <w:top w:val="nil"/>
              <w:left w:val="nil"/>
              <w:bottom w:val="single" w:sz="4" w:space="0" w:color="auto"/>
              <w:right w:val="nil"/>
            </w:tcBorders>
            <w:shd w:val="clear" w:color="auto" w:fill="auto"/>
            <w:noWrap/>
            <w:vAlign w:val="bottom"/>
            <w:hideMark/>
          </w:tcPr>
          <w:p w14:paraId="171F79F5"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55</w:t>
            </w:r>
          </w:p>
        </w:tc>
        <w:tc>
          <w:tcPr>
            <w:tcW w:w="912" w:type="dxa"/>
            <w:tcBorders>
              <w:top w:val="nil"/>
              <w:left w:val="nil"/>
              <w:bottom w:val="single" w:sz="4" w:space="0" w:color="auto"/>
              <w:right w:val="single" w:sz="4" w:space="0" w:color="auto"/>
            </w:tcBorders>
            <w:shd w:val="clear" w:color="auto" w:fill="auto"/>
            <w:noWrap/>
            <w:vAlign w:val="center"/>
            <w:hideMark/>
          </w:tcPr>
          <w:p w14:paraId="2D966DA4" w14:textId="5BDDED43"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021" w:type="dxa"/>
            <w:tcBorders>
              <w:top w:val="nil"/>
              <w:left w:val="nil"/>
              <w:bottom w:val="single" w:sz="4" w:space="0" w:color="auto"/>
              <w:right w:val="nil"/>
            </w:tcBorders>
            <w:shd w:val="clear" w:color="auto" w:fill="auto"/>
            <w:noWrap/>
            <w:vAlign w:val="bottom"/>
            <w:hideMark/>
          </w:tcPr>
          <w:p w14:paraId="7EF90AE9"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12 125</w:t>
            </w:r>
          </w:p>
        </w:tc>
        <w:tc>
          <w:tcPr>
            <w:tcW w:w="821" w:type="dxa"/>
            <w:tcBorders>
              <w:top w:val="nil"/>
              <w:left w:val="nil"/>
              <w:bottom w:val="single" w:sz="4" w:space="0" w:color="auto"/>
              <w:right w:val="nil"/>
            </w:tcBorders>
            <w:shd w:val="clear" w:color="auto" w:fill="auto"/>
            <w:noWrap/>
            <w:vAlign w:val="center"/>
            <w:hideMark/>
          </w:tcPr>
          <w:p w14:paraId="332480C9" w14:textId="50F8F48B"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63815498" w14:textId="77777777" w:rsidTr="00401B58">
        <w:trPr>
          <w:trHeight w:val="315"/>
        </w:trPr>
        <w:tc>
          <w:tcPr>
            <w:tcW w:w="1996" w:type="dxa"/>
            <w:tcBorders>
              <w:top w:val="nil"/>
              <w:left w:val="nil"/>
              <w:bottom w:val="single" w:sz="4" w:space="0" w:color="auto"/>
              <w:right w:val="nil"/>
            </w:tcBorders>
            <w:shd w:val="clear" w:color="auto" w:fill="auto"/>
            <w:noWrap/>
            <w:vAlign w:val="bottom"/>
            <w:hideMark/>
          </w:tcPr>
          <w:p w14:paraId="72277F98"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KS Brno</w:t>
            </w:r>
          </w:p>
        </w:tc>
        <w:tc>
          <w:tcPr>
            <w:tcW w:w="901" w:type="dxa"/>
            <w:tcBorders>
              <w:top w:val="nil"/>
              <w:left w:val="nil"/>
              <w:bottom w:val="single" w:sz="4" w:space="0" w:color="auto"/>
              <w:right w:val="nil"/>
            </w:tcBorders>
            <w:shd w:val="clear" w:color="auto" w:fill="auto"/>
            <w:noWrap/>
            <w:vAlign w:val="bottom"/>
            <w:hideMark/>
          </w:tcPr>
          <w:p w14:paraId="7056E6F9"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3 795</w:t>
            </w:r>
          </w:p>
        </w:tc>
        <w:tc>
          <w:tcPr>
            <w:tcW w:w="789" w:type="dxa"/>
            <w:tcBorders>
              <w:top w:val="nil"/>
              <w:left w:val="nil"/>
              <w:bottom w:val="single" w:sz="4" w:space="0" w:color="auto"/>
              <w:right w:val="nil"/>
            </w:tcBorders>
            <w:shd w:val="clear" w:color="auto" w:fill="auto"/>
            <w:noWrap/>
            <w:vAlign w:val="center"/>
            <w:hideMark/>
          </w:tcPr>
          <w:p w14:paraId="50E7C8EE" w14:textId="256EDB30"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908" w:type="dxa"/>
            <w:tcBorders>
              <w:top w:val="nil"/>
              <w:left w:val="single" w:sz="4" w:space="0" w:color="auto"/>
              <w:bottom w:val="single" w:sz="4" w:space="0" w:color="auto"/>
              <w:right w:val="nil"/>
            </w:tcBorders>
            <w:shd w:val="clear" w:color="auto" w:fill="auto"/>
            <w:noWrap/>
            <w:vAlign w:val="bottom"/>
            <w:hideMark/>
          </w:tcPr>
          <w:p w14:paraId="671430A5"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4 017</w:t>
            </w:r>
          </w:p>
        </w:tc>
        <w:tc>
          <w:tcPr>
            <w:tcW w:w="793" w:type="dxa"/>
            <w:tcBorders>
              <w:top w:val="nil"/>
              <w:left w:val="nil"/>
              <w:bottom w:val="single" w:sz="4" w:space="0" w:color="auto"/>
              <w:right w:val="single" w:sz="4" w:space="0" w:color="auto"/>
            </w:tcBorders>
            <w:shd w:val="clear" w:color="auto" w:fill="auto"/>
            <w:noWrap/>
            <w:vAlign w:val="center"/>
            <w:hideMark/>
          </w:tcPr>
          <w:p w14:paraId="0C9B1026" w14:textId="23FE7B3F"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31" w:type="dxa"/>
            <w:tcBorders>
              <w:top w:val="nil"/>
              <w:left w:val="nil"/>
              <w:bottom w:val="single" w:sz="4" w:space="0" w:color="auto"/>
              <w:right w:val="nil"/>
            </w:tcBorders>
            <w:shd w:val="clear" w:color="auto" w:fill="auto"/>
            <w:noWrap/>
            <w:vAlign w:val="bottom"/>
            <w:hideMark/>
          </w:tcPr>
          <w:p w14:paraId="33C72BFE"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286</w:t>
            </w:r>
          </w:p>
        </w:tc>
        <w:tc>
          <w:tcPr>
            <w:tcW w:w="912" w:type="dxa"/>
            <w:tcBorders>
              <w:top w:val="nil"/>
              <w:left w:val="nil"/>
              <w:bottom w:val="single" w:sz="4" w:space="0" w:color="auto"/>
              <w:right w:val="single" w:sz="4" w:space="0" w:color="auto"/>
            </w:tcBorders>
            <w:shd w:val="clear" w:color="auto" w:fill="auto"/>
            <w:noWrap/>
            <w:vAlign w:val="center"/>
            <w:hideMark/>
          </w:tcPr>
          <w:p w14:paraId="7AEF6CDC" w14:textId="6BE4098A"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-39</w:t>
            </w:r>
            <w:r w:rsidR="00CB570A">
              <w:rPr>
                <w:rFonts w:eastAsia="Times New Roman"/>
                <w:sz w:val="20"/>
                <w:szCs w:val="20"/>
                <w:lang w:eastAsia="cs-CZ"/>
              </w:rPr>
              <w:t> %</w:t>
            </w:r>
          </w:p>
        </w:tc>
        <w:tc>
          <w:tcPr>
            <w:tcW w:w="1021" w:type="dxa"/>
            <w:tcBorders>
              <w:top w:val="nil"/>
              <w:left w:val="nil"/>
              <w:bottom w:val="single" w:sz="4" w:space="0" w:color="auto"/>
              <w:right w:val="nil"/>
            </w:tcBorders>
            <w:shd w:val="clear" w:color="auto" w:fill="auto"/>
            <w:noWrap/>
            <w:vAlign w:val="bottom"/>
            <w:hideMark/>
          </w:tcPr>
          <w:p w14:paraId="4E303FF6"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16 652</w:t>
            </w:r>
          </w:p>
        </w:tc>
        <w:tc>
          <w:tcPr>
            <w:tcW w:w="821" w:type="dxa"/>
            <w:tcBorders>
              <w:top w:val="nil"/>
              <w:left w:val="nil"/>
              <w:bottom w:val="single" w:sz="4" w:space="0" w:color="auto"/>
              <w:right w:val="nil"/>
            </w:tcBorders>
            <w:shd w:val="clear" w:color="auto" w:fill="auto"/>
            <w:noWrap/>
            <w:vAlign w:val="center"/>
            <w:hideMark/>
          </w:tcPr>
          <w:p w14:paraId="2C12ACF1" w14:textId="79CA6032"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3352FF2D" w14:textId="77777777" w:rsidTr="00401B58">
        <w:trPr>
          <w:trHeight w:val="330"/>
        </w:trPr>
        <w:tc>
          <w:tcPr>
            <w:tcW w:w="1996" w:type="dxa"/>
            <w:tcBorders>
              <w:top w:val="nil"/>
              <w:left w:val="nil"/>
              <w:bottom w:val="double" w:sz="6" w:space="0" w:color="auto"/>
              <w:right w:val="nil"/>
            </w:tcBorders>
            <w:shd w:val="clear" w:color="auto" w:fill="auto"/>
            <w:noWrap/>
            <w:vAlign w:val="bottom"/>
            <w:hideMark/>
          </w:tcPr>
          <w:p w14:paraId="73972A26" w14:textId="77777777" w:rsidR="007A185E" w:rsidRPr="00A00187" w:rsidRDefault="007A185E" w:rsidP="007A185E">
            <w:pPr>
              <w:spacing w:line="240" w:lineRule="auto"/>
              <w:jc w:val="left"/>
              <w:rPr>
                <w:rFonts w:eastAsia="Times New Roman"/>
                <w:szCs w:val="24"/>
                <w:lang w:eastAsia="cs-CZ"/>
              </w:rPr>
            </w:pPr>
            <w:r w:rsidRPr="00A00187">
              <w:rPr>
                <w:rFonts w:eastAsia="Times New Roman"/>
                <w:szCs w:val="24"/>
                <w:lang w:eastAsia="cs-CZ"/>
              </w:rPr>
              <w:t>KS Ostrava</w:t>
            </w:r>
          </w:p>
        </w:tc>
        <w:tc>
          <w:tcPr>
            <w:tcW w:w="901" w:type="dxa"/>
            <w:tcBorders>
              <w:top w:val="nil"/>
              <w:left w:val="nil"/>
              <w:bottom w:val="double" w:sz="6" w:space="0" w:color="auto"/>
              <w:right w:val="nil"/>
            </w:tcBorders>
            <w:shd w:val="clear" w:color="auto" w:fill="auto"/>
            <w:noWrap/>
            <w:vAlign w:val="bottom"/>
            <w:hideMark/>
          </w:tcPr>
          <w:p w14:paraId="0938F955"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4 454</w:t>
            </w:r>
          </w:p>
        </w:tc>
        <w:tc>
          <w:tcPr>
            <w:tcW w:w="789" w:type="dxa"/>
            <w:tcBorders>
              <w:top w:val="nil"/>
              <w:left w:val="nil"/>
              <w:bottom w:val="double" w:sz="6" w:space="0" w:color="auto"/>
              <w:right w:val="nil"/>
            </w:tcBorders>
            <w:shd w:val="clear" w:color="auto" w:fill="auto"/>
            <w:noWrap/>
            <w:vAlign w:val="center"/>
            <w:hideMark/>
          </w:tcPr>
          <w:p w14:paraId="69C1D95D" w14:textId="28DB8F6A"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908" w:type="dxa"/>
            <w:tcBorders>
              <w:top w:val="nil"/>
              <w:left w:val="single" w:sz="4" w:space="0" w:color="auto"/>
              <w:bottom w:val="double" w:sz="6" w:space="0" w:color="auto"/>
              <w:right w:val="nil"/>
            </w:tcBorders>
            <w:shd w:val="clear" w:color="auto" w:fill="auto"/>
            <w:noWrap/>
            <w:vAlign w:val="bottom"/>
            <w:hideMark/>
          </w:tcPr>
          <w:p w14:paraId="4CBCBA6C"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5 206</w:t>
            </w:r>
          </w:p>
        </w:tc>
        <w:tc>
          <w:tcPr>
            <w:tcW w:w="793" w:type="dxa"/>
            <w:tcBorders>
              <w:top w:val="nil"/>
              <w:left w:val="nil"/>
              <w:bottom w:val="double" w:sz="6" w:space="0" w:color="auto"/>
              <w:right w:val="single" w:sz="4" w:space="0" w:color="auto"/>
            </w:tcBorders>
            <w:shd w:val="clear" w:color="auto" w:fill="auto"/>
            <w:noWrap/>
            <w:vAlign w:val="center"/>
            <w:hideMark/>
          </w:tcPr>
          <w:p w14:paraId="7F48A1D0" w14:textId="74CAE471"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931" w:type="dxa"/>
            <w:tcBorders>
              <w:top w:val="nil"/>
              <w:left w:val="nil"/>
              <w:bottom w:val="double" w:sz="6" w:space="0" w:color="auto"/>
              <w:right w:val="nil"/>
            </w:tcBorders>
            <w:shd w:val="clear" w:color="auto" w:fill="auto"/>
            <w:noWrap/>
            <w:vAlign w:val="bottom"/>
            <w:hideMark/>
          </w:tcPr>
          <w:p w14:paraId="2074ADF0"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390</w:t>
            </w:r>
          </w:p>
        </w:tc>
        <w:tc>
          <w:tcPr>
            <w:tcW w:w="912" w:type="dxa"/>
            <w:tcBorders>
              <w:top w:val="nil"/>
              <w:left w:val="nil"/>
              <w:bottom w:val="double" w:sz="6" w:space="0" w:color="auto"/>
              <w:right w:val="single" w:sz="4" w:space="0" w:color="auto"/>
            </w:tcBorders>
            <w:shd w:val="clear" w:color="auto" w:fill="auto"/>
            <w:noWrap/>
            <w:vAlign w:val="center"/>
            <w:hideMark/>
          </w:tcPr>
          <w:p w14:paraId="37418FF4" w14:textId="264EEA0C"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c>
          <w:tcPr>
            <w:tcW w:w="1021" w:type="dxa"/>
            <w:tcBorders>
              <w:top w:val="nil"/>
              <w:left w:val="nil"/>
              <w:bottom w:val="double" w:sz="6" w:space="0" w:color="auto"/>
              <w:right w:val="nil"/>
            </w:tcBorders>
            <w:shd w:val="clear" w:color="auto" w:fill="auto"/>
            <w:noWrap/>
            <w:vAlign w:val="bottom"/>
            <w:hideMark/>
          </w:tcPr>
          <w:p w14:paraId="693C4D38" w14:textId="77777777" w:rsidR="007A185E" w:rsidRPr="00A00187" w:rsidRDefault="007A185E" w:rsidP="007A185E">
            <w:pPr>
              <w:spacing w:line="240" w:lineRule="auto"/>
              <w:jc w:val="center"/>
              <w:rPr>
                <w:rFonts w:eastAsia="Times New Roman"/>
                <w:szCs w:val="24"/>
                <w:lang w:eastAsia="cs-CZ"/>
              </w:rPr>
            </w:pPr>
            <w:r w:rsidRPr="00A00187">
              <w:rPr>
                <w:rFonts w:eastAsia="Times New Roman"/>
                <w:szCs w:val="24"/>
                <w:lang w:eastAsia="cs-CZ"/>
              </w:rPr>
              <w:t>20 936</w:t>
            </w:r>
          </w:p>
        </w:tc>
        <w:tc>
          <w:tcPr>
            <w:tcW w:w="821" w:type="dxa"/>
            <w:tcBorders>
              <w:top w:val="nil"/>
              <w:left w:val="nil"/>
              <w:bottom w:val="double" w:sz="6" w:space="0" w:color="auto"/>
              <w:right w:val="nil"/>
            </w:tcBorders>
            <w:shd w:val="clear" w:color="auto" w:fill="auto"/>
            <w:noWrap/>
            <w:vAlign w:val="center"/>
            <w:hideMark/>
          </w:tcPr>
          <w:p w14:paraId="496B456B" w14:textId="63D946FD" w:rsidR="007A185E" w:rsidRPr="00A00187" w:rsidRDefault="007A185E"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6957D4D4" w14:textId="77777777" w:rsidTr="00401B58">
        <w:trPr>
          <w:trHeight w:val="345"/>
        </w:trPr>
        <w:tc>
          <w:tcPr>
            <w:tcW w:w="1996" w:type="dxa"/>
            <w:tcBorders>
              <w:top w:val="nil"/>
              <w:left w:val="nil"/>
              <w:bottom w:val="double" w:sz="6" w:space="0" w:color="auto"/>
              <w:right w:val="nil"/>
            </w:tcBorders>
            <w:shd w:val="clear" w:color="auto" w:fill="auto"/>
            <w:noWrap/>
            <w:vAlign w:val="bottom"/>
            <w:hideMark/>
          </w:tcPr>
          <w:p w14:paraId="12142B01" w14:textId="77777777" w:rsidR="007A185E" w:rsidRPr="00A00187" w:rsidRDefault="007A185E" w:rsidP="007A185E">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901" w:type="dxa"/>
            <w:tcBorders>
              <w:top w:val="nil"/>
              <w:left w:val="nil"/>
              <w:bottom w:val="double" w:sz="6" w:space="0" w:color="auto"/>
              <w:right w:val="nil"/>
            </w:tcBorders>
            <w:shd w:val="clear" w:color="auto" w:fill="auto"/>
            <w:noWrap/>
            <w:vAlign w:val="bottom"/>
            <w:hideMark/>
          </w:tcPr>
          <w:p w14:paraId="2AC28E0C"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23 649</w:t>
            </w:r>
          </w:p>
        </w:tc>
        <w:tc>
          <w:tcPr>
            <w:tcW w:w="789" w:type="dxa"/>
            <w:tcBorders>
              <w:top w:val="nil"/>
              <w:left w:val="nil"/>
              <w:bottom w:val="double" w:sz="6" w:space="0" w:color="auto"/>
              <w:right w:val="nil"/>
            </w:tcBorders>
            <w:shd w:val="clear" w:color="auto" w:fill="auto"/>
            <w:noWrap/>
            <w:vAlign w:val="center"/>
            <w:hideMark/>
          </w:tcPr>
          <w:p w14:paraId="04D01D2F" w14:textId="0A199A38" w:rsidR="007A185E" w:rsidRPr="00A00187" w:rsidRDefault="007A185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-12</w:t>
            </w:r>
            <w:r w:rsidR="00CB570A">
              <w:rPr>
                <w:rFonts w:eastAsia="Times New Roman"/>
                <w:b/>
                <w:bCs/>
                <w:sz w:val="20"/>
                <w:szCs w:val="20"/>
                <w:lang w:eastAsia="cs-CZ"/>
              </w:rPr>
              <w:t> %</w:t>
            </w:r>
          </w:p>
        </w:tc>
        <w:tc>
          <w:tcPr>
            <w:tcW w:w="908" w:type="dxa"/>
            <w:tcBorders>
              <w:top w:val="nil"/>
              <w:left w:val="single" w:sz="4" w:space="0" w:color="auto"/>
              <w:bottom w:val="double" w:sz="6" w:space="0" w:color="auto"/>
              <w:right w:val="nil"/>
            </w:tcBorders>
            <w:shd w:val="clear" w:color="auto" w:fill="auto"/>
            <w:noWrap/>
            <w:vAlign w:val="bottom"/>
            <w:hideMark/>
          </w:tcPr>
          <w:p w14:paraId="3EFC37BE"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26 679</w:t>
            </w:r>
          </w:p>
        </w:tc>
        <w:tc>
          <w:tcPr>
            <w:tcW w:w="793" w:type="dxa"/>
            <w:tcBorders>
              <w:top w:val="nil"/>
              <w:left w:val="nil"/>
              <w:bottom w:val="double" w:sz="6" w:space="0" w:color="auto"/>
              <w:right w:val="single" w:sz="4" w:space="0" w:color="auto"/>
            </w:tcBorders>
            <w:shd w:val="clear" w:color="auto" w:fill="auto"/>
            <w:noWrap/>
            <w:vAlign w:val="center"/>
            <w:hideMark/>
          </w:tcPr>
          <w:p w14:paraId="6CF3392E" w14:textId="26AACAF9" w:rsidR="007A185E" w:rsidRPr="00A00187" w:rsidRDefault="007A185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w:t>
            </w:r>
            <w:r w:rsidR="00CB570A">
              <w:rPr>
                <w:rFonts w:eastAsia="Times New Roman"/>
                <w:b/>
                <w:bCs/>
                <w:sz w:val="20"/>
                <w:szCs w:val="20"/>
                <w:lang w:eastAsia="cs-CZ"/>
              </w:rPr>
              <w:t> %</w:t>
            </w:r>
          </w:p>
        </w:tc>
        <w:tc>
          <w:tcPr>
            <w:tcW w:w="931" w:type="dxa"/>
            <w:tcBorders>
              <w:top w:val="nil"/>
              <w:left w:val="nil"/>
              <w:bottom w:val="double" w:sz="6" w:space="0" w:color="auto"/>
              <w:right w:val="nil"/>
            </w:tcBorders>
            <w:shd w:val="clear" w:color="auto" w:fill="auto"/>
            <w:noWrap/>
            <w:vAlign w:val="bottom"/>
            <w:hideMark/>
          </w:tcPr>
          <w:p w14:paraId="49E58CA7"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1 599</w:t>
            </w:r>
          </w:p>
        </w:tc>
        <w:tc>
          <w:tcPr>
            <w:tcW w:w="912" w:type="dxa"/>
            <w:tcBorders>
              <w:top w:val="nil"/>
              <w:left w:val="nil"/>
              <w:bottom w:val="double" w:sz="6" w:space="0" w:color="auto"/>
              <w:right w:val="single" w:sz="4" w:space="0" w:color="auto"/>
            </w:tcBorders>
            <w:shd w:val="clear" w:color="auto" w:fill="auto"/>
            <w:noWrap/>
            <w:vAlign w:val="center"/>
            <w:hideMark/>
          </w:tcPr>
          <w:p w14:paraId="0651AEB9" w14:textId="3C758C07" w:rsidR="007A185E" w:rsidRPr="00A00187" w:rsidRDefault="007A185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-35</w:t>
            </w:r>
            <w:r w:rsidR="00CB570A">
              <w:rPr>
                <w:rFonts w:eastAsia="Times New Roman"/>
                <w:b/>
                <w:bCs/>
                <w:sz w:val="20"/>
                <w:szCs w:val="20"/>
                <w:lang w:eastAsia="cs-CZ"/>
              </w:rPr>
              <w:t> %</w:t>
            </w:r>
          </w:p>
        </w:tc>
        <w:tc>
          <w:tcPr>
            <w:tcW w:w="1021" w:type="dxa"/>
            <w:tcBorders>
              <w:top w:val="nil"/>
              <w:left w:val="nil"/>
              <w:bottom w:val="double" w:sz="6" w:space="0" w:color="auto"/>
              <w:right w:val="nil"/>
            </w:tcBorders>
            <w:shd w:val="clear" w:color="auto" w:fill="auto"/>
            <w:noWrap/>
            <w:vAlign w:val="bottom"/>
            <w:hideMark/>
          </w:tcPr>
          <w:p w14:paraId="06A8B0B3" w14:textId="77777777" w:rsidR="007A185E" w:rsidRPr="00A00187" w:rsidRDefault="007A185E" w:rsidP="007A185E">
            <w:pPr>
              <w:spacing w:line="240" w:lineRule="auto"/>
              <w:jc w:val="center"/>
              <w:rPr>
                <w:rFonts w:eastAsia="Times New Roman"/>
                <w:b/>
                <w:bCs/>
                <w:szCs w:val="24"/>
                <w:lang w:eastAsia="cs-CZ"/>
              </w:rPr>
            </w:pPr>
            <w:r w:rsidRPr="00A00187">
              <w:rPr>
                <w:rFonts w:eastAsia="Times New Roman"/>
                <w:b/>
                <w:bCs/>
                <w:szCs w:val="24"/>
                <w:lang w:eastAsia="cs-CZ"/>
              </w:rPr>
              <w:t>105 617</w:t>
            </w:r>
          </w:p>
        </w:tc>
        <w:tc>
          <w:tcPr>
            <w:tcW w:w="821" w:type="dxa"/>
            <w:tcBorders>
              <w:top w:val="nil"/>
              <w:left w:val="nil"/>
              <w:bottom w:val="double" w:sz="6" w:space="0" w:color="auto"/>
              <w:right w:val="nil"/>
            </w:tcBorders>
            <w:shd w:val="clear" w:color="auto" w:fill="auto"/>
            <w:noWrap/>
            <w:vAlign w:val="center"/>
            <w:hideMark/>
          </w:tcPr>
          <w:p w14:paraId="108F6D11" w14:textId="2185363F" w:rsidR="007A185E" w:rsidRPr="00A00187" w:rsidRDefault="007A185E"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r>
    </w:tbl>
    <w:p w14:paraId="128E854B" w14:textId="23AA3DFB" w:rsidR="003F7C54" w:rsidRPr="00A00187" w:rsidRDefault="003F7C54" w:rsidP="003F7C54">
      <w:pPr>
        <w:pStyle w:val="OdstavecASR"/>
      </w:pPr>
      <w:r w:rsidRPr="00A00187">
        <w:t>Počet napadlých věcí v prvních letech logicky stoupal, protože se jednalo o novou agendu. Změnu trendu v roce 2013 můžeme připsat změnám v ekonomické situaci v ČR, zejména ale tomu, že „zásoba“ osob, které se před rokem 2008 dostaly do úpadkové situace a </w:t>
      </w:r>
      <w:r w:rsidR="00172E36" w:rsidRPr="00A00187">
        <w:t>byly schopny</w:t>
      </w:r>
      <w:r w:rsidR="007C05E5" w:rsidRPr="00A00187">
        <w:t xml:space="preserve"> </w:t>
      </w:r>
      <w:r w:rsidRPr="00A00187">
        <w:t>ji řešit oddlužením, se vyčerpala</w:t>
      </w:r>
      <w:r w:rsidR="00634B99" w:rsidRPr="00A00187">
        <w:t>,</w:t>
      </w:r>
      <w:r w:rsidRPr="00A00187">
        <w:t xml:space="preserve"> a nově tedy již jde jen o navrhovatele, kteří </w:t>
      </w:r>
      <w:r w:rsidR="00172E36" w:rsidRPr="00A00187">
        <w:t xml:space="preserve">k rozhodnutí </w:t>
      </w:r>
      <w:r w:rsidR="00755920" w:rsidRPr="00A00187">
        <w:t>o</w:t>
      </w:r>
      <w:r w:rsidR="00755920">
        <w:t> </w:t>
      </w:r>
      <w:r w:rsidR="00172E36" w:rsidRPr="00A00187">
        <w:t xml:space="preserve">podání insolvenčního návrhu </w:t>
      </w:r>
      <w:r w:rsidRPr="00A00187">
        <w:t xml:space="preserve">dospěli </w:t>
      </w:r>
      <w:r w:rsidR="00172E36" w:rsidRPr="00A00187">
        <w:t>až</w:t>
      </w:r>
      <w:r w:rsidRPr="00A00187">
        <w:t xml:space="preserve"> v daném roce. Časová řada počtu nevyřízených věcí před rozhodnutím o úpadku má podobný průběh se zpožděním, což je vzhledem k rychlosti vyřizování insolvenčních návrhů logické. Počet vyřízených věcí rostl v letech 2016 až 2019, protože celé insolvenční řízení trvá několik let. Ve vyřízených věcech se tedy odrážel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 Již zde „vyprchal“ efekt rostoucího nápadu do roku 2013. V roce 2018 pak počet nevyřízených věcí začal klesat, a to u všech soudů s výjimkou MS Praha. Vzhledem k novelám insolvenčního zákona je složitější odhadnout vývoj této proměnné v dalších letech. Novela účinná od 1.</w:t>
      </w:r>
      <w:r w:rsidR="00F9725C">
        <w:t> </w:t>
      </w:r>
      <w:r w:rsidRPr="00A00187">
        <w:t>7.</w:t>
      </w:r>
      <w:r w:rsidR="00F9725C">
        <w:t> </w:t>
      </w:r>
      <w:r w:rsidRPr="00A00187">
        <w:t>2017 mimo jiné zpřísnila podmínky pro podání insolvenčního návrhu u fyzických osob. Měsíční data za rok 2017 a 2018 ukázala, že to vedlo k velkému růstu nápadu před účinností novely, tedy v červnu 2017. Poté došlo k prudkému poklesu v nápadu. V součtu se tento efekt později projevil dalším snížením v počtu nevyřízených věcí po rozhodnutí o úpadku. V následujících měsících nápad opět postupně rostl a přibližoval se tak hodnotám před červnem 2017. Měsíční nápad ale stále byl v průměru nižší, než byl před novelou. Další novela insolvenční zákona je účinná od 1.</w:t>
      </w:r>
      <w:r w:rsidR="00F9725C">
        <w:t> </w:t>
      </w:r>
      <w:r w:rsidRPr="00A00187">
        <w:t>6.</w:t>
      </w:r>
      <w:r w:rsidR="00F9725C">
        <w:t> </w:t>
      </w:r>
      <w:r w:rsidRPr="00A00187">
        <w:t>2019, jak bylo uvedeno výše. Po účinnosti této novely došlo k velmi prudkému nárůstu v počtu napadlých věcí, a to především v prvních měsících. To se pak samozřejmě projevilo i v počtu nevyřízených věcí.</w:t>
      </w:r>
    </w:p>
    <w:p w14:paraId="0E0826E1" w14:textId="4D98CC3D" w:rsidR="00CB570A" w:rsidRDefault="003F7C54" w:rsidP="003F7C54">
      <w:pPr>
        <w:pStyle w:val="OdstavecASR"/>
      </w:pPr>
      <w:r w:rsidRPr="00A00187">
        <w:t>V </w:t>
      </w:r>
      <w:r w:rsidR="003073A8" w:rsidRPr="00A00187">
        <w:t>letech</w:t>
      </w:r>
      <w:r w:rsidRPr="00A00187">
        <w:t xml:space="preserve"> </w:t>
      </w:r>
      <w:r w:rsidR="003073A8" w:rsidRPr="00A00187">
        <w:t xml:space="preserve">2020 </w:t>
      </w:r>
      <w:r w:rsidR="00755920" w:rsidRPr="00A00187">
        <w:t>a</w:t>
      </w:r>
      <w:r w:rsidR="00755920">
        <w:t> </w:t>
      </w:r>
      <w:r w:rsidRPr="00A00187">
        <w:t>202</w:t>
      </w:r>
      <w:r w:rsidR="003073A8" w:rsidRPr="00A00187">
        <w:t>1</w:t>
      </w:r>
      <w:r w:rsidRPr="00A00187">
        <w:t xml:space="preserve"> došlo k poklesu v nápadu o 13</w:t>
      </w:r>
      <w:r w:rsidR="00CB570A">
        <w:t> %</w:t>
      </w:r>
      <w:r w:rsidR="00083096" w:rsidRPr="00A00187">
        <w:t>,</w:t>
      </w:r>
      <w:r w:rsidR="003073A8" w:rsidRPr="00A00187">
        <w:t xml:space="preserve"> respektive 12</w:t>
      </w:r>
      <w:r w:rsidR="00CB570A">
        <w:t> %</w:t>
      </w:r>
      <w:r w:rsidRPr="00A00187">
        <w:t xml:space="preserve">. Nápad klesl u všech soudů. </w:t>
      </w:r>
      <w:r w:rsidR="00172E36" w:rsidRPr="00A00187">
        <w:t>Byť je u</w:t>
      </w:r>
      <w:r w:rsidRPr="00A00187">
        <w:t xml:space="preserve"> insolvenční agendy obtížné </w:t>
      </w:r>
      <w:r w:rsidR="00172E36" w:rsidRPr="00A00187">
        <w:t xml:space="preserve">jednoznačně </w:t>
      </w:r>
      <w:r w:rsidRPr="00A00187">
        <w:t>určit zdroj poklesu</w:t>
      </w:r>
      <w:r w:rsidR="00172E36" w:rsidRPr="00A00187">
        <w:t xml:space="preserve"> s ohledem na</w:t>
      </w:r>
      <w:r w:rsidRPr="00A00187">
        <w:t xml:space="preserve"> legislativní změny z posledních let, </w:t>
      </w:r>
      <w:r w:rsidR="00172E36" w:rsidRPr="00A00187">
        <w:t>lze předpokládat, že citelný dopad měla</w:t>
      </w:r>
      <w:r w:rsidRPr="00A00187">
        <w:t xml:space="preserve"> pandemie COVID</w:t>
      </w:r>
      <w:r w:rsidRPr="00A00187">
        <w:noBreakHyphen/>
        <w:t xml:space="preserve">19 </w:t>
      </w:r>
      <w:r w:rsidR="00755920" w:rsidRPr="00A00187">
        <w:t>a</w:t>
      </w:r>
      <w:r w:rsidR="00755920">
        <w:t> </w:t>
      </w:r>
      <w:r w:rsidR="00172E36" w:rsidRPr="00A00187">
        <w:t>zejména pak „lex covid justice“, který mimo jiné upravoval ochranný institut mimořádného moratoria a pozastavoval povinnost dlužníka podat na sebe insolvenční návrh.</w:t>
      </w:r>
    </w:p>
    <w:p w14:paraId="0381D8DB" w14:textId="06949AED" w:rsidR="008430BD" w:rsidRPr="00A00187" w:rsidRDefault="008430BD" w:rsidP="008430BD">
      <w:pPr>
        <w:pStyle w:val="Nadpis3"/>
        <w:numPr>
          <w:ilvl w:val="2"/>
          <w:numId w:val="1"/>
        </w:numPr>
        <w:rPr>
          <w:color w:val="auto"/>
        </w:rPr>
      </w:pPr>
      <w:bookmarkStart w:id="943" w:name="_Toc515871275"/>
      <w:bookmarkStart w:id="944" w:name="_Toc106092782"/>
      <w:bookmarkStart w:id="945" w:name="_Toc109801393"/>
      <w:r w:rsidRPr="00A00187">
        <w:rPr>
          <w:color w:val="auto"/>
        </w:rPr>
        <w:lastRenderedPageBreak/>
        <w:t>Vyřizování věcí v přepočtu na soudce</w:t>
      </w:r>
      <w:bookmarkEnd w:id="943"/>
      <w:bookmarkEnd w:id="944"/>
      <w:bookmarkEnd w:id="945"/>
    </w:p>
    <w:p w14:paraId="1ADA820B" w14:textId="77777777" w:rsidR="00CB570A" w:rsidRDefault="003073A8" w:rsidP="003073A8">
      <w:pPr>
        <w:pStyle w:val="OdstavecASR"/>
      </w:pPr>
      <w:r w:rsidRPr="00A00187">
        <w:t>Stejně jako u ostatních agend má Ministerstvo spravedlnosti od roku 2019 k dispozici detailnější statistická data o počtu soudců na insolvenčních úsecích soudů.</w:t>
      </w:r>
    </w:p>
    <w:p w14:paraId="75A34BB5" w14:textId="3CEE5798" w:rsidR="00ED7EF1" w:rsidRPr="00A00187" w:rsidRDefault="00ED7EF1" w:rsidP="00ED7EF1">
      <w:pPr>
        <w:pStyle w:val="Podnadpis"/>
        <w:rPr>
          <w:color w:val="auto"/>
        </w:rPr>
      </w:pPr>
      <w:bookmarkStart w:id="946" w:name="_Toc11133266"/>
      <w:bookmarkStart w:id="947" w:name="_Toc43931245"/>
      <w:bookmarkStart w:id="948" w:name="_Toc75952378"/>
      <w:bookmarkStart w:id="949" w:name="_Toc106106831"/>
      <w:bookmarkStart w:id="950" w:name="_Toc109802154"/>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69</w:t>
      </w:r>
      <w:r w:rsidRPr="00A00187">
        <w:rPr>
          <w:noProof/>
          <w:color w:val="auto"/>
        </w:rPr>
        <w:fldChar w:fldCharType="end"/>
      </w:r>
      <w:r w:rsidRPr="00A00187">
        <w:rPr>
          <w:color w:val="auto"/>
        </w:rPr>
        <w:t>: KS – vyřizování insolvenčních věcí na skutečný úvazek dle soudů</w:t>
      </w:r>
      <w:bookmarkEnd w:id="946"/>
      <w:bookmarkEnd w:id="947"/>
      <w:bookmarkEnd w:id="948"/>
      <w:bookmarkEnd w:id="949"/>
      <w:bookmarkEnd w:id="950"/>
    </w:p>
    <w:tbl>
      <w:tblPr>
        <w:tblW w:w="9072" w:type="dxa"/>
        <w:tblLayout w:type="fixed"/>
        <w:tblCellMar>
          <w:left w:w="70" w:type="dxa"/>
          <w:right w:w="70" w:type="dxa"/>
        </w:tblCellMar>
        <w:tblLook w:val="04A0" w:firstRow="1" w:lastRow="0" w:firstColumn="1" w:lastColumn="0" w:noHBand="0" w:noVBand="1"/>
      </w:tblPr>
      <w:tblGrid>
        <w:gridCol w:w="2076"/>
        <w:gridCol w:w="988"/>
        <w:gridCol w:w="1075"/>
        <w:gridCol w:w="964"/>
        <w:gridCol w:w="1260"/>
        <w:gridCol w:w="867"/>
        <w:gridCol w:w="874"/>
        <w:gridCol w:w="968"/>
      </w:tblGrid>
      <w:tr w:rsidR="00AC1E67" w:rsidRPr="00A00187" w14:paraId="50AC9186" w14:textId="77777777" w:rsidTr="00641DB9">
        <w:trPr>
          <w:trHeight w:val="330"/>
        </w:trPr>
        <w:tc>
          <w:tcPr>
            <w:tcW w:w="2076" w:type="dxa"/>
            <w:vMerge w:val="restart"/>
            <w:tcBorders>
              <w:top w:val="double" w:sz="6" w:space="0" w:color="auto"/>
              <w:left w:val="nil"/>
              <w:bottom w:val="double" w:sz="6" w:space="0" w:color="000000"/>
              <w:right w:val="nil"/>
            </w:tcBorders>
            <w:shd w:val="clear" w:color="auto" w:fill="auto"/>
            <w:noWrap/>
            <w:vAlign w:val="center"/>
            <w:hideMark/>
          </w:tcPr>
          <w:p w14:paraId="08E8F061" w14:textId="7DB72C9D" w:rsidR="00436E62" w:rsidRPr="00A00187" w:rsidRDefault="005709BE" w:rsidP="005709BE">
            <w:pPr>
              <w:spacing w:line="240" w:lineRule="auto"/>
              <w:jc w:val="center"/>
              <w:rPr>
                <w:rFonts w:eastAsia="Times New Roman"/>
                <w:b/>
                <w:bCs/>
                <w:szCs w:val="24"/>
                <w:lang w:eastAsia="cs-CZ"/>
              </w:rPr>
            </w:pPr>
            <w:r>
              <w:rPr>
                <w:rFonts w:eastAsia="Times New Roman"/>
                <w:b/>
                <w:bCs/>
                <w:szCs w:val="24"/>
                <w:lang w:eastAsia="cs-CZ"/>
              </w:rPr>
              <w:t>S</w:t>
            </w:r>
            <w:r w:rsidR="00436E62" w:rsidRPr="00A00187">
              <w:rPr>
                <w:rFonts w:eastAsia="Times New Roman"/>
                <w:b/>
                <w:bCs/>
                <w:szCs w:val="24"/>
                <w:lang w:eastAsia="cs-CZ"/>
              </w:rPr>
              <w:t>oud</w:t>
            </w:r>
          </w:p>
        </w:tc>
        <w:tc>
          <w:tcPr>
            <w:tcW w:w="988" w:type="dxa"/>
            <w:vMerge w:val="restart"/>
            <w:tcBorders>
              <w:top w:val="double" w:sz="6" w:space="0" w:color="auto"/>
              <w:left w:val="nil"/>
              <w:bottom w:val="double" w:sz="6" w:space="0" w:color="000000"/>
              <w:right w:val="nil"/>
            </w:tcBorders>
            <w:shd w:val="clear" w:color="auto" w:fill="auto"/>
            <w:vAlign w:val="center"/>
            <w:hideMark/>
          </w:tcPr>
          <w:p w14:paraId="6B5A6B5D" w14:textId="77777777"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6008" w:type="dxa"/>
            <w:gridSpan w:val="6"/>
            <w:tcBorders>
              <w:top w:val="double" w:sz="6" w:space="0" w:color="auto"/>
              <w:left w:val="nil"/>
              <w:bottom w:val="nil"/>
              <w:right w:val="nil"/>
            </w:tcBorders>
            <w:shd w:val="clear" w:color="auto" w:fill="auto"/>
            <w:noWrap/>
            <w:vAlign w:val="center"/>
            <w:hideMark/>
          </w:tcPr>
          <w:p w14:paraId="06D5BC7C" w14:textId="3C3F1209"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 xml:space="preserve">Počet věcí na </w:t>
            </w:r>
            <w:r w:rsidR="00433EC5">
              <w:rPr>
                <w:rFonts w:eastAsia="Times New Roman"/>
                <w:b/>
                <w:bCs/>
                <w:szCs w:val="24"/>
                <w:lang w:eastAsia="cs-CZ"/>
              </w:rPr>
              <w:t>úvazek</w:t>
            </w:r>
          </w:p>
        </w:tc>
      </w:tr>
      <w:tr w:rsidR="00AC1E67" w:rsidRPr="00A00187" w14:paraId="7BBD4305" w14:textId="77777777" w:rsidTr="00641DB9">
        <w:trPr>
          <w:trHeight w:val="960"/>
        </w:trPr>
        <w:tc>
          <w:tcPr>
            <w:tcW w:w="2076" w:type="dxa"/>
            <w:vMerge/>
            <w:tcBorders>
              <w:top w:val="double" w:sz="6" w:space="0" w:color="auto"/>
              <w:left w:val="nil"/>
              <w:bottom w:val="double" w:sz="6" w:space="0" w:color="000000"/>
              <w:right w:val="nil"/>
            </w:tcBorders>
            <w:vAlign w:val="center"/>
            <w:hideMark/>
          </w:tcPr>
          <w:p w14:paraId="0757AF87" w14:textId="77777777" w:rsidR="00436E62" w:rsidRPr="00A00187" w:rsidRDefault="00436E62" w:rsidP="00436E62">
            <w:pPr>
              <w:spacing w:line="240" w:lineRule="auto"/>
              <w:jc w:val="left"/>
              <w:rPr>
                <w:rFonts w:eastAsia="Times New Roman"/>
                <w:b/>
                <w:bCs/>
                <w:szCs w:val="24"/>
                <w:lang w:eastAsia="cs-CZ"/>
              </w:rPr>
            </w:pPr>
          </w:p>
        </w:tc>
        <w:tc>
          <w:tcPr>
            <w:tcW w:w="988" w:type="dxa"/>
            <w:vMerge/>
            <w:tcBorders>
              <w:top w:val="double" w:sz="6" w:space="0" w:color="auto"/>
              <w:left w:val="nil"/>
              <w:bottom w:val="double" w:sz="6" w:space="0" w:color="000000"/>
              <w:right w:val="nil"/>
            </w:tcBorders>
            <w:vAlign w:val="center"/>
            <w:hideMark/>
          </w:tcPr>
          <w:p w14:paraId="49F58C75" w14:textId="77777777" w:rsidR="00436E62" w:rsidRPr="00A00187" w:rsidRDefault="00436E62" w:rsidP="00436E62">
            <w:pPr>
              <w:spacing w:line="240" w:lineRule="auto"/>
              <w:jc w:val="left"/>
              <w:rPr>
                <w:rFonts w:eastAsia="Times New Roman"/>
                <w:b/>
                <w:bCs/>
                <w:szCs w:val="24"/>
                <w:lang w:eastAsia="cs-CZ"/>
              </w:rPr>
            </w:pPr>
          </w:p>
        </w:tc>
        <w:tc>
          <w:tcPr>
            <w:tcW w:w="2039" w:type="dxa"/>
            <w:gridSpan w:val="2"/>
            <w:tcBorders>
              <w:top w:val="nil"/>
              <w:left w:val="nil"/>
              <w:bottom w:val="double" w:sz="6" w:space="0" w:color="auto"/>
              <w:right w:val="nil"/>
            </w:tcBorders>
            <w:shd w:val="clear" w:color="auto" w:fill="auto"/>
            <w:noWrap/>
            <w:vAlign w:val="center"/>
            <w:hideMark/>
          </w:tcPr>
          <w:p w14:paraId="6C1A4A1B" w14:textId="77777777"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212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799D356" w14:textId="77777777"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842" w:type="dxa"/>
            <w:gridSpan w:val="2"/>
            <w:tcBorders>
              <w:top w:val="nil"/>
              <w:left w:val="nil"/>
              <w:bottom w:val="double" w:sz="6" w:space="0" w:color="auto"/>
              <w:right w:val="nil"/>
            </w:tcBorders>
            <w:shd w:val="clear" w:color="auto" w:fill="auto"/>
            <w:vAlign w:val="center"/>
            <w:hideMark/>
          </w:tcPr>
          <w:p w14:paraId="734D68E0" w14:textId="5432812B"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 xml:space="preserve">Nevyřízeno před </w:t>
            </w:r>
            <w:proofErr w:type="spellStart"/>
            <w:r w:rsidRPr="00A00187">
              <w:rPr>
                <w:rFonts w:eastAsia="Times New Roman"/>
                <w:b/>
                <w:bCs/>
                <w:szCs w:val="24"/>
                <w:lang w:eastAsia="cs-CZ"/>
              </w:rPr>
              <w:t>rozh</w:t>
            </w:r>
            <w:proofErr w:type="spellEnd"/>
            <w:r w:rsidRPr="00A00187">
              <w:rPr>
                <w:rFonts w:eastAsia="Times New Roman"/>
                <w:b/>
                <w:bCs/>
                <w:szCs w:val="24"/>
                <w:lang w:eastAsia="cs-CZ"/>
              </w:rPr>
              <w:t xml:space="preserve">. </w:t>
            </w:r>
            <w:r w:rsidR="00755920" w:rsidRPr="00A00187">
              <w:rPr>
                <w:rFonts w:eastAsia="Times New Roman"/>
                <w:b/>
                <w:bCs/>
                <w:szCs w:val="24"/>
                <w:lang w:eastAsia="cs-CZ"/>
              </w:rPr>
              <w:t>o</w:t>
            </w:r>
            <w:r w:rsidR="00755920">
              <w:rPr>
                <w:rFonts w:eastAsia="Times New Roman"/>
                <w:b/>
                <w:bCs/>
                <w:szCs w:val="24"/>
                <w:lang w:eastAsia="cs-CZ"/>
              </w:rPr>
              <w:t> </w:t>
            </w:r>
            <w:r w:rsidRPr="00A00187">
              <w:rPr>
                <w:rFonts w:eastAsia="Times New Roman"/>
                <w:b/>
                <w:bCs/>
                <w:szCs w:val="24"/>
                <w:lang w:eastAsia="cs-CZ"/>
              </w:rPr>
              <w:t>úpadku</w:t>
            </w:r>
          </w:p>
        </w:tc>
      </w:tr>
      <w:tr w:rsidR="00AC1E67" w:rsidRPr="00A00187" w14:paraId="5C1CB69A" w14:textId="77777777" w:rsidTr="00641DB9">
        <w:trPr>
          <w:trHeight w:val="330"/>
        </w:trPr>
        <w:tc>
          <w:tcPr>
            <w:tcW w:w="2076" w:type="dxa"/>
            <w:tcBorders>
              <w:top w:val="single" w:sz="4" w:space="0" w:color="auto"/>
              <w:left w:val="nil"/>
              <w:bottom w:val="single" w:sz="4" w:space="0" w:color="auto"/>
              <w:right w:val="nil"/>
            </w:tcBorders>
            <w:shd w:val="clear" w:color="auto" w:fill="auto"/>
            <w:noWrap/>
            <w:vAlign w:val="bottom"/>
            <w:hideMark/>
          </w:tcPr>
          <w:p w14:paraId="26C11B84"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MS Praha</w:t>
            </w:r>
          </w:p>
        </w:tc>
        <w:tc>
          <w:tcPr>
            <w:tcW w:w="988" w:type="dxa"/>
            <w:tcBorders>
              <w:top w:val="single" w:sz="4" w:space="0" w:color="auto"/>
              <w:left w:val="nil"/>
              <w:bottom w:val="single" w:sz="4" w:space="0" w:color="auto"/>
              <w:right w:val="nil"/>
            </w:tcBorders>
            <w:shd w:val="clear" w:color="auto" w:fill="auto"/>
            <w:vAlign w:val="bottom"/>
            <w:hideMark/>
          </w:tcPr>
          <w:p w14:paraId="594964CD" w14:textId="77777777"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17</w:t>
            </w:r>
          </w:p>
        </w:tc>
        <w:tc>
          <w:tcPr>
            <w:tcW w:w="1075" w:type="dxa"/>
            <w:tcBorders>
              <w:top w:val="single" w:sz="4" w:space="0" w:color="auto"/>
              <w:left w:val="nil"/>
              <w:bottom w:val="single" w:sz="4" w:space="0" w:color="auto"/>
              <w:right w:val="nil"/>
            </w:tcBorders>
            <w:shd w:val="clear" w:color="auto" w:fill="auto"/>
            <w:noWrap/>
            <w:vAlign w:val="bottom"/>
            <w:hideMark/>
          </w:tcPr>
          <w:p w14:paraId="6FAD021C" w14:textId="7F09D02E"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158,88</w:t>
            </w:r>
          </w:p>
        </w:tc>
        <w:tc>
          <w:tcPr>
            <w:tcW w:w="964" w:type="dxa"/>
            <w:tcBorders>
              <w:top w:val="single" w:sz="4" w:space="0" w:color="auto"/>
              <w:left w:val="nil"/>
              <w:bottom w:val="single" w:sz="4" w:space="0" w:color="auto"/>
              <w:right w:val="nil"/>
            </w:tcBorders>
            <w:shd w:val="clear" w:color="auto" w:fill="auto"/>
            <w:noWrap/>
            <w:vAlign w:val="center"/>
            <w:hideMark/>
          </w:tcPr>
          <w:p w14:paraId="5B36CCC1" w14:textId="5CCD1974"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1260" w:type="dxa"/>
            <w:tcBorders>
              <w:top w:val="nil"/>
              <w:left w:val="single" w:sz="4" w:space="0" w:color="auto"/>
              <w:bottom w:val="single" w:sz="4" w:space="0" w:color="auto"/>
              <w:right w:val="nil"/>
            </w:tcBorders>
            <w:shd w:val="clear" w:color="auto" w:fill="auto"/>
            <w:noWrap/>
            <w:vAlign w:val="bottom"/>
            <w:hideMark/>
          </w:tcPr>
          <w:p w14:paraId="6059E732" w14:textId="13B6B90D"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136,82</w:t>
            </w:r>
          </w:p>
        </w:tc>
        <w:tc>
          <w:tcPr>
            <w:tcW w:w="867" w:type="dxa"/>
            <w:tcBorders>
              <w:top w:val="nil"/>
              <w:left w:val="nil"/>
              <w:bottom w:val="single" w:sz="4" w:space="0" w:color="auto"/>
              <w:right w:val="single" w:sz="4" w:space="0" w:color="auto"/>
            </w:tcBorders>
            <w:shd w:val="clear" w:color="auto" w:fill="auto"/>
            <w:noWrap/>
            <w:vAlign w:val="center"/>
            <w:hideMark/>
          </w:tcPr>
          <w:p w14:paraId="74075642" w14:textId="14756DBD"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-39</w:t>
            </w:r>
            <w:r w:rsidR="00CB570A">
              <w:rPr>
                <w:rFonts w:eastAsia="Times New Roman"/>
                <w:sz w:val="20"/>
                <w:szCs w:val="20"/>
                <w:lang w:eastAsia="cs-CZ"/>
              </w:rPr>
              <w:t> %</w:t>
            </w:r>
          </w:p>
        </w:tc>
        <w:tc>
          <w:tcPr>
            <w:tcW w:w="874" w:type="dxa"/>
            <w:tcBorders>
              <w:top w:val="single" w:sz="4" w:space="0" w:color="auto"/>
              <w:left w:val="nil"/>
              <w:bottom w:val="single" w:sz="4" w:space="0" w:color="auto"/>
              <w:right w:val="nil"/>
            </w:tcBorders>
            <w:shd w:val="clear" w:color="auto" w:fill="auto"/>
            <w:noWrap/>
            <w:vAlign w:val="bottom"/>
            <w:hideMark/>
          </w:tcPr>
          <w:p w14:paraId="58850DCC" w14:textId="02D7F38F"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19,12</w:t>
            </w:r>
          </w:p>
        </w:tc>
        <w:tc>
          <w:tcPr>
            <w:tcW w:w="968" w:type="dxa"/>
            <w:tcBorders>
              <w:top w:val="single" w:sz="4" w:space="0" w:color="auto"/>
              <w:left w:val="nil"/>
              <w:bottom w:val="single" w:sz="4" w:space="0" w:color="auto"/>
              <w:right w:val="nil"/>
            </w:tcBorders>
            <w:shd w:val="clear" w:color="auto" w:fill="auto"/>
            <w:noWrap/>
            <w:vAlign w:val="center"/>
            <w:hideMark/>
          </w:tcPr>
          <w:p w14:paraId="036F33A3" w14:textId="5EA7C326"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6DE440B5" w14:textId="77777777" w:rsidTr="00641DB9">
        <w:trPr>
          <w:trHeight w:val="315"/>
        </w:trPr>
        <w:tc>
          <w:tcPr>
            <w:tcW w:w="2076" w:type="dxa"/>
            <w:tcBorders>
              <w:top w:val="nil"/>
              <w:left w:val="nil"/>
              <w:bottom w:val="single" w:sz="4" w:space="0" w:color="auto"/>
              <w:right w:val="nil"/>
            </w:tcBorders>
            <w:shd w:val="clear" w:color="auto" w:fill="auto"/>
            <w:noWrap/>
            <w:vAlign w:val="bottom"/>
            <w:hideMark/>
          </w:tcPr>
          <w:p w14:paraId="5496093C"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KS Praha</w:t>
            </w:r>
          </w:p>
        </w:tc>
        <w:tc>
          <w:tcPr>
            <w:tcW w:w="988" w:type="dxa"/>
            <w:tcBorders>
              <w:top w:val="nil"/>
              <w:left w:val="nil"/>
              <w:bottom w:val="single" w:sz="4" w:space="0" w:color="auto"/>
              <w:right w:val="nil"/>
            </w:tcBorders>
            <w:shd w:val="clear" w:color="auto" w:fill="auto"/>
            <w:vAlign w:val="bottom"/>
            <w:hideMark/>
          </w:tcPr>
          <w:p w14:paraId="1AED3417" w14:textId="7DDC9517"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12,2</w:t>
            </w:r>
          </w:p>
        </w:tc>
        <w:tc>
          <w:tcPr>
            <w:tcW w:w="1075" w:type="dxa"/>
            <w:tcBorders>
              <w:top w:val="nil"/>
              <w:left w:val="nil"/>
              <w:bottom w:val="single" w:sz="4" w:space="0" w:color="auto"/>
              <w:right w:val="nil"/>
            </w:tcBorders>
            <w:shd w:val="clear" w:color="auto" w:fill="auto"/>
            <w:noWrap/>
            <w:vAlign w:val="bottom"/>
            <w:hideMark/>
          </w:tcPr>
          <w:p w14:paraId="18F42269" w14:textId="34E6CCFA"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233,52</w:t>
            </w:r>
          </w:p>
        </w:tc>
        <w:tc>
          <w:tcPr>
            <w:tcW w:w="964" w:type="dxa"/>
            <w:tcBorders>
              <w:top w:val="nil"/>
              <w:left w:val="nil"/>
              <w:bottom w:val="single" w:sz="4" w:space="0" w:color="auto"/>
              <w:right w:val="nil"/>
            </w:tcBorders>
            <w:shd w:val="clear" w:color="auto" w:fill="auto"/>
            <w:noWrap/>
            <w:vAlign w:val="center"/>
            <w:hideMark/>
          </w:tcPr>
          <w:p w14:paraId="68D8D7A1" w14:textId="435653E7"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1260" w:type="dxa"/>
            <w:tcBorders>
              <w:top w:val="nil"/>
              <w:left w:val="single" w:sz="4" w:space="0" w:color="auto"/>
              <w:bottom w:val="single" w:sz="4" w:space="0" w:color="auto"/>
              <w:right w:val="nil"/>
            </w:tcBorders>
            <w:shd w:val="clear" w:color="auto" w:fill="auto"/>
            <w:noWrap/>
            <w:vAlign w:val="bottom"/>
            <w:hideMark/>
          </w:tcPr>
          <w:p w14:paraId="61D5323F" w14:textId="15EE8345"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246,64</w:t>
            </w:r>
          </w:p>
        </w:tc>
        <w:tc>
          <w:tcPr>
            <w:tcW w:w="867" w:type="dxa"/>
            <w:tcBorders>
              <w:top w:val="nil"/>
              <w:left w:val="nil"/>
              <w:bottom w:val="single" w:sz="4" w:space="0" w:color="auto"/>
              <w:right w:val="single" w:sz="4" w:space="0" w:color="auto"/>
            </w:tcBorders>
            <w:shd w:val="clear" w:color="auto" w:fill="auto"/>
            <w:noWrap/>
            <w:vAlign w:val="center"/>
            <w:hideMark/>
          </w:tcPr>
          <w:p w14:paraId="4AF59744" w14:textId="77FF9CF6"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-47</w:t>
            </w:r>
            <w:r w:rsidR="00CB570A">
              <w:rPr>
                <w:rFonts w:eastAsia="Times New Roman"/>
                <w:sz w:val="20"/>
                <w:szCs w:val="20"/>
                <w:lang w:eastAsia="cs-CZ"/>
              </w:rPr>
              <w:t> %</w:t>
            </w:r>
          </w:p>
        </w:tc>
        <w:tc>
          <w:tcPr>
            <w:tcW w:w="874" w:type="dxa"/>
            <w:tcBorders>
              <w:top w:val="nil"/>
              <w:left w:val="nil"/>
              <w:bottom w:val="single" w:sz="4" w:space="0" w:color="auto"/>
              <w:right w:val="nil"/>
            </w:tcBorders>
            <w:shd w:val="clear" w:color="auto" w:fill="auto"/>
            <w:noWrap/>
            <w:vAlign w:val="bottom"/>
            <w:hideMark/>
          </w:tcPr>
          <w:p w14:paraId="4AB8F99F" w14:textId="68E70F74"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11,48</w:t>
            </w:r>
          </w:p>
        </w:tc>
        <w:tc>
          <w:tcPr>
            <w:tcW w:w="968" w:type="dxa"/>
            <w:tcBorders>
              <w:top w:val="nil"/>
              <w:left w:val="nil"/>
              <w:bottom w:val="single" w:sz="4" w:space="0" w:color="auto"/>
              <w:right w:val="nil"/>
            </w:tcBorders>
            <w:shd w:val="clear" w:color="auto" w:fill="auto"/>
            <w:noWrap/>
            <w:vAlign w:val="center"/>
            <w:hideMark/>
          </w:tcPr>
          <w:p w14:paraId="354D3482" w14:textId="64F67021"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r>
      <w:tr w:rsidR="00AC1E67" w:rsidRPr="00A00187" w14:paraId="42EEFF85" w14:textId="77777777" w:rsidTr="00641DB9">
        <w:trPr>
          <w:trHeight w:val="315"/>
        </w:trPr>
        <w:tc>
          <w:tcPr>
            <w:tcW w:w="2076" w:type="dxa"/>
            <w:tcBorders>
              <w:top w:val="nil"/>
              <w:left w:val="nil"/>
              <w:bottom w:val="single" w:sz="4" w:space="0" w:color="auto"/>
              <w:right w:val="nil"/>
            </w:tcBorders>
            <w:shd w:val="clear" w:color="auto" w:fill="auto"/>
            <w:noWrap/>
            <w:vAlign w:val="bottom"/>
            <w:hideMark/>
          </w:tcPr>
          <w:p w14:paraId="689345A7"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KS Č. Budějovice</w:t>
            </w:r>
          </w:p>
        </w:tc>
        <w:tc>
          <w:tcPr>
            <w:tcW w:w="988" w:type="dxa"/>
            <w:tcBorders>
              <w:top w:val="nil"/>
              <w:left w:val="nil"/>
              <w:bottom w:val="single" w:sz="4" w:space="0" w:color="auto"/>
              <w:right w:val="nil"/>
            </w:tcBorders>
            <w:shd w:val="clear" w:color="auto" w:fill="auto"/>
            <w:vAlign w:val="bottom"/>
            <w:hideMark/>
          </w:tcPr>
          <w:p w14:paraId="74E41911" w14:textId="178D17ED"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1,5</w:t>
            </w:r>
          </w:p>
        </w:tc>
        <w:tc>
          <w:tcPr>
            <w:tcW w:w="1075" w:type="dxa"/>
            <w:tcBorders>
              <w:top w:val="nil"/>
              <w:left w:val="nil"/>
              <w:bottom w:val="single" w:sz="4" w:space="0" w:color="auto"/>
              <w:right w:val="nil"/>
            </w:tcBorders>
            <w:shd w:val="clear" w:color="auto" w:fill="auto"/>
            <w:noWrap/>
            <w:vAlign w:val="bottom"/>
            <w:hideMark/>
          </w:tcPr>
          <w:p w14:paraId="6DA2959D" w14:textId="75FD29C7"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960,00</w:t>
            </w:r>
          </w:p>
        </w:tc>
        <w:tc>
          <w:tcPr>
            <w:tcW w:w="964" w:type="dxa"/>
            <w:tcBorders>
              <w:top w:val="nil"/>
              <w:left w:val="nil"/>
              <w:bottom w:val="single" w:sz="4" w:space="0" w:color="auto"/>
              <w:right w:val="nil"/>
            </w:tcBorders>
            <w:shd w:val="clear" w:color="auto" w:fill="auto"/>
            <w:noWrap/>
            <w:vAlign w:val="center"/>
            <w:hideMark/>
          </w:tcPr>
          <w:p w14:paraId="11528C5E" w14:textId="61DD99CF"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+324</w:t>
            </w:r>
            <w:r w:rsidR="00CB570A">
              <w:rPr>
                <w:rFonts w:eastAsia="Times New Roman"/>
                <w:sz w:val="20"/>
                <w:szCs w:val="20"/>
                <w:lang w:eastAsia="cs-CZ"/>
              </w:rPr>
              <w:t> %</w:t>
            </w:r>
          </w:p>
        </w:tc>
        <w:tc>
          <w:tcPr>
            <w:tcW w:w="1260" w:type="dxa"/>
            <w:tcBorders>
              <w:top w:val="nil"/>
              <w:left w:val="single" w:sz="4" w:space="0" w:color="auto"/>
              <w:bottom w:val="single" w:sz="4" w:space="0" w:color="auto"/>
              <w:right w:val="nil"/>
            </w:tcBorders>
            <w:shd w:val="clear" w:color="auto" w:fill="auto"/>
            <w:noWrap/>
            <w:vAlign w:val="bottom"/>
            <w:hideMark/>
          </w:tcPr>
          <w:p w14:paraId="26DFAE05" w14:textId="4FA6F8FC"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w:t>
            </w:r>
            <w:r w:rsidR="00383BF1">
              <w:rPr>
                <w:rFonts w:eastAsia="Times New Roman"/>
                <w:szCs w:val="24"/>
                <w:lang w:eastAsia="cs-CZ"/>
              </w:rPr>
              <w:t xml:space="preserve"> </w:t>
            </w:r>
            <w:r w:rsidRPr="00A00187">
              <w:rPr>
                <w:rFonts w:eastAsia="Times New Roman"/>
                <w:szCs w:val="24"/>
                <w:lang w:eastAsia="cs-CZ"/>
              </w:rPr>
              <w:t>360,67</w:t>
            </w:r>
          </w:p>
        </w:tc>
        <w:tc>
          <w:tcPr>
            <w:tcW w:w="867" w:type="dxa"/>
            <w:tcBorders>
              <w:top w:val="nil"/>
              <w:left w:val="nil"/>
              <w:bottom w:val="single" w:sz="4" w:space="0" w:color="auto"/>
              <w:right w:val="single" w:sz="4" w:space="0" w:color="auto"/>
            </w:tcBorders>
            <w:shd w:val="clear" w:color="auto" w:fill="auto"/>
            <w:noWrap/>
            <w:vAlign w:val="center"/>
            <w:hideMark/>
          </w:tcPr>
          <w:p w14:paraId="6E23AE4F" w14:textId="24357724"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+286</w:t>
            </w:r>
            <w:r w:rsidR="00CB570A">
              <w:rPr>
                <w:rFonts w:eastAsia="Times New Roman"/>
                <w:sz w:val="20"/>
                <w:szCs w:val="20"/>
                <w:lang w:eastAsia="cs-CZ"/>
              </w:rPr>
              <w:t> %</w:t>
            </w:r>
          </w:p>
        </w:tc>
        <w:tc>
          <w:tcPr>
            <w:tcW w:w="874" w:type="dxa"/>
            <w:tcBorders>
              <w:top w:val="nil"/>
              <w:left w:val="nil"/>
              <w:bottom w:val="single" w:sz="4" w:space="0" w:color="auto"/>
              <w:right w:val="nil"/>
            </w:tcBorders>
            <w:shd w:val="clear" w:color="auto" w:fill="auto"/>
            <w:noWrap/>
            <w:vAlign w:val="bottom"/>
            <w:hideMark/>
          </w:tcPr>
          <w:p w14:paraId="69E30B40" w14:textId="5EF4A384"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18,00</w:t>
            </w:r>
          </w:p>
        </w:tc>
        <w:tc>
          <w:tcPr>
            <w:tcW w:w="968" w:type="dxa"/>
            <w:tcBorders>
              <w:top w:val="nil"/>
              <w:left w:val="nil"/>
              <w:bottom w:val="single" w:sz="4" w:space="0" w:color="auto"/>
              <w:right w:val="nil"/>
            </w:tcBorders>
            <w:shd w:val="clear" w:color="auto" w:fill="auto"/>
            <w:noWrap/>
            <w:vAlign w:val="center"/>
            <w:hideMark/>
          </w:tcPr>
          <w:p w14:paraId="46338E83" w14:textId="5D388E55"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+267</w:t>
            </w:r>
            <w:r w:rsidR="00CB570A">
              <w:rPr>
                <w:rFonts w:eastAsia="Times New Roman"/>
                <w:sz w:val="20"/>
                <w:szCs w:val="20"/>
                <w:lang w:eastAsia="cs-CZ"/>
              </w:rPr>
              <w:t> %</w:t>
            </w:r>
          </w:p>
        </w:tc>
      </w:tr>
      <w:tr w:rsidR="00AC1E67" w:rsidRPr="00A00187" w14:paraId="288591F8" w14:textId="77777777" w:rsidTr="00641DB9">
        <w:trPr>
          <w:trHeight w:val="315"/>
        </w:trPr>
        <w:tc>
          <w:tcPr>
            <w:tcW w:w="2076" w:type="dxa"/>
            <w:tcBorders>
              <w:top w:val="nil"/>
              <w:left w:val="nil"/>
              <w:bottom w:val="single" w:sz="4" w:space="0" w:color="auto"/>
              <w:right w:val="nil"/>
            </w:tcBorders>
            <w:shd w:val="clear" w:color="auto" w:fill="auto"/>
            <w:noWrap/>
            <w:vAlign w:val="bottom"/>
            <w:hideMark/>
          </w:tcPr>
          <w:p w14:paraId="65CD798A"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KS Plzeň</w:t>
            </w:r>
          </w:p>
        </w:tc>
        <w:tc>
          <w:tcPr>
            <w:tcW w:w="988" w:type="dxa"/>
            <w:tcBorders>
              <w:top w:val="nil"/>
              <w:left w:val="nil"/>
              <w:bottom w:val="single" w:sz="4" w:space="0" w:color="auto"/>
              <w:right w:val="nil"/>
            </w:tcBorders>
            <w:shd w:val="clear" w:color="auto" w:fill="auto"/>
            <w:vAlign w:val="bottom"/>
            <w:hideMark/>
          </w:tcPr>
          <w:p w14:paraId="16BC9660" w14:textId="1A16AA2E"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5,35</w:t>
            </w:r>
          </w:p>
        </w:tc>
        <w:tc>
          <w:tcPr>
            <w:tcW w:w="1075" w:type="dxa"/>
            <w:tcBorders>
              <w:top w:val="nil"/>
              <w:left w:val="nil"/>
              <w:bottom w:val="single" w:sz="4" w:space="0" w:color="auto"/>
              <w:right w:val="nil"/>
            </w:tcBorders>
            <w:shd w:val="clear" w:color="auto" w:fill="auto"/>
            <w:noWrap/>
            <w:vAlign w:val="bottom"/>
            <w:hideMark/>
          </w:tcPr>
          <w:p w14:paraId="5BE1A249" w14:textId="6903DE9B"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422,24</w:t>
            </w:r>
          </w:p>
        </w:tc>
        <w:tc>
          <w:tcPr>
            <w:tcW w:w="964" w:type="dxa"/>
            <w:tcBorders>
              <w:top w:val="nil"/>
              <w:left w:val="nil"/>
              <w:bottom w:val="single" w:sz="4" w:space="0" w:color="auto"/>
              <w:right w:val="nil"/>
            </w:tcBorders>
            <w:shd w:val="clear" w:color="auto" w:fill="auto"/>
            <w:noWrap/>
            <w:vAlign w:val="center"/>
            <w:hideMark/>
          </w:tcPr>
          <w:p w14:paraId="7A1BBA4F" w14:textId="0D6292B0"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1260" w:type="dxa"/>
            <w:tcBorders>
              <w:top w:val="nil"/>
              <w:left w:val="single" w:sz="4" w:space="0" w:color="auto"/>
              <w:bottom w:val="single" w:sz="4" w:space="0" w:color="auto"/>
              <w:right w:val="nil"/>
            </w:tcBorders>
            <w:shd w:val="clear" w:color="auto" w:fill="auto"/>
            <w:noWrap/>
            <w:vAlign w:val="bottom"/>
            <w:hideMark/>
          </w:tcPr>
          <w:p w14:paraId="14C76934" w14:textId="44CA01D2"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469,16</w:t>
            </w:r>
          </w:p>
        </w:tc>
        <w:tc>
          <w:tcPr>
            <w:tcW w:w="867" w:type="dxa"/>
            <w:tcBorders>
              <w:top w:val="nil"/>
              <w:left w:val="nil"/>
              <w:bottom w:val="single" w:sz="4" w:space="0" w:color="auto"/>
              <w:right w:val="single" w:sz="4" w:space="0" w:color="auto"/>
            </w:tcBorders>
            <w:shd w:val="clear" w:color="auto" w:fill="auto"/>
            <w:noWrap/>
            <w:vAlign w:val="center"/>
            <w:hideMark/>
          </w:tcPr>
          <w:p w14:paraId="411BB726" w14:textId="3228579A"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-46</w:t>
            </w:r>
            <w:r w:rsidR="00CB570A">
              <w:rPr>
                <w:rFonts w:eastAsia="Times New Roman"/>
                <w:sz w:val="20"/>
                <w:szCs w:val="20"/>
                <w:lang w:eastAsia="cs-CZ"/>
              </w:rPr>
              <w:t> %</w:t>
            </w:r>
          </w:p>
        </w:tc>
        <w:tc>
          <w:tcPr>
            <w:tcW w:w="874" w:type="dxa"/>
            <w:tcBorders>
              <w:top w:val="nil"/>
              <w:left w:val="nil"/>
              <w:bottom w:val="single" w:sz="4" w:space="0" w:color="auto"/>
              <w:right w:val="nil"/>
            </w:tcBorders>
            <w:shd w:val="clear" w:color="auto" w:fill="auto"/>
            <w:noWrap/>
            <w:vAlign w:val="bottom"/>
            <w:hideMark/>
          </w:tcPr>
          <w:p w14:paraId="5F4DFCAD" w14:textId="70BB2D29"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34,95</w:t>
            </w:r>
          </w:p>
        </w:tc>
        <w:tc>
          <w:tcPr>
            <w:tcW w:w="968" w:type="dxa"/>
            <w:tcBorders>
              <w:top w:val="nil"/>
              <w:left w:val="nil"/>
              <w:bottom w:val="single" w:sz="4" w:space="0" w:color="auto"/>
              <w:right w:val="nil"/>
            </w:tcBorders>
            <w:shd w:val="clear" w:color="auto" w:fill="auto"/>
            <w:noWrap/>
            <w:vAlign w:val="center"/>
            <w:hideMark/>
          </w:tcPr>
          <w:p w14:paraId="4DE36AD0" w14:textId="5DB945BE"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65175806" w14:textId="77777777" w:rsidTr="00641DB9">
        <w:trPr>
          <w:trHeight w:val="315"/>
        </w:trPr>
        <w:tc>
          <w:tcPr>
            <w:tcW w:w="2076" w:type="dxa"/>
            <w:tcBorders>
              <w:top w:val="nil"/>
              <w:left w:val="nil"/>
              <w:bottom w:val="single" w:sz="4" w:space="0" w:color="auto"/>
              <w:right w:val="nil"/>
            </w:tcBorders>
            <w:shd w:val="clear" w:color="auto" w:fill="auto"/>
            <w:noWrap/>
            <w:vAlign w:val="bottom"/>
            <w:hideMark/>
          </w:tcPr>
          <w:p w14:paraId="273D99DB"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KS Ústí n. Labem</w:t>
            </w:r>
          </w:p>
        </w:tc>
        <w:tc>
          <w:tcPr>
            <w:tcW w:w="988" w:type="dxa"/>
            <w:tcBorders>
              <w:top w:val="nil"/>
              <w:left w:val="nil"/>
              <w:bottom w:val="single" w:sz="4" w:space="0" w:color="auto"/>
              <w:right w:val="nil"/>
            </w:tcBorders>
            <w:shd w:val="clear" w:color="auto" w:fill="auto"/>
            <w:vAlign w:val="bottom"/>
            <w:hideMark/>
          </w:tcPr>
          <w:p w14:paraId="01443A55" w14:textId="77777777"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16</w:t>
            </w:r>
          </w:p>
        </w:tc>
        <w:tc>
          <w:tcPr>
            <w:tcW w:w="1075" w:type="dxa"/>
            <w:tcBorders>
              <w:top w:val="nil"/>
              <w:left w:val="nil"/>
              <w:bottom w:val="single" w:sz="4" w:space="0" w:color="auto"/>
              <w:right w:val="nil"/>
            </w:tcBorders>
            <w:shd w:val="clear" w:color="auto" w:fill="auto"/>
            <w:noWrap/>
            <w:vAlign w:val="bottom"/>
            <w:hideMark/>
          </w:tcPr>
          <w:p w14:paraId="317E8534" w14:textId="0CDAEC0B"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237,69</w:t>
            </w:r>
          </w:p>
        </w:tc>
        <w:tc>
          <w:tcPr>
            <w:tcW w:w="964" w:type="dxa"/>
            <w:tcBorders>
              <w:top w:val="nil"/>
              <w:left w:val="nil"/>
              <w:bottom w:val="single" w:sz="4" w:space="0" w:color="auto"/>
              <w:right w:val="nil"/>
            </w:tcBorders>
            <w:shd w:val="clear" w:color="auto" w:fill="auto"/>
            <w:noWrap/>
            <w:vAlign w:val="center"/>
            <w:hideMark/>
          </w:tcPr>
          <w:p w14:paraId="5DC8E9D1" w14:textId="19A2206A"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260" w:type="dxa"/>
            <w:tcBorders>
              <w:top w:val="nil"/>
              <w:left w:val="single" w:sz="4" w:space="0" w:color="auto"/>
              <w:bottom w:val="single" w:sz="4" w:space="0" w:color="auto"/>
              <w:right w:val="nil"/>
            </w:tcBorders>
            <w:shd w:val="clear" w:color="auto" w:fill="auto"/>
            <w:noWrap/>
            <w:vAlign w:val="bottom"/>
            <w:hideMark/>
          </w:tcPr>
          <w:p w14:paraId="7FBED8AB" w14:textId="5B7142B9"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280,56</w:t>
            </w:r>
          </w:p>
        </w:tc>
        <w:tc>
          <w:tcPr>
            <w:tcW w:w="867" w:type="dxa"/>
            <w:tcBorders>
              <w:top w:val="nil"/>
              <w:left w:val="nil"/>
              <w:bottom w:val="single" w:sz="4" w:space="0" w:color="auto"/>
              <w:right w:val="single" w:sz="4" w:space="0" w:color="auto"/>
            </w:tcBorders>
            <w:shd w:val="clear" w:color="auto" w:fill="auto"/>
            <w:noWrap/>
            <w:vAlign w:val="center"/>
            <w:hideMark/>
          </w:tcPr>
          <w:p w14:paraId="578B0344" w14:textId="50B57946"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-35</w:t>
            </w:r>
            <w:r w:rsidR="00CB570A">
              <w:rPr>
                <w:rFonts w:eastAsia="Times New Roman"/>
                <w:sz w:val="20"/>
                <w:szCs w:val="20"/>
                <w:lang w:eastAsia="cs-CZ"/>
              </w:rPr>
              <w:t> %</w:t>
            </w:r>
          </w:p>
        </w:tc>
        <w:tc>
          <w:tcPr>
            <w:tcW w:w="874" w:type="dxa"/>
            <w:tcBorders>
              <w:top w:val="nil"/>
              <w:left w:val="nil"/>
              <w:bottom w:val="single" w:sz="4" w:space="0" w:color="auto"/>
              <w:right w:val="nil"/>
            </w:tcBorders>
            <w:shd w:val="clear" w:color="auto" w:fill="auto"/>
            <w:noWrap/>
            <w:vAlign w:val="bottom"/>
            <w:hideMark/>
          </w:tcPr>
          <w:p w14:paraId="0B093E51" w14:textId="2A4708DD"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11,81</w:t>
            </w:r>
          </w:p>
        </w:tc>
        <w:tc>
          <w:tcPr>
            <w:tcW w:w="968" w:type="dxa"/>
            <w:tcBorders>
              <w:top w:val="nil"/>
              <w:left w:val="nil"/>
              <w:bottom w:val="single" w:sz="4" w:space="0" w:color="auto"/>
              <w:right w:val="nil"/>
            </w:tcBorders>
            <w:shd w:val="clear" w:color="auto" w:fill="auto"/>
            <w:noWrap/>
            <w:vAlign w:val="center"/>
            <w:hideMark/>
          </w:tcPr>
          <w:p w14:paraId="7CA87181" w14:textId="27B57553"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4FDA7D46" w14:textId="77777777" w:rsidTr="00641DB9">
        <w:trPr>
          <w:trHeight w:val="315"/>
        </w:trPr>
        <w:tc>
          <w:tcPr>
            <w:tcW w:w="2076" w:type="dxa"/>
            <w:tcBorders>
              <w:top w:val="nil"/>
              <w:left w:val="nil"/>
              <w:bottom w:val="single" w:sz="4" w:space="0" w:color="auto"/>
              <w:right w:val="nil"/>
            </w:tcBorders>
            <w:shd w:val="clear" w:color="auto" w:fill="auto"/>
            <w:noWrap/>
            <w:vAlign w:val="bottom"/>
            <w:hideMark/>
          </w:tcPr>
          <w:p w14:paraId="4B98C940"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KS Hr. Králové</w:t>
            </w:r>
          </w:p>
        </w:tc>
        <w:tc>
          <w:tcPr>
            <w:tcW w:w="988" w:type="dxa"/>
            <w:tcBorders>
              <w:top w:val="nil"/>
              <w:left w:val="nil"/>
              <w:bottom w:val="single" w:sz="4" w:space="0" w:color="auto"/>
              <w:right w:val="nil"/>
            </w:tcBorders>
            <w:shd w:val="clear" w:color="auto" w:fill="auto"/>
            <w:vAlign w:val="bottom"/>
            <w:hideMark/>
          </w:tcPr>
          <w:p w14:paraId="3F6D8BBE" w14:textId="662E3538"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7,7</w:t>
            </w:r>
          </w:p>
        </w:tc>
        <w:tc>
          <w:tcPr>
            <w:tcW w:w="1075" w:type="dxa"/>
            <w:tcBorders>
              <w:top w:val="nil"/>
              <w:left w:val="nil"/>
              <w:bottom w:val="single" w:sz="4" w:space="0" w:color="auto"/>
              <w:right w:val="nil"/>
            </w:tcBorders>
            <w:shd w:val="clear" w:color="auto" w:fill="auto"/>
            <w:noWrap/>
            <w:vAlign w:val="bottom"/>
            <w:hideMark/>
          </w:tcPr>
          <w:p w14:paraId="6896DCA6" w14:textId="005BBDB8"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304,94</w:t>
            </w:r>
          </w:p>
        </w:tc>
        <w:tc>
          <w:tcPr>
            <w:tcW w:w="964" w:type="dxa"/>
            <w:tcBorders>
              <w:top w:val="nil"/>
              <w:left w:val="nil"/>
              <w:bottom w:val="single" w:sz="4" w:space="0" w:color="auto"/>
              <w:right w:val="nil"/>
            </w:tcBorders>
            <w:shd w:val="clear" w:color="auto" w:fill="auto"/>
            <w:noWrap/>
            <w:vAlign w:val="center"/>
            <w:hideMark/>
          </w:tcPr>
          <w:p w14:paraId="7E9BCA55" w14:textId="7BC23801"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260" w:type="dxa"/>
            <w:tcBorders>
              <w:top w:val="nil"/>
              <w:left w:val="single" w:sz="4" w:space="0" w:color="auto"/>
              <w:bottom w:val="single" w:sz="4" w:space="0" w:color="auto"/>
              <w:right w:val="nil"/>
            </w:tcBorders>
            <w:shd w:val="clear" w:color="auto" w:fill="auto"/>
            <w:noWrap/>
            <w:vAlign w:val="bottom"/>
            <w:hideMark/>
          </w:tcPr>
          <w:p w14:paraId="39AE0CA6" w14:textId="7ADC955F"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400,13</w:t>
            </w:r>
          </w:p>
        </w:tc>
        <w:tc>
          <w:tcPr>
            <w:tcW w:w="867" w:type="dxa"/>
            <w:tcBorders>
              <w:top w:val="nil"/>
              <w:left w:val="nil"/>
              <w:bottom w:val="single" w:sz="4" w:space="0" w:color="auto"/>
              <w:right w:val="single" w:sz="4" w:space="0" w:color="auto"/>
            </w:tcBorders>
            <w:shd w:val="clear" w:color="auto" w:fill="auto"/>
            <w:noWrap/>
            <w:vAlign w:val="center"/>
            <w:hideMark/>
          </w:tcPr>
          <w:p w14:paraId="65281A30" w14:textId="5CFA5376"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874" w:type="dxa"/>
            <w:tcBorders>
              <w:top w:val="nil"/>
              <w:left w:val="nil"/>
              <w:bottom w:val="single" w:sz="4" w:space="0" w:color="auto"/>
              <w:right w:val="nil"/>
            </w:tcBorders>
            <w:shd w:val="clear" w:color="auto" w:fill="auto"/>
            <w:noWrap/>
            <w:vAlign w:val="bottom"/>
            <w:hideMark/>
          </w:tcPr>
          <w:p w14:paraId="4E819421" w14:textId="7869A6C8"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7,14</w:t>
            </w:r>
          </w:p>
        </w:tc>
        <w:tc>
          <w:tcPr>
            <w:tcW w:w="968" w:type="dxa"/>
            <w:tcBorders>
              <w:top w:val="nil"/>
              <w:left w:val="nil"/>
              <w:bottom w:val="single" w:sz="4" w:space="0" w:color="auto"/>
              <w:right w:val="nil"/>
            </w:tcBorders>
            <w:shd w:val="clear" w:color="auto" w:fill="auto"/>
            <w:noWrap/>
            <w:vAlign w:val="center"/>
            <w:hideMark/>
          </w:tcPr>
          <w:p w14:paraId="5C1C9705" w14:textId="7762A8D2"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6601E561" w14:textId="77777777" w:rsidTr="00641DB9">
        <w:trPr>
          <w:trHeight w:val="315"/>
        </w:trPr>
        <w:tc>
          <w:tcPr>
            <w:tcW w:w="2076" w:type="dxa"/>
            <w:tcBorders>
              <w:top w:val="nil"/>
              <w:left w:val="nil"/>
              <w:bottom w:val="single" w:sz="4" w:space="0" w:color="auto"/>
              <w:right w:val="nil"/>
            </w:tcBorders>
            <w:shd w:val="clear" w:color="auto" w:fill="auto"/>
            <w:noWrap/>
            <w:vAlign w:val="bottom"/>
            <w:hideMark/>
          </w:tcPr>
          <w:p w14:paraId="0C04B3D6"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KS Brno</w:t>
            </w:r>
          </w:p>
        </w:tc>
        <w:tc>
          <w:tcPr>
            <w:tcW w:w="988" w:type="dxa"/>
            <w:tcBorders>
              <w:top w:val="nil"/>
              <w:left w:val="nil"/>
              <w:bottom w:val="single" w:sz="4" w:space="0" w:color="auto"/>
              <w:right w:val="nil"/>
            </w:tcBorders>
            <w:shd w:val="clear" w:color="auto" w:fill="auto"/>
            <w:vAlign w:val="bottom"/>
            <w:hideMark/>
          </w:tcPr>
          <w:p w14:paraId="2B73BE35" w14:textId="77777777"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17</w:t>
            </w:r>
          </w:p>
        </w:tc>
        <w:tc>
          <w:tcPr>
            <w:tcW w:w="1075" w:type="dxa"/>
            <w:tcBorders>
              <w:top w:val="nil"/>
              <w:left w:val="nil"/>
              <w:bottom w:val="single" w:sz="4" w:space="0" w:color="auto"/>
              <w:right w:val="nil"/>
            </w:tcBorders>
            <w:shd w:val="clear" w:color="auto" w:fill="auto"/>
            <w:noWrap/>
            <w:vAlign w:val="bottom"/>
            <w:hideMark/>
          </w:tcPr>
          <w:p w14:paraId="1254CA34" w14:textId="3B8EE089"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223,24</w:t>
            </w:r>
          </w:p>
        </w:tc>
        <w:tc>
          <w:tcPr>
            <w:tcW w:w="964" w:type="dxa"/>
            <w:tcBorders>
              <w:top w:val="nil"/>
              <w:left w:val="nil"/>
              <w:bottom w:val="single" w:sz="4" w:space="0" w:color="auto"/>
              <w:right w:val="nil"/>
            </w:tcBorders>
            <w:shd w:val="clear" w:color="auto" w:fill="auto"/>
            <w:noWrap/>
            <w:vAlign w:val="center"/>
            <w:hideMark/>
          </w:tcPr>
          <w:p w14:paraId="59DDE34A" w14:textId="64EB72BA"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1260" w:type="dxa"/>
            <w:tcBorders>
              <w:top w:val="nil"/>
              <w:left w:val="single" w:sz="4" w:space="0" w:color="auto"/>
              <w:bottom w:val="single" w:sz="4" w:space="0" w:color="auto"/>
              <w:right w:val="nil"/>
            </w:tcBorders>
            <w:shd w:val="clear" w:color="auto" w:fill="auto"/>
            <w:noWrap/>
            <w:vAlign w:val="bottom"/>
            <w:hideMark/>
          </w:tcPr>
          <w:p w14:paraId="306562C7" w14:textId="49E1E7B7"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236,29</w:t>
            </w:r>
          </w:p>
        </w:tc>
        <w:tc>
          <w:tcPr>
            <w:tcW w:w="867" w:type="dxa"/>
            <w:tcBorders>
              <w:top w:val="nil"/>
              <w:left w:val="nil"/>
              <w:bottom w:val="single" w:sz="4" w:space="0" w:color="auto"/>
              <w:right w:val="single" w:sz="4" w:space="0" w:color="auto"/>
            </w:tcBorders>
            <w:shd w:val="clear" w:color="auto" w:fill="auto"/>
            <w:noWrap/>
            <w:vAlign w:val="center"/>
            <w:hideMark/>
          </w:tcPr>
          <w:p w14:paraId="3C8B3E6A" w14:textId="0A60B854"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c>
          <w:tcPr>
            <w:tcW w:w="874" w:type="dxa"/>
            <w:tcBorders>
              <w:top w:val="nil"/>
              <w:left w:val="nil"/>
              <w:bottom w:val="single" w:sz="4" w:space="0" w:color="auto"/>
              <w:right w:val="nil"/>
            </w:tcBorders>
            <w:shd w:val="clear" w:color="auto" w:fill="auto"/>
            <w:noWrap/>
            <w:vAlign w:val="bottom"/>
            <w:hideMark/>
          </w:tcPr>
          <w:p w14:paraId="44E64558" w14:textId="14083F7C"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16,82</w:t>
            </w:r>
          </w:p>
        </w:tc>
        <w:tc>
          <w:tcPr>
            <w:tcW w:w="968" w:type="dxa"/>
            <w:tcBorders>
              <w:top w:val="nil"/>
              <w:left w:val="nil"/>
              <w:bottom w:val="single" w:sz="4" w:space="0" w:color="auto"/>
              <w:right w:val="nil"/>
            </w:tcBorders>
            <w:shd w:val="clear" w:color="auto" w:fill="auto"/>
            <w:noWrap/>
            <w:vAlign w:val="center"/>
            <w:hideMark/>
          </w:tcPr>
          <w:p w14:paraId="50FF1CD5" w14:textId="1EF37EEC"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r>
      <w:tr w:rsidR="00AC1E67" w:rsidRPr="00A00187" w14:paraId="3D1EEA0F" w14:textId="77777777" w:rsidTr="00641DB9">
        <w:trPr>
          <w:trHeight w:val="330"/>
        </w:trPr>
        <w:tc>
          <w:tcPr>
            <w:tcW w:w="2076" w:type="dxa"/>
            <w:tcBorders>
              <w:top w:val="nil"/>
              <w:left w:val="nil"/>
              <w:bottom w:val="double" w:sz="6" w:space="0" w:color="auto"/>
              <w:right w:val="nil"/>
            </w:tcBorders>
            <w:shd w:val="clear" w:color="auto" w:fill="auto"/>
            <w:noWrap/>
            <w:vAlign w:val="bottom"/>
            <w:hideMark/>
          </w:tcPr>
          <w:p w14:paraId="71C99772" w14:textId="77777777" w:rsidR="00436E62" w:rsidRPr="00A00187" w:rsidRDefault="00436E62" w:rsidP="00436E62">
            <w:pPr>
              <w:spacing w:line="240" w:lineRule="auto"/>
              <w:jc w:val="left"/>
              <w:rPr>
                <w:rFonts w:eastAsia="Times New Roman"/>
                <w:szCs w:val="24"/>
                <w:lang w:eastAsia="cs-CZ"/>
              </w:rPr>
            </w:pPr>
            <w:r w:rsidRPr="00A00187">
              <w:rPr>
                <w:rFonts w:eastAsia="Times New Roman"/>
                <w:szCs w:val="24"/>
                <w:lang w:eastAsia="cs-CZ"/>
              </w:rPr>
              <w:t>KS Ostrava</w:t>
            </w:r>
          </w:p>
        </w:tc>
        <w:tc>
          <w:tcPr>
            <w:tcW w:w="988" w:type="dxa"/>
            <w:tcBorders>
              <w:top w:val="nil"/>
              <w:left w:val="nil"/>
              <w:bottom w:val="double" w:sz="6" w:space="0" w:color="auto"/>
              <w:right w:val="nil"/>
            </w:tcBorders>
            <w:shd w:val="clear" w:color="auto" w:fill="auto"/>
            <w:vAlign w:val="bottom"/>
            <w:hideMark/>
          </w:tcPr>
          <w:p w14:paraId="5DC3EF1E" w14:textId="77777777"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14</w:t>
            </w:r>
          </w:p>
        </w:tc>
        <w:tc>
          <w:tcPr>
            <w:tcW w:w="1075" w:type="dxa"/>
            <w:tcBorders>
              <w:top w:val="nil"/>
              <w:left w:val="nil"/>
              <w:bottom w:val="double" w:sz="6" w:space="0" w:color="auto"/>
              <w:right w:val="nil"/>
            </w:tcBorders>
            <w:shd w:val="clear" w:color="auto" w:fill="auto"/>
            <w:noWrap/>
            <w:vAlign w:val="bottom"/>
            <w:hideMark/>
          </w:tcPr>
          <w:p w14:paraId="40B931BB" w14:textId="6CCB7E1B"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318,14</w:t>
            </w:r>
          </w:p>
        </w:tc>
        <w:tc>
          <w:tcPr>
            <w:tcW w:w="964" w:type="dxa"/>
            <w:tcBorders>
              <w:top w:val="nil"/>
              <w:left w:val="nil"/>
              <w:bottom w:val="double" w:sz="6" w:space="0" w:color="auto"/>
              <w:right w:val="nil"/>
            </w:tcBorders>
            <w:shd w:val="clear" w:color="auto" w:fill="auto"/>
            <w:noWrap/>
            <w:vAlign w:val="center"/>
            <w:hideMark/>
          </w:tcPr>
          <w:p w14:paraId="1BB5B8FD" w14:textId="379D26DB"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260" w:type="dxa"/>
            <w:tcBorders>
              <w:top w:val="nil"/>
              <w:left w:val="single" w:sz="4" w:space="0" w:color="auto"/>
              <w:bottom w:val="double" w:sz="6" w:space="0" w:color="auto"/>
              <w:right w:val="nil"/>
            </w:tcBorders>
            <w:shd w:val="clear" w:color="auto" w:fill="auto"/>
            <w:noWrap/>
            <w:vAlign w:val="bottom"/>
            <w:hideMark/>
          </w:tcPr>
          <w:p w14:paraId="25868486" w14:textId="21AA50A6"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371,86</w:t>
            </w:r>
          </w:p>
        </w:tc>
        <w:tc>
          <w:tcPr>
            <w:tcW w:w="867" w:type="dxa"/>
            <w:tcBorders>
              <w:top w:val="nil"/>
              <w:left w:val="nil"/>
              <w:bottom w:val="double" w:sz="6" w:space="0" w:color="auto"/>
              <w:right w:val="single" w:sz="4" w:space="0" w:color="auto"/>
            </w:tcBorders>
            <w:shd w:val="clear" w:color="auto" w:fill="auto"/>
            <w:noWrap/>
            <w:vAlign w:val="center"/>
            <w:hideMark/>
          </w:tcPr>
          <w:p w14:paraId="3496CE84" w14:textId="3B8C158E"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c>
          <w:tcPr>
            <w:tcW w:w="874" w:type="dxa"/>
            <w:tcBorders>
              <w:top w:val="nil"/>
              <w:left w:val="nil"/>
              <w:bottom w:val="double" w:sz="6" w:space="0" w:color="auto"/>
              <w:right w:val="nil"/>
            </w:tcBorders>
            <w:shd w:val="clear" w:color="auto" w:fill="auto"/>
            <w:noWrap/>
            <w:vAlign w:val="bottom"/>
            <w:hideMark/>
          </w:tcPr>
          <w:p w14:paraId="187D5C85" w14:textId="6B4BB4B5" w:rsidR="00436E62" w:rsidRPr="00A00187" w:rsidRDefault="00436E62" w:rsidP="00436E62">
            <w:pPr>
              <w:spacing w:line="240" w:lineRule="auto"/>
              <w:jc w:val="center"/>
              <w:rPr>
                <w:rFonts w:eastAsia="Times New Roman"/>
                <w:szCs w:val="24"/>
                <w:lang w:eastAsia="cs-CZ"/>
              </w:rPr>
            </w:pPr>
            <w:r w:rsidRPr="00A00187">
              <w:rPr>
                <w:rFonts w:eastAsia="Times New Roman"/>
                <w:szCs w:val="24"/>
                <w:lang w:eastAsia="cs-CZ"/>
              </w:rPr>
              <w:t>27,86</w:t>
            </w:r>
          </w:p>
        </w:tc>
        <w:tc>
          <w:tcPr>
            <w:tcW w:w="968" w:type="dxa"/>
            <w:tcBorders>
              <w:top w:val="nil"/>
              <w:left w:val="nil"/>
              <w:bottom w:val="double" w:sz="6" w:space="0" w:color="auto"/>
              <w:right w:val="nil"/>
            </w:tcBorders>
            <w:shd w:val="clear" w:color="auto" w:fill="auto"/>
            <w:noWrap/>
            <w:vAlign w:val="center"/>
            <w:hideMark/>
          </w:tcPr>
          <w:p w14:paraId="1C53277F" w14:textId="7E58D64F" w:rsidR="00436E62" w:rsidRPr="00A00187" w:rsidRDefault="00436E62"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r>
      <w:tr w:rsidR="00AC1E67" w:rsidRPr="00A00187" w14:paraId="58EF5036" w14:textId="77777777" w:rsidTr="00641DB9">
        <w:trPr>
          <w:trHeight w:val="345"/>
        </w:trPr>
        <w:tc>
          <w:tcPr>
            <w:tcW w:w="2076" w:type="dxa"/>
            <w:tcBorders>
              <w:top w:val="nil"/>
              <w:left w:val="nil"/>
              <w:bottom w:val="double" w:sz="6" w:space="0" w:color="auto"/>
              <w:right w:val="nil"/>
            </w:tcBorders>
            <w:shd w:val="clear" w:color="auto" w:fill="auto"/>
            <w:noWrap/>
            <w:vAlign w:val="bottom"/>
            <w:hideMark/>
          </w:tcPr>
          <w:p w14:paraId="660620C2" w14:textId="77777777" w:rsidR="00436E62" w:rsidRPr="00A00187" w:rsidRDefault="00436E62" w:rsidP="00436E62">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988" w:type="dxa"/>
            <w:tcBorders>
              <w:top w:val="nil"/>
              <w:left w:val="nil"/>
              <w:bottom w:val="double" w:sz="6" w:space="0" w:color="auto"/>
              <w:right w:val="nil"/>
            </w:tcBorders>
            <w:shd w:val="clear" w:color="auto" w:fill="auto"/>
            <w:vAlign w:val="bottom"/>
            <w:hideMark/>
          </w:tcPr>
          <w:p w14:paraId="14238E1E" w14:textId="5B48C49C"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90,75</w:t>
            </w:r>
          </w:p>
        </w:tc>
        <w:tc>
          <w:tcPr>
            <w:tcW w:w="1075" w:type="dxa"/>
            <w:tcBorders>
              <w:top w:val="nil"/>
              <w:left w:val="nil"/>
              <w:bottom w:val="double" w:sz="6" w:space="0" w:color="auto"/>
              <w:right w:val="nil"/>
            </w:tcBorders>
            <w:shd w:val="clear" w:color="auto" w:fill="auto"/>
            <w:noWrap/>
            <w:vAlign w:val="bottom"/>
            <w:hideMark/>
          </w:tcPr>
          <w:p w14:paraId="330FCDFF" w14:textId="7A9B73A9"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260,60</w:t>
            </w:r>
          </w:p>
        </w:tc>
        <w:tc>
          <w:tcPr>
            <w:tcW w:w="964" w:type="dxa"/>
            <w:tcBorders>
              <w:top w:val="nil"/>
              <w:left w:val="nil"/>
              <w:bottom w:val="double" w:sz="6" w:space="0" w:color="auto"/>
              <w:right w:val="nil"/>
            </w:tcBorders>
            <w:shd w:val="clear" w:color="auto" w:fill="auto"/>
            <w:noWrap/>
            <w:vAlign w:val="center"/>
            <w:hideMark/>
          </w:tcPr>
          <w:p w14:paraId="005E72DA" w14:textId="22E87EDF" w:rsidR="00436E62" w:rsidRPr="00A00187" w:rsidRDefault="00436E62"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1260" w:type="dxa"/>
            <w:tcBorders>
              <w:top w:val="nil"/>
              <w:left w:val="single" w:sz="4" w:space="0" w:color="auto"/>
              <w:bottom w:val="double" w:sz="6" w:space="0" w:color="auto"/>
              <w:right w:val="nil"/>
            </w:tcBorders>
            <w:shd w:val="clear" w:color="auto" w:fill="auto"/>
            <w:noWrap/>
            <w:vAlign w:val="bottom"/>
            <w:hideMark/>
          </w:tcPr>
          <w:p w14:paraId="4268C60C" w14:textId="7D9E0E04"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293,98</w:t>
            </w:r>
          </w:p>
        </w:tc>
        <w:tc>
          <w:tcPr>
            <w:tcW w:w="867" w:type="dxa"/>
            <w:tcBorders>
              <w:top w:val="nil"/>
              <w:left w:val="nil"/>
              <w:bottom w:val="double" w:sz="6" w:space="0" w:color="auto"/>
              <w:right w:val="single" w:sz="4" w:space="0" w:color="auto"/>
            </w:tcBorders>
            <w:shd w:val="clear" w:color="auto" w:fill="auto"/>
            <w:noWrap/>
            <w:vAlign w:val="center"/>
            <w:hideMark/>
          </w:tcPr>
          <w:p w14:paraId="4882A4AF" w14:textId="0823B46B" w:rsidR="00436E62" w:rsidRPr="00A00187" w:rsidRDefault="00436E62"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-32</w:t>
            </w:r>
            <w:r w:rsidR="00CB570A">
              <w:rPr>
                <w:rFonts w:eastAsia="Times New Roman"/>
                <w:b/>
                <w:bCs/>
                <w:sz w:val="20"/>
                <w:szCs w:val="20"/>
                <w:lang w:eastAsia="cs-CZ"/>
              </w:rPr>
              <w:t> %</w:t>
            </w:r>
          </w:p>
        </w:tc>
        <w:tc>
          <w:tcPr>
            <w:tcW w:w="874" w:type="dxa"/>
            <w:tcBorders>
              <w:top w:val="nil"/>
              <w:left w:val="nil"/>
              <w:bottom w:val="double" w:sz="6" w:space="0" w:color="auto"/>
              <w:right w:val="nil"/>
            </w:tcBorders>
            <w:shd w:val="clear" w:color="auto" w:fill="auto"/>
            <w:noWrap/>
            <w:vAlign w:val="bottom"/>
            <w:hideMark/>
          </w:tcPr>
          <w:p w14:paraId="56F4AC22" w14:textId="38F91DCF" w:rsidR="00436E62" w:rsidRPr="00A00187" w:rsidRDefault="00436E62" w:rsidP="00436E62">
            <w:pPr>
              <w:spacing w:line="240" w:lineRule="auto"/>
              <w:jc w:val="center"/>
              <w:rPr>
                <w:rFonts w:eastAsia="Times New Roman"/>
                <w:b/>
                <w:bCs/>
                <w:szCs w:val="24"/>
                <w:lang w:eastAsia="cs-CZ"/>
              </w:rPr>
            </w:pPr>
            <w:r w:rsidRPr="00A00187">
              <w:rPr>
                <w:rFonts w:eastAsia="Times New Roman"/>
                <w:b/>
                <w:bCs/>
                <w:szCs w:val="24"/>
                <w:lang w:eastAsia="cs-CZ"/>
              </w:rPr>
              <w:t>17,62</w:t>
            </w:r>
          </w:p>
        </w:tc>
        <w:tc>
          <w:tcPr>
            <w:tcW w:w="968" w:type="dxa"/>
            <w:tcBorders>
              <w:top w:val="nil"/>
              <w:left w:val="nil"/>
              <w:bottom w:val="double" w:sz="6" w:space="0" w:color="auto"/>
              <w:right w:val="nil"/>
            </w:tcBorders>
            <w:shd w:val="clear" w:color="auto" w:fill="auto"/>
            <w:noWrap/>
            <w:vAlign w:val="center"/>
            <w:hideMark/>
          </w:tcPr>
          <w:p w14:paraId="037C7709" w14:textId="312285D8" w:rsidR="00436E62" w:rsidRPr="00A00187" w:rsidRDefault="00436E62"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+3</w:t>
            </w:r>
            <w:r w:rsidR="00CB570A">
              <w:rPr>
                <w:rFonts w:eastAsia="Times New Roman"/>
                <w:b/>
                <w:bCs/>
                <w:sz w:val="20"/>
                <w:szCs w:val="20"/>
                <w:lang w:eastAsia="cs-CZ"/>
              </w:rPr>
              <w:t> %</w:t>
            </w:r>
          </w:p>
        </w:tc>
      </w:tr>
      <w:tr w:rsidR="00AC1E67" w:rsidRPr="00A00187" w14:paraId="653D6761" w14:textId="77777777" w:rsidTr="00641DB9">
        <w:trPr>
          <w:trHeight w:val="330"/>
        </w:trPr>
        <w:tc>
          <w:tcPr>
            <w:tcW w:w="2076" w:type="dxa"/>
            <w:tcBorders>
              <w:top w:val="nil"/>
              <w:left w:val="nil"/>
              <w:bottom w:val="nil"/>
              <w:right w:val="nil"/>
            </w:tcBorders>
            <w:shd w:val="clear" w:color="auto" w:fill="auto"/>
            <w:noWrap/>
            <w:vAlign w:val="bottom"/>
            <w:hideMark/>
          </w:tcPr>
          <w:p w14:paraId="6FE50D71" w14:textId="77777777" w:rsidR="00436E62" w:rsidRPr="00A00187" w:rsidRDefault="00436E62" w:rsidP="00436E62">
            <w:pPr>
              <w:spacing w:line="240" w:lineRule="auto"/>
              <w:jc w:val="center"/>
              <w:rPr>
                <w:rFonts w:eastAsia="Times New Roman"/>
                <w:b/>
                <w:bCs/>
                <w:sz w:val="20"/>
                <w:szCs w:val="20"/>
                <w:lang w:eastAsia="cs-CZ"/>
              </w:rPr>
            </w:pPr>
          </w:p>
        </w:tc>
        <w:tc>
          <w:tcPr>
            <w:tcW w:w="988" w:type="dxa"/>
            <w:tcBorders>
              <w:top w:val="nil"/>
              <w:left w:val="nil"/>
              <w:bottom w:val="nil"/>
              <w:right w:val="nil"/>
            </w:tcBorders>
            <w:shd w:val="clear" w:color="auto" w:fill="auto"/>
            <w:noWrap/>
            <w:vAlign w:val="bottom"/>
            <w:hideMark/>
          </w:tcPr>
          <w:p w14:paraId="4141A27C" w14:textId="77777777" w:rsidR="00436E62" w:rsidRPr="00A00187" w:rsidRDefault="00436E62" w:rsidP="00436E62">
            <w:pPr>
              <w:spacing w:line="240" w:lineRule="auto"/>
              <w:jc w:val="left"/>
              <w:rPr>
                <w:rFonts w:ascii="Times New Roman" w:eastAsia="Times New Roman" w:hAnsi="Times New Roman"/>
                <w:sz w:val="20"/>
                <w:szCs w:val="20"/>
                <w:lang w:eastAsia="cs-CZ"/>
              </w:rPr>
            </w:pPr>
          </w:p>
        </w:tc>
        <w:tc>
          <w:tcPr>
            <w:tcW w:w="1075" w:type="dxa"/>
            <w:tcBorders>
              <w:top w:val="nil"/>
              <w:left w:val="nil"/>
              <w:bottom w:val="nil"/>
              <w:right w:val="nil"/>
            </w:tcBorders>
            <w:shd w:val="clear" w:color="auto" w:fill="auto"/>
            <w:noWrap/>
            <w:vAlign w:val="bottom"/>
            <w:hideMark/>
          </w:tcPr>
          <w:p w14:paraId="0E034165" w14:textId="77777777" w:rsidR="00436E62" w:rsidRPr="00A00187" w:rsidRDefault="00436E62" w:rsidP="00436E62">
            <w:pPr>
              <w:spacing w:line="240" w:lineRule="auto"/>
              <w:jc w:val="left"/>
              <w:rPr>
                <w:rFonts w:ascii="Times New Roman" w:eastAsia="Times New Roman" w:hAnsi="Times New Roman"/>
                <w:sz w:val="20"/>
                <w:szCs w:val="20"/>
                <w:lang w:eastAsia="cs-CZ"/>
              </w:rPr>
            </w:pPr>
          </w:p>
        </w:tc>
        <w:tc>
          <w:tcPr>
            <w:tcW w:w="964" w:type="dxa"/>
            <w:tcBorders>
              <w:top w:val="nil"/>
              <w:left w:val="nil"/>
              <w:bottom w:val="nil"/>
              <w:right w:val="nil"/>
            </w:tcBorders>
            <w:shd w:val="clear" w:color="auto" w:fill="auto"/>
            <w:noWrap/>
            <w:vAlign w:val="bottom"/>
            <w:hideMark/>
          </w:tcPr>
          <w:p w14:paraId="2DF08B12" w14:textId="77777777" w:rsidR="00436E62" w:rsidRPr="00A00187" w:rsidRDefault="00436E62" w:rsidP="00436E62">
            <w:pPr>
              <w:spacing w:line="240" w:lineRule="auto"/>
              <w:jc w:val="left"/>
              <w:rPr>
                <w:rFonts w:ascii="Times New Roman" w:eastAsia="Times New Roman" w:hAnsi="Times New Roman"/>
                <w:sz w:val="20"/>
                <w:szCs w:val="20"/>
                <w:lang w:eastAsia="cs-CZ"/>
              </w:rPr>
            </w:pPr>
          </w:p>
        </w:tc>
        <w:tc>
          <w:tcPr>
            <w:tcW w:w="1260" w:type="dxa"/>
            <w:tcBorders>
              <w:top w:val="nil"/>
              <w:left w:val="nil"/>
              <w:bottom w:val="nil"/>
              <w:right w:val="nil"/>
            </w:tcBorders>
            <w:shd w:val="clear" w:color="auto" w:fill="auto"/>
            <w:noWrap/>
            <w:vAlign w:val="bottom"/>
            <w:hideMark/>
          </w:tcPr>
          <w:p w14:paraId="0014010B" w14:textId="77777777" w:rsidR="00436E62" w:rsidRPr="00A00187" w:rsidRDefault="00436E62" w:rsidP="00436E62">
            <w:pPr>
              <w:spacing w:line="240" w:lineRule="auto"/>
              <w:jc w:val="left"/>
              <w:rPr>
                <w:rFonts w:ascii="Times New Roman" w:eastAsia="Times New Roman" w:hAnsi="Times New Roman"/>
                <w:sz w:val="20"/>
                <w:szCs w:val="20"/>
                <w:lang w:eastAsia="cs-CZ"/>
              </w:rPr>
            </w:pPr>
          </w:p>
        </w:tc>
        <w:tc>
          <w:tcPr>
            <w:tcW w:w="867" w:type="dxa"/>
            <w:tcBorders>
              <w:top w:val="nil"/>
              <w:left w:val="nil"/>
              <w:bottom w:val="nil"/>
              <w:right w:val="nil"/>
            </w:tcBorders>
            <w:shd w:val="clear" w:color="auto" w:fill="auto"/>
            <w:noWrap/>
            <w:vAlign w:val="bottom"/>
            <w:hideMark/>
          </w:tcPr>
          <w:p w14:paraId="1A78ABC2" w14:textId="77777777" w:rsidR="00436E62" w:rsidRPr="00A00187" w:rsidRDefault="00436E62" w:rsidP="00436E62">
            <w:pPr>
              <w:spacing w:line="240" w:lineRule="auto"/>
              <w:jc w:val="left"/>
              <w:rPr>
                <w:rFonts w:ascii="Times New Roman" w:eastAsia="Times New Roman" w:hAnsi="Times New Roman"/>
                <w:sz w:val="20"/>
                <w:szCs w:val="20"/>
                <w:lang w:eastAsia="cs-CZ"/>
              </w:rPr>
            </w:pPr>
          </w:p>
        </w:tc>
        <w:tc>
          <w:tcPr>
            <w:tcW w:w="874" w:type="dxa"/>
            <w:tcBorders>
              <w:top w:val="nil"/>
              <w:left w:val="nil"/>
              <w:bottom w:val="nil"/>
              <w:right w:val="nil"/>
            </w:tcBorders>
            <w:shd w:val="clear" w:color="auto" w:fill="auto"/>
            <w:noWrap/>
            <w:vAlign w:val="bottom"/>
            <w:hideMark/>
          </w:tcPr>
          <w:p w14:paraId="22620420" w14:textId="77777777" w:rsidR="00436E62" w:rsidRPr="00A00187" w:rsidRDefault="00436E62" w:rsidP="00436E62">
            <w:pPr>
              <w:spacing w:line="240" w:lineRule="auto"/>
              <w:jc w:val="left"/>
              <w:rPr>
                <w:rFonts w:ascii="Times New Roman" w:eastAsia="Times New Roman" w:hAnsi="Times New Roman"/>
                <w:sz w:val="20"/>
                <w:szCs w:val="20"/>
                <w:lang w:eastAsia="cs-CZ"/>
              </w:rPr>
            </w:pPr>
          </w:p>
        </w:tc>
        <w:tc>
          <w:tcPr>
            <w:tcW w:w="968" w:type="dxa"/>
            <w:tcBorders>
              <w:top w:val="nil"/>
              <w:left w:val="nil"/>
              <w:bottom w:val="nil"/>
              <w:right w:val="nil"/>
            </w:tcBorders>
            <w:shd w:val="clear" w:color="auto" w:fill="auto"/>
            <w:noWrap/>
            <w:vAlign w:val="bottom"/>
            <w:hideMark/>
          </w:tcPr>
          <w:p w14:paraId="25450E2C" w14:textId="77777777" w:rsidR="00436E62" w:rsidRPr="00A00187" w:rsidRDefault="00436E62" w:rsidP="00436E62">
            <w:pPr>
              <w:spacing w:line="240" w:lineRule="auto"/>
              <w:jc w:val="left"/>
              <w:rPr>
                <w:rFonts w:ascii="Times New Roman" w:eastAsia="Times New Roman" w:hAnsi="Times New Roman"/>
                <w:sz w:val="20"/>
                <w:szCs w:val="20"/>
                <w:lang w:eastAsia="cs-CZ"/>
              </w:rPr>
            </w:pPr>
          </w:p>
        </w:tc>
      </w:tr>
    </w:tbl>
    <w:p w14:paraId="42CCA860" w14:textId="01E14AF2" w:rsidR="00CB570A" w:rsidRDefault="00196151" w:rsidP="00196151">
      <w:pPr>
        <w:pStyle w:val="OdstavecASR"/>
      </w:pPr>
      <w:r w:rsidRPr="00A00187">
        <w:t>Přepočteme-li na soudce počet příchozích věcí a počet vyřízených věcí</w:t>
      </w:r>
      <w:r w:rsidR="00436E62" w:rsidRPr="00A00187">
        <w:t xml:space="preserve"> </w:t>
      </w:r>
      <w:r w:rsidRPr="00A00187">
        <w:t xml:space="preserve">výrazně nižší </w:t>
      </w:r>
      <w:r w:rsidR="00436E62" w:rsidRPr="00A00187">
        <w:t>hodnoty,</w:t>
      </w:r>
      <w:r w:rsidRPr="00A00187">
        <w:t xml:space="preserve"> než ostatní soudy vykazuje MS Praha. Je to dáno tím, že tento soud má na insolvenčním úseku relativně více soudců, protože jeho insolvenční agenda je výrazně složitější než u ostatních soudů. Je za to zodpovědný především </w:t>
      </w:r>
      <w:r w:rsidR="00E8109E" w:rsidRPr="00A00187">
        <w:t xml:space="preserve">vyšší </w:t>
      </w:r>
      <w:r w:rsidRPr="00A00187">
        <w:t>podíl úpadků řešených konkursem. Naopak vysoké hodnoty vykazuje KS Plzeň</w:t>
      </w:r>
      <w:r w:rsidR="00092117" w:rsidRPr="00A00187">
        <w:t xml:space="preserve">, kde ale </w:t>
      </w:r>
      <w:r w:rsidRPr="00A00187">
        <w:t xml:space="preserve">zřejmě </w:t>
      </w:r>
      <w:r w:rsidR="00092117" w:rsidRPr="00A00187">
        <w:t xml:space="preserve">vedle faktorů vážících se k samotné agendě </w:t>
      </w:r>
      <w:r w:rsidRPr="00A00187">
        <w:t xml:space="preserve">hraje roli </w:t>
      </w:r>
      <w:r w:rsidR="00755920" w:rsidRPr="00A00187">
        <w:t>i</w:t>
      </w:r>
      <w:r w:rsidR="00755920">
        <w:t> </w:t>
      </w:r>
      <w:r w:rsidRPr="00A00187">
        <w:t xml:space="preserve">způsob vykazování dat. Zdaleka nejvyšší hodnoty ale v tomto období vykázal KS v Českých Budějovicích. To je dáno tím, že soud v tomto období vykázal jen 1,5 soudce na insolvenčním úseku oproti 6 </w:t>
      </w:r>
      <w:r w:rsidR="00634B99" w:rsidRPr="00A00187">
        <w:t>v předchozím roce</w:t>
      </w:r>
      <w:r w:rsidRPr="00A00187">
        <w:t xml:space="preserve">. </w:t>
      </w:r>
      <w:r w:rsidR="001A4ECC" w:rsidRPr="00A00187">
        <w:t xml:space="preserve">To je </w:t>
      </w:r>
      <w:r w:rsidR="00634B99" w:rsidRPr="00A00187">
        <w:t xml:space="preserve">patrné </w:t>
      </w:r>
      <w:r w:rsidR="00755920" w:rsidRPr="00A00187">
        <w:t>i</w:t>
      </w:r>
      <w:r w:rsidR="00755920">
        <w:t> </w:t>
      </w:r>
      <w:r w:rsidR="00634B99" w:rsidRPr="00A00187">
        <w:t>z</w:t>
      </w:r>
      <w:r w:rsidR="00436E62" w:rsidRPr="00A00187">
        <w:t> </w:t>
      </w:r>
      <w:r w:rsidR="001A4ECC" w:rsidRPr="00A00187">
        <w:t>tabul</w:t>
      </w:r>
      <w:r w:rsidR="00634B99" w:rsidRPr="00A00187">
        <w:t>ky</w:t>
      </w:r>
      <w:r w:rsidR="00436E62" w:rsidRPr="00A00187">
        <w:t>, kde</w:t>
      </w:r>
      <w:r w:rsidR="00634B99" w:rsidRPr="00A00187">
        <w:t xml:space="preserve"> </w:t>
      </w:r>
      <w:r w:rsidR="001A4ECC" w:rsidRPr="00A00187">
        <w:t xml:space="preserve">hodnoty narostly cca </w:t>
      </w:r>
      <w:r w:rsidR="00634B99" w:rsidRPr="00A00187">
        <w:t xml:space="preserve">na </w:t>
      </w:r>
      <w:r w:rsidR="001A4ECC" w:rsidRPr="00A00187">
        <w:t>300</w:t>
      </w:r>
      <w:r w:rsidR="00CB570A">
        <w:t> %</w:t>
      </w:r>
      <w:r w:rsidR="001A4ECC" w:rsidRPr="00A00187">
        <w:t xml:space="preserve"> </w:t>
      </w:r>
      <w:r w:rsidR="00755920" w:rsidRPr="00A00187">
        <w:t>a</w:t>
      </w:r>
      <w:r w:rsidR="00755920">
        <w:t> </w:t>
      </w:r>
      <w:r w:rsidR="001A4ECC" w:rsidRPr="00A00187">
        <w:t>jsou tedy neporovnatelné s ostatními soudy.</w:t>
      </w:r>
    </w:p>
    <w:p w14:paraId="1C9D9637" w14:textId="0A38DEEC" w:rsidR="001A4ECC" w:rsidRPr="00A00187" w:rsidRDefault="001A4ECC" w:rsidP="001A4ECC">
      <w:pPr>
        <w:pStyle w:val="OdstavecASR"/>
      </w:pPr>
      <w:r w:rsidRPr="00A00187">
        <w:t>DT není u této agendy uveden</w:t>
      </w:r>
      <w:r w:rsidR="00092117" w:rsidRPr="00A00187">
        <w:t>. Jelikož se jedná o vícefázové řízení</w:t>
      </w:r>
      <w:r w:rsidRPr="00A00187">
        <w:t xml:space="preserve">, jeho použití se </w:t>
      </w:r>
      <w:r w:rsidR="00092117" w:rsidRPr="00A00187">
        <w:t xml:space="preserve">totiž </w:t>
      </w:r>
      <w:r w:rsidRPr="00A00187">
        <w:t>jeví jako nevhodné.</w:t>
      </w:r>
    </w:p>
    <w:p w14:paraId="22F7EF21" w14:textId="77777777" w:rsidR="001A4ECC" w:rsidRPr="00A00187" w:rsidRDefault="001A4ECC" w:rsidP="00196151">
      <w:pPr>
        <w:pStyle w:val="OdstavecASR"/>
      </w:pPr>
    </w:p>
    <w:p w14:paraId="2AED4511" w14:textId="77777777" w:rsidR="003073A8" w:rsidRPr="00A00187" w:rsidRDefault="003073A8" w:rsidP="003073A8">
      <w:pPr>
        <w:pStyle w:val="OdstavecASR"/>
      </w:pPr>
    </w:p>
    <w:p w14:paraId="0E66325F" w14:textId="77777777" w:rsidR="003073A8" w:rsidRPr="00A00187" w:rsidRDefault="003073A8" w:rsidP="003073A8"/>
    <w:p w14:paraId="37722036" w14:textId="38B47FF1" w:rsidR="00094ADF" w:rsidRPr="00A00187" w:rsidRDefault="008430BD" w:rsidP="008430BD">
      <w:pPr>
        <w:pStyle w:val="Nadpis3"/>
        <w:pageBreakBefore/>
        <w:numPr>
          <w:ilvl w:val="2"/>
          <w:numId w:val="1"/>
        </w:numPr>
        <w:rPr>
          <w:color w:val="auto"/>
        </w:rPr>
      </w:pPr>
      <w:bookmarkStart w:id="951" w:name="_Toc515871276"/>
      <w:bookmarkStart w:id="952" w:name="_Toc106092783"/>
      <w:bookmarkStart w:id="953" w:name="_Toc109801394"/>
      <w:r w:rsidRPr="00A00187">
        <w:rPr>
          <w:color w:val="auto"/>
        </w:rPr>
        <w:lastRenderedPageBreak/>
        <w:t>Další statistiky</w:t>
      </w:r>
      <w:bookmarkEnd w:id="951"/>
      <w:bookmarkEnd w:id="952"/>
      <w:bookmarkEnd w:id="953"/>
    </w:p>
    <w:p w14:paraId="12298658" w14:textId="7205EBB3" w:rsidR="001A4ECC" w:rsidRPr="00A00187" w:rsidRDefault="001A4ECC" w:rsidP="001A4ECC">
      <w:pPr>
        <w:pStyle w:val="OdstavecASR"/>
      </w:pPr>
      <w:r w:rsidRPr="00A00187">
        <w:t>Zajímavým a velmi důležitým statistickým údajem je složení agendy z hlediska způsobu řešení úpadku. Proto tyto statistik</w:t>
      </w:r>
      <w:r w:rsidR="00634B99" w:rsidRPr="00A00187">
        <w:t>y</w:t>
      </w:r>
      <w:r w:rsidR="00436E62" w:rsidRPr="00A00187">
        <w:t xml:space="preserve"> </w:t>
      </w:r>
      <w:r w:rsidRPr="00A00187">
        <w:t>uvádíme každoročně. V následující tabulce uvádíme podíl počtu věcí dosud v řízení podle jednotlivých způsobů řešení úpadku a podle krajských soudů ke konci roku 2021.</w:t>
      </w:r>
    </w:p>
    <w:p w14:paraId="64076B1E" w14:textId="4C0CE891" w:rsidR="001A4ECC" w:rsidRPr="00A00187" w:rsidRDefault="001A4ECC" w:rsidP="001A4ECC">
      <w:pPr>
        <w:pStyle w:val="Podnadpis"/>
        <w:rPr>
          <w:color w:val="auto"/>
        </w:rPr>
      </w:pPr>
      <w:bookmarkStart w:id="954" w:name="_Toc43931246"/>
      <w:bookmarkStart w:id="955" w:name="_Toc75952379"/>
      <w:bookmarkStart w:id="956" w:name="_Toc106106832"/>
      <w:bookmarkStart w:id="957" w:name="_Toc109802155"/>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70</w:t>
      </w:r>
      <w:r w:rsidRPr="00A00187">
        <w:rPr>
          <w:noProof/>
          <w:color w:val="auto"/>
        </w:rPr>
        <w:fldChar w:fldCharType="end"/>
      </w:r>
      <w:r w:rsidRPr="00A00187">
        <w:rPr>
          <w:color w:val="auto"/>
        </w:rPr>
        <w:t>: KS – podíl jednotlivých způsobů řešení úpadku</w:t>
      </w:r>
      <w:bookmarkEnd w:id="954"/>
      <w:bookmarkEnd w:id="955"/>
      <w:r w:rsidR="00865640" w:rsidRPr="00A00187">
        <w:rPr>
          <w:color w:val="auto"/>
        </w:rPr>
        <w:t xml:space="preserve"> v</w:t>
      </w:r>
      <w:r w:rsidR="00CB570A">
        <w:rPr>
          <w:color w:val="auto"/>
        </w:rPr>
        <w:t> %</w:t>
      </w:r>
      <w:bookmarkEnd w:id="956"/>
      <w:bookmarkEnd w:id="957"/>
    </w:p>
    <w:tbl>
      <w:tblPr>
        <w:tblW w:w="7552" w:type="dxa"/>
        <w:tblCellMar>
          <w:left w:w="70" w:type="dxa"/>
          <w:right w:w="70" w:type="dxa"/>
        </w:tblCellMar>
        <w:tblLook w:val="04A0" w:firstRow="1" w:lastRow="0" w:firstColumn="1" w:lastColumn="0" w:noHBand="0" w:noVBand="1"/>
      </w:tblPr>
      <w:tblGrid>
        <w:gridCol w:w="2496"/>
        <w:gridCol w:w="1581"/>
        <w:gridCol w:w="1779"/>
        <w:gridCol w:w="1696"/>
      </w:tblGrid>
      <w:tr w:rsidR="00AC1E67" w:rsidRPr="00A00187" w14:paraId="4945B150" w14:textId="77777777" w:rsidTr="001A4ECC">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747F8468" w14:textId="77777777"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5056" w:type="dxa"/>
            <w:gridSpan w:val="3"/>
            <w:tcBorders>
              <w:top w:val="double" w:sz="6" w:space="0" w:color="auto"/>
              <w:left w:val="nil"/>
              <w:bottom w:val="nil"/>
              <w:right w:val="nil"/>
            </w:tcBorders>
            <w:shd w:val="clear" w:color="auto" w:fill="auto"/>
            <w:noWrap/>
            <w:vAlign w:val="center"/>
            <w:hideMark/>
          </w:tcPr>
          <w:p w14:paraId="5B077CA5" w14:textId="77777777"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Způsob řešení úpadku</w:t>
            </w:r>
          </w:p>
        </w:tc>
      </w:tr>
      <w:tr w:rsidR="00AC1E67" w:rsidRPr="00A00187" w14:paraId="6390E944" w14:textId="77777777" w:rsidTr="001A4ECC">
        <w:trPr>
          <w:trHeight w:val="330"/>
        </w:trPr>
        <w:tc>
          <w:tcPr>
            <w:tcW w:w="2496" w:type="dxa"/>
            <w:vMerge/>
            <w:tcBorders>
              <w:top w:val="double" w:sz="6" w:space="0" w:color="auto"/>
              <w:left w:val="nil"/>
              <w:bottom w:val="double" w:sz="6" w:space="0" w:color="000000"/>
              <w:right w:val="nil"/>
            </w:tcBorders>
            <w:vAlign w:val="center"/>
            <w:hideMark/>
          </w:tcPr>
          <w:p w14:paraId="11B02F12" w14:textId="77777777" w:rsidR="001A4ECC" w:rsidRPr="00A00187" w:rsidRDefault="001A4ECC" w:rsidP="001A4ECC">
            <w:pPr>
              <w:spacing w:line="240" w:lineRule="auto"/>
              <w:jc w:val="left"/>
              <w:rPr>
                <w:rFonts w:eastAsia="Times New Roman"/>
                <w:b/>
                <w:bCs/>
                <w:szCs w:val="24"/>
                <w:lang w:eastAsia="cs-CZ"/>
              </w:rPr>
            </w:pPr>
          </w:p>
        </w:tc>
        <w:tc>
          <w:tcPr>
            <w:tcW w:w="1581" w:type="dxa"/>
            <w:tcBorders>
              <w:top w:val="nil"/>
              <w:left w:val="nil"/>
              <w:bottom w:val="double" w:sz="6" w:space="0" w:color="auto"/>
              <w:right w:val="nil"/>
            </w:tcBorders>
            <w:shd w:val="clear" w:color="auto" w:fill="auto"/>
            <w:noWrap/>
            <w:vAlign w:val="center"/>
            <w:hideMark/>
          </w:tcPr>
          <w:p w14:paraId="2F0A7352" w14:textId="77777777"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Konkurzem</w:t>
            </w:r>
          </w:p>
        </w:tc>
        <w:tc>
          <w:tcPr>
            <w:tcW w:w="1779" w:type="dxa"/>
            <w:tcBorders>
              <w:top w:val="nil"/>
              <w:left w:val="nil"/>
              <w:bottom w:val="double" w:sz="6" w:space="0" w:color="auto"/>
              <w:right w:val="nil"/>
            </w:tcBorders>
            <w:shd w:val="clear" w:color="auto" w:fill="auto"/>
            <w:noWrap/>
            <w:vAlign w:val="center"/>
            <w:hideMark/>
          </w:tcPr>
          <w:p w14:paraId="3EF6E9F4" w14:textId="77777777"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Reorganizací</w:t>
            </w:r>
          </w:p>
        </w:tc>
        <w:tc>
          <w:tcPr>
            <w:tcW w:w="1696" w:type="dxa"/>
            <w:tcBorders>
              <w:top w:val="nil"/>
              <w:left w:val="nil"/>
              <w:bottom w:val="double" w:sz="6" w:space="0" w:color="auto"/>
              <w:right w:val="nil"/>
            </w:tcBorders>
            <w:shd w:val="clear" w:color="auto" w:fill="auto"/>
            <w:noWrap/>
            <w:vAlign w:val="center"/>
            <w:hideMark/>
          </w:tcPr>
          <w:p w14:paraId="217A1554" w14:textId="77777777"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Oddlužením</w:t>
            </w:r>
          </w:p>
        </w:tc>
      </w:tr>
      <w:tr w:rsidR="00AC1E67" w:rsidRPr="00A00187" w14:paraId="2C8C074E" w14:textId="77777777" w:rsidTr="001A4ECC">
        <w:trPr>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4951C6EB"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MS Praha</w:t>
            </w:r>
          </w:p>
        </w:tc>
        <w:tc>
          <w:tcPr>
            <w:tcW w:w="1581" w:type="dxa"/>
            <w:tcBorders>
              <w:top w:val="single" w:sz="4" w:space="0" w:color="auto"/>
              <w:left w:val="nil"/>
              <w:bottom w:val="single" w:sz="4" w:space="0" w:color="auto"/>
              <w:right w:val="nil"/>
            </w:tcBorders>
            <w:shd w:val="clear" w:color="auto" w:fill="auto"/>
            <w:noWrap/>
            <w:vAlign w:val="bottom"/>
            <w:hideMark/>
          </w:tcPr>
          <w:p w14:paraId="614910D1" w14:textId="1EECD678"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13,84</w:t>
            </w:r>
          </w:p>
        </w:tc>
        <w:tc>
          <w:tcPr>
            <w:tcW w:w="1779" w:type="dxa"/>
            <w:tcBorders>
              <w:top w:val="single" w:sz="4" w:space="0" w:color="auto"/>
              <w:left w:val="nil"/>
              <w:bottom w:val="single" w:sz="4" w:space="0" w:color="auto"/>
              <w:right w:val="nil"/>
            </w:tcBorders>
            <w:shd w:val="clear" w:color="auto" w:fill="auto"/>
            <w:noWrap/>
            <w:vAlign w:val="bottom"/>
            <w:hideMark/>
          </w:tcPr>
          <w:p w14:paraId="4B170DE6" w14:textId="50C7AA33"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0,10</w:t>
            </w:r>
          </w:p>
        </w:tc>
        <w:tc>
          <w:tcPr>
            <w:tcW w:w="1696" w:type="dxa"/>
            <w:tcBorders>
              <w:top w:val="single" w:sz="4" w:space="0" w:color="auto"/>
              <w:left w:val="nil"/>
              <w:bottom w:val="single" w:sz="4" w:space="0" w:color="auto"/>
              <w:right w:val="nil"/>
            </w:tcBorders>
            <w:shd w:val="clear" w:color="auto" w:fill="auto"/>
            <w:noWrap/>
            <w:vAlign w:val="bottom"/>
            <w:hideMark/>
          </w:tcPr>
          <w:p w14:paraId="4E7D0094" w14:textId="28AC5AA1"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86,06</w:t>
            </w:r>
          </w:p>
        </w:tc>
      </w:tr>
      <w:tr w:rsidR="00AC1E67" w:rsidRPr="00A00187" w14:paraId="5555C7E0" w14:textId="77777777" w:rsidTr="001A4ECC">
        <w:trPr>
          <w:trHeight w:val="315"/>
        </w:trPr>
        <w:tc>
          <w:tcPr>
            <w:tcW w:w="2496" w:type="dxa"/>
            <w:tcBorders>
              <w:top w:val="nil"/>
              <w:left w:val="nil"/>
              <w:bottom w:val="single" w:sz="4" w:space="0" w:color="auto"/>
              <w:right w:val="nil"/>
            </w:tcBorders>
            <w:shd w:val="clear" w:color="auto" w:fill="auto"/>
            <w:noWrap/>
            <w:vAlign w:val="bottom"/>
            <w:hideMark/>
          </w:tcPr>
          <w:p w14:paraId="13011780"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KS Praha</w:t>
            </w:r>
          </w:p>
        </w:tc>
        <w:tc>
          <w:tcPr>
            <w:tcW w:w="1581" w:type="dxa"/>
            <w:tcBorders>
              <w:top w:val="nil"/>
              <w:left w:val="nil"/>
              <w:bottom w:val="single" w:sz="4" w:space="0" w:color="auto"/>
              <w:right w:val="nil"/>
            </w:tcBorders>
            <w:shd w:val="clear" w:color="auto" w:fill="auto"/>
            <w:noWrap/>
            <w:vAlign w:val="bottom"/>
            <w:hideMark/>
          </w:tcPr>
          <w:p w14:paraId="2BEF4D03" w14:textId="4896E21E"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3,50</w:t>
            </w:r>
          </w:p>
        </w:tc>
        <w:tc>
          <w:tcPr>
            <w:tcW w:w="1779" w:type="dxa"/>
            <w:tcBorders>
              <w:top w:val="nil"/>
              <w:left w:val="nil"/>
              <w:bottom w:val="single" w:sz="4" w:space="0" w:color="auto"/>
              <w:right w:val="nil"/>
            </w:tcBorders>
            <w:shd w:val="clear" w:color="auto" w:fill="auto"/>
            <w:noWrap/>
            <w:vAlign w:val="bottom"/>
            <w:hideMark/>
          </w:tcPr>
          <w:p w14:paraId="166A38D2" w14:textId="0669FC3B"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0,03</w:t>
            </w:r>
          </w:p>
        </w:tc>
        <w:tc>
          <w:tcPr>
            <w:tcW w:w="1696" w:type="dxa"/>
            <w:tcBorders>
              <w:top w:val="nil"/>
              <w:left w:val="nil"/>
              <w:bottom w:val="single" w:sz="4" w:space="0" w:color="auto"/>
              <w:right w:val="nil"/>
            </w:tcBorders>
            <w:shd w:val="clear" w:color="auto" w:fill="auto"/>
            <w:noWrap/>
            <w:vAlign w:val="bottom"/>
            <w:hideMark/>
          </w:tcPr>
          <w:p w14:paraId="041283C5" w14:textId="7076FDAD"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96,47</w:t>
            </w:r>
          </w:p>
        </w:tc>
      </w:tr>
      <w:tr w:rsidR="00AC1E67" w:rsidRPr="00A00187" w14:paraId="41852663" w14:textId="77777777" w:rsidTr="001A4ECC">
        <w:trPr>
          <w:trHeight w:val="315"/>
        </w:trPr>
        <w:tc>
          <w:tcPr>
            <w:tcW w:w="2496" w:type="dxa"/>
            <w:tcBorders>
              <w:top w:val="nil"/>
              <w:left w:val="nil"/>
              <w:bottom w:val="single" w:sz="4" w:space="0" w:color="auto"/>
              <w:right w:val="nil"/>
            </w:tcBorders>
            <w:shd w:val="clear" w:color="auto" w:fill="auto"/>
            <w:noWrap/>
            <w:vAlign w:val="bottom"/>
            <w:hideMark/>
          </w:tcPr>
          <w:p w14:paraId="56E1B5C3"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KS Č. Budějovice</w:t>
            </w:r>
          </w:p>
        </w:tc>
        <w:tc>
          <w:tcPr>
            <w:tcW w:w="1581" w:type="dxa"/>
            <w:tcBorders>
              <w:top w:val="nil"/>
              <w:left w:val="nil"/>
              <w:bottom w:val="single" w:sz="4" w:space="0" w:color="auto"/>
              <w:right w:val="nil"/>
            </w:tcBorders>
            <w:shd w:val="clear" w:color="auto" w:fill="auto"/>
            <w:noWrap/>
            <w:vAlign w:val="bottom"/>
            <w:hideMark/>
          </w:tcPr>
          <w:p w14:paraId="2C06EE6E" w14:textId="275490F5"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3,41</w:t>
            </w:r>
          </w:p>
        </w:tc>
        <w:tc>
          <w:tcPr>
            <w:tcW w:w="1779" w:type="dxa"/>
            <w:tcBorders>
              <w:top w:val="nil"/>
              <w:left w:val="nil"/>
              <w:bottom w:val="single" w:sz="4" w:space="0" w:color="auto"/>
              <w:right w:val="nil"/>
            </w:tcBorders>
            <w:shd w:val="clear" w:color="auto" w:fill="auto"/>
            <w:noWrap/>
            <w:vAlign w:val="bottom"/>
            <w:hideMark/>
          </w:tcPr>
          <w:p w14:paraId="20F5BDB7" w14:textId="12ABE50A"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0,03</w:t>
            </w:r>
          </w:p>
        </w:tc>
        <w:tc>
          <w:tcPr>
            <w:tcW w:w="1696" w:type="dxa"/>
            <w:tcBorders>
              <w:top w:val="nil"/>
              <w:left w:val="nil"/>
              <w:bottom w:val="single" w:sz="4" w:space="0" w:color="auto"/>
              <w:right w:val="nil"/>
            </w:tcBorders>
            <w:shd w:val="clear" w:color="auto" w:fill="auto"/>
            <w:noWrap/>
            <w:vAlign w:val="bottom"/>
            <w:hideMark/>
          </w:tcPr>
          <w:p w14:paraId="0E7BE176" w14:textId="76661CC1"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96,56</w:t>
            </w:r>
          </w:p>
        </w:tc>
      </w:tr>
      <w:tr w:rsidR="00AC1E67" w:rsidRPr="00A00187" w14:paraId="03FB2AAF" w14:textId="77777777" w:rsidTr="001A4ECC">
        <w:trPr>
          <w:trHeight w:val="315"/>
        </w:trPr>
        <w:tc>
          <w:tcPr>
            <w:tcW w:w="2496" w:type="dxa"/>
            <w:tcBorders>
              <w:top w:val="nil"/>
              <w:left w:val="nil"/>
              <w:bottom w:val="single" w:sz="4" w:space="0" w:color="auto"/>
              <w:right w:val="nil"/>
            </w:tcBorders>
            <w:shd w:val="clear" w:color="auto" w:fill="auto"/>
            <w:noWrap/>
            <w:vAlign w:val="bottom"/>
            <w:hideMark/>
          </w:tcPr>
          <w:p w14:paraId="2C1E787C"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KS Plzeň</w:t>
            </w:r>
          </w:p>
        </w:tc>
        <w:tc>
          <w:tcPr>
            <w:tcW w:w="1581" w:type="dxa"/>
            <w:tcBorders>
              <w:top w:val="nil"/>
              <w:left w:val="nil"/>
              <w:bottom w:val="single" w:sz="4" w:space="0" w:color="auto"/>
              <w:right w:val="nil"/>
            </w:tcBorders>
            <w:shd w:val="clear" w:color="auto" w:fill="auto"/>
            <w:noWrap/>
            <w:vAlign w:val="bottom"/>
            <w:hideMark/>
          </w:tcPr>
          <w:p w14:paraId="280102B1" w14:textId="6F9B2884"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3,57</w:t>
            </w:r>
          </w:p>
        </w:tc>
        <w:tc>
          <w:tcPr>
            <w:tcW w:w="1779" w:type="dxa"/>
            <w:tcBorders>
              <w:top w:val="nil"/>
              <w:left w:val="nil"/>
              <w:bottom w:val="single" w:sz="4" w:space="0" w:color="auto"/>
              <w:right w:val="nil"/>
            </w:tcBorders>
            <w:shd w:val="clear" w:color="auto" w:fill="auto"/>
            <w:noWrap/>
            <w:vAlign w:val="bottom"/>
            <w:hideMark/>
          </w:tcPr>
          <w:p w14:paraId="49D10B61" w14:textId="5503AE85"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0,00</w:t>
            </w:r>
          </w:p>
        </w:tc>
        <w:tc>
          <w:tcPr>
            <w:tcW w:w="1696" w:type="dxa"/>
            <w:tcBorders>
              <w:top w:val="nil"/>
              <w:left w:val="nil"/>
              <w:bottom w:val="single" w:sz="4" w:space="0" w:color="auto"/>
              <w:right w:val="nil"/>
            </w:tcBorders>
            <w:shd w:val="clear" w:color="auto" w:fill="auto"/>
            <w:noWrap/>
            <w:vAlign w:val="bottom"/>
            <w:hideMark/>
          </w:tcPr>
          <w:p w14:paraId="73AE6239" w14:textId="210D07C7"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96,43</w:t>
            </w:r>
          </w:p>
        </w:tc>
      </w:tr>
      <w:tr w:rsidR="00AC1E67" w:rsidRPr="00A00187" w14:paraId="02185C83" w14:textId="77777777" w:rsidTr="001A4ECC">
        <w:trPr>
          <w:trHeight w:val="315"/>
        </w:trPr>
        <w:tc>
          <w:tcPr>
            <w:tcW w:w="2496" w:type="dxa"/>
            <w:tcBorders>
              <w:top w:val="nil"/>
              <w:left w:val="nil"/>
              <w:bottom w:val="single" w:sz="4" w:space="0" w:color="auto"/>
              <w:right w:val="nil"/>
            </w:tcBorders>
            <w:shd w:val="clear" w:color="auto" w:fill="auto"/>
            <w:noWrap/>
            <w:vAlign w:val="bottom"/>
            <w:hideMark/>
          </w:tcPr>
          <w:p w14:paraId="55A1265B"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KS Ústí n. Labem</w:t>
            </w:r>
          </w:p>
        </w:tc>
        <w:tc>
          <w:tcPr>
            <w:tcW w:w="1581" w:type="dxa"/>
            <w:tcBorders>
              <w:top w:val="nil"/>
              <w:left w:val="nil"/>
              <w:bottom w:val="single" w:sz="4" w:space="0" w:color="auto"/>
              <w:right w:val="nil"/>
            </w:tcBorders>
            <w:shd w:val="clear" w:color="auto" w:fill="auto"/>
            <w:noWrap/>
            <w:vAlign w:val="bottom"/>
            <w:hideMark/>
          </w:tcPr>
          <w:p w14:paraId="22496666" w14:textId="162FEB2D"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2,22</w:t>
            </w:r>
          </w:p>
        </w:tc>
        <w:tc>
          <w:tcPr>
            <w:tcW w:w="1779" w:type="dxa"/>
            <w:tcBorders>
              <w:top w:val="nil"/>
              <w:left w:val="nil"/>
              <w:bottom w:val="single" w:sz="4" w:space="0" w:color="auto"/>
              <w:right w:val="nil"/>
            </w:tcBorders>
            <w:shd w:val="clear" w:color="auto" w:fill="auto"/>
            <w:noWrap/>
            <w:vAlign w:val="bottom"/>
            <w:hideMark/>
          </w:tcPr>
          <w:p w14:paraId="74EA1BC3" w14:textId="79067372"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0,00</w:t>
            </w:r>
          </w:p>
        </w:tc>
        <w:tc>
          <w:tcPr>
            <w:tcW w:w="1696" w:type="dxa"/>
            <w:tcBorders>
              <w:top w:val="nil"/>
              <w:left w:val="nil"/>
              <w:bottom w:val="single" w:sz="4" w:space="0" w:color="auto"/>
              <w:right w:val="nil"/>
            </w:tcBorders>
            <w:shd w:val="clear" w:color="auto" w:fill="auto"/>
            <w:noWrap/>
            <w:vAlign w:val="bottom"/>
            <w:hideMark/>
          </w:tcPr>
          <w:p w14:paraId="5437F755" w14:textId="0080DE16"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97,78</w:t>
            </w:r>
          </w:p>
        </w:tc>
      </w:tr>
      <w:tr w:rsidR="00AC1E67" w:rsidRPr="00A00187" w14:paraId="64E95B4F" w14:textId="77777777" w:rsidTr="001A4ECC">
        <w:trPr>
          <w:trHeight w:val="315"/>
        </w:trPr>
        <w:tc>
          <w:tcPr>
            <w:tcW w:w="2496" w:type="dxa"/>
            <w:tcBorders>
              <w:top w:val="nil"/>
              <w:left w:val="nil"/>
              <w:bottom w:val="single" w:sz="4" w:space="0" w:color="auto"/>
              <w:right w:val="nil"/>
            </w:tcBorders>
            <w:shd w:val="clear" w:color="auto" w:fill="auto"/>
            <w:noWrap/>
            <w:vAlign w:val="bottom"/>
            <w:hideMark/>
          </w:tcPr>
          <w:p w14:paraId="7BA1BEE4"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KS Hr. Králové</w:t>
            </w:r>
          </w:p>
        </w:tc>
        <w:tc>
          <w:tcPr>
            <w:tcW w:w="1581" w:type="dxa"/>
            <w:tcBorders>
              <w:top w:val="nil"/>
              <w:left w:val="nil"/>
              <w:bottom w:val="single" w:sz="4" w:space="0" w:color="auto"/>
              <w:right w:val="nil"/>
            </w:tcBorders>
            <w:shd w:val="clear" w:color="auto" w:fill="auto"/>
            <w:noWrap/>
            <w:vAlign w:val="bottom"/>
            <w:hideMark/>
          </w:tcPr>
          <w:p w14:paraId="07251E9B" w14:textId="7997ECE1"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3,31</w:t>
            </w:r>
          </w:p>
        </w:tc>
        <w:tc>
          <w:tcPr>
            <w:tcW w:w="1779" w:type="dxa"/>
            <w:tcBorders>
              <w:top w:val="nil"/>
              <w:left w:val="nil"/>
              <w:bottom w:val="single" w:sz="4" w:space="0" w:color="auto"/>
              <w:right w:val="nil"/>
            </w:tcBorders>
            <w:shd w:val="clear" w:color="auto" w:fill="auto"/>
            <w:noWrap/>
            <w:vAlign w:val="bottom"/>
            <w:hideMark/>
          </w:tcPr>
          <w:p w14:paraId="3613C865" w14:textId="1C905C10"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0,05</w:t>
            </w:r>
          </w:p>
        </w:tc>
        <w:tc>
          <w:tcPr>
            <w:tcW w:w="1696" w:type="dxa"/>
            <w:tcBorders>
              <w:top w:val="nil"/>
              <w:left w:val="nil"/>
              <w:bottom w:val="single" w:sz="4" w:space="0" w:color="auto"/>
              <w:right w:val="nil"/>
            </w:tcBorders>
            <w:shd w:val="clear" w:color="auto" w:fill="auto"/>
            <w:noWrap/>
            <w:vAlign w:val="bottom"/>
            <w:hideMark/>
          </w:tcPr>
          <w:p w14:paraId="2FFBAB5A" w14:textId="55A4B5FD"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96,64</w:t>
            </w:r>
          </w:p>
        </w:tc>
      </w:tr>
      <w:tr w:rsidR="00AC1E67" w:rsidRPr="00A00187" w14:paraId="6C1CE7A8" w14:textId="77777777" w:rsidTr="001A4ECC">
        <w:trPr>
          <w:trHeight w:val="315"/>
        </w:trPr>
        <w:tc>
          <w:tcPr>
            <w:tcW w:w="2496" w:type="dxa"/>
            <w:tcBorders>
              <w:top w:val="nil"/>
              <w:left w:val="nil"/>
              <w:bottom w:val="single" w:sz="4" w:space="0" w:color="auto"/>
              <w:right w:val="nil"/>
            </w:tcBorders>
            <w:shd w:val="clear" w:color="auto" w:fill="auto"/>
            <w:noWrap/>
            <w:vAlign w:val="bottom"/>
            <w:hideMark/>
          </w:tcPr>
          <w:p w14:paraId="6760C7B4"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KS Brno</w:t>
            </w:r>
          </w:p>
        </w:tc>
        <w:tc>
          <w:tcPr>
            <w:tcW w:w="1581" w:type="dxa"/>
            <w:tcBorders>
              <w:top w:val="nil"/>
              <w:left w:val="nil"/>
              <w:bottom w:val="single" w:sz="4" w:space="0" w:color="auto"/>
              <w:right w:val="nil"/>
            </w:tcBorders>
            <w:shd w:val="clear" w:color="auto" w:fill="auto"/>
            <w:noWrap/>
            <w:vAlign w:val="bottom"/>
            <w:hideMark/>
          </w:tcPr>
          <w:p w14:paraId="06DA34B6" w14:textId="6B11CDCE"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5,12</w:t>
            </w:r>
          </w:p>
        </w:tc>
        <w:tc>
          <w:tcPr>
            <w:tcW w:w="1779" w:type="dxa"/>
            <w:tcBorders>
              <w:top w:val="nil"/>
              <w:left w:val="nil"/>
              <w:bottom w:val="single" w:sz="4" w:space="0" w:color="auto"/>
              <w:right w:val="nil"/>
            </w:tcBorders>
            <w:shd w:val="clear" w:color="auto" w:fill="auto"/>
            <w:noWrap/>
            <w:vAlign w:val="bottom"/>
            <w:hideMark/>
          </w:tcPr>
          <w:p w14:paraId="7C24E84E" w14:textId="21E791F0"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0,04</w:t>
            </w:r>
          </w:p>
        </w:tc>
        <w:tc>
          <w:tcPr>
            <w:tcW w:w="1696" w:type="dxa"/>
            <w:tcBorders>
              <w:top w:val="nil"/>
              <w:left w:val="nil"/>
              <w:bottom w:val="single" w:sz="4" w:space="0" w:color="auto"/>
              <w:right w:val="nil"/>
            </w:tcBorders>
            <w:shd w:val="clear" w:color="auto" w:fill="auto"/>
            <w:noWrap/>
            <w:vAlign w:val="bottom"/>
            <w:hideMark/>
          </w:tcPr>
          <w:p w14:paraId="2EF0EF66" w14:textId="78C8881C"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94,84</w:t>
            </w:r>
          </w:p>
        </w:tc>
      </w:tr>
      <w:tr w:rsidR="00AC1E67" w:rsidRPr="00A00187" w14:paraId="43801DC9" w14:textId="77777777" w:rsidTr="001A4ECC">
        <w:trPr>
          <w:trHeight w:val="330"/>
        </w:trPr>
        <w:tc>
          <w:tcPr>
            <w:tcW w:w="2496" w:type="dxa"/>
            <w:tcBorders>
              <w:top w:val="nil"/>
              <w:left w:val="nil"/>
              <w:bottom w:val="double" w:sz="6" w:space="0" w:color="auto"/>
              <w:right w:val="nil"/>
            </w:tcBorders>
            <w:shd w:val="clear" w:color="auto" w:fill="auto"/>
            <w:noWrap/>
            <w:vAlign w:val="bottom"/>
            <w:hideMark/>
          </w:tcPr>
          <w:p w14:paraId="2BEFFC70" w14:textId="77777777" w:rsidR="001A4ECC" w:rsidRPr="00A00187" w:rsidRDefault="001A4ECC" w:rsidP="001A4ECC">
            <w:pPr>
              <w:spacing w:line="240" w:lineRule="auto"/>
              <w:jc w:val="left"/>
              <w:rPr>
                <w:rFonts w:eastAsia="Times New Roman"/>
                <w:szCs w:val="24"/>
                <w:lang w:eastAsia="cs-CZ"/>
              </w:rPr>
            </w:pPr>
            <w:r w:rsidRPr="00A00187">
              <w:rPr>
                <w:rFonts w:eastAsia="Times New Roman"/>
                <w:szCs w:val="24"/>
                <w:lang w:eastAsia="cs-CZ"/>
              </w:rPr>
              <w:t>KS Ostrava</w:t>
            </w:r>
          </w:p>
        </w:tc>
        <w:tc>
          <w:tcPr>
            <w:tcW w:w="1581" w:type="dxa"/>
            <w:tcBorders>
              <w:top w:val="nil"/>
              <w:left w:val="nil"/>
              <w:bottom w:val="double" w:sz="6" w:space="0" w:color="auto"/>
              <w:right w:val="nil"/>
            </w:tcBorders>
            <w:shd w:val="clear" w:color="auto" w:fill="auto"/>
            <w:noWrap/>
            <w:vAlign w:val="bottom"/>
            <w:hideMark/>
          </w:tcPr>
          <w:p w14:paraId="30B41773" w14:textId="5417AF49"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2,98</w:t>
            </w:r>
          </w:p>
        </w:tc>
        <w:tc>
          <w:tcPr>
            <w:tcW w:w="1779" w:type="dxa"/>
            <w:tcBorders>
              <w:top w:val="nil"/>
              <w:left w:val="nil"/>
              <w:bottom w:val="double" w:sz="6" w:space="0" w:color="auto"/>
              <w:right w:val="nil"/>
            </w:tcBorders>
            <w:shd w:val="clear" w:color="auto" w:fill="auto"/>
            <w:noWrap/>
            <w:vAlign w:val="bottom"/>
            <w:hideMark/>
          </w:tcPr>
          <w:p w14:paraId="07F46A8D" w14:textId="0D868F9B"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0,04</w:t>
            </w:r>
          </w:p>
        </w:tc>
        <w:tc>
          <w:tcPr>
            <w:tcW w:w="1696" w:type="dxa"/>
            <w:tcBorders>
              <w:top w:val="nil"/>
              <w:left w:val="nil"/>
              <w:bottom w:val="double" w:sz="6" w:space="0" w:color="auto"/>
              <w:right w:val="nil"/>
            </w:tcBorders>
            <w:shd w:val="clear" w:color="auto" w:fill="auto"/>
            <w:noWrap/>
            <w:vAlign w:val="bottom"/>
            <w:hideMark/>
          </w:tcPr>
          <w:p w14:paraId="46A8598C" w14:textId="76C70C59" w:rsidR="001A4ECC" w:rsidRPr="00A00187" w:rsidRDefault="001A4ECC" w:rsidP="001A4ECC">
            <w:pPr>
              <w:spacing w:line="240" w:lineRule="auto"/>
              <w:jc w:val="center"/>
              <w:rPr>
                <w:rFonts w:eastAsia="Times New Roman"/>
                <w:szCs w:val="24"/>
                <w:lang w:eastAsia="cs-CZ"/>
              </w:rPr>
            </w:pPr>
            <w:r w:rsidRPr="00A00187">
              <w:rPr>
                <w:rFonts w:eastAsia="Times New Roman"/>
                <w:szCs w:val="24"/>
                <w:lang w:eastAsia="cs-CZ"/>
              </w:rPr>
              <w:t>96,99</w:t>
            </w:r>
          </w:p>
        </w:tc>
      </w:tr>
      <w:tr w:rsidR="00AC1E67" w:rsidRPr="00A00187" w14:paraId="4CC87598" w14:textId="77777777" w:rsidTr="001A4ECC">
        <w:trPr>
          <w:trHeight w:val="345"/>
        </w:trPr>
        <w:tc>
          <w:tcPr>
            <w:tcW w:w="2496" w:type="dxa"/>
            <w:tcBorders>
              <w:top w:val="nil"/>
              <w:left w:val="nil"/>
              <w:bottom w:val="double" w:sz="6" w:space="0" w:color="auto"/>
              <w:right w:val="nil"/>
            </w:tcBorders>
            <w:shd w:val="clear" w:color="auto" w:fill="auto"/>
            <w:noWrap/>
            <w:vAlign w:val="bottom"/>
            <w:hideMark/>
          </w:tcPr>
          <w:p w14:paraId="25037E44" w14:textId="77777777" w:rsidR="001A4ECC" w:rsidRPr="00A00187" w:rsidRDefault="001A4ECC" w:rsidP="001A4ECC">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581" w:type="dxa"/>
            <w:tcBorders>
              <w:top w:val="nil"/>
              <w:left w:val="nil"/>
              <w:bottom w:val="double" w:sz="6" w:space="0" w:color="auto"/>
              <w:right w:val="nil"/>
            </w:tcBorders>
            <w:shd w:val="clear" w:color="auto" w:fill="auto"/>
            <w:noWrap/>
            <w:vAlign w:val="bottom"/>
            <w:hideMark/>
          </w:tcPr>
          <w:p w14:paraId="120FACCE" w14:textId="057B9074"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4,31</w:t>
            </w:r>
          </w:p>
        </w:tc>
        <w:tc>
          <w:tcPr>
            <w:tcW w:w="1779" w:type="dxa"/>
            <w:tcBorders>
              <w:top w:val="nil"/>
              <w:left w:val="nil"/>
              <w:bottom w:val="double" w:sz="6" w:space="0" w:color="auto"/>
              <w:right w:val="nil"/>
            </w:tcBorders>
            <w:shd w:val="clear" w:color="auto" w:fill="auto"/>
            <w:noWrap/>
            <w:vAlign w:val="bottom"/>
            <w:hideMark/>
          </w:tcPr>
          <w:p w14:paraId="7E6513DA" w14:textId="6302D5E3"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0,03</w:t>
            </w:r>
          </w:p>
        </w:tc>
        <w:tc>
          <w:tcPr>
            <w:tcW w:w="1696" w:type="dxa"/>
            <w:tcBorders>
              <w:top w:val="nil"/>
              <w:left w:val="nil"/>
              <w:bottom w:val="double" w:sz="6" w:space="0" w:color="auto"/>
              <w:right w:val="nil"/>
            </w:tcBorders>
            <w:shd w:val="clear" w:color="auto" w:fill="auto"/>
            <w:noWrap/>
            <w:vAlign w:val="bottom"/>
            <w:hideMark/>
          </w:tcPr>
          <w:p w14:paraId="06B79B2B" w14:textId="344A6E6F" w:rsidR="001A4ECC" w:rsidRPr="00A00187" w:rsidRDefault="001A4ECC" w:rsidP="001A4ECC">
            <w:pPr>
              <w:spacing w:line="240" w:lineRule="auto"/>
              <w:jc w:val="center"/>
              <w:rPr>
                <w:rFonts w:eastAsia="Times New Roman"/>
                <w:b/>
                <w:bCs/>
                <w:szCs w:val="24"/>
                <w:lang w:eastAsia="cs-CZ"/>
              </w:rPr>
            </w:pPr>
            <w:r w:rsidRPr="00A00187">
              <w:rPr>
                <w:rFonts w:eastAsia="Times New Roman"/>
                <w:b/>
                <w:bCs/>
                <w:szCs w:val="24"/>
                <w:lang w:eastAsia="cs-CZ"/>
              </w:rPr>
              <w:t>95,66</w:t>
            </w:r>
          </w:p>
        </w:tc>
      </w:tr>
      <w:tr w:rsidR="00AC1E67" w:rsidRPr="00A00187" w14:paraId="122D0648" w14:textId="77777777" w:rsidTr="001A4ECC">
        <w:trPr>
          <w:trHeight w:val="330"/>
        </w:trPr>
        <w:tc>
          <w:tcPr>
            <w:tcW w:w="2496" w:type="dxa"/>
            <w:tcBorders>
              <w:top w:val="nil"/>
              <w:left w:val="nil"/>
              <w:bottom w:val="nil"/>
              <w:right w:val="nil"/>
            </w:tcBorders>
            <w:shd w:val="clear" w:color="auto" w:fill="auto"/>
            <w:noWrap/>
            <w:vAlign w:val="bottom"/>
            <w:hideMark/>
          </w:tcPr>
          <w:p w14:paraId="4154322B" w14:textId="77777777" w:rsidR="001A4ECC" w:rsidRPr="00A00187" w:rsidRDefault="001A4ECC" w:rsidP="001A4ECC">
            <w:pPr>
              <w:spacing w:line="240" w:lineRule="auto"/>
              <w:jc w:val="center"/>
              <w:rPr>
                <w:rFonts w:eastAsia="Times New Roman"/>
                <w:b/>
                <w:bCs/>
                <w:szCs w:val="24"/>
                <w:lang w:eastAsia="cs-CZ"/>
              </w:rPr>
            </w:pPr>
          </w:p>
        </w:tc>
        <w:tc>
          <w:tcPr>
            <w:tcW w:w="1581" w:type="dxa"/>
            <w:tcBorders>
              <w:top w:val="nil"/>
              <w:left w:val="nil"/>
              <w:bottom w:val="nil"/>
              <w:right w:val="nil"/>
            </w:tcBorders>
            <w:shd w:val="clear" w:color="auto" w:fill="auto"/>
            <w:noWrap/>
            <w:vAlign w:val="bottom"/>
            <w:hideMark/>
          </w:tcPr>
          <w:p w14:paraId="56156F51" w14:textId="77777777" w:rsidR="001A4ECC" w:rsidRPr="00A00187" w:rsidRDefault="001A4ECC" w:rsidP="001A4ECC">
            <w:pPr>
              <w:spacing w:line="240" w:lineRule="auto"/>
              <w:jc w:val="left"/>
              <w:rPr>
                <w:rFonts w:ascii="Times New Roman" w:eastAsia="Times New Roman" w:hAnsi="Times New Roman"/>
                <w:sz w:val="20"/>
                <w:szCs w:val="20"/>
                <w:lang w:eastAsia="cs-CZ"/>
              </w:rPr>
            </w:pPr>
          </w:p>
        </w:tc>
        <w:tc>
          <w:tcPr>
            <w:tcW w:w="1779" w:type="dxa"/>
            <w:tcBorders>
              <w:top w:val="nil"/>
              <w:left w:val="nil"/>
              <w:bottom w:val="nil"/>
              <w:right w:val="nil"/>
            </w:tcBorders>
            <w:shd w:val="clear" w:color="auto" w:fill="auto"/>
            <w:noWrap/>
            <w:vAlign w:val="bottom"/>
            <w:hideMark/>
          </w:tcPr>
          <w:p w14:paraId="0F5C4C26" w14:textId="77777777" w:rsidR="001A4ECC" w:rsidRPr="00A00187" w:rsidRDefault="001A4ECC" w:rsidP="001A4ECC">
            <w:pPr>
              <w:spacing w:line="240" w:lineRule="auto"/>
              <w:jc w:val="left"/>
              <w:rPr>
                <w:rFonts w:ascii="Times New Roman" w:eastAsia="Times New Roman" w:hAnsi="Times New Roman"/>
                <w:sz w:val="20"/>
                <w:szCs w:val="20"/>
                <w:lang w:eastAsia="cs-CZ"/>
              </w:rPr>
            </w:pPr>
          </w:p>
        </w:tc>
        <w:tc>
          <w:tcPr>
            <w:tcW w:w="1696" w:type="dxa"/>
            <w:tcBorders>
              <w:top w:val="nil"/>
              <w:left w:val="nil"/>
              <w:bottom w:val="nil"/>
              <w:right w:val="nil"/>
            </w:tcBorders>
            <w:shd w:val="clear" w:color="auto" w:fill="auto"/>
            <w:noWrap/>
            <w:vAlign w:val="bottom"/>
            <w:hideMark/>
          </w:tcPr>
          <w:p w14:paraId="62E1F97C" w14:textId="77777777" w:rsidR="001A4ECC" w:rsidRPr="00A00187" w:rsidRDefault="001A4ECC" w:rsidP="001A4ECC">
            <w:pPr>
              <w:spacing w:line="240" w:lineRule="auto"/>
              <w:jc w:val="left"/>
              <w:rPr>
                <w:rFonts w:ascii="Times New Roman" w:eastAsia="Times New Roman" w:hAnsi="Times New Roman"/>
                <w:sz w:val="20"/>
                <w:szCs w:val="20"/>
                <w:lang w:eastAsia="cs-CZ"/>
              </w:rPr>
            </w:pPr>
          </w:p>
        </w:tc>
      </w:tr>
    </w:tbl>
    <w:p w14:paraId="60A75DEB" w14:textId="656CCF53" w:rsidR="00CB570A" w:rsidRDefault="001A4ECC" w:rsidP="001A4ECC">
      <w:pPr>
        <w:pStyle w:val="OdstavecASR"/>
      </w:pPr>
      <w:r w:rsidRPr="00A00187">
        <w:t>Naprosté minimum věcí se řeší reorganizací a pouze necelých 4,3</w:t>
      </w:r>
      <w:r w:rsidR="00CB570A">
        <w:t> %</w:t>
      </w:r>
      <w:r w:rsidRPr="00A00187">
        <w:t xml:space="preserve"> věcí se řeší konkursem (ve většině případů se jedná o řešení úpadku právnických osob).</w:t>
      </w:r>
      <w:r w:rsidR="00C37BF1" w:rsidRPr="00A00187">
        <w:t xml:space="preserve"> Oproti loňskému roku klesl </w:t>
      </w:r>
      <w:r w:rsidR="005C6C65" w:rsidRPr="00A00187">
        <w:t xml:space="preserve">počet úpadků </w:t>
      </w:r>
      <w:r w:rsidR="00C37BF1" w:rsidRPr="00A00187">
        <w:t xml:space="preserve">řešených konkursem </w:t>
      </w:r>
      <w:r w:rsidR="00755920" w:rsidRPr="00A00187">
        <w:t>o</w:t>
      </w:r>
      <w:r w:rsidR="00755920">
        <w:t> </w:t>
      </w:r>
      <w:r w:rsidR="00C37BF1" w:rsidRPr="00A00187">
        <w:t xml:space="preserve">0,6 procentního bodu. </w:t>
      </w:r>
      <w:r w:rsidRPr="00A00187">
        <w:t xml:space="preserve">V roce </w:t>
      </w:r>
      <w:r w:rsidR="00865640" w:rsidRPr="00A00187">
        <w:t xml:space="preserve">2020 se jednalo </w:t>
      </w:r>
      <w:r w:rsidR="00755920" w:rsidRPr="00A00187">
        <w:t>o</w:t>
      </w:r>
      <w:r w:rsidR="00755920">
        <w:t> </w:t>
      </w:r>
      <w:r w:rsidR="00865640" w:rsidRPr="00A00187">
        <w:t xml:space="preserve">pokles </w:t>
      </w:r>
      <w:r w:rsidR="00755920" w:rsidRPr="00A00187">
        <w:t>o</w:t>
      </w:r>
      <w:r w:rsidR="00755920">
        <w:t> </w:t>
      </w:r>
      <w:r w:rsidR="00865640" w:rsidRPr="00A00187">
        <w:t xml:space="preserve">0,9 </w:t>
      </w:r>
      <w:proofErr w:type="spellStart"/>
      <w:r w:rsidR="00865640" w:rsidRPr="00A00187">
        <w:t>p.b</w:t>
      </w:r>
      <w:proofErr w:type="spellEnd"/>
      <w:r w:rsidR="00865640" w:rsidRPr="00A00187">
        <w:t xml:space="preserve">. </w:t>
      </w:r>
      <w:r w:rsidR="00C52C43" w:rsidRPr="00A00187">
        <w:t>a</w:t>
      </w:r>
      <w:r w:rsidR="00641DB9">
        <w:t> </w:t>
      </w:r>
      <w:r w:rsidR="00755920" w:rsidRPr="00A00187">
        <w:t>v</w:t>
      </w:r>
      <w:r w:rsidR="00755920">
        <w:t> </w:t>
      </w:r>
      <w:r w:rsidRPr="00A00187">
        <w:t>roce 2019 byl pokles asi o 1,4 </w:t>
      </w:r>
      <w:proofErr w:type="spellStart"/>
      <w:r w:rsidR="00D97C00" w:rsidRPr="00A00187">
        <w:t>p.b</w:t>
      </w:r>
      <w:proofErr w:type="spellEnd"/>
      <w:r w:rsidR="00BC449D" w:rsidRPr="00A00187">
        <w:t>.</w:t>
      </w:r>
      <w:r w:rsidRPr="00A00187">
        <w:t xml:space="preserve"> </w:t>
      </w:r>
      <w:r w:rsidR="00755920" w:rsidRPr="00A00187">
        <w:t>V</w:t>
      </w:r>
      <w:r w:rsidR="00755920">
        <w:t> </w:t>
      </w:r>
      <w:r w:rsidR="00C52C43" w:rsidRPr="00A00187">
        <w:t>roce 2018</w:t>
      </w:r>
      <w:r w:rsidRPr="00A00187">
        <w:t xml:space="preserve"> to bylo </w:t>
      </w:r>
      <w:r w:rsidR="00755920" w:rsidRPr="00A00187">
        <w:t>o</w:t>
      </w:r>
      <w:r w:rsidR="00755920">
        <w:t> </w:t>
      </w:r>
      <w:r w:rsidRPr="00A00187">
        <w:t>1,6 </w:t>
      </w:r>
      <w:proofErr w:type="spellStart"/>
      <w:r w:rsidR="00D97C00" w:rsidRPr="00A00187">
        <w:t>p.b</w:t>
      </w:r>
      <w:proofErr w:type="spellEnd"/>
      <w:r w:rsidR="00D97C00" w:rsidRPr="00A00187">
        <w:t>.</w:t>
      </w:r>
      <w:r w:rsidRPr="00A00187">
        <w:t xml:space="preserve"> a rozdíl mezi rokem 2016 a 2017 byl 1,5 </w:t>
      </w:r>
      <w:proofErr w:type="spellStart"/>
      <w:r w:rsidR="00244D5B" w:rsidRPr="00A00187">
        <w:t>p.b</w:t>
      </w:r>
      <w:proofErr w:type="spellEnd"/>
      <w:r w:rsidRPr="00A00187">
        <w:t>.</w:t>
      </w:r>
      <w:r w:rsidR="00B247B7" w:rsidRPr="00A00187">
        <w:t xml:space="preserve"> </w:t>
      </w:r>
      <w:r w:rsidR="00C52C43" w:rsidRPr="00A00187">
        <w:t xml:space="preserve">Od roku 2016 </w:t>
      </w:r>
      <w:r w:rsidR="00B247B7" w:rsidRPr="00A00187">
        <w:t xml:space="preserve">už tedy klesl podíl </w:t>
      </w:r>
      <w:r w:rsidR="00491B79" w:rsidRPr="00A00187">
        <w:t xml:space="preserve">věcí </w:t>
      </w:r>
      <w:r w:rsidR="00B247B7" w:rsidRPr="00A00187">
        <w:t>řešen</w:t>
      </w:r>
      <w:r w:rsidR="00491B79" w:rsidRPr="00A00187">
        <w:t>ých</w:t>
      </w:r>
      <w:r w:rsidR="00B247B7" w:rsidRPr="00A00187">
        <w:t xml:space="preserve"> konkurzem </w:t>
      </w:r>
      <w:r w:rsidR="00755920" w:rsidRPr="00A00187">
        <w:t>o</w:t>
      </w:r>
      <w:r w:rsidR="00755920">
        <w:t> </w:t>
      </w:r>
      <w:r w:rsidR="00092117" w:rsidRPr="00A00187">
        <w:t>6 </w:t>
      </w:r>
      <w:r w:rsidR="00B247B7" w:rsidRPr="00A00187">
        <w:t>procentních bodů</w:t>
      </w:r>
      <w:r w:rsidR="00491B79" w:rsidRPr="00A00187">
        <w:t xml:space="preserve">. Nebo lze také </w:t>
      </w:r>
      <w:r w:rsidR="00F86B11" w:rsidRPr="00A00187">
        <w:t>říct</w:t>
      </w:r>
      <w:r w:rsidR="00491B79" w:rsidRPr="00A00187">
        <w:t xml:space="preserve">, že došlo k poklesu věcí řešených konkurzem </w:t>
      </w:r>
      <w:r w:rsidR="00755920" w:rsidRPr="00A00187">
        <w:t>o</w:t>
      </w:r>
      <w:r w:rsidR="00755920">
        <w:t> </w:t>
      </w:r>
      <w:r w:rsidR="00491B79" w:rsidRPr="00A00187">
        <w:t>60</w:t>
      </w:r>
      <w:r w:rsidR="00CB570A">
        <w:t> %</w:t>
      </w:r>
      <w:r w:rsidR="00491B79" w:rsidRPr="00A00187">
        <w:t>.</w:t>
      </w:r>
    </w:p>
    <w:p w14:paraId="5EF76518" w14:textId="40643DE5" w:rsidR="001A4ECC" w:rsidRPr="00A00187" w:rsidRDefault="001A4ECC" w:rsidP="001A4ECC">
      <w:pPr>
        <w:pStyle w:val="OdstavecASR"/>
      </w:pPr>
      <w:r w:rsidRPr="00A00187">
        <w:t>Velmi zajímavé jsou rozdíly mezi jednotlivými soudy. Největší podíl úpadků řešených konkursem má suverénně Praha (asi třikrát více než je celorepublikový průměr), nejmenší naopak KS Ústí nad Labem a KS Ostrava. To je dáno zejména tím, že v Praze sídlí velké množství společností a koncentrují se zde tedy podnikatelské úpadky, a zároveň je zde naopak oproti ekonomicky slabším regionům relativně menší množství spotřebitelů ohrožených insolvencí.</w:t>
      </w:r>
    </w:p>
    <w:p w14:paraId="53EE22BC" w14:textId="77777777" w:rsidR="001A4ECC" w:rsidRPr="00A00187" w:rsidRDefault="001A4ECC" w:rsidP="001A4ECC">
      <w:pPr>
        <w:spacing w:line="240" w:lineRule="auto"/>
        <w:jc w:val="left"/>
      </w:pPr>
      <w:r w:rsidRPr="00A00187">
        <w:br w:type="page"/>
      </w:r>
    </w:p>
    <w:p w14:paraId="49865EAE" w14:textId="73924D43" w:rsidR="008430BD" w:rsidRPr="00A00187" w:rsidRDefault="008430BD" w:rsidP="008430BD">
      <w:pPr>
        <w:pStyle w:val="Nadpis2"/>
        <w:numPr>
          <w:ilvl w:val="1"/>
          <w:numId w:val="1"/>
        </w:numPr>
        <w:spacing w:before="120"/>
        <w:rPr>
          <w:color w:val="auto"/>
        </w:rPr>
      </w:pPr>
      <w:bookmarkStart w:id="958" w:name="_Toc106092784"/>
      <w:bookmarkStart w:id="959" w:name="_Toc109801395"/>
      <w:r w:rsidRPr="00A00187">
        <w:rPr>
          <w:color w:val="auto"/>
        </w:rPr>
        <w:lastRenderedPageBreak/>
        <w:t>Incidenční spory</w:t>
      </w:r>
      <w:bookmarkEnd w:id="958"/>
      <w:bookmarkEnd w:id="959"/>
    </w:p>
    <w:p w14:paraId="0F2CFA6B" w14:textId="77777777" w:rsidR="00B247B7" w:rsidRPr="00A00187" w:rsidRDefault="00B247B7" w:rsidP="00B247B7">
      <w:r w:rsidRPr="00A00187">
        <w:t>Od roku 2019 jsou ve výroční statistické zprávě rovněž diskutovány tzv. incidenční spory. Jedná se o spory vyvolané insolvenčním řízením a projednávané v jeho rámci. Incidenční spory jsou definovány v insolvenčním zákoně (zákon č. 182/2006 Sb.) a jsou jimi například:</w:t>
      </w:r>
    </w:p>
    <w:p w14:paraId="4B8FA25A" w14:textId="77777777" w:rsidR="00B247B7" w:rsidRPr="00A00187" w:rsidRDefault="00B247B7" w:rsidP="00B247B7">
      <w:pPr>
        <w:pStyle w:val="Odstavecseseznamem"/>
        <w:numPr>
          <w:ilvl w:val="0"/>
          <w:numId w:val="19"/>
        </w:numPr>
      </w:pPr>
      <w:r w:rsidRPr="00A00187">
        <w:t>spory o pravost, výši nebo pořadí přihlášených pohledávek,</w:t>
      </w:r>
    </w:p>
    <w:p w14:paraId="60543B79" w14:textId="77777777" w:rsidR="00B247B7" w:rsidRPr="00A00187" w:rsidRDefault="00B247B7" w:rsidP="00B247B7">
      <w:pPr>
        <w:pStyle w:val="Odstavecseseznamem"/>
        <w:numPr>
          <w:ilvl w:val="0"/>
          <w:numId w:val="19"/>
        </w:numPr>
      </w:pPr>
      <w:r w:rsidRPr="00A00187">
        <w:t>spory o vypořádání společného jmění dlužníka a jeho manžela,</w:t>
      </w:r>
    </w:p>
    <w:p w14:paraId="1A7A7690" w14:textId="77777777" w:rsidR="00B247B7" w:rsidRPr="00A00187" w:rsidRDefault="00B247B7" w:rsidP="00B247B7">
      <w:pPr>
        <w:pStyle w:val="Odstavecseseznamem"/>
        <w:numPr>
          <w:ilvl w:val="0"/>
          <w:numId w:val="19"/>
        </w:numPr>
      </w:pPr>
      <w:r w:rsidRPr="00A00187">
        <w:t>spory o platnost smluv, kterými došlo ke zpeněžení majetkové podstaty prodejem mimo dražbu.</w:t>
      </w:r>
    </w:p>
    <w:p w14:paraId="6723317A" w14:textId="77777777" w:rsidR="00B247B7" w:rsidRPr="00A00187" w:rsidRDefault="00B247B7" w:rsidP="00B247B7">
      <w:r w:rsidRPr="00A00187">
        <w:t xml:space="preserve">Laicky lze říct, že se tyto spory nacházejí na pomezí insolvenčních a obchodních sporů a jsou rozhodovány insolvenčními odděleními na obchodních úsecích soudů. Vedeny jsou od roku 2010 v rejstříku </w:t>
      </w:r>
      <w:proofErr w:type="spellStart"/>
      <w:r w:rsidRPr="00A00187">
        <w:t>ICm</w:t>
      </w:r>
      <w:proofErr w:type="spellEnd"/>
      <w:r w:rsidRPr="00A00187">
        <w:t>; v dalším průběhu let nedošlo k žádným výrazným změnám ve vedení statistik. Dříve byly zapisovány do rejstříku Cm.</w:t>
      </w:r>
    </w:p>
    <w:p w14:paraId="68C5BE05" w14:textId="2C0A3262" w:rsidR="008430BD" w:rsidRPr="00A00187" w:rsidRDefault="008430BD" w:rsidP="008430BD">
      <w:pPr>
        <w:pStyle w:val="Nadpis3"/>
        <w:numPr>
          <w:ilvl w:val="2"/>
          <w:numId w:val="1"/>
        </w:numPr>
        <w:rPr>
          <w:color w:val="auto"/>
        </w:rPr>
      </w:pPr>
      <w:bookmarkStart w:id="960" w:name="_Toc106092785"/>
      <w:bookmarkStart w:id="961" w:name="_Toc109801396"/>
      <w:r w:rsidRPr="00A00187">
        <w:rPr>
          <w:color w:val="auto"/>
        </w:rPr>
        <w:t>Délka řízení</w:t>
      </w:r>
      <w:bookmarkEnd w:id="960"/>
      <w:bookmarkEnd w:id="961"/>
    </w:p>
    <w:p w14:paraId="7D3C2473" w14:textId="5AA3ABE0" w:rsidR="003E071D" w:rsidRPr="00A00187" w:rsidRDefault="003E071D" w:rsidP="003E071D">
      <w:r w:rsidRPr="00A00187">
        <w:t xml:space="preserve">Uvádíme délky řízení v kalendářních dnech ode dne nápadu do dne konečného vyřízení soudem I. stupně zjištěné ze statistických listů. Délky řízení sledujeme až od roku 2011, protože, jak už jsme uvedli v úvodu této kapitoly, </w:t>
      </w:r>
      <w:r w:rsidR="00755920" w:rsidRPr="00A00187">
        <w:t>v</w:t>
      </w:r>
      <w:r w:rsidR="00755920">
        <w:t> </w:t>
      </w:r>
      <w:r w:rsidRPr="00A00187">
        <w:t>první</w:t>
      </w:r>
      <w:r w:rsidR="00EC1C31" w:rsidRPr="00A00187">
        <w:t>m</w:t>
      </w:r>
      <w:r w:rsidRPr="00A00187">
        <w:t xml:space="preserve"> ro</w:t>
      </w:r>
      <w:r w:rsidR="00EC1C31" w:rsidRPr="00A00187">
        <w:t>ce</w:t>
      </w:r>
      <w:r w:rsidRPr="00A00187">
        <w:t xml:space="preserve"> nové věci do rejstříku </w:t>
      </w:r>
      <w:proofErr w:type="spellStart"/>
      <w:r w:rsidRPr="00A00187">
        <w:t>ICm</w:t>
      </w:r>
      <w:proofErr w:type="spellEnd"/>
      <w:r w:rsidRPr="00A00187">
        <w:t xml:space="preserve"> na soudy </w:t>
      </w:r>
      <w:r w:rsidR="00EC1C31" w:rsidRPr="00A00187">
        <w:t>vesměs pouze napadaly</w:t>
      </w:r>
      <w:r w:rsidRPr="00A00187">
        <w:t xml:space="preserve"> a </w:t>
      </w:r>
      <w:r w:rsidR="00755920" w:rsidRPr="00A00187">
        <w:t>k</w:t>
      </w:r>
      <w:r w:rsidR="00755920">
        <w:t> </w:t>
      </w:r>
      <w:r w:rsidRPr="00A00187">
        <w:t>pravomocn</w:t>
      </w:r>
      <w:r w:rsidR="00EC1C31" w:rsidRPr="00A00187">
        <w:t>ému</w:t>
      </w:r>
      <w:r w:rsidRPr="00A00187">
        <w:t xml:space="preserve"> vyřízen</w:t>
      </w:r>
      <w:r w:rsidR="00EC1C31" w:rsidRPr="00A00187">
        <w:t>í</w:t>
      </w:r>
      <w:r w:rsidRPr="00A00187">
        <w:t xml:space="preserve"> věc</w:t>
      </w:r>
      <w:r w:rsidR="00EC1C31" w:rsidRPr="00A00187">
        <w:t>í tak docházelo v daném roce sporadicky</w:t>
      </w:r>
      <w:r w:rsidR="00680C64" w:rsidRPr="00A00187">
        <w:t>.</w:t>
      </w:r>
    </w:p>
    <w:p w14:paraId="1A36DCF7" w14:textId="75A82B37" w:rsidR="003E071D" w:rsidRPr="00A00187" w:rsidRDefault="003E071D" w:rsidP="003E071D">
      <w:pPr>
        <w:pStyle w:val="Podnadpis"/>
        <w:rPr>
          <w:color w:val="auto"/>
        </w:rPr>
      </w:pPr>
      <w:bookmarkStart w:id="962" w:name="_Toc75952258"/>
      <w:bookmarkStart w:id="963" w:name="_Toc106106715"/>
      <w:bookmarkStart w:id="964" w:name="_Toc10980203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81</w:t>
      </w:r>
      <w:r w:rsidRPr="00A00187">
        <w:rPr>
          <w:noProof/>
          <w:color w:val="auto"/>
        </w:rPr>
        <w:fldChar w:fldCharType="end"/>
      </w:r>
      <w:r w:rsidRPr="00A00187">
        <w:rPr>
          <w:color w:val="auto"/>
        </w:rPr>
        <w:t>: KS – délka incidenčních sporů řízení v letech 2011–202</w:t>
      </w:r>
      <w:bookmarkEnd w:id="962"/>
      <w:r w:rsidRPr="00A00187">
        <w:rPr>
          <w:color w:val="auto"/>
        </w:rPr>
        <w:t>1</w:t>
      </w:r>
      <w:bookmarkEnd w:id="963"/>
      <w:bookmarkEnd w:id="964"/>
    </w:p>
    <w:p w14:paraId="1BCDE051" w14:textId="420CEEA0" w:rsidR="003E071D" w:rsidRPr="00A00187" w:rsidRDefault="003E071D" w:rsidP="003E071D">
      <w:r w:rsidRPr="00A00187">
        <w:rPr>
          <w:noProof/>
        </w:rPr>
        <w:drawing>
          <wp:inline distT="0" distB="0" distL="0" distR="0" wp14:anchorId="561B3955" wp14:editId="38895179">
            <wp:extent cx="5025390" cy="3657600"/>
            <wp:effectExtent l="0" t="0" r="381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96C582C" w14:textId="77777777" w:rsidR="003E071D" w:rsidRPr="00A00187" w:rsidRDefault="003E071D" w:rsidP="003E071D">
      <w:pPr>
        <w:pStyle w:val="OdstavecASR"/>
      </w:pPr>
    </w:p>
    <w:p w14:paraId="788608B8" w14:textId="70A9260E" w:rsidR="00CB570A" w:rsidRDefault="003E071D" w:rsidP="003E071D">
      <w:pPr>
        <w:pStyle w:val="OdstavecASR"/>
      </w:pPr>
      <w:r w:rsidRPr="00A00187">
        <w:t xml:space="preserve">Graf ukazuje, že délka řízení velmi prudce rostla v letech 2011 až 2015. To je logické, neboť šlo o nový rejstřík pro zápis incidenčních sporů a do statistik se nejdříve dostaly především věci vyřízené rychleji, než je </w:t>
      </w:r>
      <w:r w:rsidR="00241E8D" w:rsidRPr="00A00187">
        <w:t xml:space="preserve">nyní </w:t>
      </w:r>
      <w:r w:rsidRPr="00A00187">
        <w:t xml:space="preserve">v dané agendě běžné. V letech 2015 až 2017 se délka řízení stabilizovala, nicméně v roce 2018 došlo k nárůstu a v letech 2019 </w:t>
      </w:r>
      <w:r w:rsidR="00755920" w:rsidRPr="00A00187">
        <w:t>a</w:t>
      </w:r>
      <w:r w:rsidR="00755920">
        <w:t> </w:t>
      </w:r>
      <w:r w:rsidRPr="00A00187">
        <w:t xml:space="preserve">2020 opět k poklesu. </w:t>
      </w:r>
      <w:r w:rsidR="00477A05" w:rsidRPr="00A00187">
        <w:t>Také</w:t>
      </w:r>
      <w:r w:rsidRPr="00A00187">
        <w:t xml:space="preserve"> je </w:t>
      </w:r>
      <w:r w:rsidRPr="00A00187">
        <w:lastRenderedPageBreak/>
        <w:t>tře</w:t>
      </w:r>
      <w:r w:rsidR="00477A05" w:rsidRPr="00A00187">
        <w:t xml:space="preserve">ba zmínit, že </w:t>
      </w:r>
      <w:r w:rsidR="00460BA4" w:rsidRPr="00A00187">
        <w:t>se zvětšuje</w:t>
      </w:r>
      <w:r w:rsidR="00477A05" w:rsidRPr="00A00187">
        <w:t xml:space="preserve"> rozdíl mezi</w:t>
      </w:r>
      <w:r w:rsidR="00680C64" w:rsidRPr="00A00187">
        <w:t xml:space="preserve"> </w:t>
      </w:r>
      <w:r w:rsidR="00241E8D" w:rsidRPr="00A00187">
        <w:t xml:space="preserve">hodnotami </w:t>
      </w:r>
      <w:r w:rsidR="00477A05" w:rsidRPr="00A00187">
        <w:t>percentil</w:t>
      </w:r>
      <w:r w:rsidR="00241E8D" w:rsidRPr="00A00187">
        <w:t>u</w:t>
      </w:r>
      <w:r w:rsidR="00477A05" w:rsidRPr="00A00187">
        <w:t xml:space="preserve"> 90 </w:t>
      </w:r>
      <w:r w:rsidR="00755920" w:rsidRPr="00A00187">
        <w:t>a</w:t>
      </w:r>
      <w:r w:rsidR="00755920">
        <w:t> </w:t>
      </w:r>
      <w:r w:rsidR="00477A05" w:rsidRPr="00A00187">
        <w:t>medián</w:t>
      </w:r>
      <w:r w:rsidR="00460BA4" w:rsidRPr="00A00187">
        <w:t>em</w:t>
      </w:r>
      <w:r w:rsidR="007F3752" w:rsidRPr="00A00187">
        <w:t>.</w:t>
      </w:r>
      <w:r w:rsidR="00680C64" w:rsidRPr="00A00187">
        <w:t xml:space="preserve"> </w:t>
      </w:r>
      <w:r w:rsidR="00C876C3" w:rsidRPr="00A00187">
        <w:t>Jinými slovy,</w:t>
      </w:r>
      <w:r w:rsidR="00477A05" w:rsidRPr="00A00187">
        <w:t xml:space="preserve"> </w:t>
      </w:r>
      <w:r w:rsidR="00C876C3" w:rsidRPr="00A00187">
        <w:t>se</w:t>
      </w:r>
      <w:r w:rsidR="00680C64" w:rsidRPr="00A00187">
        <w:t xml:space="preserve"> zvětšuje </w:t>
      </w:r>
      <w:r w:rsidR="00477A05" w:rsidRPr="00A00187">
        <w:t xml:space="preserve">rozdíl mezi věcí </w:t>
      </w:r>
      <w:r w:rsidR="00755920" w:rsidRPr="00A00187">
        <w:t>s</w:t>
      </w:r>
      <w:r w:rsidR="00755920">
        <w:t> </w:t>
      </w:r>
      <w:r w:rsidR="00477A05" w:rsidRPr="00A00187">
        <w:t xml:space="preserve">„běžnou“ délkou řízení </w:t>
      </w:r>
      <w:r w:rsidR="00755920" w:rsidRPr="00A00187">
        <w:t>a</w:t>
      </w:r>
      <w:r w:rsidR="00755920">
        <w:t> </w:t>
      </w:r>
      <w:r w:rsidR="00460BA4" w:rsidRPr="00A00187">
        <w:t xml:space="preserve">věcí </w:t>
      </w:r>
      <w:r w:rsidR="00477A05" w:rsidRPr="00A00187">
        <w:t>dlouho trvající.</w:t>
      </w:r>
    </w:p>
    <w:p w14:paraId="58AFDFD9" w14:textId="0FCAF783" w:rsidR="00477A05" w:rsidRPr="00A00187" w:rsidRDefault="00460BA4" w:rsidP="00477A05">
      <w:pPr>
        <w:pStyle w:val="OdstavecASR"/>
      </w:pPr>
      <w:r w:rsidRPr="00A00187">
        <w:t xml:space="preserve">Obecné závěry o trendech vyřizování v této agendě můžeme vyvodit až poté, co prozkoumáme (poměrně příznivá) </w:t>
      </w:r>
      <w:r w:rsidR="00241E8D" w:rsidRPr="00A00187">
        <w:t>další</w:t>
      </w:r>
      <w:r w:rsidR="00477A05" w:rsidRPr="00A00187">
        <w:t xml:space="preserve"> data (vyřizování věcí, </w:t>
      </w:r>
      <w:proofErr w:type="spellStart"/>
      <w:r w:rsidR="00477A05" w:rsidRPr="00A00187">
        <w:t>disposition</w:t>
      </w:r>
      <w:proofErr w:type="spellEnd"/>
      <w:r w:rsidR="00477A05" w:rsidRPr="00A00187">
        <w:t xml:space="preserve"> </w:t>
      </w:r>
      <w:proofErr w:type="spellStart"/>
      <w:r w:rsidR="00477A05" w:rsidRPr="00A00187">
        <w:t>time</w:t>
      </w:r>
      <w:proofErr w:type="spellEnd"/>
      <w:r w:rsidR="00477A05" w:rsidRPr="00A00187">
        <w:t xml:space="preserve">). </w:t>
      </w:r>
      <w:r w:rsidR="008E7EA9" w:rsidRPr="00A00187">
        <w:t>Z</w:t>
      </w:r>
      <w:r w:rsidR="00477A05" w:rsidRPr="00A00187">
        <w:t xml:space="preserve"> absolutních hodnot délek řízení je </w:t>
      </w:r>
      <w:r w:rsidRPr="00A00187">
        <w:t xml:space="preserve">nicméně </w:t>
      </w:r>
      <w:r w:rsidR="00477A05" w:rsidRPr="00A00187">
        <w:t>patrné, že agend</w:t>
      </w:r>
      <w:r w:rsidR="007F3752" w:rsidRPr="00A00187">
        <w:t>a</w:t>
      </w:r>
      <w:r w:rsidR="00477A05" w:rsidRPr="00A00187">
        <w:t xml:space="preserve"> </w:t>
      </w:r>
      <w:r w:rsidRPr="00A00187">
        <w:t xml:space="preserve">je nelehká </w:t>
      </w:r>
      <w:r w:rsidR="00477A05" w:rsidRPr="00A00187">
        <w:t>a </w:t>
      </w:r>
      <w:r w:rsidR="006C730E" w:rsidRPr="00A00187">
        <w:t>vyřízení zabírá soudům mnoho času</w:t>
      </w:r>
      <w:r w:rsidR="00477A05" w:rsidRPr="00A00187">
        <w:t>.</w:t>
      </w:r>
    </w:p>
    <w:p w14:paraId="46ACD4FC" w14:textId="49D00806" w:rsidR="00477A05" w:rsidRPr="00A00187" w:rsidRDefault="00477A05" w:rsidP="00477A05">
      <w:pPr>
        <w:pStyle w:val="Podnadpis"/>
        <w:rPr>
          <w:color w:val="auto"/>
        </w:rPr>
      </w:pPr>
      <w:bookmarkStart w:id="965" w:name="_Toc43931247"/>
      <w:bookmarkStart w:id="966" w:name="_Toc75952380"/>
      <w:bookmarkStart w:id="967" w:name="_Toc106106833"/>
      <w:bookmarkStart w:id="968" w:name="_Toc109802156"/>
      <w:r w:rsidRPr="00A00187">
        <w:rPr>
          <w:color w:val="auto"/>
        </w:rPr>
        <w:t xml:space="preserve">Tabulka </w:t>
      </w:r>
      <w:r w:rsidRPr="00A00187">
        <w:rPr>
          <w:noProof/>
          <w:color w:val="auto"/>
        </w:rPr>
        <w:fldChar w:fldCharType="begin"/>
      </w:r>
      <w:r w:rsidRPr="00A00187">
        <w:rPr>
          <w:noProof/>
          <w:color w:val="auto"/>
        </w:rPr>
        <w:instrText xml:space="preserve"> SEQ Tabulka \* ARABIC </w:instrText>
      </w:r>
      <w:r w:rsidRPr="00A00187">
        <w:rPr>
          <w:noProof/>
          <w:color w:val="auto"/>
        </w:rPr>
        <w:fldChar w:fldCharType="separate"/>
      </w:r>
      <w:r w:rsidR="00DE6B5E">
        <w:rPr>
          <w:noProof/>
          <w:color w:val="auto"/>
        </w:rPr>
        <w:t>71</w:t>
      </w:r>
      <w:r w:rsidRPr="00A00187">
        <w:rPr>
          <w:noProof/>
          <w:color w:val="auto"/>
        </w:rPr>
        <w:fldChar w:fldCharType="end"/>
      </w:r>
      <w:r w:rsidRPr="00A00187">
        <w:rPr>
          <w:color w:val="auto"/>
        </w:rPr>
        <w:t>: KS – délky incidenčních sporů dle soudů</w:t>
      </w:r>
      <w:bookmarkEnd w:id="965"/>
      <w:bookmarkEnd w:id="966"/>
      <w:bookmarkEnd w:id="967"/>
      <w:bookmarkEnd w:id="968"/>
    </w:p>
    <w:tbl>
      <w:tblPr>
        <w:tblW w:w="9242" w:type="dxa"/>
        <w:tblCellMar>
          <w:left w:w="70" w:type="dxa"/>
          <w:right w:w="70" w:type="dxa"/>
        </w:tblCellMar>
        <w:tblLook w:val="04A0" w:firstRow="1" w:lastRow="0" w:firstColumn="1" w:lastColumn="0" w:noHBand="0" w:noVBand="1"/>
      </w:tblPr>
      <w:tblGrid>
        <w:gridCol w:w="2496"/>
        <w:gridCol w:w="1048"/>
        <w:gridCol w:w="996"/>
        <w:gridCol w:w="1130"/>
        <w:gridCol w:w="1137"/>
        <w:gridCol w:w="1189"/>
        <w:gridCol w:w="1237"/>
        <w:gridCol w:w="9"/>
      </w:tblGrid>
      <w:tr w:rsidR="00AC1E67" w:rsidRPr="00A00187" w14:paraId="6E6CB381" w14:textId="77777777" w:rsidTr="00641DB9">
        <w:trPr>
          <w:trHeight w:val="330"/>
        </w:trPr>
        <w:tc>
          <w:tcPr>
            <w:tcW w:w="2496" w:type="dxa"/>
            <w:vMerge w:val="restart"/>
            <w:tcBorders>
              <w:top w:val="double" w:sz="6" w:space="0" w:color="auto"/>
              <w:left w:val="nil"/>
              <w:bottom w:val="double" w:sz="6" w:space="0" w:color="000000"/>
              <w:right w:val="nil"/>
            </w:tcBorders>
            <w:shd w:val="clear" w:color="auto" w:fill="auto"/>
            <w:noWrap/>
            <w:vAlign w:val="center"/>
            <w:hideMark/>
          </w:tcPr>
          <w:p w14:paraId="6B8B3F52" w14:textId="5B0036D3" w:rsidR="00477A05" w:rsidRPr="00A00187" w:rsidRDefault="00641DB9" w:rsidP="00477A05">
            <w:pPr>
              <w:spacing w:line="240" w:lineRule="auto"/>
              <w:jc w:val="center"/>
              <w:rPr>
                <w:rFonts w:eastAsia="Times New Roman"/>
                <w:b/>
                <w:bCs/>
                <w:szCs w:val="24"/>
                <w:lang w:eastAsia="cs-CZ"/>
              </w:rPr>
            </w:pPr>
            <w:r>
              <w:rPr>
                <w:rFonts w:eastAsia="Times New Roman"/>
                <w:b/>
                <w:bCs/>
                <w:szCs w:val="24"/>
                <w:lang w:eastAsia="cs-CZ"/>
              </w:rPr>
              <w:t>S</w:t>
            </w:r>
            <w:r w:rsidR="00477A05" w:rsidRPr="00A00187">
              <w:rPr>
                <w:rFonts w:eastAsia="Times New Roman"/>
                <w:b/>
                <w:bCs/>
                <w:szCs w:val="24"/>
                <w:lang w:eastAsia="cs-CZ"/>
              </w:rPr>
              <w:t>oud</w:t>
            </w:r>
          </w:p>
        </w:tc>
        <w:tc>
          <w:tcPr>
            <w:tcW w:w="6746" w:type="dxa"/>
            <w:gridSpan w:val="7"/>
            <w:tcBorders>
              <w:top w:val="double" w:sz="6" w:space="0" w:color="auto"/>
              <w:left w:val="nil"/>
              <w:bottom w:val="nil"/>
              <w:right w:val="nil"/>
            </w:tcBorders>
            <w:shd w:val="clear" w:color="auto" w:fill="auto"/>
            <w:noWrap/>
            <w:vAlign w:val="center"/>
            <w:hideMark/>
          </w:tcPr>
          <w:p w14:paraId="58090E0B" w14:textId="77777777" w:rsidR="00477A05" w:rsidRPr="00A00187" w:rsidRDefault="00477A05" w:rsidP="00477A05">
            <w:pPr>
              <w:spacing w:line="240" w:lineRule="auto"/>
              <w:jc w:val="center"/>
              <w:rPr>
                <w:rFonts w:eastAsia="Times New Roman"/>
                <w:b/>
                <w:bCs/>
                <w:szCs w:val="24"/>
                <w:lang w:eastAsia="cs-CZ"/>
              </w:rPr>
            </w:pPr>
            <w:r w:rsidRPr="00A00187">
              <w:rPr>
                <w:rFonts w:eastAsia="Times New Roman"/>
                <w:b/>
                <w:bCs/>
                <w:szCs w:val="24"/>
                <w:lang w:eastAsia="cs-CZ"/>
              </w:rPr>
              <w:t>Délka řízení</w:t>
            </w:r>
          </w:p>
        </w:tc>
      </w:tr>
      <w:tr w:rsidR="00AC1E67" w:rsidRPr="00A00187" w14:paraId="0827F38E" w14:textId="77777777" w:rsidTr="00641DB9">
        <w:trPr>
          <w:gridAfter w:val="1"/>
          <w:wAfter w:w="9" w:type="dxa"/>
          <w:trHeight w:val="330"/>
        </w:trPr>
        <w:tc>
          <w:tcPr>
            <w:tcW w:w="2496" w:type="dxa"/>
            <w:vMerge/>
            <w:tcBorders>
              <w:top w:val="double" w:sz="6" w:space="0" w:color="auto"/>
              <w:left w:val="nil"/>
              <w:bottom w:val="double" w:sz="6" w:space="0" w:color="000000"/>
              <w:right w:val="nil"/>
            </w:tcBorders>
            <w:vAlign w:val="center"/>
            <w:hideMark/>
          </w:tcPr>
          <w:p w14:paraId="5B2F5133" w14:textId="77777777" w:rsidR="00477A05" w:rsidRPr="00A00187" w:rsidRDefault="00477A05" w:rsidP="00477A05">
            <w:pPr>
              <w:spacing w:line="240" w:lineRule="auto"/>
              <w:jc w:val="left"/>
              <w:rPr>
                <w:rFonts w:eastAsia="Times New Roman"/>
                <w:b/>
                <w:bCs/>
                <w:szCs w:val="24"/>
                <w:lang w:eastAsia="cs-CZ"/>
              </w:rPr>
            </w:pPr>
          </w:p>
        </w:tc>
        <w:tc>
          <w:tcPr>
            <w:tcW w:w="2044" w:type="dxa"/>
            <w:gridSpan w:val="2"/>
            <w:tcBorders>
              <w:top w:val="nil"/>
              <w:left w:val="nil"/>
              <w:bottom w:val="double" w:sz="6" w:space="0" w:color="auto"/>
              <w:right w:val="nil"/>
            </w:tcBorders>
            <w:shd w:val="clear" w:color="auto" w:fill="auto"/>
            <w:noWrap/>
            <w:vAlign w:val="center"/>
            <w:hideMark/>
          </w:tcPr>
          <w:p w14:paraId="414AFCC0" w14:textId="77777777" w:rsidR="00477A05" w:rsidRPr="00A00187" w:rsidRDefault="00477A05" w:rsidP="00477A05">
            <w:pPr>
              <w:spacing w:line="240" w:lineRule="auto"/>
              <w:jc w:val="center"/>
              <w:rPr>
                <w:rFonts w:eastAsia="Times New Roman"/>
                <w:b/>
                <w:bCs/>
                <w:szCs w:val="24"/>
                <w:lang w:eastAsia="cs-CZ"/>
              </w:rPr>
            </w:pPr>
            <w:r w:rsidRPr="00A00187">
              <w:rPr>
                <w:rFonts w:eastAsia="Times New Roman"/>
                <w:b/>
                <w:bCs/>
                <w:szCs w:val="24"/>
                <w:lang w:eastAsia="cs-CZ"/>
              </w:rPr>
              <w:t>Průměr</w:t>
            </w:r>
          </w:p>
        </w:tc>
        <w:tc>
          <w:tcPr>
            <w:tcW w:w="226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4CF28D0" w14:textId="77777777" w:rsidR="00477A05" w:rsidRPr="00A00187" w:rsidRDefault="00477A05" w:rsidP="00477A05">
            <w:pPr>
              <w:spacing w:line="240" w:lineRule="auto"/>
              <w:jc w:val="center"/>
              <w:rPr>
                <w:rFonts w:eastAsia="Times New Roman"/>
                <w:b/>
                <w:bCs/>
                <w:szCs w:val="24"/>
                <w:lang w:eastAsia="cs-CZ"/>
              </w:rPr>
            </w:pPr>
            <w:r w:rsidRPr="00A00187">
              <w:rPr>
                <w:rFonts w:eastAsia="Times New Roman"/>
                <w:b/>
                <w:bCs/>
                <w:szCs w:val="24"/>
                <w:lang w:eastAsia="cs-CZ"/>
              </w:rPr>
              <w:t>Medián</w:t>
            </w:r>
          </w:p>
        </w:tc>
        <w:tc>
          <w:tcPr>
            <w:tcW w:w="2426" w:type="dxa"/>
            <w:gridSpan w:val="2"/>
            <w:tcBorders>
              <w:top w:val="nil"/>
              <w:left w:val="nil"/>
              <w:bottom w:val="double" w:sz="6" w:space="0" w:color="auto"/>
              <w:right w:val="nil"/>
            </w:tcBorders>
            <w:shd w:val="clear" w:color="auto" w:fill="auto"/>
            <w:noWrap/>
            <w:vAlign w:val="center"/>
            <w:hideMark/>
          </w:tcPr>
          <w:p w14:paraId="4A5DB650" w14:textId="77777777" w:rsidR="00477A05" w:rsidRPr="00A00187" w:rsidRDefault="00477A05" w:rsidP="00477A05">
            <w:pPr>
              <w:spacing w:line="240" w:lineRule="auto"/>
              <w:jc w:val="center"/>
              <w:rPr>
                <w:rFonts w:eastAsia="Times New Roman"/>
                <w:b/>
                <w:bCs/>
                <w:szCs w:val="24"/>
                <w:lang w:eastAsia="cs-CZ"/>
              </w:rPr>
            </w:pPr>
            <w:r w:rsidRPr="00A00187">
              <w:rPr>
                <w:rFonts w:eastAsia="Times New Roman"/>
                <w:b/>
                <w:bCs/>
                <w:szCs w:val="24"/>
                <w:lang w:eastAsia="cs-CZ"/>
              </w:rPr>
              <w:t>Percentil 90</w:t>
            </w:r>
          </w:p>
        </w:tc>
      </w:tr>
      <w:tr w:rsidR="00AC1E67" w:rsidRPr="00A00187" w14:paraId="74FBCC3F" w14:textId="77777777" w:rsidTr="00641DB9">
        <w:trPr>
          <w:gridAfter w:val="1"/>
          <w:wAfter w:w="12" w:type="dxa"/>
          <w:trHeight w:val="330"/>
        </w:trPr>
        <w:tc>
          <w:tcPr>
            <w:tcW w:w="2496" w:type="dxa"/>
            <w:tcBorders>
              <w:top w:val="single" w:sz="4" w:space="0" w:color="auto"/>
              <w:left w:val="nil"/>
              <w:bottom w:val="single" w:sz="4" w:space="0" w:color="auto"/>
              <w:right w:val="nil"/>
            </w:tcBorders>
            <w:shd w:val="clear" w:color="auto" w:fill="auto"/>
            <w:noWrap/>
            <w:vAlign w:val="bottom"/>
            <w:hideMark/>
          </w:tcPr>
          <w:p w14:paraId="7FB755EA"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MS Praha</w:t>
            </w:r>
          </w:p>
        </w:tc>
        <w:tc>
          <w:tcPr>
            <w:tcW w:w="1048" w:type="dxa"/>
            <w:tcBorders>
              <w:top w:val="single" w:sz="4" w:space="0" w:color="auto"/>
              <w:left w:val="nil"/>
              <w:bottom w:val="single" w:sz="4" w:space="0" w:color="auto"/>
              <w:right w:val="nil"/>
            </w:tcBorders>
            <w:shd w:val="clear" w:color="auto" w:fill="auto"/>
            <w:noWrap/>
            <w:vAlign w:val="bottom"/>
            <w:hideMark/>
          </w:tcPr>
          <w:p w14:paraId="3767EF37"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687</w:t>
            </w:r>
          </w:p>
        </w:tc>
        <w:tc>
          <w:tcPr>
            <w:tcW w:w="996" w:type="dxa"/>
            <w:tcBorders>
              <w:top w:val="single" w:sz="4" w:space="0" w:color="auto"/>
              <w:left w:val="nil"/>
              <w:bottom w:val="single" w:sz="4" w:space="0" w:color="auto"/>
              <w:right w:val="nil"/>
            </w:tcBorders>
            <w:shd w:val="clear" w:color="auto" w:fill="auto"/>
            <w:noWrap/>
            <w:vAlign w:val="center"/>
            <w:hideMark/>
          </w:tcPr>
          <w:p w14:paraId="2950D88A" w14:textId="3C0A05E0"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130" w:type="dxa"/>
            <w:tcBorders>
              <w:top w:val="nil"/>
              <w:left w:val="single" w:sz="4" w:space="0" w:color="auto"/>
              <w:bottom w:val="single" w:sz="4" w:space="0" w:color="auto"/>
              <w:right w:val="nil"/>
            </w:tcBorders>
            <w:shd w:val="clear" w:color="auto" w:fill="auto"/>
            <w:noWrap/>
            <w:vAlign w:val="bottom"/>
            <w:hideMark/>
          </w:tcPr>
          <w:p w14:paraId="1D8FEB85"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575</w:t>
            </w:r>
          </w:p>
        </w:tc>
        <w:tc>
          <w:tcPr>
            <w:tcW w:w="1134" w:type="dxa"/>
            <w:tcBorders>
              <w:top w:val="nil"/>
              <w:left w:val="nil"/>
              <w:bottom w:val="single" w:sz="4" w:space="0" w:color="auto"/>
              <w:right w:val="single" w:sz="4" w:space="0" w:color="auto"/>
            </w:tcBorders>
            <w:shd w:val="clear" w:color="auto" w:fill="auto"/>
            <w:noWrap/>
            <w:vAlign w:val="center"/>
            <w:hideMark/>
          </w:tcPr>
          <w:p w14:paraId="354B0870" w14:textId="69F4FCB9"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189" w:type="dxa"/>
            <w:tcBorders>
              <w:top w:val="single" w:sz="4" w:space="0" w:color="auto"/>
              <w:left w:val="nil"/>
              <w:bottom w:val="single" w:sz="4" w:space="0" w:color="auto"/>
              <w:right w:val="nil"/>
            </w:tcBorders>
            <w:shd w:val="clear" w:color="auto" w:fill="auto"/>
            <w:noWrap/>
            <w:vAlign w:val="bottom"/>
            <w:hideMark/>
          </w:tcPr>
          <w:p w14:paraId="1A8F703B"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1 356</w:t>
            </w:r>
          </w:p>
        </w:tc>
        <w:tc>
          <w:tcPr>
            <w:tcW w:w="1237" w:type="dxa"/>
            <w:tcBorders>
              <w:top w:val="single" w:sz="4" w:space="0" w:color="auto"/>
              <w:left w:val="nil"/>
              <w:bottom w:val="single" w:sz="4" w:space="0" w:color="auto"/>
              <w:right w:val="nil"/>
            </w:tcBorders>
            <w:shd w:val="clear" w:color="auto" w:fill="auto"/>
            <w:noWrap/>
            <w:vAlign w:val="center"/>
            <w:hideMark/>
          </w:tcPr>
          <w:p w14:paraId="0BD13C1D" w14:textId="7C94DEE8"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+0</w:t>
            </w:r>
            <w:r w:rsidR="00CB570A">
              <w:rPr>
                <w:rFonts w:eastAsia="Times New Roman"/>
                <w:sz w:val="20"/>
                <w:szCs w:val="20"/>
                <w:lang w:eastAsia="cs-CZ"/>
              </w:rPr>
              <w:t> %</w:t>
            </w:r>
          </w:p>
        </w:tc>
      </w:tr>
      <w:tr w:rsidR="00AC1E67" w:rsidRPr="00A00187" w14:paraId="473D3B1D" w14:textId="77777777" w:rsidTr="00641DB9">
        <w:trPr>
          <w:gridAfter w:val="1"/>
          <w:wAfter w:w="12" w:type="dxa"/>
          <w:trHeight w:val="315"/>
        </w:trPr>
        <w:tc>
          <w:tcPr>
            <w:tcW w:w="2496" w:type="dxa"/>
            <w:tcBorders>
              <w:top w:val="nil"/>
              <w:left w:val="nil"/>
              <w:bottom w:val="single" w:sz="4" w:space="0" w:color="auto"/>
              <w:right w:val="nil"/>
            </w:tcBorders>
            <w:shd w:val="clear" w:color="auto" w:fill="auto"/>
            <w:noWrap/>
            <w:vAlign w:val="bottom"/>
            <w:hideMark/>
          </w:tcPr>
          <w:p w14:paraId="7AD77110"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KS Praha</w:t>
            </w:r>
          </w:p>
        </w:tc>
        <w:tc>
          <w:tcPr>
            <w:tcW w:w="1048" w:type="dxa"/>
            <w:tcBorders>
              <w:top w:val="nil"/>
              <w:left w:val="nil"/>
              <w:bottom w:val="single" w:sz="4" w:space="0" w:color="auto"/>
              <w:right w:val="nil"/>
            </w:tcBorders>
            <w:shd w:val="clear" w:color="auto" w:fill="auto"/>
            <w:noWrap/>
            <w:vAlign w:val="bottom"/>
            <w:hideMark/>
          </w:tcPr>
          <w:p w14:paraId="36196D79"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423</w:t>
            </w:r>
          </w:p>
        </w:tc>
        <w:tc>
          <w:tcPr>
            <w:tcW w:w="996" w:type="dxa"/>
            <w:tcBorders>
              <w:top w:val="nil"/>
              <w:left w:val="nil"/>
              <w:bottom w:val="single" w:sz="4" w:space="0" w:color="auto"/>
              <w:right w:val="nil"/>
            </w:tcBorders>
            <w:shd w:val="clear" w:color="auto" w:fill="auto"/>
            <w:noWrap/>
            <w:vAlign w:val="center"/>
            <w:hideMark/>
          </w:tcPr>
          <w:p w14:paraId="08897BC6" w14:textId="679032C5"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1130" w:type="dxa"/>
            <w:tcBorders>
              <w:top w:val="nil"/>
              <w:left w:val="single" w:sz="4" w:space="0" w:color="auto"/>
              <w:bottom w:val="single" w:sz="4" w:space="0" w:color="auto"/>
              <w:right w:val="nil"/>
            </w:tcBorders>
            <w:shd w:val="clear" w:color="auto" w:fill="auto"/>
            <w:noWrap/>
            <w:vAlign w:val="bottom"/>
            <w:hideMark/>
          </w:tcPr>
          <w:p w14:paraId="1D5E12FA"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232</w:t>
            </w:r>
          </w:p>
        </w:tc>
        <w:tc>
          <w:tcPr>
            <w:tcW w:w="1134" w:type="dxa"/>
            <w:tcBorders>
              <w:top w:val="nil"/>
              <w:left w:val="nil"/>
              <w:bottom w:val="single" w:sz="4" w:space="0" w:color="auto"/>
              <w:right w:val="single" w:sz="4" w:space="0" w:color="auto"/>
            </w:tcBorders>
            <w:shd w:val="clear" w:color="auto" w:fill="auto"/>
            <w:noWrap/>
            <w:vAlign w:val="center"/>
            <w:hideMark/>
          </w:tcPr>
          <w:p w14:paraId="3D0AD591" w14:textId="7690227D"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189" w:type="dxa"/>
            <w:tcBorders>
              <w:top w:val="nil"/>
              <w:left w:val="nil"/>
              <w:bottom w:val="single" w:sz="4" w:space="0" w:color="auto"/>
              <w:right w:val="nil"/>
            </w:tcBorders>
            <w:shd w:val="clear" w:color="auto" w:fill="auto"/>
            <w:noWrap/>
            <w:vAlign w:val="bottom"/>
            <w:hideMark/>
          </w:tcPr>
          <w:p w14:paraId="63AFDFDC"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1 157</w:t>
            </w:r>
          </w:p>
        </w:tc>
        <w:tc>
          <w:tcPr>
            <w:tcW w:w="1237" w:type="dxa"/>
            <w:tcBorders>
              <w:top w:val="nil"/>
              <w:left w:val="nil"/>
              <w:bottom w:val="single" w:sz="4" w:space="0" w:color="auto"/>
              <w:right w:val="nil"/>
            </w:tcBorders>
            <w:shd w:val="clear" w:color="auto" w:fill="auto"/>
            <w:noWrap/>
            <w:vAlign w:val="center"/>
            <w:hideMark/>
          </w:tcPr>
          <w:p w14:paraId="6D2BDFFF" w14:textId="7638549A"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27498F05" w14:textId="77777777" w:rsidTr="00641DB9">
        <w:trPr>
          <w:gridAfter w:val="1"/>
          <w:wAfter w:w="12" w:type="dxa"/>
          <w:trHeight w:val="315"/>
        </w:trPr>
        <w:tc>
          <w:tcPr>
            <w:tcW w:w="2496" w:type="dxa"/>
            <w:tcBorders>
              <w:top w:val="nil"/>
              <w:left w:val="nil"/>
              <w:bottom w:val="single" w:sz="4" w:space="0" w:color="auto"/>
              <w:right w:val="nil"/>
            </w:tcBorders>
            <w:shd w:val="clear" w:color="auto" w:fill="auto"/>
            <w:noWrap/>
            <w:vAlign w:val="bottom"/>
            <w:hideMark/>
          </w:tcPr>
          <w:p w14:paraId="13119C95"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KS Č. Budějovice</w:t>
            </w:r>
          </w:p>
        </w:tc>
        <w:tc>
          <w:tcPr>
            <w:tcW w:w="1048" w:type="dxa"/>
            <w:tcBorders>
              <w:top w:val="nil"/>
              <w:left w:val="nil"/>
              <w:bottom w:val="single" w:sz="4" w:space="0" w:color="auto"/>
              <w:right w:val="nil"/>
            </w:tcBorders>
            <w:shd w:val="clear" w:color="auto" w:fill="auto"/>
            <w:noWrap/>
            <w:vAlign w:val="bottom"/>
            <w:hideMark/>
          </w:tcPr>
          <w:p w14:paraId="25B0B9D3"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255</w:t>
            </w:r>
          </w:p>
        </w:tc>
        <w:tc>
          <w:tcPr>
            <w:tcW w:w="996" w:type="dxa"/>
            <w:tcBorders>
              <w:top w:val="nil"/>
              <w:left w:val="nil"/>
              <w:bottom w:val="single" w:sz="4" w:space="0" w:color="auto"/>
              <w:right w:val="nil"/>
            </w:tcBorders>
            <w:shd w:val="clear" w:color="auto" w:fill="auto"/>
            <w:noWrap/>
            <w:vAlign w:val="center"/>
            <w:hideMark/>
          </w:tcPr>
          <w:p w14:paraId="07D5A840" w14:textId="21F8ABF3"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1130" w:type="dxa"/>
            <w:tcBorders>
              <w:top w:val="nil"/>
              <w:left w:val="single" w:sz="4" w:space="0" w:color="auto"/>
              <w:bottom w:val="single" w:sz="4" w:space="0" w:color="auto"/>
              <w:right w:val="nil"/>
            </w:tcBorders>
            <w:shd w:val="clear" w:color="auto" w:fill="auto"/>
            <w:noWrap/>
            <w:vAlign w:val="bottom"/>
            <w:hideMark/>
          </w:tcPr>
          <w:p w14:paraId="2AA45580"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154</w:t>
            </w:r>
          </w:p>
        </w:tc>
        <w:tc>
          <w:tcPr>
            <w:tcW w:w="1134" w:type="dxa"/>
            <w:tcBorders>
              <w:top w:val="nil"/>
              <w:left w:val="nil"/>
              <w:bottom w:val="single" w:sz="4" w:space="0" w:color="auto"/>
              <w:right w:val="single" w:sz="4" w:space="0" w:color="auto"/>
            </w:tcBorders>
            <w:shd w:val="clear" w:color="auto" w:fill="auto"/>
            <w:noWrap/>
            <w:vAlign w:val="center"/>
            <w:hideMark/>
          </w:tcPr>
          <w:p w14:paraId="7D70D674" w14:textId="12881B16"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+9</w:t>
            </w:r>
            <w:r w:rsidR="00CB570A">
              <w:rPr>
                <w:rFonts w:eastAsia="Times New Roman"/>
                <w:sz w:val="20"/>
                <w:szCs w:val="20"/>
                <w:lang w:eastAsia="cs-CZ"/>
              </w:rPr>
              <w:t> %</w:t>
            </w:r>
          </w:p>
        </w:tc>
        <w:tc>
          <w:tcPr>
            <w:tcW w:w="1189" w:type="dxa"/>
            <w:tcBorders>
              <w:top w:val="nil"/>
              <w:left w:val="nil"/>
              <w:bottom w:val="single" w:sz="4" w:space="0" w:color="auto"/>
              <w:right w:val="nil"/>
            </w:tcBorders>
            <w:shd w:val="clear" w:color="auto" w:fill="auto"/>
            <w:noWrap/>
            <w:vAlign w:val="bottom"/>
            <w:hideMark/>
          </w:tcPr>
          <w:p w14:paraId="6CE020DD"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532</w:t>
            </w:r>
          </w:p>
        </w:tc>
        <w:tc>
          <w:tcPr>
            <w:tcW w:w="1237" w:type="dxa"/>
            <w:tcBorders>
              <w:top w:val="nil"/>
              <w:left w:val="nil"/>
              <w:bottom w:val="single" w:sz="4" w:space="0" w:color="auto"/>
              <w:right w:val="nil"/>
            </w:tcBorders>
            <w:shd w:val="clear" w:color="auto" w:fill="auto"/>
            <w:noWrap/>
            <w:vAlign w:val="center"/>
            <w:hideMark/>
          </w:tcPr>
          <w:p w14:paraId="6D59C0E2" w14:textId="6A128E8E"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r>
      <w:tr w:rsidR="00AC1E67" w:rsidRPr="00A00187" w14:paraId="1D0FB1B9" w14:textId="77777777" w:rsidTr="00641DB9">
        <w:trPr>
          <w:gridAfter w:val="1"/>
          <w:wAfter w:w="12" w:type="dxa"/>
          <w:trHeight w:val="315"/>
        </w:trPr>
        <w:tc>
          <w:tcPr>
            <w:tcW w:w="2496" w:type="dxa"/>
            <w:tcBorders>
              <w:top w:val="nil"/>
              <w:left w:val="nil"/>
              <w:bottom w:val="single" w:sz="4" w:space="0" w:color="auto"/>
              <w:right w:val="nil"/>
            </w:tcBorders>
            <w:shd w:val="clear" w:color="auto" w:fill="auto"/>
            <w:noWrap/>
            <w:vAlign w:val="bottom"/>
            <w:hideMark/>
          </w:tcPr>
          <w:p w14:paraId="4C008277"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KS Plzeň</w:t>
            </w:r>
          </w:p>
        </w:tc>
        <w:tc>
          <w:tcPr>
            <w:tcW w:w="1048" w:type="dxa"/>
            <w:tcBorders>
              <w:top w:val="nil"/>
              <w:left w:val="nil"/>
              <w:bottom w:val="single" w:sz="4" w:space="0" w:color="auto"/>
              <w:right w:val="nil"/>
            </w:tcBorders>
            <w:shd w:val="clear" w:color="auto" w:fill="auto"/>
            <w:noWrap/>
            <w:vAlign w:val="bottom"/>
            <w:hideMark/>
          </w:tcPr>
          <w:p w14:paraId="4A99EC4B"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359</w:t>
            </w:r>
          </w:p>
        </w:tc>
        <w:tc>
          <w:tcPr>
            <w:tcW w:w="996" w:type="dxa"/>
            <w:tcBorders>
              <w:top w:val="nil"/>
              <w:left w:val="nil"/>
              <w:bottom w:val="single" w:sz="4" w:space="0" w:color="auto"/>
              <w:right w:val="nil"/>
            </w:tcBorders>
            <w:shd w:val="clear" w:color="auto" w:fill="auto"/>
            <w:noWrap/>
            <w:vAlign w:val="center"/>
            <w:hideMark/>
          </w:tcPr>
          <w:p w14:paraId="0E0AC3A7" w14:textId="5BE950D5"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c>
          <w:tcPr>
            <w:tcW w:w="1130" w:type="dxa"/>
            <w:tcBorders>
              <w:top w:val="nil"/>
              <w:left w:val="single" w:sz="4" w:space="0" w:color="auto"/>
              <w:bottom w:val="single" w:sz="4" w:space="0" w:color="auto"/>
              <w:right w:val="nil"/>
            </w:tcBorders>
            <w:shd w:val="clear" w:color="auto" w:fill="auto"/>
            <w:noWrap/>
            <w:vAlign w:val="bottom"/>
            <w:hideMark/>
          </w:tcPr>
          <w:p w14:paraId="4E009F4E"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181</w:t>
            </w:r>
          </w:p>
        </w:tc>
        <w:tc>
          <w:tcPr>
            <w:tcW w:w="1134" w:type="dxa"/>
            <w:tcBorders>
              <w:top w:val="nil"/>
              <w:left w:val="nil"/>
              <w:bottom w:val="single" w:sz="4" w:space="0" w:color="auto"/>
              <w:right w:val="single" w:sz="4" w:space="0" w:color="auto"/>
            </w:tcBorders>
            <w:shd w:val="clear" w:color="auto" w:fill="auto"/>
            <w:noWrap/>
            <w:vAlign w:val="center"/>
            <w:hideMark/>
          </w:tcPr>
          <w:p w14:paraId="08EC51AD" w14:textId="0A83D045"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+34</w:t>
            </w:r>
            <w:r w:rsidR="00CB570A">
              <w:rPr>
                <w:rFonts w:eastAsia="Times New Roman"/>
                <w:sz w:val="20"/>
                <w:szCs w:val="20"/>
                <w:lang w:eastAsia="cs-CZ"/>
              </w:rPr>
              <w:t> %</w:t>
            </w:r>
          </w:p>
        </w:tc>
        <w:tc>
          <w:tcPr>
            <w:tcW w:w="1189" w:type="dxa"/>
            <w:tcBorders>
              <w:top w:val="nil"/>
              <w:left w:val="nil"/>
              <w:bottom w:val="single" w:sz="4" w:space="0" w:color="auto"/>
              <w:right w:val="nil"/>
            </w:tcBorders>
            <w:shd w:val="clear" w:color="auto" w:fill="auto"/>
            <w:noWrap/>
            <w:vAlign w:val="bottom"/>
            <w:hideMark/>
          </w:tcPr>
          <w:p w14:paraId="6D060142"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980</w:t>
            </w:r>
          </w:p>
        </w:tc>
        <w:tc>
          <w:tcPr>
            <w:tcW w:w="1237" w:type="dxa"/>
            <w:tcBorders>
              <w:top w:val="nil"/>
              <w:left w:val="nil"/>
              <w:bottom w:val="single" w:sz="4" w:space="0" w:color="auto"/>
              <w:right w:val="nil"/>
            </w:tcBorders>
            <w:shd w:val="clear" w:color="auto" w:fill="auto"/>
            <w:noWrap/>
            <w:vAlign w:val="center"/>
            <w:hideMark/>
          </w:tcPr>
          <w:p w14:paraId="1A6B2FA6" w14:textId="64F3CC1A"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r>
      <w:tr w:rsidR="00AC1E67" w:rsidRPr="00A00187" w14:paraId="2DB264BF" w14:textId="77777777" w:rsidTr="00641DB9">
        <w:trPr>
          <w:gridAfter w:val="1"/>
          <w:wAfter w:w="12" w:type="dxa"/>
          <w:trHeight w:val="315"/>
        </w:trPr>
        <w:tc>
          <w:tcPr>
            <w:tcW w:w="2496" w:type="dxa"/>
            <w:tcBorders>
              <w:top w:val="nil"/>
              <w:left w:val="nil"/>
              <w:bottom w:val="single" w:sz="4" w:space="0" w:color="auto"/>
              <w:right w:val="nil"/>
            </w:tcBorders>
            <w:shd w:val="clear" w:color="auto" w:fill="auto"/>
            <w:noWrap/>
            <w:vAlign w:val="bottom"/>
            <w:hideMark/>
          </w:tcPr>
          <w:p w14:paraId="7E21C571"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KS Ústí n. Labem</w:t>
            </w:r>
          </w:p>
        </w:tc>
        <w:tc>
          <w:tcPr>
            <w:tcW w:w="1048" w:type="dxa"/>
            <w:tcBorders>
              <w:top w:val="nil"/>
              <w:left w:val="nil"/>
              <w:bottom w:val="single" w:sz="4" w:space="0" w:color="auto"/>
              <w:right w:val="nil"/>
            </w:tcBorders>
            <w:shd w:val="clear" w:color="auto" w:fill="auto"/>
            <w:noWrap/>
            <w:vAlign w:val="bottom"/>
            <w:hideMark/>
          </w:tcPr>
          <w:p w14:paraId="70A08BF0"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517</w:t>
            </w:r>
          </w:p>
        </w:tc>
        <w:tc>
          <w:tcPr>
            <w:tcW w:w="996" w:type="dxa"/>
            <w:tcBorders>
              <w:top w:val="nil"/>
              <w:left w:val="nil"/>
              <w:bottom w:val="single" w:sz="4" w:space="0" w:color="auto"/>
              <w:right w:val="nil"/>
            </w:tcBorders>
            <w:shd w:val="clear" w:color="auto" w:fill="auto"/>
            <w:noWrap/>
            <w:vAlign w:val="center"/>
            <w:hideMark/>
          </w:tcPr>
          <w:p w14:paraId="5A257B2F" w14:textId="20CEE721"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+46</w:t>
            </w:r>
            <w:r w:rsidR="00CB570A">
              <w:rPr>
                <w:rFonts w:eastAsia="Times New Roman"/>
                <w:sz w:val="20"/>
                <w:szCs w:val="20"/>
                <w:lang w:eastAsia="cs-CZ"/>
              </w:rPr>
              <w:t> %</w:t>
            </w:r>
          </w:p>
        </w:tc>
        <w:tc>
          <w:tcPr>
            <w:tcW w:w="1130" w:type="dxa"/>
            <w:tcBorders>
              <w:top w:val="nil"/>
              <w:left w:val="single" w:sz="4" w:space="0" w:color="auto"/>
              <w:bottom w:val="single" w:sz="4" w:space="0" w:color="auto"/>
              <w:right w:val="nil"/>
            </w:tcBorders>
            <w:shd w:val="clear" w:color="auto" w:fill="auto"/>
            <w:noWrap/>
            <w:vAlign w:val="bottom"/>
            <w:hideMark/>
          </w:tcPr>
          <w:p w14:paraId="6AF3A3CC"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310</w:t>
            </w:r>
          </w:p>
        </w:tc>
        <w:tc>
          <w:tcPr>
            <w:tcW w:w="1134" w:type="dxa"/>
            <w:tcBorders>
              <w:top w:val="nil"/>
              <w:left w:val="nil"/>
              <w:bottom w:val="single" w:sz="4" w:space="0" w:color="auto"/>
              <w:right w:val="single" w:sz="4" w:space="0" w:color="auto"/>
            </w:tcBorders>
            <w:shd w:val="clear" w:color="auto" w:fill="auto"/>
            <w:noWrap/>
            <w:vAlign w:val="center"/>
            <w:hideMark/>
          </w:tcPr>
          <w:p w14:paraId="1FDFAE44" w14:textId="7DD9A029"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+59</w:t>
            </w:r>
            <w:r w:rsidR="00CB570A">
              <w:rPr>
                <w:rFonts w:eastAsia="Times New Roman"/>
                <w:sz w:val="20"/>
                <w:szCs w:val="20"/>
                <w:lang w:eastAsia="cs-CZ"/>
              </w:rPr>
              <w:t> %</w:t>
            </w:r>
          </w:p>
        </w:tc>
        <w:tc>
          <w:tcPr>
            <w:tcW w:w="1189" w:type="dxa"/>
            <w:tcBorders>
              <w:top w:val="nil"/>
              <w:left w:val="nil"/>
              <w:bottom w:val="single" w:sz="4" w:space="0" w:color="auto"/>
              <w:right w:val="nil"/>
            </w:tcBorders>
            <w:shd w:val="clear" w:color="auto" w:fill="auto"/>
            <w:noWrap/>
            <w:vAlign w:val="bottom"/>
            <w:hideMark/>
          </w:tcPr>
          <w:p w14:paraId="632D2292"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1 307</w:t>
            </w:r>
          </w:p>
        </w:tc>
        <w:tc>
          <w:tcPr>
            <w:tcW w:w="1237" w:type="dxa"/>
            <w:tcBorders>
              <w:top w:val="nil"/>
              <w:left w:val="nil"/>
              <w:bottom w:val="single" w:sz="4" w:space="0" w:color="auto"/>
              <w:right w:val="nil"/>
            </w:tcBorders>
            <w:shd w:val="clear" w:color="auto" w:fill="auto"/>
            <w:noWrap/>
            <w:vAlign w:val="center"/>
            <w:hideMark/>
          </w:tcPr>
          <w:p w14:paraId="559419E6" w14:textId="77E9FE93"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+35</w:t>
            </w:r>
            <w:r w:rsidR="00CB570A">
              <w:rPr>
                <w:rFonts w:eastAsia="Times New Roman"/>
                <w:sz w:val="20"/>
                <w:szCs w:val="20"/>
                <w:lang w:eastAsia="cs-CZ"/>
              </w:rPr>
              <w:t> %</w:t>
            </w:r>
          </w:p>
        </w:tc>
      </w:tr>
      <w:tr w:rsidR="00AC1E67" w:rsidRPr="00A00187" w14:paraId="710FF297" w14:textId="77777777" w:rsidTr="00641DB9">
        <w:trPr>
          <w:gridAfter w:val="1"/>
          <w:wAfter w:w="12" w:type="dxa"/>
          <w:trHeight w:val="315"/>
        </w:trPr>
        <w:tc>
          <w:tcPr>
            <w:tcW w:w="2496" w:type="dxa"/>
            <w:tcBorders>
              <w:top w:val="nil"/>
              <w:left w:val="nil"/>
              <w:bottom w:val="single" w:sz="4" w:space="0" w:color="auto"/>
              <w:right w:val="nil"/>
            </w:tcBorders>
            <w:shd w:val="clear" w:color="auto" w:fill="auto"/>
            <w:noWrap/>
            <w:vAlign w:val="bottom"/>
            <w:hideMark/>
          </w:tcPr>
          <w:p w14:paraId="2FCFC536"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KS Hr. Králové</w:t>
            </w:r>
          </w:p>
        </w:tc>
        <w:tc>
          <w:tcPr>
            <w:tcW w:w="1048" w:type="dxa"/>
            <w:tcBorders>
              <w:top w:val="nil"/>
              <w:left w:val="nil"/>
              <w:bottom w:val="single" w:sz="4" w:space="0" w:color="auto"/>
              <w:right w:val="nil"/>
            </w:tcBorders>
            <w:shd w:val="clear" w:color="auto" w:fill="auto"/>
            <w:noWrap/>
            <w:vAlign w:val="bottom"/>
            <w:hideMark/>
          </w:tcPr>
          <w:p w14:paraId="50CD6994"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383</w:t>
            </w:r>
          </w:p>
        </w:tc>
        <w:tc>
          <w:tcPr>
            <w:tcW w:w="996" w:type="dxa"/>
            <w:tcBorders>
              <w:top w:val="nil"/>
              <w:left w:val="nil"/>
              <w:bottom w:val="single" w:sz="4" w:space="0" w:color="auto"/>
              <w:right w:val="nil"/>
            </w:tcBorders>
            <w:shd w:val="clear" w:color="auto" w:fill="auto"/>
            <w:noWrap/>
            <w:vAlign w:val="center"/>
            <w:hideMark/>
          </w:tcPr>
          <w:p w14:paraId="73583F1C" w14:textId="3C85981B"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130" w:type="dxa"/>
            <w:tcBorders>
              <w:top w:val="nil"/>
              <w:left w:val="single" w:sz="4" w:space="0" w:color="auto"/>
              <w:bottom w:val="single" w:sz="4" w:space="0" w:color="auto"/>
              <w:right w:val="nil"/>
            </w:tcBorders>
            <w:shd w:val="clear" w:color="auto" w:fill="auto"/>
            <w:noWrap/>
            <w:vAlign w:val="bottom"/>
            <w:hideMark/>
          </w:tcPr>
          <w:p w14:paraId="1B7A080A"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166</w:t>
            </w:r>
          </w:p>
        </w:tc>
        <w:tc>
          <w:tcPr>
            <w:tcW w:w="1134" w:type="dxa"/>
            <w:tcBorders>
              <w:top w:val="nil"/>
              <w:left w:val="nil"/>
              <w:bottom w:val="single" w:sz="4" w:space="0" w:color="auto"/>
              <w:right w:val="single" w:sz="4" w:space="0" w:color="auto"/>
            </w:tcBorders>
            <w:shd w:val="clear" w:color="auto" w:fill="auto"/>
            <w:noWrap/>
            <w:vAlign w:val="center"/>
            <w:hideMark/>
          </w:tcPr>
          <w:p w14:paraId="33932CA5" w14:textId="20E22E79"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189" w:type="dxa"/>
            <w:tcBorders>
              <w:top w:val="nil"/>
              <w:left w:val="nil"/>
              <w:bottom w:val="single" w:sz="4" w:space="0" w:color="auto"/>
              <w:right w:val="nil"/>
            </w:tcBorders>
            <w:shd w:val="clear" w:color="auto" w:fill="auto"/>
            <w:noWrap/>
            <w:vAlign w:val="bottom"/>
            <w:hideMark/>
          </w:tcPr>
          <w:p w14:paraId="30247495"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1 158</w:t>
            </w:r>
          </w:p>
        </w:tc>
        <w:tc>
          <w:tcPr>
            <w:tcW w:w="1237" w:type="dxa"/>
            <w:tcBorders>
              <w:top w:val="nil"/>
              <w:left w:val="nil"/>
              <w:bottom w:val="single" w:sz="4" w:space="0" w:color="auto"/>
              <w:right w:val="nil"/>
            </w:tcBorders>
            <w:shd w:val="clear" w:color="auto" w:fill="auto"/>
            <w:noWrap/>
            <w:vAlign w:val="center"/>
            <w:hideMark/>
          </w:tcPr>
          <w:p w14:paraId="01994C47" w14:textId="66D83447"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169E3E95" w14:textId="77777777" w:rsidTr="00641DB9">
        <w:trPr>
          <w:gridAfter w:val="1"/>
          <w:wAfter w:w="12" w:type="dxa"/>
          <w:trHeight w:val="315"/>
        </w:trPr>
        <w:tc>
          <w:tcPr>
            <w:tcW w:w="2496" w:type="dxa"/>
            <w:tcBorders>
              <w:top w:val="nil"/>
              <w:left w:val="nil"/>
              <w:bottom w:val="single" w:sz="4" w:space="0" w:color="auto"/>
              <w:right w:val="nil"/>
            </w:tcBorders>
            <w:shd w:val="clear" w:color="auto" w:fill="auto"/>
            <w:noWrap/>
            <w:vAlign w:val="bottom"/>
            <w:hideMark/>
          </w:tcPr>
          <w:p w14:paraId="0BDA90E8"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KS Brno</w:t>
            </w:r>
          </w:p>
        </w:tc>
        <w:tc>
          <w:tcPr>
            <w:tcW w:w="1048" w:type="dxa"/>
            <w:tcBorders>
              <w:top w:val="nil"/>
              <w:left w:val="nil"/>
              <w:bottom w:val="single" w:sz="4" w:space="0" w:color="auto"/>
              <w:right w:val="nil"/>
            </w:tcBorders>
            <w:shd w:val="clear" w:color="auto" w:fill="auto"/>
            <w:noWrap/>
            <w:vAlign w:val="bottom"/>
            <w:hideMark/>
          </w:tcPr>
          <w:p w14:paraId="5AF5D1A5"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775</w:t>
            </w:r>
          </w:p>
        </w:tc>
        <w:tc>
          <w:tcPr>
            <w:tcW w:w="996" w:type="dxa"/>
            <w:tcBorders>
              <w:top w:val="nil"/>
              <w:left w:val="nil"/>
              <w:bottom w:val="single" w:sz="4" w:space="0" w:color="auto"/>
              <w:right w:val="nil"/>
            </w:tcBorders>
            <w:shd w:val="clear" w:color="auto" w:fill="auto"/>
            <w:noWrap/>
            <w:vAlign w:val="center"/>
            <w:hideMark/>
          </w:tcPr>
          <w:p w14:paraId="23789E14" w14:textId="6C2929B5"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30" w:type="dxa"/>
            <w:tcBorders>
              <w:top w:val="nil"/>
              <w:left w:val="single" w:sz="4" w:space="0" w:color="auto"/>
              <w:bottom w:val="single" w:sz="4" w:space="0" w:color="auto"/>
              <w:right w:val="nil"/>
            </w:tcBorders>
            <w:shd w:val="clear" w:color="auto" w:fill="auto"/>
            <w:noWrap/>
            <w:vAlign w:val="bottom"/>
            <w:hideMark/>
          </w:tcPr>
          <w:p w14:paraId="655537C2"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663</w:t>
            </w:r>
          </w:p>
        </w:tc>
        <w:tc>
          <w:tcPr>
            <w:tcW w:w="1134" w:type="dxa"/>
            <w:tcBorders>
              <w:top w:val="nil"/>
              <w:left w:val="nil"/>
              <w:bottom w:val="single" w:sz="4" w:space="0" w:color="auto"/>
              <w:right w:val="single" w:sz="4" w:space="0" w:color="auto"/>
            </w:tcBorders>
            <w:shd w:val="clear" w:color="auto" w:fill="auto"/>
            <w:noWrap/>
            <w:vAlign w:val="center"/>
            <w:hideMark/>
          </w:tcPr>
          <w:p w14:paraId="11490D28" w14:textId="201D88E3"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189" w:type="dxa"/>
            <w:tcBorders>
              <w:top w:val="nil"/>
              <w:left w:val="nil"/>
              <w:bottom w:val="single" w:sz="4" w:space="0" w:color="auto"/>
              <w:right w:val="nil"/>
            </w:tcBorders>
            <w:shd w:val="clear" w:color="auto" w:fill="auto"/>
            <w:noWrap/>
            <w:vAlign w:val="bottom"/>
            <w:hideMark/>
          </w:tcPr>
          <w:p w14:paraId="3A8A7ECA"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1 536</w:t>
            </w:r>
          </w:p>
        </w:tc>
        <w:tc>
          <w:tcPr>
            <w:tcW w:w="1237" w:type="dxa"/>
            <w:tcBorders>
              <w:top w:val="nil"/>
              <w:left w:val="nil"/>
              <w:bottom w:val="single" w:sz="4" w:space="0" w:color="auto"/>
              <w:right w:val="nil"/>
            </w:tcBorders>
            <w:shd w:val="clear" w:color="auto" w:fill="auto"/>
            <w:noWrap/>
            <w:vAlign w:val="center"/>
            <w:hideMark/>
          </w:tcPr>
          <w:p w14:paraId="6E2EDB41" w14:textId="0F5A70C5"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AC1E67" w:rsidRPr="00A00187" w14:paraId="6075F517" w14:textId="77777777" w:rsidTr="00641DB9">
        <w:trPr>
          <w:gridAfter w:val="1"/>
          <w:wAfter w:w="12" w:type="dxa"/>
          <w:trHeight w:val="330"/>
        </w:trPr>
        <w:tc>
          <w:tcPr>
            <w:tcW w:w="2496" w:type="dxa"/>
            <w:tcBorders>
              <w:top w:val="nil"/>
              <w:left w:val="nil"/>
              <w:bottom w:val="double" w:sz="6" w:space="0" w:color="auto"/>
              <w:right w:val="nil"/>
            </w:tcBorders>
            <w:shd w:val="clear" w:color="auto" w:fill="auto"/>
            <w:noWrap/>
            <w:vAlign w:val="bottom"/>
            <w:hideMark/>
          </w:tcPr>
          <w:p w14:paraId="4FD3983E" w14:textId="77777777" w:rsidR="00477A05" w:rsidRPr="00A00187" w:rsidRDefault="00477A05" w:rsidP="00477A05">
            <w:pPr>
              <w:spacing w:line="240" w:lineRule="auto"/>
              <w:jc w:val="left"/>
              <w:rPr>
                <w:rFonts w:eastAsia="Times New Roman"/>
                <w:szCs w:val="24"/>
                <w:lang w:eastAsia="cs-CZ"/>
              </w:rPr>
            </w:pPr>
            <w:r w:rsidRPr="00A00187">
              <w:rPr>
                <w:rFonts w:eastAsia="Times New Roman"/>
                <w:szCs w:val="24"/>
                <w:lang w:eastAsia="cs-CZ"/>
              </w:rPr>
              <w:t>KS Ostrava</w:t>
            </w:r>
          </w:p>
        </w:tc>
        <w:tc>
          <w:tcPr>
            <w:tcW w:w="1048" w:type="dxa"/>
            <w:tcBorders>
              <w:top w:val="nil"/>
              <w:left w:val="nil"/>
              <w:bottom w:val="double" w:sz="6" w:space="0" w:color="auto"/>
              <w:right w:val="nil"/>
            </w:tcBorders>
            <w:shd w:val="clear" w:color="auto" w:fill="auto"/>
            <w:noWrap/>
            <w:vAlign w:val="bottom"/>
            <w:hideMark/>
          </w:tcPr>
          <w:p w14:paraId="0384729F"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512</w:t>
            </w:r>
          </w:p>
        </w:tc>
        <w:tc>
          <w:tcPr>
            <w:tcW w:w="996" w:type="dxa"/>
            <w:tcBorders>
              <w:top w:val="nil"/>
              <w:left w:val="nil"/>
              <w:bottom w:val="double" w:sz="6" w:space="0" w:color="auto"/>
              <w:right w:val="nil"/>
            </w:tcBorders>
            <w:shd w:val="clear" w:color="auto" w:fill="auto"/>
            <w:noWrap/>
            <w:vAlign w:val="center"/>
            <w:hideMark/>
          </w:tcPr>
          <w:p w14:paraId="0B2DE70D" w14:textId="02320629"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130" w:type="dxa"/>
            <w:tcBorders>
              <w:top w:val="nil"/>
              <w:left w:val="single" w:sz="4" w:space="0" w:color="auto"/>
              <w:bottom w:val="double" w:sz="6" w:space="0" w:color="auto"/>
              <w:right w:val="nil"/>
            </w:tcBorders>
            <w:shd w:val="clear" w:color="auto" w:fill="auto"/>
            <w:noWrap/>
            <w:vAlign w:val="bottom"/>
            <w:hideMark/>
          </w:tcPr>
          <w:p w14:paraId="7B05946B"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317</w:t>
            </w:r>
          </w:p>
        </w:tc>
        <w:tc>
          <w:tcPr>
            <w:tcW w:w="1134" w:type="dxa"/>
            <w:tcBorders>
              <w:top w:val="nil"/>
              <w:left w:val="nil"/>
              <w:bottom w:val="double" w:sz="6" w:space="0" w:color="auto"/>
              <w:right w:val="single" w:sz="4" w:space="0" w:color="auto"/>
            </w:tcBorders>
            <w:shd w:val="clear" w:color="auto" w:fill="auto"/>
            <w:noWrap/>
            <w:vAlign w:val="center"/>
            <w:hideMark/>
          </w:tcPr>
          <w:p w14:paraId="201BBDA4" w14:textId="28193765"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c>
          <w:tcPr>
            <w:tcW w:w="1189" w:type="dxa"/>
            <w:tcBorders>
              <w:top w:val="nil"/>
              <w:left w:val="nil"/>
              <w:bottom w:val="double" w:sz="6" w:space="0" w:color="auto"/>
              <w:right w:val="nil"/>
            </w:tcBorders>
            <w:shd w:val="clear" w:color="auto" w:fill="auto"/>
            <w:noWrap/>
            <w:vAlign w:val="bottom"/>
            <w:hideMark/>
          </w:tcPr>
          <w:p w14:paraId="6346FE4A" w14:textId="77777777" w:rsidR="00477A05" w:rsidRPr="00A00187" w:rsidRDefault="00477A05" w:rsidP="00477A05">
            <w:pPr>
              <w:spacing w:line="240" w:lineRule="auto"/>
              <w:jc w:val="center"/>
              <w:rPr>
                <w:rFonts w:eastAsia="Times New Roman"/>
                <w:szCs w:val="24"/>
                <w:lang w:eastAsia="cs-CZ"/>
              </w:rPr>
            </w:pPr>
            <w:r w:rsidRPr="00A00187">
              <w:rPr>
                <w:rFonts w:eastAsia="Times New Roman"/>
                <w:szCs w:val="24"/>
                <w:lang w:eastAsia="cs-CZ"/>
              </w:rPr>
              <w:t>1 312</w:t>
            </w:r>
          </w:p>
        </w:tc>
        <w:tc>
          <w:tcPr>
            <w:tcW w:w="1237" w:type="dxa"/>
            <w:tcBorders>
              <w:top w:val="nil"/>
              <w:left w:val="nil"/>
              <w:bottom w:val="double" w:sz="6" w:space="0" w:color="auto"/>
              <w:right w:val="nil"/>
            </w:tcBorders>
            <w:shd w:val="clear" w:color="auto" w:fill="auto"/>
            <w:noWrap/>
            <w:vAlign w:val="center"/>
            <w:hideMark/>
          </w:tcPr>
          <w:p w14:paraId="35964230" w14:textId="1BA4FB67" w:rsidR="00477A05" w:rsidRPr="00A00187" w:rsidRDefault="00477A05" w:rsidP="00641DB9">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0D0519C0" w14:textId="77777777" w:rsidTr="00641DB9">
        <w:trPr>
          <w:gridAfter w:val="1"/>
          <w:wAfter w:w="12" w:type="dxa"/>
          <w:trHeight w:val="345"/>
        </w:trPr>
        <w:tc>
          <w:tcPr>
            <w:tcW w:w="2496" w:type="dxa"/>
            <w:tcBorders>
              <w:top w:val="nil"/>
              <w:left w:val="nil"/>
              <w:bottom w:val="double" w:sz="6" w:space="0" w:color="auto"/>
              <w:right w:val="nil"/>
            </w:tcBorders>
            <w:shd w:val="clear" w:color="auto" w:fill="auto"/>
            <w:noWrap/>
            <w:vAlign w:val="bottom"/>
            <w:hideMark/>
          </w:tcPr>
          <w:p w14:paraId="28486267" w14:textId="77777777" w:rsidR="00477A05" w:rsidRPr="00A00187" w:rsidRDefault="00477A05" w:rsidP="00477A05">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48" w:type="dxa"/>
            <w:tcBorders>
              <w:top w:val="nil"/>
              <w:left w:val="nil"/>
              <w:bottom w:val="double" w:sz="6" w:space="0" w:color="auto"/>
              <w:right w:val="nil"/>
            </w:tcBorders>
            <w:shd w:val="clear" w:color="auto" w:fill="auto"/>
            <w:noWrap/>
            <w:vAlign w:val="bottom"/>
            <w:hideMark/>
          </w:tcPr>
          <w:p w14:paraId="7BF3C43C" w14:textId="77777777" w:rsidR="00477A05" w:rsidRPr="00A00187" w:rsidRDefault="00477A05" w:rsidP="00477A05">
            <w:pPr>
              <w:spacing w:line="240" w:lineRule="auto"/>
              <w:jc w:val="center"/>
              <w:rPr>
                <w:rFonts w:eastAsia="Times New Roman"/>
                <w:b/>
                <w:bCs/>
                <w:szCs w:val="24"/>
                <w:lang w:eastAsia="cs-CZ"/>
              </w:rPr>
            </w:pPr>
            <w:r w:rsidRPr="00A00187">
              <w:rPr>
                <w:rFonts w:eastAsia="Times New Roman"/>
                <w:b/>
                <w:bCs/>
                <w:szCs w:val="24"/>
                <w:lang w:eastAsia="cs-CZ"/>
              </w:rPr>
              <w:t>536</w:t>
            </w:r>
          </w:p>
        </w:tc>
        <w:tc>
          <w:tcPr>
            <w:tcW w:w="996" w:type="dxa"/>
            <w:tcBorders>
              <w:top w:val="nil"/>
              <w:left w:val="nil"/>
              <w:bottom w:val="double" w:sz="6" w:space="0" w:color="auto"/>
              <w:right w:val="nil"/>
            </w:tcBorders>
            <w:shd w:val="clear" w:color="auto" w:fill="auto"/>
            <w:noWrap/>
            <w:vAlign w:val="center"/>
            <w:hideMark/>
          </w:tcPr>
          <w:p w14:paraId="51BC2230" w14:textId="5422FAAE" w:rsidR="00477A05" w:rsidRPr="00A00187" w:rsidRDefault="00477A05"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+7</w:t>
            </w:r>
            <w:r w:rsidR="00CB570A">
              <w:rPr>
                <w:rFonts w:eastAsia="Times New Roman"/>
                <w:b/>
                <w:bCs/>
                <w:sz w:val="20"/>
                <w:szCs w:val="20"/>
                <w:lang w:eastAsia="cs-CZ"/>
              </w:rPr>
              <w:t> %</w:t>
            </w:r>
          </w:p>
        </w:tc>
        <w:tc>
          <w:tcPr>
            <w:tcW w:w="1130" w:type="dxa"/>
            <w:tcBorders>
              <w:top w:val="nil"/>
              <w:left w:val="single" w:sz="4" w:space="0" w:color="auto"/>
              <w:bottom w:val="double" w:sz="6" w:space="0" w:color="auto"/>
              <w:right w:val="nil"/>
            </w:tcBorders>
            <w:shd w:val="clear" w:color="auto" w:fill="auto"/>
            <w:noWrap/>
            <w:vAlign w:val="bottom"/>
            <w:hideMark/>
          </w:tcPr>
          <w:p w14:paraId="397876F6" w14:textId="77777777" w:rsidR="00477A05" w:rsidRPr="00A00187" w:rsidRDefault="00477A05" w:rsidP="00477A05">
            <w:pPr>
              <w:spacing w:line="240" w:lineRule="auto"/>
              <w:jc w:val="center"/>
              <w:rPr>
                <w:rFonts w:eastAsia="Times New Roman"/>
                <w:b/>
                <w:bCs/>
                <w:szCs w:val="24"/>
                <w:lang w:eastAsia="cs-CZ"/>
              </w:rPr>
            </w:pPr>
            <w:r w:rsidRPr="00A00187">
              <w:rPr>
                <w:rFonts w:eastAsia="Times New Roman"/>
                <w:b/>
                <w:bCs/>
                <w:szCs w:val="24"/>
                <w:lang w:eastAsia="cs-CZ"/>
              </w:rPr>
              <w:t>317</w:t>
            </w:r>
          </w:p>
        </w:tc>
        <w:tc>
          <w:tcPr>
            <w:tcW w:w="1134" w:type="dxa"/>
            <w:tcBorders>
              <w:top w:val="nil"/>
              <w:left w:val="nil"/>
              <w:bottom w:val="double" w:sz="6" w:space="0" w:color="auto"/>
              <w:right w:val="single" w:sz="4" w:space="0" w:color="auto"/>
            </w:tcBorders>
            <w:shd w:val="clear" w:color="auto" w:fill="auto"/>
            <w:noWrap/>
            <w:vAlign w:val="center"/>
            <w:hideMark/>
          </w:tcPr>
          <w:p w14:paraId="5D7887F1" w14:textId="6A6EE9BE" w:rsidR="00477A05" w:rsidRPr="00A00187" w:rsidRDefault="00477A05"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+18</w:t>
            </w:r>
            <w:r w:rsidR="00CB570A">
              <w:rPr>
                <w:rFonts w:eastAsia="Times New Roman"/>
                <w:b/>
                <w:bCs/>
                <w:sz w:val="20"/>
                <w:szCs w:val="20"/>
                <w:lang w:eastAsia="cs-CZ"/>
              </w:rPr>
              <w:t> %</w:t>
            </w:r>
          </w:p>
        </w:tc>
        <w:tc>
          <w:tcPr>
            <w:tcW w:w="1189" w:type="dxa"/>
            <w:tcBorders>
              <w:top w:val="nil"/>
              <w:left w:val="nil"/>
              <w:bottom w:val="double" w:sz="6" w:space="0" w:color="auto"/>
              <w:right w:val="nil"/>
            </w:tcBorders>
            <w:shd w:val="clear" w:color="auto" w:fill="auto"/>
            <w:noWrap/>
            <w:vAlign w:val="bottom"/>
            <w:hideMark/>
          </w:tcPr>
          <w:p w14:paraId="74041AD0" w14:textId="77777777" w:rsidR="00477A05" w:rsidRPr="00A00187" w:rsidRDefault="00477A05" w:rsidP="00477A05">
            <w:pPr>
              <w:spacing w:line="240" w:lineRule="auto"/>
              <w:jc w:val="center"/>
              <w:rPr>
                <w:rFonts w:eastAsia="Times New Roman"/>
                <w:b/>
                <w:bCs/>
                <w:szCs w:val="24"/>
                <w:lang w:eastAsia="cs-CZ"/>
              </w:rPr>
            </w:pPr>
            <w:r w:rsidRPr="00A00187">
              <w:rPr>
                <w:rFonts w:eastAsia="Times New Roman"/>
                <w:b/>
                <w:bCs/>
                <w:szCs w:val="24"/>
                <w:lang w:eastAsia="cs-CZ"/>
              </w:rPr>
              <w:t>1 315</w:t>
            </w:r>
          </w:p>
        </w:tc>
        <w:tc>
          <w:tcPr>
            <w:tcW w:w="1237" w:type="dxa"/>
            <w:tcBorders>
              <w:top w:val="nil"/>
              <w:left w:val="nil"/>
              <w:bottom w:val="double" w:sz="6" w:space="0" w:color="auto"/>
              <w:right w:val="nil"/>
            </w:tcBorders>
            <w:shd w:val="clear" w:color="auto" w:fill="auto"/>
            <w:noWrap/>
            <w:vAlign w:val="center"/>
            <w:hideMark/>
          </w:tcPr>
          <w:p w14:paraId="5C859DD7" w14:textId="234D5CFC" w:rsidR="00477A05" w:rsidRPr="00A00187" w:rsidRDefault="00477A05" w:rsidP="00641DB9">
            <w:pPr>
              <w:spacing w:line="240" w:lineRule="auto"/>
              <w:jc w:val="center"/>
              <w:rPr>
                <w:rFonts w:eastAsia="Times New Roman"/>
                <w:b/>
                <w:bCs/>
                <w:sz w:val="20"/>
                <w:szCs w:val="20"/>
                <w:lang w:eastAsia="cs-CZ"/>
              </w:rPr>
            </w:pPr>
            <w:r w:rsidRPr="00A00187">
              <w:rPr>
                <w:rFonts w:eastAsia="Times New Roman"/>
                <w:b/>
                <w:bCs/>
                <w:sz w:val="20"/>
                <w:szCs w:val="20"/>
                <w:lang w:eastAsia="cs-CZ"/>
              </w:rPr>
              <w:t>+10</w:t>
            </w:r>
            <w:r w:rsidR="00CB570A">
              <w:rPr>
                <w:rFonts w:eastAsia="Times New Roman"/>
                <w:b/>
                <w:bCs/>
                <w:sz w:val="20"/>
                <w:szCs w:val="20"/>
                <w:lang w:eastAsia="cs-CZ"/>
              </w:rPr>
              <w:t> %</w:t>
            </w:r>
          </w:p>
        </w:tc>
      </w:tr>
      <w:tr w:rsidR="00AC1E67" w:rsidRPr="00A00187" w14:paraId="04E343F4" w14:textId="77777777" w:rsidTr="00641DB9">
        <w:trPr>
          <w:gridAfter w:val="1"/>
          <w:wAfter w:w="12" w:type="dxa"/>
          <w:trHeight w:val="330"/>
        </w:trPr>
        <w:tc>
          <w:tcPr>
            <w:tcW w:w="2496" w:type="dxa"/>
            <w:tcBorders>
              <w:top w:val="nil"/>
              <w:left w:val="nil"/>
              <w:bottom w:val="nil"/>
              <w:right w:val="nil"/>
            </w:tcBorders>
            <w:shd w:val="clear" w:color="auto" w:fill="auto"/>
            <w:noWrap/>
            <w:vAlign w:val="bottom"/>
            <w:hideMark/>
          </w:tcPr>
          <w:p w14:paraId="17B989A8" w14:textId="77777777" w:rsidR="00477A05" w:rsidRPr="00A00187" w:rsidRDefault="00477A05" w:rsidP="00477A05">
            <w:pPr>
              <w:spacing w:line="240" w:lineRule="auto"/>
              <w:jc w:val="center"/>
              <w:rPr>
                <w:rFonts w:eastAsia="Times New Roman"/>
                <w:b/>
                <w:bCs/>
                <w:sz w:val="20"/>
                <w:szCs w:val="20"/>
                <w:lang w:eastAsia="cs-CZ"/>
              </w:rPr>
            </w:pPr>
          </w:p>
        </w:tc>
        <w:tc>
          <w:tcPr>
            <w:tcW w:w="1048" w:type="dxa"/>
            <w:tcBorders>
              <w:top w:val="nil"/>
              <w:left w:val="nil"/>
              <w:bottom w:val="nil"/>
              <w:right w:val="nil"/>
            </w:tcBorders>
            <w:shd w:val="clear" w:color="auto" w:fill="auto"/>
            <w:noWrap/>
            <w:vAlign w:val="bottom"/>
            <w:hideMark/>
          </w:tcPr>
          <w:p w14:paraId="43E2C0A2" w14:textId="77777777" w:rsidR="00477A05" w:rsidRPr="00A00187" w:rsidRDefault="00477A05" w:rsidP="00477A05">
            <w:pPr>
              <w:spacing w:line="240" w:lineRule="auto"/>
              <w:jc w:val="left"/>
              <w:rPr>
                <w:rFonts w:ascii="Times New Roman" w:eastAsia="Times New Roman" w:hAnsi="Times New Roman"/>
                <w:sz w:val="20"/>
                <w:szCs w:val="20"/>
                <w:lang w:eastAsia="cs-CZ"/>
              </w:rPr>
            </w:pPr>
          </w:p>
        </w:tc>
        <w:tc>
          <w:tcPr>
            <w:tcW w:w="996" w:type="dxa"/>
            <w:tcBorders>
              <w:top w:val="nil"/>
              <w:left w:val="nil"/>
              <w:bottom w:val="nil"/>
              <w:right w:val="nil"/>
            </w:tcBorders>
            <w:shd w:val="clear" w:color="auto" w:fill="auto"/>
            <w:noWrap/>
            <w:vAlign w:val="bottom"/>
            <w:hideMark/>
          </w:tcPr>
          <w:p w14:paraId="6D04CF14" w14:textId="77777777" w:rsidR="00477A05" w:rsidRPr="00A00187" w:rsidRDefault="00477A05" w:rsidP="00477A05">
            <w:pPr>
              <w:spacing w:line="240" w:lineRule="auto"/>
              <w:jc w:val="left"/>
              <w:rPr>
                <w:rFonts w:ascii="Times New Roman" w:eastAsia="Times New Roman" w:hAnsi="Times New Roman"/>
                <w:sz w:val="20"/>
                <w:szCs w:val="20"/>
                <w:lang w:eastAsia="cs-CZ"/>
              </w:rPr>
            </w:pPr>
          </w:p>
        </w:tc>
        <w:tc>
          <w:tcPr>
            <w:tcW w:w="1130" w:type="dxa"/>
            <w:tcBorders>
              <w:top w:val="nil"/>
              <w:left w:val="nil"/>
              <w:bottom w:val="nil"/>
              <w:right w:val="nil"/>
            </w:tcBorders>
            <w:shd w:val="clear" w:color="auto" w:fill="auto"/>
            <w:noWrap/>
            <w:vAlign w:val="bottom"/>
            <w:hideMark/>
          </w:tcPr>
          <w:p w14:paraId="6C89365D" w14:textId="77777777" w:rsidR="00477A05" w:rsidRPr="00A00187" w:rsidRDefault="00477A05" w:rsidP="00477A05">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66F7709D" w14:textId="77777777" w:rsidR="00477A05" w:rsidRPr="00A00187" w:rsidRDefault="00477A05" w:rsidP="00477A05">
            <w:pPr>
              <w:spacing w:line="240" w:lineRule="auto"/>
              <w:jc w:val="left"/>
              <w:rPr>
                <w:rFonts w:ascii="Times New Roman" w:eastAsia="Times New Roman" w:hAnsi="Times New Roman"/>
                <w:sz w:val="20"/>
                <w:szCs w:val="20"/>
                <w:lang w:eastAsia="cs-CZ"/>
              </w:rPr>
            </w:pPr>
          </w:p>
        </w:tc>
        <w:tc>
          <w:tcPr>
            <w:tcW w:w="1189" w:type="dxa"/>
            <w:tcBorders>
              <w:top w:val="nil"/>
              <w:left w:val="nil"/>
              <w:bottom w:val="nil"/>
              <w:right w:val="nil"/>
            </w:tcBorders>
            <w:shd w:val="clear" w:color="auto" w:fill="auto"/>
            <w:noWrap/>
            <w:vAlign w:val="bottom"/>
            <w:hideMark/>
          </w:tcPr>
          <w:p w14:paraId="3DA8275A" w14:textId="77777777" w:rsidR="00477A05" w:rsidRPr="00A00187" w:rsidRDefault="00477A05" w:rsidP="00477A05">
            <w:pPr>
              <w:spacing w:line="240" w:lineRule="auto"/>
              <w:jc w:val="left"/>
              <w:rPr>
                <w:rFonts w:ascii="Times New Roman" w:eastAsia="Times New Roman" w:hAnsi="Times New Roman"/>
                <w:sz w:val="20"/>
                <w:szCs w:val="20"/>
                <w:lang w:eastAsia="cs-CZ"/>
              </w:rPr>
            </w:pPr>
          </w:p>
        </w:tc>
        <w:tc>
          <w:tcPr>
            <w:tcW w:w="1237" w:type="dxa"/>
            <w:tcBorders>
              <w:top w:val="nil"/>
              <w:left w:val="nil"/>
              <w:bottom w:val="nil"/>
              <w:right w:val="nil"/>
            </w:tcBorders>
            <w:shd w:val="clear" w:color="auto" w:fill="auto"/>
            <w:noWrap/>
            <w:vAlign w:val="bottom"/>
            <w:hideMark/>
          </w:tcPr>
          <w:p w14:paraId="76FA8C3F" w14:textId="77777777" w:rsidR="00477A05" w:rsidRPr="00A00187" w:rsidRDefault="00477A05" w:rsidP="00641DB9">
            <w:pPr>
              <w:spacing w:line="240" w:lineRule="auto"/>
              <w:jc w:val="center"/>
              <w:rPr>
                <w:rFonts w:ascii="Times New Roman" w:eastAsia="Times New Roman" w:hAnsi="Times New Roman"/>
                <w:sz w:val="20"/>
                <w:szCs w:val="20"/>
                <w:lang w:eastAsia="cs-CZ"/>
              </w:rPr>
            </w:pPr>
          </w:p>
        </w:tc>
      </w:tr>
    </w:tbl>
    <w:p w14:paraId="0BAE2DF1" w14:textId="4A6A24A0" w:rsidR="00CB570A" w:rsidRDefault="00477A05" w:rsidP="00477A05">
      <w:pPr>
        <w:pStyle w:val="OdstavecASR"/>
      </w:pPr>
      <w:r w:rsidRPr="00A00187">
        <w:t xml:space="preserve">Vidíme, že </w:t>
      </w:r>
      <w:r w:rsidR="006C730E" w:rsidRPr="00A00187">
        <w:t>již několik let</w:t>
      </w:r>
      <w:r w:rsidRPr="00A00187">
        <w:t xml:space="preserve"> zdaleka nejdelší délky řízení vykazuje KS Brno a MS Praha</w:t>
      </w:r>
      <w:r w:rsidR="008E7EA9" w:rsidRPr="00A00187">
        <w:t>,</w:t>
      </w:r>
      <w:r w:rsidRPr="00A00187">
        <w:t xml:space="preserve"> </w:t>
      </w:r>
      <w:r w:rsidR="008E7EA9" w:rsidRPr="00A00187">
        <w:t>n</w:t>
      </w:r>
      <w:r w:rsidRPr="00A00187">
        <w:t>ejkratší naopak KS České Budějovice.</w:t>
      </w:r>
      <w:r w:rsidR="00693782" w:rsidRPr="00A00187">
        <w:t xml:space="preserve"> Zaujme rovněž velký růst délek řízení </w:t>
      </w:r>
      <w:r w:rsidR="00755920" w:rsidRPr="00A00187">
        <w:t>u</w:t>
      </w:r>
      <w:r w:rsidR="00755920">
        <w:t> </w:t>
      </w:r>
      <w:r w:rsidR="00693782" w:rsidRPr="00A00187">
        <w:t xml:space="preserve">KS Plzeň </w:t>
      </w:r>
      <w:r w:rsidR="00755920" w:rsidRPr="00A00187">
        <w:t>a</w:t>
      </w:r>
      <w:r w:rsidR="00755920">
        <w:t> </w:t>
      </w:r>
      <w:r w:rsidR="00693782" w:rsidRPr="00A00187">
        <w:t xml:space="preserve">KS Ústí nad Labem. Podrobnější data z výkazů ale ukazují, že </w:t>
      </w:r>
      <w:r w:rsidR="00755920" w:rsidRPr="00A00187">
        <w:t>u</w:t>
      </w:r>
      <w:r w:rsidR="00755920">
        <w:t> </w:t>
      </w:r>
      <w:r w:rsidR="00693782" w:rsidRPr="00A00187">
        <w:t>těchto soudů poklesl počet déle nevyřízených věcí, což se do délky určitě promítlo.</w:t>
      </w:r>
    </w:p>
    <w:p w14:paraId="0F4BD16B" w14:textId="77777777" w:rsidR="00CB570A" w:rsidRDefault="0040392D" w:rsidP="0040392D">
      <w:pPr>
        <w:pStyle w:val="OdstavecASR"/>
      </w:pPr>
      <w:r w:rsidRPr="00A00187">
        <w:t>Nakonec délky řízení zobrazíme pomocí histogramu. Šířka jednoho sloupce je 50 dnů a poslední sloupec reprezentuje všechny hodnoty nad 1 500 dnů.</w:t>
      </w:r>
    </w:p>
    <w:p w14:paraId="0DEAF226" w14:textId="5489E370" w:rsidR="0040392D" w:rsidRPr="00A00187" w:rsidRDefault="0040392D" w:rsidP="0040392D">
      <w:pPr>
        <w:pStyle w:val="Podnadpis"/>
        <w:rPr>
          <w:color w:val="auto"/>
        </w:rPr>
      </w:pPr>
      <w:bookmarkStart w:id="969" w:name="_Toc43841456"/>
      <w:bookmarkStart w:id="970" w:name="_Toc75952259"/>
      <w:bookmarkStart w:id="971" w:name="_Toc106106716"/>
      <w:bookmarkStart w:id="972" w:name="_Toc109802040"/>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82</w:t>
      </w:r>
      <w:r w:rsidRPr="00A00187">
        <w:rPr>
          <w:color w:val="auto"/>
        </w:rPr>
        <w:fldChar w:fldCharType="end"/>
      </w:r>
      <w:r w:rsidRPr="00A00187">
        <w:rPr>
          <w:color w:val="auto"/>
        </w:rPr>
        <w:t>: KS – distribuce délek incidenčních sporů</w:t>
      </w:r>
      <w:bookmarkEnd w:id="969"/>
      <w:bookmarkEnd w:id="970"/>
      <w:bookmarkEnd w:id="971"/>
      <w:bookmarkEnd w:id="972"/>
    </w:p>
    <w:p w14:paraId="12FACE0E" w14:textId="53217C14" w:rsidR="0040392D" w:rsidRPr="00A00187" w:rsidRDefault="0040392D" w:rsidP="00477A05">
      <w:pPr>
        <w:pStyle w:val="OdstavecASR"/>
      </w:pPr>
      <w:r w:rsidRPr="00A00187">
        <w:rPr>
          <w:noProof/>
        </w:rPr>
        <w:drawing>
          <wp:inline distT="0" distB="0" distL="0" distR="0" wp14:anchorId="17349749" wp14:editId="530071FB">
            <wp:extent cx="5025390" cy="3657600"/>
            <wp:effectExtent l="0" t="0" r="381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7099B899" w14:textId="29B96F53" w:rsidR="008430BD" w:rsidRPr="00A00187" w:rsidRDefault="008430BD" w:rsidP="008430BD">
      <w:pPr>
        <w:pStyle w:val="Nadpis3"/>
        <w:numPr>
          <w:ilvl w:val="2"/>
          <w:numId w:val="1"/>
        </w:numPr>
        <w:rPr>
          <w:color w:val="auto"/>
        </w:rPr>
      </w:pPr>
      <w:bookmarkStart w:id="973" w:name="_Toc41059000"/>
      <w:bookmarkStart w:id="974" w:name="_Toc41060948"/>
      <w:bookmarkStart w:id="975" w:name="_Toc106092786"/>
      <w:bookmarkStart w:id="976" w:name="_Toc109801397"/>
      <w:bookmarkEnd w:id="973"/>
      <w:bookmarkEnd w:id="974"/>
      <w:r w:rsidRPr="00A00187">
        <w:rPr>
          <w:color w:val="auto"/>
        </w:rPr>
        <w:t>Vyřizování věcí</w:t>
      </w:r>
      <w:bookmarkEnd w:id="975"/>
      <w:bookmarkEnd w:id="976"/>
    </w:p>
    <w:p w14:paraId="6A501355" w14:textId="1682A586" w:rsidR="002B1F1A" w:rsidRPr="00A00187" w:rsidRDefault="00C45634" w:rsidP="00C45634">
      <w:r w:rsidRPr="00A00187">
        <w:t xml:space="preserve">Na grafu níže vidíme jev, který byl zmiňován již výše. Celá insolvenční agenda je poměrně nová a incidenční spory na ni „navazují“. Proto byl v prvních letech malý nápad, který postupně narůstal až do roku 2017. </w:t>
      </w:r>
      <w:r w:rsidR="002B1F1A" w:rsidRPr="00A00187">
        <w:t xml:space="preserve">V těchto letech převyšoval počet příchozích věcí počet věcí vyřízených, a to ze začátku poměrně výrazně; počet vyřízených věcí se ale velmi rychle zvyšoval. </w:t>
      </w:r>
      <w:r w:rsidR="008E7EA9" w:rsidRPr="00A00187">
        <w:t>N</w:t>
      </w:r>
      <w:r w:rsidR="002B1F1A" w:rsidRPr="00A00187">
        <w:t>ahromadilo</w:t>
      </w:r>
      <w:r w:rsidR="008E7EA9" w:rsidRPr="00A00187">
        <w:t xml:space="preserve"> se </w:t>
      </w:r>
      <w:r w:rsidR="002B1F1A" w:rsidRPr="00A00187">
        <w:t xml:space="preserve">poměrně velké množství nevyřízených věcí. </w:t>
      </w:r>
      <w:r w:rsidRPr="00A00187">
        <w:t>Do určité míry nápad celkem logicky kopíruje růst nápadu v insolvenční agendě, nicméně s určitým zpožděním.</w:t>
      </w:r>
    </w:p>
    <w:p w14:paraId="3B5E4015" w14:textId="1BFFFCED" w:rsidR="002B1F1A" w:rsidRPr="00A00187" w:rsidRDefault="00C45634" w:rsidP="002B1F1A">
      <w:pPr>
        <w:pStyle w:val="OdstavecASR"/>
      </w:pPr>
      <w:r w:rsidRPr="00A00187">
        <w:t>V roce 2018 pak došlo k značnému poklesu v počtu příchozích věcí. Nejvyšší pokles byl zaznamenán u obou moravských krajských soudů, konkrétně u KS v Brně o 662 věcí (snížení o 56,7</w:t>
      </w:r>
      <w:r w:rsidR="00CB570A">
        <w:t> %</w:t>
      </w:r>
      <w:r w:rsidRPr="00A00187">
        <w:t>) a v Ostravě o 329 věcí (pokles o 67,3</w:t>
      </w:r>
      <w:r w:rsidR="00CB570A">
        <w:t> %</w:t>
      </w:r>
      <w:r w:rsidRPr="00A00187">
        <w:t>). U krajských soudů v Čechách se snížení příchozích věcí pohybovalo mezi 30 až 40</w:t>
      </w:r>
      <w:r w:rsidR="00CB570A">
        <w:t> %</w:t>
      </w:r>
      <w:r w:rsidRPr="00A00187">
        <w:t>. Tento náhlý pokles z roku 2018 lze připisovat snížení počtu nových úpadků obchodních společností, a to zřejmě díky příznivé ekonomické situaci toho období.</w:t>
      </w:r>
      <w:r w:rsidR="0066200B" w:rsidRPr="00A00187">
        <w:t xml:space="preserve"> </w:t>
      </w:r>
      <w:r w:rsidR="002B1F1A" w:rsidRPr="00A00187">
        <w:t>Výše zmíněný pokles v počtu příchozích věcí pak vedl k velmi výraznému poklesu počtu věcí nevyřízených.</w:t>
      </w:r>
    </w:p>
    <w:p w14:paraId="3C4FF235" w14:textId="2291D245" w:rsidR="00CB570A" w:rsidRDefault="0066200B" w:rsidP="00C45634">
      <w:r w:rsidRPr="00A00187">
        <w:t>Po roce</w:t>
      </w:r>
      <w:r w:rsidR="002B1F1A" w:rsidRPr="00A00187">
        <w:t xml:space="preserve"> 2018</w:t>
      </w:r>
      <w:r w:rsidRPr="00A00187">
        <w:t xml:space="preserve"> již v</w:t>
      </w:r>
      <w:r w:rsidR="004C7E0D" w:rsidRPr="00A00187">
        <w:t> počtu příchozích</w:t>
      </w:r>
      <w:r w:rsidRPr="00A00187">
        <w:t xml:space="preserve"> </w:t>
      </w:r>
      <w:r w:rsidR="00EC1C31" w:rsidRPr="00A00187">
        <w:t xml:space="preserve">věcí </w:t>
      </w:r>
      <w:r w:rsidRPr="00A00187">
        <w:t xml:space="preserve">není vidět žádný jasný trend. </w:t>
      </w:r>
      <w:r w:rsidR="002B1F1A" w:rsidRPr="00A00187">
        <w:t xml:space="preserve">V roce 2021 ale došlo v porovnání s rokem 2020 k dalšímu poklesu. </w:t>
      </w:r>
      <w:r w:rsidR="004C7E0D" w:rsidRPr="00A00187">
        <w:t xml:space="preserve">Pro rok 2021 je důležité to, že </w:t>
      </w:r>
      <w:r w:rsidR="002B1F1A" w:rsidRPr="00A00187">
        <w:t xml:space="preserve">také </w:t>
      </w:r>
      <w:r w:rsidR="004C7E0D" w:rsidRPr="00A00187">
        <w:t xml:space="preserve">došlo ke značnému poklesu v počtu nevyřízených věcí. </w:t>
      </w:r>
      <w:r w:rsidR="008E7EA9" w:rsidRPr="00A00187">
        <w:t>Průměrná m</w:t>
      </w:r>
      <w:r w:rsidR="004C7E0D" w:rsidRPr="00A00187">
        <w:t>íra vyřizován</w:t>
      </w:r>
      <w:r w:rsidR="00736FB7" w:rsidRPr="00A00187">
        <w:t>í</w:t>
      </w:r>
      <w:r w:rsidR="004C7E0D" w:rsidRPr="00A00187">
        <w:t xml:space="preserve"> byla 117</w:t>
      </w:r>
      <w:r w:rsidR="00CB570A">
        <w:t> %</w:t>
      </w:r>
      <w:r w:rsidR="004C7E0D" w:rsidRPr="00A00187">
        <w:t xml:space="preserve"> </w:t>
      </w:r>
      <w:r w:rsidR="00755920" w:rsidRPr="00A00187">
        <w:t>a</w:t>
      </w:r>
      <w:r w:rsidR="00755920">
        <w:t> </w:t>
      </w:r>
      <w:r w:rsidR="00755920" w:rsidRPr="00A00187">
        <w:t>u</w:t>
      </w:r>
      <w:r w:rsidR="00755920">
        <w:t> </w:t>
      </w:r>
      <w:r w:rsidR="004C7E0D" w:rsidRPr="00A00187">
        <w:t>všech soudů překročila 100</w:t>
      </w:r>
      <w:r w:rsidR="00CB570A">
        <w:t> %</w:t>
      </w:r>
      <w:r w:rsidR="004C7E0D" w:rsidRPr="00A00187">
        <w:t xml:space="preserve">. Nejvyšší míru vyřizování měl KS </w:t>
      </w:r>
      <w:r w:rsidR="00755920" w:rsidRPr="00A00187">
        <w:t>v</w:t>
      </w:r>
      <w:r w:rsidR="00755920">
        <w:t> </w:t>
      </w:r>
      <w:r w:rsidR="004C7E0D" w:rsidRPr="00A00187">
        <w:t xml:space="preserve">Ústí nad </w:t>
      </w:r>
      <w:r w:rsidR="002B1F1A" w:rsidRPr="00A00187">
        <w:t>Labem, což</w:t>
      </w:r>
      <w:r w:rsidR="004C7E0D" w:rsidRPr="00A00187">
        <w:t xml:space="preserve"> je jeden ze soudů, kde narostla délka řízení.</w:t>
      </w:r>
    </w:p>
    <w:p w14:paraId="101AB9F5" w14:textId="6D74FE62" w:rsidR="002B1F1A" w:rsidRPr="00A00187" w:rsidRDefault="002B1F1A" w:rsidP="00C45634"/>
    <w:p w14:paraId="69974B01" w14:textId="07A3695D" w:rsidR="00C45634" w:rsidRPr="00A00187" w:rsidRDefault="00C45634" w:rsidP="00C45634">
      <w:pPr>
        <w:pStyle w:val="Podnadpis"/>
        <w:rPr>
          <w:color w:val="auto"/>
        </w:rPr>
      </w:pPr>
      <w:bookmarkStart w:id="977" w:name="_Toc43841457"/>
      <w:bookmarkStart w:id="978" w:name="_Toc75952260"/>
      <w:bookmarkStart w:id="979" w:name="_Toc106106717"/>
      <w:bookmarkStart w:id="980" w:name="_Toc109802041"/>
      <w:r w:rsidRPr="00A00187">
        <w:rPr>
          <w:color w:val="auto"/>
        </w:rPr>
        <w:lastRenderedPageBreak/>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83</w:t>
      </w:r>
      <w:r w:rsidRPr="00A00187">
        <w:rPr>
          <w:noProof/>
          <w:color w:val="auto"/>
        </w:rPr>
        <w:fldChar w:fldCharType="end"/>
      </w:r>
      <w:r w:rsidRPr="00A00187">
        <w:rPr>
          <w:color w:val="auto"/>
        </w:rPr>
        <w:t>: KS – vyřizování incidenčních sporů v letech 2011–20</w:t>
      </w:r>
      <w:bookmarkEnd w:id="977"/>
      <w:r w:rsidRPr="00A00187">
        <w:rPr>
          <w:color w:val="auto"/>
        </w:rPr>
        <w:t>2</w:t>
      </w:r>
      <w:bookmarkEnd w:id="978"/>
      <w:r w:rsidRPr="00A00187">
        <w:rPr>
          <w:color w:val="auto"/>
        </w:rPr>
        <w:t>1</w:t>
      </w:r>
      <w:bookmarkEnd w:id="979"/>
      <w:bookmarkEnd w:id="980"/>
    </w:p>
    <w:p w14:paraId="49F09A12" w14:textId="0611A03A" w:rsidR="00903BAA" w:rsidRPr="00A00187" w:rsidRDefault="00C45634" w:rsidP="00903BAA">
      <w:r w:rsidRPr="00A00187">
        <w:rPr>
          <w:noProof/>
        </w:rPr>
        <w:drawing>
          <wp:inline distT="0" distB="0" distL="0" distR="0" wp14:anchorId="1C0F2083" wp14:editId="465DE8FA">
            <wp:extent cx="5025390" cy="3657600"/>
            <wp:effectExtent l="0" t="0" r="381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D3C8046" w14:textId="4511E7E7" w:rsidR="004C7E0D" w:rsidRPr="00A00187" w:rsidRDefault="004C7E0D" w:rsidP="00903BAA"/>
    <w:p w14:paraId="5AFA671A" w14:textId="7768E526" w:rsidR="004C7E0D" w:rsidRPr="00A00187" w:rsidRDefault="004C7E0D" w:rsidP="00903BAA"/>
    <w:p w14:paraId="0E2BC87C" w14:textId="2EFD8A5A" w:rsidR="004C7E0D" w:rsidRPr="00A00187" w:rsidRDefault="004C7E0D" w:rsidP="004C7E0D">
      <w:pPr>
        <w:pStyle w:val="Podnadpis"/>
        <w:rPr>
          <w:color w:val="auto"/>
        </w:rPr>
      </w:pPr>
      <w:bookmarkStart w:id="981" w:name="_Toc43931248"/>
      <w:bookmarkStart w:id="982" w:name="_Toc75952381"/>
      <w:bookmarkStart w:id="983" w:name="_Toc106106834"/>
      <w:bookmarkStart w:id="984" w:name="_Toc109802157"/>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72</w:t>
      </w:r>
      <w:r w:rsidRPr="00A00187">
        <w:rPr>
          <w:noProof/>
          <w:color w:val="auto"/>
        </w:rPr>
        <w:fldChar w:fldCharType="end"/>
      </w:r>
      <w:r w:rsidRPr="00A00187">
        <w:rPr>
          <w:color w:val="auto"/>
        </w:rPr>
        <w:t>: KS – vyřizování incidenčních sporů dle soudů</w:t>
      </w:r>
      <w:bookmarkEnd w:id="981"/>
      <w:bookmarkEnd w:id="982"/>
      <w:bookmarkEnd w:id="983"/>
      <w:bookmarkEnd w:id="984"/>
    </w:p>
    <w:tbl>
      <w:tblPr>
        <w:tblW w:w="9214" w:type="dxa"/>
        <w:tblCellMar>
          <w:left w:w="70" w:type="dxa"/>
          <w:right w:w="70" w:type="dxa"/>
        </w:tblCellMar>
        <w:tblLook w:val="04A0" w:firstRow="1" w:lastRow="0" w:firstColumn="1" w:lastColumn="0" w:noHBand="0" w:noVBand="1"/>
      </w:tblPr>
      <w:tblGrid>
        <w:gridCol w:w="1996"/>
        <w:gridCol w:w="886"/>
        <w:gridCol w:w="925"/>
        <w:gridCol w:w="895"/>
        <w:gridCol w:w="1064"/>
        <w:gridCol w:w="1013"/>
        <w:gridCol w:w="925"/>
        <w:gridCol w:w="1510"/>
      </w:tblGrid>
      <w:tr w:rsidR="00AC1E67" w:rsidRPr="00A00187" w14:paraId="638780E6" w14:textId="77777777" w:rsidTr="005709BE">
        <w:trPr>
          <w:trHeight w:val="330"/>
        </w:trPr>
        <w:tc>
          <w:tcPr>
            <w:tcW w:w="1996" w:type="dxa"/>
            <w:vMerge w:val="restart"/>
            <w:tcBorders>
              <w:top w:val="double" w:sz="6" w:space="0" w:color="auto"/>
              <w:left w:val="nil"/>
              <w:bottom w:val="double" w:sz="6" w:space="0" w:color="000000"/>
              <w:right w:val="nil"/>
            </w:tcBorders>
            <w:shd w:val="clear" w:color="auto" w:fill="auto"/>
            <w:noWrap/>
            <w:vAlign w:val="center"/>
            <w:hideMark/>
          </w:tcPr>
          <w:p w14:paraId="34036483" w14:textId="37058721" w:rsidR="004C7E0D" w:rsidRPr="00A00187" w:rsidRDefault="005709BE" w:rsidP="004C7E0D">
            <w:pPr>
              <w:spacing w:line="240" w:lineRule="auto"/>
              <w:jc w:val="center"/>
              <w:rPr>
                <w:rFonts w:eastAsia="Times New Roman"/>
                <w:b/>
                <w:bCs/>
                <w:szCs w:val="24"/>
                <w:lang w:eastAsia="cs-CZ"/>
              </w:rPr>
            </w:pPr>
            <w:r>
              <w:rPr>
                <w:rFonts w:eastAsia="Times New Roman"/>
                <w:b/>
                <w:bCs/>
                <w:szCs w:val="24"/>
                <w:lang w:eastAsia="cs-CZ"/>
              </w:rPr>
              <w:t>S</w:t>
            </w:r>
            <w:r w:rsidR="004C7E0D" w:rsidRPr="00A00187">
              <w:rPr>
                <w:rFonts w:eastAsia="Times New Roman"/>
                <w:b/>
                <w:bCs/>
                <w:szCs w:val="24"/>
                <w:lang w:eastAsia="cs-CZ"/>
              </w:rPr>
              <w:t>oud</w:t>
            </w:r>
          </w:p>
        </w:tc>
        <w:tc>
          <w:tcPr>
            <w:tcW w:w="5708" w:type="dxa"/>
            <w:gridSpan w:val="6"/>
            <w:tcBorders>
              <w:top w:val="double" w:sz="6" w:space="0" w:color="auto"/>
              <w:left w:val="nil"/>
              <w:bottom w:val="nil"/>
              <w:right w:val="single" w:sz="4" w:space="0" w:color="000000"/>
            </w:tcBorders>
            <w:shd w:val="clear" w:color="auto" w:fill="auto"/>
            <w:noWrap/>
            <w:vAlign w:val="center"/>
            <w:hideMark/>
          </w:tcPr>
          <w:p w14:paraId="0133B7AE" w14:textId="77777777"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Počet věcí</w:t>
            </w:r>
          </w:p>
        </w:tc>
        <w:tc>
          <w:tcPr>
            <w:tcW w:w="1510" w:type="dxa"/>
            <w:vMerge w:val="restart"/>
            <w:tcBorders>
              <w:top w:val="double" w:sz="6" w:space="0" w:color="auto"/>
              <w:left w:val="single" w:sz="4" w:space="0" w:color="auto"/>
              <w:bottom w:val="double" w:sz="6" w:space="0" w:color="000000"/>
              <w:right w:val="nil"/>
            </w:tcBorders>
            <w:shd w:val="clear" w:color="auto" w:fill="auto"/>
            <w:vAlign w:val="center"/>
            <w:hideMark/>
          </w:tcPr>
          <w:p w14:paraId="381A49A1" w14:textId="5F0A6393"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Míra vyřizování v</w:t>
            </w:r>
            <w:r w:rsidR="00CB570A">
              <w:rPr>
                <w:rFonts w:eastAsia="Times New Roman"/>
                <w:b/>
                <w:bCs/>
                <w:szCs w:val="24"/>
                <w:lang w:eastAsia="cs-CZ"/>
              </w:rPr>
              <w:t> %</w:t>
            </w:r>
          </w:p>
        </w:tc>
      </w:tr>
      <w:tr w:rsidR="00AC1E67" w:rsidRPr="00A00187" w14:paraId="6FF87760" w14:textId="77777777" w:rsidTr="005709BE">
        <w:trPr>
          <w:trHeight w:val="330"/>
        </w:trPr>
        <w:tc>
          <w:tcPr>
            <w:tcW w:w="1996" w:type="dxa"/>
            <w:vMerge/>
            <w:tcBorders>
              <w:top w:val="double" w:sz="6" w:space="0" w:color="auto"/>
              <w:left w:val="nil"/>
              <w:bottom w:val="double" w:sz="6" w:space="0" w:color="000000"/>
              <w:right w:val="nil"/>
            </w:tcBorders>
            <w:vAlign w:val="center"/>
            <w:hideMark/>
          </w:tcPr>
          <w:p w14:paraId="6068F3EF" w14:textId="77777777" w:rsidR="004C7E0D" w:rsidRPr="00A00187" w:rsidRDefault="004C7E0D" w:rsidP="004C7E0D">
            <w:pPr>
              <w:spacing w:line="240" w:lineRule="auto"/>
              <w:jc w:val="left"/>
              <w:rPr>
                <w:rFonts w:eastAsia="Times New Roman"/>
                <w:b/>
                <w:bCs/>
                <w:szCs w:val="24"/>
                <w:lang w:eastAsia="cs-CZ"/>
              </w:rPr>
            </w:pPr>
          </w:p>
        </w:tc>
        <w:tc>
          <w:tcPr>
            <w:tcW w:w="1811" w:type="dxa"/>
            <w:gridSpan w:val="2"/>
            <w:tcBorders>
              <w:top w:val="nil"/>
              <w:left w:val="nil"/>
              <w:bottom w:val="double" w:sz="6" w:space="0" w:color="auto"/>
              <w:right w:val="single" w:sz="4" w:space="0" w:color="000000"/>
            </w:tcBorders>
            <w:shd w:val="clear" w:color="auto" w:fill="auto"/>
            <w:vAlign w:val="center"/>
            <w:hideMark/>
          </w:tcPr>
          <w:p w14:paraId="356305BF" w14:textId="77777777"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59" w:type="dxa"/>
            <w:gridSpan w:val="2"/>
            <w:tcBorders>
              <w:top w:val="nil"/>
              <w:left w:val="nil"/>
              <w:bottom w:val="double" w:sz="6" w:space="0" w:color="auto"/>
              <w:right w:val="single" w:sz="4" w:space="0" w:color="000000"/>
            </w:tcBorders>
            <w:shd w:val="clear" w:color="auto" w:fill="auto"/>
            <w:noWrap/>
            <w:vAlign w:val="center"/>
            <w:hideMark/>
          </w:tcPr>
          <w:p w14:paraId="32E035C5" w14:textId="77777777"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938" w:type="dxa"/>
            <w:gridSpan w:val="2"/>
            <w:tcBorders>
              <w:top w:val="nil"/>
              <w:left w:val="nil"/>
              <w:bottom w:val="double" w:sz="6" w:space="0" w:color="auto"/>
              <w:right w:val="single" w:sz="4" w:space="0" w:color="000000"/>
            </w:tcBorders>
            <w:shd w:val="clear" w:color="auto" w:fill="auto"/>
            <w:noWrap/>
            <w:vAlign w:val="center"/>
            <w:hideMark/>
          </w:tcPr>
          <w:p w14:paraId="5E7BA80C" w14:textId="77777777"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Nevyřízeno</w:t>
            </w:r>
          </w:p>
        </w:tc>
        <w:tc>
          <w:tcPr>
            <w:tcW w:w="1510" w:type="dxa"/>
            <w:vMerge/>
            <w:tcBorders>
              <w:top w:val="double" w:sz="6" w:space="0" w:color="auto"/>
              <w:left w:val="single" w:sz="4" w:space="0" w:color="auto"/>
              <w:bottom w:val="double" w:sz="6" w:space="0" w:color="000000"/>
              <w:right w:val="nil"/>
            </w:tcBorders>
            <w:vAlign w:val="center"/>
            <w:hideMark/>
          </w:tcPr>
          <w:p w14:paraId="48EABA43" w14:textId="77777777" w:rsidR="004C7E0D" w:rsidRPr="00A00187" w:rsidRDefault="004C7E0D" w:rsidP="004C7E0D">
            <w:pPr>
              <w:spacing w:line="240" w:lineRule="auto"/>
              <w:jc w:val="left"/>
              <w:rPr>
                <w:rFonts w:eastAsia="Times New Roman"/>
                <w:b/>
                <w:bCs/>
                <w:szCs w:val="24"/>
                <w:lang w:eastAsia="cs-CZ"/>
              </w:rPr>
            </w:pPr>
          </w:p>
        </w:tc>
      </w:tr>
      <w:tr w:rsidR="00AC1E67" w:rsidRPr="00A00187" w14:paraId="28F17AAB" w14:textId="77777777" w:rsidTr="005709BE">
        <w:trPr>
          <w:trHeight w:val="330"/>
        </w:trPr>
        <w:tc>
          <w:tcPr>
            <w:tcW w:w="1996" w:type="dxa"/>
            <w:tcBorders>
              <w:top w:val="single" w:sz="4" w:space="0" w:color="auto"/>
              <w:left w:val="nil"/>
              <w:bottom w:val="single" w:sz="4" w:space="0" w:color="auto"/>
              <w:right w:val="nil"/>
            </w:tcBorders>
            <w:shd w:val="clear" w:color="auto" w:fill="auto"/>
            <w:noWrap/>
            <w:vAlign w:val="bottom"/>
            <w:hideMark/>
          </w:tcPr>
          <w:p w14:paraId="2A089251"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MS Praha</w:t>
            </w:r>
          </w:p>
        </w:tc>
        <w:tc>
          <w:tcPr>
            <w:tcW w:w="886" w:type="dxa"/>
            <w:tcBorders>
              <w:top w:val="single" w:sz="4" w:space="0" w:color="auto"/>
              <w:left w:val="nil"/>
              <w:bottom w:val="single" w:sz="4" w:space="0" w:color="auto"/>
              <w:right w:val="nil"/>
            </w:tcBorders>
            <w:shd w:val="clear" w:color="auto" w:fill="auto"/>
            <w:noWrap/>
            <w:vAlign w:val="bottom"/>
            <w:hideMark/>
          </w:tcPr>
          <w:p w14:paraId="25E1EB65"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884</w:t>
            </w:r>
          </w:p>
        </w:tc>
        <w:tc>
          <w:tcPr>
            <w:tcW w:w="925" w:type="dxa"/>
            <w:tcBorders>
              <w:top w:val="single" w:sz="4" w:space="0" w:color="auto"/>
              <w:left w:val="nil"/>
              <w:bottom w:val="single" w:sz="4" w:space="0" w:color="auto"/>
              <w:right w:val="nil"/>
            </w:tcBorders>
            <w:shd w:val="clear" w:color="auto" w:fill="auto"/>
            <w:noWrap/>
            <w:vAlign w:val="center"/>
            <w:hideMark/>
          </w:tcPr>
          <w:p w14:paraId="67103D7B" w14:textId="7F92DADC"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w:t>
            </w:r>
            <w:r w:rsidR="00CB570A">
              <w:rPr>
                <w:rFonts w:eastAsia="Times New Roman"/>
                <w:sz w:val="20"/>
                <w:szCs w:val="20"/>
                <w:lang w:eastAsia="cs-CZ"/>
              </w:rPr>
              <w:t> %</w:t>
            </w:r>
          </w:p>
        </w:tc>
        <w:tc>
          <w:tcPr>
            <w:tcW w:w="895" w:type="dxa"/>
            <w:tcBorders>
              <w:top w:val="single" w:sz="4" w:space="0" w:color="auto"/>
              <w:left w:val="single" w:sz="4" w:space="0" w:color="auto"/>
              <w:bottom w:val="single" w:sz="4" w:space="0" w:color="auto"/>
              <w:right w:val="nil"/>
            </w:tcBorders>
            <w:shd w:val="clear" w:color="auto" w:fill="auto"/>
            <w:noWrap/>
            <w:vAlign w:val="bottom"/>
            <w:hideMark/>
          </w:tcPr>
          <w:p w14:paraId="751395EF"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984</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14:paraId="0B6BF481" w14:textId="79FB428D"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+37</w:t>
            </w:r>
            <w:r w:rsidR="00CB570A">
              <w:rPr>
                <w:rFonts w:eastAsia="Times New Roman"/>
                <w:sz w:val="20"/>
                <w:szCs w:val="20"/>
                <w:lang w:eastAsia="cs-CZ"/>
              </w:rPr>
              <w:t> %</w:t>
            </w:r>
          </w:p>
        </w:tc>
        <w:tc>
          <w:tcPr>
            <w:tcW w:w="1013" w:type="dxa"/>
            <w:tcBorders>
              <w:top w:val="single" w:sz="4" w:space="0" w:color="auto"/>
              <w:left w:val="nil"/>
              <w:bottom w:val="single" w:sz="4" w:space="0" w:color="auto"/>
              <w:right w:val="nil"/>
            </w:tcBorders>
            <w:shd w:val="clear" w:color="auto" w:fill="auto"/>
            <w:noWrap/>
            <w:vAlign w:val="bottom"/>
            <w:hideMark/>
          </w:tcPr>
          <w:p w14:paraId="478FA3F2"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1 292</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6C9165C2" w14:textId="773779DE"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c>
          <w:tcPr>
            <w:tcW w:w="1510" w:type="dxa"/>
            <w:tcBorders>
              <w:top w:val="single" w:sz="4" w:space="0" w:color="auto"/>
              <w:left w:val="nil"/>
              <w:bottom w:val="single" w:sz="4" w:space="0" w:color="auto"/>
              <w:right w:val="nil"/>
            </w:tcBorders>
            <w:shd w:val="clear" w:color="auto" w:fill="auto"/>
            <w:noWrap/>
            <w:vAlign w:val="bottom"/>
            <w:hideMark/>
          </w:tcPr>
          <w:p w14:paraId="20F9C46E" w14:textId="5060E83E"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111,31</w:t>
            </w:r>
          </w:p>
        </w:tc>
      </w:tr>
      <w:tr w:rsidR="00AC1E67" w:rsidRPr="00A00187" w14:paraId="3BA0D51C" w14:textId="77777777" w:rsidTr="005709BE">
        <w:trPr>
          <w:trHeight w:val="315"/>
        </w:trPr>
        <w:tc>
          <w:tcPr>
            <w:tcW w:w="1996" w:type="dxa"/>
            <w:tcBorders>
              <w:top w:val="nil"/>
              <w:left w:val="nil"/>
              <w:bottom w:val="single" w:sz="4" w:space="0" w:color="auto"/>
              <w:right w:val="nil"/>
            </w:tcBorders>
            <w:shd w:val="clear" w:color="auto" w:fill="auto"/>
            <w:noWrap/>
            <w:vAlign w:val="bottom"/>
            <w:hideMark/>
          </w:tcPr>
          <w:p w14:paraId="52FBA944"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KS Praha</w:t>
            </w:r>
          </w:p>
        </w:tc>
        <w:tc>
          <w:tcPr>
            <w:tcW w:w="886" w:type="dxa"/>
            <w:tcBorders>
              <w:top w:val="nil"/>
              <w:left w:val="nil"/>
              <w:bottom w:val="single" w:sz="4" w:space="0" w:color="auto"/>
              <w:right w:val="nil"/>
            </w:tcBorders>
            <w:shd w:val="clear" w:color="auto" w:fill="auto"/>
            <w:noWrap/>
            <w:vAlign w:val="bottom"/>
            <w:hideMark/>
          </w:tcPr>
          <w:p w14:paraId="1B9989EB"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459</w:t>
            </w:r>
          </w:p>
        </w:tc>
        <w:tc>
          <w:tcPr>
            <w:tcW w:w="925" w:type="dxa"/>
            <w:tcBorders>
              <w:top w:val="nil"/>
              <w:left w:val="nil"/>
              <w:bottom w:val="single" w:sz="4" w:space="0" w:color="auto"/>
              <w:right w:val="nil"/>
            </w:tcBorders>
            <w:shd w:val="clear" w:color="auto" w:fill="auto"/>
            <w:noWrap/>
            <w:vAlign w:val="center"/>
            <w:hideMark/>
          </w:tcPr>
          <w:p w14:paraId="6C4CCBA5" w14:textId="3FE326D4"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895" w:type="dxa"/>
            <w:tcBorders>
              <w:top w:val="nil"/>
              <w:left w:val="single" w:sz="4" w:space="0" w:color="auto"/>
              <w:bottom w:val="single" w:sz="4" w:space="0" w:color="auto"/>
              <w:right w:val="nil"/>
            </w:tcBorders>
            <w:shd w:val="clear" w:color="auto" w:fill="auto"/>
            <w:noWrap/>
            <w:vAlign w:val="bottom"/>
            <w:hideMark/>
          </w:tcPr>
          <w:p w14:paraId="592D5986"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585</w:t>
            </w:r>
          </w:p>
        </w:tc>
        <w:tc>
          <w:tcPr>
            <w:tcW w:w="1064" w:type="dxa"/>
            <w:tcBorders>
              <w:top w:val="nil"/>
              <w:left w:val="nil"/>
              <w:bottom w:val="single" w:sz="4" w:space="0" w:color="auto"/>
              <w:right w:val="single" w:sz="4" w:space="0" w:color="auto"/>
            </w:tcBorders>
            <w:shd w:val="clear" w:color="auto" w:fill="auto"/>
            <w:noWrap/>
            <w:vAlign w:val="center"/>
            <w:hideMark/>
          </w:tcPr>
          <w:p w14:paraId="3BD048C4" w14:textId="37350ED6"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c>
          <w:tcPr>
            <w:tcW w:w="1013" w:type="dxa"/>
            <w:tcBorders>
              <w:top w:val="nil"/>
              <w:left w:val="nil"/>
              <w:bottom w:val="single" w:sz="4" w:space="0" w:color="auto"/>
              <w:right w:val="nil"/>
            </w:tcBorders>
            <w:shd w:val="clear" w:color="auto" w:fill="auto"/>
            <w:noWrap/>
            <w:vAlign w:val="bottom"/>
            <w:hideMark/>
          </w:tcPr>
          <w:p w14:paraId="40844DF0"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390</w:t>
            </w:r>
          </w:p>
        </w:tc>
        <w:tc>
          <w:tcPr>
            <w:tcW w:w="925" w:type="dxa"/>
            <w:tcBorders>
              <w:top w:val="nil"/>
              <w:left w:val="nil"/>
              <w:bottom w:val="single" w:sz="4" w:space="0" w:color="auto"/>
              <w:right w:val="single" w:sz="4" w:space="0" w:color="auto"/>
            </w:tcBorders>
            <w:shd w:val="clear" w:color="auto" w:fill="auto"/>
            <w:noWrap/>
            <w:vAlign w:val="center"/>
            <w:hideMark/>
          </w:tcPr>
          <w:p w14:paraId="2EAEB5A6" w14:textId="264B3D26"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c>
          <w:tcPr>
            <w:tcW w:w="1510" w:type="dxa"/>
            <w:tcBorders>
              <w:top w:val="nil"/>
              <w:left w:val="nil"/>
              <w:bottom w:val="single" w:sz="4" w:space="0" w:color="auto"/>
              <w:right w:val="nil"/>
            </w:tcBorders>
            <w:shd w:val="clear" w:color="auto" w:fill="auto"/>
            <w:noWrap/>
            <w:vAlign w:val="bottom"/>
            <w:hideMark/>
          </w:tcPr>
          <w:p w14:paraId="7F7B6363" w14:textId="795DAEA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127,45</w:t>
            </w:r>
          </w:p>
        </w:tc>
      </w:tr>
      <w:tr w:rsidR="00AC1E67" w:rsidRPr="00A00187" w14:paraId="4352DDC5" w14:textId="77777777" w:rsidTr="005709BE">
        <w:trPr>
          <w:trHeight w:val="315"/>
        </w:trPr>
        <w:tc>
          <w:tcPr>
            <w:tcW w:w="1996" w:type="dxa"/>
            <w:tcBorders>
              <w:top w:val="nil"/>
              <w:left w:val="nil"/>
              <w:bottom w:val="single" w:sz="4" w:space="0" w:color="auto"/>
              <w:right w:val="nil"/>
            </w:tcBorders>
            <w:shd w:val="clear" w:color="auto" w:fill="auto"/>
            <w:noWrap/>
            <w:vAlign w:val="bottom"/>
            <w:hideMark/>
          </w:tcPr>
          <w:p w14:paraId="241C6EA9"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KS Č. Budějovice</w:t>
            </w:r>
          </w:p>
        </w:tc>
        <w:tc>
          <w:tcPr>
            <w:tcW w:w="886" w:type="dxa"/>
            <w:tcBorders>
              <w:top w:val="nil"/>
              <w:left w:val="nil"/>
              <w:bottom w:val="single" w:sz="4" w:space="0" w:color="auto"/>
              <w:right w:val="nil"/>
            </w:tcBorders>
            <w:shd w:val="clear" w:color="auto" w:fill="auto"/>
            <w:noWrap/>
            <w:vAlign w:val="bottom"/>
            <w:hideMark/>
          </w:tcPr>
          <w:p w14:paraId="71CE1AEA"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173</w:t>
            </w:r>
          </w:p>
        </w:tc>
        <w:tc>
          <w:tcPr>
            <w:tcW w:w="925" w:type="dxa"/>
            <w:tcBorders>
              <w:top w:val="nil"/>
              <w:left w:val="nil"/>
              <w:bottom w:val="single" w:sz="4" w:space="0" w:color="auto"/>
              <w:right w:val="nil"/>
            </w:tcBorders>
            <w:shd w:val="clear" w:color="auto" w:fill="auto"/>
            <w:noWrap/>
            <w:vAlign w:val="center"/>
            <w:hideMark/>
          </w:tcPr>
          <w:p w14:paraId="0AEB74D4" w14:textId="08556511"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-37</w:t>
            </w:r>
            <w:r w:rsidR="00CB570A">
              <w:rPr>
                <w:rFonts w:eastAsia="Times New Roman"/>
                <w:sz w:val="20"/>
                <w:szCs w:val="20"/>
                <w:lang w:eastAsia="cs-CZ"/>
              </w:rPr>
              <w:t> %</w:t>
            </w:r>
          </w:p>
        </w:tc>
        <w:tc>
          <w:tcPr>
            <w:tcW w:w="895" w:type="dxa"/>
            <w:tcBorders>
              <w:top w:val="nil"/>
              <w:left w:val="single" w:sz="4" w:space="0" w:color="auto"/>
              <w:bottom w:val="single" w:sz="4" w:space="0" w:color="auto"/>
              <w:right w:val="nil"/>
            </w:tcBorders>
            <w:shd w:val="clear" w:color="auto" w:fill="auto"/>
            <w:noWrap/>
            <w:vAlign w:val="bottom"/>
            <w:hideMark/>
          </w:tcPr>
          <w:p w14:paraId="05ED9933"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231</w:t>
            </w:r>
          </w:p>
        </w:tc>
        <w:tc>
          <w:tcPr>
            <w:tcW w:w="1064" w:type="dxa"/>
            <w:tcBorders>
              <w:top w:val="nil"/>
              <w:left w:val="nil"/>
              <w:bottom w:val="single" w:sz="4" w:space="0" w:color="auto"/>
              <w:right w:val="single" w:sz="4" w:space="0" w:color="auto"/>
            </w:tcBorders>
            <w:shd w:val="clear" w:color="auto" w:fill="auto"/>
            <w:noWrap/>
            <w:vAlign w:val="center"/>
            <w:hideMark/>
          </w:tcPr>
          <w:p w14:paraId="071AE524" w14:textId="09870C13"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1013" w:type="dxa"/>
            <w:tcBorders>
              <w:top w:val="nil"/>
              <w:left w:val="nil"/>
              <w:bottom w:val="single" w:sz="4" w:space="0" w:color="auto"/>
              <w:right w:val="nil"/>
            </w:tcBorders>
            <w:shd w:val="clear" w:color="auto" w:fill="auto"/>
            <w:noWrap/>
            <w:vAlign w:val="bottom"/>
            <w:hideMark/>
          </w:tcPr>
          <w:p w14:paraId="2DD53E9E"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91</w:t>
            </w:r>
          </w:p>
        </w:tc>
        <w:tc>
          <w:tcPr>
            <w:tcW w:w="925" w:type="dxa"/>
            <w:tcBorders>
              <w:top w:val="nil"/>
              <w:left w:val="nil"/>
              <w:bottom w:val="single" w:sz="4" w:space="0" w:color="auto"/>
              <w:right w:val="single" w:sz="4" w:space="0" w:color="auto"/>
            </w:tcBorders>
            <w:shd w:val="clear" w:color="auto" w:fill="auto"/>
            <w:noWrap/>
            <w:vAlign w:val="center"/>
            <w:hideMark/>
          </w:tcPr>
          <w:p w14:paraId="68CFF123" w14:textId="2F75AC41"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-40</w:t>
            </w:r>
            <w:r w:rsidR="00CB570A">
              <w:rPr>
                <w:rFonts w:eastAsia="Times New Roman"/>
                <w:sz w:val="20"/>
                <w:szCs w:val="20"/>
                <w:lang w:eastAsia="cs-CZ"/>
              </w:rPr>
              <w:t> %</w:t>
            </w:r>
          </w:p>
        </w:tc>
        <w:tc>
          <w:tcPr>
            <w:tcW w:w="1510" w:type="dxa"/>
            <w:tcBorders>
              <w:top w:val="nil"/>
              <w:left w:val="nil"/>
              <w:bottom w:val="single" w:sz="4" w:space="0" w:color="auto"/>
              <w:right w:val="nil"/>
            </w:tcBorders>
            <w:shd w:val="clear" w:color="auto" w:fill="auto"/>
            <w:noWrap/>
            <w:vAlign w:val="bottom"/>
            <w:hideMark/>
          </w:tcPr>
          <w:p w14:paraId="0C62BF55" w14:textId="647B5672"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133,53</w:t>
            </w:r>
          </w:p>
        </w:tc>
      </w:tr>
      <w:tr w:rsidR="00AC1E67" w:rsidRPr="00A00187" w14:paraId="0F8E9658" w14:textId="77777777" w:rsidTr="005709BE">
        <w:trPr>
          <w:trHeight w:val="315"/>
        </w:trPr>
        <w:tc>
          <w:tcPr>
            <w:tcW w:w="1996" w:type="dxa"/>
            <w:tcBorders>
              <w:top w:val="nil"/>
              <w:left w:val="nil"/>
              <w:bottom w:val="single" w:sz="4" w:space="0" w:color="auto"/>
              <w:right w:val="nil"/>
            </w:tcBorders>
            <w:shd w:val="clear" w:color="auto" w:fill="auto"/>
            <w:noWrap/>
            <w:vAlign w:val="bottom"/>
            <w:hideMark/>
          </w:tcPr>
          <w:p w14:paraId="5D12A9C1"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KS Plzeň</w:t>
            </w:r>
          </w:p>
        </w:tc>
        <w:tc>
          <w:tcPr>
            <w:tcW w:w="886" w:type="dxa"/>
            <w:tcBorders>
              <w:top w:val="nil"/>
              <w:left w:val="nil"/>
              <w:bottom w:val="single" w:sz="4" w:space="0" w:color="auto"/>
              <w:right w:val="nil"/>
            </w:tcBorders>
            <w:shd w:val="clear" w:color="auto" w:fill="auto"/>
            <w:noWrap/>
            <w:vAlign w:val="bottom"/>
            <w:hideMark/>
          </w:tcPr>
          <w:p w14:paraId="30072D20"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291</w:t>
            </w:r>
          </w:p>
        </w:tc>
        <w:tc>
          <w:tcPr>
            <w:tcW w:w="925" w:type="dxa"/>
            <w:tcBorders>
              <w:top w:val="nil"/>
              <w:left w:val="nil"/>
              <w:bottom w:val="single" w:sz="4" w:space="0" w:color="auto"/>
              <w:right w:val="nil"/>
            </w:tcBorders>
            <w:shd w:val="clear" w:color="auto" w:fill="auto"/>
            <w:noWrap/>
            <w:vAlign w:val="center"/>
            <w:hideMark/>
          </w:tcPr>
          <w:p w14:paraId="1E5B0090" w14:textId="4F12ECAE"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c>
          <w:tcPr>
            <w:tcW w:w="895" w:type="dxa"/>
            <w:tcBorders>
              <w:top w:val="nil"/>
              <w:left w:val="single" w:sz="4" w:space="0" w:color="auto"/>
              <w:bottom w:val="single" w:sz="4" w:space="0" w:color="auto"/>
              <w:right w:val="nil"/>
            </w:tcBorders>
            <w:shd w:val="clear" w:color="auto" w:fill="auto"/>
            <w:noWrap/>
            <w:vAlign w:val="bottom"/>
            <w:hideMark/>
          </w:tcPr>
          <w:p w14:paraId="24316949"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345</w:t>
            </w:r>
          </w:p>
        </w:tc>
        <w:tc>
          <w:tcPr>
            <w:tcW w:w="1064" w:type="dxa"/>
            <w:tcBorders>
              <w:top w:val="nil"/>
              <w:left w:val="nil"/>
              <w:bottom w:val="single" w:sz="4" w:space="0" w:color="auto"/>
              <w:right w:val="single" w:sz="4" w:space="0" w:color="auto"/>
            </w:tcBorders>
            <w:shd w:val="clear" w:color="auto" w:fill="auto"/>
            <w:noWrap/>
            <w:vAlign w:val="center"/>
            <w:hideMark/>
          </w:tcPr>
          <w:p w14:paraId="16A0C840" w14:textId="1CE6F0B3"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013" w:type="dxa"/>
            <w:tcBorders>
              <w:top w:val="nil"/>
              <w:left w:val="nil"/>
              <w:bottom w:val="single" w:sz="4" w:space="0" w:color="auto"/>
              <w:right w:val="nil"/>
            </w:tcBorders>
            <w:shd w:val="clear" w:color="auto" w:fill="auto"/>
            <w:noWrap/>
            <w:vAlign w:val="bottom"/>
            <w:hideMark/>
          </w:tcPr>
          <w:p w14:paraId="312EF19A"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223</w:t>
            </w:r>
          </w:p>
        </w:tc>
        <w:tc>
          <w:tcPr>
            <w:tcW w:w="925" w:type="dxa"/>
            <w:tcBorders>
              <w:top w:val="nil"/>
              <w:left w:val="nil"/>
              <w:bottom w:val="single" w:sz="4" w:space="0" w:color="auto"/>
              <w:right w:val="single" w:sz="4" w:space="0" w:color="auto"/>
            </w:tcBorders>
            <w:shd w:val="clear" w:color="auto" w:fill="auto"/>
            <w:noWrap/>
            <w:vAlign w:val="center"/>
            <w:hideMark/>
          </w:tcPr>
          <w:p w14:paraId="70F77D2E" w14:textId="505DFE19"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-19</w:t>
            </w:r>
            <w:r w:rsidR="00CB570A">
              <w:rPr>
                <w:rFonts w:eastAsia="Times New Roman"/>
                <w:sz w:val="20"/>
                <w:szCs w:val="20"/>
                <w:lang w:eastAsia="cs-CZ"/>
              </w:rPr>
              <w:t> %</w:t>
            </w:r>
          </w:p>
        </w:tc>
        <w:tc>
          <w:tcPr>
            <w:tcW w:w="1510" w:type="dxa"/>
            <w:tcBorders>
              <w:top w:val="nil"/>
              <w:left w:val="nil"/>
              <w:bottom w:val="single" w:sz="4" w:space="0" w:color="auto"/>
              <w:right w:val="nil"/>
            </w:tcBorders>
            <w:shd w:val="clear" w:color="auto" w:fill="auto"/>
            <w:noWrap/>
            <w:vAlign w:val="bottom"/>
            <w:hideMark/>
          </w:tcPr>
          <w:p w14:paraId="618A3E8D" w14:textId="089BD08D"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118,56</w:t>
            </w:r>
          </w:p>
        </w:tc>
      </w:tr>
      <w:tr w:rsidR="00AC1E67" w:rsidRPr="00A00187" w14:paraId="6A7D4497" w14:textId="77777777" w:rsidTr="005709BE">
        <w:trPr>
          <w:trHeight w:val="315"/>
        </w:trPr>
        <w:tc>
          <w:tcPr>
            <w:tcW w:w="1996" w:type="dxa"/>
            <w:tcBorders>
              <w:top w:val="nil"/>
              <w:left w:val="nil"/>
              <w:bottom w:val="single" w:sz="4" w:space="0" w:color="auto"/>
              <w:right w:val="nil"/>
            </w:tcBorders>
            <w:shd w:val="clear" w:color="auto" w:fill="auto"/>
            <w:noWrap/>
            <w:vAlign w:val="bottom"/>
            <w:hideMark/>
          </w:tcPr>
          <w:p w14:paraId="6C2A6FC1"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KS Ústí n. Labem</w:t>
            </w:r>
          </w:p>
        </w:tc>
        <w:tc>
          <w:tcPr>
            <w:tcW w:w="886" w:type="dxa"/>
            <w:tcBorders>
              <w:top w:val="nil"/>
              <w:left w:val="nil"/>
              <w:bottom w:val="single" w:sz="4" w:space="0" w:color="auto"/>
              <w:right w:val="nil"/>
            </w:tcBorders>
            <w:shd w:val="clear" w:color="auto" w:fill="auto"/>
            <w:noWrap/>
            <w:vAlign w:val="bottom"/>
            <w:hideMark/>
          </w:tcPr>
          <w:p w14:paraId="330E2B63"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360</w:t>
            </w:r>
          </w:p>
        </w:tc>
        <w:tc>
          <w:tcPr>
            <w:tcW w:w="925" w:type="dxa"/>
            <w:tcBorders>
              <w:top w:val="nil"/>
              <w:left w:val="nil"/>
              <w:bottom w:val="single" w:sz="4" w:space="0" w:color="auto"/>
              <w:right w:val="nil"/>
            </w:tcBorders>
            <w:shd w:val="clear" w:color="auto" w:fill="auto"/>
            <w:noWrap/>
            <w:vAlign w:val="center"/>
            <w:hideMark/>
          </w:tcPr>
          <w:p w14:paraId="41A33A93" w14:textId="240EAF32"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c>
          <w:tcPr>
            <w:tcW w:w="895" w:type="dxa"/>
            <w:tcBorders>
              <w:top w:val="nil"/>
              <w:left w:val="single" w:sz="4" w:space="0" w:color="auto"/>
              <w:bottom w:val="single" w:sz="4" w:space="0" w:color="auto"/>
              <w:right w:val="nil"/>
            </w:tcBorders>
            <w:shd w:val="clear" w:color="auto" w:fill="auto"/>
            <w:noWrap/>
            <w:vAlign w:val="bottom"/>
            <w:hideMark/>
          </w:tcPr>
          <w:p w14:paraId="2E0AE96D"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490</w:t>
            </w:r>
          </w:p>
        </w:tc>
        <w:tc>
          <w:tcPr>
            <w:tcW w:w="1064" w:type="dxa"/>
            <w:tcBorders>
              <w:top w:val="nil"/>
              <w:left w:val="nil"/>
              <w:bottom w:val="single" w:sz="4" w:space="0" w:color="auto"/>
              <w:right w:val="single" w:sz="4" w:space="0" w:color="auto"/>
            </w:tcBorders>
            <w:shd w:val="clear" w:color="auto" w:fill="auto"/>
            <w:noWrap/>
            <w:vAlign w:val="center"/>
            <w:hideMark/>
          </w:tcPr>
          <w:p w14:paraId="73A9D422" w14:textId="62ACB48E"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1013" w:type="dxa"/>
            <w:tcBorders>
              <w:top w:val="nil"/>
              <w:left w:val="nil"/>
              <w:bottom w:val="single" w:sz="4" w:space="0" w:color="auto"/>
              <w:right w:val="nil"/>
            </w:tcBorders>
            <w:shd w:val="clear" w:color="auto" w:fill="auto"/>
            <w:noWrap/>
            <w:vAlign w:val="bottom"/>
            <w:hideMark/>
          </w:tcPr>
          <w:p w14:paraId="553C1EE0"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397</w:t>
            </w:r>
          </w:p>
        </w:tc>
        <w:tc>
          <w:tcPr>
            <w:tcW w:w="925" w:type="dxa"/>
            <w:tcBorders>
              <w:top w:val="nil"/>
              <w:left w:val="nil"/>
              <w:bottom w:val="single" w:sz="4" w:space="0" w:color="auto"/>
              <w:right w:val="single" w:sz="4" w:space="0" w:color="auto"/>
            </w:tcBorders>
            <w:shd w:val="clear" w:color="auto" w:fill="auto"/>
            <w:noWrap/>
            <w:vAlign w:val="center"/>
            <w:hideMark/>
          </w:tcPr>
          <w:p w14:paraId="7E796165" w14:textId="40E9DFAC"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c>
          <w:tcPr>
            <w:tcW w:w="1510" w:type="dxa"/>
            <w:tcBorders>
              <w:top w:val="nil"/>
              <w:left w:val="nil"/>
              <w:bottom w:val="single" w:sz="4" w:space="0" w:color="auto"/>
              <w:right w:val="nil"/>
            </w:tcBorders>
            <w:shd w:val="clear" w:color="auto" w:fill="auto"/>
            <w:noWrap/>
            <w:vAlign w:val="bottom"/>
            <w:hideMark/>
          </w:tcPr>
          <w:p w14:paraId="119A60B9" w14:textId="7506ED42"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136,11</w:t>
            </w:r>
          </w:p>
        </w:tc>
      </w:tr>
      <w:tr w:rsidR="00AC1E67" w:rsidRPr="00A00187" w14:paraId="2625D4AC" w14:textId="77777777" w:rsidTr="005709BE">
        <w:trPr>
          <w:trHeight w:val="315"/>
        </w:trPr>
        <w:tc>
          <w:tcPr>
            <w:tcW w:w="1996" w:type="dxa"/>
            <w:tcBorders>
              <w:top w:val="nil"/>
              <w:left w:val="nil"/>
              <w:bottom w:val="single" w:sz="4" w:space="0" w:color="auto"/>
              <w:right w:val="nil"/>
            </w:tcBorders>
            <w:shd w:val="clear" w:color="auto" w:fill="auto"/>
            <w:noWrap/>
            <w:vAlign w:val="bottom"/>
            <w:hideMark/>
          </w:tcPr>
          <w:p w14:paraId="62BD3536"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KS Hr. Králové</w:t>
            </w:r>
          </w:p>
        </w:tc>
        <w:tc>
          <w:tcPr>
            <w:tcW w:w="886" w:type="dxa"/>
            <w:tcBorders>
              <w:top w:val="nil"/>
              <w:left w:val="nil"/>
              <w:bottom w:val="single" w:sz="4" w:space="0" w:color="auto"/>
              <w:right w:val="nil"/>
            </w:tcBorders>
            <w:shd w:val="clear" w:color="auto" w:fill="auto"/>
            <w:noWrap/>
            <w:vAlign w:val="bottom"/>
            <w:hideMark/>
          </w:tcPr>
          <w:p w14:paraId="0FAF4916"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347</w:t>
            </w:r>
          </w:p>
        </w:tc>
        <w:tc>
          <w:tcPr>
            <w:tcW w:w="925" w:type="dxa"/>
            <w:tcBorders>
              <w:top w:val="nil"/>
              <w:left w:val="nil"/>
              <w:bottom w:val="single" w:sz="4" w:space="0" w:color="auto"/>
              <w:right w:val="nil"/>
            </w:tcBorders>
            <w:shd w:val="clear" w:color="auto" w:fill="auto"/>
            <w:noWrap/>
            <w:vAlign w:val="center"/>
            <w:hideMark/>
          </w:tcPr>
          <w:p w14:paraId="52939D1E" w14:textId="6263DECA"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-23</w:t>
            </w:r>
            <w:r w:rsidR="00CB570A">
              <w:rPr>
                <w:rFonts w:eastAsia="Times New Roman"/>
                <w:sz w:val="20"/>
                <w:szCs w:val="20"/>
                <w:lang w:eastAsia="cs-CZ"/>
              </w:rPr>
              <w:t> %</w:t>
            </w:r>
          </w:p>
        </w:tc>
        <w:tc>
          <w:tcPr>
            <w:tcW w:w="895" w:type="dxa"/>
            <w:tcBorders>
              <w:top w:val="nil"/>
              <w:left w:val="single" w:sz="4" w:space="0" w:color="auto"/>
              <w:bottom w:val="single" w:sz="4" w:space="0" w:color="auto"/>
              <w:right w:val="nil"/>
            </w:tcBorders>
            <w:shd w:val="clear" w:color="auto" w:fill="auto"/>
            <w:noWrap/>
            <w:vAlign w:val="bottom"/>
            <w:hideMark/>
          </w:tcPr>
          <w:p w14:paraId="03FF76B9"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354</w:t>
            </w:r>
          </w:p>
        </w:tc>
        <w:tc>
          <w:tcPr>
            <w:tcW w:w="1064" w:type="dxa"/>
            <w:tcBorders>
              <w:top w:val="nil"/>
              <w:left w:val="nil"/>
              <w:bottom w:val="single" w:sz="4" w:space="0" w:color="auto"/>
              <w:right w:val="single" w:sz="4" w:space="0" w:color="auto"/>
            </w:tcBorders>
            <w:shd w:val="clear" w:color="auto" w:fill="auto"/>
            <w:noWrap/>
            <w:vAlign w:val="center"/>
            <w:hideMark/>
          </w:tcPr>
          <w:p w14:paraId="7A7A3D1E" w14:textId="169787E7"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-23</w:t>
            </w:r>
            <w:r w:rsidR="00CB570A">
              <w:rPr>
                <w:rFonts w:eastAsia="Times New Roman"/>
                <w:sz w:val="20"/>
                <w:szCs w:val="20"/>
                <w:lang w:eastAsia="cs-CZ"/>
              </w:rPr>
              <w:t> %</w:t>
            </w:r>
          </w:p>
        </w:tc>
        <w:tc>
          <w:tcPr>
            <w:tcW w:w="1013" w:type="dxa"/>
            <w:tcBorders>
              <w:top w:val="nil"/>
              <w:left w:val="nil"/>
              <w:bottom w:val="single" w:sz="4" w:space="0" w:color="auto"/>
              <w:right w:val="nil"/>
            </w:tcBorders>
            <w:shd w:val="clear" w:color="auto" w:fill="auto"/>
            <w:noWrap/>
            <w:vAlign w:val="bottom"/>
            <w:hideMark/>
          </w:tcPr>
          <w:p w14:paraId="3E87A4A8"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315</w:t>
            </w:r>
          </w:p>
        </w:tc>
        <w:tc>
          <w:tcPr>
            <w:tcW w:w="925" w:type="dxa"/>
            <w:tcBorders>
              <w:top w:val="nil"/>
              <w:left w:val="nil"/>
              <w:bottom w:val="single" w:sz="4" w:space="0" w:color="auto"/>
              <w:right w:val="single" w:sz="4" w:space="0" w:color="auto"/>
            </w:tcBorders>
            <w:shd w:val="clear" w:color="auto" w:fill="auto"/>
            <w:noWrap/>
            <w:vAlign w:val="center"/>
            <w:hideMark/>
          </w:tcPr>
          <w:p w14:paraId="74C48523" w14:textId="6736941C"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510" w:type="dxa"/>
            <w:tcBorders>
              <w:top w:val="nil"/>
              <w:left w:val="nil"/>
              <w:bottom w:val="single" w:sz="4" w:space="0" w:color="auto"/>
              <w:right w:val="nil"/>
            </w:tcBorders>
            <w:shd w:val="clear" w:color="auto" w:fill="auto"/>
            <w:noWrap/>
            <w:vAlign w:val="bottom"/>
            <w:hideMark/>
          </w:tcPr>
          <w:p w14:paraId="32349430" w14:textId="2B0A3B02"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102,02</w:t>
            </w:r>
          </w:p>
        </w:tc>
      </w:tr>
      <w:tr w:rsidR="00AC1E67" w:rsidRPr="00A00187" w14:paraId="03C53494" w14:textId="77777777" w:rsidTr="005709BE">
        <w:trPr>
          <w:trHeight w:val="315"/>
        </w:trPr>
        <w:tc>
          <w:tcPr>
            <w:tcW w:w="1996" w:type="dxa"/>
            <w:tcBorders>
              <w:top w:val="nil"/>
              <w:left w:val="nil"/>
              <w:bottom w:val="single" w:sz="4" w:space="0" w:color="auto"/>
              <w:right w:val="nil"/>
            </w:tcBorders>
            <w:shd w:val="clear" w:color="auto" w:fill="auto"/>
            <w:noWrap/>
            <w:vAlign w:val="bottom"/>
            <w:hideMark/>
          </w:tcPr>
          <w:p w14:paraId="145C9F28"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KS Brno</w:t>
            </w:r>
          </w:p>
        </w:tc>
        <w:tc>
          <w:tcPr>
            <w:tcW w:w="886" w:type="dxa"/>
            <w:tcBorders>
              <w:top w:val="nil"/>
              <w:left w:val="nil"/>
              <w:bottom w:val="single" w:sz="4" w:space="0" w:color="auto"/>
              <w:right w:val="nil"/>
            </w:tcBorders>
            <w:shd w:val="clear" w:color="auto" w:fill="auto"/>
            <w:noWrap/>
            <w:vAlign w:val="bottom"/>
            <w:hideMark/>
          </w:tcPr>
          <w:p w14:paraId="40527EBF"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648</w:t>
            </w:r>
          </w:p>
        </w:tc>
        <w:tc>
          <w:tcPr>
            <w:tcW w:w="925" w:type="dxa"/>
            <w:tcBorders>
              <w:top w:val="nil"/>
              <w:left w:val="nil"/>
              <w:bottom w:val="single" w:sz="4" w:space="0" w:color="auto"/>
              <w:right w:val="nil"/>
            </w:tcBorders>
            <w:shd w:val="clear" w:color="auto" w:fill="auto"/>
            <w:noWrap/>
            <w:vAlign w:val="center"/>
            <w:hideMark/>
          </w:tcPr>
          <w:p w14:paraId="37D54E96" w14:textId="2C66CC1E"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895" w:type="dxa"/>
            <w:tcBorders>
              <w:top w:val="nil"/>
              <w:left w:val="single" w:sz="4" w:space="0" w:color="auto"/>
              <w:bottom w:val="single" w:sz="4" w:space="0" w:color="auto"/>
              <w:right w:val="nil"/>
            </w:tcBorders>
            <w:shd w:val="clear" w:color="auto" w:fill="auto"/>
            <w:noWrap/>
            <w:vAlign w:val="bottom"/>
            <w:hideMark/>
          </w:tcPr>
          <w:p w14:paraId="0D34AB3C"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714</w:t>
            </w:r>
          </w:p>
        </w:tc>
        <w:tc>
          <w:tcPr>
            <w:tcW w:w="1064" w:type="dxa"/>
            <w:tcBorders>
              <w:top w:val="nil"/>
              <w:left w:val="nil"/>
              <w:bottom w:val="single" w:sz="4" w:space="0" w:color="auto"/>
              <w:right w:val="single" w:sz="4" w:space="0" w:color="auto"/>
            </w:tcBorders>
            <w:shd w:val="clear" w:color="auto" w:fill="auto"/>
            <w:noWrap/>
            <w:vAlign w:val="center"/>
            <w:hideMark/>
          </w:tcPr>
          <w:p w14:paraId="3899CF00" w14:textId="4E455400"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c>
          <w:tcPr>
            <w:tcW w:w="1013" w:type="dxa"/>
            <w:tcBorders>
              <w:top w:val="nil"/>
              <w:left w:val="nil"/>
              <w:bottom w:val="single" w:sz="4" w:space="0" w:color="auto"/>
              <w:right w:val="nil"/>
            </w:tcBorders>
            <w:shd w:val="clear" w:color="auto" w:fill="auto"/>
            <w:noWrap/>
            <w:vAlign w:val="bottom"/>
            <w:hideMark/>
          </w:tcPr>
          <w:p w14:paraId="7FA7014C"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961</w:t>
            </w:r>
          </w:p>
        </w:tc>
        <w:tc>
          <w:tcPr>
            <w:tcW w:w="925" w:type="dxa"/>
            <w:tcBorders>
              <w:top w:val="nil"/>
              <w:left w:val="nil"/>
              <w:bottom w:val="single" w:sz="4" w:space="0" w:color="auto"/>
              <w:right w:val="single" w:sz="4" w:space="0" w:color="auto"/>
            </w:tcBorders>
            <w:shd w:val="clear" w:color="auto" w:fill="auto"/>
            <w:noWrap/>
            <w:vAlign w:val="center"/>
            <w:hideMark/>
          </w:tcPr>
          <w:p w14:paraId="44E9B9B2" w14:textId="33DCF314"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1510" w:type="dxa"/>
            <w:tcBorders>
              <w:top w:val="nil"/>
              <w:left w:val="nil"/>
              <w:bottom w:val="single" w:sz="4" w:space="0" w:color="auto"/>
              <w:right w:val="nil"/>
            </w:tcBorders>
            <w:shd w:val="clear" w:color="auto" w:fill="auto"/>
            <w:noWrap/>
            <w:vAlign w:val="bottom"/>
            <w:hideMark/>
          </w:tcPr>
          <w:p w14:paraId="5585A985" w14:textId="3DCBE861"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110,19</w:t>
            </w:r>
          </w:p>
        </w:tc>
      </w:tr>
      <w:tr w:rsidR="00AC1E67" w:rsidRPr="00A00187" w14:paraId="770CB353" w14:textId="77777777" w:rsidTr="005709BE">
        <w:trPr>
          <w:trHeight w:val="330"/>
        </w:trPr>
        <w:tc>
          <w:tcPr>
            <w:tcW w:w="1996" w:type="dxa"/>
            <w:tcBorders>
              <w:top w:val="nil"/>
              <w:left w:val="nil"/>
              <w:bottom w:val="double" w:sz="6" w:space="0" w:color="auto"/>
              <w:right w:val="nil"/>
            </w:tcBorders>
            <w:shd w:val="clear" w:color="auto" w:fill="auto"/>
            <w:noWrap/>
            <w:vAlign w:val="bottom"/>
            <w:hideMark/>
          </w:tcPr>
          <w:p w14:paraId="3F7EBC66" w14:textId="77777777" w:rsidR="004C7E0D" w:rsidRPr="00A00187" w:rsidRDefault="004C7E0D" w:rsidP="004C7E0D">
            <w:pPr>
              <w:spacing w:line="240" w:lineRule="auto"/>
              <w:jc w:val="left"/>
              <w:rPr>
                <w:rFonts w:eastAsia="Times New Roman"/>
                <w:szCs w:val="24"/>
                <w:lang w:eastAsia="cs-CZ"/>
              </w:rPr>
            </w:pPr>
            <w:r w:rsidRPr="00A00187">
              <w:rPr>
                <w:rFonts w:eastAsia="Times New Roman"/>
                <w:szCs w:val="24"/>
                <w:lang w:eastAsia="cs-CZ"/>
              </w:rPr>
              <w:t>KS Ostrava</w:t>
            </w:r>
          </w:p>
        </w:tc>
        <w:tc>
          <w:tcPr>
            <w:tcW w:w="886" w:type="dxa"/>
            <w:tcBorders>
              <w:top w:val="nil"/>
              <w:left w:val="nil"/>
              <w:bottom w:val="double" w:sz="6" w:space="0" w:color="auto"/>
              <w:right w:val="nil"/>
            </w:tcBorders>
            <w:shd w:val="clear" w:color="auto" w:fill="auto"/>
            <w:noWrap/>
            <w:vAlign w:val="bottom"/>
            <w:hideMark/>
          </w:tcPr>
          <w:p w14:paraId="7C0E7C74"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628</w:t>
            </w:r>
          </w:p>
        </w:tc>
        <w:tc>
          <w:tcPr>
            <w:tcW w:w="925" w:type="dxa"/>
            <w:tcBorders>
              <w:top w:val="nil"/>
              <w:left w:val="nil"/>
              <w:bottom w:val="double" w:sz="6" w:space="0" w:color="auto"/>
              <w:right w:val="nil"/>
            </w:tcBorders>
            <w:shd w:val="clear" w:color="auto" w:fill="auto"/>
            <w:noWrap/>
            <w:vAlign w:val="center"/>
            <w:hideMark/>
          </w:tcPr>
          <w:p w14:paraId="52C96174" w14:textId="7EB1617A"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-11</w:t>
            </w:r>
            <w:r w:rsidR="00CB570A">
              <w:rPr>
                <w:rFonts w:eastAsia="Times New Roman"/>
                <w:sz w:val="20"/>
                <w:szCs w:val="20"/>
                <w:lang w:eastAsia="cs-CZ"/>
              </w:rPr>
              <w:t> %</w:t>
            </w:r>
          </w:p>
        </w:tc>
        <w:tc>
          <w:tcPr>
            <w:tcW w:w="895" w:type="dxa"/>
            <w:tcBorders>
              <w:top w:val="nil"/>
              <w:left w:val="single" w:sz="4" w:space="0" w:color="auto"/>
              <w:bottom w:val="double" w:sz="6" w:space="0" w:color="auto"/>
              <w:right w:val="nil"/>
            </w:tcBorders>
            <w:shd w:val="clear" w:color="auto" w:fill="auto"/>
            <w:noWrap/>
            <w:vAlign w:val="bottom"/>
            <w:hideMark/>
          </w:tcPr>
          <w:p w14:paraId="12AC8DF6"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731</w:t>
            </w:r>
          </w:p>
        </w:tc>
        <w:tc>
          <w:tcPr>
            <w:tcW w:w="1064" w:type="dxa"/>
            <w:tcBorders>
              <w:top w:val="nil"/>
              <w:left w:val="nil"/>
              <w:bottom w:val="double" w:sz="6" w:space="0" w:color="auto"/>
              <w:right w:val="single" w:sz="4" w:space="0" w:color="auto"/>
            </w:tcBorders>
            <w:shd w:val="clear" w:color="auto" w:fill="auto"/>
            <w:noWrap/>
            <w:vAlign w:val="center"/>
            <w:hideMark/>
          </w:tcPr>
          <w:p w14:paraId="00CEE2A6" w14:textId="54B46ED9"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+30</w:t>
            </w:r>
            <w:r w:rsidR="00CB570A">
              <w:rPr>
                <w:rFonts w:eastAsia="Times New Roman"/>
                <w:sz w:val="20"/>
                <w:szCs w:val="20"/>
                <w:lang w:eastAsia="cs-CZ"/>
              </w:rPr>
              <w:t> %</w:t>
            </w:r>
          </w:p>
        </w:tc>
        <w:tc>
          <w:tcPr>
            <w:tcW w:w="1013" w:type="dxa"/>
            <w:tcBorders>
              <w:top w:val="nil"/>
              <w:left w:val="nil"/>
              <w:bottom w:val="double" w:sz="6" w:space="0" w:color="auto"/>
              <w:right w:val="nil"/>
            </w:tcBorders>
            <w:shd w:val="clear" w:color="auto" w:fill="auto"/>
            <w:noWrap/>
            <w:vAlign w:val="bottom"/>
            <w:hideMark/>
          </w:tcPr>
          <w:p w14:paraId="1BD9AA56" w14:textId="77777777"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695</w:t>
            </w:r>
          </w:p>
        </w:tc>
        <w:tc>
          <w:tcPr>
            <w:tcW w:w="925" w:type="dxa"/>
            <w:tcBorders>
              <w:top w:val="nil"/>
              <w:left w:val="nil"/>
              <w:bottom w:val="double" w:sz="6" w:space="0" w:color="auto"/>
              <w:right w:val="single" w:sz="4" w:space="0" w:color="auto"/>
            </w:tcBorders>
            <w:shd w:val="clear" w:color="auto" w:fill="auto"/>
            <w:noWrap/>
            <w:vAlign w:val="center"/>
            <w:hideMark/>
          </w:tcPr>
          <w:p w14:paraId="08686948" w14:textId="3E66183D" w:rsidR="004C7E0D" w:rsidRPr="00A00187" w:rsidRDefault="004C7E0D" w:rsidP="005709BE">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1510" w:type="dxa"/>
            <w:tcBorders>
              <w:top w:val="nil"/>
              <w:left w:val="nil"/>
              <w:bottom w:val="double" w:sz="6" w:space="0" w:color="auto"/>
              <w:right w:val="nil"/>
            </w:tcBorders>
            <w:shd w:val="clear" w:color="auto" w:fill="auto"/>
            <w:noWrap/>
            <w:vAlign w:val="bottom"/>
            <w:hideMark/>
          </w:tcPr>
          <w:p w14:paraId="289BAB70" w14:textId="28DCF50E" w:rsidR="004C7E0D" w:rsidRPr="00A00187" w:rsidRDefault="004C7E0D" w:rsidP="004C7E0D">
            <w:pPr>
              <w:spacing w:line="240" w:lineRule="auto"/>
              <w:jc w:val="center"/>
              <w:rPr>
                <w:rFonts w:eastAsia="Times New Roman"/>
                <w:szCs w:val="24"/>
                <w:lang w:eastAsia="cs-CZ"/>
              </w:rPr>
            </w:pPr>
            <w:r w:rsidRPr="00A00187">
              <w:rPr>
                <w:rFonts w:eastAsia="Times New Roman"/>
                <w:szCs w:val="24"/>
                <w:lang w:eastAsia="cs-CZ"/>
              </w:rPr>
              <w:t>116,40</w:t>
            </w:r>
          </w:p>
        </w:tc>
      </w:tr>
      <w:tr w:rsidR="00AC1E67" w:rsidRPr="00A00187" w14:paraId="3AF80CC8" w14:textId="77777777" w:rsidTr="005709BE">
        <w:trPr>
          <w:trHeight w:val="345"/>
        </w:trPr>
        <w:tc>
          <w:tcPr>
            <w:tcW w:w="1996" w:type="dxa"/>
            <w:tcBorders>
              <w:top w:val="nil"/>
              <w:left w:val="nil"/>
              <w:bottom w:val="double" w:sz="6" w:space="0" w:color="auto"/>
              <w:right w:val="nil"/>
            </w:tcBorders>
            <w:shd w:val="clear" w:color="auto" w:fill="auto"/>
            <w:noWrap/>
            <w:vAlign w:val="bottom"/>
            <w:hideMark/>
          </w:tcPr>
          <w:p w14:paraId="3D487239" w14:textId="77777777" w:rsidR="004C7E0D" w:rsidRPr="00A00187" w:rsidRDefault="004C7E0D" w:rsidP="004C7E0D">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886" w:type="dxa"/>
            <w:tcBorders>
              <w:top w:val="nil"/>
              <w:left w:val="nil"/>
              <w:bottom w:val="double" w:sz="6" w:space="0" w:color="auto"/>
              <w:right w:val="nil"/>
            </w:tcBorders>
            <w:shd w:val="clear" w:color="auto" w:fill="auto"/>
            <w:noWrap/>
            <w:vAlign w:val="bottom"/>
            <w:hideMark/>
          </w:tcPr>
          <w:p w14:paraId="1F52C8B4" w14:textId="48E19320"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3 790</w:t>
            </w:r>
          </w:p>
        </w:tc>
        <w:tc>
          <w:tcPr>
            <w:tcW w:w="925" w:type="dxa"/>
            <w:tcBorders>
              <w:top w:val="nil"/>
              <w:left w:val="nil"/>
              <w:bottom w:val="double" w:sz="6" w:space="0" w:color="auto"/>
              <w:right w:val="nil"/>
            </w:tcBorders>
            <w:shd w:val="clear" w:color="auto" w:fill="auto"/>
            <w:noWrap/>
            <w:vAlign w:val="center"/>
            <w:hideMark/>
          </w:tcPr>
          <w:p w14:paraId="45EA6C9E" w14:textId="75F58991" w:rsidR="004C7E0D" w:rsidRPr="00A00187" w:rsidRDefault="004C7E0D" w:rsidP="005709BE">
            <w:pPr>
              <w:spacing w:line="240" w:lineRule="auto"/>
              <w:jc w:val="center"/>
              <w:rPr>
                <w:rFonts w:eastAsia="Times New Roman"/>
                <w:b/>
                <w:bCs/>
                <w:sz w:val="20"/>
                <w:szCs w:val="20"/>
                <w:lang w:eastAsia="cs-CZ"/>
              </w:rPr>
            </w:pPr>
            <w:r w:rsidRPr="00A00187">
              <w:rPr>
                <w:rFonts w:eastAsia="Times New Roman"/>
                <w:b/>
                <w:bCs/>
                <w:sz w:val="20"/>
                <w:szCs w:val="20"/>
                <w:lang w:eastAsia="cs-CZ"/>
              </w:rPr>
              <w:t>-15</w:t>
            </w:r>
            <w:r w:rsidR="00CB570A">
              <w:rPr>
                <w:rFonts w:eastAsia="Times New Roman"/>
                <w:b/>
                <w:bCs/>
                <w:sz w:val="20"/>
                <w:szCs w:val="20"/>
                <w:lang w:eastAsia="cs-CZ"/>
              </w:rPr>
              <w:t> %</w:t>
            </w:r>
          </w:p>
        </w:tc>
        <w:tc>
          <w:tcPr>
            <w:tcW w:w="895" w:type="dxa"/>
            <w:tcBorders>
              <w:top w:val="nil"/>
              <w:left w:val="single" w:sz="4" w:space="0" w:color="auto"/>
              <w:bottom w:val="double" w:sz="6" w:space="0" w:color="auto"/>
              <w:right w:val="nil"/>
            </w:tcBorders>
            <w:shd w:val="clear" w:color="auto" w:fill="auto"/>
            <w:noWrap/>
            <w:vAlign w:val="bottom"/>
            <w:hideMark/>
          </w:tcPr>
          <w:p w14:paraId="4D55D153" w14:textId="10D60460"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4 434</w:t>
            </w:r>
          </w:p>
        </w:tc>
        <w:tc>
          <w:tcPr>
            <w:tcW w:w="1064" w:type="dxa"/>
            <w:tcBorders>
              <w:top w:val="nil"/>
              <w:left w:val="nil"/>
              <w:bottom w:val="double" w:sz="6" w:space="0" w:color="auto"/>
              <w:right w:val="single" w:sz="4" w:space="0" w:color="auto"/>
            </w:tcBorders>
            <w:shd w:val="clear" w:color="auto" w:fill="auto"/>
            <w:noWrap/>
            <w:vAlign w:val="center"/>
            <w:hideMark/>
          </w:tcPr>
          <w:p w14:paraId="704C3484" w14:textId="290D556C" w:rsidR="004C7E0D" w:rsidRPr="00A00187" w:rsidRDefault="004C7E0D" w:rsidP="005709BE">
            <w:pPr>
              <w:spacing w:line="240" w:lineRule="auto"/>
              <w:jc w:val="center"/>
              <w:rPr>
                <w:rFonts w:eastAsia="Times New Roman"/>
                <w:b/>
                <w:bCs/>
                <w:sz w:val="20"/>
                <w:szCs w:val="20"/>
                <w:lang w:eastAsia="cs-CZ"/>
              </w:rPr>
            </w:pPr>
            <w:r w:rsidRPr="00A00187">
              <w:rPr>
                <w:rFonts w:eastAsia="Times New Roman"/>
                <w:b/>
                <w:bCs/>
                <w:sz w:val="20"/>
                <w:szCs w:val="20"/>
                <w:lang w:eastAsia="cs-CZ"/>
              </w:rPr>
              <w:t>+1</w:t>
            </w:r>
            <w:r w:rsidR="00CB570A">
              <w:rPr>
                <w:rFonts w:eastAsia="Times New Roman"/>
                <w:b/>
                <w:bCs/>
                <w:sz w:val="20"/>
                <w:szCs w:val="20"/>
                <w:lang w:eastAsia="cs-CZ"/>
              </w:rPr>
              <w:t> %</w:t>
            </w:r>
          </w:p>
        </w:tc>
        <w:tc>
          <w:tcPr>
            <w:tcW w:w="1013" w:type="dxa"/>
            <w:tcBorders>
              <w:top w:val="nil"/>
              <w:left w:val="nil"/>
              <w:bottom w:val="double" w:sz="6" w:space="0" w:color="auto"/>
              <w:right w:val="nil"/>
            </w:tcBorders>
            <w:shd w:val="clear" w:color="auto" w:fill="auto"/>
            <w:noWrap/>
            <w:vAlign w:val="bottom"/>
            <w:hideMark/>
          </w:tcPr>
          <w:p w14:paraId="3687A437" w14:textId="7D7290DE"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4 364</w:t>
            </w:r>
          </w:p>
        </w:tc>
        <w:tc>
          <w:tcPr>
            <w:tcW w:w="925" w:type="dxa"/>
            <w:tcBorders>
              <w:top w:val="nil"/>
              <w:left w:val="nil"/>
              <w:bottom w:val="double" w:sz="6" w:space="0" w:color="auto"/>
              <w:right w:val="single" w:sz="4" w:space="0" w:color="auto"/>
            </w:tcBorders>
            <w:shd w:val="clear" w:color="auto" w:fill="auto"/>
            <w:noWrap/>
            <w:vAlign w:val="center"/>
            <w:hideMark/>
          </w:tcPr>
          <w:p w14:paraId="0CB399FD" w14:textId="6DBCAB0F" w:rsidR="004C7E0D" w:rsidRPr="00A00187" w:rsidRDefault="004C7E0D" w:rsidP="005709BE">
            <w:pPr>
              <w:spacing w:line="240" w:lineRule="auto"/>
              <w:jc w:val="center"/>
              <w:rPr>
                <w:rFonts w:eastAsia="Times New Roman"/>
                <w:b/>
                <w:bCs/>
                <w:sz w:val="20"/>
                <w:szCs w:val="20"/>
                <w:lang w:eastAsia="cs-CZ"/>
              </w:rPr>
            </w:pPr>
            <w:r w:rsidRPr="00A00187">
              <w:rPr>
                <w:rFonts w:eastAsia="Times New Roman"/>
                <w:b/>
                <w:bCs/>
                <w:sz w:val="20"/>
                <w:szCs w:val="20"/>
                <w:lang w:eastAsia="cs-CZ"/>
              </w:rPr>
              <w:t>-13</w:t>
            </w:r>
            <w:r w:rsidR="00CB570A">
              <w:rPr>
                <w:rFonts w:eastAsia="Times New Roman"/>
                <w:b/>
                <w:bCs/>
                <w:sz w:val="20"/>
                <w:szCs w:val="20"/>
                <w:lang w:eastAsia="cs-CZ"/>
              </w:rPr>
              <w:t> %</w:t>
            </w:r>
          </w:p>
        </w:tc>
        <w:tc>
          <w:tcPr>
            <w:tcW w:w="1510" w:type="dxa"/>
            <w:tcBorders>
              <w:top w:val="nil"/>
              <w:left w:val="nil"/>
              <w:bottom w:val="double" w:sz="6" w:space="0" w:color="auto"/>
              <w:right w:val="nil"/>
            </w:tcBorders>
            <w:shd w:val="clear" w:color="auto" w:fill="auto"/>
            <w:noWrap/>
            <w:vAlign w:val="bottom"/>
            <w:hideMark/>
          </w:tcPr>
          <w:p w14:paraId="612747BD" w14:textId="27DC48CC" w:rsidR="004C7E0D" w:rsidRPr="00A00187" w:rsidRDefault="004C7E0D" w:rsidP="004C7E0D">
            <w:pPr>
              <w:spacing w:line="240" w:lineRule="auto"/>
              <w:jc w:val="center"/>
              <w:rPr>
                <w:rFonts w:eastAsia="Times New Roman"/>
                <w:b/>
                <w:bCs/>
                <w:szCs w:val="24"/>
                <w:lang w:eastAsia="cs-CZ"/>
              </w:rPr>
            </w:pPr>
            <w:r w:rsidRPr="00A00187">
              <w:rPr>
                <w:rFonts w:eastAsia="Times New Roman"/>
                <w:b/>
                <w:bCs/>
                <w:szCs w:val="24"/>
                <w:lang w:eastAsia="cs-CZ"/>
              </w:rPr>
              <w:t>116,99</w:t>
            </w:r>
          </w:p>
        </w:tc>
      </w:tr>
      <w:tr w:rsidR="00AC1E67" w:rsidRPr="00A00187" w14:paraId="3E7D0531" w14:textId="77777777" w:rsidTr="005709BE">
        <w:trPr>
          <w:trHeight w:val="330"/>
        </w:trPr>
        <w:tc>
          <w:tcPr>
            <w:tcW w:w="1996" w:type="dxa"/>
            <w:tcBorders>
              <w:top w:val="nil"/>
              <w:left w:val="nil"/>
              <w:bottom w:val="nil"/>
              <w:right w:val="nil"/>
            </w:tcBorders>
            <w:shd w:val="clear" w:color="auto" w:fill="auto"/>
            <w:noWrap/>
            <w:vAlign w:val="bottom"/>
            <w:hideMark/>
          </w:tcPr>
          <w:p w14:paraId="590F1671" w14:textId="77777777" w:rsidR="004C7E0D" w:rsidRPr="00A00187" w:rsidRDefault="004C7E0D" w:rsidP="004C7E0D">
            <w:pPr>
              <w:spacing w:line="240" w:lineRule="auto"/>
              <w:jc w:val="center"/>
              <w:rPr>
                <w:rFonts w:eastAsia="Times New Roman"/>
                <w:b/>
                <w:bCs/>
                <w:szCs w:val="24"/>
                <w:lang w:eastAsia="cs-CZ"/>
              </w:rPr>
            </w:pPr>
          </w:p>
        </w:tc>
        <w:tc>
          <w:tcPr>
            <w:tcW w:w="886" w:type="dxa"/>
            <w:tcBorders>
              <w:top w:val="nil"/>
              <w:left w:val="nil"/>
              <w:bottom w:val="nil"/>
              <w:right w:val="nil"/>
            </w:tcBorders>
            <w:shd w:val="clear" w:color="auto" w:fill="auto"/>
            <w:noWrap/>
            <w:vAlign w:val="bottom"/>
            <w:hideMark/>
          </w:tcPr>
          <w:p w14:paraId="32DCD953" w14:textId="77777777" w:rsidR="004C7E0D" w:rsidRPr="00A00187" w:rsidRDefault="004C7E0D" w:rsidP="004C7E0D">
            <w:pPr>
              <w:spacing w:line="240" w:lineRule="auto"/>
              <w:jc w:val="left"/>
              <w:rPr>
                <w:rFonts w:ascii="Times New Roman" w:eastAsia="Times New Roman" w:hAnsi="Times New Roman"/>
                <w:sz w:val="20"/>
                <w:szCs w:val="20"/>
                <w:lang w:eastAsia="cs-CZ"/>
              </w:rPr>
            </w:pPr>
          </w:p>
        </w:tc>
        <w:tc>
          <w:tcPr>
            <w:tcW w:w="925" w:type="dxa"/>
            <w:tcBorders>
              <w:top w:val="nil"/>
              <w:left w:val="nil"/>
              <w:bottom w:val="nil"/>
              <w:right w:val="nil"/>
            </w:tcBorders>
            <w:shd w:val="clear" w:color="auto" w:fill="auto"/>
            <w:noWrap/>
            <w:vAlign w:val="bottom"/>
            <w:hideMark/>
          </w:tcPr>
          <w:p w14:paraId="5D8A0AAF" w14:textId="77777777" w:rsidR="004C7E0D" w:rsidRPr="00A00187" w:rsidRDefault="004C7E0D" w:rsidP="004C7E0D">
            <w:pPr>
              <w:spacing w:line="240" w:lineRule="auto"/>
              <w:jc w:val="left"/>
              <w:rPr>
                <w:rFonts w:ascii="Times New Roman" w:eastAsia="Times New Roman" w:hAnsi="Times New Roman"/>
                <w:sz w:val="20"/>
                <w:szCs w:val="20"/>
                <w:lang w:eastAsia="cs-CZ"/>
              </w:rPr>
            </w:pPr>
          </w:p>
        </w:tc>
        <w:tc>
          <w:tcPr>
            <w:tcW w:w="895" w:type="dxa"/>
            <w:tcBorders>
              <w:top w:val="nil"/>
              <w:left w:val="nil"/>
              <w:bottom w:val="nil"/>
              <w:right w:val="nil"/>
            </w:tcBorders>
            <w:shd w:val="clear" w:color="auto" w:fill="auto"/>
            <w:noWrap/>
            <w:vAlign w:val="bottom"/>
            <w:hideMark/>
          </w:tcPr>
          <w:p w14:paraId="13C8CAFF" w14:textId="77777777" w:rsidR="004C7E0D" w:rsidRPr="00A00187" w:rsidRDefault="004C7E0D" w:rsidP="004C7E0D">
            <w:pPr>
              <w:spacing w:line="240" w:lineRule="auto"/>
              <w:jc w:val="left"/>
              <w:rPr>
                <w:rFonts w:ascii="Times New Roman" w:eastAsia="Times New Roman" w:hAnsi="Times New Roman"/>
                <w:sz w:val="20"/>
                <w:szCs w:val="20"/>
                <w:lang w:eastAsia="cs-CZ"/>
              </w:rPr>
            </w:pPr>
          </w:p>
        </w:tc>
        <w:tc>
          <w:tcPr>
            <w:tcW w:w="1064" w:type="dxa"/>
            <w:tcBorders>
              <w:top w:val="nil"/>
              <w:left w:val="nil"/>
              <w:bottom w:val="nil"/>
              <w:right w:val="nil"/>
            </w:tcBorders>
            <w:shd w:val="clear" w:color="auto" w:fill="auto"/>
            <w:noWrap/>
            <w:vAlign w:val="bottom"/>
            <w:hideMark/>
          </w:tcPr>
          <w:p w14:paraId="19204FF0" w14:textId="77777777" w:rsidR="004C7E0D" w:rsidRPr="00A00187" w:rsidRDefault="004C7E0D" w:rsidP="004C7E0D">
            <w:pPr>
              <w:spacing w:line="240" w:lineRule="auto"/>
              <w:jc w:val="left"/>
              <w:rPr>
                <w:rFonts w:ascii="Times New Roman" w:eastAsia="Times New Roman" w:hAnsi="Times New Roman"/>
                <w:sz w:val="20"/>
                <w:szCs w:val="20"/>
                <w:lang w:eastAsia="cs-CZ"/>
              </w:rPr>
            </w:pPr>
          </w:p>
        </w:tc>
        <w:tc>
          <w:tcPr>
            <w:tcW w:w="1013" w:type="dxa"/>
            <w:tcBorders>
              <w:top w:val="nil"/>
              <w:left w:val="nil"/>
              <w:bottom w:val="nil"/>
              <w:right w:val="nil"/>
            </w:tcBorders>
            <w:shd w:val="clear" w:color="auto" w:fill="auto"/>
            <w:noWrap/>
            <w:vAlign w:val="bottom"/>
            <w:hideMark/>
          </w:tcPr>
          <w:p w14:paraId="07A75F9D" w14:textId="77777777" w:rsidR="004C7E0D" w:rsidRPr="00A00187" w:rsidRDefault="004C7E0D" w:rsidP="004C7E0D">
            <w:pPr>
              <w:spacing w:line="240" w:lineRule="auto"/>
              <w:jc w:val="left"/>
              <w:rPr>
                <w:rFonts w:ascii="Times New Roman" w:eastAsia="Times New Roman" w:hAnsi="Times New Roman"/>
                <w:sz w:val="20"/>
                <w:szCs w:val="20"/>
                <w:lang w:eastAsia="cs-CZ"/>
              </w:rPr>
            </w:pPr>
          </w:p>
        </w:tc>
        <w:tc>
          <w:tcPr>
            <w:tcW w:w="925" w:type="dxa"/>
            <w:tcBorders>
              <w:top w:val="nil"/>
              <w:left w:val="nil"/>
              <w:bottom w:val="nil"/>
              <w:right w:val="nil"/>
            </w:tcBorders>
            <w:shd w:val="clear" w:color="auto" w:fill="auto"/>
            <w:noWrap/>
            <w:vAlign w:val="bottom"/>
            <w:hideMark/>
          </w:tcPr>
          <w:p w14:paraId="3B0BD111" w14:textId="77777777" w:rsidR="004C7E0D" w:rsidRPr="00A00187" w:rsidRDefault="004C7E0D" w:rsidP="004C7E0D">
            <w:pPr>
              <w:spacing w:line="240" w:lineRule="auto"/>
              <w:jc w:val="left"/>
              <w:rPr>
                <w:rFonts w:ascii="Times New Roman" w:eastAsia="Times New Roman" w:hAnsi="Times New Roman"/>
                <w:sz w:val="20"/>
                <w:szCs w:val="20"/>
                <w:lang w:eastAsia="cs-CZ"/>
              </w:rPr>
            </w:pPr>
          </w:p>
        </w:tc>
        <w:tc>
          <w:tcPr>
            <w:tcW w:w="1510" w:type="dxa"/>
            <w:tcBorders>
              <w:top w:val="nil"/>
              <w:left w:val="nil"/>
              <w:bottom w:val="nil"/>
              <w:right w:val="nil"/>
            </w:tcBorders>
            <w:shd w:val="clear" w:color="auto" w:fill="auto"/>
            <w:noWrap/>
            <w:vAlign w:val="bottom"/>
            <w:hideMark/>
          </w:tcPr>
          <w:p w14:paraId="4F605A82" w14:textId="77777777" w:rsidR="004C7E0D" w:rsidRPr="00A00187" w:rsidRDefault="004C7E0D" w:rsidP="004C7E0D">
            <w:pPr>
              <w:spacing w:line="240" w:lineRule="auto"/>
              <w:jc w:val="left"/>
              <w:rPr>
                <w:rFonts w:ascii="Times New Roman" w:eastAsia="Times New Roman" w:hAnsi="Times New Roman"/>
                <w:sz w:val="20"/>
                <w:szCs w:val="20"/>
                <w:lang w:eastAsia="cs-CZ"/>
              </w:rPr>
            </w:pPr>
          </w:p>
        </w:tc>
      </w:tr>
    </w:tbl>
    <w:p w14:paraId="6CEBFF87" w14:textId="77777777" w:rsidR="006E6655" w:rsidRPr="00A00187" w:rsidRDefault="006E6655">
      <w:pPr>
        <w:spacing w:after="160" w:line="259" w:lineRule="auto"/>
        <w:jc w:val="left"/>
        <w:rPr>
          <w:rFonts w:eastAsia="Times New Roman"/>
          <w:b/>
          <w:bCs/>
        </w:rPr>
      </w:pPr>
      <w:r w:rsidRPr="00A00187">
        <w:br w:type="page"/>
      </w:r>
    </w:p>
    <w:p w14:paraId="3EA428E7" w14:textId="27A12A99" w:rsidR="001A527D" w:rsidRPr="00A00187" w:rsidRDefault="001A527D" w:rsidP="001A527D">
      <w:pPr>
        <w:pStyle w:val="Nadpis3"/>
        <w:numPr>
          <w:ilvl w:val="2"/>
          <w:numId w:val="1"/>
        </w:numPr>
        <w:rPr>
          <w:color w:val="auto"/>
        </w:rPr>
      </w:pPr>
      <w:bookmarkStart w:id="985" w:name="_Toc106092787"/>
      <w:bookmarkStart w:id="986" w:name="_Toc109801398"/>
      <w:r w:rsidRPr="00A00187">
        <w:rPr>
          <w:color w:val="auto"/>
        </w:rPr>
        <w:lastRenderedPageBreak/>
        <w:t>Vyřizování věcí v přepočtu na soudce</w:t>
      </w:r>
      <w:bookmarkEnd w:id="985"/>
      <w:bookmarkEnd w:id="986"/>
    </w:p>
    <w:p w14:paraId="6A02E9F1" w14:textId="334E112D" w:rsidR="006E6655" w:rsidRPr="00A00187" w:rsidRDefault="006E6655" w:rsidP="006E6655">
      <w:pPr>
        <w:pStyle w:val="OdstavecASR"/>
      </w:pPr>
      <w:r w:rsidRPr="00A00187">
        <w:t xml:space="preserve">Přepočet na </w:t>
      </w:r>
      <w:r w:rsidR="003362DD">
        <w:t xml:space="preserve">skutečný úvazek </w:t>
      </w:r>
      <w:r w:rsidRPr="00A00187">
        <w:t>soudce je uveden níže.</w:t>
      </w:r>
    </w:p>
    <w:p w14:paraId="5B33FC86" w14:textId="5094AA3D" w:rsidR="006E6655" w:rsidRPr="00A00187" w:rsidRDefault="006E6655" w:rsidP="006E6655">
      <w:pPr>
        <w:pStyle w:val="Podnadpis"/>
        <w:rPr>
          <w:color w:val="auto"/>
        </w:rPr>
      </w:pPr>
      <w:bookmarkStart w:id="987" w:name="_Toc75952382"/>
      <w:bookmarkStart w:id="988" w:name="_Toc106106835"/>
      <w:bookmarkStart w:id="989" w:name="_Toc109802158"/>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73</w:t>
      </w:r>
      <w:r w:rsidRPr="00A00187">
        <w:rPr>
          <w:noProof/>
          <w:color w:val="auto"/>
        </w:rPr>
        <w:fldChar w:fldCharType="end"/>
      </w:r>
      <w:r w:rsidRPr="00A00187">
        <w:rPr>
          <w:color w:val="auto"/>
        </w:rPr>
        <w:t>: KS – vyřizování incidenčních sporů na skutečný úvazek dle soudů</w:t>
      </w:r>
      <w:bookmarkEnd w:id="987"/>
      <w:bookmarkEnd w:id="988"/>
      <w:bookmarkEnd w:id="989"/>
    </w:p>
    <w:tbl>
      <w:tblPr>
        <w:tblW w:w="8900" w:type="dxa"/>
        <w:tblCellMar>
          <w:left w:w="70" w:type="dxa"/>
          <w:right w:w="70" w:type="dxa"/>
        </w:tblCellMar>
        <w:tblLook w:val="04A0" w:firstRow="1" w:lastRow="0" w:firstColumn="1" w:lastColumn="0" w:noHBand="0" w:noVBand="1"/>
      </w:tblPr>
      <w:tblGrid>
        <w:gridCol w:w="2036"/>
        <w:gridCol w:w="1148"/>
        <w:gridCol w:w="1033"/>
        <w:gridCol w:w="909"/>
        <w:gridCol w:w="1042"/>
        <w:gridCol w:w="909"/>
        <w:gridCol w:w="1042"/>
        <w:gridCol w:w="781"/>
      </w:tblGrid>
      <w:tr w:rsidR="00AC1E67" w:rsidRPr="00A00187" w14:paraId="0B39CD4B" w14:textId="77777777" w:rsidTr="00E502D0">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248CA00C" w14:textId="1637F599" w:rsidR="00E502D0" w:rsidRPr="00A00187" w:rsidRDefault="005709BE" w:rsidP="00E502D0">
            <w:pPr>
              <w:spacing w:line="240" w:lineRule="auto"/>
              <w:jc w:val="center"/>
              <w:rPr>
                <w:rFonts w:eastAsia="Times New Roman"/>
                <w:b/>
                <w:bCs/>
                <w:szCs w:val="24"/>
                <w:lang w:eastAsia="cs-CZ"/>
              </w:rPr>
            </w:pPr>
            <w:r>
              <w:rPr>
                <w:rFonts w:eastAsia="Times New Roman"/>
                <w:b/>
                <w:bCs/>
                <w:szCs w:val="24"/>
                <w:lang w:eastAsia="cs-CZ"/>
              </w:rPr>
              <w:t>S</w:t>
            </w:r>
            <w:r w:rsidR="00E502D0" w:rsidRPr="00A00187">
              <w:rPr>
                <w:rFonts w:eastAsia="Times New Roman"/>
                <w:b/>
                <w:bCs/>
                <w:szCs w:val="24"/>
                <w:lang w:eastAsia="cs-CZ"/>
              </w:rPr>
              <w:t>oud</w:t>
            </w:r>
          </w:p>
        </w:tc>
        <w:tc>
          <w:tcPr>
            <w:tcW w:w="1148" w:type="dxa"/>
            <w:vMerge w:val="restart"/>
            <w:tcBorders>
              <w:top w:val="double" w:sz="6" w:space="0" w:color="auto"/>
              <w:left w:val="nil"/>
              <w:bottom w:val="double" w:sz="6" w:space="0" w:color="000000"/>
              <w:right w:val="nil"/>
            </w:tcBorders>
            <w:shd w:val="clear" w:color="auto" w:fill="auto"/>
            <w:vAlign w:val="center"/>
            <w:hideMark/>
          </w:tcPr>
          <w:p w14:paraId="41E4BE68" w14:textId="77777777"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Počet úvazků</w:t>
            </w:r>
          </w:p>
        </w:tc>
        <w:tc>
          <w:tcPr>
            <w:tcW w:w="5716" w:type="dxa"/>
            <w:gridSpan w:val="6"/>
            <w:tcBorders>
              <w:top w:val="double" w:sz="6" w:space="0" w:color="auto"/>
              <w:left w:val="nil"/>
              <w:bottom w:val="nil"/>
              <w:right w:val="nil"/>
            </w:tcBorders>
            <w:shd w:val="clear" w:color="auto" w:fill="auto"/>
            <w:noWrap/>
            <w:vAlign w:val="center"/>
            <w:hideMark/>
          </w:tcPr>
          <w:p w14:paraId="7F6971A5" w14:textId="6D7499F1"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Počet věcí</w:t>
            </w:r>
            <w:r w:rsidR="003362DD">
              <w:rPr>
                <w:rFonts w:eastAsia="Times New Roman"/>
                <w:b/>
                <w:bCs/>
                <w:szCs w:val="24"/>
                <w:lang w:eastAsia="cs-CZ"/>
              </w:rPr>
              <w:t xml:space="preserve"> na úvazek</w:t>
            </w:r>
          </w:p>
        </w:tc>
      </w:tr>
      <w:tr w:rsidR="00AC1E67" w:rsidRPr="00A00187" w14:paraId="4BD0C452" w14:textId="77777777" w:rsidTr="00E502D0">
        <w:trPr>
          <w:trHeight w:val="330"/>
        </w:trPr>
        <w:tc>
          <w:tcPr>
            <w:tcW w:w="2036" w:type="dxa"/>
            <w:vMerge/>
            <w:tcBorders>
              <w:top w:val="double" w:sz="6" w:space="0" w:color="auto"/>
              <w:left w:val="nil"/>
              <w:bottom w:val="double" w:sz="6" w:space="0" w:color="000000"/>
              <w:right w:val="nil"/>
            </w:tcBorders>
            <w:vAlign w:val="center"/>
            <w:hideMark/>
          </w:tcPr>
          <w:p w14:paraId="43855D95" w14:textId="77777777" w:rsidR="00E502D0" w:rsidRPr="00A00187" w:rsidRDefault="00E502D0" w:rsidP="00E502D0">
            <w:pPr>
              <w:spacing w:line="240" w:lineRule="auto"/>
              <w:jc w:val="left"/>
              <w:rPr>
                <w:rFonts w:eastAsia="Times New Roman"/>
                <w:b/>
                <w:bCs/>
                <w:szCs w:val="24"/>
                <w:lang w:eastAsia="cs-CZ"/>
              </w:rPr>
            </w:pPr>
          </w:p>
        </w:tc>
        <w:tc>
          <w:tcPr>
            <w:tcW w:w="1148" w:type="dxa"/>
            <w:vMerge/>
            <w:tcBorders>
              <w:top w:val="double" w:sz="6" w:space="0" w:color="auto"/>
              <w:left w:val="nil"/>
              <w:bottom w:val="double" w:sz="6" w:space="0" w:color="000000"/>
              <w:right w:val="nil"/>
            </w:tcBorders>
            <w:vAlign w:val="center"/>
            <w:hideMark/>
          </w:tcPr>
          <w:p w14:paraId="6E6404D4" w14:textId="77777777" w:rsidR="00E502D0" w:rsidRPr="00A00187" w:rsidRDefault="00E502D0" w:rsidP="00E502D0">
            <w:pPr>
              <w:spacing w:line="240" w:lineRule="auto"/>
              <w:jc w:val="left"/>
              <w:rPr>
                <w:rFonts w:eastAsia="Times New Roman"/>
                <w:b/>
                <w:bCs/>
                <w:szCs w:val="24"/>
                <w:lang w:eastAsia="cs-CZ"/>
              </w:rPr>
            </w:pPr>
          </w:p>
        </w:tc>
        <w:tc>
          <w:tcPr>
            <w:tcW w:w="1942" w:type="dxa"/>
            <w:gridSpan w:val="2"/>
            <w:tcBorders>
              <w:top w:val="nil"/>
              <w:left w:val="nil"/>
              <w:bottom w:val="double" w:sz="6" w:space="0" w:color="auto"/>
              <w:right w:val="nil"/>
            </w:tcBorders>
            <w:shd w:val="clear" w:color="auto" w:fill="auto"/>
            <w:noWrap/>
            <w:vAlign w:val="center"/>
            <w:hideMark/>
          </w:tcPr>
          <w:p w14:paraId="0E1A21D8" w14:textId="77777777"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5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B911371" w14:textId="77777777"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823" w:type="dxa"/>
            <w:gridSpan w:val="2"/>
            <w:tcBorders>
              <w:top w:val="nil"/>
              <w:left w:val="nil"/>
              <w:bottom w:val="double" w:sz="6" w:space="0" w:color="auto"/>
              <w:right w:val="nil"/>
            </w:tcBorders>
            <w:shd w:val="clear" w:color="auto" w:fill="auto"/>
            <w:noWrap/>
            <w:vAlign w:val="center"/>
            <w:hideMark/>
          </w:tcPr>
          <w:p w14:paraId="27A3A3D4" w14:textId="77777777"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4971B8BB" w14:textId="77777777" w:rsidTr="00E502D0">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2308627F"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MS Praha</w:t>
            </w:r>
          </w:p>
        </w:tc>
        <w:tc>
          <w:tcPr>
            <w:tcW w:w="1148" w:type="dxa"/>
            <w:tcBorders>
              <w:top w:val="single" w:sz="4" w:space="0" w:color="auto"/>
              <w:left w:val="nil"/>
              <w:bottom w:val="single" w:sz="4" w:space="0" w:color="auto"/>
              <w:right w:val="nil"/>
            </w:tcBorders>
            <w:shd w:val="clear" w:color="auto" w:fill="auto"/>
            <w:noWrap/>
            <w:vAlign w:val="bottom"/>
            <w:hideMark/>
          </w:tcPr>
          <w:p w14:paraId="13B75A69" w14:textId="77777777"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3</w:t>
            </w:r>
          </w:p>
        </w:tc>
        <w:tc>
          <w:tcPr>
            <w:tcW w:w="1033" w:type="dxa"/>
            <w:tcBorders>
              <w:top w:val="single" w:sz="4" w:space="0" w:color="auto"/>
              <w:left w:val="nil"/>
              <w:bottom w:val="single" w:sz="4" w:space="0" w:color="auto"/>
              <w:right w:val="nil"/>
            </w:tcBorders>
            <w:shd w:val="clear" w:color="auto" w:fill="auto"/>
            <w:noWrap/>
            <w:vAlign w:val="bottom"/>
            <w:hideMark/>
          </w:tcPr>
          <w:p w14:paraId="7C14316D" w14:textId="720EEF97"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294,67</w:t>
            </w:r>
          </w:p>
        </w:tc>
        <w:tc>
          <w:tcPr>
            <w:tcW w:w="909" w:type="dxa"/>
            <w:tcBorders>
              <w:top w:val="single" w:sz="4" w:space="0" w:color="auto"/>
              <w:left w:val="nil"/>
              <w:bottom w:val="single" w:sz="4" w:space="0" w:color="auto"/>
              <w:right w:val="nil"/>
            </w:tcBorders>
            <w:shd w:val="clear" w:color="auto" w:fill="auto"/>
            <w:noWrap/>
            <w:vAlign w:val="center"/>
            <w:hideMark/>
          </w:tcPr>
          <w:p w14:paraId="2DB92726" w14:textId="71369C52"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c>
          <w:tcPr>
            <w:tcW w:w="1042" w:type="dxa"/>
            <w:tcBorders>
              <w:top w:val="single" w:sz="4" w:space="0" w:color="auto"/>
              <w:left w:val="single" w:sz="4" w:space="0" w:color="auto"/>
              <w:bottom w:val="single" w:sz="4" w:space="0" w:color="auto"/>
              <w:right w:val="nil"/>
            </w:tcBorders>
            <w:shd w:val="clear" w:color="auto" w:fill="auto"/>
            <w:noWrap/>
            <w:vAlign w:val="bottom"/>
            <w:hideMark/>
          </w:tcPr>
          <w:p w14:paraId="331F9CB8" w14:textId="22B4DBFF"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328,00</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14:paraId="5ECC165C" w14:textId="787BC55D"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+55</w:t>
            </w:r>
            <w:r w:rsidR="00CB570A">
              <w:rPr>
                <w:rFonts w:eastAsia="Times New Roman"/>
                <w:sz w:val="20"/>
                <w:szCs w:val="20"/>
                <w:lang w:eastAsia="cs-CZ"/>
              </w:rPr>
              <w:t> %</w:t>
            </w:r>
          </w:p>
        </w:tc>
        <w:tc>
          <w:tcPr>
            <w:tcW w:w="1042" w:type="dxa"/>
            <w:tcBorders>
              <w:top w:val="single" w:sz="4" w:space="0" w:color="auto"/>
              <w:left w:val="nil"/>
              <w:bottom w:val="single" w:sz="4" w:space="0" w:color="auto"/>
              <w:right w:val="nil"/>
            </w:tcBorders>
            <w:shd w:val="clear" w:color="auto" w:fill="auto"/>
            <w:noWrap/>
            <w:vAlign w:val="bottom"/>
            <w:hideMark/>
          </w:tcPr>
          <w:p w14:paraId="5682A741" w14:textId="3842A4F4"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430,67</w:t>
            </w:r>
          </w:p>
        </w:tc>
        <w:tc>
          <w:tcPr>
            <w:tcW w:w="781" w:type="dxa"/>
            <w:tcBorders>
              <w:top w:val="single" w:sz="4" w:space="0" w:color="auto"/>
              <w:left w:val="nil"/>
              <w:bottom w:val="single" w:sz="4" w:space="0" w:color="auto"/>
              <w:right w:val="nil"/>
            </w:tcBorders>
            <w:shd w:val="clear" w:color="auto" w:fill="auto"/>
            <w:noWrap/>
            <w:vAlign w:val="center"/>
            <w:hideMark/>
          </w:tcPr>
          <w:p w14:paraId="6D574EAA" w14:textId="102055B4"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r>
      <w:tr w:rsidR="00AC1E67" w:rsidRPr="00A00187" w14:paraId="40D67D32" w14:textId="77777777" w:rsidTr="00E502D0">
        <w:trPr>
          <w:trHeight w:val="315"/>
        </w:trPr>
        <w:tc>
          <w:tcPr>
            <w:tcW w:w="2036" w:type="dxa"/>
            <w:tcBorders>
              <w:top w:val="nil"/>
              <w:left w:val="nil"/>
              <w:bottom w:val="single" w:sz="4" w:space="0" w:color="auto"/>
              <w:right w:val="nil"/>
            </w:tcBorders>
            <w:shd w:val="clear" w:color="auto" w:fill="auto"/>
            <w:noWrap/>
            <w:vAlign w:val="bottom"/>
            <w:hideMark/>
          </w:tcPr>
          <w:p w14:paraId="2AC8CA35"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KS Praha</w:t>
            </w:r>
          </w:p>
        </w:tc>
        <w:tc>
          <w:tcPr>
            <w:tcW w:w="1148" w:type="dxa"/>
            <w:tcBorders>
              <w:top w:val="nil"/>
              <w:left w:val="nil"/>
              <w:bottom w:val="single" w:sz="4" w:space="0" w:color="auto"/>
              <w:right w:val="nil"/>
            </w:tcBorders>
            <w:shd w:val="clear" w:color="auto" w:fill="auto"/>
            <w:noWrap/>
            <w:vAlign w:val="bottom"/>
            <w:hideMark/>
          </w:tcPr>
          <w:p w14:paraId="740218C9" w14:textId="0E40DA55"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2,6</w:t>
            </w:r>
          </w:p>
        </w:tc>
        <w:tc>
          <w:tcPr>
            <w:tcW w:w="1033" w:type="dxa"/>
            <w:tcBorders>
              <w:top w:val="nil"/>
              <w:left w:val="nil"/>
              <w:bottom w:val="single" w:sz="4" w:space="0" w:color="auto"/>
              <w:right w:val="nil"/>
            </w:tcBorders>
            <w:shd w:val="clear" w:color="auto" w:fill="auto"/>
            <w:noWrap/>
            <w:vAlign w:val="bottom"/>
            <w:hideMark/>
          </w:tcPr>
          <w:p w14:paraId="0F7DC671" w14:textId="71D54EBA"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176,54</w:t>
            </w:r>
          </w:p>
        </w:tc>
        <w:tc>
          <w:tcPr>
            <w:tcW w:w="909" w:type="dxa"/>
            <w:tcBorders>
              <w:top w:val="nil"/>
              <w:left w:val="nil"/>
              <w:bottom w:val="single" w:sz="4" w:space="0" w:color="auto"/>
              <w:right w:val="nil"/>
            </w:tcBorders>
            <w:shd w:val="clear" w:color="auto" w:fill="auto"/>
            <w:noWrap/>
            <w:vAlign w:val="center"/>
            <w:hideMark/>
          </w:tcPr>
          <w:p w14:paraId="6732946C" w14:textId="5717F5B1"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1A74D5FE" w14:textId="171C7F75"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225,00</w:t>
            </w:r>
          </w:p>
        </w:tc>
        <w:tc>
          <w:tcPr>
            <w:tcW w:w="909" w:type="dxa"/>
            <w:tcBorders>
              <w:top w:val="nil"/>
              <w:left w:val="nil"/>
              <w:bottom w:val="single" w:sz="4" w:space="0" w:color="auto"/>
              <w:right w:val="single" w:sz="4" w:space="0" w:color="auto"/>
            </w:tcBorders>
            <w:shd w:val="clear" w:color="auto" w:fill="auto"/>
            <w:noWrap/>
            <w:vAlign w:val="center"/>
            <w:hideMark/>
          </w:tcPr>
          <w:p w14:paraId="0F423430" w14:textId="3F4F6770"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+13</w:t>
            </w:r>
            <w:r w:rsidR="00CB570A">
              <w:rPr>
                <w:rFonts w:eastAsia="Times New Roman"/>
                <w:sz w:val="20"/>
                <w:szCs w:val="20"/>
                <w:lang w:eastAsia="cs-CZ"/>
              </w:rPr>
              <w:t> %</w:t>
            </w:r>
          </w:p>
        </w:tc>
        <w:tc>
          <w:tcPr>
            <w:tcW w:w="1042" w:type="dxa"/>
            <w:tcBorders>
              <w:top w:val="nil"/>
              <w:left w:val="nil"/>
              <w:bottom w:val="single" w:sz="4" w:space="0" w:color="auto"/>
              <w:right w:val="nil"/>
            </w:tcBorders>
            <w:shd w:val="clear" w:color="auto" w:fill="auto"/>
            <w:noWrap/>
            <w:vAlign w:val="bottom"/>
            <w:hideMark/>
          </w:tcPr>
          <w:p w14:paraId="79D8D0C7" w14:textId="61018124"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150,00</w:t>
            </w:r>
          </w:p>
        </w:tc>
        <w:tc>
          <w:tcPr>
            <w:tcW w:w="781" w:type="dxa"/>
            <w:tcBorders>
              <w:top w:val="nil"/>
              <w:left w:val="nil"/>
              <w:bottom w:val="single" w:sz="4" w:space="0" w:color="auto"/>
              <w:right w:val="nil"/>
            </w:tcBorders>
            <w:shd w:val="clear" w:color="auto" w:fill="auto"/>
            <w:noWrap/>
            <w:vAlign w:val="center"/>
            <w:hideMark/>
          </w:tcPr>
          <w:p w14:paraId="0DCE5D1B" w14:textId="43849E6D"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r>
      <w:tr w:rsidR="00AC1E67" w:rsidRPr="00A00187" w14:paraId="13160506" w14:textId="77777777" w:rsidTr="00E502D0">
        <w:trPr>
          <w:trHeight w:val="315"/>
        </w:trPr>
        <w:tc>
          <w:tcPr>
            <w:tcW w:w="2036" w:type="dxa"/>
            <w:tcBorders>
              <w:top w:val="nil"/>
              <w:left w:val="nil"/>
              <w:bottom w:val="single" w:sz="4" w:space="0" w:color="auto"/>
              <w:right w:val="nil"/>
            </w:tcBorders>
            <w:shd w:val="clear" w:color="auto" w:fill="auto"/>
            <w:noWrap/>
            <w:vAlign w:val="bottom"/>
            <w:hideMark/>
          </w:tcPr>
          <w:p w14:paraId="7F8DBD54"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KS Č. Budějovice</w:t>
            </w:r>
          </w:p>
        </w:tc>
        <w:tc>
          <w:tcPr>
            <w:tcW w:w="1148" w:type="dxa"/>
            <w:tcBorders>
              <w:top w:val="nil"/>
              <w:left w:val="nil"/>
              <w:bottom w:val="single" w:sz="4" w:space="0" w:color="auto"/>
              <w:right w:val="nil"/>
            </w:tcBorders>
            <w:shd w:val="clear" w:color="auto" w:fill="auto"/>
            <w:noWrap/>
            <w:vAlign w:val="bottom"/>
            <w:hideMark/>
          </w:tcPr>
          <w:p w14:paraId="7BA53B5E" w14:textId="2C8C6B3E"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2,5</w:t>
            </w:r>
          </w:p>
        </w:tc>
        <w:tc>
          <w:tcPr>
            <w:tcW w:w="1033" w:type="dxa"/>
            <w:tcBorders>
              <w:top w:val="nil"/>
              <w:left w:val="nil"/>
              <w:bottom w:val="single" w:sz="4" w:space="0" w:color="auto"/>
              <w:right w:val="nil"/>
            </w:tcBorders>
            <w:shd w:val="clear" w:color="auto" w:fill="auto"/>
            <w:noWrap/>
            <w:vAlign w:val="bottom"/>
            <w:hideMark/>
          </w:tcPr>
          <w:p w14:paraId="0CE38F18" w14:textId="32056344"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69,20</w:t>
            </w:r>
          </w:p>
        </w:tc>
        <w:tc>
          <w:tcPr>
            <w:tcW w:w="909" w:type="dxa"/>
            <w:tcBorders>
              <w:top w:val="nil"/>
              <w:left w:val="nil"/>
              <w:bottom w:val="single" w:sz="4" w:space="0" w:color="auto"/>
              <w:right w:val="nil"/>
            </w:tcBorders>
            <w:shd w:val="clear" w:color="auto" w:fill="auto"/>
            <w:noWrap/>
            <w:vAlign w:val="center"/>
            <w:hideMark/>
          </w:tcPr>
          <w:p w14:paraId="10F54EA2" w14:textId="4D396389"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2DD65832" w14:textId="78B0414C"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92,40</w:t>
            </w:r>
          </w:p>
        </w:tc>
        <w:tc>
          <w:tcPr>
            <w:tcW w:w="909" w:type="dxa"/>
            <w:tcBorders>
              <w:top w:val="nil"/>
              <w:left w:val="nil"/>
              <w:bottom w:val="single" w:sz="4" w:space="0" w:color="auto"/>
              <w:right w:val="single" w:sz="4" w:space="0" w:color="auto"/>
            </w:tcBorders>
            <w:shd w:val="clear" w:color="auto" w:fill="auto"/>
            <w:noWrap/>
            <w:vAlign w:val="center"/>
            <w:hideMark/>
          </w:tcPr>
          <w:p w14:paraId="13024A9C" w14:textId="644007D5"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42" w:type="dxa"/>
            <w:tcBorders>
              <w:top w:val="nil"/>
              <w:left w:val="nil"/>
              <w:bottom w:val="single" w:sz="4" w:space="0" w:color="auto"/>
              <w:right w:val="nil"/>
            </w:tcBorders>
            <w:shd w:val="clear" w:color="auto" w:fill="auto"/>
            <w:noWrap/>
            <w:vAlign w:val="bottom"/>
            <w:hideMark/>
          </w:tcPr>
          <w:p w14:paraId="59F51158" w14:textId="7333DC11"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36,40</w:t>
            </w:r>
          </w:p>
        </w:tc>
        <w:tc>
          <w:tcPr>
            <w:tcW w:w="781" w:type="dxa"/>
            <w:tcBorders>
              <w:top w:val="nil"/>
              <w:left w:val="nil"/>
              <w:bottom w:val="single" w:sz="4" w:space="0" w:color="auto"/>
              <w:right w:val="nil"/>
            </w:tcBorders>
            <w:shd w:val="clear" w:color="auto" w:fill="auto"/>
            <w:noWrap/>
            <w:vAlign w:val="center"/>
            <w:hideMark/>
          </w:tcPr>
          <w:p w14:paraId="29A75288" w14:textId="51BE92BD"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-28</w:t>
            </w:r>
            <w:r w:rsidR="00CB570A">
              <w:rPr>
                <w:rFonts w:eastAsia="Times New Roman"/>
                <w:sz w:val="20"/>
                <w:szCs w:val="20"/>
                <w:lang w:eastAsia="cs-CZ"/>
              </w:rPr>
              <w:t> %</w:t>
            </w:r>
          </w:p>
        </w:tc>
      </w:tr>
      <w:tr w:rsidR="00AC1E67" w:rsidRPr="00A00187" w14:paraId="0E0A93D0" w14:textId="77777777" w:rsidTr="00E502D0">
        <w:trPr>
          <w:trHeight w:val="315"/>
        </w:trPr>
        <w:tc>
          <w:tcPr>
            <w:tcW w:w="2036" w:type="dxa"/>
            <w:tcBorders>
              <w:top w:val="nil"/>
              <w:left w:val="nil"/>
              <w:bottom w:val="single" w:sz="4" w:space="0" w:color="auto"/>
              <w:right w:val="nil"/>
            </w:tcBorders>
            <w:shd w:val="clear" w:color="auto" w:fill="auto"/>
            <w:noWrap/>
            <w:vAlign w:val="bottom"/>
            <w:hideMark/>
          </w:tcPr>
          <w:p w14:paraId="4ECB73F2"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KS Plzeň</w:t>
            </w:r>
          </w:p>
        </w:tc>
        <w:tc>
          <w:tcPr>
            <w:tcW w:w="1148" w:type="dxa"/>
            <w:tcBorders>
              <w:top w:val="nil"/>
              <w:left w:val="nil"/>
              <w:bottom w:val="single" w:sz="4" w:space="0" w:color="auto"/>
              <w:right w:val="nil"/>
            </w:tcBorders>
            <w:shd w:val="clear" w:color="auto" w:fill="auto"/>
            <w:noWrap/>
            <w:vAlign w:val="bottom"/>
            <w:hideMark/>
          </w:tcPr>
          <w:p w14:paraId="6E2BF0AA" w14:textId="1FCC91A4"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5,35</w:t>
            </w:r>
          </w:p>
        </w:tc>
        <w:tc>
          <w:tcPr>
            <w:tcW w:w="1033" w:type="dxa"/>
            <w:tcBorders>
              <w:top w:val="nil"/>
              <w:left w:val="nil"/>
              <w:bottom w:val="single" w:sz="4" w:space="0" w:color="auto"/>
              <w:right w:val="nil"/>
            </w:tcBorders>
            <w:shd w:val="clear" w:color="auto" w:fill="auto"/>
            <w:noWrap/>
            <w:vAlign w:val="bottom"/>
            <w:hideMark/>
          </w:tcPr>
          <w:p w14:paraId="26BC9D39" w14:textId="2EC8A382"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54,39</w:t>
            </w:r>
          </w:p>
        </w:tc>
        <w:tc>
          <w:tcPr>
            <w:tcW w:w="909" w:type="dxa"/>
            <w:tcBorders>
              <w:top w:val="nil"/>
              <w:left w:val="nil"/>
              <w:bottom w:val="single" w:sz="4" w:space="0" w:color="auto"/>
              <w:right w:val="nil"/>
            </w:tcBorders>
            <w:shd w:val="clear" w:color="auto" w:fill="auto"/>
            <w:noWrap/>
            <w:vAlign w:val="center"/>
            <w:hideMark/>
          </w:tcPr>
          <w:p w14:paraId="2CE86A1A" w14:textId="2DAC6F9D"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6B3B2B7A" w14:textId="393D3184"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64,49</w:t>
            </w:r>
          </w:p>
        </w:tc>
        <w:tc>
          <w:tcPr>
            <w:tcW w:w="909" w:type="dxa"/>
            <w:tcBorders>
              <w:top w:val="nil"/>
              <w:left w:val="nil"/>
              <w:bottom w:val="single" w:sz="4" w:space="0" w:color="auto"/>
              <w:right w:val="single" w:sz="4" w:space="0" w:color="auto"/>
            </w:tcBorders>
            <w:shd w:val="clear" w:color="auto" w:fill="auto"/>
            <w:noWrap/>
            <w:vAlign w:val="center"/>
            <w:hideMark/>
          </w:tcPr>
          <w:p w14:paraId="57FFE4D3" w14:textId="07794F8C"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-20</w:t>
            </w:r>
            <w:r w:rsidR="00CB570A">
              <w:rPr>
                <w:rFonts w:eastAsia="Times New Roman"/>
                <w:sz w:val="20"/>
                <w:szCs w:val="20"/>
                <w:lang w:eastAsia="cs-CZ"/>
              </w:rPr>
              <w:t> %</w:t>
            </w:r>
          </w:p>
        </w:tc>
        <w:tc>
          <w:tcPr>
            <w:tcW w:w="1042" w:type="dxa"/>
            <w:tcBorders>
              <w:top w:val="nil"/>
              <w:left w:val="nil"/>
              <w:bottom w:val="single" w:sz="4" w:space="0" w:color="auto"/>
              <w:right w:val="nil"/>
            </w:tcBorders>
            <w:shd w:val="clear" w:color="auto" w:fill="auto"/>
            <w:noWrap/>
            <w:vAlign w:val="bottom"/>
            <w:hideMark/>
          </w:tcPr>
          <w:p w14:paraId="0EFA5616" w14:textId="791BEAD3"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41,68</w:t>
            </w:r>
          </w:p>
        </w:tc>
        <w:tc>
          <w:tcPr>
            <w:tcW w:w="781" w:type="dxa"/>
            <w:tcBorders>
              <w:top w:val="nil"/>
              <w:left w:val="nil"/>
              <w:bottom w:val="single" w:sz="4" w:space="0" w:color="auto"/>
              <w:right w:val="nil"/>
            </w:tcBorders>
            <w:shd w:val="clear" w:color="auto" w:fill="auto"/>
            <w:noWrap/>
            <w:vAlign w:val="center"/>
            <w:hideMark/>
          </w:tcPr>
          <w:p w14:paraId="34C53EE4" w14:textId="17104005"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-30</w:t>
            </w:r>
            <w:r w:rsidR="00CB570A">
              <w:rPr>
                <w:rFonts w:eastAsia="Times New Roman"/>
                <w:sz w:val="20"/>
                <w:szCs w:val="20"/>
                <w:lang w:eastAsia="cs-CZ"/>
              </w:rPr>
              <w:t> %</w:t>
            </w:r>
          </w:p>
        </w:tc>
      </w:tr>
      <w:tr w:rsidR="00AC1E67" w:rsidRPr="00A00187" w14:paraId="7BBE89FB" w14:textId="77777777" w:rsidTr="00E502D0">
        <w:trPr>
          <w:trHeight w:val="315"/>
        </w:trPr>
        <w:tc>
          <w:tcPr>
            <w:tcW w:w="2036" w:type="dxa"/>
            <w:tcBorders>
              <w:top w:val="nil"/>
              <w:left w:val="nil"/>
              <w:bottom w:val="single" w:sz="4" w:space="0" w:color="auto"/>
              <w:right w:val="nil"/>
            </w:tcBorders>
            <w:shd w:val="clear" w:color="auto" w:fill="auto"/>
            <w:noWrap/>
            <w:vAlign w:val="bottom"/>
            <w:hideMark/>
          </w:tcPr>
          <w:p w14:paraId="46D54404"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KS Ústí n. Labem</w:t>
            </w:r>
          </w:p>
        </w:tc>
        <w:tc>
          <w:tcPr>
            <w:tcW w:w="1148" w:type="dxa"/>
            <w:tcBorders>
              <w:top w:val="nil"/>
              <w:left w:val="nil"/>
              <w:bottom w:val="single" w:sz="4" w:space="0" w:color="auto"/>
              <w:right w:val="nil"/>
            </w:tcBorders>
            <w:shd w:val="clear" w:color="auto" w:fill="auto"/>
            <w:noWrap/>
            <w:vAlign w:val="bottom"/>
            <w:hideMark/>
          </w:tcPr>
          <w:p w14:paraId="7E9F22CB" w14:textId="77777777"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4</w:t>
            </w:r>
          </w:p>
        </w:tc>
        <w:tc>
          <w:tcPr>
            <w:tcW w:w="1033" w:type="dxa"/>
            <w:tcBorders>
              <w:top w:val="nil"/>
              <w:left w:val="nil"/>
              <w:bottom w:val="single" w:sz="4" w:space="0" w:color="auto"/>
              <w:right w:val="nil"/>
            </w:tcBorders>
            <w:shd w:val="clear" w:color="auto" w:fill="auto"/>
            <w:noWrap/>
            <w:vAlign w:val="bottom"/>
            <w:hideMark/>
          </w:tcPr>
          <w:p w14:paraId="3A06C1AE" w14:textId="5F4228CF"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90,00</w:t>
            </w:r>
          </w:p>
        </w:tc>
        <w:tc>
          <w:tcPr>
            <w:tcW w:w="909" w:type="dxa"/>
            <w:tcBorders>
              <w:top w:val="nil"/>
              <w:left w:val="nil"/>
              <w:bottom w:val="single" w:sz="4" w:space="0" w:color="auto"/>
              <w:right w:val="nil"/>
            </w:tcBorders>
            <w:shd w:val="clear" w:color="auto" w:fill="auto"/>
            <w:noWrap/>
            <w:vAlign w:val="center"/>
            <w:hideMark/>
          </w:tcPr>
          <w:p w14:paraId="3040F479" w14:textId="4B42A2A4"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-27</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46EF8BA4" w14:textId="796C06F6"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122,50</w:t>
            </w:r>
          </w:p>
        </w:tc>
        <w:tc>
          <w:tcPr>
            <w:tcW w:w="909" w:type="dxa"/>
            <w:tcBorders>
              <w:top w:val="nil"/>
              <w:left w:val="nil"/>
              <w:bottom w:val="single" w:sz="4" w:space="0" w:color="auto"/>
              <w:right w:val="single" w:sz="4" w:space="0" w:color="auto"/>
            </w:tcBorders>
            <w:shd w:val="clear" w:color="auto" w:fill="auto"/>
            <w:noWrap/>
            <w:vAlign w:val="center"/>
            <w:hideMark/>
          </w:tcPr>
          <w:p w14:paraId="6ECCE991" w14:textId="53ED672E"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-5</w:t>
            </w:r>
            <w:r w:rsidR="00CB570A">
              <w:rPr>
                <w:rFonts w:eastAsia="Times New Roman"/>
                <w:sz w:val="20"/>
                <w:szCs w:val="20"/>
                <w:lang w:eastAsia="cs-CZ"/>
              </w:rPr>
              <w:t> %</w:t>
            </w:r>
          </w:p>
        </w:tc>
        <w:tc>
          <w:tcPr>
            <w:tcW w:w="1042" w:type="dxa"/>
            <w:tcBorders>
              <w:top w:val="nil"/>
              <w:left w:val="nil"/>
              <w:bottom w:val="single" w:sz="4" w:space="0" w:color="auto"/>
              <w:right w:val="nil"/>
            </w:tcBorders>
            <w:shd w:val="clear" w:color="auto" w:fill="auto"/>
            <w:noWrap/>
            <w:vAlign w:val="bottom"/>
            <w:hideMark/>
          </w:tcPr>
          <w:p w14:paraId="46295B75" w14:textId="74D0C066"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99,25</w:t>
            </w:r>
          </w:p>
        </w:tc>
        <w:tc>
          <w:tcPr>
            <w:tcW w:w="781" w:type="dxa"/>
            <w:tcBorders>
              <w:top w:val="nil"/>
              <w:left w:val="nil"/>
              <w:bottom w:val="single" w:sz="4" w:space="0" w:color="auto"/>
              <w:right w:val="nil"/>
            </w:tcBorders>
            <w:shd w:val="clear" w:color="auto" w:fill="auto"/>
            <w:noWrap/>
            <w:vAlign w:val="center"/>
            <w:hideMark/>
          </w:tcPr>
          <w:p w14:paraId="3BA6740A" w14:textId="6574ADBF"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-18</w:t>
            </w:r>
            <w:r w:rsidR="00CB570A">
              <w:rPr>
                <w:rFonts w:eastAsia="Times New Roman"/>
                <w:sz w:val="20"/>
                <w:szCs w:val="20"/>
                <w:lang w:eastAsia="cs-CZ"/>
              </w:rPr>
              <w:t> %</w:t>
            </w:r>
          </w:p>
        </w:tc>
      </w:tr>
      <w:tr w:rsidR="00AC1E67" w:rsidRPr="00A00187" w14:paraId="54068113" w14:textId="77777777" w:rsidTr="00E502D0">
        <w:trPr>
          <w:trHeight w:val="315"/>
        </w:trPr>
        <w:tc>
          <w:tcPr>
            <w:tcW w:w="2036" w:type="dxa"/>
            <w:tcBorders>
              <w:top w:val="nil"/>
              <w:left w:val="nil"/>
              <w:bottom w:val="single" w:sz="4" w:space="0" w:color="auto"/>
              <w:right w:val="nil"/>
            </w:tcBorders>
            <w:shd w:val="clear" w:color="auto" w:fill="auto"/>
            <w:noWrap/>
            <w:vAlign w:val="bottom"/>
            <w:hideMark/>
          </w:tcPr>
          <w:p w14:paraId="57C06708"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KS Hr. Králové</w:t>
            </w:r>
          </w:p>
        </w:tc>
        <w:tc>
          <w:tcPr>
            <w:tcW w:w="1148" w:type="dxa"/>
            <w:tcBorders>
              <w:top w:val="nil"/>
              <w:left w:val="nil"/>
              <w:bottom w:val="single" w:sz="4" w:space="0" w:color="auto"/>
              <w:right w:val="nil"/>
            </w:tcBorders>
            <w:shd w:val="clear" w:color="auto" w:fill="auto"/>
            <w:noWrap/>
            <w:vAlign w:val="bottom"/>
            <w:hideMark/>
          </w:tcPr>
          <w:p w14:paraId="0B3D79B2" w14:textId="3BFCA4C2"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3,3</w:t>
            </w:r>
          </w:p>
        </w:tc>
        <w:tc>
          <w:tcPr>
            <w:tcW w:w="1033" w:type="dxa"/>
            <w:tcBorders>
              <w:top w:val="nil"/>
              <w:left w:val="nil"/>
              <w:bottom w:val="single" w:sz="4" w:space="0" w:color="auto"/>
              <w:right w:val="nil"/>
            </w:tcBorders>
            <w:shd w:val="clear" w:color="auto" w:fill="auto"/>
            <w:noWrap/>
            <w:vAlign w:val="bottom"/>
            <w:hideMark/>
          </w:tcPr>
          <w:p w14:paraId="507268B2" w14:textId="2AA1AE0F"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105,15</w:t>
            </w:r>
          </w:p>
        </w:tc>
        <w:tc>
          <w:tcPr>
            <w:tcW w:w="909" w:type="dxa"/>
            <w:tcBorders>
              <w:top w:val="nil"/>
              <w:left w:val="nil"/>
              <w:bottom w:val="single" w:sz="4" w:space="0" w:color="auto"/>
              <w:right w:val="nil"/>
            </w:tcBorders>
            <w:shd w:val="clear" w:color="auto" w:fill="auto"/>
            <w:noWrap/>
            <w:vAlign w:val="center"/>
            <w:hideMark/>
          </w:tcPr>
          <w:p w14:paraId="502755FF" w14:textId="566647CA"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101AEF9B" w14:textId="54168E0C"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107,27</w:t>
            </w:r>
          </w:p>
        </w:tc>
        <w:tc>
          <w:tcPr>
            <w:tcW w:w="909" w:type="dxa"/>
            <w:tcBorders>
              <w:top w:val="nil"/>
              <w:left w:val="nil"/>
              <w:bottom w:val="single" w:sz="4" w:space="0" w:color="auto"/>
              <w:right w:val="single" w:sz="4" w:space="0" w:color="auto"/>
            </w:tcBorders>
            <w:shd w:val="clear" w:color="auto" w:fill="auto"/>
            <w:noWrap/>
            <w:vAlign w:val="center"/>
            <w:hideMark/>
          </w:tcPr>
          <w:p w14:paraId="7466CA39" w14:textId="559C27D3"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-16</w:t>
            </w:r>
            <w:r w:rsidR="00CB570A">
              <w:rPr>
                <w:rFonts w:eastAsia="Times New Roman"/>
                <w:sz w:val="20"/>
                <w:szCs w:val="20"/>
                <w:lang w:eastAsia="cs-CZ"/>
              </w:rPr>
              <w:t> %</w:t>
            </w:r>
          </w:p>
        </w:tc>
        <w:tc>
          <w:tcPr>
            <w:tcW w:w="1042" w:type="dxa"/>
            <w:tcBorders>
              <w:top w:val="nil"/>
              <w:left w:val="nil"/>
              <w:bottom w:val="single" w:sz="4" w:space="0" w:color="auto"/>
              <w:right w:val="nil"/>
            </w:tcBorders>
            <w:shd w:val="clear" w:color="auto" w:fill="auto"/>
            <w:noWrap/>
            <w:vAlign w:val="bottom"/>
            <w:hideMark/>
          </w:tcPr>
          <w:p w14:paraId="2668E066" w14:textId="3C98CB0D"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95,45</w:t>
            </w:r>
          </w:p>
        </w:tc>
        <w:tc>
          <w:tcPr>
            <w:tcW w:w="781" w:type="dxa"/>
            <w:tcBorders>
              <w:top w:val="nil"/>
              <w:left w:val="nil"/>
              <w:bottom w:val="single" w:sz="4" w:space="0" w:color="auto"/>
              <w:right w:val="nil"/>
            </w:tcBorders>
            <w:shd w:val="clear" w:color="auto" w:fill="auto"/>
            <w:noWrap/>
            <w:vAlign w:val="center"/>
            <w:hideMark/>
          </w:tcPr>
          <w:p w14:paraId="20756DEB" w14:textId="483A5F7D"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+7</w:t>
            </w:r>
            <w:r w:rsidR="00CB570A">
              <w:rPr>
                <w:rFonts w:eastAsia="Times New Roman"/>
                <w:sz w:val="20"/>
                <w:szCs w:val="20"/>
                <w:lang w:eastAsia="cs-CZ"/>
              </w:rPr>
              <w:t> %</w:t>
            </w:r>
          </w:p>
        </w:tc>
      </w:tr>
      <w:tr w:rsidR="00AC1E67" w:rsidRPr="00A00187" w14:paraId="5025AEC8" w14:textId="77777777" w:rsidTr="00E502D0">
        <w:trPr>
          <w:trHeight w:val="315"/>
        </w:trPr>
        <w:tc>
          <w:tcPr>
            <w:tcW w:w="2036" w:type="dxa"/>
            <w:tcBorders>
              <w:top w:val="nil"/>
              <w:left w:val="nil"/>
              <w:bottom w:val="single" w:sz="4" w:space="0" w:color="auto"/>
              <w:right w:val="nil"/>
            </w:tcBorders>
            <w:shd w:val="clear" w:color="auto" w:fill="auto"/>
            <w:noWrap/>
            <w:vAlign w:val="bottom"/>
            <w:hideMark/>
          </w:tcPr>
          <w:p w14:paraId="1892924B"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KS Brno</w:t>
            </w:r>
          </w:p>
        </w:tc>
        <w:tc>
          <w:tcPr>
            <w:tcW w:w="1148" w:type="dxa"/>
            <w:tcBorders>
              <w:top w:val="nil"/>
              <w:left w:val="nil"/>
              <w:bottom w:val="single" w:sz="4" w:space="0" w:color="auto"/>
              <w:right w:val="nil"/>
            </w:tcBorders>
            <w:shd w:val="clear" w:color="auto" w:fill="auto"/>
            <w:noWrap/>
            <w:vAlign w:val="bottom"/>
            <w:hideMark/>
          </w:tcPr>
          <w:p w14:paraId="4A02F94C" w14:textId="77777777"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6</w:t>
            </w:r>
          </w:p>
        </w:tc>
        <w:tc>
          <w:tcPr>
            <w:tcW w:w="1033" w:type="dxa"/>
            <w:tcBorders>
              <w:top w:val="nil"/>
              <w:left w:val="nil"/>
              <w:bottom w:val="single" w:sz="4" w:space="0" w:color="auto"/>
              <w:right w:val="nil"/>
            </w:tcBorders>
            <w:shd w:val="clear" w:color="auto" w:fill="auto"/>
            <w:noWrap/>
            <w:vAlign w:val="bottom"/>
            <w:hideMark/>
          </w:tcPr>
          <w:p w14:paraId="6F22BF55" w14:textId="773F6346"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108,00</w:t>
            </w:r>
          </w:p>
        </w:tc>
        <w:tc>
          <w:tcPr>
            <w:tcW w:w="909" w:type="dxa"/>
            <w:tcBorders>
              <w:top w:val="nil"/>
              <w:left w:val="nil"/>
              <w:bottom w:val="single" w:sz="4" w:space="0" w:color="auto"/>
              <w:right w:val="nil"/>
            </w:tcBorders>
            <w:shd w:val="clear" w:color="auto" w:fill="auto"/>
            <w:noWrap/>
            <w:vAlign w:val="center"/>
            <w:hideMark/>
          </w:tcPr>
          <w:p w14:paraId="23132135" w14:textId="2CDD04E6"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1042" w:type="dxa"/>
            <w:tcBorders>
              <w:top w:val="nil"/>
              <w:left w:val="single" w:sz="4" w:space="0" w:color="auto"/>
              <w:bottom w:val="single" w:sz="4" w:space="0" w:color="auto"/>
              <w:right w:val="nil"/>
            </w:tcBorders>
            <w:shd w:val="clear" w:color="auto" w:fill="auto"/>
            <w:noWrap/>
            <w:vAlign w:val="bottom"/>
            <w:hideMark/>
          </w:tcPr>
          <w:p w14:paraId="2FEDB583" w14:textId="398757A1"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119,00</w:t>
            </w:r>
          </w:p>
        </w:tc>
        <w:tc>
          <w:tcPr>
            <w:tcW w:w="909" w:type="dxa"/>
            <w:tcBorders>
              <w:top w:val="nil"/>
              <w:left w:val="nil"/>
              <w:bottom w:val="single" w:sz="4" w:space="0" w:color="auto"/>
              <w:right w:val="single" w:sz="4" w:space="0" w:color="auto"/>
            </w:tcBorders>
            <w:shd w:val="clear" w:color="auto" w:fill="auto"/>
            <w:noWrap/>
            <w:vAlign w:val="center"/>
            <w:hideMark/>
          </w:tcPr>
          <w:p w14:paraId="4D593277" w14:textId="62B0BADE"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-25</w:t>
            </w:r>
            <w:r w:rsidR="00CB570A">
              <w:rPr>
                <w:rFonts w:eastAsia="Times New Roman"/>
                <w:sz w:val="20"/>
                <w:szCs w:val="20"/>
                <w:lang w:eastAsia="cs-CZ"/>
              </w:rPr>
              <w:t> %</w:t>
            </w:r>
          </w:p>
        </w:tc>
        <w:tc>
          <w:tcPr>
            <w:tcW w:w="1042" w:type="dxa"/>
            <w:tcBorders>
              <w:top w:val="nil"/>
              <w:left w:val="nil"/>
              <w:bottom w:val="single" w:sz="4" w:space="0" w:color="auto"/>
              <w:right w:val="nil"/>
            </w:tcBorders>
            <w:shd w:val="clear" w:color="auto" w:fill="auto"/>
            <w:noWrap/>
            <w:vAlign w:val="bottom"/>
            <w:hideMark/>
          </w:tcPr>
          <w:p w14:paraId="71F1CAD5" w14:textId="75111E73"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160,17</w:t>
            </w:r>
          </w:p>
        </w:tc>
        <w:tc>
          <w:tcPr>
            <w:tcW w:w="781" w:type="dxa"/>
            <w:tcBorders>
              <w:top w:val="nil"/>
              <w:left w:val="nil"/>
              <w:bottom w:val="single" w:sz="4" w:space="0" w:color="auto"/>
              <w:right w:val="nil"/>
            </w:tcBorders>
            <w:shd w:val="clear" w:color="auto" w:fill="auto"/>
            <w:noWrap/>
            <w:vAlign w:val="center"/>
            <w:hideMark/>
          </w:tcPr>
          <w:p w14:paraId="63FF31C8" w14:textId="026E15DB"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r>
      <w:tr w:rsidR="00AC1E67" w:rsidRPr="00A00187" w14:paraId="7B0C8EBE" w14:textId="77777777" w:rsidTr="00E502D0">
        <w:trPr>
          <w:trHeight w:val="330"/>
        </w:trPr>
        <w:tc>
          <w:tcPr>
            <w:tcW w:w="2036" w:type="dxa"/>
            <w:tcBorders>
              <w:top w:val="nil"/>
              <w:left w:val="nil"/>
              <w:bottom w:val="double" w:sz="6" w:space="0" w:color="auto"/>
              <w:right w:val="nil"/>
            </w:tcBorders>
            <w:shd w:val="clear" w:color="auto" w:fill="auto"/>
            <w:noWrap/>
            <w:vAlign w:val="bottom"/>
            <w:hideMark/>
          </w:tcPr>
          <w:p w14:paraId="50AF026D" w14:textId="77777777" w:rsidR="00E502D0" w:rsidRPr="00A00187" w:rsidRDefault="00E502D0" w:rsidP="00E502D0">
            <w:pPr>
              <w:spacing w:line="240" w:lineRule="auto"/>
              <w:jc w:val="left"/>
              <w:rPr>
                <w:rFonts w:eastAsia="Times New Roman"/>
                <w:szCs w:val="24"/>
                <w:lang w:eastAsia="cs-CZ"/>
              </w:rPr>
            </w:pPr>
            <w:r w:rsidRPr="00A00187">
              <w:rPr>
                <w:rFonts w:eastAsia="Times New Roman"/>
                <w:szCs w:val="24"/>
                <w:lang w:eastAsia="cs-CZ"/>
              </w:rPr>
              <w:t>KS Ostrava</w:t>
            </w:r>
          </w:p>
        </w:tc>
        <w:tc>
          <w:tcPr>
            <w:tcW w:w="1148" w:type="dxa"/>
            <w:tcBorders>
              <w:top w:val="nil"/>
              <w:left w:val="nil"/>
              <w:bottom w:val="double" w:sz="6" w:space="0" w:color="auto"/>
              <w:right w:val="nil"/>
            </w:tcBorders>
            <w:shd w:val="clear" w:color="auto" w:fill="auto"/>
            <w:noWrap/>
            <w:vAlign w:val="bottom"/>
            <w:hideMark/>
          </w:tcPr>
          <w:p w14:paraId="64FCEC48" w14:textId="61F0C712"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10,5</w:t>
            </w:r>
          </w:p>
        </w:tc>
        <w:tc>
          <w:tcPr>
            <w:tcW w:w="1033" w:type="dxa"/>
            <w:tcBorders>
              <w:top w:val="nil"/>
              <w:left w:val="nil"/>
              <w:bottom w:val="double" w:sz="6" w:space="0" w:color="auto"/>
              <w:right w:val="nil"/>
            </w:tcBorders>
            <w:shd w:val="clear" w:color="auto" w:fill="auto"/>
            <w:noWrap/>
            <w:vAlign w:val="bottom"/>
            <w:hideMark/>
          </w:tcPr>
          <w:p w14:paraId="56017A72" w14:textId="60949501"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59,81</w:t>
            </w:r>
          </w:p>
        </w:tc>
        <w:tc>
          <w:tcPr>
            <w:tcW w:w="909" w:type="dxa"/>
            <w:tcBorders>
              <w:top w:val="nil"/>
              <w:left w:val="nil"/>
              <w:bottom w:val="double" w:sz="6" w:space="0" w:color="auto"/>
              <w:right w:val="nil"/>
            </w:tcBorders>
            <w:shd w:val="clear" w:color="auto" w:fill="auto"/>
            <w:noWrap/>
            <w:vAlign w:val="center"/>
            <w:hideMark/>
          </w:tcPr>
          <w:p w14:paraId="11C33DA9" w14:textId="3611B057"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-22</w:t>
            </w:r>
            <w:r w:rsidR="00CB570A">
              <w:rPr>
                <w:rFonts w:eastAsia="Times New Roman"/>
                <w:sz w:val="20"/>
                <w:szCs w:val="20"/>
                <w:lang w:eastAsia="cs-CZ"/>
              </w:rPr>
              <w:t> %</w:t>
            </w:r>
          </w:p>
        </w:tc>
        <w:tc>
          <w:tcPr>
            <w:tcW w:w="1042" w:type="dxa"/>
            <w:tcBorders>
              <w:top w:val="nil"/>
              <w:left w:val="single" w:sz="4" w:space="0" w:color="auto"/>
              <w:bottom w:val="double" w:sz="6" w:space="0" w:color="auto"/>
              <w:right w:val="nil"/>
            </w:tcBorders>
            <w:shd w:val="clear" w:color="auto" w:fill="auto"/>
            <w:noWrap/>
            <w:vAlign w:val="bottom"/>
            <w:hideMark/>
          </w:tcPr>
          <w:p w14:paraId="0A21327F" w14:textId="0FD649CA"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69,62</w:t>
            </w:r>
          </w:p>
        </w:tc>
        <w:tc>
          <w:tcPr>
            <w:tcW w:w="909" w:type="dxa"/>
            <w:tcBorders>
              <w:top w:val="nil"/>
              <w:left w:val="nil"/>
              <w:bottom w:val="double" w:sz="6" w:space="0" w:color="auto"/>
              <w:right w:val="single" w:sz="4" w:space="0" w:color="auto"/>
            </w:tcBorders>
            <w:shd w:val="clear" w:color="auto" w:fill="auto"/>
            <w:noWrap/>
            <w:vAlign w:val="center"/>
            <w:hideMark/>
          </w:tcPr>
          <w:p w14:paraId="369AEB28" w14:textId="30FDC219"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c>
          <w:tcPr>
            <w:tcW w:w="1042" w:type="dxa"/>
            <w:tcBorders>
              <w:top w:val="nil"/>
              <w:left w:val="nil"/>
              <w:bottom w:val="double" w:sz="6" w:space="0" w:color="auto"/>
              <w:right w:val="nil"/>
            </w:tcBorders>
            <w:shd w:val="clear" w:color="auto" w:fill="auto"/>
            <w:noWrap/>
            <w:vAlign w:val="bottom"/>
            <w:hideMark/>
          </w:tcPr>
          <w:p w14:paraId="703C4022" w14:textId="7411BA5A" w:rsidR="00E502D0" w:rsidRPr="00A00187" w:rsidRDefault="00E502D0" w:rsidP="00E502D0">
            <w:pPr>
              <w:spacing w:line="240" w:lineRule="auto"/>
              <w:jc w:val="center"/>
              <w:rPr>
                <w:rFonts w:eastAsia="Times New Roman"/>
                <w:szCs w:val="24"/>
                <w:lang w:eastAsia="cs-CZ"/>
              </w:rPr>
            </w:pPr>
            <w:r w:rsidRPr="00A00187">
              <w:rPr>
                <w:rFonts w:eastAsia="Times New Roman"/>
                <w:szCs w:val="24"/>
                <w:lang w:eastAsia="cs-CZ"/>
              </w:rPr>
              <w:t>66,19</w:t>
            </w:r>
          </w:p>
        </w:tc>
        <w:tc>
          <w:tcPr>
            <w:tcW w:w="781" w:type="dxa"/>
            <w:tcBorders>
              <w:top w:val="nil"/>
              <w:left w:val="nil"/>
              <w:bottom w:val="double" w:sz="6" w:space="0" w:color="auto"/>
              <w:right w:val="nil"/>
            </w:tcBorders>
            <w:shd w:val="clear" w:color="auto" w:fill="auto"/>
            <w:noWrap/>
            <w:vAlign w:val="center"/>
            <w:hideMark/>
          </w:tcPr>
          <w:p w14:paraId="52755A0D" w14:textId="5449250F" w:rsidR="00E502D0" w:rsidRPr="00A00187" w:rsidRDefault="00E502D0" w:rsidP="005709BE">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r>
      <w:tr w:rsidR="00AC1E67" w:rsidRPr="00A00187" w14:paraId="02EE0757" w14:textId="77777777" w:rsidTr="00E502D0">
        <w:trPr>
          <w:trHeight w:val="345"/>
        </w:trPr>
        <w:tc>
          <w:tcPr>
            <w:tcW w:w="2036" w:type="dxa"/>
            <w:tcBorders>
              <w:top w:val="nil"/>
              <w:left w:val="nil"/>
              <w:bottom w:val="double" w:sz="6" w:space="0" w:color="auto"/>
              <w:right w:val="nil"/>
            </w:tcBorders>
            <w:shd w:val="clear" w:color="auto" w:fill="auto"/>
            <w:noWrap/>
            <w:vAlign w:val="bottom"/>
            <w:hideMark/>
          </w:tcPr>
          <w:p w14:paraId="2BCD100D" w14:textId="77777777" w:rsidR="00E502D0" w:rsidRPr="00A00187" w:rsidRDefault="00E502D0" w:rsidP="00E502D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48" w:type="dxa"/>
            <w:tcBorders>
              <w:top w:val="nil"/>
              <w:left w:val="nil"/>
              <w:bottom w:val="double" w:sz="6" w:space="0" w:color="auto"/>
              <w:right w:val="nil"/>
            </w:tcBorders>
            <w:shd w:val="clear" w:color="auto" w:fill="auto"/>
            <w:noWrap/>
            <w:vAlign w:val="bottom"/>
            <w:hideMark/>
          </w:tcPr>
          <w:p w14:paraId="74ED9477" w14:textId="5D31C4CE"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37,25</w:t>
            </w:r>
          </w:p>
        </w:tc>
        <w:tc>
          <w:tcPr>
            <w:tcW w:w="1033" w:type="dxa"/>
            <w:tcBorders>
              <w:top w:val="nil"/>
              <w:left w:val="nil"/>
              <w:bottom w:val="double" w:sz="6" w:space="0" w:color="auto"/>
              <w:right w:val="nil"/>
            </w:tcBorders>
            <w:shd w:val="clear" w:color="auto" w:fill="auto"/>
            <w:noWrap/>
            <w:vAlign w:val="bottom"/>
            <w:hideMark/>
          </w:tcPr>
          <w:p w14:paraId="59659FF3" w14:textId="1EF9C52F"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101,74</w:t>
            </w:r>
          </w:p>
        </w:tc>
        <w:tc>
          <w:tcPr>
            <w:tcW w:w="909" w:type="dxa"/>
            <w:tcBorders>
              <w:top w:val="nil"/>
              <w:left w:val="nil"/>
              <w:bottom w:val="double" w:sz="6" w:space="0" w:color="auto"/>
              <w:right w:val="nil"/>
            </w:tcBorders>
            <w:shd w:val="clear" w:color="auto" w:fill="auto"/>
            <w:noWrap/>
            <w:vAlign w:val="center"/>
            <w:hideMark/>
          </w:tcPr>
          <w:p w14:paraId="2AB61DE5" w14:textId="5FA6C9B4" w:rsidR="00E502D0" w:rsidRPr="00A00187" w:rsidRDefault="00E502D0" w:rsidP="005709BE">
            <w:pPr>
              <w:spacing w:line="240" w:lineRule="auto"/>
              <w:jc w:val="center"/>
              <w:rPr>
                <w:rFonts w:eastAsia="Times New Roman"/>
                <w:b/>
                <w:bCs/>
                <w:sz w:val="20"/>
                <w:szCs w:val="20"/>
                <w:lang w:eastAsia="cs-CZ"/>
              </w:rPr>
            </w:pPr>
            <w:r w:rsidRPr="00A00187">
              <w:rPr>
                <w:rFonts w:eastAsia="Times New Roman"/>
                <w:b/>
                <w:bCs/>
                <w:sz w:val="20"/>
                <w:szCs w:val="20"/>
                <w:lang w:eastAsia="cs-CZ"/>
              </w:rPr>
              <w:t>-16</w:t>
            </w:r>
            <w:r w:rsidR="00CB570A">
              <w:rPr>
                <w:rFonts w:eastAsia="Times New Roman"/>
                <w:b/>
                <w:bCs/>
                <w:sz w:val="20"/>
                <w:szCs w:val="20"/>
                <w:lang w:eastAsia="cs-CZ"/>
              </w:rPr>
              <w:t> %</w:t>
            </w:r>
          </w:p>
        </w:tc>
        <w:tc>
          <w:tcPr>
            <w:tcW w:w="1042" w:type="dxa"/>
            <w:tcBorders>
              <w:top w:val="nil"/>
              <w:left w:val="single" w:sz="4" w:space="0" w:color="auto"/>
              <w:bottom w:val="double" w:sz="6" w:space="0" w:color="auto"/>
              <w:right w:val="nil"/>
            </w:tcBorders>
            <w:shd w:val="clear" w:color="auto" w:fill="auto"/>
            <w:noWrap/>
            <w:vAlign w:val="bottom"/>
            <w:hideMark/>
          </w:tcPr>
          <w:p w14:paraId="27A5B442" w14:textId="1492B470"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119,03</w:t>
            </w:r>
          </w:p>
        </w:tc>
        <w:tc>
          <w:tcPr>
            <w:tcW w:w="909" w:type="dxa"/>
            <w:tcBorders>
              <w:top w:val="nil"/>
              <w:left w:val="nil"/>
              <w:bottom w:val="double" w:sz="6" w:space="0" w:color="auto"/>
              <w:right w:val="single" w:sz="4" w:space="0" w:color="auto"/>
            </w:tcBorders>
            <w:shd w:val="clear" w:color="auto" w:fill="auto"/>
            <w:noWrap/>
            <w:vAlign w:val="center"/>
            <w:hideMark/>
          </w:tcPr>
          <w:p w14:paraId="1B010831" w14:textId="120BFEB2" w:rsidR="00E502D0" w:rsidRPr="00A00187" w:rsidRDefault="00E502D0" w:rsidP="005709BE">
            <w:pPr>
              <w:spacing w:line="240" w:lineRule="auto"/>
              <w:jc w:val="center"/>
              <w:rPr>
                <w:rFonts w:eastAsia="Times New Roman"/>
                <w:b/>
                <w:bCs/>
                <w:sz w:val="20"/>
                <w:szCs w:val="20"/>
                <w:lang w:eastAsia="cs-CZ"/>
              </w:rPr>
            </w:pPr>
            <w:r w:rsidRPr="00A00187">
              <w:rPr>
                <w:rFonts w:eastAsia="Times New Roman"/>
                <w:b/>
                <w:bCs/>
                <w:sz w:val="20"/>
                <w:szCs w:val="20"/>
                <w:lang w:eastAsia="cs-CZ"/>
              </w:rPr>
              <w:t>-0</w:t>
            </w:r>
            <w:r w:rsidR="00CB570A">
              <w:rPr>
                <w:rFonts w:eastAsia="Times New Roman"/>
                <w:b/>
                <w:bCs/>
                <w:sz w:val="20"/>
                <w:szCs w:val="20"/>
                <w:lang w:eastAsia="cs-CZ"/>
              </w:rPr>
              <w:t> %</w:t>
            </w:r>
          </w:p>
        </w:tc>
        <w:tc>
          <w:tcPr>
            <w:tcW w:w="1042" w:type="dxa"/>
            <w:tcBorders>
              <w:top w:val="nil"/>
              <w:left w:val="nil"/>
              <w:bottom w:val="double" w:sz="6" w:space="0" w:color="auto"/>
              <w:right w:val="nil"/>
            </w:tcBorders>
            <w:shd w:val="clear" w:color="auto" w:fill="auto"/>
            <w:noWrap/>
            <w:vAlign w:val="bottom"/>
            <w:hideMark/>
          </w:tcPr>
          <w:p w14:paraId="11A40CD5" w14:textId="1A131C9A" w:rsidR="00E502D0" w:rsidRPr="00A00187" w:rsidRDefault="00E502D0" w:rsidP="00E502D0">
            <w:pPr>
              <w:spacing w:line="240" w:lineRule="auto"/>
              <w:jc w:val="center"/>
              <w:rPr>
                <w:rFonts w:eastAsia="Times New Roman"/>
                <w:b/>
                <w:bCs/>
                <w:szCs w:val="24"/>
                <w:lang w:eastAsia="cs-CZ"/>
              </w:rPr>
            </w:pPr>
            <w:r w:rsidRPr="00A00187">
              <w:rPr>
                <w:rFonts w:eastAsia="Times New Roman"/>
                <w:b/>
                <w:bCs/>
                <w:szCs w:val="24"/>
                <w:lang w:eastAsia="cs-CZ"/>
              </w:rPr>
              <w:t>117,15</w:t>
            </w:r>
          </w:p>
        </w:tc>
        <w:tc>
          <w:tcPr>
            <w:tcW w:w="781" w:type="dxa"/>
            <w:tcBorders>
              <w:top w:val="nil"/>
              <w:left w:val="nil"/>
              <w:bottom w:val="double" w:sz="6" w:space="0" w:color="auto"/>
              <w:right w:val="nil"/>
            </w:tcBorders>
            <w:shd w:val="clear" w:color="auto" w:fill="auto"/>
            <w:noWrap/>
            <w:vAlign w:val="center"/>
            <w:hideMark/>
          </w:tcPr>
          <w:p w14:paraId="5D8CF05D" w14:textId="151F9AA1" w:rsidR="00E502D0" w:rsidRPr="00A00187" w:rsidRDefault="00E502D0" w:rsidP="005709BE">
            <w:pPr>
              <w:spacing w:line="240" w:lineRule="auto"/>
              <w:jc w:val="center"/>
              <w:rPr>
                <w:rFonts w:eastAsia="Times New Roman"/>
                <w:b/>
                <w:bCs/>
                <w:sz w:val="20"/>
                <w:szCs w:val="20"/>
                <w:lang w:eastAsia="cs-CZ"/>
              </w:rPr>
            </w:pPr>
            <w:r w:rsidRPr="00A00187">
              <w:rPr>
                <w:rFonts w:eastAsia="Times New Roman"/>
                <w:b/>
                <w:bCs/>
                <w:sz w:val="20"/>
                <w:szCs w:val="20"/>
                <w:lang w:eastAsia="cs-CZ"/>
              </w:rPr>
              <w:t>-14</w:t>
            </w:r>
            <w:r w:rsidR="00CB570A">
              <w:rPr>
                <w:rFonts w:eastAsia="Times New Roman"/>
                <w:b/>
                <w:bCs/>
                <w:sz w:val="20"/>
                <w:szCs w:val="20"/>
                <w:lang w:eastAsia="cs-CZ"/>
              </w:rPr>
              <w:t> %</w:t>
            </w:r>
          </w:p>
        </w:tc>
      </w:tr>
      <w:tr w:rsidR="00AC1E67" w:rsidRPr="00A00187" w14:paraId="3B960218" w14:textId="77777777" w:rsidTr="00E502D0">
        <w:trPr>
          <w:trHeight w:val="330"/>
        </w:trPr>
        <w:tc>
          <w:tcPr>
            <w:tcW w:w="2036" w:type="dxa"/>
            <w:tcBorders>
              <w:top w:val="nil"/>
              <w:left w:val="nil"/>
              <w:bottom w:val="nil"/>
              <w:right w:val="nil"/>
            </w:tcBorders>
            <w:shd w:val="clear" w:color="auto" w:fill="auto"/>
            <w:noWrap/>
            <w:vAlign w:val="bottom"/>
            <w:hideMark/>
          </w:tcPr>
          <w:p w14:paraId="009C4922" w14:textId="77777777" w:rsidR="00E502D0" w:rsidRPr="00A00187" w:rsidRDefault="00E502D0" w:rsidP="00E502D0">
            <w:pPr>
              <w:spacing w:line="240" w:lineRule="auto"/>
              <w:jc w:val="center"/>
              <w:rPr>
                <w:rFonts w:eastAsia="Times New Roman"/>
                <w:b/>
                <w:bCs/>
                <w:sz w:val="20"/>
                <w:szCs w:val="20"/>
                <w:lang w:eastAsia="cs-CZ"/>
              </w:rPr>
            </w:pPr>
          </w:p>
        </w:tc>
        <w:tc>
          <w:tcPr>
            <w:tcW w:w="1148" w:type="dxa"/>
            <w:tcBorders>
              <w:top w:val="nil"/>
              <w:left w:val="nil"/>
              <w:bottom w:val="nil"/>
              <w:right w:val="nil"/>
            </w:tcBorders>
            <w:shd w:val="clear" w:color="auto" w:fill="auto"/>
            <w:noWrap/>
            <w:vAlign w:val="bottom"/>
            <w:hideMark/>
          </w:tcPr>
          <w:p w14:paraId="06AE5D7F" w14:textId="77777777" w:rsidR="00E502D0" w:rsidRPr="00A00187" w:rsidRDefault="00E502D0" w:rsidP="00E502D0">
            <w:pPr>
              <w:spacing w:line="240" w:lineRule="auto"/>
              <w:jc w:val="left"/>
              <w:rPr>
                <w:rFonts w:ascii="Times New Roman" w:eastAsia="Times New Roman" w:hAnsi="Times New Roman"/>
                <w:sz w:val="20"/>
                <w:szCs w:val="20"/>
                <w:lang w:eastAsia="cs-CZ"/>
              </w:rPr>
            </w:pPr>
          </w:p>
        </w:tc>
        <w:tc>
          <w:tcPr>
            <w:tcW w:w="1033" w:type="dxa"/>
            <w:tcBorders>
              <w:top w:val="nil"/>
              <w:left w:val="nil"/>
              <w:bottom w:val="nil"/>
              <w:right w:val="nil"/>
            </w:tcBorders>
            <w:shd w:val="clear" w:color="auto" w:fill="auto"/>
            <w:noWrap/>
            <w:vAlign w:val="bottom"/>
            <w:hideMark/>
          </w:tcPr>
          <w:p w14:paraId="6A4587D4" w14:textId="77777777" w:rsidR="00E502D0" w:rsidRPr="00A00187" w:rsidRDefault="00E502D0" w:rsidP="00E502D0">
            <w:pPr>
              <w:spacing w:line="240" w:lineRule="auto"/>
              <w:jc w:val="left"/>
              <w:rPr>
                <w:rFonts w:ascii="Times New Roman" w:eastAsia="Times New Roman" w:hAnsi="Times New Roman"/>
                <w:sz w:val="20"/>
                <w:szCs w:val="20"/>
                <w:lang w:eastAsia="cs-CZ"/>
              </w:rPr>
            </w:pPr>
          </w:p>
        </w:tc>
        <w:tc>
          <w:tcPr>
            <w:tcW w:w="909" w:type="dxa"/>
            <w:tcBorders>
              <w:top w:val="nil"/>
              <w:left w:val="nil"/>
              <w:bottom w:val="nil"/>
              <w:right w:val="nil"/>
            </w:tcBorders>
            <w:shd w:val="clear" w:color="auto" w:fill="auto"/>
            <w:noWrap/>
            <w:vAlign w:val="bottom"/>
            <w:hideMark/>
          </w:tcPr>
          <w:p w14:paraId="0878ADA9" w14:textId="77777777" w:rsidR="00E502D0" w:rsidRPr="00A00187" w:rsidRDefault="00E502D0" w:rsidP="00E502D0">
            <w:pPr>
              <w:spacing w:line="240" w:lineRule="auto"/>
              <w:jc w:val="left"/>
              <w:rPr>
                <w:rFonts w:ascii="Times New Roman" w:eastAsia="Times New Roman" w:hAnsi="Times New Roman"/>
                <w:sz w:val="20"/>
                <w:szCs w:val="20"/>
                <w:lang w:eastAsia="cs-CZ"/>
              </w:rPr>
            </w:pPr>
          </w:p>
        </w:tc>
        <w:tc>
          <w:tcPr>
            <w:tcW w:w="1042" w:type="dxa"/>
            <w:tcBorders>
              <w:top w:val="nil"/>
              <w:left w:val="nil"/>
              <w:bottom w:val="nil"/>
              <w:right w:val="nil"/>
            </w:tcBorders>
            <w:shd w:val="clear" w:color="auto" w:fill="auto"/>
            <w:noWrap/>
            <w:vAlign w:val="bottom"/>
            <w:hideMark/>
          </w:tcPr>
          <w:p w14:paraId="18AAE9B0" w14:textId="77777777" w:rsidR="00E502D0" w:rsidRPr="00A00187" w:rsidRDefault="00E502D0" w:rsidP="00E502D0">
            <w:pPr>
              <w:spacing w:line="240" w:lineRule="auto"/>
              <w:jc w:val="left"/>
              <w:rPr>
                <w:rFonts w:ascii="Times New Roman" w:eastAsia="Times New Roman" w:hAnsi="Times New Roman"/>
                <w:sz w:val="20"/>
                <w:szCs w:val="20"/>
                <w:lang w:eastAsia="cs-CZ"/>
              </w:rPr>
            </w:pPr>
          </w:p>
        </w:tc>
        <w:tc>
          <w:tcPr>
            <w:tcW w:w="909" w:type="dxa"/>
            <w:tcBorders>
              <w:top w:val="nil"/>
              <w:left w:val="nil"/>
              <w:bottom w:val="nil"/>
              <w:right w:val="nil"/>
            </w:tcBorders>
            <w:shd w:val="clear" w:color="auto" w:fill="auto"/>
            <w:noWrap/>
            <w:vAlign w:val="bottom"/>
            <w:hideMark/>
          </w:tcPr>
          <w:p w14:paraId="6FD3CEBD" w14:textId="77777777" w:rsidR="00E502D0" w:rsidRPr="00A00187" w:rsidRDefault="00E502D0" w:rsidP="00E502D0">
            <w:pPr>
              <w:spacing w:line="240" w:lineRule="auto"/>
              <w:jc w:val="left"/>
              <w:rPr>
                <w:rFonts w:ascii="Times New Roman" w:eastAsia="Times New Roman" w:hAnsi="Times New Roman"/>
                <w:sz w:val="20"/>
                <w:szCs w:val="20"/>
                <w:lang w:eastAsia="cs-CZ"/>
              </w:rPr>
            </w:pPr>
          </w:p>
        </w:tc>
        <w:tc>
          <w:tcPr>
            <w:tcW w:w="1042" w:type="dxa"/>
            <w:tcBorders>
              <w:top w:val="nil"/>
              <w:left w:val="nil"/>
              <w:bottom w:val="nil"/>
              <w:right w:val="nil"/>
            </w:tcBorders>
            <w:shd w:val="clear" w:color="auto" w:fill="auto"/>
            <w:noWrap/>
            <w:vAlign w:val="bottom"/>
            <w:hideMark/>
          </w:tcPr>
          <w:p w14:paraId="2BAF25A4" w14:textId="77777777" w:rsidR="00E502D0" w:rsidRPr="00A00187" w:rsidRDefault="00E502D0" w:rsidP="00E502D0">
            <w:pPr>
              <w:spacing w:line="240" w:lineRule="auto"/>
              <w:jc w:val="left"/>
              <w:rPr>
                <w:rFonts w:ascii="Times New Roman" w:eastAsia="Times New Roman" w:hAnsi="Times New Roman"/>
                <w:sz w:val="20"/>
                <w:szCs w:val="20"/>
                <w:lang w:eastAsia="cs-CZ"/>
              </w:rPr>
            </w:pPr>
          </w:p>
        </w:tc>
        <w:tc>
          <w:tcPr>
            <w:tcW w:w="781" w:type="dxa"/>
            <w:tcBorders>
              <w:top w:val="nil"/>
              <w:left w:val="nil"/>
              <w:bottom w:val="nil"/>
              <w:right w:val="nil"/>
            </w:tcBorders>
            <w:shd w:val="clear" w:color="auto" w:fill="auto"/>
            <w:noWrap/>
            <w:vAlign w:val="bottom"/>
            <w:hideMark/>
          </w:tcPr>
          <w:p w14:paraId="7943DD84" w14:textId="77777777" w:rsidR="00E502D0" w:rsidRPr="00A00187" w:rsidRDefault="00E502D0" w:rsidP="005709BE">
            <w:pPr>
              <w:spacing w:line="240" w:lineRule="auto"/>
              <w:jc w:val="center"/>
              <w:rPr>
                <w:rFonts w:ascii="Times New Roman" w:eastAsia="Times New Roman" w:hAnsi="Times New Roman"/>
                <w:sz w:val="20"/>
                <w:szCs w:val="20"/>
                <w:lang w:eastAsia="cs-CZ"/>
              </w:rPr>
            </w:pPr>
          </w:p>
        </w:tc>
      </w:tr>
    </w:tbl>
    <w:p w14:paraId="7696A6BB" w14:textId="4CA9BCCC" w:rsidR="00CB570A" w:rsidRDefault="00442890" w:rsidP="00E502D0">
      <w:r w:rsidRPr="00A00187">
        <w:t>Tato tabulka dobře dokumentuje skutečnost, že na snižování počtu nevyřízených věcí má</w:t>
      </w:r>
      <w:r w:rsidR="00C876C3" w:rsidRPr="00A00187">
        <w:t xml:space="preserve"> v současné době</w:t>
      </w:r>
      <w:r w:rsidRPr="00A00187">
        <w:t xml:space="preserve"> vliv spíše vývoj věcí příchozích než tempo vyřizování věcí. </w:t>
      </w:r>
      <w:r w:rsidR="00E502D0" w:rsidRPr="00A00187">
        <w:t>Zdaleka nejvíce nevyřízených věcí na soudce vykazuje MS Praha</w:t>
      </w:r>
      <w:r w:rsidR="00B77100" w:rsidRPr="00A00187">
        <w:t>.</w:t>
      </w:r>
      <w:r w:rsidR="00E502D0" w:rsidRPr="00A00187">
        <w:t xml:space="preserve"> </w:t>
      </w:r>
      <w:r w:rsidR="00125245" w:rsidRPr="00A00187">
        <w:t>Tento s</w:t>
      </w:r>
      <w:r w:rsidR="00E502D0" w:rsidRPr="00A00187">
        <w:t xml:space="preserve">oud má </w:t>
      </w:r>
      <w:r w:rsidR="00125245" w:rsidRPr="00A00187">
        <w:t xml:space="preserve">také </w:t>
      </w:r>
      <w:r w:rsidR="00E502D0" w:rsidRPr="00A00187">
        <w:t>vysoké délky řízení a data naznačují, že může mít problémy s vyřizováním incidenčních sporů.</w:t>
      </w:r>
      <w:r w:rsidR="00006824" w:rsidRPr="00A00187">
        <w:t xml:space="preserve"> </w:t>
      </w:r>
      <w:r w:rsidR="00E502D0" w:rsidRPr="00A00187">
        <w:t>Následuje KS Brno, které také vykazuje vysoké délky řízení</w:t>
      </w:r>
      <w:r w:rsidR="00125245" w:rsidRPr="00A00187">
        <w:t>,</w:t>
      </w:r>
      <w:r w:rsidR="00E502D0" w:rsidRPr="00A00187">
        <w:t xml:space="preserve"> </w:t>
      </w:r>
      <w:r w:rsidR="00755920" w:rsidRPr="00A00187">
        <w:t>a</w:t>
      </w:r>
      <w:r w:rsidR="00755920">
        <w:t> </w:t>
      </w:r>
      <w:r w:rsidR="00E502D0" w:rsidRPr="00A00187">
        <w:t>dále KS Praha.</w:t>
      </w:r>
    </w:p>
    <w:p w14:paraId="6840B2F6" w14:textId="620BB7CA" w:rsidR="00E502D0" w:rsidRPr="00A00187" w:rsidRDefault="00E502D0" w:rsidP="00E502D0">
      <w:r w:rsidRPr="00A00187">
        <w:t>Malý počet příchozích a vyřízených věcí na soudce má KS Ostrava, což lze dobře vysvětlit. Tento soud řeší opravdu složité incidenční spory, z nichž jsou některé známy i ze sdělovacích prostředků.</w:t>
      </w:r>
    </w:p>
    <w:p w14:paraId="3F65CC72" w14:textId="5CB4F00F" w:rsidR="00CB570A" w:rsidRDefault="00E502D0" w:rsidP="00E502D0">
      <w:r w:rsidRPr="00A00187">
        <w:t xml:space="preserve">Obdobně malé počty nicméně vykazují </w:t>
      </w:r>
      <w:r w:rsidR="00755920" w:rsidRPr="00A00187">
        <w:t>i</w:t>
      </w:r>
      <w:r w:rsidR="00755920">
        <w:t> </w:t>
      </w:r>
      <w:r w:rsidRPr="00A00187">
        <w:t xml:space="preserve">KS Plzeň </w:t>
      </w:r>
      <w:r w:rsidR="00755920" w:rsidRPr="00A00187">
        <w:t>a</w:t>
      </w:r>
      <w:r w:rsidR="00755920">
        <w:t> </w:t>
      </w:r>
      <w:r w:rsidRPr="00A00187">
        <w:t>KS České Budějovice. Zde je ovšem třeba poznamenat, že počet soud</w:t>
      </w:r>
      <w:r w:rsidR="00125245" w:rsidRPr="00A00187">
        <w:t>c</w:t>
      </w:r>
      <w:r w:rsidRPr="00A00187">
        <w:t>ů, kteří vyřizují incidenční spory</w:t>
      </w:r>
      <w:r w:rsidR="00125245" w:rsidRPr="00A00187">
        <w:t>,</w:t>
      </w:r>
      <w:r w:rsidRPr="00A00187">
        <w:t xml:space="preserve"> je relativně malý </w:t>
      </w:r>
      <w:r w:rsidR="00755920" w:rsidRPr="00A00187">
        <w:t>a</w:t>
      </w:r>
      <w:r w:rsidR="00755920">
        <w:t> </w:t>
      </w:r>
      <w:r w:rsidRPr="00A00187">
        <w:t xml:space="preserve">tedy </w:t>
      </w:r>
      <w:r w:rsidR="00755920" w:rsidRPr="00A00187">
        <w:t>i</w:t>
      </w:r>
      <w:r w:rsidR="00755920">
        <w:t> </w:t>
      </w:r>
      <w:r w:rsidRPr="00A00187">
        <w:t>malé změny v počtu soudců ovlivní konečný přepočet. To platí obzvlášť pro KS v Českých Budějovicích.</w:t>
      </w:r>
    </w:p>
    <w:p w14:paraId="151E65A1" w14:textId="0C8758C9" w:rsidR="00E502D0" w:rsidRPr="00A00187" w:rsidRDefault="00E502D0" w:rsidP="00E502D0">
      <w:r w:rsidRPr="00A00187">
        <w:t>Nakonec je ještě třeba upozornit na srovnání s obchodní a civilní agendou. Počet příchozích a vyřízených věcí na soudce je u incidenčních sporů výrazně nižší, což opět ukazuje na složitost této agendy.</w:t>
      </w:r>
    </w:p>
    <w:p w14:paraId="6F25E058" w14:textId="70C13EB7" w:rsidR="008430BD" w:rsidRPr="00A00187" w:rsidRDefault="008430BD" w:rsidP="008430BD">
      <w:pPr>
        <w:pStyle w:val="Nadpis3"/>
        <w:numPr>
          <w:ilvl w:val="2"/>
          <w:numId w:val="1"/>
        </w:numPr>
        <w:rPr>
          <w:color w:val="auto"/>
        </w:rPr>
      </w:pPr>
      <w:bookmarkStart w:id="990" w:name="_Toc106092788"/>
      <w:bookmarkStart w:id="991" w:name="_Toc109801399"/>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(dispoziční čas)</w:t>
      </w:r>
      <w:bookmarkEnd w:id="990"/>
      <w:bookmarkEnd w:id="991"/>
    </w:p>
    <w:p w14:paraId="6936652B" w14:textId="54058A96" w:rsidR="003F24F0" w:rsidRPr="00A00187" w:rsidRDefault="003F24F0" w:rsidP="003F24F0">
      <w:pPr>
        <w:pStyle w:val="OdstavecASR"/>
      </w:pPr>
      <w:proofErr w:type="spellStart"/>
      <w:r w:rsidRPr="00A00187">
        <w:t>Disposition</w:t>
      </w:r>
      <w:proofErr w:type="spellEnd"/>
      <w:r w:rsidRPr="00A00187">
        <w:t xml:space="preserve"> </w:t>
      </w:r>
      <w:proofErr w:type="spellStart"/>
      <w:r w:rsidRPr="00A00187">
        <w:t>time</w:t>
      </w:r>
      <w:proofErr w:type="spellEnd"/>
      <w:r w:rsidRPr="00A00187">
        <w:t xml:space="preserve"> a jeho výše vyplývá z údajů v podkapitole 3.8.2. Díky rostoucímu počtu vyřízených věcí a v posledních 2 letech také díky úbytku nevyřízených věcí DT postupně klesal, a to především mezi roky 2017 a 2018. V roce 2020 došlo poprvé od roku 2015 k nárůstu v DT, což plyne především z</w:t>
      </w:r>
      <w:r w:rsidR="003362DD">
        <w:t xml:space="preserve"> nárůstu </w:t>
      </w:r>
      <w:r w:rsidRPr="00A00187">
        <w:t>počtu vyřízených věcí.</w:t>
      </w:r>
      <w:r w:rsidR="00D81A9C" w:rsidRPr="00A00187">
        <w:t xml:space="preserve"> V roce 2021 opět došlo k poklesu, což plyne z poklesu v počtu nevyřízených věcí.</w:t>
      </w:r>
    </w:p>
    <w:p w14:paraId="06280EC0" w14:textId="2E13D280" w:rsidR="00CB570A" w:rsidRDefault="003F24F0" w:rsidP="003F24F0">
      <w:pPr>
        <w:pStyle w:val="OdstavecASR"/>
      </w:pPr>
      <w:r w:rsidRPr="00A00187">
        <w:t xml:space="preserve">Mezi jednotlivými soudy jsou pak velké rozdíly, což opět plyne z počtu vyřízených a nevyřízených věcí. Absolutně </w:t>
      </w:r>
      <w:r w:rsidR="00E8109E" w:rsidRPr="00A00187">
        <w:t xml:space="preserve">nejvyšší </w:t>
      </w:r>
      <w:r w:rsidRPr="00A00187">
        <w:t>DT má</w:t>
      </w:r>
      <w:r w:rsidR="00D81A9C" w:rsidRPr="00A00187">
        <w:t xml:space="preserve"> KS Brno </w:t>
      </w:r>
      <w:r w:rsidR="00755920" w:rsidRPr="00A00187">
        <w:t>a</w:t>
      </w:r>
      <w:r w:rsidR="00755920">
        <w:t> </w:t>
      </w:r>
      <w:r w:rsidRPr="00A00187">
        <w:t xml:space="preserve">MS Praha, </w:t>
      </w:r>
      <w:r w:rsidR="007474D8" w:rsidRPr="00A00187">
        <w:t xml:space="preserve">nejnižší </w:t>
      </w:r>
      <w:r w:rsidRPr="00A00187">
        <w:t>naopak KS České Budějovice. Nárůst DT je vidět u KS v</w:t>
      </w:r>
      <w:r w:rsidR="00D81A9C" w:rsidRPr="00A00187">
        <w:t> </w:t>
      </w:r>
      <w:r w:rsidRPr="00A00187">
        <w:t>Brně</w:t>
      </w:r>
      <w:r w:rsidR="00D81A9C" w:rsidRPr="00A00187">
        <w:t xml:space="preserve"> </w:t>
      </w:r>
      <w:r w:rsidR="00755920" w:rsidRPr="00A00187">
        <w:t>a</w:t>
      </w:r>
      <w:r w:rsidR="00755920">
        <w:t> </w:t>
      </w:r>
      <w:r w:rsidR="00D81A9C" w:rsidRPr="00A00187">
        <w:t>KS v Hradci Králové</w:t>
      </w:r>
      <w:r w:rsidRPr="00A00187">
        <w:t xml:space="preserve">, </w:t>
      </w:r>
      <w:r w:rsidR="00D81A9C" w:rsidRPr="00A00187">
        <w:t xml:space="preserve">protože </w:t>
      </w:r>
      <w:r w:rsidR="00755920" w:rsidRPr="00A00187">
        <w:t>u</w:t>
      </w:r>
      <w:r w:rsidR="00755920">
        <w:t> </w:t>
      </w:r>
      <w:r w:rsidR="00D81A9C" w:rsidRPr="00A00187">
        <w:t xml:space="preserve">nich počet vyřízených věcí klesl rychleji než počet věcí nevyřízených. </w:t>
      </w:r>
      <w:r w:rsidR="00755920" w:rsidRPr="00A00187">
        <w:t>U</w:t>
      </w:r>
      <w:r w:rsidR="00755920">
        <w:t> </w:t>
      </w:r>
      <w:r w:rsidR="00D81A9C" w:rsidRPr="00A00187">
        <w:t>ostatních soudů je tomu naopak.</w:t>
      </w:r>
    </w:p>
    <w:p w14:paraId="72CD2FE2" w14:textId="19DF157F" w:rsidR="003F24F0" w:rsidRPr="00A00187" w:rsidRDefault="003F24F0" w:rsidP="003F24F0">
      <w:pPr>
        <w:pStyle w:val="Podnadpis"/>
        <w:numPr>
          <w:ilvl w:val="0"/>
          <w:numId w:val="0"/>
        </w:numPr>
        <w:rPr>
          <w:color w:val="auto"/>
        </w:rPr>
      </w:pPr>
      <w:bookmarkStart w:id="992" w:name="_Toc43841458"/>
      <w:bookmarkStart w:id="993" w:name="_Toc75952261"/>
      <w:bookmarkStart w:id="994" w:name="_Toc106106718"/>
      <w:bookmarkStart w:id="995" w:name="_Toc109802042"/>
      <w:r w:rsidRPr="00A00187">
        <w:rPr>
          <w:color w:val="auto"/>
        </w:rPr>
        <w:lastRenderedPageBreak/>
        <w:t xml:space="preserve">Graf </w:t>
      </w:r>
      <w:r w:rsidRPr="00A00187">
        <w:rPr>
          <w:color w:val="auto"/>
        </w:rPr>
        <w:fldChar w:fldCharType="begin"/>
      </w:r>
      <w:r w:rsidRPr="00A00187">
        <w:rPr>
          <w:noProof/>
          <w:color w:val="auto"/>
        </w:rPr>
        <w:instrText xml:space="preserve"> SEQ Graf \* ARABIC </w:instrText>
      </w:r>
      <w:r w:rsidRPr="00A00187">
        <w:rPr>
          <w:color w:val="auto"/>
        </w:rPr>
        <w:fldChar w:fldCharType="separate"/>
      </w:r>
      <w:r w:rsidR="00DE6B5E">
        <w:rPr>
          <w:noProof/>
          <w:color w:val="auto"/>
        </w:rPr>
        <w:t>84</w:t>
      </w:r>
      <w:r w:rsidRPr="00A00187">
        <w:rPr>
          <w:color w:val="auto"/>
        </w:rPr>
        <w:fldChar w:fldCharType="end"/>
      </w:r>
      <w:r w:rsidRPr="00A00187">
        <w:rPr>
          <w:color w:val="auto"/>
        </w:rPr>
        <w:t>: KS – DT incidenčních sporů v letech 2011–20</w:t>
      </w:r>
      <w:bookmarkEnd w:id="992"/>
      <w:r w:rsidRPr="00A00187">
        <w:rPr>
          <w:color w:val="auto"/>
        </w:rPr>
        <w:t>2</w:t>
      </w:r>
      <w:bookmarkEnd w:id="993"/>
      <w:r w:rsidRPr="00A00187">
        <w:rPr>
          <w:color w:val="auto"/>
        </w:rPr>
        <w:t>1</w:t>
      </w:r>
      <w:bookmarkEnd w:id="994"/>
      <w:bookmarkEnd w:id="995"/>
    </w:p>
    <w:p w14:paraId="1A0B249C" w14:textId="0A7E56C0" w:rsidR="003F24F0" w:rsidRPr="00A00187" w:rsidRDefault="003F24F0" w:rsidP="003F24F0">
      <w:r w:rsidRPr="00A00187">
        <w:rPr>
          <w:noProof/>
        </w:rPr>
        <w:drawing>
          <wp:inline distT="0" distB="0" distL="0" distR="0" wp14:anchorId="6C50C70C" wp14:editId="4A8FD229">
            <wp:extent cx="5025390" cy="3657600"/>
            <wp:effectExtent l="0" t="0" r="381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408FD6F6" w14:textId="5A4EAF1E" w:rsidR="003F24F0" w:rsidRPr="00A00187" w:rsidRDefault="003F24F0" w:rsidP="003F24F0"/>
    <w:p w14:paraId="67AB78B4" w14:textId="61163ABF" w:rsidR="00D81A9C" w:rsidRPr="00A00187" w:rsidRDefault="00D81A9C" w:rsidP="00D81A9C">
      <w:pPr>
        <w:pStyle w:val="Podnadpis"/>
        <w:rPr>
          <w:color w:val="auto"/>
        </w:rPr>
      </w:pPr>
      <w:bookmarkStart w:id="996" w:name="_Toc75952383"/>
      <w:bookmarkStart w:id="997" w:name="_Toc106106836"/>
      <w:bookmarkStart w:id="998" w:name="_Toc109802159"/>
      <w:r w:rsidRPr="00A00187">
        <w:rPr>
          <w:color w:val="auto"/>
        </w:rPr>
        <w:t xml:space="preserve">Tabulka </w:t>
      </w:r>
      <w:r w:rsidRPr="00A00187">
        <w:rPr>
          <w:color w:val="auto"/>
        </w:rPr>
        <w:fldChar w:fldCharType="begin"/>
      </w:r>
      <w:r w:rsidRPr="00A00187">
        <w:rPr>
          <w:noProof/>
          <w:color w:val="auto"/>
        </w:rPr>
        <w:instrText xml:space="preserve"> SEQ Tabulka \* ARABIC </w:instrText>
      </w:r>
      <w:r w:rsidRPr="00A00187">
        <w:rPr>
          <w:color w:val="auto"/>
        </w:rPr>
        <w:fldChar w:fldCharType="separate"/>
      </w:r>
      <w:r w:rsidR="00DE6B5E">
        <w:rPr>
          <w:noProof/>
          <w:color w:val="auto"/>
        </w:rPr>
        <w:t>74</w:t>
      </w:r>
      <w:r w:rsidRPr="00A00187">
        <w:rPr>
          <w:color w:val="auto"/>
        </w:rPr>
        <w:fldChar w:fldCharType="end"/>
      </w:r>
      <w:r w:rsidRPr="00A00187">
        <w:rPr>
          <w:color w:val="auto"/>
        </w:rPr>
        <w:t>: KS – DT incidenčních sporů dle soudů</w:t>
      </w:r>
      <w:bookmarkEnd w:id="996"/>
      <w:bookmarkEnd w:id="997"/>
      <w:bookmarkEnd w:id="998"/>
    </w:p>
    <w:tbl>
      <w:tblPr>
        <w:tblW w:w="4752" w:type="dxa"/>
        <w:tblCellMar>
          <w:left w:w="70" w:type="dxa"/>
          <w:right w:w="70" w:type="dxa"/>
        </w:tblCellMar>
        <w:tblLook w:val="04A0" w:firstRow="1" w:lastRow="0" w:firstColumn="1" w:lastColumn="0" w:noHBand="0" w:noVBand="1"/>
      </w:tblPr>
      <w:tblGrid>
        <w:gridCol w:w="1836"/>
        <w:gridCol w:w="1128"/>
        <w:gridCol w:w="1788"/>
      </w:tblGrid>
      <w:tr w:rsidR="00AC1E67" w:rsidRPr="00A00187" w14:paraId="0BB51234" w14:textId="77777777" w:rsidTr="00D81A9C">
        <w:trPr>
          <w:trHeight w:val="345"/>
        </w:trPr>
        <w:tc>
          <w:tcPr>
            <w:tcW w:w="1836" w:type="dxa"/>
            <w:tcBorders>
              <w:top w:val="double" w:sz="6" w:space="0" w:color="auto"/>
              <w:left w:val="nil"/>
              <w:bottom w:val="double" w:sz="6" w:space="0" w:color="auto"/>
              <w:right w:val="nil"/>
            </w:tcBorders>
            <w:shd w:val="clear" w:color="auto" w:fill="auto"/>
            <w:noWrap/>
            <w:vAlign w:val="center"/>
            <w:hideMark/>
          </w:tcPr>
          <w:p w14:paraId="0DE73703" w14:textId="77777777" w:rsidR="00D81A9C" w:rsidRPr="00A00187" w:rsidRDefault="00D81A9C" w:rsidP="00D81A9C">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2916" w:type="dxa"/>
            <w:gridSpan w:val="2"/>
            <w:tcBorders>
              <w:top w:val="double" w:sz="6" w:space="0" w:color="auto"/>
              <w:left w:val="nil"/>
              <w:bottom w:val="double" w:sz="6" w:space="0" w:color="auto"/>
              <w:right w:val="nil"/>
            </w:tcBorders>
            <w:shd w:val="clear" w:color="auto" w:fill="auto"/>
            <w:noWrap/>
            <w:vAlign w:val="center"/>
            <w:hideMark/>
          </w:tcPr>
          <w:p w14:paraId="7A362EF9" w14:textId="77777777" w:rsidR="00D81A9C" w:rsidRPr="00A00187" w:rsidRDefault="00D81A9C" w:rsidP="00D81A9C">
            <w:pPr>
              <w:spacing w:line="240" w:lineRule="auto"/>
              <w:jc w:val="center"/>
              <w:rPr>
                <w:rFonts w:eastAsia="Times New Roman"/>
                <w:b/>
                <w:bCs/>
                <w:szCs w:val="24"/>
                <w:lang w:eastAsia="cs-CZ"/>
              </w:rPr>
            </w:pPr>
            <w:proofErr w:type="spellStart"/>
            <w:r w:rsidRPr="00A00187">
              <w:rPr>
                <w:rFonts w:eastAsia="Times New Roman"/>
                <w:b/>
                <w:bCs/>
                <w:szCs w:val="24"/>
                <w:lang w:eastAsia="cs-CZ"/>
              </w:rPr>
              <w:t>Disposition</w:t>
            </w:r>
            <w:proofErr w:type="spellEnd"/>
            <w:r w:rsidRPr="00A00187">
              <w:rPr>
                <w:rFonts w:eastAsia="Times New Roman"/>
                <w:b/>
                <w:bCs/>
                <w:szCs w:val="24"/>
                <w:lang w:eastAsia="cs-CZ"/>
              </w:rPr>
              <w:t xml:space="preserve"> </w:t>
            </w:r>
            <w:proofErr w:type="spellStart"/>
            <w:r w:rsidRPr="00A00187">
              <w:rPr>
                <w:rFonts w:eastAsia="Times New Roman"/>
                <w:b/>
                <w:bCs/>
                <w:szCs w:val="24"/>
                <w:lang w:eastAsia="cs-CZ"/>
              </w:rPr>
              <w:t>time</w:t>
            </w:r>
            <w:proofErr w:type="spellEnd"/>
          </w:p>
        </w:tc>
      </w:tr>
      <w:tr w:rsidR="00AC1E67" w:rsidRPr="00A00187" w14:paraId="067A9CB4" w14:textId="77777777" w:rsidTr="00D81A9C">
        <w:trPr>
          <w:trHeight w:val="330"/>
        </w:trPr>
        <w:tc>
          <w:tcPr>
            <w:tcW w:w="1836" w:type="dxa"/>
            <w:tcBorders>
              <w:top w:val="nil"/>
              <w:left w:val="nil"/>
              <w:bottom w:val="single" w:sz="4" w:space="0" w:color="auto"/>
              <w:right w:val="nil"/>
            </w:tcBorders>
            <w:shd w:val="clear" w:color="auto" w:fill="auto"/>
            <w:noWrap/>
            <w:vAlign w:val="bottom"/>
            <w:hideMark/>
          </w:tcPr>
          <w:p w14:paraId="3C87FF3A"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MS Praha</w:t>
            </w:r>
          </w:p>
        </w:tc>
        <w:tc>
          <w:tcPr>
            <w:tcW w:w="1128" w:type="dxa"/>
            <w:tcBorders>
              <w:top w:val="nil"/>
              <w:left w:val="nil"/>
              <w:bottom w:val="single" w:sz="4" w:space="0" w:color="auto"/>
              <w:right w:val="nil"/>
            </w:tcBorders>
            <w:shd w:val="clear" w:color="auto" w:fill="auto"/>
            <w:noWrap/>
            <w:vAlign w:val="bottom"/>
            <w:hideMark/>
          </w:tcPr>
          <w:p w14:paraId="48571F99"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479</w:t>
            </w:r>
          </w:p>
        </w:tc>
        <w:tc>
          <w:tcPr>
            <w:tcW w:w="1788" w:type="dxa"/>
            <w:tcBorders>
              <w:top w:val="nil"/>
              <w:left w:val="nil"/>
              <w:bottom w:val="single" w:sz="4" w:space="0" w:color="auto"/>
              <w:right w:val="nil"/>
            </w:tcBorders>
            <w:shd w:val="clear" w:color="auto" w:fill="auto"/>
            <w:noWrap/>
            <w:vAlign w:val="center"/>
            <w:hideMark/>
          </w:tcPr>
          <w:p w14:paraId="51640E04" w14:textId="7BD5B277"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-32</w:t>
            </w:r>
            <w:r w:rsidR="00CB570A">
              <w:rPr>
                <w:rFonts w:eastAsia="Times New Roman"/>
                <w:sz w:val="20"/>
                <w:szCs w:val="20"/>
                <w:lang w:eastAsia="cs-CZ"/>
              </w:rPr>
              <w:t> %</w:t>
            </w:r>
          </w:p>
        </w:tc>
      </w:tr>
      <w:tr w:rsidR="00AC1E67" w:rsidRPr="00A00187" w14:paraId="43357680" w14:textId="77777777" w:rsidTr="00D81A9C">
        <w:trPr>
          <w:trHeight w:val="315"/>
        </w:trPr>
        <w:tc>
          <w:tcPr>
            <w:tcW w:w="1836" w:type="dxa"/>
            <w:tcBorders>
              <w:top w:val="nil"/>
              <w:left w:val="nil"/>
              <w:bottom w:val="single" w:sz="4" w:space="0" w:color="auto"/>
              <w:right w:val="nil"/>
            </w:tcBorders>
            <w:shd w:val="clear" w:color="auto" w:fill="auto"/>
            <w:noWrap/>
            <w:vAlign w:val="bottom"/>
            <w:hideMark/>
          </w:tcPr>
          <w:p w14:paraId="28DA526D"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KS Praha</w:t>
            </w:r>
          </w:p>
        </w:tc>
        <w:tc>
          <w:tcPr>
            <w:tcW w:w="1128" w:type="dxa"/>
            <w:tcBorders>
              <w:top w:val="nil"/>
              <w:left w:val="nil"/>
              <w:bottom w:val="single" w:sz="4" w:space="0" w:color="auto"/>
              <w:right w:val="nil"/>
            </w:tcBorders>
            <w:shd w:val="clear" w:color="auto" w:fill="auto"/>
            <w:noWrap/>
            <w:vAlign w:val="bottom"/>
            <w:hideMark/>
          </w:tcPr>
          <w:p w14:paraId="5A98D971"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243</w:t>
            </w:r>
          </w:p>
        </w:tc>
        <w:tc>
          <w:tcPr>
            <w:tcW w:w="1788" w:type="dxa"/>
            <w:tcBorders>
              <w:top w:val="nil"/>
              <w:left w:val="nil"/>
              <w:bottom w:val="single" w:sz="4" w:space="0" w:color="auto"/>
              <w:right w:val="nil"/>
            </w:tcBorders>
            <w:shd w:val="clear" w:color="auto" w:fill="auto"/>
            <w:noWrap/>
            <w:vAlign w:val="center"/>
            <w:hideMark/>
          </w:tcPr>
          <w:p w14:paraId="34DAA695" w14:textId="502C6ECC"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-36</w:t>
            </w:r>
            <w:r w:rsidR="00CB570A">
              <w:rPr>
                <w:rFonts w:eastAsia="Times New Roman"/>
                <w:sz w:val="20"/>
                <w:szCs w:val="20"/>
                <w:lang w:eastAsia="cs-CZ"/>
              </w:rPr>
              <w:t> %</w:t>
            </w:r>
          </w:p>
        </w:tc>
      </w:tr>
      <w:tr w:rsidR="00AC1E67" w:rsidRPr="00A00187" w14:paraId="5B01E24E" w14:textId="77777777" w:rsidTr="00D81A9C">
        <w:trPr>
          <w:trHeight w:val="315"/>
        </w:trPr>
        <w:tc>
          <w:tcPr>
            <w:tcW w:w="1836" w:type="dxa"/>
            <w:tcBorders>
              <w:top w:val="nil"/>
              <w:left w:val="nil"/>
              <w:bottom w:val="single" w:sz="4" w:space="0" w:color="auto"/>
              <w:right w:val="nil"/>
            </w:tcBorders>
            <w:shd w:val="clear" w:color="auto" w:fill="auto"/>
            <w:noWrap/>
            <w:vAlign w:val="bottom"/>
            <w:hideMark/>
          </w:tcPr>
          <w:p w14:paraId="750FD434"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KS Č. Budějovice</w:t>
            </w:r>
          </w:p>
        </w:tc>
        <w:tc>
          <w:tcPr>
            <w:tcW w:w="1128" w:type="dxa"/>
            <w:tcBorders>
              <w:top w:val="nil"/>
              <w:left w:val="nil"/>
              <w:bottom w:val="single" w:sz="4" w:space="0" w:color="auto"/>
              <w:right w:val="nil"/>
            </w:tcBorders>
            <w:shd w:val="clear" w:color="auto" w:fill="auto"/>
            <w:noWrap/>
            <w:vAlign w:val="bottom"/>
            <w:hideMark/>
          </w:tcPr>
          <w:p w14:paraId="7B4CC892"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144</w:t>
            </w:r>
          </w:p>
        </w:tc>
        <w:tc>
          <w:tcPr>
            <w:tcW w:w="1788" w:type="dxa"/>
            <w:tcBorders>
              <w:top w:val="nil"/>
              <w:left w:val="nil"/>
              <w:bottom w:val="single" w:sz="4" w:space="0" w:color="auto"/>
              <w:right w:val="nil"/>
            </w:tcBorders>
            <w:shd w:val="clear" w:color="auto" w:fill="auto"/>
            <w:noWrap/>
            <w:vAlign w:val="center"/>
            <w:hideMark/>
          </w:tcPr>
          <w:p w14:paraId="4BB788A4" w14:textId="53A373C8"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-31</w:t>
            </w:r>
            <w:r w:rsidR="00CB570A">
              <w:rPr>
                <w:rFonts w:eastAsia="Times New Roman"/>
                <w:sz w:val="20"/>
                <w:szCs w:val="20"/>
                <w:lang w:eastAsia="cs-CZ"/>
              </w:rPr>
              <w:t> %</w:t>
            </w:r>
          </w:p>
        </w:tc>
      </w:tr>
      <w:tr w:rsidR="00AC1E67" w:rsidRPr="00A00187" w14:paraId="08A52B65" w14:textId="77777777" w:rsidTr="00D81A9C">
        <w:trPr>
          <w:trHeight w:val="315"/>
        </w:trPr>
        <w:tc>
          <w:tcPr>
            <w:tcW w:w="1836" w:type="dxa"/>
            <w:tcBorders>
              <w:top w:val="nil"/>
              <w:left w:val="nil"/>
              <w:bottom w:val="single" w:sz="4" w:space="0" w:color="auto"/>
              <w:right w:val="nil"/>
            </w:tcBorders>
            <w:shd w:val="clear" w:color="auto" w:fill="auto"/>
            <w:noWrap/>
            <w:vAlign w:val="bottom"/>
            <w:hideMark/>
          </w:tcPr>
          <w:p w14:paraId="7253A54C"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KS Plzeň</w:t>
            </w:r>
          </w:p>
        </w:tc>
        <w:tc>
          <w:tcPr>
            <w:tcW w:w="1128" w:type="dxa"/>
            <w:tcBorders>
              <w:top w:val="nil"/>
              <w:left w:val="nil"/>
              <w:bottom w:val="single" w:sz="4" w:space="0" w:color="auto"/>
              <w:right w:val="nil"/>
            </w:tcBorders>
            <w:shd w:val="clear" w:color="auto" w:fill="auto"/>
            <w:noWrap/>
            <w:vAlign w:val="bottom"/>
            <w:hideMark/>
          </w:tcPr>
          <w:p w14:paraId="0DF94215"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236</w:t>
            </w:r>
          </w:p>
        </w:tc>
        <w:tc>
          <w:tcPr>
            <w:tcW w:w="1788" w:type="dxa"/>
            <w:tcBorders>
              <w:top w:val="nil"/>
              <w:left w:val="nil"/>
              <w:bottom w:val="single" w:sz="4" w:space="0" w:color="auto"/>
              <w:right w:val="nil"/>
            </w:tcBorders>
            <w:shd w:val="clear" w:color="auto" w:fill="auto"/>
            <w:noWrap/>
            <w:vAlign w:val="center"/>
            <w:hideMark/>
          </w:tcPr>
          <w:p w14:paraId="2E68E1A4" w14:textId="409D9A2B"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-12</w:t>
            </w:r>
            <w:r w:rsidR="00CB570A">
              <w:rPr>
                <w:rFonts w:eastAsia="Times New Roman"/>
                <w:sz w:val="20"/>
                <w:szCs w:val="20"/>
                <w:lang w:eastAsia="cs-CZ"/>
              </w:rPr>
              <w:t> %</w:t>
            </w:r>
          </w:p>
        </w:tc>
      </w:tr>
      <w:tr w:rsidR="00AC1E67" w:rsidRPr="00A00187" w14:paraId="0447ECDB" w14:textId="77777777" w:rsidTr="00D81A9C">
        <w:trPr>
          <w:trHeight w:val="315"/>
        </w:trPr>
        <w:tc>
          <w:tcPr>
            <w:tcW w:w="1836" w:type="dxa"/>
            <w:tcBorders>
              <w:top w:val="nil"/>
              <w:left w:val="nil"/>
              <w:bottom w:val="single" w:sz="4" w:space="0" w:color="auto"/>
              <w:right w:val="nil"/>
            </w:tcBorders>
            <w:shd w:val="clear" w:color="auto" w:fill="auto"/>
            <w:noWrap/>
            <w:vAlign w:val="bottom"/>
            <w:hideMark/>
          </w:tcPr>
          <w:p w14:paraId="437E7ADD"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KS Ústí n. Labem</w:t>
            </w:r>
          </w:p>
        </w:tc>
        <w:tc>
          <w:tcPr>
            <w:tcW w:w="1128" w:type="dxa"/>
            <w:tcBorders>
              <w:top w:val="nil"/>
              <w:left w:val="nil"/>
              <w:bottom w:val="single" w:sz="4" w:space="0" w:color="auto"/>
              <w:right w:val="nil"/>
            </w:tcBorders>
            <w:shd w:val="clear" w:color="auto" w:fill="auto"/>
            <w:noWrap/>
            <w:vAlign w:val="bottom"/>
            <w:hideMark/>
          </w:tcPr>
          <w:p w14:paraId="663C3A76"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296</w:t>
            </w:r>
          </w:p>
        </w:tc>
        <w:tc>
          <w:tcPr>
            <w:tcW w:w="1788" w:type="dxa"/>
            <w:tcBorders>
              <w:top w:val="nil"/>
              <w:left w:val="nil"/>
              <w:bottom w:val="single" w:sz="4" w:space="0" w:color="auto"/>
              <w:right w:val="nil"/>
            </w:tcBorders>
            <w:shd w:val="clear" w:color="auto" w:fill="auto"/>
            <w:noWrap/>
            <w:vAlign w:val="center"/>
            <w:hideMark/>
          </w:tcPr>
          <w:p w14:paraId="2F9BBA54" w14:textId="79304DA4"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-14</w:t>
            </w:r>
            <w:r w:rsidR="00CB570A">
              <w:rPr>
                <w:rFonts w:eastAsia="Times New Roman"/>
                <w:sz w:val="20"/>
                <w:szCs w:val="20"/>
                <w:lang w:eastAsia="cs-CZ"/>
              </w:rPr>
              <w:t> %</w:t>
            </w:r>
          </w:p>
        </w:tc>
      </w:tr>
      <w:tr w:rsidR="00AC1E67" w:rsidRPr="00A00187" w14:paraId="2A9F6517" w14:textId="77777777" w:rsidTr="00D81A9C">
        <w:trPr>
          <w:trHeight w:val="315"/>
        </w:trPr>
        <w:tc>
          <w:tcPr>
            <w:tcW w:w="1836" w:type="dxa"/>
            <w:tcBorders>
              <w:top w:val="nil"/>
              <w:left w:val="nil"/>
              <w:bottom w:val="single" w:sz="4" w:space="0" w:color="auto"/>
              <w:right w:val="nil"/>
            </w:tcBorders>
            <w:shd w:val="clear" w:color="auto" w:fill="auto"/>
            <w:noWrap/>
            <w:vAlign w:val="bottom"/>
            <w:hideMark/>
          </w:tcPr>
          <w:p w14:paraId="565633D9"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KS Hr. Králové</w:t>
            </w:r>
          </w:p>
        </w:tc>
        <w:tc>
          <w:tcPr>
            <w:tcW w:w="1128" w:type="dxa"/>
            <w:tcBorders>
              <w:top w:val="nil"/>
              <w:left w:val="nil"/>
              <w:bottom w:val="single" w:sz="4" w:space="0" w:color="auto"/>
              <w:right w:val="nil"/>
            </w:tcBorders>
            <w:shd w:val="clear" w:color="auto" w:fill="auto"/>
            <w:noWrap/>
            <w:vAlign w:val="bottom"/>
            <w:hideMark/>
          </w:tcPr>
          <w:p w14:paraId="440FDEB4"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325</w:t>
            </w:r>
          </w:p>
        </w:tc>
        <w:tc>
          <w:tcPr>
            <w:tcW w:w="1788" w:type="dxa"/>
            <w:tcBorders>
              <w:top w:val="nil"/>
              <w:left w:val="nil"/>
              <w:bottom w:val="single" w:sz="4" w:space="0" w:color="auto"/>
              <w:right w:val="nil"/>
            </w:tcBorders>
            <w:shd w:val="clear" w:color="auto" w:fill="auto"/>
            <w:noWrap/>
            <w:vAlign w:val="center"/>
            <w:hideMark/>
          </w:tcPr>
          <w:p w14:paraId="2FDF752F" w14:textId="4D1F8D9B"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+28</w:t>
            </w:r>
            <w:r w:rsidR="00CB570A">
              <w:rPr>
                <w:rFonts w:eastAsia="Times New Roman"/>
                <w:sz w:val="20"/>
                <w:szCs w:val="20"/>
                <w:lang w:eastAsia="cs-CZ"/>
              </w:rPr>
              <w:t> %</w:t>
            </w:r>
          </w:p>
        </w:tc>
      </w:tr>
      <w:tr w:rsidR="00AC1E67" w:rsidRPr="00A00187" w14:paraId="67CE67AD" w14:textId="77777777" w:rsidTr="00D81A9C">
        <w:trPr>
          <w:trHeight w:val="315"/>
        </w:trPr>
        <w:tc>
          <w:tcPr>
            <w:tcW w:w="1836" w:type="dxa"/>
            <w:tcBorders>
              <w:top w:val="nil"/>
              <w:left w:val="nil"/>
              <w:bottom w:val="single" w:sz="4" w:space="0" w:color="auto"/>
              <w:right w:val="nil"/>
            </w:tcBorders>
            <w:shd w:val="clear" w:color="auto" w:fill="auto"/>
            <w:noWrap/>
            <w:vAlign w:val="bottom"/>
            <w:hideMark/>
          </w:tcPr>
          <w:p w14:paraId="3FF5F51A"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KS Brno</w:t>
            </w:r>
          </w:p>
        </w:tc>
        <w:tc>
          <w:tcPr>
            <w:tcW w:w="1128" w:type="dxa"/>
            <w:tcBorders>
              <w:top w:val="nil"/>
              <w:left w:val="nil"/>
              <w:bottom w:val="single" w:sz="4" w:space="0" w:color="auto"/>
              <w:right w:val="nil"/>
            </w:tcBorders>
            <w:shd w:val="clear" w:color="auto" w:fill="auto"/>
            <w:noWrap/>
            <w:vAlign w:val="bottom"/>
            <w:hideMark/>
          </w:tcPr>
          <w:p w14:paraId="59C8C6CD"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491</w:t>
            </w:r>
          </w:p>
        </w:tc>
        <w:tc>
          <w:tcPr>
            <w:tcW w:w="1788" w:type="dxa"/>
            <w:tcBorders>
              <w:top w:val="nil"/>
              <w:left w:val="nil"/>
              <w:bottom w:val="single" w:sz="4" w:space="0" w:color="auto"/>
              <w:right w:val="nil"/>
            </w:tcBorders>
            <w:shd w:val="clear" w:color="auto" w:fill="auto"/>
            <w:noWrap/>
            <w:vAlign w:val="center"/>
            <w:hideMark/>
          </w:tcPr>
          <w:p w14:paraId="067F96F2" w14:textId="4E88450E"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+24</w:t>
            </w:r>
            <w:r w:rsidR="00CB570A">
              <w:rPr>
                <w:rFonts w:eastAsia="Times New Roman"/>
                <w:sz w:val="20"/>
                <w:szCs w:val="20"/>
                <w:lang w:eastAsia="cs-CZ"/>
              </w:rPr>
              <w:t> %</w:t>
            </w:r>
          </w:p>
        </w:tc>
      </w:tr>
      <w:tr w:rsidR="00AC1E67" w:rsidRPr="00A00187" w14:paraId="72A92CA0" w14:textId="77777777" w:rsidTr="00D81A9C">
        <w:trPr>
          <w:trHeight w:val="330"/>
        </w:trPr>
        <w:tc>
          <w:tcPr>
            <w:tcW w:w="1836" w:type="dxa"/>
            <w:tcBorders>
              <w:top w:val="nil"/>
              <w:left w:val="nil"/>
              <w:bottom w:val="double" w:sz="6" w:space="0" w:color="auto"/>
              <w:right w:val="nil"/>
            </w:tcBorders>
            <w:shd w:val="clear" w:color="auto" w:fill="auto"/>
            <w:noWrap/>
            <w:vAlign w:val="bottom"/>
            <w:hideMark/>
          </w:tcPr>
          <w:p w14:paraId="746C46AA" w14:textId="77777777" w:rsidR="00D81A9C" w:rsidRPr="00A00187" w:rsidRDefault="00D81A9C" w:rsidP="00D81A9C">
            <w:pPr>
              <w:spacing w:line="240" w:lineRule="auto"/>
              <w:jc w:val="left"/>
              <w:rPr>
                <w:rFonts w:eastAsia="Times New Roman"/>
                <w:szCs w:val="24"/>
                <w:lang w:eastAsia="cs-CZ"/>
              </w:rPr>
            </w:pPr>
            <w:r w:rsidRPr="00A00187">
              <w:rPr>
                <w:rFonts w:eastAsia="Times New Roman"/>
                <w:szCs w:val="24"/>
                <w:lang w:eastAsia="cs-CZ"/>
              </w:rPr>
              <w:t>KS Ostrava</w:t>
            </w:r>
          </w:p>
        </w:tc>
        <w:tc>
          <w:tcPr>
            <w:tcW w:w="1128" w:type="dxa"/>
            <w:tcBorders>
              <w:top w:val="nil"/>
              <w:left w:val="nil"/>
              <w:bottom w:val="double" w:sz="6" w:space="0" w:color="auto"/>
              <w:right w:val="nil"/>
            </w:tcBorders>
            <w:shd w:val="clear" w:color="auto" w:fill="auto"/>
            <w:noWrap/>
            <w:vAlign w:val="bottom"/>
            <w:hideMark/>
          </w:tcPr>
          <w:p w14:paraId="78DFDA65" w14:textId="77777777" w:rsidR="00D81A9C" w:rsidRPr="00A00187" w:rsidRDefault="00D81A9C" w:rsidP="00D81A9C">
            <w:pPr>
              <w:spacing w:line="240" w:lineRule="auto"/>
              <w:jc w:val="center"/>
              <w:rPr>
                <w:rFonts w:eastAsia="Times New Roman"/>
                <w:szCs w:val="24"/>
                <w:lang w:eastAsia="cs-CZ"/>
              </w:rPr>
            </w:pPr>
            <w:r w:rsidRPr="00A00187">
              <w:rPr>
                <w:rFonts w:eastAsia="Times New Roman"/>
                <w:szCs w:val="24"/>
                <w:lang w:eastAsia="cs-CZ"/>
              </w:rPr>
              <w:t>347</w:t>
            </w:r>
          </w:p>
        </w:tc>
        <w:tc>
          <w:tcPr>
            <w:tcW w:w="1788" w:type="dxa"/>
            <w:tcBorders>
              <w:top w:val="nil"/>
              <w:left w:val="nil"/>
              <w:bottom w:val="double" w:sz="6" w:space="0" w:color="auto"/>
              <w:right w:val="nil"/>
            </w:tcBorders>
            <w:shd w:val="clear" w:color="auto" w:fill="auto"/>
            <w:noWrap/>
            <w:vAlign w:val="center"/>
            <w:hideMark/>
          </w:tcPr>
          <w:p w14:paraId="3ECA5199" w14:textId="5CCE0A71" w:rsidR="00D81A9C" w:rsidRPr="00A00187" w:rsidRDefault="00D81A9C" w:rsidP="005709BE">
            <w:pPr>
              <w:spacing w:line="240" w:lineRule="auto"/>
              <w:jc w:val="center"/>
              <w:rPr>
                <w:rFonts w:eastAsia="Times New Roman"/>
                <w:sz w:val="20"/>
                <w:szCs w:val="20"/>
                <w:lang w:eastAsia="cs-CZ"/>
              </w:rPr>
            </w:pPr>
            <w:r w:rsidRPr="00A00187">
              <w:rPr>
                <w:rFonts w:eastAsia="Times New Roman"/>
                <w:sz w:val="20"/>
                <w:szCs w:val="20"/>
                <w:lang w:eastAsia="cs-CZ"/>
              </w:rPr>
              <w:t>-33</w:t>
            </w:r>
            <w:r w:rsidR="00CB570A">
              <w:rPr>
                <w:rFonts w:eastAsia="Times New Roman"/>
                <w:sz w:val="20"/>
                <w:szCs w:val="20"/>
                <w:lang w:eastAsia="cs-CZ"/>
              </w:rPr>
              <w:t> %</w:t>
            </w:r>
          </w:p>
        </w:tc>
      </w:tr>
      <w:tr w:rsidR="00AC1E67" w:rsidRPr="00A00187" w14:paraId="5F44E446" w14:textId="77777777" w:rsidTr="00D81A9C">
        <w:trPr>
          <w:trHeight w:val="345"/>
        </w:trPr>
        <w:tc>
          <w:tcPr>
            <w:tcW w:w="1836" w:type="dxa"/>
            <w:tcBorders>
              <w:top w:val="nil"/>
              <w:left w:val="nil"/>
              <w:bottom w:val="double" w:sz="6" w:space="0" w:color="auto"/>
              <w:right w:val="nil"/>
            </w:tcBorders>
            <w:shd w:val="clear" w:color="auto" w:fill="auto"/>
            <w:noWrap/>
            <w:vAlign w:val="bottom"/>
            <w:hideMark/>
          </w:tcPr>
          <w:p w14:paraId="5F21F25B" w14:textId="77777777" w:rsidR="00D81A9C" w:rsidRPr="00A00187" w:rsidRDefault="00D81A9C" w:rsidP="00D81A9C">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128" w:type="dxa"/>
            <w:tcBorders>
              <w:top w:val="nil"/>
              <w:left w:val="nil"/>
              <w:bottom w:val="double" w:sz="6" w:space="0" w:color="auto"/>
              <w:right w:val="nil"/>
            </w:tcBorders>
            <w:shd w:val="clear" w:color="auto" w:fill="auto"/>
            <w:noWrap/>
            <w:vAlign w:val="bottom"/>
            <w:hideMark/>
          </w:tcPr>
          <w:p w14:paraId="345B6D31" w14:textId="77777777" w:rsidR="00D81A9C" w:rsidRPr="00A00187" w:rsidRDefault="00D81A9C" w:rsidP="00D81A9C">
            <w:pPr>
              <w:spacing w:line="240" w:lineRule="auto"/>
              <w:jc w:val="center"/>
              <w:rPr>
                <w:rFonts w:eastAsia="Times New Roman"/>
                <w:b/>
                <w:bCs/>
                <w:szCs w:val="24"/>
                <w:lang w:eastAsia="cs-CZ"/>
              </w:rPr>
            </w:pPr>
            <w:r w:rsidRPr="00A00187">
              <w:rPr>
                <w:rFonts w:eastAsia="Times New Roman"/>
                <w:b/>
                <w:bCs/>
                <w:szCs w:val="24"/>
                <w:lang w:eastAsia="cs-CZ"/>
              </w:rPr>
              <w:t>359</w:t>
            </w:r>
          </w:p>
        </w:tc>
        <w:tc>
          <w:tcPr>
            <w:tcW w:w="1788" w:type="dxa"/>
            <w:tcBorders>
              <w:top w:val="nil"/>
              <w:left w:val="nil"/>
              <w:bottom w:val="double" w:sz="6" w:space="0" w:color="auto"/>
              <w:right w:val="nil"/>
            </w:tcBorders>
            <w:shd w:val="clear" w:color="auto" w:fill="auto"/>
            <w:noWrap/>
            <w:vAlign w:val="center"/>
            <w:hideMark/>
          </w:tcPr>
          <w:p w14:paraId="3278CC5D" w14:textId="67738184" w:rsidR="00D81A9C" w:rsidRPr="00A00187" w:rsidRDefault="00D81A9C" w:rsidP="005709BE">
            <w:pPr>
              <w:spacing w:line="240" w:lineRule="auto"/>
              <w:jc w:val="center"/>
              <w:rPr>
                <w:rFonts w:eastAsia="Times New Roman"/>
                <w:b/>
                <w:bCs/>
                <w:sz w:val="20"/>
                <w:szCs w:val="20"/>
                <w:lang w:eastAsia="cs-CZ"/>
              </w:rPr>
            </w:pPr>
            <w:r w:rsidRPr="00A00187">
              <w:rPr>
                <w:rFonts w:eastAsia="Times New Roman"/>
                <w:b/>
                <w:bCs/>
                <w:sz w:val="20"/>
                <w:szCs w:val="20"/>
                <w:lang w:eastAsia="cs-CZ"/>
              </w:rPr>
              <w:t>-14</w:t>
            </w:r>
            <w:r w:rsidR="00CB570A">
              <w:rPr>
                <w:rFonts w:eastAsia="Times New Roman"/>
                <w:b/>
                <w:bCs/>
                <w:sz w:val="20"/>
                <w:szCs w:val="20"/>
                <w:lang w:eastAsia="cs-CZ"/>
              </w:rPr>
              <w:t> %</w:t>
            </w:r>
          </w:p>
        </w:tc>
      </w:tr>
      <w:tr w:rsidR="00AC1E67" w:rsidRPr="00A00187" w14:paraId="2CAAE18E" w14:textId="77777777" w:rsidTr="00D81A9C">
        <w:trPr>
          <w:trHeight w:val="330"/>
        </w:trPr>
        <w:tc>
          <w:tcPr>
            <w:tcW w:w="1836" w:type="dxa"/>
            <w:tcBorders>
              <w:top w:val="nil"/>
              <w:left w:val="nil"/>
              <w:bottom w:val="nil"/>
              <w:right w:val="nil"/>
            </w:tcBorders>
            <w:shd w:val="clear" w:color="auto" w:fill="auto"/>
            <w:noWrap/>
            <w:vAlign w:val="bottom"/>
            <w:hideMark/>
          </w:tcPr>
          <w:p w14:paraId="70F63F1F" w14:textId="77777777" w:rsidR="00D81A9C" w:rsidRPr="00A00187" w:rsidRDefault="00D81A9C" w:rsidP="00D81A9C">
            <w:pPr>
              <w:spacing w:line="240" w:lineRule="auto"/>
              <w:jc w:val="center"/>
              <w:rPr>
                <w:rFonts w:eastAsia="Times New Roman"/>
                <w:b/>
                <w:bCs/>
                <w:sz w:val="20"/>
                <w:szCs w:val="20"/>
                <w:lang w:eastAsia="cs-CZ"/>
              </w:rPr>
            </w:pPr>
          </w:p>
        </w:tc>
        <w:tc>
          <w:tcPr>
            <w:tcW w:w="1128" w:type="dxa"/>
            <w:tcBorders>
              <w:top w:val="nil"/>
              <w:left w:val="nil"/>
              <w:bottom w:val="nil"/>
              <w:right w:val="nil"/>
            </w:tcBorders>
            <w:shd w:val="clear" w:color="auto" w:fill="auto"/>
            <w:noWrap/>
            <w:vAlign w:val="bottom"/>
            <w:hideMark/>
          </w:tcPr>
          <w:p w14:paraId="31E08578" w14:textId="77777777" w:rsidR="00D81A9C" w:rsidRPr="00A00187" w:rsidRDefault="00D81A9C" w:rsidP="00D81A9C">
            <w:pPr>
              <w:spacing w:line="240" w:lineRule="auto"/>
              <w:jc w:val="left"/>
              <w:rPr>
                <w:rFonts w:ascii="Times New Roman" w:eastAsia="Times New Roman" w:hAnsi="Times New Roman"/>
                <w:sz w:val="20"/>
                <w:szCs w:val="20"/>
                <w:lang w:eastAsia="cs-CZ"/>
              </w:rPr>
            </w:pPr>
          </w:p>
        </w:tc>
        <w:tc>
          <w:tcPr>
            <w:tcW w:w="1788" w:type="dxa"/>
            <w:tcBorders>
              <w:top w:val="nil"/>
              <w:left w:val="nil"/>
              <w:bottom w:val="nil"/>
              <w:right w:val="nil"/>
            </w:tcBorders>
            <w:shd w:val="clear" w:color="auto" w:fill="auto"/>
            <w:noWrap/>
            <w:vAlign w:val="bottom"/>
            <w:hideMark/>
          </w:tcPr>
          <w:p w14:paraId="0D6D1427" w14:textId="77777777" w:rsidR="00D81A9C" w:rsidRPr="00A00187" w:rsidRDefault="00D81A9C" w:rsidP="00D81A9C">
            <w:pPr>
              <w:spacing w:line="240" w:lineRule="auto"/>
              <w:jc w:val="left"/>
              <w:rPr>
                <w:rFonts w:ascii="Times New Roman" w:eastAsia="Times New Roman" w:hAnsi="Times New Roman"/>
                <w:sz w:val="20"/>
                <w:szCs w:val="20"/>
                <w:lang w:eastAsia="cs-CZ"/>
              </w:rPr>
            </w:pPr>
          </w:p>
        </w:tc>
      </w:tr>
    </w:tbl>
    <w:p w14:paraId="43533495" w14:textId="3BF38BE8" w:rsidR="00723A75" w:rsidRPr="00A00187" w:rsidRDefault="00723A75" w:rsidP="00723A75">
      <w:pPr>
        <w:pStyle w:val="OdstavecASR"/>
      </w:pPr>
      <w:r w:rsidRPr="00A00187">
        <w:t xml:space="preserve">Celkově je těžké učinit definitivní závěr o rejstříku </w:t>
      </w:r>
      <w:proofErr w:type="spellStart"/>
      <w:r w:rsidRPr="00A00187">
        <w:t>ICm</w:t>
      </w:r>
      <w:proofErr w:type="spellEnd"/>
      <w:r w:rsidRPr="00A00187">
        <w:t xml:space="preserve"> a o tom, jak tuto agendu jednotlivé soudy vyřizují, protože meziročně dochází k velkým změnám a rovněž náročnost jednotlivých případů se silně liší. Byla by tak potřebná podrobnější analýza, která ale přesahuje účel této zprávy. V krátkosti lze říct, že </w:t>
      </w:r>
      <w:r w:rsidR="0020007E" w:rsidRPr="00A00187">
        <w:t xml:space="preserve">incidenční </w:t>
      </w:r>
      <w:r w:rsidRPr="00A00187">
        <w:t xml:space="preserve">spory jsou složitou agendou a největší problémy s jejím vyřizováním zřejmě mají MS Praha a KS Brno, i když u posledně uvedeného došlo ke zlepšení. Dobře si naopak vede KS České Budějovice. </w:t>
      </w:r>
      <w:r w:rsidR="00125245" w:rsidRPr="00A00187">
        <w:t>Nicméně v</w:t>
      </w:r>
      <w:r w:rsidRPr="00A00187">
        <w:t> tomto roce všechny soudy vyřídily více věcí, než</w:t>
      </w:r>
      <w:r w:rsidR="00006824" w:rsidRPr="00A00187">
        <w:t xml:space="preserve"> k nim přišlo</w:t>
      </w:r>
      <w:r w:rsidRPr="00A00187">
        <w:t xml:space="preserve">, což je samozřejmě </w:t>
      </w:r>
      <w:r w:rsidR="00125245" w:rsidRPr="00A00187">
        <w:t>pozitivní vývoj</w:t>
      </w:r>
      <w:r w:rsidRPr="00A00187">
        <w:t>.</w:t>
      </w:r>
    </w:p>
    <w:p w14:paraId="17A1073D" w14:textId="77777777" w:rsidR="00D81A9C" w:rsidRPr="00A00187" w:rsidRDefault="00D81A9C" w:rsidP="003F24F0"/>
    <w:p w14:paraId="60A936FB" w14:textId="2BB65B79" w:rsidR="008430BD" w:rsidRPr="00A00187" w:rsidRDefault="008430BD" w:rsidP="008430BD">
      <w:pPr>
        <w:pStyle w:val="Nadpis1"/>
        <w:pageBreakBefore/>
        <w:numPr>
          <w:ilvl w:val="0"/>
          <w:numId w:val="1"/>
        </w:numPr>
        <w:spacing w:after="120"/>
        <w:rPr>
          <w:noProof/>
          <w:lang w:eastAsia="cs-CZ"/>
        </w:rPr>
      </w:pPr>
      <w:bookmarkStart w:id="999" w:name="_Toc515871277"/>
      <w:bookmarkStart w:id="1000" w:name="_Toc106092789"/>
      <w:bookmarkStart w:id="1001" w:name="_Toc109801400"/>
      <w:r w:rsidRPr="00A00187">
        <w:rPr>
          <w:noProof/>
          <w:lang w:eastAsia="cs-CZ"/>
        </w:rPr>
        <w:lastRenderedPageBreak/>
        <w:t>Vrchní soudy</w:t>
      </w:r>
      <w:bookmarkEnd w:id="999"/>
      <w:bookmarkEnd w:id="1000"/>
      <w:bookmarkEnd w:id="1001"/>
    </w:p>
    <w:p w14:paraId="63595054" w14:textId="77777777" w:rsidR="001C17D7" w:rsidRPr="00A00187" w:rsidRDefault="001C17D7" w:rsidP="001C17D7">
      <w:pPr>
        <w:pStyle w:val="OdstavecASR"/>
      </w:pPr>
      <w:r w:rsidRPr="00A00187">
        <w:t>Tato část výroční zprávy obsahuje data týkající se vrchních soudů (VS) v Praze a v Olomouci. Pod VS v Praze spadají soudní kraje Praha, Západočeský, Středočeský, Východočeský, Severočeský a Jihočeský. Pod Vrchní soud v Olomouci spadají Severomoravský kraj a Jihomoravský kraj.</w:t>
      </w:r>
    </w:p>
    <w:p w14:paraId="70809D30" w14:textId="77777777" w:rsidR="00CB570A" w:rsidRDefault="001C17D7" w:rsidP="001C17D7">
      <w:pPr>
        <w:pStyle w:val="OdstavecASR"/>
      </w:pPr>
      <w:r w:rsidRPr="00A00187">
        <w:t>Vrchní soudy slouží jako odvolací soudy pro soudy krajské. Jejich hlavními agendami jsou odvolací civilní (občanskoprávní, obchodní) agenda, odvolací insolvenční agenda a odvolací trestní agenda.</w:t>
      </w:r>
    </w:p>
    <w:p w14:paraId="5D0DBEDF" w14:textId="2CDE8AD3" w:rsidR="001C17D7" w:rsidRPr="00A00187" w:rsidRDefault="001C17D7" w:rsidP="001C17D7">
      <w:pPr>
        <w:pStyle w:val="OdstavecASR"/>
      </w:pPr>
      <w:r w:rsidRPr="00A00187">
        <w:t>Vrchní soudy také řeší několik zvláštních agend jako jsou návrhy na přikázání věci jinému soudu nebo návrhy na vyloučení soudců, kterými se však tato zpráva nezabývá.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14:paraId="6F186C41" w14:textId="5114146E" w:rsidR="008430BD" w:rsidRPr="00A00187" w:rsidRDefault="008430BD" w:rsidP="008430BD">
      <w:pPr>
        <w:pStyle w:val="Nadpis2"/>
        <w:numPr>
          <w:ilvl w:val="1"/>
          <w:numId w:val="1"/>
        </w:numPr>
        <w:spacing w:before="120"/>
        <w:rPr>
          <w:color w:val="auto"/>
          <w:lang w:eastAsia="cs-CZ"/>
        </w:rPr>
      </w:pPr>
      <w:bookmarkStart w:id="1002" w:name="_Toc515871278"/>
      <w:bookmarkStart w:id="1003" w:name="_Toc106092790"/>
      <w:bookmarkStart w:id="1004" w:name="_Toc109801401"/>
      <w:r w:rsidRPr="00A00187">
        <w:rPr>
          <w:color w:val="auto"/>
          <w:lang w:eastAsia="cs-CZ"/>
        </w:rPr>
        <w:t>Personál</w:t>
      </w:r>
      <w:bookmarkEnd w:id="1002"/>
      <w:bookmarkEnd w:id="1003"/>
      <w:bookmarkEnd w:id="1004"/>
    </w:p>
    <w:p w14:paraId="358CB949" w14:textId="77777777" w:rsidR="001C17D7" w:rsidRPr="00A00187" w:rsidRDefault="001C17D7" w:rsidP="001C17D7">
      <w:pPr>
        <w:pStyle w:val="OdstavecASR"/>
      </w:pPr>
      <w:r w:rsidRPr="00A00187">
        <w:t>Úvodem musíme zdůraznit, že plánovaný počet soudců a zaměstnanců ve výkonu je u VS, NS a NSS určen jinak než u soudů okresních a krajských. U vrcholných soudů se plánovaný počet nevypočítává, ale určuje se na základě jednání mezi soudem a Ministerstvem spravedlnosti s přihlédnutím k nápadu, celkovému plánovanému počtu soudců v ČR a dalším faktorům.</w:t>
      </w:r>
    </w:p>
    <w:p w14:paraId="26DEAA43" w14:textId="3670DC4A" w:rsidR="008430BD" w:rsidRPr="00A00187" w:rsidRDefault="008430BD" w:rsidP="008430BD">
      <w:pPr>
        <w:pStyle w:val="Nadpis3"/>
        <w:numPr>
          <w:ilvl w:val="2"/>
          <w:numId w:val="1"/>
        </w:numPr>
        <w:rPr>
          <w:color w:val="auto"/>
          <w:lang w:eastAsia="cs-CZ"/>
        </w:rPr>
      </w:pPr>
      <w:bookmarkStart w:id="1005" w:name="_Toc515871279"/>
      <w:bookmarkStart w:id="1006" w:name="_Toc106092791"/>
      <w:bookmarkStart w:id="1007" w:name="_Toc109801402"/>
      <w:r w:rsidRPr="00A00187">
        <w:rPr>
          <w:color w:val="auto"/>
          <w:lang w:eastAsia="cs-CZ"/>
        </w:rPr>
        <w:t>Soudci</w:t>
      </w:r>
      <w:bookmarkEnd w:id="1005"/>
      <w:bookmarkEnd w:id="1006"/>
      <w:bookmarkEnd w:id="1007"/>
    </w:p>
    <w:p w14:paraId="0E019FD1" w14:textId="5FEFE633" w:rsidR="001C17D7" w:rsidRPr="00A00187" w:rsidRDefault="001C17D7" w:rsidP="001C17D7">
      <w:pPr>
        <w:pStyle w:val="Podnadpis"/>
        <w:numPr>
          <w:ilvl w:val="0"/>
          <w:numId w:val="0"/>
        </w:numPr>
        <w:rPr>
          <w:color w:val="auto"/>
        </w:rPr>
      </w:pPr>
      <w:bookmarkStart w:id="1008" w:name="_Toc515871406"/>
      <w:bookmarkStart w:id="1009" w:name="_Toc11135137"/>
      <w:bookmarkStart w:id="1010" w:name="_Toc43841459"/>
      <w:bookmarkStart w:id="1011" w:name="_Toc75952262"/>
      <w:bookmarkStart w:id="1012" w:name="_Toc106106719"/>
      <w:bookmarkStart w:id="1013" w:name="_Toc109802043"/>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85</w:t>
      </w:r>
      <w:r w:rsidRPr="00A00187">
        <w:rPr>
          <w:color w:val="auto"/>
        </w:rPr>
        <w:fldChar w:fldCharType="end"/>
      </w:r>
      <w:r w:rsidRPr="00A00187">
        <w:rPr>
          <w:color w:val="auto"/>
        </w:rPr>
        <w:t>: VS – počet soudců v letech 2008–20</w:t>
      </w:r>
      <w:bookmarkEnd w:id="1008"/>
      <w:bookmarkEnd w:id="1009"/>
      <w:bookmarkEnd w:id="1010"/>
      <w:r w:rsidRPr="00A00187">
        <w:rPr>
          <w:color w:val="auto"/>
        </w:rPr>
        <w:t>2</w:t>
      </w:r>
      <w:bookmarkEnd w:id="1011"/>
      <w:r w:rsidRPr="00A00187">
        <w:rPr>
          <w:color w:val="auto"/>
        </w:rPr>
        <w:t>1</w:t>
      </w:r>
      <w:bookmarkEnd w:id="1012"/>
      <w:bookmarkEnd w:id="1013"/>
    </w:p>
    <w:p w14:paraId="22BFC3FF" w14:textId="1443CE5F" w:rsidR="001C17D7" w:rsidRPr="00A00187" w:rsidRDefault="001C17D7" w:rsidP="001C17D7">
      <w:pPr>
        <w:rPr>
          <w:lang w:eastAsia="cs-CZ"/>
        </w:rPr>
      </w:pPr>
      <w:r w:rsidRPr="00A00187">
        <w:rPr>
          <w:noProof/>
          <w:lang w:eastAsia="cs-CZ"/>
        </w:rPr>
        <w:drawing>
          <wp:inline distT="0" distB="0" distL="0" distR="0" wp14:anchorId="38F4DFC3" wp14:editId="3CB63917">
            <wp:extent cx="5025390" cy="3657600"/>
            <wp:effectExtent l="0" t="0" r="381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850DCEB" w14:textId="74261D69" w:rsidR="001C17D7" w:rsidRPr="00A00187" w:rsidRDefault="001C17D7">
      <w:pPr>
        <w:spacing w:after="160" w:line="259" w:lineRule="auto"/>
        <w:jc w:val="left"/>
        <w:rPr>
          <w:lang w:eastAsia="cs-CZ"/>
        </w:rPr>
      </w:pPr>
      <w:r w:rsidRPr="00A00187">
        <w:rPr>
          <w:lang w:eastAsia="cs-CZ"/>
        </w:rPr>
        <w:br w:type="page"/>
      </w:r>
    </w:p>
    <w:p w14:paraId="404BFB3C" w14:textId="1E770521" w:rsidR="001C17D7" w:rsidRPr="00A00187" w:rsidRDefault="001C17D7" w:rsidP="001C17D7">
      <w:pPr>
        <w:pStyle w:val="OdstavecASR"/>
      </w:pPr>
      <w:r w:rsidRPr="00A00187">
        <w:lastRenderedPageBreak/>
        <w:t xml:space="preserve">I u vrchních soudů je počet soudců celkem stabilní, a to jak v Praze, tak v Olomouci. V časové řadě může zaujmout pouze pokles o pět soudců (soudkyň) u VS </w:t>
      </w:r>
      <w:r w:rsidR="00755920" w:rsidRPr="00A00187">
        <w:t>v</w:t>
      </w:r>
      <w:r w:rsidR="00755920">
        <w:t> </w:t>
      </w:r>
      <w:r w:rsidRPr="00A00187">
        <w:t>Pra</w:t>
      </w:r>
      <w:r w:rsidR="00125245" w:rsidRPr="00A00187">
        <w:t>ze</w:t>
      </w:r>
      <w:r w:rsidRPr="00A00187">
        <w:t xml:space="preserve"> mezi 1. 1. 2015 a 1. 1. 2016. Je způsobený tím, že v roce 2015 dosáhlo pět soudců věku 70 let a z tohoto důvodu skončili ve funkci. U VS, NS nebo NSS jsou takovéto výkyvy pravděpodobnější, protože soudci jsou v průměru starší než soudci krajských a okresních soudů.</w:t>
      </w:r>
    </w:p>
    <w:p w14:paraId="3DF1FE9E" w14:textId="77777777" w:rsidR="001C17D7" w:rsidRPr="00A00187" w:rsidRDefault="001C17D7" w:rsidP="001C17D7">
      <w:pPr>
        <w:pStyle w:val="OdstavecASR"/>
      </w:pPr>
      <w:r w:rsidRPr="00A00187">
        <w:t>U VS v Olomouci počet soudců v posledních letech klesá proporčně na úseku civilním i trestním. To ovšem nepředstavuje problém, neboť rozdíl oproti ostatním rokům je minimální a soud nemá větší problémy s vyřizováním své agendy. K poklesu v počtu soudců došlo především na trestním úseku soudu.</w:t>
      </w:r>
    </w:p>
    <w:p w14:paraId="07C1DABA" w14:textId="51BEDD35" w:rsidR="001C17D7" w:rsidRPr="00A00187" w:rsidRDefault="001C17D7" w:rsidP="001C17D7">
      <w:pPr>
        <w:pStyle w:val="OdstavecASR"/>
      </w:pPr>
      <w:r w:rsidRPr="00A00187">
        <w:t xml:space="preserve">Dále vidíme, že VS v Praze je asi dvakrát větší než </w:t>
      </w:r>
      <w:r w:rsidR="00125245" w:rsidRPr="00A00187">
        <w:t xml:space="preserve">VS </w:t>
      </w:r>
      <w:r w:rsidRPr="00A00187">
        <w:t>v Olomouci. Tento fakt opět vyplývá z nápadu, který je ovlivněn počtem a velikostí krajských soudů, které spadají pod daný vrchní soud.</w:t>
      </w:r>
    </w:p>
    <w:p w14:paraId="58C5C404" w14:textId="4CBAB311" w:rsidR="00CB570A" w:rsidRDefault="001C17D7" w:rsidP="001C17D7">
      <w:pPr>
        <w:pStyle w:val="OdstavecASR"/>
      </w:pPr>
      <w:r w:rsidRPr="00A00187">
        <w:t xml:space="preserve">V roce 2019 došlo k mírnému poklesu plánovaného počtu soudců u obou soudů, což je vzhledem k rychlému poklesu nápadu v některých agendách (viz níže) logické. V zásadě nulový reálný dopad této změny dokládá dlouhodobě nižší evidenční počet soudců oproti počtu plánovanému. V letech 2020 </w:t>
      </w:r>
      <w:r w:rsidR="00755920" w:rsidRPr="00A00187">
        <w:t>a</w:t>
      </w:r>
      <w:r w:rsidR="00755920">
        <w:t> </w:t>
      </w:r>
      <w:r w:rsidRPr="00A00187">
        <w:t>2021 k žádné výrazné změně nedošlo.</w:t>
      </w:r>
    </w:p>
    <w:p w14:paraId="4DB296F1" w14:textId="606755AE" w:rsidR="001C17D7" w:rsidRPr="00A00187" w:rsidRDefault="001C17D7" w:rsidP="001C17D7">
      <w:pPr>
        <w:pStyle w:val="Podnadpis"/>
        <w:rPr>
          <w:color w:val="auto"/>
        </w:rPr>
      </w:pPr>
      <w:bookmarkStart w:id="1014" w:name="_Toc43841460"/>
      <w:bookmarkStart w:id="1015" w:name="_Toc75952263"/>
      <w:bookmarkStart w:id="1016" w:name="_Toc106106720"/>
      <w:bookmarkStart w:id="1017" w:name="_Toc109802044"/>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86</w:t>
      </w:r>
      <w:r w:rsidRPr="00A00187">
        <w:rPr>
          <w:color w:val="auto"/>
        </w:rPr>
        <w:fldChar w:fldCharType="end"/>
      </w:r>
      <w:r w:rsidRPr="00A00187">
        <w:rPr>
          <w:color w:val="auto"/>
        </w:rPr>
        <w:t>: VS – evidenční počet soudců dle soudních úseků v letech 2008–20</w:t>
      </w:r>
      <w:bookmarkEnd w:id="1014"/>
      <w:bookmarkEnd w:id="1015"/>
      <w:r w:rsidRPr="00A00187">
        <w:rPr>
          <w:color w:val="auto"/>
        </w:rPr>
        <w:t>21</w:t>
      </w:r>
      <w:bookmarkEnd w:id="1016"/>
      <w:bookmarkEnd w:id="1017"/>
    </w:p>
    <w:p w14:paraId="741F52B1" w14:textId="56B5957B" w:rsidR="001C17D7" w:rsidRPr="00A00187" w:rsidRDefault="001C17D7" w:rsidP="001C17D7">
      <w:pPr>
        <w:pStyle w:val="OdstavecASR"/>
      </w:pPr>
      <w:r w:rsidRPr="00A00187">
        <w:rPr>
          <w:noProof/>
        </w:rPr>
        <w:drawing>
          <wp:inline distT="0" distB="0" distL="0" distR="0" wp14:anchorId="5B489643" wp14:editId="1CADE84D">
            <wp:extent cx="5025390" cy="3657600"/>
            <wp:effectExtent l="0" t="0" r="381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7543287F" w14:textId="77777777" w:rsidR="001C17D7" w:rsidRPr="00A00187" w:rsidRDefault="001C17D7" w:rsidP="001C17D7">
      <w:pPr>
        <w:rPr>
          <w:lang w:eastAsia="cs-CZ"/>
        </w:rPr>
      </w:pPr>
    </w:p>
    <w:p w14:paraId="4C6E1AC2" w14:textId="21608F1A" w:rsidR="005A6B68" w:rsidRPr="00A00187" w:rsidRDefault="008B552B" w:rsidP="008B552B">
      <w:pPr>
        <w:pStyle w:val="OdstavecASR"/>
      </w:pPr>
      <w:r w:rsidRPr="00A00187">
        <w:t>Graf ukazuje, že civilní a obchodní úsek je větší než úsek trestní, stejně jako tomu je u okresních a krajských soudů. Rozdíl je však tentokrát výrazně menší. Poměr velikostí úseků se v čase mírně měnil. V letech 2015 až 2017 se u VS v Praze zmenšil civilní úsek, načež se ustálil na počtu 50</w:t>
      </w:r>
      <w:r w:rsidR="00803C9B">
        <w:t> </w:t>
      </w:r>
      <w:r w:rsidRPr="00A00187">
        <w:t>soudců (soudkyň) v letech 2018 až 2020. V roce 2021 opět došlo k mírnému posílení trestního úseku na úkor úseku civilního.</w:t>
      </w:r>
      <w:r w:rsidR="005A6B68" w:rsidRPr="00A00187">
        <w:t xml:space="preserve"> Vidíme tedy, že rozdíl mezi velikostmi úseků je </w:t>
      </w:r>
      <w:r w:rsidR="00755920" w:rsidRPr="00A00187">
        <w:t>u</w:t>
      </w:r>
      <w:r w:rsidR="00755920">
        <w:t> </w:t>
      </w:r>
      <w:r w:rsidR="005A6B68" w:rsidRPr="00A00187">
        <w:t>obou soudů poměrně malý</w:t>
      </w:r>
      <w:r w:rsidR="0020007E" w:rsidRPr="00A00187">
        <w:t xml:space="preserve">, když činí </w:t>
      </w:r>
      <w:r w:rsidR="005A6B68" w:rsidRPr="00A00187">
        <w:t>6</w:t>
      </w:r>
      <w:r w:rsidR="0020007E" w:rsidRPr="00A00187">
        <w:t>,</w:t>
      </w:r>
      <w:r w:rsidR="005A6B68" w:rsidRPr="00A00187">
        <w:t xml:space="preserve"> respektive 5 soudců.</w:t>
      </w:r>
    </w:p>
    <w:p w14:paraId="48048265" w14:textId="43D758AC" w:rsidR="005A6B68" w:rsidRPr="00A00187" w:rsidRDefault="005A6B68" w:rsidP="005A6B68">
      <w:pPr>
        <w:pStyle w:val="OdstavecASR"/>
      </w:pPr>
      <w:r w:rsidRPr="00A00187">
        <w:lastRenderedPageBreak/>
        <w:t xml:space="preserve">Další graf zobrazuje složení soudců dle pohlaví a naznačuje, že výše zmíněný pokles počtu soudců u VS v Praze mezi roky 2015 a 2016 byl způsoben tím, že věku 70 let dovršily soudkyně. Pokles počtu soudkyň je tak velmi zřetelný. </w:t>
      </w:r>
      <w:r w:rsidR="0020007E" w:rsidRPr="00A00187">
        <w:t>K</w:t>
      </w:r>
      <w:r w:rsidRPr="00A00187">
        <w:t> soudu byli následně přiděleni muži.</w:t>
      </w:r>
    </w:p>
    <w:p w14:paraId="2478FFEE" w14:textId="073E6B18" w:rsidR="004A6ADA" w:rsidRPr="00A00187" w:rsidRDefault="005A6B68" w:rsidP="005A6B68">
      <w:pPr>
        <w:pStyle w:val="OdstavecASR"/>
      </w:pPr>
      <w:r w:rsidRPr="00A00187">
        <w:t>V roce 2015 (tedy před výše popsaným odchodem soudkyň) byl podíl žen u VS v Praze i </w:t>
      </w:r>
      <w:r w:rsidR="00755920" w:rsidRPr="00A00187">
        <w:t>u</w:t>
      </w:r>
      <w:r w:rsidR="00755920">
        <w:t> </w:t>
      </w:r>
      <w:r w:rsidRPr="00A00187">
        <w:t>VS v Olomouci asi 47</w:t>
      </w:r>
      <w:r w:rsidR="00CB570A">
        <w:t> %</w:t>
      </w:r>
      <w:r w:rsidRPr="00A00187">
        <w:t>. V roce 2018 dosáhl tento podíl u VS v Praze přibližně 42</w:t>
      </w:r>
      <w:r w:rsidR="00CB570A">
        <w:t> %</w:t>
      </w:r>
      <w:r w:rsidRPr="00A00187">
        <w:t xml:space="preserve"> a u VS v Olomouci přibližně 49</w:t>
      </w:r>
      <w:r w:rsidR="00CB570A">
        <w:t> %</w:t>
      </w:r>
      <w:r w:rsidRPr="00A00187">
        <w:t xml:space="preserve">, tedy takřka polovinu. </w:t>
      </w:r>
      <w:r w:rsidR="00755920" w:rsidRPr="00A00187">
        <w:t>U</w:t>
      </w:r>
      <w:r w:rsidR="00755920">
        <w:t> </w:t>
      </w:r>
      <w:r w:rsidR="004A6ADA" w:rsidRPr="00A00187">
        <w:t xml:space="preserve">VS v Praze se podíl od té doby v zásadě nezměnil. </w:t>
      </w:r>
      <w:r w:rsidR="00755920" w:rsidRPr="00A00187">
        <w:t>U</w:t>
      </w:r>
      <w:r w:rsidR="00755920">
        <w:t> </w:t>
      </w:r>
      <w:r w:rsidR="004A6ADA" w:rsidRPr="00A00187">
        <w:t>VS v Olomouc</w:t>
      </w:r>
      <w:r w:rsidR="00942668" w:rsidRPr="00A00187">
        <w:t>i</w:t>
      </w:r>
      <w:r w:rsidR="004A6ADA" w:rsidRPr="00A00187">
        <w:t xml:space="preserve"> podíl žen v posledních letech klesal </w:t>
      </w:r>
      <w:r w:rsidR="00755920" w:rsidRPr="00A00187">
        <w:t>a</w:t>
      </w:r>
      <w:r w:rsidR="00755920">
        <w:t> </w:t>
      </w:r>
      <w:r w:rsidR="004A6ADA" w:rsidRPr="00A00187">
        <w:t>v roce 2021 byl asi 38</w:t>
      </w:r>
      <w:r w:rsidR="00CB570A">
        <w:t> %</w:t>
      </w:r>
      <w:r w:rsidR="004A6ADA" w:rsidRPr="00A00187">
        <w:t>.</w:t>
      </w:r>
    </w:p>
    <w:p w14:paraId="700B3687" w14:textId="2842E77E" w:rsidR="005A6B68" w:rsidRPr="00A00187" w:rsidRDefault="005A6B68" w:rsidP="005A6B68">
      <w:pPr>
        <w:pStyle w:val="OdstavecASR"/>
      </w:pPr>
      <w:r w:rsidRPr="00A00187">
        <w:t xml:space="preserve">Vzhledem k malému počtu osob ovlivní procentuální podíly už i změna o jednoho soudce nebo soudkyni. Na rozdíl od nižších článků soudní soustavy je tedy u vrchních soudů </w:t>
      </w:r>
      <w:r w:rsidR="00942668" w:rsidRPr="00A00187">
        <w:t>aktuálně</w:t>
      </w:r>
      <w:r w:rsidRPr="00A00187">
        <w:t xml:space="preserve"> více soudců než soudkyň.</w:t>
      </w:r>
    </w:p>
    <w:p w14:paraId="27694BF3" w14:textId="54CA7084" w:rsidR="005A6B68" w:rsidRPr="00A00187" w:rsidRDefault="005A6B68" w:rsidP="005A6B68">
      <w:pPr>
        <w:pStyle w:val="Podnadpis"/>
        <w:rPr>
          <w:color w:val="auto"/>
        </w:rPr>
      </w:pPr>
      <w:bookmarkStart w:id="1018" w:name="_Toc43841461"/>
      <w:bookmarkStart w:id="1019" w:name="_Toc75952264"/>
      <w:bookmarkStart w:id="1020" w:name="_Toc106106721"/>
      <w:bookmarkStart w:id="1021" w:name="_Toc109802045"/>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87</w:t>
      </w:r>
      <w:r w:rsidRPr="00A00187">
        <w:rPr>
          <w:color w:val="auto"/>
        </w:rPr>
        <w:fldChar w:fldCharType="end"/>
      </w:r>
      <w:r w:rsidRPr="00A00187">
        <w:rPr>
          <w:color w:val="auto"/>
        </w:rPr>
        <w:t>: VS – evidenční počet soudců dle pohlaví v letech 2008–20</w:t>
      </w:r>
      <w:bookmarkEnd w:id="1018"/>
      <w:r w:rsidRPr="00A00187">
        <w:rPr>
          <w:color w:val="auto"/>
        </w:rPr>
        <w:t>2</w:t>
      </w:r>
      <w:bookmarkEnd w:id="1019"/>
      <w:r w:rsidRPr="00A00187">
        <w:rPr>
          <w:color w:val="auto"/>
        </w:rPr>
        <w:t>1</w:t>
      </w:r>
      <w:bookmarkEnd w:id="1020"/>
      <w:bookmarkEnd w:id="1021"/>
    </w:p>
    <w:p w14:paraId="6CB6445B" w14:textId="7775136B" w:rsidR="005A6B68" w:rsidRPr="00A00187" w:rsidRDefault="005A6B68" w:rsidP="005A6B68">
      <w:pPr>
        <w:pStyle w:val="OdstavecASR"/>
      </w:pPr>
      <w:r w:rsidRPr="00A00187">
        <w:rPr>
          <w:noProof/>
        </w:rPr>
        <w:drawing>
          <wp:inline distT="0" distB="0" distL="0" distR="0" wp14:anchorId="63492A55" wp14:editId="21B3529D">
            <wp:extent cx="5025390" cy="3657600"/>
            <wp:effectExtent l="0" t="0" r="381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C9E06DB" w14:textId="6B4061C0" w:rsidR="004A6ADA" w:rsidRPr="00A00187" w:rsidRDefault="004A6ADA" w:rsidP="004A6ADA">
      <w:pPr>
        <w:spacing w:line="240" w:lineRule="auto"/>
        <w:jc w:val="left"/>
        <w:rPr>
          <w:lang w:eastAsia="cs-CZ"/>
        </w:rPr>
      </w:pPr>
      <w:r w:rsidRPr="00A00187">
        <w:rPr>
          <w:lang w:eastAsia="cs-CZ"/>
        </w:rPr>
        <w:t>Další dva grafy zobrazují věkové složení soudců.</w:t>
      </w:r>
    </w:p>
    <w:p w14:paraId="1FF2EA74" w14:textId="77777777" w:rsidR="004A6ADA" w:rsidRPr="00A00187" w:rsidRDefault="004A6ADA">
      <w:pPr>
        <w:spacing w:after="160" w:line="259" w:lineRule="auto"/>
        <w:jc w:val="left"/>
        <w:rPr>
          <w:lang w:eastAsia="cs-CZ"/>
        </w:rPr>
      </w:pPr>
      <w:r w:rsidRPr="00A00187">
        <w:rPr>
          <w:lang w:eastAsia="cs-CZ"/>
        </w:rPr>
        <w:br w:type="page"/>
      </w:r>
    </w:p>
    <w:p w14:paraId="4519269A" w14:textId="488D6555" w:rsidR="004A6ADA" w:rsidRPr="00A00187" w:rsidRDefault="004A6ADA" w:rsidP="004A6ADA">
      <w:pPr>
        <w:pStyle w:val="Podnadpis"/>
        <w:rPr>
          <w:color w:val="auto"/>
        </w:rPr>
      </w:pPr>
      <w:bookmarkStart w:id="1022" w:name="_Toc515871409"/>
      <w:bookmarkStart w:id="1023" w:name="_Toc11135140"/>
      <w:bookmarkStart w:id="1024" w:name="_Toc43841462"/>
      <w:bookmarkStart w:id="1025" w:name="_Toc75952265"/>
      <w:bookmarkStart w:id="1026" w:name="_Toc106106722"/>
      <w:bookmarkStart w:id="1027" w:name="_Toc109802046"/>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88</w:t>
      </w:r>
      <w:r w:rsidRPr="00A00187">
        <w:rPr>
          <w:color w:val="auto"/>
        </w:rPr>
        <w:fldChar w:fldCharType="end"/>
      </w:r>
      <w:r w:rsidRPr="00A00187">
        <w:rPr>
          <w:color w:val="auto"/>
        </w:rPr>
        <w:t>: VS Praha – věkové složení soudců v letech 2008–20</w:t>
      </w:r>
      <w:bookmarkEnd w:id="1022"/>
      <w:bookmarkEnd w:id="1023"/>
      <w:bookmarkEnd w:id="1024"/>
      <w:r w:rsidRPr="00A00187">
        <w:rPr>
          <w:color w:val="auto"/>
        </w:rPr>
        <w:t>2</w:t>
      </w:r>
      <w:bookmarkEnd w:id="1025"/>
      <w:r w:rsidR="00C61F5B" w:rsidRPr="00A00187">
        <w:rPr>
          <w:color w:val="auto"/>
        </w:rPr>
        <w:t>1</w:t>
      </w:r>
      <w:bookmarkEnd w:id="1026"/>
      <w:bookmarkEnd w:id="1027"/>
    </w:p>
    <w:p w14:paraId="1E98E971" w14:textId="250CC54D" w:rsidR="004A6ADA" w:rsidRPr="00A00187" w:rsidRDefault="004A6ADA" w:rsidP="004A6ADA">
      <w:pPr>
        <w:spacing w:line="240" w:lineRule="auto"/>
        <w:jc w:val="left"/>
      </w:pPr>
      <w:r w:rsidRPr="00A00187">
        <w:rPr>
          <w:noProof/>
        </w:rPr>
        <w:drawing>
          <wp:inline distT="0" distB="0" distL="0" distR="0" wp14:anchorId="6C806953" wp14:editId="66B73B26">
            <wp:extent cx="5025390" cy="3657600"/>
            <wp:effectExtent l="0" t="0" r="3810" b="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75F9ECDE" w14:textId="464BAF66" w:rsidR="004A6ADA" w:rsidRPr="00A00187" w:rsidRDefault="004A6ADA" w:rsidP="004A6ADA">
      <w:pPr>
        <w:spacing w:line="240" w:lineRule="auto"/>
        <w:jc w:val="left"/>
      </w:pPr>
    </w:p>
    <w:p w14:paraId="135BD609" w14:textId="5DC8624E" w:rsidR="00C61F5B" w:rsidRPr="00A00187" w:rsidRDefault="00C61F5B" w:rsidP="00C61F5B">
      <w:pPr>
        <w:pStyle w:val="Podnadpis"/>
        <w:rPr>
          <w:color w:val="auto"/>
        </w:rPr>
      </w:pPr>
      <w:bookmarkStart w:id="1028" w:name="_Toc515871410"/>
      <w:bookmarkStart w:id="1029" w:name="_Toc11135141"/>
      <w:bookmarkStart w:id="1030" w:name="_Toc43841463"/>
      <w:bookmarkStart w:id="1031" w:name="_Toc75952266"/>
      <w:bookmarkStart w:id="1032" w:name="_Toc106106723"/>
      <w:bookmarkStart w:id="1033" w:name="_Toc109802047"/>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89</w:t>
      </w:r>
      <w:r w:rsidRPr="00A00187">
        <w:rPr>
          <w:color w:val="auto"/>
        </w:rPr>
        <w:fldChar w:fldCharType="end"/>
      </w:r>
      <w:r w:rsidRPr="00A00187">
        <w:rPr>
          <w:color w:val="auto"/>
        </w:rPr>
        <w:t>: VS Olomouc – věkové složení soudců v letech 2008–20</w:t>
      </w:r>
      <w:bookmarkEnd w:id="1028"/>
      <w:bookmarkEnd w:id="1029"/>
      <w:bookmarkEnd w:id="1030"/>
      <w:r w:rsidRPr="00A00187">
        <w:rPr>
          <w:color w:val="auto"/>
        </w:rPr>
        <w:t>2</w:t>
      </w:r>
      <w:bookmarkEnd w:id="1031"/>
      <w:r w:rsidRPr="00A00187">
        <w:rPr>
          <w:color w:val="auto"/>
        </w:rPr>
        <w:t>1</w:t>
      </w:r>
      <w:bookmarkEnd w:id="1032"/>
      <w:bookmarkEnd w:id="1033"/>
    </w:p>
    <w:p w14:paraId="6094A57C" w14:textId="7D6240B9" w:rsidR="00C61F5B" w:rsidRPr="00A00187" w:rsidRDefault="00C61F5B" w:rsidP="004A6ADA">
      <w:pPr>
        <w:spacing w:line="240" w:lineRule="auto"/>
        <w:jc w:val="left"/>
      </w:pPr>
      <w:r w:rsidRPr="00A00187">
        <w:rPr>
          <w:noProof/>
        </w:rPr>
        <w:drawing>
          <wp:inline distT="0" distB="0" distL="0" distR="0" wp14:anchorId="64A59D6D" wp14:editId="5CF71E1E">
            <wp:extent cx="5025390" cy="3657600"/>
            <wp:effectExtent l="0" t="0" r="381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D59FAE9" w14:textId="77777777" w:rsidR="00C61F5B" w:rsidRPr="00A00187" w:rsidRDefault="00C61F5B">
      <w:pPr>
        <w:spacing w:after="160" w:line="259" w:lineRule="auto"/>
        <w:jc w:val="left"/>
      </w:pPr>
      <w:r w:rsidRPr="00A00187">
        <w:br w:type="page"/>
      </w:r>
    </w:p>
    <w:p w14:paraId="2B9F5001" w14:textId="77777777" w:rsidR="00C61F5B" w:rsidRPr="00A00187" w:rsidRDefault="00C61F5B" w:rsidP="00C61F5B">
      <w:pPr>
        <w:pStyle w:val="OdstavecASR"/>
        <w:keepNext/>
        <w:rPr>
          <w:lang w:eastAsia="cs-CZ"/>
        </w:rPr>
      </w:pPr>
      <w:r w:rsidRPr="00A00187">
        <w:rPr>
          <w:lang w:eastAsia="cs-CZ"/>
        </w:rPr>
        <w:lastRenderedPageBreak/>
        <w:t>Z grafů vyplývají následující závěry:</w:t>
      </w:r>
    </w:p>
    <w:p w14:paraId="19CD08B7" w14:textId="7BD7D686" w:rsidR="00C61F5B" w:rsidRPr="00A00187" w:rsidRDefault="00C61F5B" w:rsidP="00C61F5B">
      <w:pPr>
        <w:pStyle w:val="OdstavecASR"/>
        <w:numPr>
          <w:ilvl w:val="0"/>
          <w:numId w:val="15"/>
        </w:numPr>
      </w:pPr>
      <w:r w:rsidRPr="00A00187">
        <w:t xml:space="preserve">Soudci u vrchních soudů jsou v průměru starší než soudci u soudů krajských, a tedy i okresních. Stejně jako u rozdílu mezi OS a KS je důvodem tohoto rozdílu kariérní postup soudců. Od roku 2020 již u VS není žádný soudce pod 40 let. V roce 2019 byl jeden u VS v Praze, zřejmě </w:t>
      </w:r>
      <w:r w:rsidR="005218CB" w:rsidRPr="00A00187">
        <w:t>se ale posunul</w:t>
      </w:r>
      <w:r w:rsidRPr="00A00187">
        <w:t xml:space="preserve"> do vyšší věkové skupiny. </w:t>
      </w:r>
      <w:r w:rsidR="00755920" w:rsidRPr="00A00187">
        <w:t>U</w:t>
      </w:r>
      <w:r w:rsidR="00755920">
        <w:t> </w:t>
      </w:r>
      <w:r w:rsidRPr="00A00187">
        <w:t>VS v Olomouci nebyl žádný soudce ve věkové skupině do 40 let již od roku 2014.</w:t>
      </w:r>
    </w:p>
    <w:p w14:paraId="69D404FF" w14:textId="77777777" w:rsidR="00C61F5B" w:rsidRPr="00A00187" w:rsidRDefault="00C61F5B" w:rsidP="00C61F5B">
      <w:pPr>
        <w:pStyle w:val="OdstavecASR"/>
        <w:numPr>
          <w:ilvl w:val="0"/>
          <w:numId w:val="15"/>
        </w:numPr>
      </w:pPr>
      <w:r w:rsidRPr="00A00187">
        <w:t>Z porovnání obou soudů vidíme, že u VS v Praze jsou větší věkové rozdíly mezi soudci než u VS v Olomouci. U VS v Olomouci je zdaleka nejpočetnější věková skupina mezi 51 a 60 lety. U VS v Praze je tato věková skupina sice také nejpočetnější, citelné zastoupení zde ale mají i věkové skupiny 41 až 50 let a 61 až 70 let.</w:t>
      </w:r>
    </w:p>
    <w:p w14:paraId="05D088CA" w14:textId="77777777" w:rsidR="00C61F5B" w:rsidRPr="00A00187" w:rsidRDefault="00C61F5B" w:rsidP="00C61F5B">
      <w:pPr>
        <w:pStyle w:val="OdstavecASR"/>
        <w:numPr>
          <w:ilvl w:val="0"/>
          <w:numId w:val="15"/>
        </w:numPr>
      </w:pPr>
      <w:r w:rsidRPr="00A00187">
        <w:t>U VS v Praze došlo v letech 2008 až 2012 k nárůstu podílu soudců ve věku 61 až 70 let. Od té doby se věková struktura příliš nemění. Není zde tedy patrný efekt, který jsme viděli u OS a KS.</w:t>
      </w:r>
    </w:p>
    <w:p w14:paraId="2C1C5698" w14:textId="1342F73D" w:rsidR="00C61F5B" w:rsidRPr="00A00187" w:rsidRDefault="00C61F5B" w:rsidP="00C61F5B">
      <w:pPr>
        <w:pStyle w:val="OdstavecASR"/>
        <w:numPr>
          <w:ilvl w:val="0"/>
          <w:numId w:val="15"/>
        </w:numPr>
      </w:pPr>
      <w:r w:rsidRPr="00A00187">
        <w:t xml:space="preserve">U VS v Olomouci je situace jiná. Na grafu je patrný velmi výrazný nárůst ve věku soudců. Zdůvodnění je prakticky stejné jako u okresních soudů. Ve sledovaném období se již celkový počet soudců příliš nemění. Po roce 2000 se počet soudců rychle zvyšoval, počet nově příchozích soudců k VS </w:t>
      </w:r>
      <w:r w:rsidR="00755920" w:rsidRPr="00A00187">
        <w:t>v</w:t>
      </w:r>
      <w:r w:rsidR="00755920">
        <w:t> </w:t>
      </w:r>
      <w:r w:rsidRPr="00A00187">
        <w:t>Olomouc</w:t>
      </w:r>
      <w:r w:rsidR="00942668" w:rsidRPr="00A00187">
        <w:t>i</w:t>
      </w:r>
      <w:r w:rsidRPr="00A00187">
        <w:t xml:space="preserve"> za rok byl tedy výrazně vyšší než v</w:t>
      </w:r>
      <w:r w:rsidR="0020007E" w:rsidRPr="00A00187">
        <w:t xml:space="preserve"> pozdějším období </w:t>
      </w:r>
      <w:r w:rsidRPr="00A00187">
        <w:t>a nově příchozí soudci byli relativně mladí. Právě tato rozsáhlá generace soudců se ve sledovaném období postupně přesouvá do vyšší věkové skupiny. Průměrný věk příchozích soudců se stále zvyšoval, což opět plyne ze změny věkové struktury u nižších článků soudní soustavy. Teprve v roce 2018 přišli na soud mladší soudci ve věkové skupině 41 až 50 let.</w:t>
      </w:r>
    </w:p>
    <w:p w14:paraId="680034E0" w14:textId="25E33A49" w:rsidR="007879E7" w:rsidRPr="00A00187" w:rsidRDefault="008430BD" w:rsidP="008430BD">
      <w:pPr>
        <w:pStyle w:val="Nadpis3"/>
        <w:numPr>
          <w:ilvl w:val="2"/>
          <w:numId w:val="1"/>
        </w:numPr>
        <w:rPr>
          <w:color w:val="auto"/>
          <w:lang w:eastAsia="cs-CZ"/>
        </w:rPr>
      </w:pPr>
      <w:bookmarkStart w:id="1034" w:name="_Toc515871280"/>
      <w:bookmarkStart w:id="1035" w:name="_Toc106092792"/>
      <w:bookmarkStart w:id="1036" w:name="_Toc109801403"/>
      <w:r w:rsidRPr="00A00187">
        <w:rPr>
          <w:color w:val="auto"/>
          <w:lang w:eastAsia="cs-CZ"/>
        </w:rPr>
        <w:t>Zaměstnanci ve výkonu</w:t>
      </w:r>
      <w:bookmarkEnd w:id="1034"/>
      <w:bookmarkEnd w:id="1035"/>
      <w:bookmarkEnd w:id="1036"/>
    </w:p>
    <w:p w14:paraId="3DDF362B" w14:textId="6222C7B5" w:rsidR="00C61F5B" w:rsidRPr="00A00187" w:rsidRDefault="00C61F5B" w:rsidP="00C61F5B">
      <w:pPr>
        <w:pStyle w:val="OdstavecASR"/>
      </w:pPr>
      <w:r w:rsidRPr="00A00187">
        <w:t>Popis pracovní náplně a význam použitých zkratek je součástí podkapitoly </w:t>
      </w:r>
      <w:r w:rsidRPr="00A00187">
        <w:fldChar w:fldCharType="begin"/>
      </w:r>
      <w:r w:rsidRPr="00A00187">
        <w:instrText xml:space="preserve"> REF _Ref10813793 \r \h  \* MERGEFORMAT </w:instrText>
      </w:r>
      <w:r w:rsidRPr="00A00187">
        <w:fldChar w:fldCharType="separate"/>
      </w:r>
      <w:r w:rsidR="00DE6B5E">
        <w:t>2.1.2</w:t>
      </w:r>
      <w:r w:rsidRPr="00A00187">
        <w:fldChar w:fldCharType="end"/>
      </w:r>
      <w:r w:rsidRPr="00A00187">
        <w:t>.</w:t>
      </w:r>
    </w:p>
    <w:p w14:paraId="10F5A728" w14:textId="0473F289" w:rsidR="00F55D6B" w:rsidRPr="00A00187" w:rsidRDefault="00F55D6B" w:rsidP="00F55D6B">
      <w:pPr>
        <w:pStyle w:val="Podnadpis"/>
        <w:rPr>
          <w:color w:val="auto"/>
        </w:rPr>
      </w:pPr>
      <w:bookmarkStart w:id="1037" w:name="_Toc515871502"/>
      <w:bookmarkStart w:id="1038" w:name="_Toc11133268"/>
      <w:bookmarkStart w:id="1039" w:name="_Toc43931250"/>
      <w:bookmarkStart w:id="1040" w:name="_Toc75952384"/>
      <w:bookmarkStart w:id="1041" w:name="_Toc106106837"/>
      <w:bookmarkStart w:id="1042" w:name="_Toc109802160"/>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75</w:t>
      </w:r>
      <w:r w:rsidRPr="00A00187">
        <w:rPr>
          <w:color w:val="auto"/>
        </w:rPr>
        <w:fldChar w:fldCharType="end"/>
      </w:r>
      <w:r w:rsidRPr="00A00187">
        <w:rPr>
          <w:color w:val="auto"/>
        </w:rPr>
        <w:t>: VS – počet zaměstnanců ve výkonu dle soudů</w:t>
      </w:r>
      <w:bookmarkEnd w:id="1037"/>
      <w:bookmarkEnd w:id="1038"/>
      <w:bookmarkEnd w:id="1039"/>
      <w:bookmarkEnd w:id="1040"/>
      <w:bookmarkEnd w:id="1041"/>
      <w:bookmarkEnd w:id="1042"/>
    </w:p>
    <w:tbl>
      <w:tblPr>
        <w:tblW w:w="7312" w:type="dxa"/>
        <w:tblCellMar>
          <w:left w:w="70" w:type="dxa"/>
          <w:right w:w="70" w:type="dxa"/>
        </w:tblCellMar>
        <w:tblLook w:val="04A0" w:firstRow="1" w:lastRow="0" w:firstColumn="1" w:lastColumn="0" w:noHBand="0" w:noVBand="1"/>
      </w:tblPr>
      <w:tblGrid>
        <w:gridCol w:w="2096"/>
        <w:gridCol w:w="921"/>
        <w:gridCol w:w="570"/>
        <w:gridCol w:w="445"/>
        <w:gridCol w:w="639"/>
        <w:gridCol w:w="653"/>
        <w:gridCol w:w="445"/>
        <w:gridCol w:w="1543"/>
      </w:tblGrid>
      <w:tr w:rsidR="00AC1E67" w:rsidRPr="00A00187" w14:paraId="2A0282EC" w14:textId="77777777" w:rsidTr="00F55D6B">
        <w:trPr>
          <w:trHeight w:val="330"/>
        </w:trPr>
        <w:tc>
          <w:tcPr>
            <w:tcW w:w="2096" w:type="dxa"/>
            <w:vMerge w:val="restart"/>
            <w:tcBorders>
              <w:top w:val="double" w:sz="6" w:space="0" w:color="auto"/>
              <w:left w:val="nil"/>
              <w:bottom w:val="double" w:sz="6" w:space="0" w:color="000000"/>
              <w:right w:val="nil"/>
            </w:tcBorders>
            <w:shd w:val="clear" w:color="auto" w:fill="auto"/>
            <w:noWrap/>
            <w:vAlign w:val="center"/>
            <w:hideMark/>
          </w:tcPr>
          <w:p w14:paraId="6160CE35"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Soud</w:t>
            </w:r>
          </w:p>
        </w:tc>
        <w:tc>
          <w:tcPr>
            <w:tcW w:w="5216" w:type="dxa"/>
            <w:gridSpan w:val="7"/>
            <w:tcBorders>
              <w:top w:val="double" w:sz="6" w:space="0" w:color="auto"/>
              <w:left w:val="nil"/>
              <w:bottom w:val="nil"/>
              <w:right w:val="nil"/>
            </w:tcBorders>
            <w:shd w:val="clear" w:color="auto" w:fill="auto"/>
            <w:noWrap/>
            <w:vAlign w:val="bottom"/>
            <w:hideMark/>
          </w:tcPr>
          <w:p w14:paraId="59D3B639"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Počet osob</w:t>
            </w:r>
          </w:p>
        </w:tc>
      </w:tr>
      <w:tr w:rsidR="00AC1E67" w:rsidRPr="00A00187" w14:paraId="5B907451" w14:textId="77777777" w:rsidTr="00F55D6B">
        <w:trPr>
          <w:trHeight w:val="330"/>
        </w:trPr>
        <w:tc>
          <w:tcPr>
            <w:tcW w:w="2096" w:type="dxa"/>
            <w:vMerge/>
            <w:tcBorders>
              <w:top w:val="double" w:sz="6" w:space="0" w:color="auto"/>
              <w:left w:val="nil"/>
              <w:bottom w:val="double" w:sz="6" w:space="0" w:color="000000"/>
              <w:right w:val="nil"/>
            </w:tcBorders>
            <w:vAlign w:val="center"/>
            <w:hideMark/>
          </w:tcPr>
          <w:p w14:paraId="3D6565E3" w14:textId="77777777" w:rsidR="00F55D6B" w:rsidRPr="00A00187" w:rsidRDefault="00F55D6B" w:rsidP="00F55D6B">
            <w:pPr>
              <w:spacing w:line="240" w:lineRule="auto"/>
              <w:jc w:val="left"/>
              <w:rPr>
                <w:rFonts w:eastAsia="Times New Roman"/>
                <w:b/>
                <w:bCs/>
                <w:szCs w:val="24"/>
                <w:lang w:eastAsia="cs-CZ"/>
              </w:rPr>
            </w:pPr>
          </w:p>
        </w:tc>
        <w:tc>
          <w:tcPr>
            <w:tcW w:w="921" w:type="dxa"/>
            <w:tcBorders>
              <w:top w:val="nil"/>
              <w:left w:val="nil"/>
              <w:bottom w:val="double" w:sz="6" w:space="0" w:color="auto"/>
              <w:right w:val="nil"/>
            </w:tcBorders>
            <w:shd w:val="clear" w:color="auto" w:fill="auto"/>
            <w:noWrap/>
            <w:vAlign w:val="bottom"/>
            <w:hideMark/>
          </w:tcPr>
          <w:p w14:paraId="76027A3F"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VSÚ</w:t>
            </w:r>
          </w:p>
        </w:tc>
        <w:tc>
          <w:tcPr>
            <w:tcW w:w="570" w:type="dxa"/>
            <w:tcBorders>
              <w:top w:val="nil"/>
              <w:left w:val="nil"/>
              <w:bottom w:val="double" w:sz="6" w:space="0" w:color="auto"/>
              <w:right w:val="nil"/>
            </w:tcBorders>
            <w:shd w:val="clear" w:color="auto" w:fill="auto"/>
            <w:noWrap/>
            <w:vAlign w:val="bottom"/>
            <w:hideMark/>
          </w:tcPr>
          <w:p w14:paraId="5818B959"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ST</w:t>
            </w:r>
          </w:p>
        </w:tc>
        <w:tc>
          <w:tcPr>
            <w:tcW w:w="445" w:type="dxa"/>
            <w:tcBorders>
              <w:top w:val="nil"/>
              <w:left w:val="nil"/>
              <w:bottom w:val="double" w:sz="6" w:space="0" w:color="auto"/>
              <w:right w:val="nil"/>
            </w:tcBorders>
            <w:shd w:val="clear" w:color="auto" w:fill="auto"/>
            <w:noWrap/>
            <w:vAlign w:val="bottom"/>
            <w:hideMark/>
          </w:tcPr>
          <w:p w14:paraId="478B6BEA"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A</w:t>
            </w:r>
          </w:p>
        </w:tc>
        <w:tc>
          <w:tcPr>
            <w:tcW w:w="639" w:type="dxa"/>
            <w:tcBorders>
              <w:top w:val="nil"/>
              <w:left w:val="nil"/>
              <w:bottom w:val="double" w:sz="6" w:space="0" w:color="auto"/>
              <w:right w:val="nil"/>
            </w:tcBorders>
            <w:shd w:val="clear" w:color="auto" w:fill="auto"/>
            <w:noWrap/>
            <w:vAlign w:val="bottom"/>
            <w:hideMark/>
          </w:tcPr>
          <w:p w14:paraId="4AB7CF04"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VK</w:t>
            </w:r>
          </w:p>
        </w:tc>
        <w:tc>
          <w:tcPr>
            <w:tcW w:w="653" w:type="dxa"/>
            <w:tcBorders>
              <w:top w:val="nil"/>
              <w:left w:val="nil"/>
              <w:bottom w:val="double" w:sz="6" w:space="0" w:color="auto"/>
              <w:right w:val="nil"/>
            </w:tcBorders>
            <w:shd w:val="clear" w:color="auto" w:fill="auto"/>
            <w:noWrap/>
            <w:vAlign w:val="bottom"/>
            <w:hideMark/>
          </w:tcPr>
          <w:p w14:paraId="088DB296"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PÚ</w:t>
            </w:r>
          </w:p>
        </w:tc>
        <w:tc>
          <w:tcPr>
            <w:tcW w:w="445" w:type="dxa"/>
            <w:tcBorders>
              <w:top w:val="nil"/>
              <w:left w:val="nil"/>
              <w:bottom w:val="double" w:sz="6" w:space="0" w:color="auto"/>
              <w:right w:val="nil"/>
            </w:tcBorders>
            <w:shd w:val="clear" w:color="auto" w:fill="auto"/>
            <w:noWrap/>
            <w:vAlign w:val="bottom"/>
            <w:hideMark/>
          </w:tcPr>
          <w:p w14:paraId="3F08C7B5"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Z</w:t>
            </w:r>
          </w:p>
        </w:tc>
        <w:tc>
          <w:tcPr>
            <w:tcW w:w="1543" w:type="dxa"/>
            <w:tcBorders>
              <w:top w:val="nil"/>
              <w:left w:val="nil"/>
              <w:bottom w:val="double" w:sz="6" w:space="0" w:color="auto"/>
              <w:right w:val="nil"/>
            </w:tcBorders>
            <w:shd w:val="clear" w:color="auto" w:fill="auto"/>
            <w:noWrap/>
            <w:vAlign w:val="bottom"/>
            <w:hideMark/>
          </w:tcPr>
          <w:p w14:paraId="4EE252D4"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Celkem</w:t>
            </w:r>
          </w:p>
        </w:tc>
      </w:tr>
      <w:tr w:rsidR="00AC1E67" w:rsidRPr="00A00187" w14:paraId="375AC0C8" w14:textId="77777777" w:rsidTr="00F55D6B">
        <w:trPr>
          <w:trHeight w:val="330"/>
        </w:trPr>
        <w:tc>
          <w:tcPr>
            <w:tcW w:w="2096" w:type="dxa"/>
            <w:tcBorders>
              <w:top w:val="single" w:sz="4" w:space="0" w:color="auto"/>
              <w:left w:val="nil"/>
              <w:bottom w:val="single" w:sz="4" w:space="0" w:color="auto"/>
              <w:right w:val="nil"/>
            </w:tcBorders>
            <w:shd w:val="clear" w:color="auto" w:fill="auto"/>
            <w:noWrap/>
            <w:vAlign w:val="bottom"/>
            <w:hideMark/>
          </w:tcPr>
          <w:p w14:paraId="4FCB3771" w14:textId="77777777" w:rsidR="00F55D6B" w:rsidRPr="00A00187" w:rsidRDefault="00F55D6B" w:rsidP="00F55D6B">
            <w:pPr>
              <w:spacing w:line="240" w:lineRule="auto"/>
              <w:jc w:val="left"/>
              <w:rPr>
                <w:rFonts w:eastAsia="Times New Roman"/>
                <w:szCs w:val="24"/>
                <w:lang w:eastAsia="cs-CZ"/>
              </w:rPr>
            </w:pPr>
            <w:r w:rsidRPr="00A00187">
              <w:rPr>
                <w:rFonts w:eastAsia="Times New Roman"/>
                <w:szCs w:val="24"/>
                <w:lang w:eastAsia="cs-CZ"/>
              </w:rPr>
              <w:t>VS Praha</w:t>
            </w:r>
          </w:p>
        </w:tc>
        <w:tc>
          <w:tcPr>
            <w:tcW w:w="921" w:type="dxa"/>
            <w:tcBorders>
              <w:top w:val="single" w:sz="4" w:space="0" w:color="auto"/>
              <w:left w:val="nil"/>
              <w:bottom w:val="single" w:sz="4" w:space="0" w:color="auto"/>
              <w:right w:val="nil"/>
            </w:tcBorders>
            <w:shd w:val="clear" w:color="auto" w:fill="auto"/>
            <w:noWrap/>
            <w:vAlign w:val="bottom"/>
            <w:hideMark/>
          </w:tcPr>
          <w:p w14:paraId="421AD918"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3</w:t>
            </w:r>
          </w:p>
        </w:tc>
        <w:tc>
          <w:tcPr>
            <w:tcW w:w="570" w:type="dxa"/>
            <w:tcBorders>
              <w:top w:val="single" w:sz="4" w:space="0" w:color="auto"/>
              <w:left w:val="nil"/>
              <w:bottom w:val="single" w:sz="4" w:space="0" w:color="auto"/>
              <w:right w:val="nil"/>
            </w:tcBorders>
            <w:shd w:val="clear" w:color="auto" w:fill="auto"/>
            <w:noWrap/>
            <w:vAlign w:val="bottom"/>
            <w:hideMark/>
          </w:tcPr>
          <w:p w14:paraId="1B074EE7"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4</w:t>
            </w:r>
          </w:p>
        </w:tc>
        <w:tc>
          <w:tcPr>
            <w:tcW w:w="445" w:type="dxa"/>
            <w:tcBorders>
              <w:top w:val="single" w:sz="4" w:space="0" w:color="auto"/>
              <w:left w:val="nil"/>
              <w:bottom w:val="single" w:sz="4" w:space="0" w:color="auto"/>
              <w:right w:val="nil"/>
            </w:tcBorders>
            <w:shd w:val="clear" w:color="auto" w:fill="auto"/>
            <w:noWrap/>
            <w:vAlign w:val="bottom"/>
            <w:hideMark/>
          </w:tcPr>
          <w:p w14:paraId="026ABDF4"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31</w:t>
            </w:r>
          </w:p>
        </w:tc>
        <w:tc>
          <w:tcPr>
            <w:tcW w:w="639" w:type="dxa"/>
            <w:tcBorders>
              <w:top w:val="single" w:sz="4" w:space="0" w:color="auto"/>
              <w:left w:val="nil"/>
              <w:bottom w:val="single" w:sz="4" w:space="0" w:color="auto"/>
              <w:right w:val="nil"/>
            </w:tcBorders>
            <w:shd w:val="clear" w:color="auto" w:fill="auto"/>
            <w:noWrap/>
            <w:vAlign w:val="bottom"/>
            <w:hideMark/>
          </w:tcPr>
          <w:p w14:paraId="5405D86F"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23</w:t>
            </w:r>
          </w:p>
        </w:tc>
        <w:tc>
          <w:tcPr>
            <w:tcW w:w="653" w:type="dxa"/>
            <w:tcBorders>
              <w:top w:val="single" w:sz="4" w:space="0" w:color="auto"/>
              <w:left w:val="nil"/>
              <w:bottom w:val="single" w:sz="4" w:space="0" w:color="auto"/>
              <w:right w:val="nil"/>
            </w:tcBorders>
            <w:shd w:val="clear" w:color="auto" w:fill="auto"/>
            <w:noWrap/>
            <w:vAlign w:val="bottom"/>
            <w:hideMark/>
          </w:tcPr>
          <w:p w14:paraId="7F4D0D43"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15</w:t>
            </w:r>
          </w:p>
        </w:tc>
        <w:tc>
          <w:tcPr>
            <w:tcW w:w="445" w:type="dxa"/>
            <w:tcBorders>
              <w:top w:val="single" w:sz="4" w:space="0" w:color="auto"/>
              <w:left w:val="nil"/>
              <w:bottom w:val="single" w:sz="4" w:space="0" w:color="auto"/>
              <w:right w:val="nil"/>
            </w:tcBorders>
            <w:shd w:val="clear" w:color="auto" w:fill="auto"/>
            <w:noWrap/>
            <w:vAlign w:val="bottom"/>
            <w:hideMark/>
          </w:tcPr>
          <w:p w14:paraId="4A02CC9C"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17</w:t>
            </w:r>
          </w:p>
        </w:tc>
        <w:tc>
          <w:tcPr>
            <w:tcW w:w="1543" w:type="dxa"/>
            <w:tcBorders>
              <w:top w:val="single" w:sz="4" w:space="0" w:color="auto"/>
              <w:left w:val="nil"/>
              <w:bottom w:val="single" w:sz="4" w:space="0" w:color="auto"/>
              <w:right w:val="nil"/>
            </w:tcBorders>
            <w:shd w:val="clear" w:color="auto" w:fill="auto"/>
            <w:noWrap/>
            <w:vAlign w:val="bottom"/>
            <w:hideMark/>
          </w:tcPr>
          <w:p w14:paraId="68704D84"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91</w:t>
            </w:r>
          </w:p>
        </w:tc>
      </w:tr>
      <w:tr w:rsidR="00AC1E67" w:rsidRPr="00A00187" w14:paraId="778B66D4" w14:textId="77777777" w:rsidTr="00F55D6B">
        <w:trPr>
          <w:trHeight w:val="330"/>
        </w:trPr>
        <w:tc>
          <w:tcPr>
            <w:tcW w:w="2096" w:type="dxa"/>
            <w:tcBorders>
              <w:top w:val="nil"/>
              <w:left w:val="nil"/>
              <w:bottom w:val="nil"/>
              <w:right w:val="nil"/>
            </w:tcBorders>
            <w:shd w:val="clear" w:color="auto" w:fill="auto"/>
            <w:noWrap/>
            <w:vAlign w:val="bottom"/>
            <w:hideMark/>
          </w:tcPr>
          <w:p w14:paraId="2FA28DDA" w14:textId="77777777" w:rsidR="00F55D6B" w:rsidRPr="00A00187" w:rsidRDefault="00F55D6B" w:rsidP="00F55D6B">
            <w:pPr>
              <w:spacing w:line="240" w:lineRule="auto"/>
              <w:jc w:val="left"/>
              <w:rPr>
                <w:rFonts w:eastAsia="Times New Roman"/>
                <w:szCs w:val="24"/>
                <w:lang w:eastAsia="cs-CZ"/>
              </w:rPr>
            </w:pPr>
            <w:r w:rsidRPr="00A00187">
              <w:rPr>
                <w:rFonts w:eastAsia="Times New Roman"/>
                <w:szCs w:val="24"/>
                <w:lang w:eastAsia="cs-CZ"/>
              </w:rPr>
              <w:t>VS Olomouc</w:t>
            </w:r>
          </w:p>
        </w:tc>
        <w:tc>
          <w:tcPr>
            <w:tcW w:w="921" w:type="dxa"/>
            <w:tcBorders>
              <w:top w:val="nil"/>
              <w:left w:val="nil"/>
              <w:bottom w:val="nil"/>
              <w:right w:val="nil"/>
            </w:tcBorders>
            <w:shd w:val="clear" w:color="auto" w:fill="auto"/>
            <w:noWrap/>
            <w:vAlign w:val="bottom"/>
            <w:hideMark/>
          </w:tcPr>
          <w:p w14:paraId="0A28ABD5"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2</w:t>
            </w:r>
          </w:p>
        </w:tc>
        <w:tc>
          <w:tcPr>
            <w:tcW w:w="570" w:type="dxa"/>
            <w:tcBorders>
              <w:top w:val="nil"/>
              <w:left w:val="nil"/>
              <w:bottom w:val="nil"/>
              <w:right w:val="nil"/>
            </w:tcBorders>
            <w:shd w:val="clear" w:color="auto" w:fill="auto"/>
            <w:noWrap/>
            <w:vAlign w:val="bottom"/>
            <w:hideMark/>
          </w:tcPr>
          <w:p w14:paraId="5554B05E"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0</w:t>
            </w:r>
          </w:p>
        </w:tc>
        <w:tc>
          <w:tcPr>
            <w:tcW w:w="445" w:type="dxa"/>
            <w:tcBorders>
              <w:top w:val="nil"/>
              <w:left w:val="nil"/>
              <w:bottom w:val="nil"/>
              <w:right w:val="nil"/>
            </w:tcBorders>
            <w:shd w:val="clear" w:color="auto" w:fill="auto"/>
            <w:noWrap/>
            <w:vAlign w:val="bottom"/>
            <w:hideMark/>
          </w:tcPr>
          <w:p w14:paraId="2CFEE383"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13</w:t>
            </w:r>
          </w:p>
        </w:tc>
        <w:tc>
          <w:tcPr>
            <w:tcW w:w="639" w:type="dxa"/>
            <w:tcBorders>
              <w:top w:val="nil"/>
              <w:left w:val="nil"/>
              <w:bottom w:val="nil"/>
              <w:right w:val="nil"/>
            </w:tcBorders>
            <w:shd w:val="clear" w:color="auto" w:fill="auto"/>
            <w:noWrap/>
            <w:vAlign w:val="bottom"/>
            <w:hideMark/>
          </w:tcPr>
          <w:p w14:paraId="496AD881"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7</w:t>
            </w:r>
          </w:p>
        </w:tc>
        <w:tc>
          <w:tcPr>
            <w:tcW w:w="653" w:type="dxa"/>
            <w:tcBorders>
              <w:top w:val="nil"/>
              <w:left w:val="nil"/>
              <w:bottom w:val="nil"/>
              <w:right w:val="nil"/>
            </w:tcBorders>
            <w:shd w:val="clear" w:color="auto" w:fill="auto"/>
            <w:noWrap/>
            <w:vAlign w:val="bottom"/>
            <w:hideMark/>
          </w:tcPr>
          <w:p w14:paraId="2300A462"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6</w:t>
            </w:r>
          </w:p>
        </w:tc>
        <w:tc>
          <w:tcPr>
            <w:tcW w:w="445" w:type="dxa"/>
            <w:tcBorders>
              <w:top w:val="nil"/>
              <w:left w:val="nil"/>
              <w:bottom w:val="nil"/>
              <w:right w:val="nil"/>
            </w:tcBorders>
            <w:shd w:val="clear" w:color="auto" w:fill="auto"/>
            <w:noWrap/>
            <w:vAlign w:val="bottom"/>
            <w:hideMark/>
          </w:tcPr>
          <w:p w14:paraId="6AAEFD12" w14:textId="77777777" w:rsidR="00F55D6B" w:rsidRPr="00A00187" w:rsidRDefault="00F55D6B" w:rsidP="00F55D6B">
            <w:pPr>
              <w:spacing w:line="240" w:lineRule="auto"/>
              <w:jc w:val="center"/>
              <w:rPr>
                <w:rFonts w:eastAsia="Times New Roman"/>
                <w:szCs w:val="24"/>
                <w:lang w:eastAsia="cs-CZ"/>
              </w:rPr>
            </w:pPr>
            <w:r w:rsidRPr="00A00187">
              <w:rPr>
                <w:rFonts w:eastAsia="Times New Roman"/>
                <w:szCs w:val="24"/>
                <w:lang w:eastAsia="cs-CZ"/>
              </w:rPr>
              <w:t>7</w:t>
            </w:r>
          </w:p>
        </w:tc>
        <w:tc>
          <w:tcPr>
            <w:tcW w:w="1543" w:type="dxa"/>
            <w:tcBorders>
              <w:top w:val="nil"/>
              <w:left w:val="nil"/>
              <w:bottom w:val="single" w:sz="4" w:space="0" w:color="auto"/>
              <w:right w:val="nil"/>
            </w:tcBorders>
            <w:shd w:val="clear" w:color="auto" w:fill="auto"/>
            <w:noWrap/>
            <w:vAlign w:val="bottom"/>
            <w:hideMark/>
          </w:tcPr>
          <w:p w14:paraId="562F8197"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35</w:t>
            </w:r>
          </w:p>
        </w:tc>
      </w:tr>
      <w:tr w:rsidR="00AC1E67" w:rsidRPr="00A00187" w14:paraId="519BB46F" w14:textId="77777777" w:rsidTr="00F55D6B">
        <w:trPr>
          <w:trHeight w:val="345"/>
        </w:trPr>
        <w:tc>
          <w:tcPr>
            <w:tcW w:w="2096" w:type="dxa"/>
            <w:tcBorders>
              <w:top w:val="double" w:sz="6" w:space="0" w:color="auto"/>
              <w:left w:val="nil"/>
              <w:bottom w:val="double" w:sz="6" w:space="0" w:color="auto"/>
              <w:right w:val="nil"/>
            </w:tcBorders>
            <w:shd w:val="clear" w:color="auto" w:fill="auto"/>
            <w:noWrap/>
            <w:vAlign w:val="bottom"/>
            <w:hideMark/>
          </w:tcPr>
          <w:p w14:paraId="39F4BF36" w14:textId="77777777" w:rsidR="00F55D6B" w:rsidRPr="00A00187" w:rsidRDefault="00F55D6B" w:rsidP="00F55D6B">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921" w:type="dxa"/>
            <w:tcBorders>
              <w:top w:val="double" w:sz="6" w:space="0" w:color="auto"/>
              <w:left w:val="nil"/>
              <w:bottom w:val="double" w:sz="6" w:space="0" w:color="auto"/>
              <w:right w:val="nil"/>
            </w:tcBorders>
            <w:shd w:val="clear" w:color="auto" w:fill="auto"/>
            <w:noWrap/>
            <w:vAlign w:val="bottom"/>
            <w:hideMark/>
          </w:tcPr>
          <w:p w14:paraId="7D585F8B"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5</w:t>
            </w:r>
          </w:p>
        </w:tc>
        <w:tc>
          <w:tcPr>
            <w:tcW w:w="570" w:type="dxa"/>
            <w:tcBorders>
              <w:top w:val="double" w:sz="6" w:space="0" w:color="auto"/>
              <w:left w:val="nil"/>
              <w:bottom w:val="double" w:sz="6" w:space="0" w:color="auto"/>
              <w:right w:val="nil"/>
            </w:tcBorders>
            <w:shd w:val="clear" w:color="auto" w:fill="auto"/>
            <w:noWrap/>
            <w:vAlign w:val="bottom"/>
            <w:hideMark/>
          </w:tcPr>
          <w:p w14:paraId="42564B09"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4</w:t>
            </w:r>
          </w:p>
        </w:tc>
        <w:tc>
          <w:tcPr>
            <w:tcW w:w="445" w:type="dxa"/>
            <w:tcBorders>
              <w:top w:val="double" w:sz="6" w:space="0" w:color="auto"/>
              <w:left w:val="nil"/>
              <w:bottom w:val="double" w:sz="6" w:space="0" w:color="auto"/>
              <w:right w:val="nil"/>
            </w:tcBorders>
            <w:shd w:val="clear" w:color="auto" w:fill="auto"/>
            <w:noWrap/>
            <w:vAlign w:val="bottom"/>
            <w:hideMark/>
          </w:tcPr>
          <w:p w14:paraId="038975B6"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44</w:t>
            </w:r>
          </w:p>
        </w:tc>
        <w:tc>
          <w:tcPr>
            <w:tcW w:w="639" w:type="dxa"/>
            <w:tcBorders>
              <w:top w:val="double" w:sz="6" w:space="0" w:color="auto"/>
              <w:left w:val="nil"/>
              <w:bottom w:val="double" w:sz="6" w:space="0" w:color="auto"/>
              <w:right w:val="nil"/>
            </w:tcBorders>
            <w:shd w:val="clear" w:color="auto" w:fill="auto"/>
            <w:noWrap/>
            <w:vAlign w:val="bottom"/>
            <w:hideMark/>
          </w:tcPr>
          <w:p w14:paraId="4B7567A3"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30</w:t>
            </w:r>
          </w:p>
        </w:tc>
        <w:tc>
          <w:tcPr>
            <w:tcW w:w="653" w:type="dxa"/>
            <w:tcBorders>
              <w:top w:val="double" w:sz="6" w:space="0" w:color="auto"/>
              <w:left w:val="nil"/>
              <w:bottom w:val="double" w:sz="6" w:space="0" w:color="auto"/>
              <w:right w:val="nil"/>
            </w:tcBorders>
            <w:shd w:val="clear" w:color="auto" w:fill="auto"/>
            <w:noWrap/>
            <w:vAlign w:val="bottom"/>
            <w:hideMark/>
          </w:tcPr>
          <w:p w14:paraId="7215AB9B"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21</w:t>
            </w:r>
          </w:p>
        </w:tc>
        <w:tc>
          <w:tcPr>
            <w:tcW w:w="445" w:type="dxa"/>
            <w:tcBorders>
              <w:top w:val="double" w:sz="6" w:space="0" w:color="auto"/>
              <w:left w:val="nil"/>
              <w:bottom w:val="double" w:sz="6" w:space="0" w:color="auto"/>
              <w:right w:val="nil"/>
            </w:tcBorders>
            <w:shd w:val="clear" w:color="auto" w:fill="auto"/>
            <w:noWrap/>
            <w:vAlign w:val="bottom"/>
            <w:hideMark/>
          </w:tcPr>
          <w:p w14:paraId="44655FE1"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24</w:t>
            </w:r>
          </w:p>
        </w:tc>
        <w:tc>
          <w:tcPr>
            <w:tcW w:w="1543" w:type="dxa"/>
            <w:tcBorders>
              <w:top w:val="double" w:sz="6" w:space="0" w:color="auto"/>
              <w:left w:val="nil"/>
              <w:bottom w:val="double" w:sz="6" w:space="0" w:color="auto"/>
              <w:right w:val="nil"/>
            </w:tcBorders>
            <w:shd w:val="clear" w:color="auto" w:fill="auto"/>
            <w:noWrap/>
            <w:vAlign w:val="bottom"/>
            <w:hideMark/>
          </w:tcPr>
          <w:p w14:paraId="001C1D46" w14:textId="77777777" w:rsidR="00F55D6B" w:rsidRPr="00A00187" w:rsidRDefault="00F55D6B" w:rsidP="00F55D6B">
            <w:pPr>
              <w:spacing w:line="240" w:lineRule="auto"/>
              <w:jc w:val="center"/>
              <w:rPr>
                <w:rFonts w:eastAsia="Times New Roman"/>
                <w:b/>
                <w:bCs/>
                <w:szCs w:val="24"/>
                <w:lang w:eastAsia="cs-CZ"/>
              </w:rPr>
            </w:pPr>
            <w:r w:rsidRPr="00A00187">
              <w:rPr>
                <w:rFonts w:eastAsia="Times New Roman"/>
                <w:b/>
                <w:bCs/>
                <w:szCs w:val="24"/>
                <w:lang w:eastAsia="cs-CZ"/>
              </w:rPr>
              <w:t>126</w:t>
            </w:r>
          </w:p>
        </w:tc>
      </w:tr>
      <w:tr w:rsidR="00AC1E67" w:rsidRPr="00A00187" w14:paraId="22964BE0" w14:textId="77777777" w:rsidTr="00F55D6B">
        <w:trPr>
          <w:trHeight w:val="330"/>
        </w:trPr>
        <w:tc>
          <w:tcPr>
            <w:tcW w:w="2096" w:type="dxa"/>
            <w:tcBorders>
              <w:top w:val="nil"/>
              <w:left w:val="nil"/>
              <w:bottom w:val="nil"/>
              <w:right w:val="nil"/>
            </w:tcBorders>
            <w:shd w:val="clear" w:color="auto" w:fill="auto"/>
            <w:noWrap/>
            <w:vAlign w:val="bottom"/>
            <w:hideMark/>
          </w:tcPr>
          <w:p w14:paraId="5D65F465" w14:textId="77777777" w:rsidR="00F55D6B" w:rsidRPr="00A00187" w:rsidRDefault="00F55D6B" w:rsidP="00F55D6B">
            <w:pPr>
              <w:spacing w:line="240" w:lineRule="auto"/>
              <w:jc w:val="center"/>
              <w:rPr>
                <w:rFonts w:eastAsia="Times New Roman"/>
                <w:b/>
                <w:bCs/>
                <w:szCs w:val="24"/>
                <w:lang w:eastAsia="cs-CZ"/>
              </w:rPr>
            </w:pPr>
          </w:p>
        </w:tc>
        <w:tc>
          <w:tcPr>
            <w:tcW w:w="921" w:type="dxa"/>
            <w:tcBorders>
              <w:top w:val="nil"/>
              <w:left w:val="nil"/>
              <w:bottom w:val="nil"/>
              <w:right w:val="nil"/>
            </w:tcBorders>
            <w:shd w:val="clear" w:color="auto" w:fill="auto"/>
            <w:noWrap/>
            <w:vAlign w:val="bottom"/>
            <w:hideMark/>
          </w:tcPr>
          <w:p w14:paraId="2B5DA866" w14:textId="77777777" w:rsidR="00F55D6B" w:rsidRPr="00A00187" w:rsidRDefault="00F55D6B" w:rsidP="00F55D6B">
            <w:pPr>
              <w:spacing w:line="240" w:lineRule="auto"/>
              <w:jc w:val="left"/>
              <w:rPr>
                <w:rFonts w:ascii="Times New Roman" w:eastAsia="Times New Roman" w:hAnsi="Times New Roman"/>
                <w:sz w:val="20"/>
                <w:szCs w:val="20"/>
                <w:lang w:eastAsia="cs-CZ"/>
              </w:rPr>
            </w:pPr>
          </w:p>
        </w:tc>
        <w:tc>
          <w:tcPr>
            <w:tcW w:w="570" w:type="dxa"/>
            <w:tcBorders>
              <w:top w:val="nil"/>
              <w:left w:val="nil"/>
              <w:bottom w:val="nil"/>
              <w:right w:val="nil"/>
            </w:tcBorders>
            <w:shd w:val="clear" w:color="auto" w:fill="auto"/>
            <w:noWrap/>
            <w:vAlign w:val="bottom"/>
            <w:hideMark/>
          </w:tcPr>
          <w:p w14:paraId="43122580" w14:textId="77777777" w:rsidR="00F55D6B" w:rsidRPr="00A00187" w:rsidRDefault="00F55D6B" w:rsidP="00F55D6B">
            <w:pPr>
              <w:spacing w:line="240" w:lineRule="auto"/>
              <w:jc w:val="left"/>
              <w:rPr>
                <w:rFonts w:ascii="Times New Roman" w:eastAsia="Times New Roman" w:hAnsi="Times New Roman"/>
                <w:sz w:val="20"/>
                <w:szCs w:val="20"/>
                <w:lang w:eastAsia="cs-CZ"/>
              </w:rPr>
            </w:pPr>
          </w:p>
        </w:tc>
        <w:tc>
          <w:tcPr>
            <w:tcW w:w="445" w:type="dxa"/>
            <w:tcBorders>
              <w:top w:val="nil"/>
              <w:left w:val="nil"/>
              <w:bottom w:val="nil"/>
              <w:right w:val="nil"/>
            </w:tcBorders>
            <w:shd w:val="clear" w:color="auto" w:fill="auto"/>
            <w:noWrap/>
            <w:vAlign w:val="bottom"/>
            <w:hideMark/>
          </w:tcPr>
          <w:p w14:paraId="2A356E2D" w14:textId="77777777" w:rsidR="00F55D6B" w:rsidRPr="00A00187" w:rsidRDefault="00F55D6B" w:rsidP="00F55D6B">
            <w:pPr>
              <w:spacing w:line="240" w:lineRule="auto"/>
              <w:jc w:val="left"/>
              <w:rPr>
                <w:rFonts w:ascii="Times New Roman" w:eastAsia="Times New Roman" w:hAnsi="Times New Roman"/>
                <w:sz w:val="20"/>
                <w:szCs w:val="20"/>
                <w:lang w:eastAsia="cs-CZ"/>
              </w:rPr>
            </w:pPr>
          </w:p>
        </w:tc>
        <w:tc>
          <w:tcPr>
            <w:tcW w:w="639" w:type="dxa"/>
            <w:tcBorders>
              <w:top w:val="nil"/>
              <w:left w:val="nil"/>
              <w:bottom w:val="nil"/>
              <w:right w:val="nil"/>
            </w:tcBorders>
            <w:shd w:val="clear" w:color="auto" w:fill="auto"/>
            <w:noWrap/>
            <w:vAlign w:val="bottom"/>
            <w:hideMark/>
          </w:tcPr>
          <w:p w14:paraId="5ED0838C" w14:textId="77777777" w:rsidR="00F55D6B" w:rsidRPr="00A00187" w:rsidRDefault="00F55D6B" w:rsidP="00F55D6B">
            <w:pPr>
              <w:spacing w:line="240" w:lineRule="auto"/>
              <w:jc w:val="left"/>
              <w:rPr>
                <w:rFonts w:ascii="Times New Roman" w:eastAsia="Times New Roman" w:hAnsi="Times New Roman"/>
                <w:sz w:val="20"/>
                <w:szCs w:val="20"/>
                <w:lang w:eastAsia="cs-CZ"/>
              </w:rPr>
            </w:pPr>
          </w:p>
        </w:tc>
        <w:tc>
          <w:tcPr>
            <w:tcW w:w="653" w:type="dxa"/>
            <w:tcBorders>
              <w:top w:val="nil"/>
              <w:left w:val="nil"/>
              <w:bottom w:val="nil"/>
              <w:right w:val="nil"/>
            </w:tcBorders>
            <w:shd w:val="clear" w:color="auto" w:fill="auto"/>
            <w:noWrap/>
            <w:vAlign w:val="bottom"/>
            <w:hideMark/>
          </w:tcPr>
          <w:p w14:paraId="00536B7A" w14:textId="77777777" w:rsidR="00F55D6B" w:rsidRPr="00A00187" w:rsidRDefault="00F55D6B" w:rsidP="00F55D6B">
            <w:pPr>
              <w:spacing w:line="240" w:lineRule="auto"/>
              <w:jc w:val="left"/>
              <w:rPr>
                <w:rFonts w:ascii="Times New Roman" w:eastAsia="Times New Roman" w:hAnsi="Times New Roman"/>
                <w:sz w:val="20"/>
                <w:szCs w:val="20"/>
                <w:lang w:eastAsia="cs-CZ"/>
              </w:rPr>
            </w:pPr>
          </w:p>
        </w:tc>
        <w:tc>
          <w:tcPr>
            <w:tcW w:w="445" w:type="dxa"/>
            <w:tcBorders>
              <w:top w:val="nil"/>
              <w:left w:val="nil"/>
              <w:bottom w:val="nil"/>
              <w:right w:val="nil"/>
            </w:tcBorders>
            <w:shd w:val="clear" w:color="auto" w:fill="auto"/>
            <w:noWrap/>
            <w:vAlign w:val="bottom"/>
            <w:hideMark/>
          </w:tcPr>
          <w:p w14:paraId="1B4EE417" w14:textId="77777777" w:rsidR="00F55D6B" w:rsidRPr="00A00187" w:rsidRDefault="00F55D6B" w:rsidP="00F55D6B">
            <w:pPr>
              <w:spacing w:line="240" w:lineRule="auto"/>
              <w:jc w:val="left"/>
              <w:rPr>
                <w:rFonts w:ascii="Times New Roman" w:eastAsia="Times New Roman" w:hAnsi="Times New Roman"/>
                <w:sz w:val="20"/>
                <w:szCs w:val="20"/>
                <w:lang w:eastAsia="cs-CZ"/>
              </w:rPr>
            </w:pPr>
          </w:p>
        </w:tc>
        <w:tc>
          <w:tcPr>
            <w:tcW w:w="1543" w:type="dxa"/>
            <w:tcBorders>
              <w:top w:val="nil"/>
              <w:left w:val="nil"/>
              <w:bottom w:val="nil"/>
              <w:right w:val="nil"/>
            </w:tcBorders>
            <w:shd w:val="clear" w:color="auto" w:fill="auto"/>
            <w:noWrap/>
            <w:vAlign w:val="bottom"/>
            <w:hideMark/>
          </w:tcPr>
          <w:p w14:paraId="3C9105BF" w14:textId="77777777" w:rsidR="00F55D6B" w:rsidRPr="00A00187" w:rsidRDefault="00F55D6B" w:rsidP="00F55D6B">
            <w:pPr>
              <w:spacing w:line="240" w:lineRule="auto"/>
              <w:jc w:val="left"/>
              <w:rPr>
                <w:rFonts w:ascii="Times New Roman" w:eastAsia="Times New Roman" w:hAnsi="Times New Roman"/>
                <w:sz w:val="20"/>
                <w:szCs w:val="20"/>
                <w:lang w:eastAsia="cs-CZ"/>
              </w:rPr>
            </w:pPr>
          </w:p>
        </w:tc>
      </w:tr>
    </w:tbl>
    <w:p w14:paraId="0C4E0EB3" w14:textId="77777777" w:rsidR="00CB570A" w:rsidRDefault="00F55D6B" w:rsidP="00F55D6B">
      <w:pPr>
        <w:pStyle w:val="OdstavecASR"/>
      </w:pPr>
      <w:r w:rsidRPr="00A00187">
        <w:t>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došlo jen k velmi malým změnám.</w:t>
      </w:r>
    </w:p>
    <w:p w14:paraId="7A685E46" w14:textId="502A92C9" w:rsidR="00F55D6B" w:rsidRPr="00A00187" w:rsidRDefault="00F55D6B" w:rsidP="00C61F5B">
      <w:pPr>
        <w:pStyle w:val="OdstavecASR"/>
      </w:pPr>
    </w:p>
    <w:p w14:paraId="193FC116" w14:textId="77777777" w:rsidR="00C61F5B" w:rsidRPr="00A00187" w:rsidRDefault="00C61F5B" w:rsidP="00C61F5B">
      <w:pPr>
        <w:rPr>
          <w:lang w:eastAsia="cs-CZ"/>
        </w:rPr>
      </w:pPr>
    </w:p>
    <w:p w14:paraId="1E99952C" w14:textId="77777777" w:rsidR="007879E7" w:rsidRPr="00A00187" w:rsidRDefault="007879E7">
      <w:pPr>
        <w:spacing w:after="160" w:line="259" w:lineRule="auto"/>
        <w:jc w:val="left"/>
        <w:rPr>
          <w:rFonts w:eastAsia="Times New Roman"/>
          <w:b/>
          <w:bCs/>
          <w:lang w:eastAsia="cs-CZ"/>
        </w:rPr>
      </w:pPr>
      <w:r w:rsidRPr="00A00187">
        <w:rPr>
          <w:lang w:eastAsia="cs-CZ"/>
        </w:rPr>
        <w:br w:type="page"/>
      </w:r>
    </w:p>
    <w:p w14:paraId="4AFA3D31" w14:textId="59001F76" w:rsidR="008430BD" w:rsidRPr="00A00187" w:rsidRDefault="008430BD" w:rsidP="008430BD">
      <w:pPr>
        <w:pStyle w:val="Nadpis2"/>
        <w:numPr>
          <w:ilvl w:val="1"/>
          <w:numId w:val="1"/>
        </w:numPr>
        <w:spacing w:before="120"/>
        <w:rPr>
          <w:color w:val="auto"/>
        </w:rPr>
      </w:pPr>
      <w:bookmarkStart w:id="1043" w:name="_Toc487791283"/>
      <w:bookmarkStart w:id="1044" w:name="_Toc515871281"/>
      <w:bookmarkStart w:id="1045" w:name="_Toc106092793"/>
      <w:bookmarkStart w:id="1046" w:name="_Toc109801404"/>
      <w:r w:rsidRPr="00A00187">
        <w:rPr>
          <w:color w:val="auto"/>
        </w:rPr>
        <w:lastRenderedPageBreak/>
        <w:t>Civilní a obchodní odvolací agenda</w:t>
      </w:r>
      <w:bookmarkEnd w:id="1043"/>
      <w:bookmarkEnd w:id="1044"/>
      <w:bookmarkEnd w:id="1045"/>
      <w:bookmarkEnd w:id="1046"/>
    </w:p>
    <w:p w14:paraId="18957778" w14:textId="77777777" w:rsidR="00F55D6B" w:rsidRPr="00A00187" w:rsidRDefault="00F55D6B" w:rsidP="00F55D6B">
      <w:pPr>
        <w:pStyle w:val="OdstavecASR"/>
      </w:pPr>
      <w:r w:rsidRPr="00A00187">
        <w:t>Jak již bylo uvedeno, vrchní soudy nevyřizují prvostupňovou civilní a obchodní agendu. Zabývají se agendou odvolací, což jsou rejstříky Co a </w:t>
      </w:r>
      <w:proofErr w:type="spellStart"/>
      <w:r w:rsidRPr="00A00187">
        <w:t>Cmo</w:t>
      </w:r>
      <w:proofErr w:type="spellEnd"/>
      <w:r w:rsidRPr="00A00187">
        <w:t>. Ve způsobu vedení statistik nedošlo k žádným výrazným změnám.</w:t>
      </w:r>
    </w:p>
    <w:p w14:paraId="3914F3F6" w14:textId="77777777" w:rsidR="00F55D6B" w:rsidRPr="00A00187" w:rsidRDefault="00F55D6B" w:rsidP="00F55D6B">
      <w:pPr>
        <w:pStyle w:val="Nadpis3"/>
        <w:numPr>
          <w:ilvl w:val="2"/>
          <w:numId w:val="1"/>
        </w:numPr>
        <w:rPr>
          <w:color w:val="auto"/>
          <w:lang w:eastAsia="cs-CZ"/>
        </w:rPr>
      </w:pPr>
      <w:bookmarkStart w:id="1047" w:name="_Toc75952128"/>
      <w:bookmarkStart w:id="1048" w:name="_Toc106092794"/>
      <w:bookmarkStart w:id="1049" w:name="_Toc109801405"/>
      <w:r w:rsidRPr="00A00187">
        <w:rPr>
          <w:color w:val="auto"/>
          <w:lang w:eastAsia="cs-CZ"/>
        </w:rPr>
        <w:t>Délka řízení</w:t>
      </w:r>
      <w:bookmarkEnd w:id="1047"/>
      <w:bookmarkEnd w:id="1048"/>
      <w:bookmarkEnd w:id="1049"/>
    </w:p>
    <w:p w14:paraId="73DFF523" w14:textId="77777777" w:rsidR="00F55D6B" w:rsidRPr="00A00187" w:rsidRDefault="00F55D6B" w:rsidP="00F55D6B">
      <w:pPr>
        <w:pStyle w:val="OdstavecASR"/>
      </w:pPr>
      <w:r w:rsidRPr="00A00187">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14:paraId="71CC3892" w14:textId="032BC399" w:rsidR="00F55D6B" w:rsidRPr="00A00187" w:rsidRDefault="00F55D6B" w:rsidP="00F55D6B">
      <w:pPr>
        <w:pStyle w:val="Podnadpis"/>
        <w:rPr>
          <w:color w:val="auto"/>
        </w:rPr>
      </w:pPr>
      <w:bookmarkStart w:id="1050" w:name="_Toc515871411"/>
      <w:bookmarkStart w:id="1051" w:name="_Toc11135142"/>
      <w:bookmarkStart w:id="1052" w:name="_Toc43841464"/>
      <w:bookmarkStart w:id="1053" w:name="_Toc75952267"/>
      <w:bookmarkStart w:id="1054" w:name="_Toc106106724"/>
      <w:bookmarkStart w:id="1055" w:name="_Toc10980204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90</w:t>
      </w:r>
      <w:r w:rsidRPr="00A00187">
        <w:rPr>
          <w:color w:val="auto"/>
        </w:rPr>
        <w:fldChar w:fldCharType="end"/>
      </w:r>
      <w:r w:rsidRPr="00A00187">
        <w:rPr>
          <w:color w:val="auto"/>
        </w:rPr>
        <w:t>: VS – délka civilního odvolacího řízení u VS v letech 2010–20</w:t>
      </w:r>
      <w:bookmarkEnd w:id="1050"/>
      <w:bookmarkEnd w:id="1051"/>
      <w:bookmarkEnd w:id="1052"/>
      <w:r w:rsidRPr="00A00187">
        <w:rPr>
          <w:color w:val="auto"/>
        </w:rPr>
        <w:t>2</w:t>
      </w:r>
      <w:bookmarkEnd w:id="1053"/>
      <w:r w:rsidRPr="00A00187">
        <w:rPr>
          <w:color w:val="auto"/>
        </w:rPr>
        <w:t>1</w:t>
      </w:r>
      <w:bookmarkEnd w:id="1054"/>
      <w:bookmarkEnd w:id="1055"/>
    </w:p>
    <w:p w14:paraId="74C3DA2A" w14:textId="50FF0FE5" w:rsidR="00F55D6B" w:rsidRPr="00A00187" w:rsidRDefault="00D871C0" w:rsidP="00F55D6B">
      <w:r w:rsidRPr="00A00187">
        <w:rPr>
          <w:noProof/>
        </w:rPr>
        <w:drawing>
          <wp:inline distT="0" distB="0" distL="0" distR="0" wp14:anchorId="20823F60" wp14:editId="3EDEA63F">
            <wp:extent cx="5025390" cy="3657600"/>
            <wp:effectExtent l="0" t="0" r="3810" b="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411AC91" w14:textId="1516117E" w:rsidR="00D871C0" w:rsidRPr="00A00187" w:rsidRDefault="00D871C0" w:rsidP="00F55D6B"/>
    <w:p w14:paraId="14CA9256" w14:textId="697D3354" w:rsidR="00CB570A" w:rsidRDefault="00D871C0" w:rsidP="00D871C0">
      <w:pPr>
        <w:pStyle w:val="OdstavecASR"/>
      </w:pPr>
      <w:r w:rsidRPr="00A00187">
        <w:t xml:space="preserve">Z grafu jasně vyplývá, že VS </w:t>
      </w:r>
      <w:r w:rsidR="00755920" w:rsidRPr="00A00187">
        <w:t>v</w:t>
      </w:r>
      <w:r w:rsidR="00755920">
        <w:t> </w:t>
      </w:r>
      <w:r w:rsidRPr="00A00187">
        <w:t>Olomouc</w:t>
      </w:r>
      <w:r w:rsidR="00942668" w:rsidRPr="00A00187">
        <w:t>i</w:t>
      </w:r>
      <w:r w:rsidRPr="00A00187">
        <w:t xml:space="preserve"> vyřizuje věci mnohem rychleji než VS </w:t>
      </w:r>
      <w:r w:rsidR="00755920" w:rsidRPr="00A00187">
        <w:t>v</w:t>
      </w:r>
      <w:r w:rsidR="00755920">
        <w:t> </w:t>
      </w:r>
      <w:r w:rsidRPr="00A00187">
        <w:t>Pra</w:t>
      </w:r>
      <w:r w:rsidR="00942668" w:rsidRPr="00A00187">
        <w:t>ze</w:t>
      </w:r>
      <w:r w:rsidRPr="00A00187">
        <w:t xml:space="preserve">. </w:t>
      </w:r>
      <w:r w:rsidR="00502B2D" w:rsidRPr="00A00187">
        <w:t xml:space="preserve">Vykázaná délka řízení </w:t>
      </w:r>
      <w:r w:rsidR="00755920" w:rsidRPr="00A00187">
        <w:t>u</w:t>
      </w:r>
      <w:r w:rsidR="00755920">
        <w:t> </w:t>
      </w:r>
      <w:r w:rsidR="00502B2D" w:rsidRPr="00A00187">
        <w:t xml:space="preserve">VS v Praze byla nejvyšší za sledované období. </w:t>
      </w:r>
      <w:r w:rsidRPr="00A00187">
        <w:t>Devadesátý percentil délky řízení u VS v Olomouci bývá pravidelně nižší než průměr u VS v Praze, v roce 2019 byl dokonce na úrovni mediánu u VS v Praze. Rozdíl můžeme zčásti připsat odlišnostem ve vyřizované agendě, nicméně předpokládáme, že se na něm podílí i další faktory</w:t>
      </w:r>
      <w:r w:rsidR="000646E1" w:rsidRPr="00A00187">
        <w:t>.</w:t>
      </w:r>
    </w:p>
    <w:p w14:paraId="0FF0149D" w14:textId="20F85D66" w:rsidR="00CB570A" w:rsidRDefault="004825B0" w:rsidP="004825B0">
      <w:pPr>
        <w:pStyle w:val="OdstavecASR"/>
      </w:pPr>
      <w:r w:rsidRPr="00A00187">
        <w:t xml:space="preserve">Graf také ukazuje zajímavý jev, kdy medián a 90. percentil u VS </w:t>
      </w:r>
      <w:r w:rsidR="00755920" w:rsidRPr="00A00187">
        <w:t>v</w:t>
      </w:r>
      <w:r w:rsidR="00755920">
        <w:t> </w:t>
      </w:r>
      <w:r w:rsidRPr="00A00187">
        <w:t>Olomouc</w:t>
      </w:r>
      <w:r w:rsidR="00942668" w:rsidRPr="00A00187">
        <w:t>i</w:t>
      </w:r>
      <w:r w:rsidRPr="00A00187">
        <w:t xml:space="preserve"> jsou celkem stabilní, zatímco průměr kolísá. Tento jev </w:t>
      </w:r>
      <w:r w:rsidR="00995CB0" w:rsidRPr="00A00187">
        <w:t xml:space="preserve">se v extrémní podobě projevil </w:t>
      </w:r>
      <w:r w:rsidRPr="00A00187">
        <w:t xml:space="preserve">v roce 2021, kdy výkyv v průměru </w:t>
      </w:r>
      <w:r w:rsidR="00995CB0" w:rsidRPr="00A00187">
        <w:t>byl</w:t>
      </w:r>
      <w:r w:rsidRPr="00A00187">
        <w:t xml:space="preserve"> tak velký, že průměr je vyšší než percentil 90. T</w:t>
      </w:r>
      <w:r w:rsidR="00995CB0" w:rsidRPr="00A00187">
        <w:t>ento</w:t>
      </w:r>
      <w:r w:rsidRPr="00A00187">
        <w:t xml:space="preserve"> ze statistického hlediska </w:t>
      </w:r>
      <w:r w:rsidR="00995CB0" w:rsidRPr="00A00187">
        <w:t xml:space="preserve">zajímavý stav je </w:t>
      </w:r>
      <w:r w:rsidRPr="00A00187">
        <w:t xml:space="preserve">samozřejmě dán přítomností extrémních hodnot. </w:t>
      </w:r>
      <w:r w:rsidR="00575511" w:rsidRPr="00A00187">
        <w:t xml:space="preserve">V roce </w:t>
      </w:r>
      <w:r w:rsidR="00995CB0" w:rsidRPr="00A00187">
        <w:t>2021</w:t>
      </w:r>
      <w:r w:rsidR="00575511" w:rsidRPr="00A00187">
        <w:t xml:space="preserve"> se </w:t>
      </w:r>
      <w:r w:rsidR="00995CB0" w:rsidRPr="00A00187">
        <w:t>totiž</w:t>
      </w:r>
      <w:r w:rsidR="00575511" w:rsidRPr="00A00187">
        <w:t xml:space="preserve"> do statistik promítlo několik skutečně extrémně dlouhých řízení</w:t>
      </w:r>
      <w:r w:rsidR="00A73075" w:rsidRPr="00A00187">
        <w:t xml:space="preserve">, která byla </w:t>
      </w:r>
      <w:r w:rsidR="00995CB0" w:rsidRPr="00A00187">
        <w:t xml:space="preserve">dlouho </w:t>
      </w:r>
      <w:r w:rsidR="00A73075" w:rsidRPr="00A00187">
        <w:t>přerušena z důvodu konkurzu.</w:t>
      </w:r>
    </w:p>
    <w:p w14:paraId="5554A018" w14:textId="3A5CA9EF" w:rsidR="002665DC" w:rsidRPr="00A00187" w:rsidRDefault="002665DC">
      <w:pPr>
        <w:spacing w:after="160" w:line="259" w:lineRule="auto"/>
        <w:jc w:val="left"/>
      </w:pPr>
      <w:r w:rsidRPr="00A00187">
        <w:br w:type="page"/>
      </w:r>
    </w:p>
    <w:p w14:paraId="2A8EA97D" w14:textId="77777777" w:rsidR="002665DC" w:rsidRPr="00A00187" w:rsidRDefault="002665DC" w:rsidP="002665DC">
      <w:pPr>
        <w:pStyle w:val="OdstavecASR"/>
      </w:pPr>
      <w:r w:rsidRPr="00A00187">
        <w:lastRenderedPageBreak/>
        <w:t>V histogramu níže srovnáváme délky řízení. Opět vidíme zcela jasný rozdíl mezi oběma soudy. Graf například ukazuje, že podíl věcí vyřízených do 75 dnů je u VS v Olomouci více než dvojnásobný ve srovnání s VS v Praze.</w:t>
      </w:r>
    </w:p>
    <w:p w14:paraId="2952ED82" w14:textId="3A1B8848" w:rsidR="002665DC" w:rsidRPr="00A00187" w:rsidRDefault="002665DC" w:rsidP="002665DC">
      <w:pPr>
        <w:pStyle w:val="Podnadpis"/>
        <w:rPr>
          <w:color w:val="auto"/>
        </w:rPr>
      </w:pPr>
      <w:bookmarkStart w:id="1056" w:name="_Toc515871412"/>
      <w:bookmarkStart w:id="1057" w:name="_Toc11135143"/>
      <w:bookmarkStart w:id="1058" w:name="_Toc43841465"/>
      <w:bookmarkStart w:id="1059" w:name="_Toc75952268"/>
      <w:bookmarkStart w:id="1060" w:name="_Toc106106725"/>
      <w:bookmarkStart w:id="1061" w:name="_Toc10980204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91</w:t>
      </w:r>
      <w:r w:rsidRPr="00A00187">
        <w:rPr>
          <w:color w:val="auto"/>
        </w:rPr>
        <w:fldChar w:fldCharType="end"/>
      </w:r>
      <w:r w:rsidRPr="00A00187">
        <w:rPr>
          <w:color w:val="auto"/>
        </w:rPr>
        <w:t>: VS – distribuce délek civilního odvolacího řízení</w:t>
      </w:r>
      <w:bookmarkEnd w:id="1056"/>
      <w:bookmarkEnd w:id="1057"/>
      <w:bookmarkEnd w:id="1058"/>
      <w:bookmarkEnd w:id="1059"/>
      <w:bookmarkEnd w:id="1060"/>
      <w:bookmarkEnd w:id="1061"/>
    </w:p>
    <w:p w14:paraId="23D2E5ED" w14:textId="70908E0B" w:rsidR="004825B0" w:rsidRPr="00A00187" w:rsidRDefault="00B924C6" w:rsidP="004825B0">
      <w:pPr>
        <w:pStyle w:val="OdstavecASR"/>
      </w:pPr>
      <w:r w:rsidRPr="00A00187">
        <w:rPr>
          <w:noProof/>
        </w:rPr>
        <w:drawing>
          <wp:inline distT="0" distB="0" distL="0" distR="0" wp14:anchorId="3BBF56F2" wp14:editId="39078546">
            <wp:extent cx="5029200" cy="36576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B3EDD75" w14:textId="77777777" w:rsidR="004825B0" w:rsidRPr="00A00187" w:rsidRDefault="004825B0" w:rsidP="00D871C0">
      <w:pPr>
        <w:pStyle w:val="OdstavecASR"/>
      </w:pPr>
    </w:p>
    <w:p w14:paraId="0AA9C7F3" w14:textId="77777777" w:rsidR="00D871C0" w:rsidRPr="00A00187" w:rsidRDefault="00D871C0" w:rsidP="00F55D6B"/>
    <w:p w14:paraId="5837C433" w14:textId="0AA8B5F3" w:rsidR="008430BD" w:rsidRPr="00A00187" w:rsidRDefault="008430BD" w:rsidP="008430BD">
      <w:pPr>
        <w:pStyle w:val="Nadpis3"/>
        <w:numPr>
          <w:ilvl w:val="2"/>
          <w:numId w:val="1"/>
        </w:numPr>
        <w:rPr>
          <w:color w:val="auto"/>
          <w:lang w:eastAsia="cs-CZ"/>
        </w:rPr>
      </w:pPr>
      <w:bookmarkStart w:id="1062" w:name="_Toc515871283"/>
      <w:bookmarkStart w:id="1063" w:name="_Toc106092795"/>
      <w:bookmarkStart w:id="1064" w:name="_Toc109801406"/>
      <w:r w:rsidRPr="00A00187">
        <w:rPr>
          <w:color w:val="auto"/>
          <w:lang w:eastAsia="cs-CZ"/>
        </w:rPr>
        <w:lastRenderedPageBreak/>
        <w:t>Vyřizování věcí</w:t>
      </w:r>
      <w:bookmarkEnd w:id="1062"/>
      <w:bookmarkEnd w:id="1063"/>
      <w:bookmarkEnd w:id="1064"/>
    </w:p>
    <w:p w14:paraId="0558F490" w14:textId="782866CF" w:rsidR="00273568" w:rsidRPr="00A00187" w:rsidRDefault="00273568" w:rsidP="00273568">
      <w:pPr>
        <w:pStyle w:val="Podnadpis"/>
        <w:rPr>
          <w:color w:val="auto"/>
        </w:rPr>
      </w:pPr>
      <w:bookmarkStart w:id="1065" w:name="_Ref511821018"/>
      <w:bookmarkStart w:id="1066" w:name="_Toc515871413"/>
      <w:bookmarkStart w:id="1067" w:name="_Toc11135144"/>
      <w:bookmarkStart w:id="1068" w:name="_Toc43841466"/>
      <w:bookmarkStart w:id="1069" w:name="_Toc75952269"/>
      <w:bookmarkStart w:id="1070" w:name="_Toc106106726"/>
      <w:bookmarkStart w:id="1071" w:name="_Toc109802050"/>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92</w:t>
      </w:r>
      <w:r w:rsidR="008457EB" w:rsidRPr="00A00187">
        <w:rPr>
          <w:noProof/>
          <w:color w:val="auto"/>
        </w:rPr>
        <w:fldChar w:fldCharType="end"/>
      </w:r>
      <w:bookmarkEnd w:id="1065"/>
      <w:r w:rsidRPr="00A00187">
        <w:rPr>
          <w:color w:val="auto"/>
        </w:rPr>
        <w:t>: VS – vyřizování odvolacích civilních věcí v letech 2008–20</w:t>
      </w:r>
      <w:bookmarkEnd w:id="1066"/>
      <w:bookmarkEnd w:id="1067"/>
      <w:bookmarkEnd w:id="1068"/>
      <w:r w:rsidRPr="00A00187">
        <w:rPr>
          <w:color w:val="auto"/>
        </w:rPr>
        <w:t>2</w:t>
      </w:r>
      <w:bookmarkEnd w:id="1069"/>
      <w:r w:rsidRPr="00A00187">
        <w:rPr>
          <w:color w:val="auto"/>
        </w:rPr>
        <w:t>1</w:t>
      </w:r>
      <w:bookmarkEnd w:id="1070"/>
      <w:bookmarkEnd w:id="1071"/>
    </w:p>
    <w:p w14:paraId="2EF72195" w14:textId="77777777" w:rsidR="002665DC" w:rsidRPr="00A00187" w:rsidRDefault="00273568">
      <w:pPr>
        <w:spacing w:after="160" w:line="259" w:lineRule="auto"/>
        <w:jc w:val="left"/>
      </w:pPr>
      <w:r w:rsidRPr="00A00187">
        <w:rPr>
          <w:noProof/>
        </w:rPr>
        <w:drawing>
          <wp:inline distT="0" distB="0" distL="0" distR="0" wp14:anchorId="121E7718" wp14:editId="627B3A32">
            <wp:extent cx="5025390" cy="3657600"/>
            <wp:effectExtent l="0" t="0" r="3810"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4DEA823" w14:textId="62F41BBD" w:rsidR="00CB570A" w:rsidRDefault="002665DC" w:rsidP="002665DC">
      <w:pPr>
        <w:pStyle w:val="OdstavecASR"/>
      </w:pPr>
      <w:bookmarkStart w:id="1072" w:name="_Hlk69213758"/>
      <w:r w:rsidRPr="00A00187">
        <w:t>Na první pohled zaujme jasný pokles nápadu u obou soudů v posledních letech, který je nepochybně způsoben přesunem prvostupňové obchodní agendy z krajských soudů na soudy okresní. Od roku 2012 do roku 2020 klesl počet příchozích věcí u obou soudů více než o polovinu – u VS v Praze o 58</w:t>
      </w:r>
      <w:r w:rsidR="00CB570A">
        <w:t> %</w:t>
      </w:r>
      <w:r w:rsidRPr="00A00187">
        <w:t>, u VS v Olomouci dokonce o 68</w:t>
      </w:r>
      <w:r w:rsidR="00CB570A">
        <w:t> %</w:t>
      </w:r>
      <w:r w:rsidRPr="00A00187">
        <w:t xml:space="preserve">. V roce 2021 pokles </w:t>
      </w:r>
      <w:r w:rsidR="00755920" w:rsidRPr="00A00187">
        <w:t>u</w:t>
      </w:r>
      <w:r w:rsidR="00755920">
        <w:t> </w:t>
      </w:r>
      <w:r w:rsidRPr="00A00187">
        <w:t xml:space="preserve">VS v Praze zpomalil, ale stále </w:t>
      </w:r>
      <w:r w:rsidR="00995CB0" w:rsidRPr="00A00187">
        <w:t>trval</w:t>
      </w:r>
      <w:r w:rsidRPr="00A00187">
        <w:t xml:space="preserve">. </w:t>
      </w:r>
      <w:r w:rsidR="00755920" w:rsidRPr="00A00187">
        <w:t>U</w:t>
      </w:r>
      <w:r w:rsidR="00755920">
        <w:t> </w:t>
      </w:r>
      <w:r w:rsidRPr="00A00187">
        <w:t>VS v Olomouc</w:t>
      </w:r>
      <w:r w:rsidR="00942668" w:rsidRPr="00A00187">
        <w:t>i</w:t>
      </w:r>
      <w:r w:rsidRPr="00A00187">
        <w:t xml:space="preserve"> počet příchozích věcí víceméně stagnoval.</w:t>
      </w:r>
    </w:p>
    <w:p w14:paraId="54959D32" w14:textId="37F332BA" w:rsidR="00CB570A" w:rsidRDefault="002665DC" w:rsidP="002665DC">
      <w:pPr>
        <w:pStyle w:val="OdstavecASR"/>
      </w:pPr>
      <w:r w:rsidRPr="00A00187">
        <w:t xml:space="preserve">Z poklesu v nápadu logicky vyplývá pokles v počtu vyřízených věcí. Díky klesajícímu nápadu se oběma soudům </w:t>
      </w:r>
      <w:r w:rsidR="00942668" w:rsidRPr="00A00187">
        <w:t>„</w:t>
      </w:r>
      <w:r w:rsidR="00625C59" w:rsidRPr="00A00187">
        <w:t>dařilo</w:t>
      </w:r>
      <w:r w:rsidR="00942668" w:rsidRPr="00A00187">
        <w:t>“</w:t>
      </w:r>
      <w:r w:rsidRPr="00A00187">
        <w:t xml:space="preserve"> vyřizovat více věcí, než napadne a obživne, a úspěšně se jim tak </w:t>
      </w:r>
      <w:r w:rsidR="00942668" w:rsidRPr="00A00187">
        <w:t>„</w:t>
      </w:r>
      <w:r w:rsidRPr="00A00187">
        <w:t>daří</w:t>
      </w:r>
      <w:r w:rsidR="00942668" w:rsidRPr="00A00187">
        <w:t>“</w:t>
      </w:r>
      <w:r w:rsidRPr="00A00187">
        <w:t xml:space="preserve"> snižovat počet nedodělků.</w:t>
      </w:r>
      <w:bookmarkEnd w:id="1072"/>
      <w:r w:rsidR="00625C59" w:rsidRPr="00A00187">
        <w:t xml:space="preserve"> VS v Olomouci už má velmi nízký počet nedodělků </w:t>
      </w:r>
      <w:r w:rsidR="00755920" w:rsidRPr="00A00187">
        <w:t>a</w:t>
      </w:r>
      <w:r w:rsidR="00755920">
        <w:t> </w:t>
      </w:r>
      <w:r w:rsidR="00625C59" w:rsidRPr="00A00187">
        <w:t xml:space="preserve">je </w:t>
      </w:r>
      <w:r w:rsidR="00942668" w:rsidRPr="00A00187">
        <w:t xml:space="preserve">tedy </w:t>
      </w:r>
      <w:r w:rsidR="00625C59" w:rsidRPr="00A00187">
        <w:t>možné, že reálně už ho nelze příliš snížit, proto</w:t>
      </w:r>
      <w:r w:rsidR="00942668" w:rsidRPr="00A00187">
        <w:t>že</w:t>
      </w:r>
      <w:r w:rsidR="00625C59" w:rsidRPr="00A00187">
        <w:t xml:space="preserve"> počet nevyřízených věcí v posledních letech stagnuje. </w:t>
      </w:r>
      <w:r w:rsidR="00755920" w:rsidRPr="00A00187">
        <w:t>U</w:t>
      </w:r>
      <w:r w:rsidR="00755920">
        <w:t> </w:t>
      </w:r>
      <w:r w:rsidR="00625C59" w:rsidRPr="00A00187">
        <w:t xml:space="preserve">VS v Praze je stále vidět setrvalý pokles. </w:t>
      </w:r>
    </w:p>
    <w:p w14:paraId="2D92C7F1" w14:textId="14C7EB2B" w:rsidR="00273568" w:rsidRPr="00A00187" w:rsidRDefault="00273568">
      <w:pPr>
        <w:spacing w:after="160" w:line="259" w:lineRule="auto"/>
        <w:jc w:val="left"/>
        <w:rPr>
          <w:rFonts w:eastAsia="Times New Roman"/>
          <w:b/>
          <w:iCs/>
          <w:spacing w:val="15"/>
          <w:szCs w:val="24"/>
        </w:rPr>
      </w:pPr>
      <w:r w:rsidRPr="00A00187">
        <w:br w:type="page"/>
      </w:r>
    </w:p>
    <w:p w14:paraId="7411CE1D" w14:textId="303AE6B1" w:rsidR="008430BD" w:rsidRPr="00A00187" w:rsidRDefault="008430BD" w:rsidP="008430BD">
      <w:pPr>
        <w:pStyle w:val="Nadpis3"/>
        <w:numPr>
          <w:ilvl w:val="2"/>
          <w:numId w:val="1"/>
        </w:numPr>
        <w:rPr>
          <w:color w:val="auto"/>
          <w:lang w:eastAsia="cs-CZ"/>
        </w:rPr>
      </w:pPr>
      <w:bookmarkStart w:id="1073" w:name="_Toc515871284"/>
      <w:bookmarkStart w:id="1074" w:name="_Toc106092796"/>
      <w:bookmarkStart w:id="1075" w:name="_Toc109801407"/>
      <w:r w:rsidRPr="00A00187">
        <w:rPr>
          <w:color w:val="auto"/>
          <w:lang w:eastAsia="cs-CZ"/>
        </w:rPr>
        <w:lastRenderedPageBreak/>
        <w:t>Vyřizování v přepočtu na soudce</w:t>
      </w:r>
      <w:bookmarkEnd w:id="1073"/>
      <w:bookmarkEnd w:id="1074"/>
      <w:bookmarkEnd w:id="1075"/>
    </w:p>
    <w:p w14:paraId="4B53515F" w14:textId="05AC3485" w:rsidR="00E336B6" w:rsidRPr="00A00187" w:rsidRDefault="00E336B6" w:rsidP="00E336B6">
      <w:pPr>
        <w:pStyle w:val="OdstavecASR"/>
      </w:pPr>
      <w:r w:rsidRPr="00A00187">
        <w:t>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w:t>
      </w:r>
      <w:proofErr w:type="spellStart"/>
      <w:r w:rsidRPr="00A00187">
        <w:t>Cmo</w:t>
      </w:r>
      <w:proofErr w:type="spellEnd"/>
      <w:r w:rsidRPr="00A00187">
        <w:t xml:space="preserve">. Záleží také na zapojení dalších soudních zaměstnanců ve výkonu i na poměru počtu věcí v rejstříku Co k počtu věcí v rejstříku </w:t>
      </w:r>
      <w:proofErr w:type="spellStart"/>
      <w:r w:rsidRPr="00A00187">
        <w:t>Cmo</w:t>
      </w:r>
      <w:proofErr w:type="spellEnd"/>
      <w:r w:rsidRPr="00A00187">
        <w:t>. Počet nevyřízených věcí na jednoho soudce je ale u VS v Praze zcela bezpochyby vyšší než u soudu v Olomouci, což plyne především z dřívějších let. Rozdíl je opravdu velký – u VS v Praze připadá na soudce asi trojnásobek až čtyřnásobek nevyřízených věcí oproti VS v Olomouci. V předchozích letech to ale bylo výrazně více. Počet nevyřízených věcí na soudce u VS v Praze totiž výrazně klesl, což plyne z poklesu celkového počtu nevyřízených věcí, který (alespoň částečně) zase plyne z poklesu v počtu příchozích věcí.</w:t>
      </w:r>
    </w:p>
    <w:p w14:paraId="54B41655" w14:textId="2D60E912" w:rsidR="00E336B6" w:rsidRPr="00A00187" w:rsidRDefault="00E336B6" w:rsidP="00E336B6">
      <w:pPr>
        <w:pStyle w:val="Podnadpis"/>
        <w:rPr>
          <w:color w:val="auto"/>
        </w:rPr>
      </w:pPr>
      <w:bookmarkStart w:id="1076" w:name="_Toc106106838"/>
      <w:bookmarkStart w:id="1077" w:name="_Toc109802161"/>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76</w:t>
      </w:r>
      <w:r w:rsidRPr="00A00187">
        <w:rPr>
          <w:color w:val="auto"/>
        </w:rPr>
        <w:fldChar w:fldCharType="end"/>
      </w:r>
      <w:r w:rsidRPr="00A00187">
        <w:rPr>
          <w:color w:val="auto"/>
        </w:rPr>
        <w:t>: VS – vyřizování odvolacích civilních věcí na soudce</w:t>
      </w:r>
      <w:bookmarkEnd w:id="1076"/>
      <w:bookmarkEnd w:id="1077"/>
    </w:p>
    <w:tbl>
      <w:tblPr>
        <w:tblW w:w="7752" w:type="dxa"/>
        <w:tblCellMar>
          <w:left w:w="70" w:type="dxa"/>
          <w:right w:w="70" w:type="dxa"/>
        </w:tblCellMar>
        <w:tblLook w:val="04A0" w:firstRow="1" w:lastRow="0" w:firstColumn="1" w:lastColumn="0" w:noHBand="0" w:noVBand="1"/>
      </w:tblPr>
      <w:tblGrid>
        <w:gridCol w:w="2036"/>
        <w:gridCol w:w="957"/>
        <w:gridCol w:w="837"/>
        <w:gridCol w:w="966"/>
        <w:gridCol w:w="1009"/>
        <w:gridCol w:w="947"/>
        <w:gridCol w:w="1000"/>
      </w:tblGrid>
      <w:tr w:rsidR="00AC1E67" w:rsidRPr="00A00187" w14:paraId="4D6DA92F" w14:textId="77777777" w:rsidTr="00F47260">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407CE338" w14:textId="77E06727" w:rsidR="00F47260" w:rsidRPr="00A00187" w:rsidRDefault="00E205CE" w:rsidP="00F47260">
            <w:pPr>
              <w:spacing w:line="240" w:lineRule="auto"/>
              <w:jc w:val="center"/>
              <w:rPr>
                <w:rFonts w:eastAsia="Times New Roman"/>
                <w:b/>
                <w:bCs/>
                <w:szCs w:val="24"/>
                <w:lang w:eastAsia="cs-CZ"/>
              </w:rPr>
            </w:pPr>
            <w:r>
              <w:rPr>
                <w:rFonts w:eastAsia="Times New Roman"/>
                <w:b/>
                <w:bCs/>
                <w:szCs w:val="24"/>
                <w:lang w:eastAsia="cs-CZ"/>
              </w:rPr>
              <w:t>S</w:t>
            </w:r>
            <w:r w:rsidR="00F47260" w:rsidRPr="00A00187">
              <w:rPr>
                <w:rFonts w:eastAsia="Times New Roman"/>
                <w:b/>
                <w:bCs/>
                <w:szCs w:val="24"/>
                <w:lang w:eastAsia="cs-CZ"/>
              </w:rPr>
              <w:t>oud</w:t>
            </w:r>
          </w:p>
        </w:tc>
        <w:tc>
          <w:tcPr>
            <w:tcW w:w="5716" w:type="dxa"/>
            <w:gridSpan w:val="6"/>
            <w:tcBorders>
              <w:top w:val="double" w:sz="6" w:space="0" w:color="auto"/>
              <w:left w:val="nil"/>
              <w:bottom w:val="nil"/>
              <w:right w:val="nil"/>
            </w:tcBorders>
            <w:shd w:val="clear" w:color="auto" w:fill="auto"/>
            <w:noWrap/>
            <w:vAlign w:val="center"/>
            <w:hideMark/>
          </w:tcPr>
          <w:p w14:paraId="1225C119" w14:textId="7777777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Počet věcí na soudce</w:t>
            </w:r>
          </w:p>
        </w:tc>
      </w:tr>
      <w:tr w:rsidR="00AC1E67" w:rsidRPr="00A00187" w14:paraId="1F78BAB1" w14:textId="77777777" w:rsidTr="00F47260">
        <w:trPr>
          <w:trHeight w:val="330"/>
        </w:trPr>
        <w:tc>
          <w:tcPr>
            <w:tcW w:w="2036" w:type="dxa"/>
            <w:vMerge/>
            <w:tcBorders>
              <w:top w:val="double" w:sz="6" w:space="0" w:color="auto"/>
              <w:left w:val="nil"/>
              <w:bottom w:val="double" w:sz="6" w:space="0" w:color="000000"/>
              <w:right w:val="nil"/>
            </w:tcBorders>
            <w:vAlign w:val="center"/>
            <w:hideMark/>
          </w:tcPr>
          <w:p w14:paraId="03004665" w14:textId="77777777" w:rsidR="00F47260" w:rsidRPr="00A00187" w:rsidRDefault="00F47260" w:rsidP="00F47260">
            <w:pPr>
              <w:spacing w:line="240" w:lineRule="auto"/>
              <w:jc w:val="left"/>
              <w:rPr>
                <w:rFonts w:eastAsia="Times New Roman"/>
                <w:b/>
                <w:bCs/>
                <w:szCs w:val="24"/>
                <w:lang w:eastAsia="cs-CZ"/>
              </w:rPr>
            </w:pPr>
          </w:p>
        </w:tc>
        <w:tc>
          <w:tcPr>
            <w:tcW w:w="1794" w:type="dxa"/>
            <w:gridSpan w:val="2"/>
            <w:tcBorders>
              <w:top w:val="nil"/>
              <w:left w:val="nil"/>
              <w:bottom w:val="double" w:sz="6" w:space="0" w:color="auto"/>
              <w:right w:val="nil"/>
            </w:tcBorders>
            <w:shd w:val="clear" w:color="auto" w:fill="auto"/>
            <w:noWrap/>
            <w:vAlign w:val="center"/>
            <w:hideMark/>
          </w:tcPr>
          <w:p w14:paraId="3C994DC2" w14:textId="7777777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7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048E6BD" w14:textId="7777777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947" w:type="dxa"/>
            <w:gridSpan w:val="2"/>
            <w:tcBorders>
              <w:top w:val="nil"/>
              <w:left w:val="nil"/>
              <w:bottom w:val="double" w:sz="6" w:space="0" w:color="auto"/>
              <w:right w:val="nil"/>
            </w:tcBorders>
            <w:shd w:val="clear" w:color="auto" w:fill="auto"/>
            <w:noWrap/>
            <w:vAlign w:val="center"/>
            <w:hideMark/>
          </w:tcPr>
          <w:p w14:paraId="67C8DAA4" w14:textId="7777777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53BD0746" w14:textId="77777777" w:rsidTr="00F47260">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759EEE77" w14:textId="77777777" w:rsidR="00F47260" w:rsidRPr="00A00187" w:rsidRDefault="00F47260" w:rsidP="00F47260">
            <w:pPr>
              <w:spacing w:line="240" w:lineRule="auto"/>
              <w:jc w:val="left"/>
              <w:rPr>
                <w:rFonts w:eastAsia="Times New Roman"/>
                <w:szCs w:val="24"/>
                <w:lang w:eastAsia="cs-CZ"/>
              </w:rPr>
            </w:pPr>
            <w:r w:rsidRPr="00A00187">
              <w:rPr>
                <w:rFonts w:eastAsia="Times New Roman"/>
                <w:szCs w:val="24"/>
                <w:lang w:eastAsia="cs-CZ"/>
              </w:rPr>
              <w:t>VS Praha</w:t>
            </w:r>
          </w:p>
        </w:tc>
        <w:tc>
          <w:tcPr>
            <w:tcW w:w="957" w:type="dxa"/>
            <w:tcBorders>
              <w:top w:val="single" w:sz="4" w:space="0" w:color="auto"/>
              <w:left w:val="nil"/>
              <w:bottom w:val="single" w:sz="4" w:space="0" w:color="auto"/>
              <w:right w:val="nil"/>
            </w:tcBorders>
            <w:shd w:val="clear" w:color="auto" w:fill="auto"/>
            <w:noWrap/>
            <w:vAlign w:val="bottom"/>
            <w:hideMark/>
          </w:tcPr>
          <w:p w14:paraId="6D2F4716" w14:textId="66B1419E"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61,70</w:t>
            </w:r>
          </w:p>
        </w:tc>
        <w:tc>
          <w:tcPr>
            <w:tcW w:w="837" w:type="dxa"/>
            <w:tcBorders>
              <w:top w:val="single" w:sz="4" w:space="0" w:color="auto"/>
              <w:left w:val="nil"/>
              <w:bottom w:val="single" w:sz="4" w:space="0" w:color="auto"/>
              <w:right w:val="nil"/>
            </w:tcBorders>
            <w:shd w:val="clear" w:color="auto" w:fill="auto"/>
            <w:noWrap/>
            <w:vAlign w:val="center"/>
            <w:hideMark/>
          </w:tcPr>
          <w:p w14:paraId="49C6FA92" w14:textId="79BC7D51"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+3</w:t>
            </w:r>
            <w:r w:rsidR="00CB570A">
              <w:rPr>
                <w:rFonts w:eastAsia="Times New Roman"/>
                <w:sz w:val="20"/>
                <w:szCs w:val="20"/>
                <w:lang w:eastAsia="cs-CZ"/>
              </w:rPr>
              <w:t> %</w:t>
            </w:r>
          </w:p>
        </w:tc>
        <w:tc>
          <w:tcPr>
            <w:tcW w:w="966" w:type="dxa"/>
            <w:tcBorders>
              <w:top w:val="single" w:sz="4" w:space="0" w:color="auto"/>
              <w:left w:val="single" w:sz="4" w:space="0" w:color="auto"/>
              <w:bottom w:val="single" w:sz="4" w:space="0" w:color="auto"/>
              <w:right w:val="nil"/>
            </w:tcBorders>
            <w:shd w:val="clear" w:color="auto" w:fill="auto"/>
            <w:noWrap/>
            <w:vAlign w:val="bottom"/>
            <w:hideMark/>
          </w:tcPr>
          <w:p w14:paraId="71879C50" w14:textId="63EC6308"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69,57</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14:paraId="7A848AC4" w14:textId="67F341DB"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947" w:type="dxa"/>
            <w:tcBorders>
              <w:top w:val="single" w:sz="4" w:space="0" w:color="auto"/>
              <w:left w:val="nil"/>
              <w:bottom w:val="single" w:sz="4" w:space="0" w:color="auto"/>
              <w:right w:val="nil"/>
            </w:tcBorders>
            <w:shd w:val="clear" w:color="auto" w:fill="auto"/>
            <w:noWrap/>
            <w:vAlign w:val="bottom"/>
            <w:hideMark/>
          </w:tcPr>
          <w:p w14:paraId="49CC7C03" w14:textId="601D959F"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24,60</w:t>
            </w:r>
          </w:p>
        </w:tc>
        <w:tc>
          <w:tcPr>
            <w:tcW w:w="1000" w:type="dxa"/>
            <w:tcBorders>
              <w:top w:val="single" w:sz="4" w:space="0" w:color="auto"/>
              <w:left w:val="nil"/>
              <w:bottom w:val="single" w:sz="4" w:space="0" w:color="auto"/>
              <w:right w:val="nil"/>
            </w:tcBorders>
            <w:shd w:val="clear" w:color="auto" w:fill="auto"/>
            <w:noWrap/>
            <w:vAlign w:val="center"/>
            <w:hideMark/>
          </w:tcPr>
          <w:p w14:paraId="44BE4DD7" w14:textId="76E24CE2"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-21</w:t>
            </w:r>
            <w:r w:rsidR="00CB570A">
              <w:rPr>
                <w:rFonts w:eastAsia="Times New Roman"/>
                <w:sz w:val="20"/>
                <w:szCs w:val="20"/>
                <w:lang w:eastAsia="cs-CZ"/>
              </w:rPr>
              <w:t> %</w:t>
            </w:r>
          </w:p>
        </w:tc>
      </w:tr>
      <w:tr w:rsidR="00AC1E67" w:rsidRPr="00A00187" w14:paraId="1225B1E6" w14:textId="77777777" w:rsidTr="00F47260">
        <w:trPr>
          <w:trHeight w:val="330"/>
        </w:trPr>
        <w:tc>
          <w:tcPr>
            <w:tcW w:w="2036" w:type="dxa"/>
            <w:tcBorders>
              <w:top w:val="nil"/>
              <w:left w:val="nil"/>
              <w:bottom w:val="nil"/>
              <w:right w:val="nil"/>
            </w:tcBorders>
            <w:shd w:val="clear" w:color="auto" w:fill="auto"/>
            <w:noWrap/>
            <w:vAlign w:val="bottom"/>
            <w:hideMark/>
          </w:tcPr>
          <w:p w14:paraId="15CCDDED" w14:textId="77777777" w:rsidR="00F47260" w:rsidRPr="00A00187" w:rsidRDefault="00F47260" w:rsidP="00F47260">
            <w:pPr>
              <w:spacing w:line="240" w:lineRule="auto"/>
              <w:jc w:val="left"/>
              <w:rPr>
                <w:rFonts w:eastAsia="Times New Roman"/>
                <w:szCs w:val="24"/>
                <w:lang w:eastAsia="cs-CZ"/>
              </w:rPr>
            </w:pPr>
            <w:r w:rsidRPr="00A00187">
              <w:rPr>
                <w:rFonts w:eastAsia="Times New Roman"/>
                <w:szCs w:val="24"/>
                <w:lang w:eastAsia="cs-CZ"/>
              </w:rPr>
              <w:t>VS Olomouc</w:t>
            </w:r>
          </w:p>
        </w:tc>
        <w:tc>
          <w:tcPr>
            <w:tcW w:w="957" w:type="dxa"/>
            <w:tcBorders>
              <w:top w:val="nil"/>
              <w:left w:val="nil"/>
              <w:bottom w:val="nil"/>
              <w:right w:val="nil"/>
            </w:tcBorders>
            <w:shd w:val="clear" w:color="auto" w:fill="auto"/>
            <w:noWrap/>
            <w:vAlign w:val="bottom"/>
            <w:hideMark/>
          </w:tcPr>
          <w:p w14:paraId="6F6A8A3D" w14:textId="62E9B568"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41,77</w:t>
            </w:r>
          </w:p>
        </w:tc>
        <w:tc>
          <w:tcPr>
            <w:tcW w:w="837" w:type="dxa"/>
            <w:tcBorders>
              <w:top w:val="nil"/>
              <w:left w:val="nil"/>
              <w:bottom w:val="nil"/>
              <w:right w:val="nil"/>
            </w:tcBorders>
            <w:shd w:val="clear" w:color="auto" w:fill="auto"/>
            <w:noWrap/>
            <w:vAlign w:val="center"/>
            <w:hideMark/>
          </w:tcPr>
          <w:p w14:paraId="65462864" w14:textId="4F2091B9"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+4</w:t>
            </w:r>
            <w:r w:rsidR="00CB570A">
              <w:rPr>
                <w:rFonts w:eastAsia="Times New Roman"/>
                <w:sz w:val="20"/>
                <w:szCs w:val="20"/>
                <w:lang w:eastAsia="cs-CZ"/>
              </w:rPr>
              <w:t> %</w:t>
            </w:r>
          </w:p>
        </w:tc>
        <w:tc>
          <w:tcPr>
            <w:tcW w:w="966" w:type="dxa"/>
            <w:tcBorders>
              <w:top w:val="nil"/>
              <w:left w:val="single" w:sz="4" w:space="0" w:color="auto"/>
              <w:bottom w:val="nil"/>
              <w:right w:val="nil"/>
            </w:tcBorders>
            <w:shd w:val="clear" w:color="auto" w:fill="auto"/>
            <w:noWrap/>
            <w:vAlign w:val="bottom"/>
            <w:hideMark/>
          </w:tcPr>
          <w:p w14:paraId="4F886343" w14:textId="70DB9E57"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40,86</w:t>
            </w:r>
          </w:p>
        </w:tc>
        <w:tc>
          <w:tcPr>
            <w:tcW w:w="1009" w:type="dxa"/>
            <w:tcBorders>
              <w:top w:val="nil"/>
              <w:left w:val="nil"/>
              <w:bottom w:val="nil"/>
              <w:right w:val="single" w:sz="4" w:space="0" w:color="auto"/>
            </w:tcBorders>
            <w:shd w:val="clear" w:color="auto" w:fill="auto"/>
            <w:noWrap/>
            <w:vAlign w:val="center"/>
            <w:hideMark/>
          </w:tcPr>
          <w:p w14:paraId="3E54E080" w14:textId="7A326A69"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+2</w:t>
            </w:r>
            <w:r w:rsidR="00CB570A">
              <w:rPr>
                <w:rFonts w:eastAsia="Times New Roman"/>
                <w:sz w:val="20"/>
                <w:szCs w:val="20"/>
                <w:lang w:eastAsia="cs-CZ"/>
              </w:rPr>
              <w:t> %</w:t>
            </w:r>
          </w:p>
        </w:tc>
        <w:tc>
          <w:tcPr>
            <w:tcW w:w="947" w:type="dxa"/>
            <w:tcBorders>
              <w:top w:val="nil"/>
              <w:left w:val="nil"/>
              <w:bottom w:val="nil"/>
              <w:right w:val="nil"/>
            </w:tcBorders>
            <w:shd w:val="clear" w:color="auto" w:fill="auto"/>
            <w:noWrap/>
            <w:vAlign w:val="bottom"/>
            <w:hideMark/>
          </w:tcPr>
          <w:p w14:paraId="59355C33" w14:textId="6E99DD28"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6,55</w:t>
            </w:r>
          </w:p>
        </w:tc>
        <w:tc>
          <w:tcPr>
            <w:tcW w:w="1000" w:type="dxa"/>
            <w:tcBorders>
              <w:top w:val="nil"/>
              <w:left w:val="nil"/>
              <w:bottom w:val="nil"/>
              <w:right w:val="nil"/>
            </w:tcBorders>
            <w:shd w:val="clear" w:color="auto" w:fill="auto"/>
            <w:noWrap/>
            <w:vAlign w:val="center"/>
            <w:hideMark/>
          </w:tcPr>
          <w:p w14:paraId="6F1EF83A" w14:textId="62AC74E8"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+31</w:t>
            </w:r>
            <w:r w:rsidR="00CB570A">
              <w:rPr>
                <w:rFonts w:eastAsia="Times New Roman"/>
                <w:sz w:val="20"/>
                <w:szCs w:val="20"/>
                <w:lang w:eastAsia="cs-CZ"/>
              </w:rPr>
              <w:t> %</w:t>
            </w:r>
          </w:p>
        </w:tc>
      </w:tr>
      <w:tr w:rsidR="00AC1E67" w:rsidRPr="00A00187" w14:paraId="35156F57" w14:textId="77777777" w:rsidTr="00F47260">
        <w:trPr>
          <w:trHeight w:val="345"/>
        </w:trPr>
        <w:tc>
          <w:tcPr>
            <w:tcW w:w="2036" w:type="dxa"/>
            <w:tcBorders>
              <w:top w:val="double" w:sz="6" w:space="0" w:color="auto"/>
              <w:left w:val="nil"/>
              <w:bottom w:val="double" w:sz="6" w:space="0" w:color="auto"/>
              <w:right w:val="nil"/>
            </w:tcBorders>
            <w:shd w:val="clear" w:color="auto" w:fill="auto"/>
            <w:noWrap/>
            <w:vAlign w:val="bottom"/>
            <w:hideMark/>
          </w:tcPr>
          <w:p w14:paraId="4B267C87" w14:textId="77777777" w:rsidR="00F47260" w:rsidRPr="00A00187" w:rsidRDefault="00F47260" w:rsidP="00F4726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957" w:type="dxa"/>
            <w:tcBorders>
              <w:top w:val="double" w:sz="6" w:space="0" w:color="auto"/>
              <w:left w:val="nil"/>
              <w:bottom w:val="double" w:sz="6" w:space="0" w:color="auto"/>
              <w:right w:val="nil"/>
            </w:tcBorders>
            <w:shd w:val="clear" w:color="auto" w:fill="auto"/>
            <w:noWrap/>
            <w:vAlign w:val="bottom"/>
            <w:hideMark/>
          </w:tcPr>
          <w:p w14:paraId="1E8414D2" w14:textId="130E7C64"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55,35</w:t>
            </w:r>
          </w:p>
        </w:tc>
        <w:tc>
          <w:tcPr>
            <w:tcW w:w="837" w:type="dxa"/>
            <w:tcBorders>
              <w:top w:val="double" w:sz="6" w:space="0" w:color="auto"/>
              <w:left w:val="nil"/>
              <w:bottom w:val="double" w:sz="6" w:space="0" w:color="auto"/>
              <w:right w:val="nil"/>
            </w:tcBorders>
            <w:shd w:val="clear" w:color="auto" w:fill="auto"/>
            <w:noWrap/>
            <w:vAlign w:val="center"/>
            <w:hideMark/>
          </w:tcPr>
          <w:p w14:paraId="4C1F8498" w14:textId="2F834571" w:rsidR="00F47260" w:rsidRPr="00A00187" w:rsidRDefault="00F47260" w:rsidP="00E205CE">
            <w:pPr>
              <w:spacing w:line="240" w:lineRule="auto"/>
              <w:jc w:val="center"/>
              <w:rPr>
                <w:rFonts w:eastAsia="Times New Roman"/>
                <w:b/>
                <w:bCs/>
                <w:sz w:val="20"/>
                <w:szCs w:val="20"/>
                <w:lang w:eastAsia="cs-CZ"/>
              </w:rPr>
            </w:pPr>
            <w:r w:rsidRPr="00A00187">
              <w:rPr>
                <w:rFonts w:eastAsia="Times New Roman"/>
                <w:b/>
                <w:bCs/>
                <w:sz w:val="20"/>
                <w:szCs w:val="20"/>
                <w:lang w:eastAsia="cs-CZ"/>
              </w:rPr>
              <w:t>+2</w:t>
            </w:r>
            <w:r w:rsidR="00CB570A">
              <w:rPr>
                <w:rFonts w:eastAsia="Times New Roman"/>
                <w:b/>
                <w:bCs/>
                <w:sz w:val="20"/>
                <w:szCs w:val="20"/>
                <w:lang w:eastAsia="cs-CZ"/>
              </w:rPr>
              <w:t> %</w:t>
            </w:r>
          </w:p>
        </w:tc>
        <w:tc>
          <w:tcPr>
            <w:tcW w:w="966" w:type="dxa"/>
            <w:tcBorders>
              <w:top w:val="double" w:sz="6" w:space="0" w:color="auto"/>
              <w:left w:val="single" w:sz="4" w:space="0" w:color="auto"/>
              <w:bottom w:val="double" w:sz="6" w:space="0" w:color="auto"/>
              <w:right w:val="nil"/>
            </w:tcBorders>
            <w:shd w:val="clear" w:color="auto" w:fill="auto"/>
            <w:noWrap/>
            <w:vAlign w:val="bottom"/>
            <w:hideMark/>
          </w:tcPr>
          <w:p w14:paraId="702E9FEB" w14:textId="3E2DA7D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60,42</w:t>
            </w:r>
          </w:p>
        </w:tc>
        <w:tc>
          <w:tcPr>
            <w:tcW w:w="1009" w:type="dxa"/>
            <w:tcBorders>
              <w:top w:val="double" w:sz="6" w:space="0" w:color="auto"/>
              <w:left w:val="nil"/>
              <w:bottom w:val="double" w:sz="6" w:space="0" w:color="auto"/>
              <w:right w:val="single" w:sz="4" w:space="0" w:color="auto"/>
            </w:tcBorders>
            <w:shd w:val="clear" w:color="auto" w:fill="auto"/>
            <w:noWrap/>
            <w:vAlign w:val="center"/>
            <w:hideMark/>
          </w:tcPr>
          <w:p w14:paraId="47B9FF5E" w14:textId="7B294802" w:rsidR="00F47260" w:rsidRPr="00A00187" w:rsidRDefault="00F47260" w:rsidP="00E205CE">
            <w:pPr>
              <w:spacing w:line="240" w:lineRule="auto"/>
              <w:jc w:val="center"/>
              <w:rPr>
                <w:rFonts w:eastAsia="Times New Roman"/>
                <w:b/>
                <w:bCs/>
                <w:sz w:val="20"/>
                <w:szCs w:val="20"/>
                <w:lang w:eastAsia="cs-CZ"/>
              </w:rPr>
            </w:pPr>
            <w:r w:rsidRPr="00A00187">
              <w:rPr>
                <w:rFonts w:eastAsia="Times New Roman"/>
                <w:b/>
                <w:bCs/>
                <w:sz w:val="20"/>
                <w:szCs w:val="20"/>
                <w:lang w:eastAsia="cs-CZ"/>
              </w:rPr>
              <w:t>+8</w:t>
            </w:r>
            <w:r w:rsidR="00CB570A">
              <w:rPr>
                <w:rFonts w:eastAsia="Times New Roman"/>
                <w:b/>
                <w:bCs/>
                <w:sz w:val="20"/>
                <w:szCs w:val="20"/>
                <w:lang w:eastAsia="cs-CZ"/>
              </w:rPr>
              <w:t> %</w:t>
            </w:r>
          </w:p>
        </w:tc>
        <w:tc>
          <w:tcPr>
            <w:tcW w:w="947" w:type="dxa"/>
            <w:tcBorders>
              <w:top w:val="double" w:sz="6" w:space="0" w:color="auto"/>
              <w:left w:val="nil"/>
              <w:bottom w:val="double" w:sz="6" w:space="0" w:color="auto"/>
              <w:right w:val="nil"/>
            </w:tcBorders>
            <w:shd w:val="clear" w:color="auto" w:fill="auto"/>
            <w:noWrap/>
            <w:vAlign w:val="bottom"/>
            <w:hideMark/>
          </w:tcPr>
          <w:p w14:paraId="4586A2DF" w14:textId="4C1F2BBB"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18,84</w:t>
            </w:r>
          </w:p>
        </w:tc>
        <w:tc>
          <w:tcPr>
            <w:tcW w:w="1000" w:type="dxa"/>
            <w:tcBorders>
              <w:top w:val="double" w:sz="6" w:space="0" w:color="auto"/>
              <w:left w:val="nil"/>
              <w:bottom w:val="double" w:sz="6" w:space="0" w:color="auto"/>
              <w:right w:val="nil"/>
            </w:tcBorders>
            <w:shd w:val="clear" w:color="auto" w:fill="auto"/>
            <w:noWrap/>
            <w:vAlign w:val="center"/>
            <w:hideMark/>
          </w:tcPr>
          <w:p w14:paraId="59232A2A" w14:textId="0D0DDD66" w:rsidR="00F47260" w:rsidRPr="00A00187" w:rsidRDefault="00F47260" w:rsidP="00E205CE">
            <w:pPr>
              <w:spacing w:line="240" w:lineRule="auto"/>
              <w:jc w:val="center"/>
              <w:rPr>
                <w:rFonts w:eastAsia="Times New Roman"/>
                <w:b/>
                <w:bCs/>
                <w:sz w:val="20"/>
                <w:szCs w:val="20"/>
                <w:lang w:eastAsia="cs-CZ"/>
              </w:rPr>
            </w:pPr>
            <w:r w:rsidRPr="00A00187">
              <w:rPr>
                <w:rFonts w:eastAsia="Times New Roman"/>
                <w:b/>
                <w:bCs/>
                <w:sz w:val="20"/>
                <w:szCs w:val="20"/>
                <w:lang w:eastAsia="cs-CZ"/>
              </w:rPr>
              <w:t>-18</w:t>
            </w:r>
            <w:r w:rsidR="00CB570A">
              <w:rPr>
                <w:rFonts w:eastAsia="Times New Roman"/>
                <w:b/>
                <w:bCs/>
                <w:sz w:val="20"/>
                <w:szCs w:val="20"/>
                <w:lang w:eastAsia="cs-CZ"/>
              </w:rPr>
              <w:t> %</w:t>
            </w:r>
          </w:p>
        </w:tc>
      </w:tr>
      <w:tr w:rsidR="00AC1E67" w:rsidRPr="00A00187" w14:paraId="361970E9" w14:textId="77777777" w:rsidTr="00F47260">
        <w:trPr>
          <w:trHeight w:val="330"/>
        </w:trPr>
        <w:tc>
          <w:tcPr>
            <w:tcW w:w="2036" w:type="dxa"/>
            <w:tcBorders>
              <w:top w:val="nil"/>
              <w:left w:val="nil"/>
              <w:bottom w:val="nil"/>
              <w:right w:val="nil"/>
            </w:tcBorders>
            <w:shd w:val="clear" w:color="auto" w:fill="auto"/>
            <w:noWrap/>
            <w:vAlign w:val="bottom"/>
            <w:hideMark/>
          </w:tcPr>
          <w:p w14:paraId="125D2D88" w14:textId="77777777" w:rsidR="00F47260" w:rsidRPr="00A00187" w:rsidRDefault="00F47260" w:rsidP="00F47260">
            <w:pPr>
              <w:spacing w:line="240" w:lineRule="auto"/>
              <w:jc w:val="center"/>
              <w:rPr>
                <w:rFonts w:eastAsia="Times New Roman"/>
                <w:b/>
                <w:bCs/>
                <w:sz w:val="20"/>
                <w:szCs w:val="20"/>
                <w:lang w:eastAsia="cs-CZ"/>
              </w:rPr>
            </w:pPr>
          </w:p>
        </w:tc>
        <w:tc>
          <w:tcPr>
            <w:tcW w:w="957" w:type="dxa"/>
            <w:tcBorders>
              <w:top w:val="nil"/>
              <w:left w:val="nil"/>
              <w:bottom w:val="nil"/>
              <w:right w:val="nil"/>
            </w:tcBorders>
            <w:shd w:val="clear" w:color="auto" w:fill="auto"/>
            <w:noWrap/>
            <w:vAlign w:val="bottom"/>
            <w:hideMark/>
          </w:tcPr>
          <w:p w14:paraId="1BA8747A"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837" w:type="dxa"/>
            <w:tcBorders>
              <w:top w:val="nil"/>
              <w:left w:val="nil"/>
              <w:bottom w:val="nil"/>
              <w:right w:val="nil"/>
            </w:tcBorders>
            <w:shd w:val="clear" w:color="auto" w:fill="auto"/>
            <w:noWrap/>
            <w:vAlign w:val="bottom"/>
            <w:hideMark/>
          </w:tcPr>
          <w:p w14:paraId="28893D65"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966" w:type="dxa"/>
            <w:tcBorders>
              <w:top w:val="nil"/>
              <w:left w:val="nil"/>
              <w:bottom w:val="nil"/>
              <w:right w:val="nil"/>
            </w:tcBorders>
            <w:shd w:val="clear" w:color="auto" w:fill="auto"/>
            <w:noWrap/>
            <w:vAlign w:val="bottom"/>
            <w:hideMark/>
          </w:tcPr>
          <w:p w14:paraId="340513B3"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1009" w:type="dxa"/>
            <w:tcBorders>
              <w:top w:val="nil"/>
              <w:left w:val="nil"/>
              <w:bottom w:val="nil"/>
              <w:right w:val="nil"/>
            </w:tcBorders>
            <w:shd w:val="clear" w:color="auto" w:fill="auto"/>
            <w:noWrap/>
            <w:vAlign w:val="bottom"/>
            <w:hideMark/>
          </w:tcPr>
          <w:p w14:paraId="41D182DC" w14:textId="77777777" w:rsidR="00F47260" w:rsidRPr="00A00187" w:rsidRDefault="00F47260" w:rsidP="00E205CE">
            <w:pPr>
              <w:spacing w:line="240" w:lineRule="auto"/>
              <w:jc w:val="center"/>
              <w:rPr>
                <w:rFonts w:ascii="Times New Roman" w:eastAsia="Times New Roman" w:hAnsi="Times New Roman"/>
                <w:sz w:val="20"/>
                <w:szCs w:val="20"/>
                <w:lang w:eastAsia="cs-CZ"/>
              </w:rPr>
            </w:pPr>
          </w:p>
        </w:tc>
        <w:tc>
          <w:tcPr>
            <w:tcW w:w="947" w:type="dxa"/>
            <w:tcBorders>
              <w:top w:val="nil"/>
              <w:left w:val="nil"/>
              <w:bottom w:val="nil"/>
              <w:right w:val="nil"/>
            </w:tcBorders>
            <w:shd w:val="clear" w:color="auto" w:fill="auto"/>
            <w:noWrap/>
            <w:vAlign w:val="bottom"/>
            <w:hideMark/>
          </w:tcPr>
          <w:p w14:paraId="1D95FAAE"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1000" w:type="dxa"/>
            <w:tcBorders>
              <w:top w:val="nil"/>
              <w:left w:val="nil"/>
              <w:bottom w:val="nil"/>
              <w:right w:val="nil"/>
            </w:tcBorders>
            <w:shd w:val="clear" w:color="auto" w:fill="auto"/>
            <w:noWrap/>
            <w:vAlign w:val="bottom"/>
            <w:hideMark/>
          </w:tcPr>
          <w:p w14:paraId="1DBEA700" w14:textId="77777777" w:rsidR="00F47260" w:rsidRPr="00A00187" w:rsidRDefault="00F47260" w:rsidP="00E205CE">
            <w:pPr>
              <w:spacing w:line="240" w:lineRule="auto"/>
              <w:jc w:val="center"/>
              <w:rPr>
                <w:rFonts w:ascii="Times New Roman" w:eastAsia="Times New Roman" w:hAnsi="Times New Roman"/>
                <w:sz w:val="20"/>
                <w:szCs w:val="20"/>
                <w:lang w:eastAsia="cs-CZ"/>
              </w:rPr>
            </w:pPr>
          </w:p>
        </w:tc>
      </w:tr>
    </w:tbl>
    <w:p w14:paraId="0B9B8692" w14:textId="7DAEE785" w:rsidR="00E336B6" w:rsidRPr="00A00187" w:rsidRDefault="008430BD" w:rsidP="008430BD">
      <w:pPr>
        <w:pStyle w:val="Nadpis3"/>
        <w:numPr>
          <w:ilvl w:val="2"/>
          <w:numId w:val="1"/>
        </w:numPr>
        <w:rPr>
          <w:color w:val="auto"/>
          <w:lang w:eastAsia="cs-CZ"/>
        </w:rPr>
      </w:pPr>
      <w:bookmarkStart w:id="1078" w:name="_Toc515871285"/>
      <w:bookmarkStart w:id="1079" w:name="_Toc106092797"/>
      <w:bookmarkStart w:id="1080" w:name="_Toc109801408"/>
      <w:proofErr w:type="spellStart"/>
      <w:r w:rsidRPr="00A00187">
        <w:rPr>
          <w:color w:val="auto"/>
          <w:lang w:eastAsia="cs-CZ"/>
        </w:rPr>
        <w:t>Disposition</w:t>
      </w:r>
      <w:proofErr w:type="spellEnd"/>
      <w:r w:rsidRPr="00A00187">
        <w:rPr>
          <w:color w:val="auto"/>
          <w:lang w:eastAsia="cs-CZ"/>
        </w:rPr>
        <w:t xml:space="preserve"> </w:t>
      </w:r>
      <w:proofErr w:type="spellStart"/>
      <w:r w:rsidRPr="00A00187">
        <w:rPr>
          <w:color w:val="auto"/>
          <w:lang w:eastAsia="cs-CZ"/>
        </w:rPr>
        <w:t>time</w:t>
      </w:r>
      <w:bookmarkEnd w:id="1078"/>
      <w:proofErr w:type="spellEnd"/>
      <w:r w:rsidRPr="00A00187">
        <w:rPr>
          <w:color w:val="auto"/>
          <w:lang w:eastAsia="cs-CZ"/>
        </w:rPr>
        <w:t xml:space="preserve"> (dispoziční čas)</w:t>
      </w:r>
      <w:bookmarkEnd w:id="1079"/>
      <w:bookmarkEnd w:id="1080"/>
    </w:p>
    <w:p w14:paraId="46E9EC24" w14:textId="24DB0D37" w:rsidR="00E336B6" w:rsidRPr="00A00187" w:rsidRDefault="00E336B6" w:rsidP="00E336B6">
      <w:pPr>
        <w:pStyle w:val="OdstavecASR"/>
      </w:pPr>
      <w:proofErr w:type="spellStart"/>
      <w:r w:rsidRPr="00A00187">
        <w:t>Disposition</w:t>
      </w:r>
      <w:proofErr w:type="spellEnd"/>
      <w:r w:rsidRPr="00A00187">
        <w:t xml:space="preserve"> </w:t>
      </w:r>
      <w:proofErr w:type="spellStart"/>
      <w:r w:rsidRPr="00A00187">
        <w:t>time</w:t>
      </w:r>
      <w:proofErr w:type="spellEnd"/>
      <w:r w:rsidRPr="00A00187">
        <w:t xml:space="preserve"> a jeho vývoj vyplývá z výše uvedených faktů a ukazatelů. Vrchní soud v Olomouci vykazuje výrazně nižší DT než Vrchní soud v Praze. DT Vrchního soudu v Olomouci v roce 2010 výrazně klesl díky poklesu v počtu nevyřízených věcí. Naopak DT u VS Praha v letech 2011 až 2013 narostl díky </w:t>
      </w:r>
      <w:r w:rsidR="00E8109E" w:rsidRPr="00A00187">
        <w:t xml:space="preserve">vyššímu </w:t>
      </w:r>
      <w:r w:rsidRPr="00A00187">
        <w:t xml:space="preserve">počtu nevyřízených věcí. DT u obou soudů v následujících letech stagnoval, protože podobným tempem klesal počet vyřízených i nevyřízených věcí. V roce 2017 (a v roce 2016 u VS </w:t>
      </w:r>
      <w:r w:rsidR="00755920" w:rsidRPr="00A00187">
        <w:t>v</w:t>
      </w:r>
      <w:r w:rsidR="00755920">
        <w:t> </w:t>
      </w:r>
      <w:r w:rsidRPr="00A00187">
        <w:t>Olomouc</w:t>
      </w:r>
      <w:r w:rsidR="00942668" w:rsidRPr="00A00187">
        <w:t>i</w:t>
      </w:r>
      <w:r w:rsidRPr="00A00187">
        <w:t xml:space="preserve">) DT stoupl, protože počet vyřízených věcí klesal rychleji než počet nevyřízených věcí. V roce 2018 DT klesl především u VS </w:t>
      </w:r>
      <w:r w:rsidR="00755920" w:rsidRPr="00A00187">
        <w:t>v</w:t>
      </w:r>
      <w:r w:rsidR="00755920">
        <w:t> </w:t>
      </w:r>
      <w:r w:rsidRPr="00A00187">
        <w:t>Pra</w:t>
      </w:r>
      <w:r w:rsidR="00942668" w:rsidRPr="00A00187">
        <w:t>ze</w:t>
      </w:r>
      <w:r w:rsidRPr="00A00187">
        <w:t>, a to díky poklesu v počtu nevyřízených věcí. V roce 2019 se rozdíl mezi soudy opět výrazně zvětšil, a to hlavně díky poklesu DT u VS v Olomouci. Ten klesl díky výše zmíněnému signifikantnímu poklesu v počtu nevyřízených věcí. V roce 2020 DT mírně klesl u VS v Praze a mírně stoupl u VS v Olomouci, což plyne z vývoje vyřízených a nevyřízených věcí. Nejedn</w:t>
      </w:r>
      <w:r w:rsidR="00846351" w:rsidRPr="00A00187">
        <w:t>alo</w:t>
      </w:r>
      <w:r w:rsidRPr="00A00187">
        <w:t xml:space="preserve"> se však o výrazné změny.</w:t>
      </w:r>
    </w:p>
    <w:p w14:paraId="39F4C7D6" w14:textId="2F46BC45" w:rsidR="00E336B6" w:rsidRPr="00A00187" w:rsidRDefault="00846351" w:rsidP="00846351">
      <w:pPr>
        <w:pStyle w:val="OdstavecASR"/>
      </w:pPr>
      <w:r w:rsidRPr="00A00187">
        <w:t xml:space="preserve">DT </w:t>
      </w:r>
      <w:r w:rsidR="00755920" w:rsidRPr="00A00187">
        <w:t>u</w:t>
      </w:r>
      <w:r w:rsidR="00755920">
        <w:t> </w:t>
      </w:r>
      <w:r w:rsidRPr="00A00187">
        <w:t xml:space="preserve">VS v Olomouci v roce 2021 narostl, což plyne hlavně z růstu v počtu věcí nevyřízených. Počet nevyřízených </w:t>
      </w:r>
      <w:r w:rsidR="00A719F3" w:rsidRPr="00A00187">
        <w:t>věcí</w:t>
      </w:r>
      <w:r w:rsidRPr="00A00187">
        <w:t xml:space="preserve"> byl (</w:t>
      </w:r>
      <w:r w:rsidR="00755920" w:rsidRPr="00A00187">
        <w:t>a</w:t>
      </w:r>
      <w:r w:rsidR="00755920">
        <w:t> </w:t>
      </w:r>
      <w:r w:rsidRPr="00A00187">
        <w:t xml:space="preserve">stále je) velmi malý, proto se </w:t>
      </w:r>
      <w:r w:rsidR="00755920" w:rsidRPr="00A00187">
        <w:t>i</w:t>
      </w:r>
      <w:r w:rsidR="00755920">
        <w:t> </w:t>
      </w:r>
      <w:r w:rsidRPr="00A00187">
        <w:t xml:space="preserve">marginální nárůst </w:t>
      </w:r>
      <w:r w:rsidR="001D542F" w:rsidRPr="00A00187">
        <w:t xml:space="preserve">– v tomto případě </w:t>
      </w:r>
      <w:r w:rsidR="00755920" w:rsidRPr="00A00187">
        <w:t>o</w:t>
      </w:r>
      <w:r w:rsidR="00755920">
        <w:t> </w:t>
      </w:r>
      <w:r w:rsidR="001D542F" w:rsidRPr="00A00187">
        <w:t xml:space="preserve">20 věcí – </w:t>
      </w:r>
      <w:r w:rsidRPr="00A00187">
        <w:t>může citelně projevit v DT.</w:t>
      </w:r>
      <w:r w:rsidR="00B21624" w:rsidRPr="00A00187">
        <w:t xml:space="preserve"> </w:t>
      </w:r>
      <w:r w:rsidRPr="00A00187">
        <w:t xml:space="preserve">Naopak, DT </w:t>
      </w:r>
      <w:r w:rsidR="00755920" w:rsidRPr="00A00187">
        <w:t>u</w:t>
      </w:r>
      <w:r w:rsidR="00755920">
        <w:t> </w:t>
      </w:r>
      <w:r w:rsidRPr="00A00187">
        <w:t xml:space="preserve">VS v Praze výrazně klesl, což opět plyne ze změny v počtu nevyřízených věcí – tentokrát jde </w:t>
      </w:r>
      <w:r w:rsidR="00755920" w:rsidRPr="00A00187">
        <w:t>o</w:t>
      </w:r>
      <w:r w:rsidR="00755920">
        <w:t> </w:t>
      </w:r>
      <w:r w:rsidRPr="00A00187">
        <w:t>výrazný pokles.</w:t>
      </w:r>
    </w:p>
    <w:p w14:paraId="1497F696" w14:textId="1E13BFF4" w:rsidR="00273568" w:rsidRPr="00A00187" w:rsidRDefault="00273568" w:rsidP="00273568">
      <w:pPr>
        <w:pStyle w:val="Podnadpis"/>
        <w:rPr>
          <w:color w:val="auto"/>
        </w:rPr>
      </w:pPr>
      <w:bookmarkStart w:id="1081" w:name="_Toc515871414"/>
      <w:bookmarkStart w:id="1082" w:name="_Toc11135145"/>
      <w:bookmarkStart w:id="1083" w:name="_Toc43841467"/>
      <w:bookmarkStart w:id="1084" w:name="_Toc75952270"/>
      <w:bookmarkStart w:id="1085" w:name="_Toc106106727"/>
      <w:bookmarkStart w:id="1086" w:name="_Toc109802051"/>
      <w:r w:rsidRPr="00A00187">
        <w:rPr>
          <w:color w:val="auto"/>
        </w:rPr>
        <w:lastRenderedPageBreak/>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93</w:t>
      </w:r>
      <w:r w:rsidR="008457EB" w:rsidRPr="00A00187">
        <w:rPr>
          <w:noProof/>
          <w:color w:val="auto"/>
        </w:rPr>
        <w:fldChar w:fldCharType="end"/>
      </w:r>
      <w:r w:rsidRPr="00A00187">
        <w:rPr>
          <w:color w:val="auto"/>
        </w:rPr>
        <w:t>: VS – DT civilního odvolacího řízení v letech 2008–20</w:t>
      </w:r>
      <w:bookmarkEnd w:id="1081"/>
      <w:bookmarkEnd w:id="1082"/>
      <w:bookmarkEnd w:id="1083"/>
      <w:r w:rsidRPr="00A00187">
        <w:rPr>
          <w:color w:val="auto"/>
        </w:rPr>
        <w:t>2</w:t>
      </w:r>
      <w:bookmarkEnd w:id="1084"/>
      <w:r w:rsidRPr="00A00187">
        <w:rPr>
          <w:color w:val="auto"/>
        </w:rPr>
        <w:t>1</w:t>
      </w:r>
      <w:bookmarkEnd w:id="1085"/>
      <w:bookmarkEnd w:id="1086"/>
    </w:p>
    <w:p w14:paraId="09CD9E34" w14:textId="429531DC" w:rsidR="00273568" w:rsidRPr="00A00187" w:rsidRDefault="00273568" w:rsidP="00273568">
      <w:pPr>
        <w:rPr>
          <w:lang w:eastAsia="cs-CZ"/>
        </w:rPr>
      </w:pPr>
      <w:r w:rsidRPr="00A00187">
        <w:rPr>
          <w:noProof/>
          <w:lang w:eastAsia="cs-CZ"/>
        </w:rPr>
        <w:drawing>
          <wp:inline distT="0" distB="0" distL="0" distR="0" wp14:anchorId="47E0CC39" wp14:editId="6708403C">
            <wp:extent cx="5025390" cy="3657600"/>
            <wp:effectExtent l="0" t="0" r="381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84900F6" w14:textId="77777777" w:rsidR="007879E7" w:rsidRPr="00A00187" w:rsidRDefault="007879E7">
      <w:pPr>
        <w:spacing w:after="160" w:line="259" w:lineRule="auto"/>
        <w:jc w:val="left"/>
        <w:rPr>
          <w:rFonts w:eastAsia="Times New Roman"/>
          <w:b/>
          <w:bCs/>
          <w:lang w:eastAsia="cs-CZ"/>
        </w:rPr>
      </w:pPr>
      <w:r w:rsidRPr="00A00187">
        <w:rPr>
          <w:lang w:eastAsia="cs-CZ"/>
        </w:rPr>
        <w:br w:type="page"/>
      </w:r>
    </w:p>
    <w:p w14:paraId="2EBE805F" w14:textId="7FB69BC2" w:rsidR="008430BD" w:rsidRPr="00A00187" w:rsidRDefault="008430BD" w:rsidP="008430BD">
      <w:pPr>
        <w:pStyle w:val="Nadpis2"/>
        <w:numPr>
          <w:ilvl w:val="1"/>
          <w:numId w:val="1"/>
        </w:numPr>
        <w:spacing w:before="120"/>
        <w:rPr>
          <w:color w:val="auto"/>
          <w:lang w:eastAsia="cs-CZ"/>
        </w:rPr>
      </w:pPr>
      <w:bookmarkStart w:id="1087" w:name="_Toc515871286"/>
      <w:bookmarkStart w:id="1088" w:name="_Toc106092798"/>
      <w:bookmarkStart w:id="1089" w:name="_Toc109801409"/>
      <w:r w:rsidRPr="00A00187">
        <w:rPr>
          <w:color w:val="auto"/>
          <w:lang w:eastAsia="cs-CZ"/>
        </w:rPr>
        <w:lastRenderedPageBreak/>
        <w:t>Trestní odvolací agenda</w:t>
      </w:r>
      <w:bookmarkEnd w:id="1087"/>
      <w:bookmarkEnd w:id="1088"/>
      <w:bookmarkEnd w:id="1089"/>
    </w:p>
    <w:p w14:paraId="723255D1" w14:textId="77777777" w:rsidR="00846351" w:rsidRPr="00A00187" w:rsidRDefault="00846351" w:rsidP="00846351">
      <w:pPr>
        <w:pStyle w:val="OdstavecASR"/>
      </w:pPr>
      <w:r w:rsidRPr="00A00187">
        <w:t>Vrchní soud vyřizuje věci, v nichž bylo podáno odvolání proti rozhodnutí prvostupňového krajského soudu. Jedná se o rejstříky označené jako To a Tmo.</w:t>
      </w:r>
    </w:p>
    <w:p w14:paraId="4F03267E" w14:textId="4435ED20" w:rsidR="008430BD" w:rsidRPr="00A00187" w:rsidRDefault="008430BD" w:rsidP="008430BD">
      <w:pPr>
        <w:pStyle w:val="Nadpis3"/>
        <w:numPr>
          <w:ilvl w:val="2"/>
          <w:numId w:val="1"/>
        </w:numPr>
        <w:rPr>
          <w:color w:val="auto"/>
          <w:lang w:eastAsia="cs-CZ"/>
        </w:rPr>
      </w:pPr>
      <w:bookmarkStart w:id="1090" w:name="_Toc515871287"/>
      <w:bookmarkStart w:id="1091" w:name="_Toc106092799"/>
      <w:bookmarkStart w:id="1092" w:name="_Toc109801410"/>
      <w:r w:rsidRPr="00A00187">
        <w:rPr>
          <w:color w:val="auto"/>
          <w:lang w:eastAsia="cs-CZ"/>
        </w:rPr>
        <w:t>Délka řízení</w:t>
      </w:r>
      <w:bookmarkEnd w:id="1090"/>
      <w:bookmarkEnd w:id="1091"/>
      <w:bookmarkEnd w:id="1092"/>
    </w:p>
    <w:p w14:paraId="3DA0EC12" w14:textId="23F113D7" w:rsidR="0076519D" w:rsidRPr="00A00187" w:rsidRDefault="0076519D" w:rsidP="0076519D">
      <w:pPr>
        <w:pStyle w:val="OdstavecASR"/>
      </w:pPr>
      <w:r w:rsidRPr="00A00187">
        <w:t xml:space="preserve">Délka řízení je tentokrát uváděna ode dne nápadu do dne právní moci, protože dnem konečného vyřízení odvolacím soudem se věc stane pravomocnou. V grafu níže vidíme, že délky řízení v trestní agendě jsou mezi soudy mnohem vyrovnanější než v agendě civilní, ne-li přímo vyrovnané. Do roku 2013 vykazoval VS v Olomouci vyšší průměrnou délku řízení. V roce 2014 narostla délka řízení u VS v Praze, takže se situace obrátila. V roce 2018 opět vykázal větší mediánovou délku VS v Olomouci. Medián je ale u obou soudů stále velmi podobný. Pozornost může upoutat kolísání devadesátého percentilu především u VS v Olomouci. To je dáno malým počtem pozorování. V roce 2017 tak došlo k náhlému a obrovskému nárůstu devadesátého percentilu, značnému růstu průměru a mírnému zvýšení mediánu. U obou soudů totiž v tomto roce skončilo několik rozsáhlých a dlouhotrvající kauz. To pak ovlivnilo především devadesátý percentil, v menší míře i průměr a medián. Růst délek řízení ale u VS v Olomouci </w:t>
      </w:r>
      <w:r w:rsidR="005C2115" w:rsidRPr="00A00187">
        <w:t xml:space="preserve">pokračoval </w:t>
      </w:r>
      <w:r w:rsidR="00755920" w:rsidRPr="00A00187">
        <w:t>v</w:t>
      </w:r>
      <w:r w:rsidR="00755920">
        <w:t> </w:t>
      </w:r>
      <w:r w:rsidR="005C2115" w:rsidRPr="00A00187">
        <w:t>roce</w:t>
      </w:r>
      <w:r w:rsidRPr="00A00187">
        <w:t xml:space="preserve"> 2018. V roce 2019 došlo k nezanedbatelnému poklesu v délkách řízení u obou soudů. Velmi výrazně klesl především percentil 90 u VS v Olomouci. </w:t>
      </w:r>
      <w:r w:rsidR="005C2115" w:rsidRPr="00A00187">
        <w:t xml:space="preserve">Po roce 2019 délky řízení </w:t>
      </w:r>
      <w:r w:rsidR="00755920" w:rsidRPr="00A00187">
        <w:t>u</w:t>
      </w:r>
      <w:r w:rsidR="00755920">
        <w:t> </w:t>
      </w:r>
      <w:r w:rsidR="005C2115" w:rsidRPr="00A00187">
        <w:t xml:space="preserve">VS v Praze spíše stagnují </w:t>
      </w:r>
      <w:r w:rsidR="00755920" w:rsidRPr="00A00187">
        <w:t>a</w:t>
      </w:r>
      <w:r w:rsidR="00755920">
        <w:t> </w:t>
      </w:r>
      <w:r w:rsidR="00755920" w:rsidRPr="00A00187">
        <w:t>u</w:t>
      </w:r>
      <w:r w:rsidR="00755920">
        <w:t> </w:t>
      </w:r>
      <w:r w:rsidR="005C2115" w:rsidRPr="00A00187">
        <w:t>VS v Olomouci spíše rostou</w:t>
      </w:r>
      <w:r w:rsidR="004E04AD" w:rsidRPr="00A00187">
        <w:t>,</w:t>
      </w:r>
      <w:r w:rsidR="005C2115" w:rsidRPr="00A00187">
        <w:t xml:space="preserve"> </w:t>
      </w:r>
      <w:r w:rsidR="004E04AD" w:rsidRPr="00A00187">
        <w:t>j</w:t>
      </w:r>
      <w:r w:rsidR="005C2115" w:rsidRPr="00A00187">
        <w:t xml:space="preserve">sou tedy nyní </w:t>
      </w:r>
      <w:r w:rsidR="005218CB" w:rsidRPr="00A00187">
        <w:t>vyšší</w:t>
      </w:r>
      <w:r w:rsidR="005C2115" w:rsidRPr="00A00187">
        <w:t xml:space="preserve"> než </w:t>
      </w:r>
      <w:r w:rsidR="00755920" w:rsidRPr="00A00187">
        <w:t>u</w:t>
      </w:r>
      <w:r w:rsidR="00755920">
        <w:t> </w:t>
      </w:r>
      <w:r w:rsidR="00DC2464" w:rsidRPr="00A00187">
        <w:t>VS v Praze.</w:t>
      </w:r>
    </w:p>
    <w:p w14:paraId="618D43A8" w14:textId="77777777" w:rsidR="0076519D" w:rsidRPr="00A00187" w:rsidRDefault="0076519D" w:rsidP="0076519D">
      <w:pPr>
        <w:rPr>
          <w:lang w:eastAsia="cs-CZ"/>
        </w:rPr>
      </w:pPr>
      <w:r w:rsidRPr="00A00187">
        <w:t>Zbývá dodat, že složení agendy u VS je logicky velmi podobné složení prvostupňové agendy u krajských soudů.</w:t>
      </w:r>
    </w:p>
    <w:p w14:paraId="03696B10" w14:textId="45749C4C" w:rsidR="0076519D" w:rsidRPr="00A00187" w:rsidRDefault="0076519D" w:rsidP="0076519D">
      <w:pPr>
        <w:pStyle w:val="Podnadpis"/>
        <w:numPr>
          <w:ilvl w:val="0"/>
          <w:numId w:val="0"/>
        </w:numPr>
        <w:rPr>
          <w:color w:val="auto"/>
        </w:rPr>
      </w:pPr>
      <w:bookmarkStart w:id="1093" w:name="_Toc515871415"/>
      <w:bookmarkStart w:id="1094" w:name="_Toc11135146"/>
      <w:bookmarkStart w:id="1095" w:name="_Toc43841468"/>
      <w:bookmarkStart w:id="1096" w:name="_Toc75952271"/>
      <w:bookmarkStart w:id="1097" w:name="_Toc106106728"/>
      <w:bookmarkStart w:id="1098" w:name="_Toc109802052"/>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94</w:t>
      </w:r>
      <w:r w:rsidRPr="00A00187">
        <w:rPr>
          <w:color w:val="auto"/>
        </w:rPr>
        <w:fldChar w:fldCharType="end"/>
      </w:r>
      <w:r w:rsidRPr="00A00187">
        <w:rPr>
          <w:color w:val="auto"/>
        </w:rPr>
        <w:t>: VS – délka trestního odvolacího řízení v letech 2010–</w:t>
      </w:r>
      <w:bookmarkEnd w:id="1093"/>
      <w:r w:rsidRPr="00A00187">
        <w:rPr>
          <w:color w:val="auto"/>
        </w:rPr>
        <w:t>20</w:t>
      </w:r>
      <w:bookmarkEnd w:id="1094"/>
      <w:bookmarkEnd w:id="1095"/>
      <w:r w:rsidRPr="00A00187">
        <w:rPr>
          <w:color w:val="auto"/>
        </w:rPr>
        <w:t>2</w:t>
      </w:r>
      <w:bookmarkEnd w:id="1096"/>
      <w:r w:rsidRPr="00A00187">
        <w:rPr>
          <w:color w:val="auto"/>
        </w:rPr>
        <w:t>1</w:t>
      </w:r>
      <w:bookmarkEnd w:id="1097"/>
      <w:bookmarkEnd w:id="1098"/>
    </w:p>
    <w:p w14:paraId="63D6AC68" w14:textId="03740FB6" w:rsidR="00120348" w:rsidRPr="00A00187" w:rsidRDefault="00120348" w:rsidP="0076519D">
      <w:pPr>
        <w:rPr>
          <w:lang w:eastAsia="cs-CZ"/>
        </w:rPr>
      </w:pPr>
      <w:r w:rsidRPr="00A00187">
        <w:rPr>
          <w:noProof/>
          <w:lang w:eastAsia="cs-CZ"/>
        </w:rPr>
        <w:drawing>
          <wp:inline distT="0" distB="0" distL="0" distR="0" wp14:anchorId="4336F91D" wp14:editId="2AA7216B">
            <wp:extent cx="5029200" cy="3657600"/>
            <wp:effectExtent l="0" t="0" r="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68B670D" w14:textId="77777777" w:rsidR="00120348" w:rsidRPr="00A00187" w:rsidRDefault="00120348">
      <w:pPr>
        <w:spacing w:after="160" w:line="259" w:lineRule="auto"/>
        <w:jc w:val="left"/>
        <w:rPr>
          <w:lang w:eastAsia="cs-CZ"/>
        </w:rPr>
      </w:pPr>
      <w:r w:rsidRPr="00A00187">
        <w:rPr>
          <w:lang w:eastAsia="cs-CZ"/>
        </w:rPr>
        <w:br w:type="page"/>
      </w:r>
    </w:p>
    <w:p w14:paraId="555DBD5B" w14:textId="78CB6E10" w:rsidR="00120348" w:rsidRPr="00A00187" w:rsidRDefault="00120348" w:rsidP="00120348">
      <w:pPr>
        <w:pStyle w:val="Podnadpis"/>
        <w:rPr>
          <w:color w:val="auto"/>
        </w:rPr>
      </w:pPr>
      <w:bookmarkStart w:id="1099" w:name="_Toc515871416"/>
      <w:bookmarkStart w:id="1100" w:name="_Toc11135147"/>
      <w:bookmarkStart w:id="1101" w:name="_Toc43841469"/>
      <w:bookmarkStart w:id="1102" w:name="_Toc75952272"/>
      <w:bookmarkStart w:id="1103" w:name="_Toc106106729"/>
      <w:bookmarkStart w:id="1104" w:name="_Toc109802053"/>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95</w:t>
      </w:r>
      <w:r w:rsidRPr="00A00187">
        <w:rPr>
          <w:color w:val="auto"/>
        </w:rPr>
        <w:fldChar w:fldCharType="end"/>
      </w:r>
      <w:r w:rsidRPr="00A00187">
        <w:rPr>
          <w:color w:val="auto"/>
        </w:rPr>
        <w:t>: VS – distribuce délek trestního odvolacího řízení</w:t>
      </w:r>
      <w:bookmarkEnd w:id="1099"/>
      <w:bookmarkEnd w:id="1100"/>
      <w:bookmarkEnd w:id="1101"/>
      <w:bookmarkEnd w:id="1102"/>
      <w:bookmarkEnd w:id="1103"/>
      <w:bookmarkEnd w:id="1104"/>
    </w:p>
    <w:p w14:paraId="7B05FF97" w14:textId="266B7EC7" w:rsidR="00004E88" w:rsidRPr="00A00187" w:rsidRDefault="00004E88" w:rsidP="00004E88">
      <w:r w:rsidRPr="00A00187">
        <w:rPr>
          <w:noProof/>
        </w:rPr>
        <w:drawing>
          <wp:inline distT="0" distB="0" distL="0" distR="0" wp14:anchorId="3B9E0F95" wp14:editId="7F161B37">
            <wp:extent cx="5029200" cy="3657600"/>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F44D5E" w14:textId="3C575C03" w:rsidR="00004E88" w:rsidRPr="00A00187" w:rsidRDefault="00004E88" w:rsidP="00004E88">
      <w:pPr>
        <w:pStyle w:val="OdstavecASR"/>
        <w:rPr>
          <w:lang w:eastAsia="cs-CZ"/>
        </w:rPr>
      </w:pPr>
      <w:r w:rsidRPr="00A00187">
        <w:rPr>
          <w:lang w:eastAsia="cs-CZ"/>
        </w:rPr>
        <w:t xml:space="preserve">Malý počet pozorování se projevuje i v histogramu. Distribuce délek řízení se obvykle liší mezi soudy i mezi jednotlivými roky u stejného soudu; při vyšším počtu pozorování by zřejmě byla podobnější. Vzhledem k počtu pozorování jsou výkyvy běžné, přesto je však rozhodně pozitivní, že počet věcí s délkou řízení nad 400 dnů je minimální. Je třeba poznamenat, že tento rok je distribuce délek řízení velmi podobná </w:t>
      </w:r>
      <w:r w:rsidR="00755920" w:rsidRPr="00A00187">
        <w:rPr>
          <w:lang w:eastAsia="cs-CZ"/>
        </w:rPr>
        <w:t>u</w:t>
      </w:r>
      <w:r w:rsidR="00755920">
        <w:rPr>
          <w:lang w:eastAsia="cs-CZ"/>
        </w:rPr>
        <w:t> </w:t>
      </w:r>
      <w:r w:rsidRPr="00A00187">
        <w:rPr>
          <w:lang w:eastAsia="cs-CZ"/>
        </w:rPr>
        <w:t xml:space="preserve">obou soudů </w:t>
      </w:r>
      <w:r w:rsidR="00D02143" w:rsidRPr="00A00187">
        <w:rPr>
          <w:lang w:eastAsia="cs-CZ"/>
        </w:rPr>
        <w:t>s</w:t>
      </w:r>
      <w:r w:rsidR="004E04AD" w:rsidRPr="00A00187">
        <w:rPr>
          <w:lang w:eastAsia="cs-CZ"/>
        </w:rPr>
        <w:t> </w:t>
      </w:r>
      <w:r w:rsidR="00D02143" w:rsidRPr="00A00187">
        <w:rPr>
          <w:lang w:eastAsia="cs-CZ"/>
        </w:rPr>
        <w:t>tím</w:t>
      </w:r>
      <w:r w:rsidR="004E04AD" w:rsidRPr="00A00187">
        <w:rPr>
          <w:lang w:eastAsia="cs-CZ"/>
        </w:rPr>
        <w:t>,</w:t>
      </w:r>
      <w:r w:rsidR="00D02143" w:rsidRPr="00A00187">
        <w:rPr>
          <w:lang w:eastAsia="cs-CZ"/>
        </w:rPr>
        <w:t xml:space="preserve"> že je </w:t>
      </w:r>
      <w:r w:rsidR="004E04AD" w:rsidRPr="00A00187">
        <w:rPr>
          <w:lang w:eastAsia="cs-CZ"/>
        </w:rPr>
        <w:t>zřejmé</w:t>
      </w:r>
      <w:r w:rsidR="00D02143" w:rsidRPr="00A00187">
        <w:rPr>
          <w:lang w:eastAsia="cs-CZ"/>
        </w:rPr>
        <w:t xml:space="preserve">, že délky řízení </w:t>
      </w:r>
      <w:r w:rsidR="00755920" w:rsidRPr="00A00187">
        <w:rPr>
          <w:lang w:eastAsia="cs-CZ"/>
        </w:rPr>
        <w:t>u</w:t>
      </w:r>
      <w:r w:rsidR="00755920">
        <w:rPr>
          <w:lang w:eastAsia="cs-CZ"/>
        </w:rPr>
        <w:t> </w:t>
      </w:r>
      <w:r w:rsidR="00D02143" w:rsidRPr="00A00187">
        <w:rPr>
          <w:lang w:eastAsia="cs-CZ"/>
        </w:rPr>
        <w:t>VS v Olomouci jsou vyšší.</w:t>
      </w:r>
    </w:p>
    <w:p w14:paraId="166754EC" w14:textId="6B4ECD73" w:rsidR="008430BD" w:rsidRPr="00A00187" w:rsidRDefault="008430BD" w:rsidP="008430BD">
      <w:pPr>
        <w:pStyle w:val="Nadpis3"/>
        <w:numPr>
          <w:ilvl w:val="2"/>
          <w:numId w:val="1"/>
        </w:numPr>
        <w:rPr>
          <w:color w:val="auto"/>
          <w:lang w:eastAsia="cs-CZ"/>
        </w:rPr>
      </w:pPr>
      <w:bookmarkStart w:id="1105" w:name="_Toc515871288"/>
      <w:bookmarkStart w:id="1106" w:name="_Toc106092800"/>
      <w:bookmarkStart w:id="1107" w:name="_Toc109801411"/>
      <w:r w:rsidRPr="00A00187">
        <w:rPr>
          <w:color w:val="auto"/>
          <w:lang w:eastAsia="cs-CZ"/>
        </w:rPr>
        <w:t>Vyřizování věcí</w:t>
      </w:r>
      <w:bookmarkEnd w:id="1105"/>
      <w:bookmarkEnd w:id="1106"/>
      <w:bookmarkEnd w:id="1107"/>
    </w:p>
    <w:p w14:paraId="3A116B32" w14:textId="2A54E924" w:rsidR="005E76D8" w:rsidRPr="00A00187" w:rsidRDefault="005E76D8" w:rsidP="005E76D8">
      <w:pPr>
        <w:pStyle w:val="OdstavecASR"/>
      </w:pPr>
      <w:r w:rsidRPr="00A00187">
        <w:t>Počet věcí opět ilustruje rozdíl ve velikosti soudů. V nápadu je vidět jisté kolísání, ale od roku 2010 se v zásadě nezměnil, což souvisí s tím, že v nápadu prvostupňové agendy u krajských soudů také nedošlo k žádné výraznější změně. V roce 2016 došlo k nárůstu v počtu nevyřízených věcí především u VS v Olomouci. Ačkoliv počet nevyřízených věcí vzrostl asi o 50</w:t>
      </w:r>
      <w:r w:rsidR="00CB570A">
        <w:t> %</w:t>
      </w:r>
      <w:r w:rsidRPr="00A00187">
        <w:t xml:space="preserve">, v absolutních číslech </w:t>
      </w:r>
      <w:r w:rsidR="001D542F" w:rsidRPr="00A00187">
        <w:t xml:space="preserve">rozdíl činí </w:t>
      </w:r>
      <w:r w:rsidRPr="00A00187">
        <w:t xml:space="preserve">pouze několik desítek věcí a celkový počet nevyřízených věcí je velmi malý. Jak je již uvedeno výše, počet nevyřízených věcí v roce 2018 klesl u obou soudů, u VS v Praze i přes nárůst v počtu věcí příchozích. V roce 2019 došlo k velkému poklesu v počtu příchozích věcí u VS v Praze. </w:t>
      </w:r>
      <w:r w:rsidR="00755920" w:rsidRPr="00A00187">
        <w:t>I</w:t>
      </w:r>
      <w:r w:rsidR="00755920">
        <w:t> </w:t>
      </w:r>
      <w:r w:rsidRPr="00A00187">
        <w:t>přes pokles v počtu příchozích věcí ale nedošlo k poklesu v počtu nevyřízených věcí. To lze přisoudit tomu, že počet nevyřízených věcí je již tak malý a některé případy prostě není možné urychlit. Od roku 2019 j</w:t>
      </w:r>
      <w:r w:rsidR="00781E6B" w:rsidRPr="00A00187">
        <w:t>sou poč</w:t>
      </w:r>
      <w:r w:rsidR="004E04AD" w:rsidRPr="00A00187">
        <w:t>ty</w:t>
      </w:r>
      <w:r w:rsidR="00781E6B" w:rsidRPr="00A00187">
        <w:t xml:space="preserve"> příchozích, vyřízených </w:t>
      </w:r>
      <w:r w:rsidR="00755920" w:rsidRPr="00A00187">
        <w:t>i</w:t>
      </w:r>
      <w:r w:rsidR="00755920">
        <w:t> </w:t>
      </w:r>
      <w:r w:rsidR="00781E6B" w:rsidRPr="00A00187">
        <w:t xml:space="preserve">nevyřízených věcí </w:t>
      </w:r>
      <w:r w:rsidR="00755920" w:rsidRPr="00A00187">
        <w:t>u</w:t>
      </w:r>
      <w:r w:rsidR="00755920">
        <w:t> </w:t>
      </w:r>
      <w:r w:rsidR="00781E6B" w:rsidRPr="00A00187">
        <w:t>VS v Praze v zásadě neměnné</w:t>
      </w:r>
      <w:r w:rsidR="001D542F" w:rsidRPr="00A00187">
        <w:t xml:space="preserve"> </w:t>
      </w:r>
      <w:r w:rsidR="00755920" w:rsidRPr="00A00187">
        <w:t>a</w:t>
      </w:r>
      <w:r w:rsidR="00755920">
        <w:t> </w:t>
      </w:r>
      <w:r w:rsidR="001D542F" w:rsidRPr="00A00187">
        <w:t xml:space="preserve">registrujeme </w:t>
      </w:r>
      <w:r w:rsidR="00781E6B" w:rsidRPr="00A00187">
        <w:t>pouze drobné výkyvy.</w:t>
      </w:r>
    </w:p>
    <w:p w14:paraId="2C61AB69" w14:textId="1CE8C1BC" w:rsidR="005E76D8" w:rsidRPr="00A00187" w:rsidRDefault="005E76D8" w:rsidP="005E76D8">
      <w:pPr>
        <w:pStyle w:val="OdstavecASR"/>
      </w:pPr>
      <w:r w:rsidRPr="00A00187">
        <w:t xml:space="preserve">U VS v Olomouci </w:t>
      </w:r>
      <w:r w:rsidR="00A95475" w:rsidRPr="00A00187">
        <w:t xml:space="preserve">počet příchozích, vyřízených </w:t>
      </w:r>
      <w:r w:rsidR="00755920" w:rsidRPr="00A00187">
        <w:t>i</w:t>
      </w:r>
      <w:r w:rsidR="00755920">
        <w:t> </w:t>
      </w:r>
      <w:r w:rsidR="00A95475" w:rsidRPr="00A00187">
        <w:t>nevyřízených věcí v posledních letech kolísá a</w:t>
      </w:r>
      <w:r w:rsidR="00E205CE">
        <w:t> </w:t>
      </w:r>
      <w:r w:rsidR="00A95475" w:rsidRPr="00A00187">
        <w:t xml:space="preserve">nelze v něm najít žádný trend. Počet nevyřízených věcí v letošním roce značně poklesl, což se projeví </w:t>
      </w:r>
      <w:r w:rsidR="00755920" w:rsidRPr="00A00187">
        <w:t>i</w:t>
      </w:r>
      <w:r w:rsidR="00755920">
        <w:t> </w:t>
      </w:r>
      <w:r w:rsidR="00A95475" w:rsidRPr="00A00187">
        <w:t xml:space="preserve">v DT. Pokles plyne ze stejného důvodu jako obdobný nárůst v předchozím roce – dne 21. 10. 2020 byla VS Olomouci předložena trestní věc s 34 stížnostmi, které byly vrchním soudem rozhodnuty v měsíci únoru 2021. Tato věc tedy způsobila nárůst v počtu nevyřízených věcí v roce 2020 </w:t>
      </w:r>
      <w:r w:rsidR="00755920" w:rsidRPr="00A00187">
        <w:t>a</w:t>
      </w:r>
      <w:r w:rsidR="00755920">
        <w:t> </w:t>
      </w:r>
      <w:r w:rsidR="00A95475" w:rsidRPr="00A00187">
        <w:t>pokles v roce 2021.</w:t>
      </w:r>
    </w:p>
    <w:p w14:paraId="492CAA44" w14:textId="77777777" w:rsidR="005E76D8" w:rsidRPr="00A00187" w:rsidRDefault="005E76D8" w:rsidP="005E76D8">
      <w:pPr>
        <w:rPr>
          <w:lang w:eastAsia="cs-CZ"/>
        </w:rPr>
      </w:pPr>
    </w:p>
    <w:p w14:paraId="30214AF4" w14:textId="547EF25A" w:rsidR="00273568" w:rsidRPr="00A00187" w:rsidRDefault="00273568" w:rsidP="00273568">
      <w:pPr>
        <w:pStyle w:val="Podnadpis"/>
        <w:numPr>
          <w:ilvl w:val="0"/>
          <w:numId w:val="0"/>
        </w:numPr>
        <w:rPr>
          <w:color w:val="auto"/>
        </w:rPr>
      </w:pPr>
      <w:bookmarkStart w:id="1108" w:name="_Toc515871417"/>
      <w:bookmarkStart w:id="1109" w:name="_Toc11135148"/>
      <w:bookmarkStart w:id="1110" w:name="_Toc43841470"/>
      <w:bookmarkStart w:id="1111" w:name="_Toc75952273"/>
      <w:bookmarkStart w:id="1112" w:name="_Toc106106730"/>
      <w:bookmarkStart w:id="1113" w:name="_Toc109802054"/>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96</w:t>
      </w:r>
      <w:r w:rsidRPr="00A00187">
        <w:rPr>
          <w:color w:val="auto"/>
        </w:rPr>
        <w:fldChar w:fldCharType="end"/>
      </w:r>
      <w:r w:rsidRPr="00A00187">
        <w:rPr>
          <w:color w:val="auto"/>
        </w:rPr>
        <w:t>: VS – vyřizování odvolacích trestních věcí v letech 2008–20</w:t>
      </w:r>
      <w:bookmarkEnd w:id="1108"/>
      <w:bookmarkEnd w:id="1109"/>
      <w:bookmarkEnd w:id="1110"/>
      <w:r w:rsidRPr="00A00187">
        <w:rPr>
          <w:color w:val="auto"/>
        </w:rPr>
        <w:t>2</w:t>
      </w:r>
      <w:bookmarkEnd w:id="1111"/>
      <w:r w:rsidRPr="00A00187">
        <w:rPr>
          <w:color w:val="auto"/>
        </w:rPr>
        <w:t>1</w:t>
      </w:r>
      <w:bookmarkEnd w:id="1112"/>
      <w:bookmarkEnd w:id="1113"/>
    </w:p>
    <w:p w14:paraId="45999621" w14:textId="42FE5F96" w:rsidR="00273568" w:rsidRPr="00A00187" w:rsidRDefault="00273568" w:rsidP="00273568">
      <w:pPr>
        <w:rPr>
          <w:lang w:eastAsia="cs-CZ"/>
        </w:rPr>
      </w:pPr>
      <w:r w:rsidRPr="00A00187">
        <w:rPr>
          <w:noProof/>
          <w:lang w:eastAsia="cs-CZ"/>
        </w:rPr>
        <w:drawing>
          <wp:inline distT="0" distB="0" distL="0" distR="0" wp14:anchorId="7D09F814" wp14:editId="427CA623">
            <wp:extent cx="5025390" cy="3657600"/>
            <wp:effectExtent l="0" t="0" r="381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437125F" w14:textId="1BBF9EF7" w:rsidR="008430BD" w:rsidRPr="00A00187" w:rsidRDefault="008430BD" w:rsidP="008430BD">
      <w:pPr>
        <w:pStyle w:val="Nadpis3"/>
        <w:numPr>
          <w:ilvl w:val="2"/>
          <w:numId w:val="1"/>
        </w:numPr>
        <w:rPr>
          <w:color w:val="auto"/>
          <w:lang w:eastAsia="cs-CZ"/>
        </w:rPr>
      </w:pPr>
      <w:bookmarkStart w:id="1114" w:name="_Toc515871289"/>
      <w:bookmarkStart w:id="1115" w:name="_Toc43903101"/>
      <w:bookmarkStart w:id="1116" w:name="_Toc106092801"/>
      <w:bookmarkStart w:id="1117" w:name="_Toc109801412"/>
      <w:r w:rsidRPr="00A00187">
        <w:rPr>
          <w:color w:val="auto"/>
          <w:lang w:eastAsia="cs-CZ"/>
        </w:rPr>
        <w:t>Vyřizování věcí v přepočtu na soudce</w:t>
      </w:r>
      <w:bookmarkEnd w:id="1114"/>
      <w:bookmarkEnd w:id="1115"/>
      <w:bookmarkEnd w:id="1116"/>
      <w:bookmarkEnd w:id="1117"/>
    </w:p>
    <w:p w14:paraId="7B8B4ADF" w14:textId="77777777" w:rsidR="00CB570A" w:rsidRDefault="00F47260" w:rsidP="00F47260">
      <w:pPr>
        <w:pStyle w:val="OdstavecASR"/>
        <w:rPr>
          <w:lang w:eastAsia="cs-CZ"/>
        </w:rPr>
      </w:pPr>
      <w:r w:rsidRPr="00A00187">
        <w:rPr>
          <w:lang w:eastAsia="cs-CZ"/>
        </w:rPr>
        <w:t>Počet příchozích, vyřízených i nevyřízených věcí na soudce vždy byl u obou soudů velmi podobný. To koresponduje s tvrzením založeným na délkách řízení – oba soudy si ve vyřizování trestní odvolací agendy z dlouhodobého hlediska vedou obdobně.</w:t>
      </w:r>
    </w:p>
    <w:p w14:paraId="48A5CC69" w14:textId="667883D7" w:rsidR="00F47260" w:rsidRPr="00A00187" w:rsidRDefault="00F47260" w:rsidP="00F47260">
      <w:pPr>
        <w:pStyle w:val="Podnadpis"/>
        <w:rPr>
          <w:color w:val="auto"/>
        </w:rPr>
      </w:pPr>
      <w:bookmarkStart w:id="1118" w:name="_Toc515871504"/>
      <w:bookmarkStart w:id="1119" w:name="_Toc11133270"/>
      <w:bookmarkStart w:id="1120" w:name="_Toc43931252"/>
      <w:bookmarkStart w:id="1121" w:name="_Toc75952386"/>
      <w:bookmarkStart w:id="1122" w:name="_Toc106106839"/>
      <w:bookmarkStart w:id="1123" w:name="_Toc109802162"/>
      <w:r w:rsidRPr="00A00187">
        <w:rPr>
          <w:color w:val="auto"/>
        </w:rPr>
        <w:t xml:space="preserve">Tabulka </w:t>
      </w:r>
      <w:r w:rsidR="008457EB" w:rsidRPr="00A00187">
        <w:rPr>
          <w:color w:val="auto"/>
        </w:rPr>
        <w:fldChar w:fldCharType="begin"/>
      </w:r>
      <w:r w:rsidR="008457EB" w:rsidRPr="00A00187">
        <w:rPr>
          <w:color w:val="auto"/>
        </w:rPr>
        <w:instrText xml:space="preserve"> SEQ Tabulka \* ARABIC </w:instrText>
      </w:r>
      <w:r w:rsidR="008457EB" w:rsidRPr="00A00187">
        <w:rPr>
          <w:color w:val="auto"/>
        </w:rPr>
        <w:fldChar w:fldCharType="separate"/>
      </w:r>
      <w:r w:rsidR="00DE6B5E">
        <w:rPr>
          <w:noProof/>
          <w:color w:val="auto"/>
        </w:rPr>
        <w:t>77</w:t>
      </w:r>
      <w:r w:rsidR="008457EB" w:rsidRPr="00A00187">
        <w:rPr>
          <w:noProof/>
          <w:color w:val="auto"/>
        </w:rPr>
        <w:fldChar w:fldCharType="end"/>
      </w:r>
      <w:r w:rsidRPr="00A00187">
        <w:rPr>
          <w:color w:val="auto"/>
        </w:rPr>
        <w:t>: VS – vyřizování odvolacích trestních věcí na soudce</w:t>
      </w:r>
      <w:bookmarkEnd w:id="1118"/>
      <w:bookmarkEnd w:id="1119"/>
      <w:bookmarkEnd w:id="1120"/>
      <w:bookmarkEnd w:id="1121"/>
      <w:bookmarkEnd w:id="1122"/>
      <w:bookmarkEnd w:id="1123"/>
    </w:p>
    <w:tbl>
      <w:tblPr>
        <w:tblW w:w="7753" w:type="dxa"/>
        <w:tblCellMar>
          <w:left w:w="70" w:type="dxa"/>
          <w:right w:w="70" w:type="dxa"/>
        </w:tblCellMar>
        <w:tblLook w:val="04A0" w:firstRow="1" w:lastRow="0" w:firstColumn="1" w:lastColumn="0" w:noHBand="0" w:noVBand="1"/>
      </w:tblPr>
      <w:tblGrid>
        <w:gridCol w:w="2036"/>
        <w:gridCol w:w="1016"/>
        <w:gridCol w:w="949"/>
        <w:gridCol w:w="1046"/>
        <w:gridCol w:w="949"/>
        <w:gridCol w:w="818"/>
        <w:gridCol w:w="939"/>
      </w:tblGrid>
      <w:tr w:rsidR="00AC1E67" w:rsidRPr="00A00187" w14:paraId="0713239E" w14:textId="77777777" w:rsidTr="00F47260">
        <w:trPr>
          <w:trHeight w:val="330"/>
        </w:trPr>
        <w:tc>
          <w:tcPr>
            <w:tcW w:w="2036" w:type="dxa"/>
            <w:vMerge w:val="restart"/>
            <w:tcBorders>
              <w:top w:val="double" w:sz="6" w:space="0" w:color="auto"/>
              <w:left w:val="nil"/>
              <w:bottom w:val="double" w:sz="6" w:space="0" w:color="000000"/>
              <w:right w:val="nil"/>
            </w:tcBorders>
            <w:shd w:val="clear" w:color="auto" w:fill="auto"/>
            <w:noWrap/>
            <w:vAlign w:val="center"/>
            <w:hideMark/>
          </w:tcPr>
          <w:p w14:paraId="3AF5F2EB" w14:textId="3DFCFF10" w:rsidR="00F47260" w:rsidRPr="00A00187" w:rsidRDefault="00E205CE" w:rsidP="00F47260">
            <w:pPr>
              <w:spacing w:line="240" w:lineRule="auto"/>
              <w:jc w:val="center"/>
              <w:rPr>
                <w:rFonts w:eastAsia="Times New Roman"/>
                <w:b/>
                <w:bCs/>
                <w:szCs w:val="24"/>
                <w:lang w:eastAsia="cs-CZ"/>
              </w:rPr>
            </w:pPr>
            <w:r>
              <w:rPr>
                <w:rFonts w:eastAsia="Times New Roman"/>
                <w:b/>
                <w:bCs/>
                <w:szCs w:val="24"/>
                <w:lang w:eastAsia="cs-CZ"/>
              </w:rPr>
              <w:t>S</w:t>
            </w:r>
            <w:r w:rsidR="00F47260" w:rsidRPr="00A00187">
              <w:rPr>
                <w:rFonts w:eastAsia="Times New Roman"/>
                <w:b/>
                <w:bCs/>
                <w:szCs w:val="24"/>
                <w:lang w:eastAsia="cs-CZ"/>
              </w:rPr>
              <w:t>oud</w:t>
            </w:r>
          </w:p>
        </w:tc>
        <w:tc>
          <w:tcPr>
            <w:tcW w:w="5717" w:type="dxa"/>
            <w:gridSpan w:val="6"/>
            <w:tcBorders>
              <w:top w:val="double" w:sz="6" w:space="0" w:color="auto"/>
              <w:left w:val="nil"/>
              <w:bottom w:val="nil"/>
              <w:right w:val="nil"/>
            </w:tcBorders>
            <w:shd w:val="clear" w:color="auto" w:fill="auto"/>
            <w:noWrap/>
            <w:vAlign w:val="center"/>
            <w:hideMark/>
          </w:tcPr>
          <w:p w14:paraId="0874E21D" w14:textId="5EEA84A3"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Počet věcí</w:t>
            </w:r>
            <w:r w:rsidR="003362DD">
              <w:rPr>
                <w:rFonts w:eastAsia="Times New Roman"/>
                <w:b/>
                <w:bCs/>
                <w:szCs w:val="24"/>
                <w:lang w:eastAsia="cs-CZ"/>
              </w:rPr>
              <w:t xml:space="preserve"> na soudce</w:t>
            </w:r>
          </w:p>
        </w:tc>
      </w:tr>
      <w:tr w:rsidR="00AC1E67" w:rsidRPr="00A00187" w14:paraId="0641FCDB" w14:textId="77777777" w:rsidTr="00F47260">
        <w:trPr>
          <w:trHeight w:val="330"/>
        </w:trPr>
        <w:tc>
          <w:tcPr>
            <w:tcW w:w="2036" w:type="dxa"/>
            <w:vMerge/>
            <w:tcBorders>
              <w:top w:val="double" w:sz="6" w:space="0" w:color="auto"/>
              <w:left w:val="nil"/>
              <w:bottom w:val="double" w:sz="6" w:space="0" w:color="000000"/>
              <w:right w:val="nil"/>
            </w:tcBorders>
            <w:vAlign w:val="center"/>
            <w:hideMark/>
          </w:tcPr>
          <w:p w14:paraId="044A16E7" w14:textId="77777777" w:rsidR="00F47260" w:rsidRPr="00A00187" w:rsidRDefault="00F47260" w:rsidP="00F47260">
            <w:pPr>
              <w:spacing w:line="240" w:lineRule="auto"/>
              <w:jc w:val="left"/>
              <w:rPr>
                <w:rFonts w:eastAsia="Times New Roman"/>
                <w:b/>
                <w:bCs/>
                <w:szCs w:val="24"/>
                <w:lang w:eastAsia="cs-CZ"/>
              </w:rPr>
            </w:pPr>
          </w:p>
        </w:tc>
        <w:tc>
          <w:tcPr>
            <w:tcW w:w="1965" w:type="dxa"/>
            <w:gridSpan w:val="2"/>
            <w:tcBorders>
              <w:top w:val="nil"/>
              <w:left w:val="nil"/>
              <w:bottom w:val="double" w:sz="6" w:space="0" w:color="auto"/>
              <w:right w:val="nil"/>
            </w:tcBorders>
            <w:shd w:val="clear" w:color="auto" w:fill="auto"/>
            <w:noWrap/>
            <w:vAlign w:val="center"/>
            <w:hideMark/>
          </w:tcPr>
          <w:p w14:paraId="295D5FBB" w14:textId="7777777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Nápad + obživa</w:t>
            </w:r>
          </w:p>
        </w:tc>
        <w:tc>
          <w:tcPr>
            <w:tcW w:w="199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2E4B2B" w14:textId="7777777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Vyřízeno</w:t>
            </w:r>
          </w:p>
        </w:tc>
        <w:tc>
          <w:tcPr>
            <w:tcW w:w="1757" w:type="dxa"/>
            <w:gridSpan w:val="2"/>
            <w:tcBorders>
              <w:top w:val="nil"/>
              <w:left w:val="nil"/>
              <w:bottom w:val="double" w:sz="6" w:space="0" w:color="auto"/>
              <w:right w:val="nil"/>
            </w:tcBorders>
            <w:shd w:val="clear" w:color="auto" w:fill="auto"/>
            <w:noWrap/>
            <w:vAlign w:val="center"/>
            <w:hideMark/>
          </w:tcPr>
          <w:p w14:paraId="5106A057" w14:textId="77777777"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Nevyřízeno</w:t>
            </w:r>
          </w:p>
        </w:tc>
      </w:tr>
      <w:tr w:rsidR="00AC1E67" w:rsidRPr="00A00187" w14:paraId="312A20E9" w14:textId="77777777" w:rsidTr="00F47260">
        <w:trPr>
          <w:trHeight w:val="330"/>
        </w:trPr>
        <w:tc>
          <w:tcPr>
            <w:tcW w:w="2036" w:type="dxa"/>
            <w:tcBorders>
              <w:top w:val="single" w:sz="4" w:space="0" w:color="auto"/>
              <w:left w:val="nil"/>
              <w:bottom w:val="single" w:sz="4" w:space="0" w:color="auto"/>
              <w:right w:val="nil"/>
            </w:tcBorders>
            <w:shd w:val="clear" w:color="auto" w:fill="auto"/>
            <w:noWrap/>
            <w:vAlign w:val="bottom"/>
            <w:hideMark/>
          </w:tcPr>
          <w:p w14:paraId="2C8E0978" w14:textId="77777777" w:rsidR="00F47260" w:rsidRPr="00A00187" w:rsidRDefault="00F47260" w:rsidP="00F47260">
            <w:pPr>
              <w:spacing w:line="240" w:lineRule="auto"/>
              <w:jc w:val="left"/>
              <w:rPr>
                <w:rFonts w:eastAsia="Times New Roman"/>
                <w:szCs w:val="24"/>
                <w:lang w:eastAsia="cs-CZ"/>
              </w:rPr>
            </w:pPr>
            <w:r w:rsidRPr="00A00187">
              <w:rPr>
                <w:rFonts w:eastAsia="Times New Roman"/>
                <w:szCs w:val="24"/>
                <w:lang w:eastAsia="cs-CZ"/>
              </w:rPr>
              <w:t>VS Praha</w:t>
            </w:r>
          </w:p>
        </w:tc>
        <w:tc>
          <w:tcPr>
            <w:tcW w:w="1016" w:type="dxa"/>
            <w:tcBorders>
              <w:top w:val="single" w:sz="4" w:space="0" w:color="auto"/>
              <w:left w:val="nil"/>
              <w:bottom w:val="single" w:sz="4" w:space="0" w:color="auto"/>
              <w:right w:val="nil"/>
            </w:tcBorders>
            <w:shd w:val="clear" w:color="auto" w:fill="auto"/>
            <w:noWrap/>
            <w:vAlign w:val="bottom"/>
            <w:hideMark/>
          </w:tcPr>
          <w:p w14:paraId="600E0500" w14:textId="4531B90B"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32,80</w:t>
            </w:r>
          </w:p>
        </w:tc>
        <w:tc>
          <w:tcPr>
            <w:tcW w:w="949" w:type="dxa"/>
            <w:tcBorders>
              <w:top w:val="single" w:sz="4" w:space="0" w:color="auto"/>
              <w:left w:val="nil"/>
              <w:bottom w:val="single" w:sz="4" w:space="0" w:color="auto"/>
              <w:right w:val="nil"/>
            </w:tcBorders>
            <w:shd w:val="clear" w:color="auto" w:fill="auto"/>
            <w:noWrap/>
            <w:vAlign w:val="center"/>
            <w:hideMark/>
          </w:tcPr>
          <w:p w14:paraId="14E2CAFC" w14:textId="55DC17ED"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c>
          <w:tcPr>
            <w:tcW w:w="1046" w:type="dxa"/>
            <w:tcBorders>
              <w:top w:val="single" w:sz="4" w:space="0" w:color="auto"/>
              <w:left w:val="single" w:sz="4" w:space="0" w:color="auto"/>
              <w:bottom w:val="single" w:sz="4" w:space="0" w:color="auto"/>
              <w:right w:val="nil"/>
            </w:tcBorders>
            <w:shd w:val="clear" w:color="auto" w:fill="auto"/>
            <w:noWrap/>
            <w:vAlign w:val="bottom"/>
            <w:hideMark/>
          </w:tcPr>
          <w:p w14:paraId="5B91F44C" w14:textId="279F5F45"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32,90</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0955DDC8" w14:textId="2DD1E161"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-10</w:t>
            </w:r>
            <w:r w:rsidR="00CB570A">
              <w:rPr>
                <w:rFonts w:eastAsia="Times New Roman"/>
                <w:sz w:val="20"/>
                <w:szCs w:val="20"/>
                <w:lang w:eastAsia="cs-CZ"/>
              </w:rPr>
              <w:t> %</w:t>
            </w:r>
          </w:p>
        </w:tc>
        <w:tc>
          <w:tcPr>
            <w:tcW w:w="818" w:type="dxa"/>
            <w:tcBorders>
              <w:top w:val="single" w:sz="4" w:space="0" w:color="auto"/>
              <w:left w:val="nil"/>
              <w:bottom w:val="single" w:sz="4" w:space="0" w:color="auto"/>
              <w:right w:val="nil"/>
            </w:tcBorders>
            <w:shd w:val="clear" w:color="auto" w:fill="auto"/>
            <w:noWrap/>
            <w:vAlign w:val="bottom"/>
            <w:hideMark/>
          </w:tcPr>
          <w:p w14:paraId="3E29F0C9" w14:textId="0585B08F"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4,49</w:t>
            </w:r>
          </w:p>
        </w:tc>
        <w:tc>
          <w:tcPr>
            <w:tcW w:w="939" w:type="dxa"/>
            <w:tcBorders>
              <w:top w:val="single" w:sz="4" w:space="0" w:color="auto"/>
              <w:left w:val="nil"/>
              <w:bottom w:val="single" w:sz="4" w:space="0" w:color="auto"/>
              <w:right w:val="nil"/>
            </w:tcBorders>
            <w:shd w:val="clear" w:color="auto" w:fill="auto"/>
            <w:noWrap/>
            <w:vAlign w:val="center"/>
            <w:hideMark/>
          </w:tcPr>
          <w:p w14:paraId="6A073286" w14:textId="1FECCD6B"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-8</w:t>
            </w:r>
            <w:r w:rsidR="00CB570A">
              <w:rPr>
                <w:rFonts w:eastAsia="Times New Roman"/>
                <w:sz w:val="20"/>
                <w:szCs w:val="20"/>
                <w:lang w:eastAsia="cs-CZ"/>
              </w:rPr>
              <w:t> %</w:t>
            </w:r>
          </w:p>
        </w:tc>
      </w:tr>
      <w:tr w:rsidR="00AC1E67" w:rsidRPr="00A00187" w14:paraId="2815F16D" w14:textId="77777777" w:rsidTr="00F47260">
        <w:trPr>
          <w:trHeight w:val="330"/>
        </w:trPr>
        <w:tc>
          <w:tcPr>
            <w:tcW w:w="2036" w:type="dxa"/>
            <w:tcBorders>
              <w:top w:val="nil"/>
              <w:left w:val="nil"/>
              <w:bottom w:val="nil"/>
              <w:right w:val="nil"/>
            </w:tcBorders>
            <w:shd w:val="clear" w:color="auto" w:fill="auto"/>
            <w:noWrap/>
            <w:vAlign w:val="bottom"/>
            <w:hideMark/>
          </w:tcPr>
          <w:p w14:paraId="383D6981" w14:textId="77777777" w:rsidR="00F47260" w:rsidRPr="00A00187" w:rsidRDefault="00F47260" w:rsidP="00F47260">
            <w:pPr>
              <w:spacing w:line="240" w:lineRule="auto"/>
              <w:jc w:val="left"/>
              <w:rPr>
                <w:rFonts w:eastAsia="Times New Roman"/>
                <w:szCs w:val="24"/>
                <w:lang w:eastAsia="cs-CZ"/>
              </w:rPr>
            </w:pPr>
            <w:r w:rsidRPr="00A00187">
              <w:rPr>
                <w:rFonts w:eastAsia="Times New Roman"/>
                <w:szCs w:val="24"/>
                <w:lang w:eastAsia="cs-CZ"/>
              </w:rPr>
              <w:t>VS Olomouc</w:t>
            </w:r>
          </w:p>
        </w:tc>
        <w:tc>
          <w:tcPr>
            <w:tcW w:w="1016" w:type="dxa"/>
            <w:tcBorders>
              <w:top w:val="nil"/>
              <w:left w:val="nil"/>
              <w:bottom w:val="nil"/>
              <w:right w:val="nil"/>
            </w:tcBorders>
            <w:shd w:val="clear" w:color="auto" w:fill="auto"/>
            <w:noWrap/>
            <w:vAlign w:val="bottom"/>
            <w:hideMark/>
          </w:tcPr>
          <w:p w14:paraId="2705520E" w14:textId="5F72FE3A"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34,00</w:t>
            </w:r>
          </w:p>
        </w:tc>
        <w:tc>
          <w:tcPr>
            <w:tcW w:w="949" w:type="dxa"/>
            <w:tcBorders>
              <w:top w:val="nil"/>
              <w:left w:val="nil"/>
              <w:bottom w:val="nil"/>
              <w:right w:val="nil"/>
            </w:tcBorders>
            <w:shd w:val="clear" w:color="auto" w:fill="auto"/>
            <w:noWrap/>
            <w:vAlign w:val="center"/>
            <w:hideMark/>
          </w:tcPr>
          <w:p w14:paraId="1229B4E9" w14:textId="778ED269"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-17</w:t>
            </w:r>
            <w:r w:rsidR="00CB570A">
              <w:rPr>
                <w:rFonts w:eastAsia="Times New Roman"/>
                <w:sz w:val="20"/>
                <w:szCs w:val="20"/>
                <w:lang w:eastAsia="cs-CZ"/>
              </w:rPr>
              <w:t> %</w:t>
            </w:r>
          </w:p>
        </w:tc>
        <w:tc>
          <w:tcPr>
            <w:tcW w:w="1046" w:type="dxa"/>
            <w:tcBorders>
              <w:top w:val="nil"/>
              <w:left w:val="single" w:sz="4" w:space="0" w:color="auto"/>
              <w:bottom w:val="nil"/>
              <w:right w:val="nil"/>
            </w:tcBorders>
            <w:shd w:val="clear" w:color="auto" w:fill="auto"/>
            <w:noWrap/>
            <w:vAlign w:val="bottom"/>
            <w:hideMark/>
          </w:tcPr>
          <w:p w14:paraId="650E0F9B" w14:textId="7ECF7AFC"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36,82</w:t>
            </w:r>
          </w:p>
        </w:tc>
        <w:tc>
          <w:tcPr>
            <w:tcW w:w="949" w:type="dxa"/>
            <w:tcBorders>
              <w:top w:val="nil"/>
              <w:left w:val="nil"/>
              <w:bottom w:val="nil"/>
              <w:right w:val="single" w:sz="4" w:space="0" w:color="auto"/>
            </w:tcBorders>
            <w:shd w:val="clear" w:color="auto" w:fill="auto"/>
            <w:noWrap/>
            <w:vAlign w:val="center"/>
            <w:hideMark/>
          </w:tcPr>
          <w:p w14:paraId="677999A7" w14:textId="67C01489"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-6</w:t>
            </w:r>
            <w:r w:rsidR="00CB570A">
              <w:rPr>
                <w:rFonts w:eastAsia="Times New Roman"/>
                <w:sz w:val="20"/>
                <w:szCs w:val="20"/>
                <w:lang w:eastAsia="cs-CZ"/>
              </w:rPr>
              <w:t> %</w:t>
            </w:r>
          </w:p>
        </w:tc>
        <w:tc>
          <w:tcPr>
            <w:tcW w:w="818" w:type="dxa"/>
            <w:tcBorders>
              <w:top w:val="nil"/>
              <w:left w:val="nil"/>
              <w:bottom w:val="nil"/>
              <w:right w:val="nil"/>
            </w:tcBorders>
            <w:shd w:val="clear" w:color="auto" w:fill="auto"/>
            <w:noWrap/>
            <w:vAlign w:val="bottom"/>
            <w:hideMark/>
          </w:tcPr>
          <w:p w14:paraId="3F088E89" w14:textId="472F5365" w:rsidR="00F47260" w:rsidRPr="00A00187" w:rsidRDefault="00F47260" w:rsidP="00F47260">
            <w:pPr>
              <w:spacing w:line="240" w:lineRule="auto"/>
              <w:jc w:val="center"/>
              <w:rPr>
                <w:rFonts w:eastAsia="Times New Roman"/>
                <w:szCs w:val="24"/>
                <w:lang w:eastAsia="cs-CZ"/>
              </w:rPr>
            </w:pPr>
            <w:r w:rsidRPr="00A00187">
              <w:rPr>
                <w:rFonts w:eastAsia="Times New Roman"/>
                <w:szCs w:val="24"/>
                <w:lang w:eastAsia="cs-CZ"/>
              </w:rPr>
              <w:t>5,41</w:t>
            </w:r>
          </w:p>
        </w:tc>
        <w:tc>
          <w:tcPr>
            <w:tcW w:w="939" w:type="dxa"/>
            <w:tcBorders>
              <w:top w:val="nil"/>
              <w:left w:val="nil"/>
              <w:bottom w:val="nil"/>
              <w:right w:val="nil"/>
            </w:tcBorders>
            <w:shd w:val="clear" w:color="auto" w:fill="auto"/>
            <w:noWrap/>
            <w:vAlign w:val="center"/>
            <w:hideMark/>
          </w:tcPr>
          <w:p w14:paraId="4650E2B4" w14:textId="5A913CC3" w:rsidR="00F47260" w:rsidRPr="00A00187" w:rsidRDefault="00F47260" w:rsidP="00E205CE">
            <w:pPr>
              <w:spacing w:line="240" w:lineRule="auto"/>
              <w:jc w:val="center"/>
              <w:rPr>
                <w:rFonts w:eastAsia="Times New Roman"/>
                <w:sz w:val="20"/>
                <w:szCs w:val="20"/>
                <w:lang w:eastAsia="cs-CZ"/>
              </w:rPr>
            </w:pPr>
            <w:r w:rsidRPr="00A00187">
              <w:rPr>
                <w:rFonts w:eastAsia="Times New Roman"/>
                <w:sz w:val="20"/>
                <w:szCs w:val="20"/>
                <w:lang w:eastAsia="cs-CZ"/>
              </w:rPr>
              <w:t>-38</w:t>
            </w:r>
            <w:r w:rsidR="00CB570A">
              <w:rPr>
                <w:rFonts w:eastAsia="Times New Roman"/>
                <w:sz w:val="20"/>
                <w:szCs w:val="20"/>
                <w:lang w:eastAsia="cs-CZ"/>
              </w:rPr>
              <w:t> %</w:t>
            </w:r>
          </w:p>
        </w:tc>
      </w:tr>
      <w:tr w:rsidR="00AC1E67" w:rsidRPr="00A00187" w14:paraId="4D80B001" w14:textId="77777777" w:rsidTr="00F47260">
        <w:trPr>
          <w:trHeight w:val="345"/>
        </w:trPr>
        <w:tc>
          <w:tcPr>
            <w:tcW w:w="2036" w:type="dxa"/>
            <w:tcBorders>
              <w:top w:val="double" w:sz="6" w:space="0" w:color="auto"/>
              <w:left w:val="nil"/>
              <w:bottom w:val="double" w:sz="6" w:space="0" w:color="auto"/>
              <w:right w:val="nil"/>
            </w:tcBorders>
            <w:shd w:val="clear" w:color="auto" w:fill="auto"/>
            <w:noWrap/>
            <w:vAlign w:val="bottom"/>
            <w:hideMark/>
          </w:tcPr>
          <w:p w14:paraId="6CDBBADC" w14:textId="77777777" w:rsidR="00F47260" w:rsidRPr="00A00187" w:rsidRDefault="00F47260" w:rsidP="00F47260">
            <w:pPr>
              <w:spacing w:line="240" w:lineRule="auto"/>
              <w:jc w:val="left"/>
              <w:rPr>
                <w:rFonts w:eastAsia="Times New Roman"/>
                <w:b/>
                <w:bCs/>
                <w:szCs w:val="24"/>
                <w:lang w:eastAsia="cs-CZ"/>
              </w:rPr>
            </w:pPr>
            <w:r w:rsidRPr="00A00187">
              <w:rPr>
                <w:rFonts w:eastAsia="Times New Roman"/>
                <w:b/>
                <w:bCs/>
                <w:szCs w:val="24"/>
                <w:lang w:eastAsia="cs-CZ"/>
              </w:rPr>
              <w:t>Celkem ČR</w:t>
            </w:r>
          </w:p>
        </w:tc>
        <w:tc>
          <w:tcPr>
            <w:tcW w:w="1016" w:type="dxa"/>
            <w:tcBorders>
              <w:top w:val="double" w:sz="6" w:space="0" w:color="auto"/>
              <w:left w:val="nil"/>
              <w:bottom w:val="double" w:sz="6" w:space="0" w:color="auto"/>
              <w:right w:val="nil"/>
            </w:tcBorders>
            <w:shd w:val="clear" w:color="auto" w:fill="auto"/>
            <w:noWrap/>
            <w:vAlign w:val="bottom"/>
            <w:hideMark/>
          </w:tcPr>
          <w:p w14:paraId="449C8913" w14:textId="6019C7EF"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33,16</w:t>
            </w:r>
          </w:p>
        </w:tc>
        <w:tc>
          <w:tcPr>
            <w:tcW w:w="949" w:type="dxa"/>
            <w:tcBorders>
              <w:top w:val="double" w:sz="6" w:space="0" w:color="auto"/>
              <w:left w:val="nil"/>
              <w:bottom w:val="double" w:sz="6" w:space="0" w:color="auto"/>
              <w:right w:val="nil"/>
            </w:tcBorders>
            <w:shd w:val="clear" w:color="auto" w:fill="auto"/>
            <w:noWrap/>
            <w:vAlign w:val="center"/>
            <w:hideMark/>
          </w:tcPr>
          <w:p w14:paraId="4443812F" w14:textId="3D2AF4E4" w:rsidR="00F47260" w:rsidRPr="00A00187" w:rsidRDefault="00F47260" w:rsidP="00E205CE">
            <w:pPr>
              <w:spacing w:line="240" w:lineRule="auto"/>
              <w:jc w:val="center"/>
              <w:rPr>
                <w:rFonts w:eastAsia="Times New Roman"/>
                <w:b/>
                <w:bCs/>
                <w:sz w:val="20"/>
                <w:szCs w:val="20"/>
                <w:lang w:eastAsia="cs-CZ"/>
              </w:rPr>
            </w:pPr>
            <w:r w:rsidRPr="00A00187">
              <w:rPr>
                <w:rFonts w:eastAsia="Times New Roman"/>
                <w:b/>
                <w:bCs/>
                <w:sz w:val="20"/>
                <w:szCs w:val="20"/>
                <w:lang w:eastAsia="cs-CZ"/>
              </w:rPr>
              <w:t>-11</w:t>
            </w:r>
            <w:r w:rsidR="00CB570A">
              <w:rPr>
                <w:rFonts w:eastAsia="Times New Roman"/>
                <w:b/>
                <w:bCs/>
                <w:sz w:val="20"/>
                <w:szCs w:val="20"/>
                <w:lang w:eastAsia="cs-CZ"/>
              </w:rPr>
              <w:t> %</w:t>
            </w:r>
          </w:p>
        </w:tc>
        <w:tc>
          <w:tcPr>
            <w:tcW w:w="1046" w:type="dxa"/>
            <w:tcBorders>
              <w:top w:val="double" w:sz="6" w:space="0" w:color="auto"/>
              <w:left w:val="single" w:sz="4" w:space="0" w:color="auto"/>
              <w:bottom w:val="double" w:sz="6" w:space="0" w:color="auto"/>
              <w:right w:val="nil"/>
            </w:tcBorders>
            <w:shd w:val="clear" w:color="auto" w:fill="auto"/>
            <w:noWrap/>
            <w:vAlign w:val="bottom"/>
            <w:hideMark/>
          </w:tcPr>
          <w:p w14:paraId="6CBFB566" w14:textId="2DDBA288"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34,05</w:t>
            </w:r>
          </w:p>
        </w:tc>
        <w:tc>
          <w:tcPr>
            <w:tcW w:w="949" w:type="dxa"/>
            <w:tcBorders>
              <w:top w:val="double" w:sz="6" w:space="0" w:color="auto"/>
              <w:left w:val="nil"/>
              <w:bottom w:val="double" w:sz="6" w:space="0" w:color="auto"/>
              <w:right w:val="single" w:sz="4" w:space="0" w:color="auto"/>
            </w:tcBorders>
            <w:shd w:val="clear" w:color="auto" w:fill="auto"/>
            <w:noWrap/>
            <w:vAlign w:val="center"/>
            <w:hideMark/>
          </w:tcPr>
          <w:p w14:paraId="119EF548" w14:textId="4EE0C4DA" w:rsidR="00F47260" w:rsidRPr="00A00187" w:rsidRDefault="00F47260" w:rsidP="00E205CE">
            <w:pPr>
              <w:spacing w:line="240" w:lineRule="auto"/>
              <w:jc w:val="center"/>
              <w:rPr>
                <w:rFonts w:eastAsia="Times New Roman"/>
                <w:b/>
                <w:bCs/>
                <w:sz w:val="20"/>
                <w:szCs w:val="20"/>
                <w:lang w:eastAsia="cs-CZ"/>
              </w:rPr>
            </w:pPr>
            <w:r w:rsidRPr="00A00187">
              <w:rPr>
                <w:rFonts w:eastAsia="Times New Roman"/>
                <w:b/>
                <w:bCs/>
                <w:sz w:val="20"/>
                <w:szCs w:val="20"/>
                <w:lang w:eastAsia="cs-CZ"/>
              </w:rPr>
              <w:t>-7</w:t>
            </w:r>
            <w:r w:rsidR="00CB570A">
              <w:rPr>
                <w:rFonts w:eastAsia="Times New Roman"/>
                <w:b/>
                <w:bCs/>
                <w:sz w:val="20"/>
                <w:szCs w:val="20"/>
                <w:lang w:eastAsia="cs-CZ"/>
              </w:rPr>
              <w:t> %</w:t>
            </w:r>
          </w:p>
        </w:tc>
        <w:tc>
          <w:tcPr>
            <w:tcW w:w="818" w:type="dxa"/>
            <w:tcBorders>
              <w:top w:val="double" w:sz="6" w:space="0" w:color="auto"/>
              <w:left w:val="nil"/>
              <w:bottom w:val="double" w:sz="6" w:space="0" w:color="auto"/>
              <w:right w:val="nil"/>
            </w:tcBorders>
            <w:shd w:val="clear" w:color="auto" w:fill="auto"/>
            <w:noWrap/>
            <w:vAlign w:val="bottom"/>
            <w:hideMark/>
          </w:tcPr>
          <w:p w14:paraId="1A347BF0" w14:textId="6645599D" w:rsidR="00F47260" w:rsidRPr="00A00187" w:rsidRDefault="00F47260" w:rsidP="00F47260">
            <w:pPr>
              <w:spacing w:line="240" w:lineRule="auto"/>
              <w:jc w:val="center"/>
              <w:rPr>
                <w:rFonts w:eastAsia="Times New Roman"/>
                <w:b/>
                <w:bCs/>
                <w:szCs w:val="24"/>
                <w:lang w:eastAsia="cs-CZ"/>
              </w:rPr>
            </w:pPr>
            <w:r w:rsidRPr="00A00187">
              <w:rPr>
                <w:rFonts w:eastAsia="Times New Roman"/>
                <w:b/>
                <w:bCs/>
                <w:szCs w:val="24"/>
                <w:lang w:eastAsia="cs-CZ"/>
              </w:rPr>
              <w:t>4,76</w:t>
            </w:r>
          </w:p>
        </w:tc>
        <w:tc>
          <w:tcPr>
            <w:tcW w:w="939" w:type="dxa"/>
            <w:tcBorders>
              <w:top w:val="double" w:sz="6" w:space="0" w:color="auto"/>
              <w:left w:val="nil"/>
              <w:bottom w:val="double" w:sz="6" w:space="0" w:color="auto"/>
              <w:right w:val="nil"/>
            </w:tcBorders>
            <w:shd w:val="clear" w:color="auto" w:fill="auto"/>
            <w:noWrap/>
            <w:vAlign w:val="center"/>
            <w:hideMark/>
          </w:tcPr>
          <w:p w14:paraId="6A83632D" w14:textId="10D4FC34" w:rsidR="00F47260" w:rsidRPr="00A00187" w:rsidRDefault="00F47260" w:rsidP="00E205CE">
            <w:pPr>
              <w:spacing w:line="240" w:lineRule="auto"/>
              <w:jc w:val="center"/>
              <w:rPr>
                <w:rFonts w:eastAsia="Times New Roman"/>
                <w:b/>
                <w:bCs/>
                <w:sz w:val="20"/>
                <w:szCs w:val="20"/>
                <w:lang w:eastAsia="cs-CZ"/>
              </w:rPr>
            </w:pPr>
            <w:r w:rsidRPr="00A00187">
              <w:rPr>
                <w:rFonts w:eastAsia="Times New Roman"/>
                <w:b/>
                <w:bCs/>
                <w:sz w:val="20"/>
                <w:szCs w:val="20"/>
                <w:lang w:eastAsia="cs-CZ"/>
              </w:rPr>
              <w:t>-21</w:t>
            </w:r>
            <w:r w:rsidR="00CB570A">
              <w:rPr>
                <w:rFonts w:eastAsia="Times New Roman"/>
                <w:b/>
                <w:bCs/>
                <w:sz w:val="20"/>
                <w:szCs w:val="20"/>
                <w:lang w:eastAsia="cs-CZ"/>
              </w:rPr>
              <w:t> %</w:t>
            </w:r>
          </w:p>
        </w:tc>
      </w:tr>
      <w:tr w:rsidR="00AC1E67" w:rsidRPr="00A00187" w14:paraId="6B567D35" w14:textId="77777777" w:rsidTr="00F47260">
        <w:trPr>
          <w:trHeight w:val="330"/>
        </w:trPr>
        <w:tc>
          <w:tcPr>
            <w:tcW w:w="2036" w:type="dxa"/>
            <w:tcBorders>
              <w:top w:val="nil"/>
              <w:left w:val="nil"/>
              <w:bottom w:val="nil"/>
              <w:right w:val="nil"/>
            </w:tcBorders>
            <w:shd w:val="clear" w:color="auto" w:fill="auto"/>
            <w:noWrap/>
            <w:vAlign w:val="bottom"/>
            <w:hideMark/>
          </w:tcPr>
          <w:p w14:paraId="5CECFD77" w14:textId="77777777" w:rsidR="00F47260" w:rsidRPr="00A00187" w:rsidRDefault="00F47260" w:rsidP="00F47260">
            <w:pPr>
              <w:spacing w:line="240" w:lineRule="auto"/>
              <w:jc w:val="center"/>
              <w:rPr>
                <w:rFonts w:eastAsia="Times New Roman"/>
                <w:b/>
                <w:bCs/>
                <w:sz w:val="20"/>
                <w:szCs w:val="20"/>
                <w:lang w:eastAsia="cs-CZ"/>
              </w:rPr>
            </w:pPr>
          </w:p>
        </w:tc>
        <w:tc>
          <w:tcPr>
            <w:tcW w:w="1016" w:type="dxa"/>
            <w:tcBorders>
              <w:top w:val="nil"/>
              <w:left w:val="nil"/>
              <w:bottom w:val="nil"/>
              <w:right w:val="nil"/>
            </w:tcBorders>
            <w:shd w:val="clear" w:color="auto" w:fill="auto"/>
            <w:noWrap/>
            <w:vAlign w:val="bottom"/>
            <w:hideMark/>
          </w:tcPr>
          <w:p w14:paraId="0AC495AD"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949" w:type="dxa"/>
            <w:tcBorders>
              <w:top w:val="nil"/>
              <w:left w:val="nil"/>
              <w:bottom w:val="nil"/>
              <w:right w:val="nil"/>
            </w:tcBorders>
            <w:shd w:val="clear" w:color="auto" w:fill="auto"/>
            <w:noWrap/>
            <w:vAlign w:val="bottom"/>
            <w:hideMark/>
          </w:tcPr>
          <w:p w14:paraId="32AEC05A"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1046" w:type="dxa"/>
            <w:tcBorders>
              <w:top w:val="nil"/>
              <w:left w:val="nil"/>
              <w:bottom w:val="nil"/>
              <w:right w:val="nil"/>
            </w:tcBorders>
            <w:shd w:val="clear" w:color="auto" w:fill="auto"/>
            <w:noWrap/>
            <w:vAlign w:val="bottom"/>
            <w:hideMark/>
          </w:tcPr>
          <w:p w14:paraId="75160081"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949" w:type="dxa"/>
            <w:tcBorders>
              <w:top w:val="nil"/>
              <w:left w:val="nil"/>
              <w:bottom w:val="nil"/>
              <w:right w:val="nil"/>
            </w:tcBorders>
            <w:shd w:val="clear" w:color="auto" w:fill="auto"/>
            <w:noWrap/>
            <w:vAlign w:val="bottom"/>
            <w:hideMark/>
          </w:tcPr>
          <w:p w14:paraId="681E3D76"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818" w:type="dxa"/>
            <w:tcBorders>
              <w:top w:val="nil"/>
              <w:left w:val="nil"/>
              <w:bottom w:val="nil"/>
              <w:right w:val="nil"/>
            </w:tcBorders>
            <w:shd w:val="clear" w:color="auto" w:fill="auto"/>
            <w:noWrap/>
            <w:vAlign w:val="bottom"/>
            <w:hideMark/>
          </w:tcPr>
          <w:p w14:paraId="6B28C795"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c>
          <w:tcPr>
            <w:tcW w:w="939" w:type="dxa"/>
            <w:tcBorders>
              <w:top w:val="nil"/>
              <w:left w:val="nil"/>
              <w:bottom w:val="nil"/>
              <w:right w:val="nil"/>
            </w:tcBorders>
            <w:shd w:val="clear" w:color="auto" w:fill="auto"/>
            <w:noWrap/>
            <w:vAlign w:val="bottom"/>
            <w:hideMark/>
          </w:tcPr>
          <w:p w14:paraId="167D98AA" w14:textId="77777777" w:rsidR="00F47260" w:rsidRPr="00A00187" w:rsidRDefault="00F47260" w:rsidP="00F47260">
            <w:pPr>
              <w:spacing w:line="240" w:lineRule="auto"/>
              <w:jc w:val="left"/>
              <w:rPr>
                <w:rFonts w:ascii="Times New Roman" w:eastAsia="Times New Roman" w:hAnsi="Times New Roman"/>
                <w:sz w:val="20"/>
                <w:szCs w:val="20"/>
                <w:lang w:eastAsia="cs-CZ"/>
              </w:rPr>
            </w:pPr>
          </w:p>
        </w:tc>
      </w:tr>
    </w:tbl>
    <w:p w14:paraId="236A7DCA" w14:textId="2645B7D0" w:rsidR="00CB570A" w:rsidRDefault="008430BD" w:rsidP="00F47260">
      <w:bookmarkStart w:id="1124" w:name="_Toc515871290"/>
      <w:proofErr w:type="spellStart"/>
      <w:r w:rsidRPr="00A00187">
        <w:rPr>
          <w:lang w:eastAsia="cs-CZ"/>
        </w:rPr>
        <w:t>Disposition</w:t>
      </w:r>
      <w:proofErr w:type="spellEnd"/>
      <w:r w:rsidRPr="00A00187">
        <w:rPr>
          <w:lang w:eastAsia="cs-CZ"/>
        </w:rPr>
        <w:t xml:space="preserve"> </w:t>
      </w:r>
      <w:proofErr w:type="spellStart"/>
      <w:r w:rsidRPr="00A00187">
        <w:rPr>
          <w:lang w:eastAsia="cs-CZ"/>
        </w:rPr>
        <w:t>time</w:t>
      </w:r>
      <w:bookmarkEnd w:id="1124"/>
      <w:proofErr w:type="spellEnd"/>
      <w:r w:rsidRPr="00A00187">
        <w:rPr>
          <w:lang w:eastAsia="cs-CZ"/>
        </w:rPr>
        <w:t xml:space="preserve"> (dispoziční čas)</w:t>
      </w:r>
      <w:r w:rsidR="004463C5" w:rsidRPr="00A00187">
        <w:t xml:space="preserve"> </w:t>
      </w:r>
      <w:r w:rsidR="00F47260" w:rsidRPr="00A00187">
        <w:t xml:space="preserve">opět potvrzuje to, co ukazují předchozí podkapitoly. Nejdůležitějším závěrem je, že DT je z dlouhodobého hlediska nízký. Především u VS v Olomouci je pak DT značně nestabilní; zejména nárůst v roce 2016 je velmi výrazný, což plyne z dlouhodobě velmi malého počtu nevyřízených věcí. Další velký výkyv je vidět v roce 2020, ten ale plyne z výše diskutovaných důvodů. </w:t>
      </w:r>
      <w:r w:rsidR="00755920" w:rsidRPr="00A00187">
        <w:t>U</w:t>
      </w:r>
      <w:r w:rsidR="00755920">
        <w:t> </w:t>
      </w:r>
      <w:r w:rsidR="00F47260" w:rsidRPr="00A00187">
        <w:t>VS v Praze je DT v posledních letech pozoruhodně vyrovnaný.</w:t>
      </w:r>
    </w:p>
    <w:p w14:paraId="2361B2B5" w14:textId="34169DA4" w:rsidR="00273568" w:rsidRPr="00A00187" w:rsidRDefault="00273568" w:rsidP="00273568">
      <w:pPr>
        <w:pStyle w:val="Podnadpis"/>
        <w:rPr>
          <w:color w:val="auto"/>
        </w:rPr>
      </w:pPr>
      <w:bookmarkStart w:id="1125" w:name="_Toc43841471"/>
      <w:bookmarkStart w:id="1126" w:name="_Toc75952274"/>
      <w:bookmarkStart w:id="1127" w:name="_Toc106106731"/>
      <w:bookmarkStart w:id="1128" w:name="_Toc109802055"/>
      <w:r w:rsidRPr="00A00187">
        <w:rPr>
          <w:color w:val="auto"/>
        </w:rPr>
        <w:lastRenderedPageBreak/>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97</w:t>
      </w:r>
      <w:r w:rsidR="008457EB" w:rsidRPr="00A00187">
        <w:rPr>
          <w:noProof/>
          <w:color w:val="auto"/>
        </w:rPr>
        <w:fldChar w:fldCharType="end"/>
      </w:r>
      <w:r w:rsidRPr="00A00187">
        <w:rPr>
          <w:color w:val="auto"/>
        </w:rPr>
        <w:t>: VS – DT trestního odvolacího řízení v letech 2008–20</w:t>
      </w:r>
      <w:bookmarkEnd w:id="1125"/>
      <w:r w:rsidRPr="00A00187">
        <w:rPr>
          <w:color w:val="auto"/>
        </w:rPr>
        <w:t>2</w:t>
      </w:r>
      <w:bookmarkEnd w:id="1126"/>
      <w:r w:rsidRPr="00A00187">
        <w:rPr>
          <w:color w:val="auto"/>
        </w:rPr>
        <w:t>1</w:t>
      </w:r>
      <w:bookmarkEnd w:id="1127"/>
      <w:bookmarkEnd w:id="1128"/>
    </w:p>
    <w:p w14:paraId="690A3DC9" w14:textId="77777777" w:rsidR="00F47260" w:rsidRPr="00A00187" w:rsidRDefault="00273568" w:rsidP="00273568">
      <w:pPr>
        <w:pStyle w:val="Podnadpis"/>
        <w:rPr>
          <w:color w:val="auto"/>
          <w:lang w:eastAsia="cs-CZ"/>
        </w:rPr>
      </w:pPr>
      <w:r w:rsidRPr="00A00187">
        <w:rPr>
          <w:noProof/>
          <w:color w:val="auto"/>
          <w:lang w:eastAsia="cs-CZ"/>
        </w:rPr>
        <w:drawing>
          <wp:inline distT="0" distB="0" distL="0" distR="0" wp14:anchorId="7550D7A1" wp14:editId="07B0B03A">
            <wp:extent cx="5025390" cy="3657600"/>
            <wp:effectExtent l="0" t="0" r="3810" b="0"/>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7AC6F92" w14:textId="77777777" w:rsidR="00F47260" w:rsidRPr="00A00187" w:rsidRDefault="00F47260" w:rsidP="00273568">
      <w:pPr>
        <w:pStyle w:val="Podnadpis"/>
        <w:rPr>
          <w:color w:val="auto"/>
          <w:lang w:eastAsia="cs-CZ"/>
        </w:rPr>
      </w:pPr>
    </w:p>
    <w:p w14:paraId="5D412F25" w14:textId="2656C5F0" w:rsidR="00F47260" w:rsidRPr="00A00187" w:rsidRDefault="00F47260" w:rsidP="00F47260">
      <w:pPr>
        <w:pStyle w:val="OdstavecASR"/>
      </w:pPr>
      <w:r w:rsidRPr="00A00187">
        <w:t>Situaci v této agendě lze shrnout tak, že ani jeden ze soudů dlouhodobě nevykazuje problém s jejím vyřizováním a oba soudy ji vyřizují přibližně stejně rychle. V některých ukazatelích vykazovala lepší výsledky Praha, v jiných Olomouc. Data v některých obdobích vykazují určité výkyvy, které jsou způsobeny tím, že počet pozorování (např. počet pravomocně skončených věcí) je malý.</w:t>
      </w:r>
    </w:p>
    <w:p w14:paraId="6B787415" w14:textId="48F12F32" w:rsidR="007879E7" w:rsidRPr="00A00187" w:rsidRDefault="007879E7" w:rsidP="00273568">
      <w:pPr>
        <w:pStyle w:val="Podnadpis"/>
        <w:rPr>
          <w:bCs/>
          <w:color w:val="auto"/>
          <w:lang w:eastAsia="cs-CZ"/>
        </w:rPr>
      </w:pPr>
      <w:r w:rsidRPr="00A00187">
        <w:rPr>
          <w:color w:val="auto"/>
          <w:lang w:eastAsia="cs-CZ"/>
        </w:rPr>
        <w:br w:type="page"/>
      </w:r>
    </w:p>
    <w:p w14:paraId="47BF655B" w14:textId="133A27FA" w:rsidR="008430BD" w:rsidRPr="00A00187" w:rsidRDefault="008430BD" w:rsidP="008430BD">
      <w:pPr>
        <w:pStyle w:val="Nadpis2"/>
        <w:numPr>
          <w:ilvl w:val="1"/>
          <w:numId w:val="1"/>
        </w:numPr>
        <w:spacing w:before="120"/>
        <w:rPr>
          <w:color w:val="auto"/>
        </w:rPr>
      </w:pPr>
      <w:bookmarkStart w:id="1129" w:name="_Toc106092802"/>
      <w:bookmarkStart w:id="1130" w:name="_Toc487791293"/>
      <w:bookmarkStart w:id="1131" w:name="_Toc515871291"/>
      <w:bookmarkStart w:id="1132" w:name="_Toc109801413"/>
      <w:r w:rsidRPr="00A00187">
        <w:rPr>
          <w:color w:val="auto"/>
        </w:rPr>
        <w:lastRenderedPageBreak/>
        <w:t xml:space="preserve">Insolvenční agenda – II. </w:t>
      </w:r>
      <w:bookmarkEnd w:id="1129"/>
      <w:r w:rsidR="008F2BCF" w:rsidRPr="00A00187">
        <w:rPr>
          <w:color w:val="auto"/>
        </w:rPr>
        <w:t>s</w:t>
      </w:r>
      <w:r w:rsidRPr="00A00187">
        <w:rPr>
          <w:color w:val="auto"/>
        </w:rPr>
        <w:t>tupeň</w:t>
      </w:r>
      <w:bookmarkEnd w:id="1130"/>
      <w:bookmarkEnd w:id="1131"/>
      <w:bookmarkEnd w:id="1132"/>
    </w:p>
    <w:p w14:paraId="19C580BD" w14:textId="7C754027" w:rsidR="00F47260" w:rsidRPr="00A00187" w:rsidRDefault="00F47260" w:rsidP="00F47260">
      <w:pPr>
        <w:pStyle w:val="OdstavecASR"/>
      </w:pPr>
      <w:r w:rsidRPr="00A00187">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w:t>
      </w:r>
      <w:r w:rsidRPr="004362DC">
        <w:t>. V insolvenční agendě nejsou k dispozici délky řízení</w:t>
      </w:r>
      <w:r w:rsidR="009B2FE0" w:rsidRPr="004362DC">
        <w:rPr>
          <w:rStyle w:val="Znakapoznpodarou"/>
        </w:rPr>
        <w:footnoteReference w:id="13"/>
      </w:r>
      <w:r w:rsidRPr="004362DC">
        <w:t xml:space="preserve"> a nelze ani provést přepočet na jednoho soudce</w:t>
      </w:r>
      <w:r w:rsidR="00FB42E4" w:rsidRPr="004362DC">
        <w:rPr>
          <w:rStyle w:val="Znakapoznpodarou"/>
        </w:rPr>
        <w:footnoteReference w:id="14"/>
      </w:r>
      <w:r w:rsidRPr="004362DC">
        <w:t>.</w:t>
      </w:r>
    </w:p>
    <w:p w14:paraId="601641D6" w14:textId="63D1A824" w:rsidR="008430BD" w:rsidRPr="00A00187" w:rsidRDefault="008430BD" w:rsidP="008430BD">
      <w:pPr>
        <w:pStyle w:val="Nadpis3"/>
        <w:numPr>
          <w:ilvl w:val="2"/>
          <w:numId w:val="1"/>
        </w:numPr>
        <w:rPr>
          <w:color w:val="auto"/>
          <w:lang w:eastAsia="cs-CZ"/>
        </w:rPr>
      </w:pPr>
      <w:bookmarkStart w:id="1133" w:name="_Toc515871292"/>
      <w:bookmarkStart w:id="1134" w:name="_Toc106092803"/>
      <w:bookmarkStart w:id="1135" w:name="_Toc109801414"/>
      <w:r w:rsidRPr="00A00187">
        <w:rPr>
          <w:color w:val="auto"/>
          <w:lang w:eastAsia="cs-CZ"/>
        </w:rPr>
        <w:t>Vyřizování věcí</w:t>
      </w:r>
      <w:bookmarkEnd w:id="1133"/>
      <w:bookmarkEnd w:id="1134"/>
      <w:bookmarkEnd w:id="1135"/>
    </w:p>
    <w:p w14:paraId="2C12F8B6" w14:textId="642EC5B3" w:rsidR="00770300" w:rsidRPr="00A00187" w:rsidRDefault="00770300" w:rsidP="00770300">
      <w:pPr>
        <w:pStyle w:val="OdstavecASR"/>
      </w:pPr>
      <w:r w:rsidRPr="00A00187">
        <w:t xml:space="preserve">Z grafu je patrný velký nárůst v nápadu i počtu vyřízených a nevyřízených věcí do roku 2014 a zcela opačný trend od </w:t>
      </w:r>
      <w:r w:rsidR="00D304BC" w:rsidRPr="00A00187">
        <w:t xml:space="preserve">let </w:t>
      </w:r>
      <w:r w:rsidRPr="00A00187">
        <w:t xml:space="preserve">2015 </w:t>
      </w:r>
      <w:r w:rsidR="00755920" w:rsidRPr="00A00187">
        <w:t>a</w:t>
      </w:r>
      <w:r w:rsidR="00755920">
        <w:t> </w:t>
      </w:r>
      <w:r w:rsidRPr="00A00187">
        <w:t xml:space="preserve">2016 až do roku 2020. Důvody jsou stejné jako v případě insolvenční agendy u prvostupňových soudů, tedy skutečnost, že rejstřík vznikl v roce 2008 a logicky trvá několik let, než se nápad ustálí. U odvolání dojde ke stabilizaci s určitým zpožděním oproti prvostupňové agendě. U VS </w:t>
      </w:r>
      <w:r w:rsidR="00755920" w:rsidRPr="00A00187">
        <w:t>v</w:t>
      </w:r>
      <w:r w:rsidR="00755920">
        <w:t> </w:t>
      </w:r>
      <w:r w:rsidRPr="00A00187">
        <w:t>Pra</w:t>
      </w:r>
      <w:r w:rsidR="004E04AD" w:rsidRPr="00A00187">
        <w:t>ze</w:t>
      </w:r>
      <w:r w:rsidRPr="00A00187">
        <w:t xml:space="preserve"> začal nápad klesat v roce 2015, u VS </w:t>
      </w:r>
      <w:r w:rsidR="00755920" w:rsidRPr="00A00187">
        <w:t>v</w:t>
      </w:r>
      <w:r w:rsidR="00755920">
        <w:t> </w:t>
      </w:r>
      <w:r w:rsidRPr="00A00187">
        <w:t>Olomouc</w:t>
      </w:r>
      <w:r w:rsidR="004E04AD" w:rsidRPr="00A00187">
        <w:t>i</w:t>
      </w:r>
      <w:r w:rsidRPr="00A00187">
        <w:t xml:space="preserve"> došlo k poklesu až v roce 2017. Je třeba poznamenat, že pokles v počtu příchozích věcí v letech 2017 a 2018 je opravdu vysoký. Počet příchozích věcí v roce 2018 byl u VS v Praze ve srovnání s rokem 2016 o 24</w:t>
      </w:r>
      <w:r w:rsidR="00CB570A">
        <w:t> %</w:t>
      </w:r>
      <w:r w:rsidRPr="00A00187">
        <w:t xml:space="preserve"> nižší, u VS v Olomouci </w:t>
      </w:r>
      <w:r w:rsidR="00D304BC" w:rsidRPr="00A00187">
        <w:t xml:space="preserve">pak </w:t>
      </w:r>
      <w:r w:rsidRPr="00A00187">
        <w:t>dokonce o 47</w:t>
      </w:r>
      <w:r w:rsidR="00CB570A">
        <w:t> %</w:t>
      </w:r>
      <w:r w:rsidRPr="00A00187">
        <w:t>. V roce 2019 počet příchozích věcí stagnoval a byl nižší než počet věcí vyřízených. U obou soudů tedy došlo k poklesu v počtu nevyřízených věcí. V roce 2020 pozorujeme u obou soudů nemalý pokles poč</w:t>
      </w:r>
      <w:r w:rsidR="004E04AD" w:rsidRPr="00A00187">
        <w:t>tu</w:t>
      </w:r>
      <w:r w:rsidRPr="00A00187">
        <w:t xml:space="preserve"> příchozích, a tedy i vyřízených věcí. Ten plyne z poklesu v počtu prvostupňových věcí. V roce 2021 </w:t>
      </w:r>
      <w:r w:rsidR="00311BB6" w:rsidRPr="00A00187">
        <w:t xml:space="preserve">počet příchozích </w:t>
      </w:r>
      <w:r w:rsidR="00755920" w:rsidRPr="00A00187">
        <w:t>i</w:t>
      </w:r>
      <w:r w:rsidR="00755920">
        <w:t> </w:t>
      </w:r>
      <w:r w:rsidR="00311BB6" w:rsidRPr="00A00187">
        <w:t xml:space="preserve">vyřízených věcí </w:t>
      </w:r>
      <w:r w:rsidR="00755920" w:rsidRPr="00A00187">
        <w:t>u</w:t>
      </w:r>
      <w:r w:rsidR="00755920">
        <w:t> </w:t>
      </w:r>
      <w:r w:rsidR="00311BB6" w:rsidRPr="00A00187">
        <w:t xml:space="preserve">VS v Olomouci stagnoval. Počet nevyřízených věcí vzrostl téměř na dvojnásobek, ale v absolutních číslech se jedná </w:t>
      </w:r>
      <w:r w:rsidR="00D304BC" w:rsidRPr="00A00187">
        <w:t>pouze</w:t>
      </w:r>
      <w:r w:rsidR="00311BB6" w:rsidRPr="00A00187">
        <w:t xml:space="preserve"> </w:t>
      </w:r>
      <w:r w:rsidR="00755920" w:rsidRPr="00A00187">
        <w:t>o</w:t>
      </w:r>
      <w:r w:rsidR="00755920">
        <w:t> </w:t>
      </w:r>
      <w:r w:rsidR="00D304BC" w:rsidRPr="00A00187">
        <w:t xml:space="preserve">necelých </w:t>
      </w:r>
      <w:r w:rsidR="00311BB6" w:rsidRPr="00A00187">
        <w:t xml:space="preserve">50 věcí. </w:t>
      </w:r>
      <w:r w:rsidR="00755920" w:rsidRPr="00A00187">
        <w:t>U</w:t>
      </w:r>
      <w:r w:rsidR="00755920">
        <w:t> </w:t>
      </w:r>
      <w:r w:rsidR="00311BB6" w:rsidRPr="00A00187">
        <w:t xml:space="preserve">VS v Praze je vidět, že počet příchozích </w:t>
      </w:r>
      <w:r w:rsidR="00755920" w:rsidRPr="00A00187">
        <w:t>i</w:t>
      </w:r>
      <w:r w:rsidR="00755920">
        <w:t> </w:t>
      </w:r>
      <w:r w:rsidR="00311BB6" w:rsidRPr="00A00187">
        <w:t>vyřízených věcí se vrátil na úroveň roku 2019.</w:t>
      </w:r>
    </w:p>
    <w:p w14:paraId="59EE2ABA" w14:textId="7347372B" w:rsidR="00273568" w:rsidRPr="00A00187" w:rsidRDefault="00273568" w:rsidP="00273568">
      <w:pPr>
        <w:pStyle w:val="Podnadpis"/>
        <w:numPr>
          <w:ilvl w:val="0"/>
          <w:numId w:val="0"/>
        </w:numPr>
        <w:rPr>
          <w:color w:val="auto"/>
        </w:rPr>
      </w:pPr>
      <w:bookmarkStart w:id="1136" w:name="_Ref43837240"/>
      <w:bookmarkStart w:id="1137" w:name="_Ref43837233"/>
      <w:bookmarkStart w:id="1138" w:name="_Toc43841472"/>
      <w:bookmarkStart w:id="1139" w:name="_Toc75952275"/>
      <w:bookmarkStart w:id="1140" w:name="_Toc106106732"/>
      <w:bookmarkStart w:id="1141" w:name="_Toc109802056"/>
      <w:r w:rsidRPr="00A00187">
        <w:rPr>
          <w:color w:val="auto"/>
        </w:rPr>
        <w:lastRenderedPageBreak/>
        <w:t xml:space="preserve">Graf </w:t>
      </w:r>
      <w:r w:rsidRPr="00A00187">
        <w:rPr>
          <w:color w:val="auto"/>
        </w:rPr>
        <w:fldChar w:fldCharType="begin"/>
      </w:r>
      <w:r w:rsidRPr="00A00187">
        <w:rPr>
          <w:noProof/>
          <w:color w:val="auto"/>
        </w:rPr>
        <w:instrText xml:space="preserve"> SEQ Graf \* ARABIC </w:instrText>
      </w:r>
      <w:r w:rsidRPr="00A00187">
        <w:rPr>
          <w:color w:val="auto"/>
        </w:rPr>
        <w:fldChar w:fldCharType="separate"/>
      </w:r>
      <w:r w:rsidR="00DE6B5E">
        <w:rPr>
          <w:noProof/>
          <w:color w:val="auto"/>
        </w:rPr>
        <w:t>98</w:t>
      </w:r>
      <w:r w:rsidRPr="00A00187">
        <w:rPr>
          <w:color w:val="auto"/>
        </w:rPr>
        <w:fldChar w:fldCharType="end"/>
      </w:r>
      <w:bookmarkEnd w:id="1136"/>
      <w:r w:rsidRPr="00A00187">
        <w:rPr>
          <w:color w:val="auto"/>
        </w:rPr>
        <w:t>: VS – vyřizování insolvenční agendy v letech 2010–20</w:t>
      </w:r>
      <w:bookmarkEnd w:id="1137"/>
      <w:bookmarkEnd w:id="1138"/>
      <w:r w:rsidRPr="00A00187">
        <w:rPr>
          <w:color w:val="auto"/>
        </w:rPr>
        <w:t>2</w:t>
      </w:r>
      <w:bookmarkEnd w:id="1139"/>
      <w:r w:rsidRPr="00A00187">
        <w:rPr>
          <w:color w:val="auto"/>
        </w:rPr>
        <w:t>1</w:t>
      </w:r>
      <w:bookmarkEnd w:id="1140"/>
      <w:bookmarkEnd w:id="1141"/>
    </w:p>
    <w:p w14:paraId="36D558FF" w14:textId="7EAD5365" w:rsidR="00273568" w:rsidRPr="00A00187" w:rsidRDefault="00273568" w:rsidP="00273568">
      <w:pPr>
        <w:rPr>
          <w:lang w:eastAsia="cs-CZ"/>
        </w:rPr>
      </w:pPr>
      <w:r w:rsidRPr="00A00187">
        <w:rPr>
          <w:noProof/>
          <w:lang w:eastAsia="cs-CZ"/>
        </w:rPr>
        <w:drawing>
          <wp:inline distT="0" distB="0" distL="0" distR="0" wp14:anchorId="4E0A66C6" wp14:editId="42156B06">
            <wp:extent cx="5025390" cy="3657600"/>
            <wp:effectExtent l="0" t="0" r="3810" b="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A653CEE" w14:textId="77777777" w:rsidR="00273568" w:rsidRPr="00A00187" w:rsidRDefault="00273568" w:rsidP="00273568">
      <w:pPr>
        <w:rPr>
          <w:lang w:eastAsia="cs-CZ"/>
        </w:rPr>
      </w:pPr>
    </w:p>
    <w:p w14:paraId="08E223A8" w14:textId="5B92C49F" w:rsidR="007879E7" w:rsidRPr="00A00187" w:rsidRDefault="008430BD" w:rsidP="008430BD">
      <w:pPr>
        <w:pStyle w:val="Nadpis3"/>
        <w:numPr>
          <w:ilvl w:val="2"/>
          <w:numId w:val="1"/>
        </w:numPr>
        <w:rPr>
          <w:color w:val="auto"/>
          <w:lang w:eastAsia="cs-CZ"/>
        </w:rPr>
      </w:pPr>
      <w:bookmarkStart w:id="1142" w:name="_Toc515871293"/>
      <w:bookmarkStart w:id="1143" w:name="_Toc106092804"/>
      <w:bookmarkStart w:id="1144" w:name="_Toc109801415"/>
      <w:proofErr w:type="spellStart"/>
      <w:r w:rsidRPr="00A00187">
        <w:rPr>
          <w:color w:val="auto"/>
          <w:lang w:eastAsia="cs-CZ"/>
        </w:rPr>
        <w:t>Disposition</w:t>
      </w:r>
      <w:proofErr w:type="spellEnd"/>
      <w:r w:rsidRPr="00A00187">
        <w:rPr>
          <w:color w:val="auto"/>
          <w:lang w:eastAsia="cs-CZ"/>
        </w:rPr>
        <w:t xml:space="preserve"> </w:t>
      </w:r>
      <w:proofErr w:type="spellStart"/>
      <w:r w:rsidRPr="00A00187">
        <w:rPr>
          <w:color w:val="auto"/>
          <w:lang w:eastAsia="cs-CZ"/>
        </w:rPr>
        <w:t>time</w:t>
      </w:r>
      <w:bookmarkEnd w:id="1142"/>
      <w:proofErr w:type="spellEnd"/>
      <w:r w:rsidRPr="00A00187">
        <w:rPr>
          <w:color w:val="auto"/>
          <w:lang w:eastAsia="cs-CZ"/>
        </w:rPr>
        <w:t xml:space="preserve"> (dispoziční čas)</w:t>
      </w:r>
      <w:bookmarkEnd w:id="1143"/>
      <w:bookmarkEnd w:id="1144"/>
    </w:p>
    <w:p w14:paraId="1619A693" w14:textId="19AA934F" w:rsidR="00273568" w:rsidRPr="00A00187" w:rsidRDefault="00273568" w:rsidP="00273568">
      <w:pPr>
        <w:pStyle w:val="Podnadpis"/>
        <w:numPr>
          <w:ilvl w:val="0"/>
          <w:numId w:val="0"/>
        </w:numPr>
        <w:rPr>
          <w:color w:val="auto"/>
        </w:rPr>
      </w:pPr>
      <w:bookmarkStart w:id="1145" w:name="_Toc515871420"/>
      <w:bookmarkStart w:id="1146" w:name="_Toc11135151"/>
      <w:bookmarkStart w:id="1147" w:name="_Toc43841473"/>
      <w:bookmarkStart w:id="1148" w:name="_Toc75952276"/>
      <w:bookmarkStart w:id="1149" w:name="_Toc106106733"/>
      <w:bookmarkStart w:id="1150" w:name="_Toc109802057"/>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99</w:t>
      </w:r>
      <w:r w:rsidRPr="00A00187">
        <w:rPr>
          <w:color w:val="auto"/>
        </w:rPr>
        <w:fldChar w:fldCharType="end"/>
      </w:r>
      <w:r w:rsidRPr="00A00187">
        <w:rPr>
          <w:color w:val="auto"/>
        </w:rPr>
        <w:t>: VS – DT v insolvenční agendě v letech 2010–20</w:t>
      </w:r>
      <w:bookmarkEnd w:id="1145"/>
      <w:bookmarkEnd w:id="1146"/>
      <w:bookmarkEnd w:id="1147"/>
      <w:r w:rsidRPr="00A00187">
        <w:rPr>
          <w:color w:val="auto"/>
        </w:rPr>
        <w:t>2</w:t>
      </w:r>
      <w:bookmarkEnd w:id="1148"/>
      <w:r w:rsidRPr="00A00187">
        <w:rPr>
          <w:color w:val="auto"/>
        </w:rPr>
        <w:t>1</w:t>
      </w:r>
      <w:bookmarkEnd w:id="1149"/>
      <w:bookmarkEnd w:id="1150"/>
    </w:p>
    <w:p w14:paraId="4623BE3B" w14:textId="65C6BDFA" w:rsidR="00273568" w:rsidRPr="00A00187" w:rsidRDefault="00631BE7" w:rsidP="00273568">
      <w:r w:rsidRPr="00A00187">
        <w:rPr>
          <w:noProof/>
        </w:rPr>
        <w:drawing>
          <wp:inline distT="0" distB="0" distL="0" distR="0" wp14:anchorId="47E23D86" wp14:editId="6A554F0E">
            <wp:extent cx="5025390" cy="3657600"/>
            <wp:effectExtent l="0" t="0" r="3810" b="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2CA41E8D" w14:textId="37C50EB4" w:rsidR="00CB570A" w:rsidRDefault="00311BB6" w:rsidP="00311BB6">
      <w:pPr>
        <w:pStyle w:val="OdstavecASR"/>
      </w:pPr>
      <w:r w:rsidRPr="00A00187">
        <w:t xml:space="preserve">Z dat </w:t>
      </w:r>
      <w:r w:rsidR="00D304BC" w:rsidRPr="00A00187">
        <w:t>je</w:t>
      </w:r>
      <w:r w:rsidRPr="00A00187">
        <w:t xml:space="preserve"> patrný zřetelný klesající trend u VS v Praze. Zejména v letech 2016 a 2017 došlo k obzvláště významnému poklesu vyplývajícímu z výše popsaných změn v počtu nevyřízených </w:t>
      </w:r>
      <w:r w:rsidRPr="00A00187">
        <w:lastRenderedPageBreak/>
        <w:t xml:space="preserve">věcí. U VS v Olomouci došlo také k obrovskému poklesu v DT. Pokles v obou případech plyne z poklesu v počtu nevyřízených věcí a ten zase plyne především ze snížení nápadu. Vzhledem k poměrně velkým změnám v počtu vyřízených a nevyřízených věcí je DT v této agendě proměnlivý. Ačkoliv není pro tuto agendu k dispozici mnoho dat, můžeme dojít k závěru, že z dlouhodobého (statistického) hlediska je vyřizování věcí pro oba soudy bezproblémové, </w:t>
      </w:r>
      <w:r w:rsidR="00755920" w:rsidRPr="00A00187">
        <w:t>a</w:t>
      </w:r>
      <w:r w:rsidR="00755920">
        <w:t> </w:t>
      </w:r>
      <w:r w:rsidRPr="00A00187">
        <w:t xml:space="preserve">to </w:t>
      </w:r>
      <w:r w:rsidR="00D304BC" w:rsidRPr="00A00187">
        <w:t>i </w:t>
      </w:r>
      <w:r w:rsidRPr="00A00187">
        <w:t>díky</w:t>
      </w:r>
      <w:r w:rsidR="0090629B" w:rsidRPr="00A00187">
        <w:t xml:space="preserve"> výraznému</w:t>
      </w:r>
      <w:r w:rsidRPr="00A00187">
        <w:t xml:space="preserve"> poklesu v počtu příchozích věcí </w:t>
      </w:r>
      <w:r w:rsidR="0090629B" w:rsidRPr="00A00187">
        <w:t xml:space="preserve">v letech 2017 </w:t>
      </w:r>
      <w:r w:rsidR="00755920" w:rsidRPr="00A00187">
        <w:t>a</w:t>
      </w:r>
      <w:r w:rsidR="00755920">
        <w:t> </w:t>
      </w:r>
      <w:r w:rsidR="0090629B" w:rsidRPr="00A00187">
        <w:t xml:space="preserve">2018. DT </w:t>
      </w:r>
      <w:r w:rsidR="00755920" w:rsidRPr="00A00187">
        <w:t>u</w:t>
      </w:r>
      <w:r w:rsidR="00755920">
        <w:t> </w:t>
      </w:r>
      <w:r w:rsidR="0090629B" w:rsidRPr="00A00187">
        <w:t>VS v Olomouc</w:t>
      </w:r>
      <w:r w:rsidR="00D304BC" w:rsidRPr="00A00187">
        <w:t>i</w:t>
      </w:r>
      <w:r w:rsidR="0090629B" w:rsidRPr="00A00187">
        <w:t xml:space="preserve"> narostl </w:t>
      </w:r>
      <w:r w:rsidR="00D304BC" w:rsidRPr="00A00187">
        <w:t xml:space="preserve">v důsledku </w:t>
      </w:r>
      <w:r w:rsidR="0090629B" w:rsidRPr="00A00187">
        <w:t xml:space="preserve">výše zmíněné </w:t>
      </w:r>
      <w:r w:rsidR="00755920" w:rsidRPr="00A00187">
        <w:t>v</w:t>
      </w:r>
      <w:r w:rsidR="00755920">
        <w:t> </w:t>
      </w:r>
      <w:r w:rsidR="00D304BC" w:rsidRPr="00A00187">
        <w:t xml:space="preserve">absolutních číslech nevýznamné </w:t>
      </w:r>
      <w:r w:rsidR="0090629B" w:rsidRPr="00A00187">
        <w:t>změn</w:t>
      </w:r>
      <w:r w:rsidR="00D304BC" w:rsidRPr="00A00187">
        <w:t>y</w:t>
      </w:r>
      <w:r w:rsidR="0090629B" w:rsidRPr="00A00187">
        <w:t xml:space="preserve"> v počtu nevyřízených věcí </w:t>
      </w:r>
      <w:r w:rsidR="00755920" w:rsidRPr="00A00187">
        <w:t>a</w:t>
      </w:r>
      <w:r w:rsidR="00755920">
        <w:t> </w:t>
      </w:r>
      <w:r w:rsidR="0090629B" w:rsidRPr="00A00187">
        <w:t>nelze ho tedy považovat za projev problémů s vyřizováním agendy.</w:t>
      </w:r>
    </w:p>
    <w:p w14:paraId="641626E9" w14:textId="442077E3" w:rsidR="00311BB6" w:rsidRPr="00A00187" w:rsidRDefault="00311BB6" w:rsidP="00311BB6">
      <w:pPr>
        <w:spacing w:line="240" w:lineRule="auto"/>
        <w:jc w:val="left"/>
      </w:pPr>
      <w:r w:rsidRPr="00A00187">
        <w:br w:type="page"/>
      </w:r>
    </w:p>
    <w:p w14:paraId="7E117B30" w14:textId="2A520C9F" w:rsidR="008430BD" w:rsidRPr="00A00187" w:rsidRDefault="008430BD" w:rsidP="008430BD">
      <w:pPr>
        <w:pStyle w:val="Nadpis2"/>
        <w:numPr>
          <w:ilvl w:val="1"/>
          <w:numId w:val="1"/>
        </w:numPr>
        <w:spacing w:before="120"/>
        <w:rPr>
          <w:color w:val="auto"/>
        </w:rPr>
      </w:pPr>
      <w:bookmarkStart w:id="1151" w:name="_Toc106092805"/>
      <w:bookmarkStart w:id="1152" w:name="_Toc109801416"/>
      <w:r w:rsidRPr="00A00187">
        <w:rPr>
          <w:color w:val="auto"/>
        </w:rPr>
        <w:lastRenderedPageBreak/>
        <w:t xml:space="preserve">Incidenční spory – II. </w:t>
      </w:r>
      <w:r w:rsidR="00296758">
        <w:rPr>
          <w:color w:val="auto"/>
        </w:rPr>
        <w:t>s</w:t>
      </w:r>
      <w:r w:rsidRPr="00A00187">
        <w:rPr>
          <w:color w:val="auto"/>
        </w:rPr>
        <w:t>tupeň</w:t>
      </w:r>
      <w:bookmarkEnd w:id="1151"/>
      <w:bookmarkEnd w:id="1152"/>
    </w:p>
    <w:p w14:paraId="1B813DA8" w14:textId="77777777" w:rsidR="0090629B" w:rsidRPr="00A00187" w:rsidRDefault="0090629B" w:rsidP="0090629B">
      <w:r w:rsidRPr="00A00187">
        <w:t>Stejně jako ve většině ostatních agend i v incidenčních sporech je možné podat odvolání. Prvostupňovou agendu vyřizují krajské soudy a odvolací (druhostupňová) agenda tedy napadá na soudy vrchní.</w:t>
      </w:r>
    </w:p>
    <w:p w14:paraId="48271918" w14:textId="77777777" w:rsidR="0090629B" w:rsidRPr="00A00187" w:rsidRDefault="0090629B" w:rsidP="0090629B">
      <w:r w:rsidRPr="00A00187">
        <w:t>Délku řízení je možné zjistit ze statistických listů civilních a vyřizování věcí je opět možno zjistit z výkazů. U této agendy tedy budeme zkoumat délky řízení, vyřizování věcí a </w:t>
      </w:r>
      <w:proofErr w:type="spellStart"/>
      <w:r w:rsidRPr="00A00187">
        <w:t>disposition</w:t>
      </w:r>
      <w:proofErr w:type="spellEnd"/>
      <w:r w:rsidRPr="00A00187">
        <w:t xml:space="preserve"> </w:t>
      </w:r>
      <w:proofErr w:type="spellStart"/>
      <w:r w:rsidRPr="00A00187">
        <w:t>time</w:t>
      </w:r>
      <w:proofErr w:type="spellEnd"/>
      <w:r w:rsidRPr="00A00187">
        <w:t>.</w:t>
      </w:r>
    </w:p>
    <w:p w14:paraId="736FC104" w14:textId="77777777" w:rsidR="008430BD" w:rsidRPr="00A00187" w:rsidRDefault="008430BD" w:rsidP="008430BD">
      <w:pPr>
        <w:pStyle w:val="Nadpis3"/>
        <w:numPr>
          <w:ilvl w:val="2"/>
          <w:numId w:val="1"/>
        </w:numPr>
        <w:rPr>
          <w:color w:val="auto"/>
        </w:rPr>
      </w:pPr>
      <w:bookmarkStart w:id="1153" w:name="_Toc43903107"/>
      <w:bookmarkStart w:id="1154" w:name="_Toc106092806"/>
      <w:bookmarkStart w:id="1155" w:name="_Toc109801417"/>
      <w:r w:rsidRPr="00A00187">
        <w:rPr>
          <w:color w:val="auto"/>
        </w:rPr>
        <w:t>Délka řízení</w:t>
      </w:r>
      <w:bookmarkEnd w:id="1153"/>
      <w:bookmarkEnd w:id="1154"/>
      <w:bookmarkEnd w:id="1155"/>
    </w:p>
    <w:p w14:paraId="68B9FCE8" w14:textId="77777777" w:rsidR="0090629B" w:rsidRPr="00A00187" w:rsidRDefault="0090629B" w:rsidP="0090629B">
      <w:pPr>
        <w:pStyle w:val="OdstavecASR"/>
      </w:pPr>
      <w:r w:rsidRPr="00A00187">
        <w:t>Jde o délku řízení v kalendářních dnech ode dne nápadu u odvolacího soudu do dne vyřízení věci odvolacím soudem.</w:t>
      </w:r>
    </w:p>
    <w:p w14:paraId="4228373C" w14:textId="0FA9F31A" w:rsidR="0090629B" w:rsidRPr="00A00187" w:rsidRDefault="0090629B" w:rsidP="0090629B">
      <w:pPr>
        <w:pStyle w:val="Podnadpis"/>
        <w:numPr>
          <w:ilvl w:val="0"/>
          <w:numId w:val="0"/>
        </w:numPr>
        <w:rPr>
          <w:color w:val="auto"/>
        </w:rPr>
      </w:pPr>
      <w:bookmarkStart w:id="1156" w:name="_Toc43841474"/>
      <w:bookmarkStart w:id="1157" w:name="_Toc75952277"/>
      <w:bookmarkStart w:id="1158" w:name="_Toc106106734"/>
      <w:bookmarkStart w:id="1159" w:name="_Toc10980205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100</w:t>
      </w:r>
      <w:r w:rsidRPr="00A00187">
        <w:rPr>
          <w:color w:val="auto"/>
        </w:rPr>
        <w:fldChar w:fldCharType="end"/>
      </w:r>
      <w:r w:rsidRPr="00A00187">
        <w:rPr>
          <w:color w:val="auto"/>
        </w:rPr>
        <w:t>: VS – délka odvolacího řízení incidenčních sporů v letech 2011–20</w:t>
      </w:r>
      <w:bookmarkEnd w:id="1156"/>
      <w:r w:rsidRPr="00A00187">
        <w:rPr>
          <w:color w:val="auto"/>
        </w:rPr>
        <w:t>2</w:t>
      </w:r>
      <w:bookmarkEnd w:id="1157"/>
      <w:r w:rsidRPr="00A00187">
        <w:rPr>
          <w:color w:val="auto"/>
        </w:rPr>
        <w:t>1</w:t>
      </w:r>
      <w:bookmarkEnd w:id="1158"/>
      <w:bookmarkEnd w:id="1159"/>
    </w:p>
    <w:p w14:paraId="7DBED23A" w14:textId="6F613B7B" w:rsidR="008430BD" w:rsidRPr="00A00187" w:rsidRDefault="001200BB" w:rsidP="008430BD">
      <w:r w:rsidRPr="00A00187">
        <w:rPr>
          <w:noProof/>
        </w:rPr>
        <w:drawing>
          <wp:inline distT="0" distB="0" distL="0" distR="0" wp14:anchorId="43D51D1B" wp14:editId="153AF813">
            <wp:extent cx="5029200" cy="3657600"/>
            <wp:effectExtent l="0" t="0" r="0" b="0"/>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033C0F8" w14:textId="57D8730B" w:rsidR="001200BB" w:rsidRPr="00A00187" w:rsidRDefault="001200BB" w:rsidP="008430BD"/>
    <w:p w14:paraId="25C2450A" w14:textId="3E21C0A5" w:rsidR="001200BB" w:rsidRPr="00A00187" w:rsidRDefault="001200BB" w:rsidP="008430BD">
      <w:r w:rsidRPr="00A00187">
        <w:t>Z grafu lze vyčíst například následující:</w:t>
      </w:r>
    </w:p>
    <w:p w14:paraId="17CDF577" w14:textId="0C2672C4" w:rsidR="00CB570A" w:rsidRDefault="001200BB" w:rsidP="001200BB">
      <w:pPr>
        <w:pStyle w:val="OdstavecASR"/>
        <w:numPr>
          <w:ilvl w:val="0"/>
          <w:numId w:val="25"/>
        </w:numPr>
      </w:pPr>
      <w:r w:rsidRPr="00A00187">
        <w:t xml:space="preserve">VS </w:t>
      </w:r>
      <w:r w:rsidR="00755920" w:rsidRPr="00A00187">
        <w:t>v</w:t>
      </w:r>
      <w:r w:rsidR="00755920">
        <w:t> </w:t>
      </w:r>
      <w:r w:rsidRPr="00A00187">
        <w:t>Pra</w:t>
      </w:r>
      <w:r w:rsidR="004E04AD" w:rsidRPr="00A00187">
        <w:t>ze</w:t>
      </w:r>
      <w:r w:rsidRPr="00A00187">
        <w:t xml:space="preserve"> má výrazně vyšší délky řízení. Rozdíl je ale mnohem větší u průměru a 90. percentil</w:t>
      </w:r>
      <w:r w:rsidR="004E04AD" w:rsidRPr="00A00187">
        <w:t>u</w:t>
      </w:r>
      <w:r w:rsidRPr="00A00187">
        <w:t xml:space="preserve"> než u mediánu. To naznačuje, že VS </w:t>
      </w:r>
      <w:r w:rsidR="00755920" w:rsidRPr="00A00187">
        <w:t>v</w:t>
      </w:r>
      <w:r w:rsidR="00755920">
        <w:t> </w:t>
      </w:r>
      <w:r w:rsidRPr="00A00187">
        <w:t>Olomouc</w:t>
      </w:r>
      <w:r w:rsidR="004E04AD" w:rsidRPr="00A00187">
        <w:t>i</w:t>
      </w:r>
      <w:r w:rsidRPr="00A00187">
        <w:t xml:space="preserve"> má mnohem méně extrémních hodnot než VS </w:t>
      </w:r>
      <w:r w:rsidR="00755920" w:rsidRPr="00A00187">
        <w:t>v</w:t>
      </w:r>
      <w:r w:rsidR="00755920">
        <w:t> </w:t>
      </w:r>
      <w:r w:rsidRPr="00A00187">
        <w:t>Pra</w:t>
      </w:r>
      <w:r w:rsidR="004E04AD" w:rsidRPr="00A00187">
        <w:t>ze</w:t>
      </w:r>
      <w:r w:rsidRPr="00A00187">
        <w:t xml:space="preserve">, tedy velmi dlouhých řízení. V roce 2021 se tento rozdíl ještě navýšil. Tento závěr potvrzuje i histogram níže. VS </w:t>
      </w:r>
      <w:r w:rsidR="00755920" w:rsidRPr="00A00187">
        <w:t>v</w:t>
      </w:r>
      <w:r w:rsidR="00755920">
        <w:t> </w:t>
      </w:r>
      <w:r w:rsidRPr="00A00187">
        <w:t>Olomouc</w:t>
      </w:r>
      <w:r w:rsidR="004E04AD" w:rsidRPr="00A00187">
        <w:t>i</w:t>
      </w:r>
      <w:r w:rsidRPr="00A00187">
        <w:t xml:space="preserve"> téměř nevykazuje řízení s délkou řízení větší než 300 dnů, zatímco VS </w:t>
      </w:r>
      <w:r w:rsidR="00755920" w:rsidRPr="00A00187">
        <w:t>v</w:t>
      </w:r>
      <w:r w:rsidR="00755920">
        <w:t> </w:t>
      </w:r>
      <w:r w:rsidRPr="00A00187">
        <w:t>Pra</w:t>
      </w:r>
      <w:r w:rsidR="00EC51E8" w:rsidRPr="00A00187">
        <w:t>ze</w:t>
      </w:r>
      <w:r w:rsidRPr="00A00187">
        <w:t xml:space="preserve"> taková řízení vykazuje</w:t>
      </w:r>
      <w:r w:rsidR="008B7C50" w:rsidRPr="00A00187">
        <w:t xml:space="preserve"> v nemalém množství.</w:t>
      </w:r>
    </w:p>
    <w:p w14:paraId="09363D36" w14:textId="77777777" w:rsidR="00CB570A" w:rsidRDefault="001200BB" w:rsidP="001200BB">
      <w:pPr>
        <w:pStyle w:val="OdstavecASR"/>
        <w:numPr>
          <w:ilvl w:val="0"/>
          <w:numId w:val="25"/>
        </w:numPr>
      </w:pPr>
      <w:r w:rsidRPr="00A00187">
        <w:t>I vývoje délky řízení se u obou soudů liší. U obou soudů byla délka řízení nízká a následně rostla. Malá délka řízení byla způsobena stejně jako u incidenčních sporů I. stupně tím, že agenda byla poměrně nová. Délka řízení nakonec u VS v Olomouci výrazně klesla v roce 2017 a od té doby klesá dále. V roce 2020 byl medián pouhých 51 dnů.</w:t>
      </w:r>
    </w:p>
    <w:p w14:paraId="33C2AEC4" w14:textId="534E9851" w:rsidR="001200BB" w:rsidRPr="00A00187" w:rsidRDefault="001200BB" w:rsidP="001200BB">
      <w:pPr>
        <w:pStyle w:val="OdstavecASR"/>
        <w:numPr>
          <w:ilvl w:val="0"/>
          <w:numId w:val="25"/>
        </w:numPr>
      </w:pPr>
      <w:r w:rsidRPr="00A00187">
        <w:lastRenderedPageBreak/>
        <w:t>V absolutních číslech jsou délky řízení nízké podobně jako u ostatních odvolacích agend a jsou tedy výrazně nižší než u agendy prvostupňové.</w:t>
      </w:r>
    </w:p>
    <w:p w14:paraId="4EB76E11" w14:textId="0F9B8F7B" w:rsidR="001200BB" w:rsidRPr="00A00187" w:rsidRDefault="001200BB" w:rsidP="001200BB">
      <w:pPr>
        <w:pStyle w:val="OdstavecASR"/>
        <w:numPr>
          <w:ilvl w:val="0"/>
          <w:numId w:val="25"/>
        </w:numPr>
      </w:pPr>
      <w:r w:rsidRPr="00A00187">
        <w:t>Za povšimnutí rovněž stojí fakt, že u VS v Olomouci je velmi vyrovnaná mediánová a průměrná délka řízení. V roce 2014 byl medián dokonce vyšší než průměr. To opět ukazuje na nepřítomnost extrémních hodnot.</w:t>
      </w:r>
    </w:p>
    <w:p w14:paraId="219172E2" w14:textId="22D3DD9E" w:rsidR="001200BB" w:rsidRPr="00A00187" w:rsidRDefault="001200BB" w:rsidP="001200BB">
      <w:pPr>
        <w:pStyle w:val="Podnadpis"/>
        <w:rPr>
          <w:color w:val="auto"/>
        </w:rPr>
      </w:pPr>
      <w:bookmarkStart w:id="1160" w:name="_Toc43841475"/>
      <w:bookmarkStart w:id="1161" w:name="_Toc75952278"/>
      <w:bookmarkStart w:id="1162" w:name="_Toc106106735"/>
      <w:bookmarkStart w:id="1163" w:name="_Toc109802059"/>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101</w:t>
      </w:r>
      <w:r w:rsidRPr="00A00187">
        <w:rPr>
          <w:color w:val="auto"/>
        </w:rPr>
        <w:fldChar w:fldCharType="end"/>
      </w:r>
      <w:r w:rsidRPr="00A00187">
        <w:rPr>
          <w:color w:val="auto"/>
        </w:rPr>
        <w:t>: VS – distribuce délek odvolacího řízení v incidenčních sporech</w:t>
      </w:r>
      <w:bookmarkEnd w:id="1160"/>
      <w:bookmarkEnd w:id="1161"/>
      <w:bookmarkEnd w:id="1162"/>
      <w:bookmarkEnd w:id="1163"/>
    </w:p>
    <w:p w14:paraId="03956231" w14:textId="1AF18563" w:rsidR="001200BB" w:rsidRPr="00A00187" w:rsidRDefault="008B7C50" w:rsidP="001200BB">
      <w:pPr>
        <w:pStyle w:val="OdstavecASR"/>
      </w:pPr>
      <w:r w:rsidRPr="00A00187">
        <w:rPr>
          <w:noProof/>
        </w:rPr>
        <w:drawing>
          <wp:inline distT="0" distB="0" distL="0" distR="0" wp14:anchorId="2736F93E" wp14:editId="2A9B17EC">
            <wp:extent cx="5029200" cy="3657600"/>
            <wp:effectExtent l="0" t="0" r="0" b="0"/>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E84DF0" w14:textId="77777777" w:rsidR="001200BB" w:rsidRPr="00A00187" w:rsidRDefault="001200BB" w:rsidP="008430BD"/>
    <w:p w14:paraId="1C940670" w14:textId="77777777" w:rsidR="008430BD" w:rsidRPr="00A00187" w:rsidRDefault="008430BD" w:rsidP="008430BD">
      <w:pPr>
        <w:pStyle w:val="Nadpis3"/>
        <w:numPr>
          <w:ilvl w:val="2"/>
          <w:numId w:val="1"/>
        </w:numPr>
        <w:rPr>
          <w:color w:val="auto"/>
          <w:lang w:eastAsia="cs-CZ"/>
        </w:rPr>
      </w:pPr>
      <w:bookmarkStart w:id="1164" w:name="_Toc106092807"/>
      <w:bookmarkStart w:id="1165" w:name="_Toc109801418"/>
      <w:r w:rsidRPr="00A00187">
        <w:rPr>
          <w:color w:val="auto"/>
          <w:lang w:eastAsia="cs-CZ"/>
        </w:rPr>
        <w:lastRenderedPageBreak/>
        <w:t>Vyřizování věcí</w:t>
      </w:r>
      <w:bookmarkEnd w:id="1164"/>
      <w:bookmarkEnd w:id="1165"/>
    </w:p>
    <w:p w14:paraId="45998B07" w14:textId="0369F24D" w:rsidR="008430BD" w:rsidRPr="00A00187" w:rsidRDefault="00631BE7" w:rsidP="00631BE7">
      <w:pPr>
        <w:pStyle w:val="Podnadpis"/>
        <w:rPr>
          <w:color w:val="auto"/>
        </w:rPr>
      </w:pPr>
      <w:bookmarkStart w:id="1166" w:name="_Toc43841476"/>
      <w:bookmarkStart w:id="1167" w:name="_Toc75952279"/>
      <w:bookmarkStart w:id="1168" w:name="_Toc106106736"/>
      <w:bookmarkStart w:id="1169" w:name="_Toc109802060"/>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102</w:t>
      </w:r>
      <w:r w:rsidR="008457EB" w:rsidRPr="00A00187">
        <w:rPr>
          <w:noProof/>
          <w:color w:val="auto"/>
        </w:rPr>
        <w:fldChar w:fldCharType="end"/>
      </w:r>
      <w:r w:rsidRPr="00A00187">
        <w:rPr>
          <w:color w:val="auto"/>
        </w:rPr>
        <w:t>: VS – vyřizování odvolacího řízení v incidenčních sporech</w:t>
      </w:r>
      <w:bookmarkEnd w:id="1166"/>
      <w:bookmarkEnd w:id="1167"/>
      <w:bookmarkEnd w:id="1168"/>
      <w:bookmarkEnd w:id="1169"/>
    </w:p>
    <w:p w14:paraId="7ADA3B93" w14:textId="0A047FDB" w:rsidR="00631BE7" w:rsidRPr="00A00187" w:rsidRDefault="00631BE7" w:rsidP="00631BE7">
      <w:r w:rsidRPr="00A00187">
        <w:rPr>
          <w:noProof/>
        </w:rPr>
        <w:drawing>
          <wp:inline distT="0" distB="0" distL="0" distR="0" wp14:anchorId="12598CE6" wp14:editId="5825622F">
            <wp:extent cx="5025390" cy="3657600"/>
            <wp:effectExtent l="0" t="0" r="381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69A9A87B" w14:textId="2CB1722B" w:rsidR="000D4CD2" w:rsidRPr="00A00187" w:rsidRDefault="000D4CD2" w:rsidP="00631BE7"/>
    <w:p w14:paraId="7856B2D9" w14:textId="73A29101" w:rsidR="000D4CD2" w:rsidRPr="00A00187" w:rsidRDefault="000D4CD2" w:rsidP="000D4CD2">
      <w:pPr>
        <w:rPr>
          <w:lang w:eastAsia="cs-CZ"/>
        </w:rPr>
      </w:pPr>
      <w:r w:rsidRPr="00A00187">
        <w:rPr>
          <w:lang w:eastAsia="cs-CZ"/>
        </w:rPr>
        <w:t xml:space="preserve">U VS v Praze vidíme, že počet příchozích a vyřízených věcí od roku 2014 nevykazuje žádný trend a osciluje přibližně mezi 900 </w:t>
      </w:r>
      <w:r w:rsidR="00755920" w:rsidRPr="00A00187">
        <w:rPr>
          <w:lang w:eastAsia="cs-CZ"/>
        </w:rPr>
        <w:t>a</w:t>
      </w:r>
      <w:r w:rsidR="00755920">
        <w:rPr>
          <w:lang w:eastAsia="cs-CZ"/>
        </w:rPr>
        <w:t> </w:t>
      </w:r>
      <w:r w:rsidRPr="00A00187">
        <w:rPr>
          <w:lang w:eastAsia="cs-CZ"/>
        </w:rPr>
        <w:t>1000 věcí. Počet příchozích věcí někdy převyšuje počet vyřízených, jindy je tomu naopak.</w:t>
      </w:r>
    </w:p>
    <w:p w14:paraId="311821EC" w14:textId="51A1138F" w:rsidR="000D4CD2" w:rsidRPr="00A00187" w:rsidRDefault="000D4CD2" w:rsidP="000D4CD2">
      <w:pPr>
        <w:rPr>
          <w:lang w:eastAsia="cs-CZ"/>
        </w:rPr>
      </w:pPr>
      <w:r w:rsidRPr="00A00187">
        <w:rPr>
          <w:lang w:eastAsia="cs-CZ"/>
        </w:rPr>
        <w:t xml:space="preserve">Opravdu zajímavý je vývoj </w:t>
      </w:r>
      <w:r w:rsidR="00755920" w:rsidRPr="00A00187">
        <w:rPr>
          <w:lang w:eastAsia="cs-CZ"/>
        </w:rPr>
        <w:t>v</w:t>
      </w:r>
      <w:r w:rsidR="00755920">
        <w:rPr>
          <w:lang w:eastAsia="cs-CZ"/>
        </w:rPr>
        <w:t> </w:t>
      </w:r>
      <w:r w:rsidRPr="00A00187">
        <w:rPr>
          <w:lang w:eastAsia="cs-CZ"/>
        </w:rPr>
        <w:t>počtu příchozích věcí u VS v Olomouci, který vzrostl z 315 v roce 2016</w:t>
      </w:r>
      <w:r w:rsidR="00EC51E8" w:rsidRPr="00A00187">
        <w:rPr>
          <w:lang w:eastAsia="cs-CZ"/>
        </w:rPr>
        <w:t>,</w:t>
      </w:r>
      <w:r w:rsidRPr="00A00187">
        <w:rPr>
          <w:lang w:eastAsia="cs-CZ"/>
        </w:rPr>
        <w:t xml:space="preserve"> na 1 430 v roce 2019. Jde tedy o nárůst asi o 350</w:t>
      </w:r>
      <w:r w:rsidR="00CB570A">
        <w:rPr>
          <w:lang w:eastAsia="cs-CZ"/>
        </w:rPr>
        <w:t> %</w:t>
      </w:r>
      <w:r w:rsidRPr="00A00187">
        <w:rPr>
          <w:lang w:eastAsia="cs-CZ"/>
        </w:rPr>
        <w:t xml:space="preserve"> během tří let.</w:t>
      </w:r>
    </w:p>
    <w:p w14:paraId="05DA3494" w14:textId="043C544A" w:rsidR="000D4CD2" w:rsidRPr="00A00187" w:rsidRDefault="000D4CD2" w:rsidP="000D4CD2">
      <w:pPr>
        <w:rPr>
          <w:lang w:eastAsia="cs-CZ"/>
        </w:rPr>
      </w:pPr>
      <w:r w:rsidRPr="00A00187">
        <w:rPr>
          <w:lang w:eastAsia="cs-CZ"/>
        </w:rPr>
        <w:t xml:space="preserve">Za tento nárůst jsou zodpovědné </w:t>
      </w:r>
      <w:r w:rsidR="001C7A7A">
        <w:rPr>
          <w:lang w:eastAsia="cs-CZ"/>
        </w:rPr>
        <w:t xml:space="preserve">z části </w:t>
      </w:r>
      <w:r w:rsidRPr="00A00187">
        <w:rPr>
          <w:lang w:eastAsia="cs-CZ"/>
        </w:rPr>
        <w:t>rozsáhlé konkursy</w:t>
      </w:r>
      <w:r w:rsidR="00D62476">
        <w:rPr>
          <w:lang w:eastAsia="cs-CZ"/>
        </w:rPr>
        <w:t xml:space="preserve"> velkých společností</w:t>
      </w:r>
      <w:r w:rsidR="00EE345A" w:rsidRPr="00A00187">
        <w:rPr>
          <w:lang w:eastAsia="cs-CZ"/>
        </w:rPr>
        <w:t>, které vyřizoval KS v</w:t>
      </w:r>
      <w:r w:rsidR="00EE345A">
        <w:rPr>
          <w:lang w:eastAsia="cs-CZ"/>
        </w:rPr>
        <w:t> </w:t>
      </w:r>
      <w:r w:rsidR="00EE345A" w:rsidRPr="00A00187">
        <w:rPr>
          <w:lang w:eastAsia="cs-CZ"/>
        </w:rPr>
        <w:t>Ostravě</w:t>
      </w:r>
      <w:r w:rsidR="00EE345A">
        <w:rPr>
          <w:lang w:eastAsia="cs-CZ"/>
        </w:rPr>
        <w:t xml:space="preserve"> </w:t>
      </w:r>
      <w:r w:rsidR="001C7A7A">
        <w:rPr>
          <w:lang w:eastAsia="cs-CZ"/>
        </w:rPr>
        <w:t xml:space="preserve">a které jsou </w:t>
      </w:r>
      <w:r w:rsidR="00EE345A" w:rsidRPr="00A00187">
        <w:rPr>
          <w:lang w:eastAsia="cs-CZ"/>
        </w:rPr>
        <w:t>znám</w:t>
      </w:r>
      <w:r w:rsidR="00EE345A">
        <w:rPr>
          <w:lang w:eastAsia="cs-CZ"/>
        </w:rPr>
        <w:t>é</w:t>
      </w:r>
      <w:r w:rsidR="00EE345A" w:rsidRPr="00A00187">
        <w:rPr>
          <w:lang w:eastAsia="cs-CZ"/>
        </w:rPr>
        <w:t xml:space="preserve"> i ze sdělovacích prostředků</w:t>
      </w:r>
      <w:r w:rsidR="008263E4">
        <w:rPr>
          <w:lang w:eastAsia="cs-CZ"/>
        </w:rPr>
        <w:t xml:space="preserve">, a také </w:t>
      </w:r>
      <w:r w:rsidR="00082D00">
        <w:rPr>
          <w:lang w:eastAsia="cs-CZ"/>
        </w:rPr>
        <w:t xml:space="preserve">úpadky </w:t>
      </w:r>
      <w:r w:rsidR="00405450">
        <w:rPr>
          <w:lang w:eastAsia="cs-CZ"/>
        </w:rPr>
        <w:t>společností tvořící tzv. „</w:t>
      </w:r>
      <w:r w:rsidR="00D62476">
        <w:rPr>
          <w:lang w:eastAsia="cs-CZ"/>
        </w:rPr>
        <w:t>koncern</w:t>
      </w:r>
      <w:r w:rsidR="00405450">
        <w:rPr>
          <w:lang w:eastAsia="cs-CZ"/>
        </w:rPr>
        <w:t>“</w:t>
      </w:r>
      <w:r w:rsidR="00D62476">
        <w:rPr>
          <w:rStyle w:val="Znakapoznpodarou"/>
          <w:lang w:eastAsia="cs-CZ"/>
        </w:rPr>
        <w:footnoteReference w:id="15"/>
      </w:r>
      <w:r w:rsidR="00EE345A">
        <w:rPr>
          <w:lang w:eastAsia="cs-CZ"/>
        </w:rPr>
        <w:t xml:space="preserve">, </w:t>
      </w:r>
      <w:r w:rsidR="00082D00">
        <w:rPr>
          <w:lang w:eastAsia="cs-CZ"/>
        </w:rPr>
        <w:t xml:space="preserve">které naproti </w:t>
      </w:r>
      <w:r w:rsidR="00B34696">
        <w:rPr>
          <w:lang w:eastAsia="cs-CZ"/>
        </w:rPr>
        <w:t xml:space="preserve">tomu </w:t>
      </w:r>
      <w:r w:rsidR="00405450">
        <w:rPr>
          <w:lang w:eastAsia="cs-CZ"/>
        </w:rPr>
        <w:t>řešil</w:t>
      </w:r>
      <w:r w:rsidR="00B34696">
        <w:rPr>
          <w:lang w:eastAsia="cs-CZ"/>
        </w:rPr>
        <w:t xml:space="preserve"> </w:t>
      </w:r>
      <w:r w:rsidR="001C7A7A">
        <w:rPr>
          <w:lang w:eastAsia="cs-CZ"/>
        </w:rPr>
        <w:t>KS v Brně</w:t>
      </w:r>
      <w:r w:rsidR="008263E4">
        <w:rPr>
          <w:rStyle w:val="Znakapoznpodarou"/>
          <w:lang w:eastAsia="cs-CZ"/>
        </w:rPr>
        <w:footnoteReference w:id="16"/>
      </w:r>
      <w:r w:rsidRPr="00A00187">
        <w:rPr>
          <w:lang w:eastAsia="cs-CZ"/>
        </w:rPr>
        <w:t>. V těchto věcech napadlo velké množství incidenčních sporů především v letech 201</w:t>
      </w:r>
      <w:r w:rsidR="00B34696">
        <w:rPr>
          <w:lang w:eastAsia="cs-CZ"/>
        </w:rPr>
        <w:t>4</w:t>
      </w:r>
      <w:r w:rsidRPr="00A00187">
        <w:rPr>
          <w:lang w:eastAsia="cs-CZ"/>
        </w:rPr>
        <w:t xml:space="preserve"> až 201</w:t>
      </w:r>
      <w:r w:rsidR="00B5162D">
        <w:rPr>
          <w:lang w:eastAsia="cs-CZ"/>
        </w:rPr>
        <w:t>9</w:t>
      </w:r>
      <w:r w:rsidRPr="00A00187">
        <w:rPr>
          <w:lang w:eastAsia="cs-CZ"/>
        </w:rPr>
        <w:t xml:space="preserve"> (a byly vyřízeny cca o rok až dva později). Ve valné většině bylo podáno odvolání a s určitým zpožděním tak tyto spory napadly u VS v Olomouci. Množství sporů je opravdu velké – i přesto, že VS v Olomouci je výrazně menší než VS v Praze, nápad incidenčních sporů </w:t>
      </w:r>
      <w:r w:rsidR="00EC51E8" w:rsidRPr="00A00187">
        <w:rPr>
          <w:lang w:eastAsia="cs-CZ"/>
        </w:rPr>
        <w:t xml:space="preserve">byl </w:t>
      </w:r>
      <w:r w:rsidRPr="00A00187">
        <w:rPr>
          <w:lang w:eastAsia="cs-CZ"/>
        </w:rPr>
        <w:t>u něj v letech 2018 a 2019 vyšší.</w:t>
      </w:r>
    </w:p>
    <w:p w14:paraId="1F1FBD14" w14:textId="77777777" w:rsidR="000D4CD2" w:rsidRPr="00A00187" w:rsidRDefault="000D4CD2" w:rsidP="000D4CD2">
      <w:pPr>
        <w:rPr>
          <w:lang w:eastAsia="cs-CZ"/>
        </w:rPr>
      </w:pPr>
      <w:r w:rsidRPr="00A00187">
        <w:rPr>
          <w:lang w:eastAsia="cs-CZ"/>
        </w:rPr>
        <w:t>Dále vidíme, že i přes obrovský nárůst v nápadu se nezvýšil počet nevyřízených věci a zároveň výrazně klesla vykázaná délka řízení. To ukazuje, že pro soud nebylo složité agendu vyřídit, spíše naopak – vyřízení zabralo méně času než jiné incidenční spory.</w:t>
      </w:r>
    </w:p>
    <w:p w14:paraId="1FA55B4B" w14:textId="3F8542A1" w:rsidR="000D4CD2" w:rsidRPr="00A00187" w:rsidRDefault="000D4CD2" w:rsidP="000D4CD2">
      <w:pPr>
        <w:rPr>
          <w:lang w:eastAsia="cs-CZ"/>
        </w:rPr>
      </w:pPr>
      <w:r w:rsidRPr="00A00187">
        <w:rPr>
          <w:lang w:eastAsia="cs-CZ"/>
        </w:rPr>
        <w:t xml:space="preserve">V roce 2020 počet příchozích věcí opět klesl přibližně na úroveň roku 2017. Po vyřízení rozsáhlých konkursů se věci tedy opět </w:t>
      </w:r>
      <w:r w:rsidR="00D304BC" w:rsidRPr="00A00187">
        <w:rPr>
          <w:lang w:eastAsia="cs-CZ"/>
        </w:rPr>
        <w:t>postupně vracejí „</w:t>
      </w:r>
      <w:r w:rsidRPr="00A00187">
        <w:rPr>
          <w:lang w:eastAsia="cs-CZ"/>
        </w:rPr>
        <w:t xml:space="preserve">do normálu“. V roce 2021 pak počet příchozích </w:t>
      </w:r>
      <w:r w:rsidR="00D304BC" w:rsidRPr="00A00187">
        <w:rPr>
          <w:lang w:eastAsia="cs-CZ"/>
        </w:rPr>
        <w:t>i </w:t>
      </w:r>
      <w:r w:rsidRPr="00A00187">
        <w:rPr>
          <w:lang w:eastAsia="cs-CZ"/>
        </w:rPr>
        <w:t>vyřízených věcí dále klesal.</w:t>
      </w:r>
    </w:p>
    <w:p w14:paraId="2E759C49" w14:textId="77777777" w:rsidR="000D4CD2" w:rsidRPr="00A00187" w:rsidRDefault="000D4CD2" w:rsidP="00631BE7"/>
    <w:p w14:paraId="2E776948" w14:textId="5656B63E" w:rsidR="008430BD" w:rsidRPr="00A00187" w:rsidRDefault="008430BD" w:rsidP="008430BD">
      <w:pPr>
        <w:pStyle w:val="Nadpis3"/>
        <w:numPr>
          <w:ilvl w:val="2"/>
          <w:numId w:val="1"/>
        </w:numPr>
        <w:rPr>
          <w:color w:val="auto"/>
          <w:lang w:eastAsia="cs-CZ"/>
        </w:rPr>
      </w:pPr>
      <w:bookmarkStart w:id="1170" w:name="_Toc106092808"/>
      <w:bookmarkStart w:id="1171" w:name="_Toc109801419"/>
      <w:proofErr w:type="spellStart"/>
      <w:r w:rsidRPr="00A00187">
        <w:rPr>
          <w:color w:val="auto"/>
          <w:lang w:eastAsia="cs-CZ"/>
        </w:rPr>
        <w:lastRenderedPageBreak/>
        <w:t>Disposition</w:t>
      </w:r>
      <w:proofErr w:type="spellEnd"/>
      <w:r w:rsidRPr="00A00187">
        <w:rPr>
          <w:color w:val="auto"/>
          <w:lang w:eastAsia="cs-CZ"/>
        </w:rPr>
        <w:t xml:space="preserve"> </w:t>
      </w:r>
      <w:proofErr w:type="spellStart"/>
      <w:r w:rsidRPr="00A00187">
        <w:rPr>
          <w:color w:val="auto"/>
          <w:lang w:eastAsia="cs-CZ"/>
        </w:rPr>
        <w:t>time</w:t>
      </w:r>
      <w:proofErr w:type="spellEnd"/>
      <w:r w:rsidRPr="00A00187">
        <w:rPr>
          <w:color w:val="auto"/>
          <w:lang w:eastAsia="cs-CZ"/>
        </w:rPr>
        <w:t xml:space="preserve"> (dispoziční čas)</w:t>
      </w:r>
      <w:bookmarkEnd w:id="1170"/>
      <w:bookmarkEnd w:id="1171"/>
    </w:p>
    <w:p w14:paraId="3CFF3926" w14:textId="20130895" w:rsidR="00631BE7" w:rsidRPr="00A00187" w:rsidRDefault="00631BE7" w:rsidP="00631BE7">
      <w:pPr>
        <w:pStyle w:val="Podnadpis"/>
        <w:numPr>
          <w:ilvl w:val="0"/>
          <w:numId w:val="0"/>
        </w:numPr>
        <w:rPr>
          <w:noProof/>
          <w:color w:val="auto"/>
          <w:lang w:eastAsia="cs-CZ"/>
        </w:rPr>
      </w:pPr>
      <w:bookmarkStart w:id="1172" w:name="_Toc43841477"/>
      <w:bookmarkStart w:id="1173" w:name="_Toc75952280"/>
      <w:bookmarkStart w:id="1174" w:name="_Toc106106737"/>
      <w:bookmarkStart w:id="1175" w:name="_Toc109802061"/>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103</w:t>
      </w:r>
      <w:r w:rsidRPr="00A00187">
        <w:rPr>
          <w:color w:val="auto"/>
        </w:rPr>
        <w:fldChar w:fldCharType="end"/>
      </w:r>
      <w:r w:rsidRPr="00A00187">
        <w:rPr>
          <w:color w:val="auto"/>
        </w:rPr>
        <w:t>: VS – DT odvolacího řízení v incidenčních sporech</w:t>
      </w:r>
      <w:bookmarkEnd w:id="1172"/>
      <w:bookmarkEnd w:id="1173"/>
      <w:bookmarkEnd w:id="1174"/>
      <w:bookmarkEnd w:id="1175"/>
    </w:p>
    <w:p w14:paraId="579A45F5" w14:textId="2342B5CB" w:rsidR="00631BE7" w:rsidRPr="00A00187" w:rsidRDefault="00631BE7" w:rsidP="00631BE7">
      <w:pPr>
        <w:rPr>
          <w:lang w:eastAsia="cs-CZ"/>
        </w:rPr>
      </w:pPr>
      <w:r w:rsidRPr="00A00187">
        <w:rPr>
          <w:noProof/>
          <w:lang w:eastAsia="cs-CZ"/>
        </w:rPr>
        <w:drawing>
          <wp:inline distT="0" distB="0" distL="0" distR="0" wp14:anchorId="291B43EE" wp14:editId="47C9C977">
            <wp:extent cx="5025390" cy="3657600"/>
            <wp:effectExtent l="0" t="0" r="3810" b="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2997A156" w14:textId="77777777" w:rsidR="009315F0" w:rsidRPr="00A00187" w:rsidRDefault="009315F0" w:rsidP="008430BD"/>
    <w:p w14:paraId="3915313E" w14:textId="5E764BDB" w:rsidR="009315F0" w:rsidRPr="00A00187" w:rsidRDefault="009315F0" w:rsidP="009315F0">
      <w:pPr>
        <w:rPr>
          <w:lang w:eastAsia="cs-CZ"/>
        </w:rPr>
      </w:pPr>
      <w:proofErr w:type="spellStart"/>
      <w:r w:rsidRPr="00A00187">
        <w:rPr>
          <w:lang w:eastAsia="cs-CZ"/>
        </w:rPr>
        <w:t>Disposition</w:t>
      </w:r>
      <w:proofErr w:type="spellEnd"/>
      <w:r w:rsidRPr="00A00187">
        <w:rPr>
          <w:lang w:eastAsia="cs-CZ"/>
        </w:rPr>
        <w:t xml:space="preserve"> </w:t>
      </w:r>
      <w:proofErr w:type="spellStart"/>
      <w:r w:rsidRPr="00A00187">
        <w:rPr>
          <w:lang w:eastAsia="cs-CZ"/>
        </w:rPr>
        <w:t>time</w:t>
      </w:r>
      <w:proofErr w:type="spellEnd"/>
      <w:r w:rsidRPr="00A00187">
        <w:rPr>
          <w:lang w:eastAsia="cs-CZ"/>
        </w:rPr>
        <w:t xml:space="preserve"> opět odráží výše popsané změny. U VS v Praze dlouhodobě osciluje přibližně mezi 140 a 180. U VS v Olomouc</w:t>
      </w:r>
      <w:r w:rsidR="00EC51E8" w:rsidRPr="00A00187">
        <w:rPr>
          <w:lang w:eastAsia="cs-CZ"/>
        </w:rPr>
        <w:t>i</w:t>
      </w:r>
      <w:r w:rsidRPr="00A00187">
        <w:rPr>
          <w:lang w:eastAsia="cs-CZ"/>
        </w:rPr>
        <w:t xml:space="preserve"> došlo k posledních třech letech k obrovskému poklesu z výše diskutovaných důvodů. Nárůst v letech 2021 je dán tím, že se věci opět vracejí „do normálu“</w:t>
      </w:r>
      <w:r w:rsidR="00D304BC" w:rsidRPr="00A00187">
        <w:rPr>
          <w:lang w:eastAsia="cs-CZ"/>
        </w:rPr>
        <w:t xml:space="preserve">, především s ohledem na </w:t>
      </w:r>
      <w:r w:rsidRPr="00A00187">
        <w:rPr>
          <w:lang w:eastAsia="cs-CZ"/>
        </w:rPr>
        <w:t>pokles počtu vyřízených věcí. Rovněž je třeba poznamenat, že DT v roce 2011 nemá žádnou vypovídající hodnotu, protože rejstřík byl téměř zcela nový a napadaly do něj první věc</w:t>
      </w:r>
      <w:r w:rsidR="00EC51E8" w:rsidRPr="00A00187">
        <w:rPr>
          <w:lang w:eastAsia="cs-CZ"/>
        </w:rPr>
        <w:t>i</w:t>
      </w:r>
      <w:r w:rsidRPr="00A00187">
        <w:rPr>
          <w:lang w:eastAsia="cs-CZ"/>
        </w:rPr>
        <w:t>.</w:t>
      </w:r>
    </w:p>
    <w:p w14:paraId="7F8440E4" w14:textId="002F1725" w:rsidR="008430BD" w:rsidRPr="00A00187" w:rsidRDefault="008430BD" w:rsidP="008430BD">
      <w:pPr>
        <w:rPr>
          <w:rFonts w:eastAsia="Times New Roman"/>
          <w:spacing w:val="15"/>
          <w:szCs w:val="24"/>
        </w:rPr>
      </w:pPr>
      <w:r w:rsidRPr="00A00187">
        <w:br w:type="page"/>
      </w:r>
    </w:p>
    <w:p w14:paraId="0FBA5FDF" w14:textId="542EDE24" w:rsidR="008430BD" w:rsidRPr="00A00187" w:rsidRDefault="008430BD" w:rsidP="008430BD">
      <w:pPr>
        <w:pStyle w:val="Nadpis1"/>
        <w:pageBreakBefore/>
        <w:numPr>
          <w:ilvl w:val="0"/>
          <w:numId w:val="1"/>
        </w:numPr>
        <w:spacing w:after="120"/>
        <w:rPr>
          <w:lang w:eastAsia="cs-CZ"/>
        </w:rPr>
      </w:pPr>
      <w:bookmarkStart w:id="1176" w:name="_Toc515871294"/>
      <w:bookmarkStart w:id="1177" w:name="_Toc106092809"/>
      <w:bookmarkStart w:id="1178" w:name="_Toc109801420"/>
      <w:r w:rsidRPr="00A00187">
        <w:rPr>
          <w:lang w:eastAsia="cs-CZ"/>
        </w:rPr>
        <w:lastRenderedPageBreak/>
        <w:t>Nejvyšší soud</w:t>
      </w:r>
      <w:bookmarkEnd w:id="1176"/>
      <w:bookmarkEnd w:id="1177"/>
      <w:bookmarkEnd w:id="1178"/>
    </w:p>
    <w:p w14:paraId="79BCC84B" w14:textId="613E3DF2" w:rsidR="00B06833" w:rsidRPr="00A00187" w:rsidRDefault="00B06833" w:rsidP="00B06833">
      <w:pPr>
        <w:pStyle w:val="OdstavecASR"/>
      </w:pPr>
      <w:r w:rsidRPr="00A00187">
        <w:t xml:space="preserve">Největší část agendy Nejvyššího soudu (NS) ČR, který sídlí v Brně, tvoří věci, v nichž byl podán mimořádný opravný prostředek proti rozhodnutí odvolacích soudů. Jedná se především o dovolání, a to v občanskoprávním řízení (rejstřík </w:t>
      </w:r>
      <w:proofErr w:type="spellStart"/>
      <w:r w:rsidRPr="00A00187">
        <w:t>Cdo</w:t>
      </w:r>
      <w:proofErr w:type="spellEnd"/>
      <w:r w:rsidRPr="00A00187">
        <w:t xml:space="preserve">, dříve také rejstřík Odo), trestním řízení (rejstřík </w:t>
      </w:r>
      <w:proofErr w:type="spellStart"/>
      <w:r w:rsidRPr="00A00187">
        <w:t>Tdo</w:t>
      </w:r>
      <w:proofErr w:type="spellEnd"/>
      <w:r w:rsidRPr="00A00187">
        <w:t xml:space="preserve">), insolvenčním řízení (rejstřík NSČR) a incidenčních sporech (rejstřík </w:t>
      </w:r>
      <w:proofErr w:type="spellStart"/>
      <w:r w:rsidRPr="00A00187">
        <w:t>ICdo</w:t>
      </w:r>
      <w:proofErr w:type="spellEnd"/>
      <w:r w:rsidRPr="00A00187">
        <w:t xml:space="preserve">). V této zprávě sledujeme také agendu stížností pro porušení zákona (rejstřík </w:t>
      </w:r>
      <w:proofErr w:type="spellStart"/>
      <w:r w:rsidRPr="00A00187">
        <w:t>Tz</w:t>
      </w:r>
      <w:proofErr w:type="spellEnd"/>
      <w:r w:rsidRPr="00A00187">
        <w:t>),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A00187">
        <w:rPr>
          <w:rStyle w:val="Znakapoznpodarou"/>
        </w:rPr>
        <w:footnoteReference w:id="17"/>
      </w:r>
    </w:p>
    <w:p w14:paraId="5A5CCBE6" w14:textId="29069701" w:rsidR="00B06833" w:rsidRPr="00A00187" w:rsidRDefault="00B06833" w:rsidP="00B06833">
      <w:pPr>
        <w:pStyle w:val="OdstavecASR"/>
      </w:pPr>
      <w:r w:rsidRPr="00A00187">
        <w:t xml:space="preserve">V případě Nejvyššího soudu uvádí zpráva méně ukazatelů než u soudů nižších stupňů. Jsou pro to dva důvody. Za prvé, délka řízení </w:t>
      </w:r>
      <w:r w:rsidR="00755920" w:rsidRPr="00A00187">
        <w:t>a</w:t>
      </w:r>
      <w:r w:rsidR="00755920">
        <w:t> </w:t>
      </w:r>
      <w:r w:rsidR="00D304BC" w:rsidRPr="00A00187">
        <w:t xml:space="preserve">některé </w:t>
      </w:r>
      <w:r w:rsidRPr="00A00187">
        <w:t xml:space="preserve">další statistické ukazatele nejsou k dispozici. Za druhé, soud je pouze jeden a není ho tedy s čím statisticky srovnávat. Přepočet vyřizování na jednoho soudce či výpočet </w:t>
      </w:r>
      <w:proofErr w:type="spellStart"/>
      <w:r w:rsidRPr="00A00187">
        <w:t>disposition</w:t>
      </w:r>
      <w:proofErr w:type="spellEnd"/>
      <w:r w:rsidRPr="00A00187">
        <w:t xml:space="preserve"> </w:t>
      </w:r>
      <w:proofErr w:type="spellStart"/>
      <w:r w:rsidRPr="00A00187">
        <w:t>time</w:t>
      </w:r>
      <w:proofErr w:type="spellEnd"/>
      <w:r w:rsidRPr="00A00187">
        <w:t xml:space="preserve"> zde tedy mají mnohem menší smysl než u ostatních soudů.</w:t>
      </w:r>
    </w:p>
    <w:p w14:paraId="35070AB3" w14:textId="77777777" w:rsidR="00B06833" w:rsidRPr="00A00187" w:rsidRDefault="00B06833" w:rsidP="00B06833">
      <w:pPr>
        <w:pStyle w:val="OdstavecASR"/>
      </w:pPr>
      <w:r w:rsidRPr="00A00187">
        <w:t>V této zprávě uvádíme základní statistické informace. Další údaje a informace o činnosti NS s rozsáhlým komentářem jsou dostupné v Ročence Nejvyššího soudu.</w:t>
      </w:r>
      <w:r w:rsidRPr="00A00187">
        <w:rPr>
          <w:rStyle w:val="Znakapoznpodarou"/>
        </w:rPr>
        <w:footnoteReference w:id="18"/>
      </w:r>
    </w:p>
    <w:p w14:paraId="4896EE65" w14:textId="3ED238AD" w:rsidR="008430BD" w:rsidRPr="00A00187" w:rsidRDefault="008430BD" w:rsidP="008430BD">
      <w:pPr>
        <w:pStyle w:val="Nadpis2"/>
        <w:keepNext w:val="0"/>
        <w:numPr>
          <w:ilvl w:val="1"/>
          <w:numId w:val="1"/>
        </w:numPr>
        <w:spacing w:before="120"/>
        <w:rPr>
          <w:color w:val="auto"/>
          <w:lang w:eastAsia="cs-CZ"/>
        </w:rPr>
      </w:pPr>
      <w:bookmarkStart w:id="1179" w:name="_Toc515871295"/>
      <w:bookmarkStart w:id="1180" w:name="_Toc106092810"/>
      <w:bookmarkStart w:id="1181" w:name="_Toc109801421"/>
      <w:r w:rsidRPr="00A00187">
        <w:rPr>
          <w:color w:val="auto"/>
          <w:lang w:eastAsia="cs-CZ"/>
        </w:rPr>
        <w:t>Personál</w:t>
      </w:r>
      <w:bookmarkEnd w:id="1179"/>
      <w:bookmarkEnd w:id="1180"/>
      <w:bookmarkEnd w:id="1181"/>
    </w:p>
    <w:p w14:paraId="61447CDE" w14:textId="607CA8D5" w:rsidR="008430BD" w:rsidRPr="00A00187" w:rsidRDefault="008430BD" w:rsidP="008430BD">
      <w:pPr>
        <w:pStyle w:val="Nadpis3"/>
        <w:keepNext w:val="0"/>
        <w:numPr>
          <w:ilvl w:val="2"/>
          <w:numId w:val="1"/>
        </w:numPr>
        <w:rPr>
          <w:color w:val="auto"/>
          <w:lang w:eastAsia="cs-CZ"/>
        </w:rPr>
      </w:pPr>
      <w:bookmarkStart w:id="1182" w:name="_Toc515871296"/>
      <w:bookmarkStart w:id="1183" w:name="_Toc106092811"/>
      <w:bookmarkStart w:id="1184" w:name="_Toc109801422"/>
      <w:r w:rsidRPr="00A00187">
        <w:rPr>
          <w:color w:val="auto"/>
          <w:lang w:eastAsia="cs-CZ"/>
        </w:rPr>
        <w:t>Soudci</w:t>
      </w:r>
      <w:bookmarkEnd w:id="1182"/>
      <w:bookmarkEnd w:id="1183"/>
      <w:bookmarkEnd w:id="1184"/>
    </w:p>
    <w:p w14:paraId="41A12D77" w14:textId="627973D7" w:rsidR="006D2318" w:rsidRPr="00A00187" w:rsidRDefault="006D2318" w:rsidP="006D2318">
      <w:pPr>
        <w:pStyle w:val="OdstavecASR"/>
      </w:pPr>
      <w:r w:rsidRPr="00A00187">
        <w:t>Počet soudců se od roku 2009 do roku 2014 pomalu zvyšoval. Celkem se zvýšil o šest soudců, tedy o 10</w:t>
      </w:r>
      <w:r w:rsidR="00CB570A">
        <w:t> %</w:t>
      </w:r>
      <w:r w:rsidRPr="00A00187">
        <w:t xml:space="preserve">. Z důvodu dovršení věku 70 let odešli v roce 2016 2 soudci. K 1. 1. 2017 nicméně došlo k doplnění počtu soudců, takže jich k tomuto datu u NS působilo 69. K 1. 1. 2019 u soudu působilo 66 soudců. V roce 2019 došlo k značnému navýšení plánovaného počtu soudců, a to na 72. Soudci byli k soudu následně i jmenováni, a evidenční počet soudců v roce 2020 vzrostl na 71. </w:t>
      </w:r>
      <w:r w:rsidR="003B6107" w:rsidRPr="00A00187">
        <w:t xml:space="preserve">V roce 2021 počet soudců </w:t>
      </w:r>
      <w:r w:rsidR="00755920" w:rsidRPr="00A00187">
        <w:t>o</w:t>
      </w:r>
      <w:r w:rsidR="00755920">
        <w:t> </w:t>
      </w:r>
      <w:r w:rsidR="00755920" w:rsidRPr="00A00187">
        <w:t>2</w:t>
      </w:r>
      <w:r w:rsidR="00755920">
        <w:t> </w:t>
      </w:r>
      <w:r w:rsidR="003B6107" w:rsidRPr="00A00187">
        <w:t xml:space="preserve">klesl. </w:t>
      </w:r>
      <w:r w:rsidRPr="00A00187">
        <w:t xml:space="preserve">Soud je také dlouhodobě posilován o stážisty z nižších soudů (aktuálně jich zde působí </w:t>
      </w:r>
      <w:r w:rsidR="003B6107" w:rsidRPr="00A00187">
        <w:t>deset</w:t>
      </w:r>
      <w:r w:rsidRPr="00A00187">
        <w:t xml:space="preserve">, </w:t>
      </w:r>
      <w:r w:rsidR="003B6107" w:rsidRPr="00A00187">
        <w:t>osm</w:t>
      </w:r>
      <w:r w:rsidRPr="00A00187">
        <w:t xml:space="preserve"> z nich jakožto soudci občanskoprávního a obchodního kolegia).</w:t>
      </w:r>
      <w:r w:rsidRPr="00A00187">
        <w:rPr>
          <w:rStyle w:val="Znakapoznpodarou"/>
        </w:rPr>
        <w:footnoteReference w:id="19"/>
      </w:r>
    </w:p>
    <w:p w14:paraId="0922C369" w14:textId="678F6D67" w:rsidR="006D2318" w:rsidRPr="00A00187" w:rsidRDefault="006D2318" w:rsidP="006D2318">
      <w:pPr>
        <w:pStyle w:val="Podnadpis"/>
        <w:rPr>
          <w:color w:val="auto"/>
        </w:rPr>
      </w:pPr>
      <w:bookmarkStart w:id="1185" w:name="_Toc515871421"/>
      <w:bookmarkStart w:id="1186" w:name="_Toc11135152"/>
      <w:bookmarkStart w:id="1187" w:name="_Toc43841478"/>
      <w:bookmarkStart w:id="1188" w:name="_Toc75952281"/>
      <w:bookmarkStart w:id="1189" w:name="_Toc106106738"/>
      <w:bookmarkStart w:id="1190" w:name="_Toc109802062"/>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104</w:t>
      </w:r>
      <w:r w:rsidRPr="00A00187">
        <w:rPr>
          <w:color w:val="auto"/>
        </w:rPr>
        <w:fldChar w:fldCharType="end"/>
      </w:r>
      <w:r w:rsidRPr="00A00187">
        <w:rPr>
          <w:color w:val="auto"/>
        </w:rPr>
        <w:t>: NS – počet soudců v letech 2008–20</w:t>
      </w:r>
      <w:bookmarkEnd w:id="1185"/>
      <w:bookmarkEnd w:id="1186"/>
      <w:bookmarkEnd w:id="1187"/>
      <w:r w:rsidRPr="00A00187">
        <w:rPr>
          <w:color w:val="auto"/>
        </w:rPr>
        <w:t>2</w:t>
      </w:r>
      <w:bookmarkEnd w:id="1188"/>
      <w:r w:rsidRPr="00A00187">
        <w:rPr>
          <w:color w:val="auto"/>
        </w:rPr>
        <w:t>1</w:t>
      </w:r>
      <w:bookmarkEnd w:id="1189"/>
      <w:bookmarkEnd w:id="1190"/>
    </w:p>
    <w:p w14:paraId="2965CE1E" w14:textId="41E3E7FB" w:rsidR="006D2318" w:rsidRPr="00A00187" w:rsidRDefault="00527C2C" w:rsidP="006D2318">
      <w:pPr>
        <w:rPr>
          <w:lang w:eastAsia="cs-CZ"/>
        </w:rPr>
      </w:pPr>
      <w:r w:rsidRPr="00A00187">
        <w:rPr>
          <w:noProof/>
          <w:lang w:eastAsia="cs-CZ"/>
        </w:rPr>
        <w:drawing>
          <wp:inline distT="0" distB="0" distL="0" distR="0" wp14:anchorId="64581D20" wp14:editId="4A9499FA">
            <wp:extent cx="5029200" cy="3657600"/>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3DFB701" w14:textId="478F34D4" w:rsidR="008430BD" w:rsidRPr="00A00187" w:rsidRDefault="008430BD" w:rsidP="008430BD">
      <w:pPr>
        <w:rPr>
          <w:lang w:eastAsia="cs-CZ"/>
        </w:rPr>
      </w:pPr>
    </w:p>
    <w:p w14:paraId="00FE5486" w14:textId="2B2745F9" w:rsidR="00527C2C" w:rsidRPr="00A00187" w:rsidRDefault="00527C2C" w:rsidP="00527C2C">
      <w:pPr>
        <w:pStyle w:val="Podnadpis"/>
        <w:rPr>
          <w:color w:val="auto"/>
        </w:rPr>
      </w:pPr>
      <w:bookmarkStart w:id="1191" w:name="_Toc515871422"/>
      <w:bookmarkStart w:id="1192" w:name="_Toc11135153"/>
      <w:bookmarkStart w:id="1193" w:name="_Toc43841479"/>
      <w:bookmarkStart w:id="1194" w:name="_Toc75952282"/>
      <w:bookmarkStart w:id="1195" w:name="_Toc106106739"/>
      <w:bookmarkStart w:id="1196" w:name="_Toc109802063"/>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105</w:t>
      </w:r>
      <w:r w:rsidRPr="00A00187">
        <w:rPr>
          <w:color w:val="auto"/>
        </w:rPr>
        <w:fldChar w:fldCharType="end"/>
      </w:r>
      <w:r w:rsidRPr="00A00187">
        <w:rPr>
          <w:color w:val="auto"/>
        </w:rPr>
        <w:t>: NS – evidenční počet soudců dle soudních úseků v letech 2008–</w:t>
      </w:r>
      <w:bookmarkEnd w:id="1191"/>
      <w:bookmarkEnd w:id="1192"/>
      <w:r w:rsidRPr="00A00187">
        <w:rPr>
          <w:color w:val="auto"/>
        </w:rPr>
        <w:t>2</w:t>
      </w:r>
      <w:bookmarkEnd w:id="1193"/>
      <w:r w:rsidRPr="00A00187">
        <w:rPr>
          <w:color w:val="auto"/>
        </w:rPr>
        <w:t>02</w:t>
      </w:r>
      <w:bookmarkEnd w:id="1194"/>
      <w:r w:rsidRPr="00A00187">
        <w:rPr>
          <w:color w:val="auto"/>
        </w:rPr>
        <w:t>1</w:t>
      </w:r>
      <w:bookmarkEnd w:id="1195"/>
      <w:bookmarkEnd w:id="1196"/>
    </w:p>
    <w:p w14:paraId="4B40C201" w14:textId="7DEC7C9D" w:rsidR="00527C2C" w:rsidRPr="00A00187" w:rsidRDefault="00527C2C" w:rsidP="008430BD">
      <w:pPr>
        <w:rPr>
          <w:lang w:eastAsia="cs-CZ"/>
        </w:rPr>
      </w:pPr>
      <w:r w:rsidRPr="00A00187">
        <w:rPr>
          <w:noProof/>
          <w:lang w:eastAsia="cs-CZ"/>
        </w:rPr>
        <w:drawing>
          <wp:inline distT="0" distB="0" distL="0" distR="0" wp14:anchorId="5F78065D" wp14:editId="020466E8">
            <wp:extent cx="5029200" cy="3657600"/>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7D3A8C7" w14:textId="37166517" w:rsidR="00527C2C" w:rsidRPr="00A00187" w:rsidRDefault="00527C2C" w:rsidP="008430BD">
      <w:pPr>
        <w:rPr>
          <w:lang w:eastAsia="cs-CZ"/>
        </w:rPr>
      </w:pPr>
    </w:p>
    <w:p w14:paraId="7F6E38D5" w14:textId="7FC6D400" w:rsidR="00527C2C" w:rsidRPr="00A00187" w:rsidRDefault="00527C2C" w:rsidP="00527C2C">
      <w:pPr>
        <w:pStyle w:val="OdstavecASR"/>
      </w:pPr>
      <w:r w:rsidRPr="00A00187">
        <w:t xml:space="preserve">Z dalšího grafu vyčteme, že výše zmíněný mírný nárůst v počtu soudců v letech 2009 až 2014 se odehrál na civilním úseku soudu. V roce 2017 byl především posílen také civilní úsek. V roce 2018 na tomto úseku 2 soudci skončili. V roce 2019 na trestním úseku ubyli hned 4 soudci a na civilním </w:t>
      </w:r>
      <w:r w:rsidRPr="00A00187">
        <w:lastRenderedPageBreak/>
        <w:t xml:space="preserve">úseku 2 přibyli. To poměrně značně změnilo velikostní poměr mezi oběma úseky. V roce 2020 pak přibyli soudci na obou úsecích </w:t>
      </w:r>
      <w:r w:rsidR="00755920" w:rsidRPr="00A00187">
        <w:t>a</w:t>
      </w:r>
      <w:r w:rsidR="00755920">
        <w:t> </w:t>
      </w:r>
      <w:r w:rsidRPr="00A00187">
        <w:t>v roce 2021 naopak ubyli.</w:t>
      </w:r>
    </w:p>
    <w:p w14:paraId="42874348" w14:textId="77777777" w:rsidR="00527C2C" w:rsidRPr="00A00187" w:rsidRDefault="00527C2C" w:rsidP="00527C2C">
      <w:pPr>
        <w:pStyle w:val="OdstavecASR"/>
      </w:pPr>
      <w:r w:rsidRPr="00A00187">
        <w:t>Na dalším grafu je stejně jako u ostatních soudů zobrazen vývoj počtu soudců a soudkyň. Od roku 2009 se počet mužů zvyšoval a v roce 2017 došlo k dalšímu významnému růstu. Teprve v roce 2019 se výše popsaný trend zarazil a podíl žen dokonce mírně stoupl. V roce 2020 ale bylo k soudu jmenováno dalších 5 mužů.</w:t>
      </w:r>
    </w:p>
    <w:p w14:paraId="519B6BAD" w14:textId="77777777" w:rsidR="00CB570A" w:rsidRDefault="00527C2C" w:rsidP="00527C2C">
      <w:pPr>
        <w:pStyle w:val="OdstavecASR"/>
      </w:pPr>
      <w:r w:rsidRPr="00A00187">
        <w:t>U Nejvyššího soudu tak stále pokračuje trend snižování podílu soudkyň s každým dalším článkem soudní soustavy. V roce 2021 byl podíl soudkyň necelých 20</w:t>
      </w:r>
      <w:r w:rsidR="00CB570A">
        <w:t> %</w:t>
      </w:r>
      <w:r w:rsidRPr="00A00187">
        <w:t>.</w:t>
      </w:r>
    </w:p>
    <w:p w14:paraId="4E9181E0" w14:textId="00D6F5AC" w:rsidR="00527C2C" w:rsidRPr="00A00187" w:rsidRDefault="00527C2C" w:rsidP="00527C2C">
      <w:pPr>
        <w:pStyle w:val="OdstavecASR"/>
      </w:pPr>
    </w:p>
    <w:p w14:paraId="39F8FB88" w14:textId="4D44CF62" w:rsidR="00527C2C" w:rsidRPr="00A00187" w:rsidRDefault="00527C2C" w:rsidP="00527C2C">
      <w:pPr>
        <w:pStyle w:val="OdstavecASR"/>
      </w:pPr>
      <w:r w:rsidRPr="00A00187">
        <w:rPr>
          <w:noProof/>
        </w:rPr>
        <w:drawing>
          <wp:inline distT="0" distB="0" distL="0" distR="0" wp14:anchorId="27542788" wp14:editId="73D85514">
            <wp:extent cx="5029200" cy="3657600"/>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E1D5FCA" w14:textId="40A0D07A" w:rsidR="00CB570A" w:rsidRDefault="00904E11" w:rsidP="00904E11">
      <w:pPr>
        <w:rPr>
          <w:lang w:eastAsia="cs-CZ"/>
        </w:rPr>
      </w:pPr>
      <w:r w:rsidRPr="00A00187">
        <w:rPr>
          <w:lang w:eastAsia="cs-CZ"/>
        </w:rPr>
        <w:t>Věkovou strukturu soudců zkoumáme i u Nejvyššího soudu. Soudci u Nejvyššího soudu se už v průměru nezdají být starší než soudci u vrchních soudů. I zde však došlo během let ke změnám ve věkové struktuře. Zvyšoval se podíl soudců ve věku 61–70 let a snižoval se podíl soudců mezi 51. a 60. rokem věku. V roce 2020 došlo k nárůstu ve věkové kategorii 41 až 50 let. Můžeme tedy uzavřít, že soud v roce 2020 posílili muži ve věku 41 až 50 let. V roce 2021 můžeme rovněž vidět nárůst podílu soudců ve věkové skupině 41 až 50 let. Lze tedy říct, že se v posledních let</w:t>
      </w:r>
      <w:r w:rsidR="0096626A" w:rsidRPr="00A00187">
        <w:rPr>
          <w:lang w:eastAsia="cs-CZ"/>
        </w:rPr>
        <w:t>ech</w:t>
      </w:r>
      <w:r w:rsidRPr="00A00187">
        <w:rPr>
          <w:lang w:eastAsia="cs-CZ"/>
        </w:rPr>
        <w:t xml:space="preserve"> zvýšil podíl mladších soudců </w:t>
      </w:r>
      <w:r w:rsidR="00755920" w:rsidRPr="00A00187">
        <w:rPr>
          <w:lang w:eastAsia="cs-CZ"/>
        </w:rPr>
        <w:t>u</w:t>
      </w:r>
      <w:r w:rsidR="00755920">
        <w:rPr>
          <w:lang w:eastAsia="cs-CZ"/>
        </w:rPr>
        <w:t> </w:t>
      </w:r>
      <w:r w:rsidRPr="00A00187">
        <w:rPr>
          <w:lang w:eastAsia="cs-CZ"/>
        </w:rPr>
        <w:t>Nejvyššího soudu.</w:t>
      </w:r>
    </w:p>
    <w:p w14:paraId="5BC9B775" w14:textId="7DE483FE" w:rsidR="00904E11" w:rsidRPr="00A00187" w:rsidRDefault="00904E11" w:rsidP="00904E11">
      <w:pPr>
        <w:pStyle w:val="Podnadpis"/>
        <w:rPr>
          <w:color w:val="auto"/>
        </w:rPr>
      </w:pPr>
      <w:bookmarkStart w:id="1197" w:name="_Toc515871424"/>
      <w:bookmarkStart w:id="1198" w:name="_Toc11135155"/>
      <w:bookmarkStart w:id="1199" w:name="_Toc43841481"/>
      <w:bookmarkStart w:id="1200" w:name="_Toc75952284"/>
      <w:bookmarkStart w:id="1201" w:name="_Toc106106740"/>
      <w:bookmarkStart w:id="1202" w:name="_Toc109802064"/>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106</w:t>
      </w:r>
      <w:r w:rsidRPr="00A00187">
        <w:rPr>
          <w:color w:val="auto"/>
        </w:rPr>
        <w:fldChar w:fldCharType="end"/>
      </w:r>
      <w:r w:rsidRPr="00A00187">
        <w:rPr>
          <w:color w:val="auto"/>
        </w:rPr>
        <w:t>: NS – věková struktura soudců v letech 2008–20</w:t>
      </w:r>
      <w:bookmarkEnd w:id="1197"/>
      <w:bookmarkEnd w:id="1198"/>
      <w:bookmarkEnd w:id="1199"/>
      <w:r w:rsidRPr="00A00187">
        <w:rPr>
          <w:color w:val="auto"/>
        </w:rPr>
        <w:t>2</w:t>
      </w:r>
      <w:bookmarkEnd w:id="1200"/>
      <w:r w:rsidRPr="00A00187">
        <w:rPr>
          <w:color w:val="auto"/>
        </w:rPr>
        <w:t>1</w:t>
      </w:r>
      <w:bookmarkEnd w:id="1201"/>
      <w:bookmarkEnd w:id="1202"/>
    </w:p>
    <w:p w14:paraId="7130FD31" w14:textId="55AEB1AC" w:rsidR="00527C2C" w:rsidRPr="00A00187" w:rsidRDefault="00904E11" w:rsidP="008430BD">
      <w:pPr>
        <w:rPr>
          <w:lang w:eastAsia="cs-CZ"/>
        </w:rPr>
      </w:pPr>
      <w:r w:rsidRPr="00A00187">
        <w:rPr>
          <w:noProof/>
          <w:lang w:eastAsia="cs-CZ"/>
        </w:rPr>
        <w:drawing>
          <wp:inline distT="0" distB="0" distL="0" distR="0" wp14:anchorId="4806A92E" wp14:editId="372DD287">
            <wp:extent cx="5029200" cy="3657600"/>
            <wp:effectExtent l="0" t="0" r="0" b="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B10A1F" w14:textId="58D4831B" w:rsidR="00F642CB" w:rsidRPr="00A00187" w:rsidRDefault="00F642CB" w:rsidP="008430BD">
      <w:pPr>
        <w:rPr>
          <w:lang w:eastAsia="cs-CZ"/>
        </w:rPr>
      </w:pPr>
    </w:p>
    <w:p w14:paraId="022C6BDE" w14:textId="75482D43" w:rsidR="00F642CB" w:rsidRPr="00A00187" w:rsidRDefault="00F642CB" w:rsidP="008430BD">
      <w:pPr>
        <w:rPr>
          <w:lang w:eastAsia="cs-CZ"/>
        </w:rPr>
      </w:pPr>
    </w:p>
    <w:p w14:paraId="787C750E" w14:textId="4E7785F3" w:rsidR="006B2738" w:rsidRPr="00A00187" w:rsidRDefault="008430BD" w:rsidP="008430BD">
      <w:pPr>
        <w:pStyle w:val="Nadpis3"/>
        <w:numPr>
          <w:ilvl w:val="2"/>
          <w:numId w:val="1"/>
        </w:numPr>
        <w:rPr>
          <w:color w:val="auto"/>
          <w:lang w:eastAsia="cs-CZ"/>
        </w:rPr>
      </w:pPr>
      <w:bookmarkStart w:id="1203" w:name="_Toc515871297"/>
      <w:bookmarkStart w:id="1204" w:name="_Toc106092812"/>
      <w:bookmarkStart w:id="1205" w:name="_Toc109801423"/>
      <w:r w:rsidRPr="00A00187">
        <w:rPr>
          <w:color w:val="auto"/>
          <w:lang w:eastAsia="cs-CZ"/>
        </w:rPr>
        <w:t>Zaměstnanci ve výkonu</w:t>
      </w:r>
      <w:bookmarkEnd w:id="1203"/>
      <w:bookmarkEnd w:id="1204"/>
      <w:bookmarkEnd w:id="1205"/>
    </w:p>
    <w:p w14:paraId="2BCC2BF4" w14:textId="6CFD4EA2" w:rsidR="00637E12" w:rsidRPr="00A00187" w:rsidRDefault="00637E12" w:rsidP="00637E12">
      <w:pPr>
        <w:pStyle w:val="OdstavecASR"/>
      </w:pPr>
      <w:r w:rsidRPr="00A00187">
        <w:t>Diametrálně odlišná povaha rozhodovací činnosti Nejvyššího soudu oproti soudům nižších stupňů (téměř vždy se rozhoduje bez jednání, řeší se téměř výhradně složité právní otázky) se nutně odráží i ve zcela odlišné struktuře zaměstnanců ve výkonu. Ve srovnání s předchozím rokem se počet zaměstnanců ve výkonu takřka nezměnil.</w:t>
      </w:r>
    </w:p>
    <w:p w14:paraId="68BCAE96" w14:textId="1B40EC8F" w:rsidR="00637E12" w:rsidRPr="00A00187" w:rsidRDefault="00637E12" w:rsidP="00637E12">
      <w:pPr>
        <w:pStyle w:val="Podnadpis"/>
        <w:rPr>
          <w:color w:val="auto"/>
        </w:rPr>
      </w:pPr>
      <w:bookmarkStart w:id="1206" w:name="_Toc515871505"/>
      <w:bookmarkStart w:id="1207" w:name="_Toc11133271"/>
      <w:bookmarkStart w:id="1208" w:name="_Toc43931253"/>
      <w:bookmarkStart w:id="1209" w:name="_Toc75952387"/>
      <w:bookmarkStart w:id="1210" w:name="_Toc106106840"/>
      <w:bookmarkStart w:id="1211" w:name="_Toc109802163"/>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78</w:t>
      </w:r>
      <w:r w:rsidRPr="00A00187">
        <w:rPr>
          <w:color w:val="auto"/>
        </w:rPr>
        <w:fldChar w:fldCharType="end"/>
      </w:r>
      <w:r w:rsidRPr="00A00187">
        <w:rPr>
          <w:color w:val="auto"/>
        </w:rPr>
        <w:t>: NS – počet zaměstnanců ve výkonu</w:t>
      </w:r>
      <w:bookmarkEnd w:id="1206"/>
      <w:bookmarkEnd w:id="1207"/>
      <w:bookmarkEnd w:id="1208"/>
      <w:bookmarkEnd w:id="1209"/>
      <w:bookmarkEnd w:id="1210"/>
      <w:bookmarkEnd w:id="1211"/>
    </w:p>
    <w:tbl>
      <w:tblPr>
        <w:tblW w:w="5152" w:type="dxa"/>
        <w:tblCellMar>
          <w:left w:w="70" w:type="dxa"/>
          <w:right w:w="70" w:type="dxa"/>
        </w:tblCellMar>
        <w:tblLook w:val="04A0" w:firstRow="1" w:lastRow="0" w:firstColumn="1" w:lastColumn="0" w:noHBand="0" w:noVBand="1"/>
      </w:tblPr>
      <w:tblGrid>
        <w:gridCol w:w="3696"/>
        <w:gridCol w:w="1456"/>
      </w:tblGrid>
      <w:tr w:rsidR="00AC1E67" w:rsidRPr="00A00187" w14:paraId="0707D94F" w14:textId="77777777" w:rsidTr="00E205CE">
        <w:trPr>
          <w:trHeight w:val="345"/>
        </w:trPr>
        <w:tc>
          <w:tcPr>
            <w:tcW w:w="3696" w:type="dxa"/>
            <w:tcBorders>
              <w:top w:val="double" w:sz="6" w:space="0" w:color="auto"/>
              <w:left w:val="nil"/>
              <w:bottom w:val="double" w:sz="6" w:space="0" w:color="auto"/>
              <w:right w:val="nil"/>
            </w:tcBorders>
            <w:shd w:val="clear" w:color="auto" w:fill="auto"/>
            <w:noWrap/>
            <w:vAlign w:val="center"/>
            <w:hideMark/>
          </w:tcPr>
          <w:p w14:paraId="6DEE4158" w14:textId="18F80D5A" w:rsidR="00637E12" w:rsidRPr="00A00187" w:rsidRDefault="00E205CE" w:rsidP="00E205CE">
            <w:pPr>
              <w:spacing w:line="240" w:lineRule="auto"/>
              <w:jc w:val="center"/>
              <w:rPr>
                <w:rFonts w:eastAsia="Times New Roman"/>
                <w:b/>
                <w:bCs/>
                <w:szCs w:val="24"/>
                <w:lang w:eastAsia="cs-CZ"/>
              </w:rPr>
            </w:pPr>
            <w:r>
              <w:rPr>
                <w:rFonts w:eastAsia="Times New Roman"/>
                <w:b/>
                <w:bCs/>
                <w:szCs w:val="24"/>
                <w:lang w:eastAsia="cs-CZ"/>
              </w:rPr>
              <w:t>Funkce</w:t>
            </w:r>
          </w:p>
        </w:tc>
        <w:tc>
          <w:tcPr>
            <w:tcW w:w="1456" w:type="dxa"/>
            <w:tcBorders>
              <w:top w:val="double" w:sz="6" w:space="0" w:color="auto"/>
              <w:left w:val="nil"/>
              <w:bottom w:val="double" w:sz="6" w:space="0" w:color="auto"/>
              <w:right w:val="nil"/>
            </w:tcBorders>
            <w:shd w:val="clear" w:color="auto" w:fill="auto"/>
            <w:noWrap/>
            <w:vAlign w:val="center"/>
            <w:hideMark/>
          </w:tcPr>
          <w:p w14:paraId="684DAD8D" w14:textId="77777777" w:rsidR="00637E12" w:rsidRPr="00A00187" w:rsidRDefault="00637E12" w:rsidP="00E205CE">
            <w:pPr>
              <w:spacing w:line="240" w:lineRule="auto"/>
              <w:jc w:val="center"/>
              <w:rPr>
                <w:rFonts w:eastAsia="Times New Roman"/>
                <w:b/>
                <w:bCs/>
                <w:szCs w:val="24"/>
                <w:lang w:eastAsia="cs-CZ"/>
              </w:rPr>
            </w:pPr>
            <w:r w:rsidRPr="00A00187">
              <w:rPr>
                <w:rFonts w:eastAsia="Times New Roman"/>
                <w:b/>
                <w:bCs/>
                <w:szCs w:val="24"/>
                <w:lang w:eastAsia="cs-CZ"/>
              </w:rPr>
              <w:t>Počet osob</w:t>
            </w:r>
          </w:p>
        </w:tc>
      </w:tr>
      <w:tr w:rsidR="00AC1E67" w:rsidRPr="00A00187" w14:paraId="070ECE1C" w14:textId="77777777" w:rsidTr="00637E12">
        <w:trPr>
          <w:trHeight w:val="330"/>
        </w:trPr>
        <w:tc>
          <w:tcPr>
            <w:tcW w:w="3696" w:type="dxa"/>
            <w:tcBorders>
              <w:top w:val="nil"/>
              <w:left w:val="nil"/>
              <w:bottom w:val="single" w:sz="4" w:space="0" w:color="auto"/>
              <w:right w:val="nil"/>
            </w:tcBorders>
            <w:shd w:val="clear" w:color="auto" w:fill="auto"/>
            <w:noWrap/>
            <w:vAlign w:val="bottom"/>
            <w:hideMark/>
          </w:tcPr>
          <w:p w14:paraId="5328726E" w14:textId="77777777" w:rsidR="00637E12" w:rsidRPr="00A00187" w:rsidRDefault="00637E12" w:rsidP="00637E12">
            <w:pPr>
              <w:spacing w:line="240" w:lineRule="auto"/>
              <w:jc w:val="left"/>
              <w:rPr>
                <w:rFonts w:eastAsia="Times New Roman"/>
                <w:szCs w:val="24"/>
                <w:lang w:eastAsia="cs-CZ"/>
              </w:rPr>
            </w:pPr>
            <w:r w:rsidRPr="00A00187">
              <w:rPr>
                <w:rFonts w:eastAsia="Times New Roman"/>
                <w:szCs w:val="24"/>
                <w:lang w:eastAsia="cs-CZ"/>
              </w:rPr>
              <w:t>Asistent</w:t>
            </w:r>
          </w:p>
        </w:tc>
        <w:tc>
          <w:tcPr>
            <w:tcW w:w="1456" w:type="dxa"/>
            <w:tcBorders>
              <w:top w:val="nil"/>
              <w:left w:val="nil"/>
              <w:bottom w:val="single" w:sz="4" w:space="0" w:color="auto"/>
              <w:right w:val="nil"/>
            </w:tcBorders>
            <w:shd w:val="clear" w:color="auto" w:fill="auto"/>
            <w:noWrap/>
            <w:vAlign w:val="bottom"/>
            <w:hideMark/>
          </w:tcPr>
          <w:p w14:paraId="51BAD1C8" w14:textId="77777777" w:rsidR="00637E12" w:rsidRPr="00A00187" w:rsidRDefault="00637E12" w:rsidP="00637E12">
            <w:pPr>
              <w:spacing w:line="240" w:lineRule="auto"/>
              <w:jc w:val="center"/>
              <w:rPr>
                <w:rFonts w:eastAsia="Times New Roman"/>
                <w:szCs w:val="24"/>
                <w:lang w:eastAsia="cs-CZ"/>
              </w:rPr>
            </w:pPr>
            <w:r w:rsidRPr="00A00187">
              <w:rPr>
                <w:rFonts w:eastAsia="Times New Roman"/>
                <w:szCs w:val="24"/>
                <w:lang w:eastAsia="cs-CZ"/>
              </w:rPr>
              <w:t>157</w:t>
            </w:r>
          </w:p>
        </w:tc>
      </w:tr>
      <w:tr w:rsidR="00AC1E67" w:rsidRPr="00A00187" w14:paraId="4BE0489F" w14:textId="77777777" w:rsidTr="00637E12">
        <w:trPr>
          <w:trHeight w:val="315"/>
        </w:trPr>
        <w:tc>
          <w:tcPr>
            <w:tcW w:w="3696" w:type="dxa"/>
            <w:tcBorders>
              <w:top w:val="nil"/>
              <w:left w:val="nil"/>
              <w:bottom w:val="single" w:sz="4" w:space="0" w:color="auto"/>
              <w:right w:val="nil"/>
            </w:tcBorders>
            <w:shd w:val="clear" w:color="auto" w:fill="auto"/>
            <w:noWrap/>
            <w:vAlign w:val="bottom"/>
            <w:hideMark/>
          </w:tcPr>
          <w:p w14:paraId="5E05C397" w14:textId="77777777" w:rsidR="00637E12" w:rsidRPr="00A00187" w:rsidRDefault="00637E12" w:rsidP="00637E12">
            <w:pPr>
              <w:spacing w:line="240" w:lineRule="auto"/>
              <w:jc w:val="left"/>
              <w:rPr>
                <w:rFonts w:eastAsia="Times New Roman"/>
                <w:szCs w:val="24"/>
                <w:lang w:eastAsia="cs-CZ"/>
              </w:rPr>
            </w:pPr>
            <w:r w:rsidRPr="00A00187">
              <w:rPr>
                <w:rFonts w:eastAsia="Times New Roman"/>
                <w:szCs w:val="24"/>
                <w:lang w:eastAsia="cs-CZ"/>
              </w:rPr>
              <w:t>Vedoucí kanceláře</w:t>
            </w:r>
          </w:p>
        </w:tc>
        <w:tc>
          <w:tcPr>
            <w:tcW w:w="1456" w:type="dxa"/>
            <w:tcBorders>
              <w:top w:val="nil"/>
              <w:left w:val="nil"/>
              <w:bottom w:val="single" w:sz="4" w:space="0" w:color="auto"/>
              <w:right w:val="nil"/>
            </w:tcBorders>
            <w:shd w:val="clear" w:color="auto" w:fill="auto"/>
            <w:noWrap/>
            <w:vAlign w:val="bottom"/>
            <w:hideMark/>
          </w:tcPr>
          <w:p w14:paraId="1E2D5345" w14:textId="77777777" w:rsidR="00637E12" w:rsidRPr="00A00187" w:rsidRDefault="00637E12" w:rsidP="00637E12">
            <w:pPr>
              <w:spacing w:line="240" w:lineRule="auto"/>
              <w:jc w:val="center"/>
              <w:rPr>
                <w:rFonts w:eastAsia="Times New Roman"/>
                <w:szCs w:val="24"/>
                <w:lang w:eastAsia="cs-CZ"/>
              </w:rPr>
            </w:pPr>
            <w:r w:rsidRPr="00A00187">
              <w:rPr>
                <w:rFonts w:eastAsia="Times New Roman"/>
                <w:szCs w:val="24"/>
                <w:lang w:eastAsia="cs-CZ"/>
              </w:rPr>
              <w:t>7</w:t>
            </w:r>
          </w:p>
        </w:tc>
      </w:tr>
      <w:tr w:rsidR="00AC1E67" w:rsidRPr="00A00187" w14:paraId="49A449D7" w14:textId="77777777" w:rsidTr="00637E12">
        <w:trPr>
          <w:trHeight w:val="315"/>
        </w:trPr>
        <w:tc>
          <w:tcPr>
            <w:tcW w:w="3696" w:type="dxa"/>
            <w:tcBorders>
              <w:top w:val="nil"/>
              <w:left w:val="nil"/>
              <w:bottom w:val="single" w:sz="4" w:space="0" w:color="auto"/>
              <w:right w:val="nil"/>
            </w:tcBorders>
            <w:shd w:val="clear" w:color="auto" w:fill="auto"/>
            <w:noWrap/>
            <w:vAlign w:val="bottom"/>
            <w:hideMark/>
          </w:tcPr>
          <w:p w14:paraId="764ECB55" w14:textId="77777777" w:rsidR="00637E12" w:rsidRPr="00A00187" w:rsidRDefault="00637E12" w:rsidP="00637E12">
            <w:pPr>
              <w:spacing w:line="240" w:lineRule="auto"/>
              <w:jc w:val="left"/>
              <w:rPr>
                <w:rFonts w:eastAsia="Times New Roman"/>
                <w:szCs w:val="24"/>
                <w:lang w:eastAsia="cs-CZ"/>
              </w:rPr>
            </w:pPr>
            <w:r w:rsidRPr="00A00187">
              <w:rPr>
                <w:rFonts w:eastAsia="Times New Roman"/>
                <w:szCs w:val="24"/>
                <w:lang w:eastAsia="cs-CZ"/>
              </w:rPr>
              <w:t>Protokolující úředník</w:t>
            </w:r>
          </w:p>
        </w:tc>
        <w:tc>
          <w:tcPr>
            <w:tcW w:w="1456" w:type="dxa"/>
            <w:tcBorders>
              <w:top w:val="nil"/>
              <w:left w:val="nil"/>
              <w:bottom w:val="single" w:sz="4" w:space="0" w:color="auto"/>
              <w:right w:val="nil"/>
            </w:tcBorders>
            <w:shd w:val="clear" w:color="auto" w:fill="auto"/>
            <w:noWrap/>
            <w:vAlign w:val="bottom"/>
            <w:hideMark/>
          </w:tcPr>
          <w:p w14:paraId="47DB7856" w14:textId="77777777" w:rsidR="00637E12" w:rsidRPr="00A00187" w:rsidRDefault="00637E12" w:rsidP="00637E12">
            <w:pPr>
              <w:spacing w:line="240" w:lineRule="auto"/>
              <w:jc w:val="center"/>
              <w:rPr>
                <w:rFonts w:eastAsia="Times New Roman"/>
                <w:szCs w:val="24"/>
                <w:lang w:eastAsia="cs-CZ"/>
              </w:rPr>
            </w:pPr>
            <w:r w:rsidRPr="00A00187">
              <w:rPr>
                <w:rFonts w:eastAsia="Times New Roman"/>
                <w:szCs w:val="24"/>
                <w:lang w:eastAsia="cs-CZ"/>
              </w:rPr>
              <w:t>9</w:t>
            </w:r>
          </w:p>
        </w:tc>
      </w:tr>
      <w:tr w:rsidR="00AC1E67" w:rsidRPr="00A00187" w14:paraId="56734E98" w14:textId="77777777" w:rsidTr="00637E12">
        <w:trPr>
          <w:trHeight w:val="330"/>
        </w:trPr>
        <w:tc>
          <w:tcPr>
            <w:tcW w:w="3696" w:type="dxa"/>
            <w:tcBorders>
              <w:top w:val="nil"/>
              <w:left w:val="nil"/>
              <w:bottom w:val="double" w:sz="6" w:space="0" w:color="auto"/>
              <w:right w:val="nil"/>
            </w:tcBorders>
            <w:shd w:val="clear" w:color="auto" w:fill="auto"/>
            <w:noWrap/>
            <w:vAlign w:val="bottom"/>
            <w:hideMark/>
          </w:tcPr>
          <w:p w14:paraId="3EB1ABB3" w14:textId="77777777" w:rsidR="00637E12" w:rsidRPr="00A00187" w:rsidRDefault="00637E12" w:rsidP="00637E12">
            <w:pPr>
              <w:spacing w:line="240" w:lineRule="auto"/>
              <w:jc w:val="left"/>
              <w:rPr>
                <w:rFonts w:eastAsia="Times New Roman"/>
                <w:szCs w:val="24"/>
                <w:lang w:eastAsia="cs-CZ"/>
              </w:rPr>
            </w:pPr>
            <w:r w:rsidRPr="00A00187">
              <w:rPr>
                <w:rFonts w:eastAsia="Times New Roman"/>
                <w:szCs w:val="24"/>
                <w:lang w:eastAsia="cs-CZ"/>
              </w:rPr>
              <w:t>Zapisovatelka</w:t>
            </w:r>
          </w:p>
        </w:tc>
        <w:tc>
          <w:tcPr>
            <w:tcW w:w="1456" w:type="dxa"/>
            <w:tcBorders>
              <w:top w:val="nil"/>
              <w:left w:val="nil"/>
              <w:bottom w:val="double" w:sz="6" w:space="0" w:color="auto"/>
              <w:right w:val="nil"/>
            </w:tcBorders>
            <w:shd w:val="clear" w:color="auto" w:fill="auto"/>
            <w:noWrap/>
            <w:vAlign w:val="bottom"/>
            <w:hideMark/>
          </w:tcPr>
          <w:p w14:paraId="4114CFC3" w14:textId="77777777" w:rsidR="00637E12" w:rsidRPr="00A00187" w:rsidRDefault="00637E12" w:rsidP="00637E12">
            <w:pPr>
              <w:spacing w:line="240" w:lineRule="auto"/>
              <w:jc w:val="center"/>
              <w:rPr>
                <w:rFonts w:eastAsia="Times New Roman"/>
                <w:szCs w:val="24"/>
                <w:lang w:eastAsia="cs-CZ"/>
              </w:rPr>
            </w:pPr>
            <w:r w:rsidRPr="00A00187">
              <w:rPr>
                <w:rFonts w:eastAsia="Times New Roman"/>
                <w:szCs w:val="24"/>
                <w:lang w:eastAsia="cs-CZ"/>
              </w:rPr>
              <w:t>14</w:t>
            </w:r>
          </w:p>
        </w:tc>
      </w:tr>
      <w:tr w:rsidR="00AC1E67" w:rsidRPr="00A00187" w14:paraId="33C0D021" w14:textId="77777777" w:rsidTr="00637E12">
        <w:trPr>
          <w:trHeight w:val="345"/>
        </w:trPr>
        <w:tc>
          <w:tcPr>
            <w:tcW w:w="3696" w:type="dxa"/>
            <w:tcBorders>
              <w:top w:val="nil"/>
              <w:left w:val="nil"/>
              <w:bottom w:val="double" w:sz="6" w:space="0" w:color="auto"/>
              <w:right w:val="nil"/>
            </w:tcBorders>
            <w:shd w:val="clear" w:color="auto" w:fill="auto"/>
            <w:noWrap/>
            <w:vAlign w:val="bottom"/>
            <w:hideMark/>
          </w:tcPr>
          <w:p w14:paraId="209B067F" w14:textId="4822F6DC" w:rsidR="00637E12" w:rsidRPr="00A00187" w:rsidRDefault="00637E12" w:rsidP="00637E12">
            <w:pPr>
              <w:spacing w:line="240" w:lineRule="auto"/>
              <w:jc w:val="left"/>
              <w:rPr>
                <w:rFonts w:eastAsia="Times New Roman"/>
                <w:b/>
                <w:bCs/>
                <w:szCs w:val="24"/>
                <w:lang w:eastAsia="cs-CZ"/>
              </w:rPr>
            </w:pPr>
            <w:r w:rsidRPr="00A00187">
              <w:rPr>
                <w:rFonts w:eastAsia="Times New Roman"/>
                <w:b/>
                <w:bCs/>
                <w:szCs w:val="24"/>
                <w:lang w:eastAsia="cs-CZ"/>
              </w:rPr>
              <w:t>Celkem</w:t>
            </w:r>
          </w:p>
        </w:tc>
        <w:tc>
          <w:tcPr>
            <w:tcW w:w="1456" w:type="dxa"/>
            <w:tcBorders>
              <w:top w:val="nil"/>
              <w:left w:val="nil"/>
              <w:bottom w:val="double" w:sz="6" w:space="0" w:color="auto"/>
              <w:right w:val="nil"/>
            </w:tcBorders>
            <w:shd w:val="clear" w:color="auto" w:fill="auto"/>
            <w:noWrap/>
            <w:vAlign w:val="bottom"/>
            <w:hideMark/>
          </w:tcPr>
          <w:p w14:paraId="7654F17A" w14:textId="77777777" w:rsidR="00637E12" w:rsidRPr="00A00187" w:rsidRDefault="00637E12" w:rsidP="00637E12">
            <w:pPr>
              <w:spacing w:line="240" w:lineRule="auto"/>
              <w:jc w:val="center"/>
              <w:rPr>
                <w:rFonts w:eastAsia="Times New Roman"/>
                <w:b/>
                <w:bCs/>
                <w:szCs w:val="24"/>
                <w:lang w:eastAsia="cs-CZ"/>
              </w:rPr>
            </w:pPr>
            <w:r w:rsidRPr="00A00187">
              <w:rPr>
                <w:rFonts w:eastAsia="Times New Roman"/>
                <w:b/>
                <w:bCs/>
                <w:szCs w:val="24"/>
                <w:lang w:eastAsia="cs-CZ"/>
              </w:rPr>
              <w:t>186</w:t>
            </w:r>
          </w:p>
        </w:tc>
      </w:tr>
      <w:tr w:rsidR="00AC1E67" w:rsidRPr="00A00187" w14:paraId="4603F282" w14:textId="77777777" w:rsidTr="00637E12">
        <w:trPr>
          <w:trHeight w:val="330"/>
        </w:trPr>
        <w:tc>
          <w:tcPr>
            <w:tcW w:w="3696" w:type="dxa"/>
            <w:tcBorders>
              <w:top w:val="nil"/>
              <w:left w:val="nil"/>
              <w:bottom w:val="nil"/>
              <w:right w:val="nil"/>
            </w:tcBorders>
            <w:shd w:val="clear" w:color="auto" w:fill="auto"/>
            <w:noWrap/>
            <w:vAlign w:val="bottom"/>
            <w:hideMark/>
          </w:tcPr>
          <w:p w14:paraId="06FD50BE" w14:textId="77777777" w:rsidR="00637E12" w:rsidRPr="00A00187" w:rsidRDefault="00637E12" w:rsidP="00637E12">
            <w:pPr>
              <w:spacing w:line="240" w:lineRule="auto"/>
              <w:jc w:val="center"/>
              <w:rPr>
                <w:rFonts w:eastAsia="Times New Roman"/>
                <w:b/>
                <w:bCs/>
                <w:szCs w:val="24"/>
                <w:lang w:eastAsia="cs-CZ"/>
              </w:rPr>
            </w:pPr>
          </w:p>
        </w:tc>
        <w:tc>
          <w:tcPr>
            <w:tcW w:w="1456" w:type="dxa"/>
            <w:tcBorders>
              <w:top w:val="nil"/>
              <w:left w:val="nil"/>
              <w:bottom w:val="nil"/>
              <w:right w:val="nil"/>
            </w:tcBorders>
            <w:shd w:val="clear" w:color="auto" w:fill="auto"/>
            <w:noWrap/>
            <w:vAlign w:val="bottom"/>
            <w:hideMark/>
          </w:tcPr>
          <w:p w14:paraId="3F0F38D4" w14:textId="77777777" w:rsidR="00637E12" w:rsidRPr="00A00187" w:rsidRDefault="00637E12" w:rsidP="00637E12">
            <w:pPr>
              <w:spacing w:line="240" w:lineRule="auto"/>
              <w:jc w:val="left"/>
              <w:rPr>
                <w:rFonts w:ascii="Times New Roman" w:eastAsia="Times New Roman" w:hAnsi="Times New Roman"/>
                <w:sz w:val="20"/>
                <w:szCs w:val="20"/>
                <w:lang w:eastAsia="cs-CZ"/>
              </w:rPr>
            </w:pPr>
          </w:p>
        </w:tc>
      </w:tr>
    </w:tbl>
    <w:p w14:paraId="5A5AAB4B" w14:textId="77777777" w:rsidR="006B2738" w:rsidRPr="00A00187" w:rsidRDefault="006B2738">
      <w:pPr>
        <w:spacing w:after="160" w:line="259" w:lineRule="auto"/>
        <w:jc w:val="left"/>
        <w:rPr>
          <w:rFonts w:eastAsia="Times New Roman"/>
          <w:b/>
          <w:bCs/>
          <w:lang w:eastAsia="cs-CZ"/>
        </w:rPr>
      </w:pPr>
      <w:r w:rsidRPr="00A00187">
        <w:rPr>
          <w:lang w:eastAsia="cs-CZ"/>
        </w:rPr>
        <w:br w:type="page"/>
      </w:r>
    </w:p>
    <w:p w14:paraId="3F847EC7" w14:textId="7E1C1249" w:rsidR="008430BD" w:rsidRPr="00A00187" w:rsidRDefault="008430BD" w:rsidP="008430BD">
      <w:pPr>
        <w:pStyle w:val="Nadpis2"/>
        <w:numPr>
          <w:ilvl w:val="1"/>
          <w:numId w:val="1"/>
        </w:numPr>
        <w:spacing w:before="120"/>
        <w:rPr>
          <w:color w:val="auto"/>
          <w:lang w:eastAsia="cs-CZ"/>
        </w:rPr>
      </w:pPr>
      <w:bookmarkStart w:id="1212" w:name="_Toc515871298"/>
      <w:bookmarkStart w:id="1213" w:name="_Toc106092813"/>
      <w:bookmarkStart w:id="1214" w:name="_Toc109801424"/>
      <w:r w:rsidRPr="00A00187">
        <w:rPr>
          <w:color w:val="auto"/>
          <w:lang w:eastAsia="cs-CZ"/>
        </w:rPr>
        <w:lastRenderedPageBreak/>
        <w:t>Civilní dovolací agenda</w:t>
      </w:r>
      <w:bookmarkEnd w:id="1212"/>
      <w:bookmarkEnd w:id="1213"/>
      <w:bookmarkEnd w:id="1214"/>
    </w:p>
    <w:p w14:paraId="28FD5D57" w14:textId="77777777" w:rsidR="00B6463A" w:rsidRPr="00A00187" w:rsidRDefault="00B6463A" w:rsidP="00B6463A">
      <w:pPr>
        <w:pStyle w:val="OdstavecASR"/>
      </w:pPr>
      <w:r w:rsidRPr="00A00187">
        <w:t xml:space="preserve">Již výše jsme uvedli, že se jedná o rejstřík </w:t>
      </w:r>
      <w:proofErr w:type="spellStart"/>
      <w:r w:rsidRPr="00A00187">
        <w:t>Cdo</w:t>
      </w:r>
      <w:proofErr w:type="spellEnd"/>
      <w:r w:rsidRPr="00A00187">
        <w:t>, dříve též rejstřík Odo.</w:t>
      </w:r>
    </w:p>
    <w:p w14:paraId="023B479D" w14:textId="77949630" w:rsidR="008430BD" w:rsidRPr="00A00187" w:rsidRDefault="008430BD" w:rsidP="008430BD">
      <w:pPr>
        <w:pStyle w:val="Nadpis3"/>
        <w:numPr>
          <w:ilvl w:val="2"/>
          <w:numId w:val="1"/>
        </w:numPr>
        <w:rPr>
          <w:color w:val="auto"/>
          <w:lang w:eastAsia="cs-CZ"/>
        </w:rPr>
      </w:pPr>
      <w:bookmarkStart w:id="1215" w:name="_Toc515871299"/>
      <w:bookmarkStart w:id="1216" w:name="_Toc41546389"/>
      <w:bookmarkStart w:id="1217" w:name="_Toc106092814"/>
      <w:bookmarkStart w:id="1218" w:name="_Toc515871425"/>
      <w:bookmarkStart w:id="1219" w:name="_Toc11135156"/>
      <w:bookmarkStart w:id="1220" w:name="_Toc109801425"/>
      <w:r w:rsidRPr="00A00187">
        <w:rPr>
          <w:color w:val="auto"/>
          <w:lang w:eastAsia="cs-CZ"/>
        </w:rPr>
        <w:t>Vyřizování věcí</w:t>
      </w:r>
      <w:bookmarkEnd w:id="1215"/>
      <w:bookmarkEnd w:id="1216"/>
      <w:bookmarkEnd w:id="1217"/>
      <w:bookmarkEnd w:id="1220"/>
    </w:p>
    <w:p w14:paraId="022B38CC" w14:textId="48D3A760" w:rsidR="000D4B2A" w:rsidRPr="00A00187" w:rsidRDefault="000D4B2A" w:rsidP="000D4B2A">
      <w:pPr>
        <w:pStyle w:val="OdstavecASR"/>
      </w:pPr>
      <w:r w:rsidRPr="00A00187">
        <w:t>Časové řady mají v tomto případě velmi zajímavý průběh, a to i mimo běžně sledované období 2008–202</w:t>
      </w:r>
      <w:r w:rsidR="009855A4" w:rsidRPr="00A00187">
        <w:t>1</w:t>
      </w:r>
      <w:r w:rsidRPr="00A00187">
        <w:t>. V roce 2001 činil nápad 3 102 věcí a počet nevyřízených věcí byl 1 663. Do roku 2008 víceméně postupně nápad narostl na 5 453 a počet nevyřízených věcí na 5 613. Následoval značný propad nápadu až na 3 914 věcí v roce 2012, což je hodnota na úrovni roku 2003. Pokles v nápadu se logicky příznivě projevil v počtu nevyřízených věcí. Od roku 2013 došlo k dalšímu růstu nápadu (podobnému tomu z let 2002–2008), který trval několik let. Lze to přisoudit tomu, že dne 1. 1. 2013 nabyla účinnosti novela (zákon č. 404/2012 Sb.), kterou byla rozšířena objektivní přípustnost dovolání v civilních věcech. Soudu se ale tentokrát podařilo úspěšně reagovat a výrazně zvýšil počet vyřízených věcí, čímž se mu podařilo zabránit výraznému růstu v počtu nevyřízených věcí. V roce 2017 se ale rostoucí trend v nápadu silně zpomalil, až téměř zastavil. V roce 2017 napadlo pouze o 40 věcí více než v roce 2016. V roce 2018 pak došlo k markantnímu poklesu v počtu příchozích věcí (o 22</w:t>
      </w:r>
      <w:r w:rsidR="00CB570A">
        <w:t> %</w:t>
      </w:r>
      <w:r w:rsidRPr="00A00187">
        <w:t>). V </w:t>
      </w:r>
      <w:r w:rsidR="00A73C47" w:rsidRPr="00A00187">
        <w:t>letech</w:t>
      </w:r>
      <w:r w:rsidRPr="00A00187">
        <w:t xml:space="preserve"> 20</w:t>
      </w:r>
      <w:r w:rsidR="00A73C47" w:rsidRPr="00A00187">
        <w:t>19 až 2021</w:t>
      </w:r>
      <w:r w:rsidRPr="00A00187">
        <w:t xml:space="preserve"> klesající trend pokračoval a </w:t>
      </w:r>
      <w:r w:rsidR="00A73C47" w:rsidRPr="00A00187">
        <w:t>nápad klesal</w:t>
      </w:r>
      <w:r w:rsidRPr="00A00187">
        <w:t xml:space="preserve">, </w:t>
      </w:r>
      <w:r w:rsidR="00755920" w:rsidRPr="00A00187">
        <w:t>i</w:t>
      </w:r>
      <w:r w:rsidR="00755920">
        <w:t> </w:t>
      </w:r>
      <w:r w:rsidR="00A73C47" w:rsidRPr="00A00187">
        <w:t xml:space="preserve">když už pomaleji. </w:t>
      </w:r>
      <w:r w:rsidRPr="00A00187">
        <w:t xml:space="preserve">Nápad je tak </w:t>
      </w:r>
      <w:r w:rsidR="00A73C47" w:rsidRPr="00A00187">
        <w:t>nižší než</w:t>
      </w:r>
      <w:r w:rsidRPr="00A00187">
        <w:t> </w:t>
      </w:r>
      <w:r w:rsidR="00755920" w:rsidRPr="00A00187">
        <w:t>v</w:t>
      </w:r>
      <w:r w:rsidR="00755920">
        <w:t> </w:t>
      </w:r>
      <w:r w:rsidR="00A73C47" w:rsidRPr="00A00187">
        <w:t>roce</w:t>
      </w:r>
      <w:r w:rsidRPr="00A00187">
        <w:t xml:space="preserve"> 2012. Za tímto enormním poklesem zřejmě stojí velká novela civilního procesního práva (zákon č. 296/2017 Sb.), která nabyla účinnosti dne 30. 9. 2017. Kromě jiných legislativních úprav si tato novela dala za cíl též </w:t>
      </w:r>
      <w:proofErr w:type="spellStart"/>
      <w:r w:rsidRPr="00A00187">
        <w:t>odbřemenit</w:t>
      </w:r>
      <w:proofErr w:type="spellEnd"/>
      <w:r w:rsidRPr="00A00187">
        <w:t xml:space="preserve"> dovolací soud.</w:t>
      </w:r>
    </w:p>
    <w:p w14:paraId="4F2E9232" w14:textId="20083296" w:rsidR="000D4B2A" w:rsidRPr="00A00187" w:rsidRDefault="000D4B2A" w:rsidP="000D4B2A">
      <w:pPr>
        <w:pStyle w:val="OdstavecASR"/>
      </w:pPr>
      <w:r w:rsidRPr="00A00187">
        <w:t xml:space="preserve">Soudu, který především v letech 2015 až 2017 čelil velké případové zátěži, se tak alespoň částečně ulevilo. Výše uvedené se projevilo i v poklesu v počtu vyřízených věcí (mezi příchozími a vyřízenými věcmi je logicky velmi silná závislost). Počet vyřízených věcí ale stále v posledních </w:t>
      </w:r>
      <w:r w:rsidR="00477D21" w:rsidRPr="00A00187">
        <w:t>čtyřech</w:t>
      </w:r>
      <w:r w:rsidRPr="00A00187">
        <w:t xml:space="preserve"> letech převýšil počet věcí příchozích. Došlo tedy k poklesu počtu nevyřízených věcí. Od roku 2017 klesl počet nevyřízených věcí z 2884 na 1</w:t>
      </w:r>
      <w:r w:rsidR="00477D21" w:rsidRPr="00A00187">
        <w:t>569</w:t>
      </w:r>
      <w:r w:rsidRPr="00A00187">
        <w:t>, tedy o 4</w:t>
      </w:r>
      <w:r w:rsidR="00477D21" w:rsidRPr="00A00187">
        <w:t>6</w:t>
      </w:r>
      <w:r w:rsidR="00CB570A">
        <w:t> %</w:t>
      </w:r>
      <w:r w:rsidRPr="00A00187">
        <w:t>.</w:t>
      </w:r>
    </w:p>
    <w:p w14:paraId="1A52993D" w14:textId="0765E313" w:rsidR="00B6463A" w:rsidRPr="00A00187" w:rsidRDefault="0098266B" w:rsidP="0098266B">
      <w:pPr>
        <w:pStyle w:val="Podnadpis"/>
        <w:rPr>
          <w:color w:val="auto"/>
        </w:rPr>
      </w:pPr>
      <w:bookmarkStart w:id="1221" w:name="_Toc43841482"/>
      <w:bookmarkStart w:id="1222" w:name="_Toc75952285"/>
      <w:bookmarkStart w:id="1223" w:name="_Toc106106741"/>
      <w:bookmarkStart w:id="1224" w:name="_Toc109802065"/>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107</w:t>
      </w:r>
      <w:r w:rsidR="008457EB" w:rsidRPr="00A00187">
        <w:rPr>
          <w:noProof/>
          <w:color w:val="auto"/>
        </w:rPr>
        <w:fldChar w:fldCharType="end"/>
      </w:r>
      <w:r w:rsidRPr="00A00187">
        <w:rPr>
          <w:color w:val="auto"/>
        </w:rPr>
        <w:t>: NS – vyřizování civilní dovolací agendy v letech 2008–20</w:t>
      </w:r>
      <w:bookmarkEnd w:id="1221"/>
      <w:r w:rsidRPr="00A00187">
        <w:rPr>
          <w:color w:val="auto"/>
        </w:rPr>
        <w:t>2</w:t>
      </w:r>
      <w:bookmarkEnd w:id="1222"/>
      <w:r w:rsidRPr="00A00187">
        <w:rPr>
          <w:color w:val="auto"/>
        </w:rPr>
        <w:t>1</w:t>
      </w:r>
      <w:bookmarkEnd w:id="1223"/>
      <w:bookmarkEnd w:id="1224"/>
    </w:p>
    <w:p w14:paraId="092E9763" w14:textId="2D049619" w:rsidR="007C47AB" w:rsidRPr="00A00187" w:rsidRDefault="00A73C47" w:rsidP="007C47AB">
      <w:r w:rsidRPr="00A00187">
        <w:rPr>
          <w:noProof/>
        </w:rPr>
        <w:drawing>
          <wp:inline distT="0" distB="0" distL="0" distR="0" wp14:anchorId="1DBDB470" wp14:editId="37EA27C6">
            <wp:extent cx="5029200" cy="3657600"/>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7CD8E8" w14:textId="03430ECB" w:rsidR="008430BD" w:rsidRPr="00A00187" w:rsidRDefault="008430BD" w:rsidP="008430BD">
      <w:pPr>
        <w:pStyle w:val="Nadpis2"/>
        <w:pageBreakBefore/>
        <w:numPr>
          <w:ilvl w:val="1"/>
          <w:numId w:val="1"/>
        </w:numPr>
        <w:spacing w:before="120"/>
        <w:rPr>
          <w:color w:val="auto"/>
        </w:rPr>
      </w:pPr>
      <w:bookmarkStart w:id="1225" w:name="_Toc515871300"/>
      <w:bookmarkStart w:id="1226" w:name="_Toc106092815"/>
      <w:bookmarkStart w:id="1227" w:name="_Toc109801426"/>
      <w:bookmarkEnd w:id="1218"/>
      <w:bookmarkEnd w:id="1219"/>
      <w:r w:rsidRPr="00A00187">
        <w:rPr>
          <w:color w:val="auto"/>
        </w:rPr>
        <w:lastRenderedPageBreak/>
        <w:t>Trestní dovolací agenda</w:t>
      </w:r>
      <w:bookmarkEnd w:id="1225"/>
      <w:bookmarkEnd w:id="1226"/>
      <w:bookmarkEnd w:id="1227"/>
    </w:p>
    <w:p w14:paraId="5B7A9D1C" w14:textId="56800FCB" w:rsidR="004A29E4" w:rsidRPr="00A00187" w:rsidRDefault="004A29E4" w:rsidP="004A29E4">
      <w:r w:rsidRPr="00A00187">
        <w:t xml:space="preserve">Jak již bylo řečeno, jedná se o rejstřík </w:t>
      </w:r>
      <w:proofErr w:type="spellStart"/>
      <w:r w:rsidRPr="00A00187">
        <w:t>Tdo</w:t>
      </w:r>
      <w:proofErr w:type="spellEnd"/>
      <w:r w:rsidRPr="00A00187">
        <w:t>.</w:t>
      </w:r>
    </w:p>
    <w:p w14:paraId="1772F872" w14:textId="486B05C4" w:rsidR="006B2738" w:rsidRPr="00A00187" w:rsidRDefault="008430BD" w:rsidP="008430BD">
      <w:pPr>
        <w:pStyle w:val="Nadpis3"/>
        <w:numPr>
          <w:ilvl w:val="2"/>
          <w:numId w:val="1"/>
        </w:numPr>
        <w:rPr>
          <w:color w:val="auto"/>
          <w:lang w:eastAsia="cs-CZ"/>
        </w:rPr>
      </w:pPr>
      <w:bookmarkStart w:id="1228" w:name="_Toc515871301"/>
      <w:bookmarkStart w:id="1229" w:name="_Toc106092816"/>
      <w:bookmarkStart w:id="1230" w:name="_Toc109801427"/>
      <w:r w:rsidRPr="00A00187">
        <w:rPr>
          <w:color w:val="auto"/>
          <w:lang w:eastAsia="cs-CZ"/>
        </w:rPr>
        <w:t>Vyřizování věcí</w:t>
      </w:r>
      <w:bookmarkEnd w:id="1228"/>
      <w:bookmarkEnd w:id="1229"/>
      <w:bookmarkEnd w:id="1230"/>
    </w:p>
    <w:p w14:paraId="6B7DAB2F" w14:textId="5F6E06A7" w:rsidR="00E7259A" w:rsidRPr="00A00187" w:rsidRDefault="00E7259A" w:rsidP="00E7259A">
      <w:pPr>
        <w:pStyle w:val="Podnadpis"/>
        <w:numPr>
          <w:ilvl w:val="0"/>
          <w:numId w:val="0"/>
        </w:numPr>
        <w:rPr>
          <w:color w:val="auto"/>
        </w:rPr>
      </w:pPr>
      <w:bookmarkStart w:id="1231" w:name="_Toc515871426"/>
      <w:bookmarkStart w:id="1232" w:name="_Toc11135157"/>
      <w:bookmarkStart w:id="1233" w:name="_Toc43841483"/>
      <w:bookmarkStart w:id="1234" w:name="_Toc75952286"/>
      <w:bookmarkStart w:id="1235" w:name="_Toc106106742"/>
      <w:bookmarkStart w:id="1236" w:name="_Toc109802066"/>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108</w:t>
      </w:r>
      <w:r w:rsidRPr="00A00187">
        <w:rPr>
          <w:noProof/>
          <w:color w:val="auto"/>
        </w:rPr>
        <w:fldChar w:fldCharType="end"/>
      </w:r>
      <w:r w:rsidRPr="00A00187">
        <w:rPr>
          <w:color w:val="auto"/>
        </w:rPr>
        <w:t>: NS – vyřizování trestní dovolací agendy v letech 2008–20</w:t>
      </w:r>
      <w:bookmarkEnd w:id="1231"/>
      <w:bookmarkEnd w:id="1232"/>
      <w:bookmarkEnd w:id="1233"/>
      <w:r w:rsidRPr="00A00187">
        <w:rPr>
          <w:color w:val="auto"/>
        </w:rPr>
        <w:t>2</w:t>
      </w:r>
      <w:bookmarkEnd w:id="1234"/>
      <w:r w:rsidRPr="00A00187">
        <w:rPr>
          <w:color w:val="auto"/>
        </w:rPr>
        <w:t>1</w:t>
      </w:r>
      <w:bookmarkEnd w:id="1235"/>
      <w:bookmarkEnd w:id="1236"/>
    </w:p>
    <w:p w14:paraId="6C924D5C" w14:textId="5E9600F5" w:rsidR="00411A9F" w:rsidRPr="00A00187" w:rsidRDefault="00411A9F">
      <w:pPr>
        <w:spacing w:after="160" w:line="259" w:lineRule="auto"/>
        <w:jc w:val="left"/>
        <w:rPr>
          <w:lang w:eastAsia="cs-CZ"/>
        </w:rPr>
      </w:pPr>
      <w:r w:rsidRPr="00A00187">
        <w:rPr>
          <w:noProof/>
          <w:lang w:eastAsia="cs-CZ"/>
        </w:rPr>
        <w:drawing>
          <wp:inline distT="0" distB="0" distL="0" distR="0" wp14:anchorId="7B9CD588" wp14:editId="5002D559">
            <wp:extent cx="5029200" cy="3657600"/>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375B285" w14:textId="777022E7" w:rsidR="00411A9F" w:rsidRPr="00A00187" w:rsidRDefault="00411A9F" w:rsidP="00411A9F">
      <w:pPr>
        <w:pStyle w:val="OdstavecASR"/>
      </w:pPr>
      <w:r w:rsidRPr="00A00187">
        <w:t xml:space="preserve">Trestní kolegium čelí mnohem menším změnám v nápadu než kolegium občanskoprávní a obchodní. V agendě </w:t>
      </w:r>
      <w:proofErr w:type="spellStart"/>
      <w:r w:rsidRPr="00A00187">
        <w:t>Tdo</w:t>
      </w:r>
      <w:proofErr w:type="spellEnd"/>
      <w:r w:rsidRPr="00A00187">
        <w:t xml:space="preserve"> byl nicméně v letech 2013 až 2016 patrný mírný rostoucí trend v počtu napadlých věcí, což se zřejmě projevilo i v mírném růstu v počtu nevyřízených věcí. V roce 2017 nápad poklesl a počet nevyřízených věcí se díky tomu vrátil přibližně na úroveň roku 2013, na které zůstal i v letech 2018 a 2019. Počet vyřízených věcí byl dokonce v letech 2018 a 2019 zcela totožný. V letech 2020 </w:t>
      </w:r>
      <w:r w:rsidR="00755920" w:rsidRPr="00A00187">
        <w:t>a</w:t>
      </w:r>
      <w:r w:rsidR="00755920">
        <w:t> </w:t>
      </w:r>
      <w:r w:rsidRPr="00A00187">
        <w:t xml:space="preserve">2021 došlo k poklesu v počtu příchozích věcí, který je na poměry této agendy </w:t>
      </w:r>
      <w:r w:rsidR="001858DD" w:rsidRPr="00A00187">
        <w:t xml:space="preserve">poměrně </w:t>
      </w:r>
      <w:r w:rsidRPr="00A00187">
        <w:t>výrazný. To lze připsat především poklesu druhostupňové trestní agendy u krajských soudů, která zase plyne z poklesu prvostupňové agendy u soud</w:t>
      </w:r>
      <w:r w:rsidR="001858DD" w:rsidRPr="00A00187">
        <w:t>ů</w:t>
      </w:r>
      <w:r w:rsidRPr="00A00187">
        <w:t xml:space="preserve"> okresních. Počet nevyřízených věcí je v poměru k nápadu a k vyřízeným věcem </w:t>
      </w:r>
      <w:r w:rsidR="00EB4326" w:rsidRPr="00A00187">
        <w:t xml:space="preserve">stabilní </w:t>
      </w:r>
      <w:r w:rsidR="00755920" w:rsidRPr="00A00187">
        <w:t>a</w:t>
      </w:r>
      <w:r w:rsidR="00755920">
        <w:t> </w:t>
      </w:r>
      <w:r w:rsidRPr="00A00187">
        <w:t>stále velmi nízk</w:t>
      </w:r>
      <w:r w:rsidR="00285CDF" w:rsidRPr="00A00187">
        <w:t>ý.</w:t>
      </w:r>
    </w:p>
    <w:p w14:paraId="0DAA9681" w14:textId="7C18DEC5" w:rsidR="005677B0" w:rsidRPr="00A00187" w:rsidRDefault="005677B0" w:rsidP="00411A9F">
      <w:pPr>
        <w:pStyle w:val="OdstavecASR"/>
      </w:pPr>
    </w:p>
    <w:p w14:paraId="4CC91D00" w14:textId="43AEB630" w:rsidR="006B2738" w:rsidRPr="00A00187" w:rsidRDefault="006B2738">
      <w:pPr>
        <w:spacing w:after="160" w:line="259" w:lineRule="auto"/>
        <w:jc w:val="left"/>
        <w:rPr>
          <w:rFonts w:eastAsia="Times New Roman"/>
          <w:b/>
          <w:bCs/>
          <w:lang w:eastAsia="cs-CZ"/>
        </w:rPr>
      </w:pPr>
      <w:r w:rsidRPr="00A00187">
        <w:rPr>
          <w:lang w:eastAsia="cs-CZ"/>
        </w:rPr>
        <w:br w:type="page"/>
      </w:r>
    </w:p>
    <w:p w14:paraId="35A390A6" w14:textId="63B3EB71" w:rsidR="008430BD" w:rsidRPr="00A00187" w:rsidRDefault="008430BD" w:rsidP="008430BD">
      <w:pPr>
        <w:pStyle w:val="Nadpis2"/>
        <w:numPr>
          <w:ilvl w:val="1"/>
          <w:numId w:val="1"/>
        </w:numPr>
        <w:spacing w:before="120"/>
        <w:rPr>
          <w:color w:val="auto"/>
        </w:rPr>
      </w:pPr>
      <w:bookmarkStart w:id="1237" w:name="_Toc487791304"/>
      <w:bookmarkStart w:id="1238" w:name="_Toc515871302"/>
      <w:bookmarkStart w:id="1239" w:name="_Toc106092817"/>
      <w:bookmarkStart w:id="1240" w:name="_Toc109801428"/>
      <w:r w:rsidRPr="00A00187">
        <w:rPr>
          <w:color w:val="auto"/>
        </w:rPr>
        <w:lastRenderedPageBreak/>
        <w:t>Stížnosti pro porušení zákona</w:t>
      </w:r>
      <w:bookmarkEnd w:id="1237"/>
      <w:bookmarkEnd w:id="1238"/>
      <w:bookmarkEnd w:id="1239"/>
      <w:bookmarkEnd w:id="1240"/>
    </w:p>
    <w:p w14:paraId="68C62733" w14:textId="77777777" w:rsidR="00411A9F" w:rsidRPr="00A00187" w:rsidRDefault="00411A9F" w:rsidP="00411A9F">
      <w:pPr>
        <w:pStyle w:val="OdstavecASR"/>
      </w:pPr>
      <w:r w:rsidRPr="00A00187">
        <w:t xml:space="preserve">Popis této agendy lze najít v seznamu použitých pojmů (příloha). Jedná se o rejstřík označený jako </w:t>
      </w:r>
      <w:proofErr w:type="spellStart"/>
      <w:r w:rsidRPr="00A00187">
        <w:t>Tz</w:t>
      </w:r>
      <w:proofErr w:type="spellEnd"/>
      <w:r w:rsidRPr="00A00187">
        <w:t>. Agendu vyřizuje trestní kolegium Nejvyššího soudu.</w:t>
      </w:r>
    </w:p>
    <w:p w14:paraId="5CF74374" w14:textId="2D14DDFE" w:rsidR="006B2738" w:rsidRPr="00A00187" w:rsidRDefault="008430BD" w:rsidP="008430BD">
      <w:pPr>
        <w:pStyle w:val="Nadpis3"/>
        <w:numPr>
          <w:ilvl w:val="2"/>
          <w:numId w:val="1"/>
        </w:numPr>
        <w:rPr>
          <w:color w:val="auto"/>
          <w:lang w:eastAsia="cs-CZ"/>
        </w:rPr>
      </w:pPr>
      <w:bookmarkStart w:id="1241" w:name="_Toc515871303"/>
      <w:bookmarkStart w:id="1242" w:name="_Toc106092818"/>
      <w:bookmarkStart w:id="1243" w:name="_Toc109801429"/>
      <w:r w:rsidRPr="00A00187">
        <w:rPr>
          <w:color w:val="auto"/>
          <w:lang w:eastAsia="cs-CZ"/>
        </w:rPr>
        <w:t>Vyřizování věcí</w:t>
      </w:r>
      <w:bookmarkEnd w:id="1241"/>
      <w:bookmarkEnd w:id="1242"/>
      <w:bookmarkEnd w:id="1243"/>
    </w:p>
    <w:p w14:paraId="56F06654" w14:textId="3F9E1E3F" w:rsidR="00411A9F" w:rsidRPr="00A00187" w:rsidRDefault="00411A9F" w:rsidP="00411A9F">
      <w:pPr>
        <w:pStyle w:val="Podnadpis"/>
        <w:numPr>
          <w:ilvl w:val="0"/>
          <w:numId w:val="0"/>
        </w:numPr>
        <w:rPr>
          <w:color w:val="auto"/>
        </w:rPr>
      </w:pPr>
      <w:bookmarkStart w:id="1244" w:name="_Toc515871427"/>
      <w:bookmarkStart w:id="1245" w:name="_Toc11135158"/>
      <w:bookmarkStart w:id="1246" w:name="_Toc43841484"/>
      <w:bookmarkStart w:id="1247" w:name="_Toc75952287"/>
      <w:bookmarkStart w:id="1248" w:name="_Toc106106743"/>
      <w:bookmarkStart w:id="1249" w:name="_Toc109802067"/>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109</w:t>
      </w:r>
      <w:r w:rsidRPr="00A00187">
        <w:rPr>
          <w:color w:val="auto"/>
        </w:rPr>
        <w:fldChar w:fldCharType="end"/>
      </w:r>
      <w:r w:rsidRPr="00A00187">
        <w:rPr>
          <w:color w:val="auto"/>
        </w:rPr>
        <w:t>: NS – vyřizování stížností pro porušení zákona v letech 2010–20</w:t>
      </w:r>
      <w:bookmarkEnd w:id="1244"/>
      <w:bookmarkEnd w:id="1245"/>
      <w:bookmarkEnd w:id="1246"/>
      <w:r w:rsidRPr="00A00187">
        <w:rPr>
          <w:color w:val="auto"/>
        </w:rPr>
        <w:t>2</w:t>
      </w:r>
      <w:bookmarkEnd w:id="1247"/>
      <w:r w:rsidRPr="00A00187">
        <w:rPr>
          <w:color w:val="auto"/>
        </w:rPr>
        <w:t>1</w:t>
      </w:r>
      <w:bookmarkEnd w:id="1248"/>
      <w:bookmarkEnd w:id="1249"/>
    </w:p>
    <w:p w14:paraId="5B8FB4A5" w14:textId="77777777" w:rsidR="00411A9F" w:rsidRPr="00A00187" w:rsidRDefault="00411A9F">
      <w:pPr>
        <w:spacing w:after="160" w:line="259" w:lineRule="auto"/>
        <w:jc w:val="left"/>
        <w:rPr>
          <w:lang w:eastAsia="cs-CZ"/>
        </w:rPr>
      </w:pPr>
      <w:r w:rsidRPr="00A00187">
        <w:rPr>
          <w:noProof/>
          <w:lang w:eastAsia="cs-CZ"/>
        </w:rPr>
        <w:drawing>
          <wp:inline distT="0" distB="0" distL="0" distR="0" wp14:anchorId="3F998FD5" wp14:editId="1E4EF673">
            <wp:extent cx="5029200" cy="365760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7854ADB" w14:textId="77ED8A48" w:rsidR="006B2738" w:rsidRPr="00A00187" w:rsidRDefault="00411A9F" w:rsidP="00F30920">
      <w:pPr>
        <w:pStyle w:val="OdstavecASR"/>
        <w:rPr>
          <w:rFonts w:eastAsia="Times New Roman"/>
          <w:b/>
          <w:bCs/>
          <w:lang w:eastAsia="cs-CZ"/>
        </w:rPr>
      </w:pPr>
      <w:r w:rsidRPr="00A00187">
        <w:t xml:space="preserve">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větší či menší důraz na určitou problematiku. </w:t>
      </w:r>
      <w:r w:rsidR="00FC1329" w:rsidRPr="00A00187">
        <w:t>Jak ji</w:t>
      </w:r>
      <w:r w:rsidR="001858DD" w:rsidRPr="00A00187">
        <w:t>ž</w:t>
      </w:r>
      <w:r w:rsidR="00FC1329" w:rsidRPr="00A00187">
        <w:t xml:space="preserve"> bylo řečeno, nápad v agendě je značně volatilní. Nárůst napadlých stížností v roce 2021 </w:t>
      </w:r>
      <w:r w:rsidR="001858DD" w:rsidRPr="00A00187">
        <w:t>má ale do značné míry specifické vysvětlení související s pandemií onemocnění COVID-19. Jak totiž konstatovala tehdejší ministryně spravedlnosti</w:t>
      </w:r>
      <w:r w:rsidR="00FA7D36">
        <w:t>:</w:t>
      </w:r>
      <w:r w:rsidR="001858DD" w:rsidRPr="00A00187">
        <w:t xml:space="preserve"> </w:t>
      </w:r>
      <w:r w:rsidR="00FC1329" w:rsidRPr="00A00187">
        <w:t>„</w:t>
      </w:r>
      <w:r w:rsidR="00755920" w:rsidRPr="00A00187">
        <w:t>V</w:t>
      </w:r>
      <w:r w:rsidR="00755920">
        <w:t> </w:t>
      </w:r>
      <w:r w:rsidR="00FC1329" w:rsidRPr="00A00187">
        <w:t xml:space="preserve">důsledku vyhlášení nouzového stavu státu </w:t>
      </w:r>
      <w:r w:rsidR="00755920" w:rsidRPr="00A00187">
        <w:t>v</w:t>
      </w:r>
      <w:r w:rsidR="00755920">
        <w:t> </w:t>
      </w:r>
      <w:r w:rsidR="00FC1329" w:rsidRPr="00A00187">
        <w:t xml:space="preserve">souvislosti </w:t>
      </w:r>
      <w:r w:rsidR="00755920" w:rsidRPr="00A00187">
        <w:t>s</w:t>
      </w:r>
      <w:r w:rsidR="00755920">
        <w:t> </w:t>
      </w:r>
      <w:r w:rsidR="00FC1329" w:rsidRPr="00A00187">
        <w:t>pandemií onemocnění COVID-19 na území České republiky</w:t>
      </w:r>
      <w:r w:rsidR="005C6C65" w:rsidRPr="00A00187">
        <w:t xml:space="preserve"> </w:t>
      </w:r>
      <w:r w:rsidR="00FC1329" w:rsidRPr="00A00187">
        <w:t xml:space="preserve">vznikly </w:t>
      </w:r>
      <w:r w:rsidR="00755920" w:rsidRPr="00A00187">
        <w:t>v</w:t>
      </w:r>
      <w:r w:rsidR="00755920">
        <w:t> </w:t>
      </w:r>
      <w:r w:rsidR="00FC1329" w:rsidRPr="00A00187">
        <w:t xml:space="preserve">soudní rozhodovací praxi nejasnosti </w:t>
      </w:r>
      <w:r w:rsidR="00755920" w:rsidRPr="00A00187">
        <w:t>a</w:t>
      </w:r>
      <w:r w:rsidR="00755920">
        <w:t> </w:t>
      </w:r>
      <w:r w:rsidR="00FC1329" w:rsidRPr="00A00187">
        <w:t xml:space="preserve">rozpory ohledně výkladu kvalifikovaných skutkových podstat vztahujících se </w:t>
      </w:r>
      <w:r w:rsidR="00755920" w:rsidRPr="00A00187">
        <w:t>k</w:t>
      </w:r>
      <w:r w:rsidR="00755920">
        <w:t> </w:t>
      </w:r>
      <w:r w:rsidR="00FC1329" w:rsidRPr="00A00187">
        <w:t xml:space="preserve">trestným činům spáchaným za </w:t>
      </w:r>
      <w:r w:rsidR="001858DD" w:rsidRPr="00A00187">
        <w:t>‚</w:t>
      </w:r>
      <w:r w:rsidR="00FC1329" w:rsidRPr="00A00187">
        <w:t xml:space="preserve">jiné události vážně ohrožující život nebo zdraví lidí, veřejný pořádek nebo majetek, </w:t>
      </w:r>
      <w:r w:rsidR="00755920" w:rsidRPr="00A00187">
        <w:t>a</w:t>
      </w:r>
      <w:r w:rsidR="00755920">
        <w:t> </w:t>
      </w:r>
      <w:r w:rsidR="00FC1329" w:rsidRPr="00A00187">
        <w:t xml:space="preserve">zejména pak kvalifikované skutkové podstaty trestného činu krádeže upravené </w:t>
      </w:r>
      <w:r w:rsidR="00755920" w:rsidRPr="00A00187">
        <w:t>v</w:t>
      </w:r>
      <w:r w:rsidR="00755920">
        <w:t> </w:t>
      </w:r>
      <w:r w:rsidR="00FC1329" w:rsidRPr="00A00187">
        <w:t>§</w:t>
      </w:r>
      <w:r w:rsidR="00755920">
        <w:t> </w:t>
      </w:r>
      <w:r w:rsidR="00FC1329" w:rsidRPr="00A00187">
        <w:t>205 odst.</w:t>
      </w:r>
      <w:r w:rsidR="00755920">
        <w:t> </w:t>
      </w:r>
      <w:r w:rsidR="00FC1329" w:rsidRPr="00A00187">
        <w:t>4 písm.</w:t>
      </w:r>
      <w:r w:rsidR="00755920">
        <w:t> </w:t>
      </w:r>
      <w:r w:rsidR="00FC1329" w:rsidRPr="00A00187">
        <w:t>b) trestního zákoníku</w:t>
      </w:r>
      <w:r w:rsidR="00FC1329" w:rsidRPr="00A00187">
        <w:rPr>
          <w:rStyle w:val="Znakapoznpodarou"/>
        </w:rPr>
        <w:footnoteReference w:id="20"/>
      </w:r>
      <w:r w:rsidR="00FC1329" w:rsidRPr="00A00187">
        <w:t xml:space="preserve">.“ </w:t>
      </w:r>
      <w:r w:rsidR="001858DD" w:rsidRPr="00A00187">
        <w:t>Tyto rozpory pak byly řešeny právě podáváním vyššího počtu stížností pro porušení zákona.</w:t>
      </w:r>
      <w:r w:rsidR="00FC1329" w:rsidRPr="00A00187">
        <w:t xml:space="preserve"> Jak je z grafu patrné, jedná se </w:t>
      </w:r>
      <w:r w:rsidR="001858DD" w:rsidRPr="00A00187">
        <w:t xml:space="preserve">nicméně </w:t>
      </w:r>
      <w:r w:rsidR="00FC1329" w:rsidRPr="00A00187">
        <w:t>o agendu, kterou soud vyřizuje bez jakýchkoliv problémů.</w:t>
      </w:r>
    </w:p>
    <w:p w14:paraId="7112EA32" w14:textId="4D693963" w:rsidR="008430BD" w:rsidRPr="00A00187" w:rsidRDefault="008430BD" w:rsidP="008430BD">
      <w:pPr>
        <w:pStyle w:val="Nadpis2"/>
        <w:numPr>
          <w:ilvl w:val="1"/>
          <w:numId w:val="1"/>
        </w:numPr>
        <w:spacing w:before="120"/>
        <w:rPr>
          <w:color w:val="auto"/>
        </w:rPr>
      </w:pPr>
      <w:bookmarkStart w:id="1250" w:name="_Toc515871304"/>
      <w:bookmarkStart w:id="1251" w:name="_Toc106092819"/>
      <w:bookmarkStart w:id="1252" w:name="_Toc109801430"/>
      <w:r w:rsidRPr="00A00187">
        <w:rPr>
          <w:color w:val="auto"/>
        </w:rPr>
        <w:lastRenderedPageBreak/>
        <w:t>Insolvenční agenda</w:t>
      </w:r>
      <w:bookmarkEnd w:id="1250"/>
      <w:bookmarkEnd w:id="1251"/>
      <w:bookmarkEnd w:id="1252"/>
    </w:p>
    <w:p w14:paraId="0FF7ECB7" w14:textId="77777777" w:rsidR="00FC1329" w:rsidRPr="00A00187" w:rsidRDefault="00FC1329" w:rsidP="00FC1329">
      <w:pPr>
        <w:pStyle w:val="OdstavecASR"/>
      </w:pPr>
      <w:r w:rsidRPr="00A00187">
        <w:t>Jedná se o rejstřík NSČR – věci předložené soudu k rozhodnutí v insolvenčním řízení (dovolání, příslušnost soudů a vyloučení soudců v insolvenčním řízení). Rejstřík spadá pod civilní úsek Nejvyššího soudu, tedy občanskoprávní a obchodní kolegium.</w:t>
      </w:r>
    </w:p>
    <w:p w14:paraId="4EAEC0FC" w14:textId="048DAAC2" w:rsidR="008430BD" w:rsidRPr="00A00187" w:rsidRDefault="008430BD" w:rsidP="008430BD">
      <w:pPr>
        <w:pStyle w:val="Nadpis3"/>
        <w:numPr>
          <w:ilvl w:val="2"/>
          <w:numId w:val="1"/>
        </w:numPr>
        <w:rPr>
          <w:color w:val="auto"/>
        </w:rPr>
      </w:pPr>
      <w:bookmarkStart w:id="1253" w:name="_Toc515871305"/>
      <w:bookmarkStart w:id="1254" w:name="_Toc106092820"/>
      <w:bookmarkStart w:id="1255" w:name="_Toc109801431"/>
      <w:r w:rsidRPr="00A00187">
        <w:rPr>
          <w:color w:val="auto"/>
        </w:rPr>
        <w:t>Vyřizování věcí</w:t>
      </w:r>
      <w:bookmarkEnd w:id="1253"/>
      <w:bookmarkEnd w:id="1254"/>
      <w:bookmarkEnd w:id="1255"/>
    </w:p>
    <w:p w14:paraId="2B5898D3" w14:textId="7F3DBA53" w:rsidR="004F768E" w:rsidRPr="00A00187" w:rsidRDefault="004F768E" w:rsidP="004F768E">
      <w:pPr>
        <w:pStyle w:val="Podnadpis"/>
        <w:numPr>
          <w:ilvl w:val="0"/>
          <w:numId w:val="0"/>
        </w:numPr>
        <w:rPr>
          <w:color w:val="auto"/>
        </w:rPr>
      </w:pPr>
      <w:bookmarkStart w:id="1256" w:name="_Toc515871428"/>
      <w:bookmarkStart w:id="1257" w:name="_Toc11135159"/>
      <w:bookmarkStart w:id="1258" w:name="_Toc43841485"/>
      <w:bookmarkStart w:id="1259" w:name="_Toc75952288"/>
      <w:bookmarkStart w:id="1260" w:name="_Toc106106744"/>
      <w:bookmarkStart w:id="1261" w:name="_Toc109802068"/>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110</w:t>
      </w:r>
      <w:r w:rsidRPr="00A00187">
        <w:rPr>
          <w:color w:val="auto"/>
        </w:rPr>
        <w:fldChar w:fldCharType="end"/>
      </w:r>
      <w:r w:rsidRPr="00A00187">
        <w:rPr>
          <w:color w:val="auto"/>
        </w:rPr>
        <w:t>: NS – vyřizování insolvenční dovolací agendy v letech 2010–20</w:t>
      </w:r>
      <w:bookmarkEnd w:id="1256"/>
      <w:bookmarkEnd w:id="1257"/>
      <w:bookmarkEnd w:id="1258"/>
      <w:r w:rsidRPr="00A00187">
        <w:rPr>
          <w:color w:val="auto"/>
        </w:rPr>
        <w:t>2</w:t>
      </w:r>
      <w:bookmarkEnd w:id="1259"/>
      <w:r w:rsidRPr="00A00187">
        <w:rPr>
          <w:color w:val="auto"/>
        </w:rPr>
        <w:t>1</w:t>
      </w:r>
      <w:bookmarkEnd w:id="1260"/>
      <w:bookmarkEnd w:id="1261"/>
    </w:p>
    <w:p w14:paraId="424DC7AE" w14:textId="4534E7A6" w:rsidR="00A21CB5" w:rsidRPr="00A00187" w:rsidRDefault="00A21CB5" w:rsidP="00A21CB5">
      <w:r w:rsidRPr="00A00187">
        <w:rPr>
          <w:noProof/>
        </w:rPr>
        <w:drawing>
          <wp:inline distT="0" distB="0" distL="0" distR="0" wp14:anchorId="43825F7C" wp14:editId="64525287">
            <wp:extent cx="5029200" cy="3657600"/>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226B5D4" w14:textId="77777777" w:rsidR="00A21CB5" w:rsidRPr="00A00187" w:rsidRDefault="00A21CB5" w:rsidP="00A21CB5"/>
    <w:p w14:paraId="2EF1D218" w14:textId="07D3F8D3" w:rsidR="00CB570A" w:rsidRDefault="00A21CB5" w:rsidP="00A21CB5">
      <w:pPr>
        <w:pStyle w:val="OdstavecASR"/>
      </w:pPr>
      <w:r w:rsidRPr="00A00187">
        <w:t>Agenda je velmi malá, ale až do roku 2016 postupně rostla. V roce 2017 poprvé došlo k poklesu v počtu napadlých věcí, který pokračoval i v roce 2018. Růst a následný pokles nápadu v letech 2017 až 2021 plyne především z obdobného vývoje ve vyřizování druhoinstanční insolvenční agendy u vrchních soudů (</w:t>
      </w:r>
      <w:r w:rsidRPr="00A00187">
        <w:fldChar w:fldCharType="begin"/>
      </w:r>
      <w:r w:rsidRPr="00A00187">
        <w:instrText xml:space="preserve"> REF  _Ref43837240 \h \* Lower </w:instrText>
      </w:r>
      <w:r w:rsidRPr="00A00187">
        <w:fldChar w:fldCharType="separate"/>
      </w:r>
      <w:r w:rsidR="00DE6B5E" w:rsidRPr="00A00187">
        <w:t xml:space="preserve">graf </w:t>
      </w:r>
      <w:r w:rsidR="00DE6B5E">
        <w:rPr>
          <w:noProof/>
        </w:rPr>
        <w:t>98</w:t>
      </w:r>
      <w:r w:rsidRPr="00A00187">
        <w:fldChar w:fldCharType="end"/>
      </w:r>
      <w:r w:rsidRPr="00A00187">
        <w:t xml:space="preserve">). V roce 2021 došlo v druhoinstanční agendě k určitému nárůstu </w:t>
      </w:r>
      <w:r w:rsidR="00755920" w:rsidRPr="00A00187">
        <w:t>u</w:t>
      </w:r>
      <w:r w:rsidR="00755920">
        <w:t> </w:t>
      </w:r>
      <w:r w:rsidRPr="00A00187">
        <w:t>VS v Praze</w:t>
      </w:r>
      <w:r w:rsidR="001858DD" w:rsidRPr="00A00187">
        <w:t>;</w:t>
      </w:r>
      <w:r w:rsidRPr="00A00187">
        <w:t xml:space="preserve"> je tedy otázk</w:t>
      </w:r>
      <w:r w:rsidR="001858DD" w:rsidRPr="00A00187">
        <w:t>ou</w:t>
      </w:r>
      <w:r w:rsidRPr="00A00187">
        <w:t xml:space="preserve">, zda se </w:t>
      </w:r>
      <w:r w:rsidR="001858DD" w:rsidRPr="00A00187">
        <w:t xml:space="preserve">tento vývoj </w:t>
      </w:r>
      <w:r w:rsidRPr="00A00187">
        <w:t xml:space="preserve">do budoucna projeví </w:t>
      </w:r>
      <w:r w:rsidR="00755920" w:rsidRPr="00A00187">
        <w:t>i</w:t>
      </w:r>
      <w:r w:rsidR="00755920">
        <w:t> </w:t>
      </w:r>
      <w:r w:rsidR="00755920" w:rsidRPr="00A00187">
        <w:t>v</w:t>
      </w:r>
      <w:r w:rsidR="00755920">
        <w:t> </w:t>
      </w:r>
      <w:r w:rsidRPr="00A00187">
        <w:t xml:space="preserve">agendě </w:t>
      </w:r>
      <w:r w:rsidR="001858DD" w:rsidRPr="00A00187">
        <w:t>N</w:t>
      </w:r>
      <w:r w:rsidRPr="00A00187">
        <w:t>ejvyššího soudu.</w:t>
      </w:r>
    </w:p>
    <w:p w14:paraId="49DC8149" w14:textId="1BA54918" w:rsidR="004F768E" w:rsidRPr="00A00187" w:rsidRDefault="004F768E" w:rsidP="004F768E"/>
    <w:p w14:paraId="656D47C0" w14:textId="77777777" w:rsidR="008430BD" w:rsidRPr="00A00187" w:rsidRDefault="008430BD" w:rsidP="008430BD">
      <w:pPr>
        <w:spacing w:line="240" w:lineRule="auto"/>
        <w:jc w:val="left"/>
      </w:pPr>
      <w:r w:rsidRPr="00A00187">
        <w:br w:type="page"/>
      </w:r>
    </w:p>
    <w:p w14:paraId="2C666DBD" w14:textId="61AF9B0D" w:rsidR="008430BD" w:rsidRPr="00A00187" w:rsidRDefault="008430BD" w:rsidP="008430BD">
      <w:pPr>
        <w:pStyle w:val="Nadpis1"/>
        <w:pageBreakBefore/>
        <w:numPr>
          <w:ilvl w:val="0"/>
          <w:numId w:val="1"/>
        </w:numPr>
        <w:spacing w:after="120"/>
        <w:rPr>
          <w:lang w:eastAsia="cs-CZ"/>
        </w:rPr>
      </w:pPr>
      <w:bookmarkStart w:id="1262" w:name="_Toc515871306"/>
      <w:bookmarkStart w:id="1263" w:name="_Toc106092821"/>
      <w:bookmarkStart w:id="1264" w:name="_Toc109801432"/>
      <w:r w:rsidRPr="00A00187">
        <w:rPr>
          <w:lang w:eastAsia="cs-CZ"/>
        </w:rPr>
        <w:lastRenderedPageBreak/>
        <w:t>Nejvyšší správní soud</w:t>
      </w:r>
      <w:bookmarkEnd w:id="1262"/>
      <w:bookmarkEnd w:id="1263"/>
      <w:bookmarkEnd w:id="1264"/>
    </w:p>
    <w:p w14:paraId="23952163" w14:textId="77777777" w:rsidR="00A958C0" w:rsidRPr="00A00187" w:rsidRDefault="00A958C0" w:rsidP="00A958C0">
      <w:pPr>
        <w:pStyle w:val="OdstavecASR"/>
      </w:pPr>
      <w:r w:rsidRPr="00A00187">
        <w:t>Do pravomoci Nejvyššího správního soudu (NSS) ČR, který sídlí v Brně, spadá několik druhů rozhodování, například rozhodování ve věcech volebních, rozhodování ve věcech politických stran a hnutí (rozpuštění, pozastavení nebo znovuobnovení jejich činnosti) nebo řízení ve věcech kárné odpovědnosti soudců, státních zástupců a exekutorů. Tato zpráva se soustředí výhradně na soudy a soudce, proto jsou v této zprávě zachycena data o kárném řízení pouze ve věcech soudců.</w:t>
      </w:r>
    </w:p>
    <w:p w14:paraId="2B2E8B50" w14:textId="77777777" w:rsidR="00A958C0" w:rsidRPr="00A00187" w:rsidRDefault="00A958C0" w:rsidP="00A958C0">
      <w:pPr>
        <w:pStyle w:val="OdstavecASR"/>
      </w:pPr>
      <w:r w:rsidRPr="00A00187">
        <w:t xml:space="preserve">Zdaleka nejrozsáhlejší agendou NSS je ale rozhodování o kasačních stížnostech. Do agendy kasačních stížností spadá velké množství rejstříků: </w:t>
      </w:r>
      <w:proofErr w:type="spellStart"/>
      <w:r w:rsidRPr="00A00187">
        <w:t>Azs</w:t>
      </w:r>
      <w:proofErr w:type="spellEnd"/>
      <w:r w:rsidRPr="00A00187">
        <w:t xml:space="preserve">, </w:t>
      </w:r>
      <w:proofErr w:type="spellStart"/>
      <w:r w:rsidRPr="00A00187">
        <w:t>Ads</w:t>
      </w:r>
      <w:proofErr w:type="spellEnd"/>
      <w:r w:rsidRPr="00A00187">
        <w:t xml:space="preserve">, </w:t>
      </w:r>
      <w:proofErr w:type="spellStart"/>
      <w:r w:rsidRPr="00A00187">
        <w:t>Afs</w:t>
      </w:r>
      <w:proofErr w:type="spellEnd"/>
      <w:r w:rsidRPr="00A00187">
        <w:t xml:space="preserve">, As, </w:t>
      </w:r>
      <w:proofErr w:type="spellStart"/>
      <w:r w:rsidRPr="00A00187">
        <w:t>Ans</w:t>
      </w:r>
      <w:proofErr w:type="spellEnd"/>
      <w:r w:rsidRPr="00A00187">
        <w:t xml:space="preserve">, </w:t>
      </w:r>
      <w:proofErr w:type="spellStart"/>
      <w:r w:rsidRPr="00A00187">
        <w:t>Aps</w:t>
      </w:r>
      <w:proofErr w:type="spellEnd"/>
      <w:r w:rsidRPr="00A00187">
        <w:t xml:space="preserve">, A, </w:t>
      </w:r>
      <w:proofErr w:type="spellStart"/>
      <w:r w:rsidRPr="00A00187">
        <w:t>Aos</w:t>
      </w:r>
      <w:proofErr w:type="spellEnd"/>
      <w:r w:rsidRPr="00A00187">
        <w:t xml:space="preserve"> a </w:t>
      </w:r>
      <w:proofErr w:type="spellStart"/>
      <w:r w:rsidRPr="00A00187">
        <w:t>Ars</w:t>
      </w:r>
      <w:proofErr w:type="spellEnd"/>
      <w:r w:rsidRPr="00A00187">
        <w:t>. Do některých z těchto rejstříků se již nezapisují nové věci. Věci spadají do jednotlivých rejstříků v závislosti na prvostupňové agendě, do níž směřuje kasační stížnost (finanční, azylová apod.).</w:t>
      </w:r>
    </w:p>
    <w:p w14:paraId="33A34651" w14:textId="7249D2A2" w:rsidR="00A958C0" w:rsidRPr="00A00187" w:rsidRDefault="00A958C0" w:rsidP="00A958C0">
      <w:pPr>
        <w:pStyle w:val="OdstavecASR"/>
      </w:pPr>
      <w:r w:rsidRPr="00A00187">
        <w:t xml:space="preserve">Stejně jako u NS i u NSS zachycuje tato zpráva méně ukazatelů než u ostatních soudů. Důvody jsou stejné: délka řízení </w:t>
      </w:r>
      <w:r w:rsidR="00755920" w:rsidRPr="00A00187">
        <w:t>a</w:t>
      </w:r>
      <w:r w:rsidR="00755920">
        <w:t> </w:t>
      </w:r>
      <w:r w:rsidR="001858DD" w:rsidRPr="00A00187">
        <w:t xml:space="preserve">některé </w:t>
      </w:r>
      <w:r w:rsidRPr="00A00187">
        <w:t>další statistické ukazatele nejsou k dispozici a soud je pouze jeden a není ho tedy s čím statisticky srovnávat.</w:t>
      </w:r>
    </w:p>
    <w:p w14:paraId="719A4A57" w14:textId="4B0A5CC2" w:rsidR="008430BD" w:rsidRPr="00A00187" w:rsidRDefault="008430BD" w:rsidP="008430BD">
      <w:pPr>
        <w:pStyle w:val="Nadpis2"/>
        <w:numPr>
          <w:ilvl w:val="1"/>
          <w:numId w:val="1"/>
        </w:numPr>
        <w:spacing w:before="120"/>
        <w:rPr>
          <w:color w:val="auto"/>
          <w:lang w:eastAsia="cs-CZ"/>
        </w:rPr>
      </w:pPr>
      <w:bookmarkStart w:id="1265" w:name="_Toc515871307"/>
      <w:bookmarkStart w:id="1266" w:name="_Toc106092822"/>
      <w:bookmarkStart w:id="1267" w:name="_Toc109801433"/>
      <w:r w:rsidRPr="00A00187">
        <w:rPr>
          <w:color w:val="auto"/>
          <w:lang w:eastAsia="cs-CZ"/>
        </w:rPr>
        <w:t>Personál</w:t>
      </w:r>
      <w:bookmarkEnd w:id="1265"/>
      <w:bookmarkEnd w:id="1266"/>
      <w:bookmarkEnd w:id="1267"/>
    </w:p>
    <w:p w14:paraId="679556BD" w14:textId="68A83BAA" w:rsidR="0093371F" w:rsidRPr="00A00187" w:rsidRDefault="0093371F" w:rsidP="0093371F">
      <w:pPr>
        <w:pStyle w:val="Nadpis3"/>
        <w:numPr>
          <w:ilvl w:val="2"/>
          <w:numId w:val="1"/>
        </w:numPr>
        <w:rPr>
          <w:color w:val="auto"/>
          <w:lang w:eastAsia="cs-CZ"/>
        </w:rPr>
      </w:pPr>
      <w:bookmarkStart w:id="1268" w:name="_Toc515871308"/>
      <w:bookmarkStart w:id="1269" w:name="_Toc106092823"/>
      <w:bookmarkStart w:id="1270" w:name="_Toc109801434"/>
      <w:r w:rsidRPr="00A00187">
        <w:rPr>
          <w:color w:val="auto"/>
          <w:lang w:eastAsia="cs-CZ"/>
        </w:rPr>
        <w:t>Soudci</w:t>
      </w:r>
      <w:bookmarkEnd w:id="1268"/>
      <w:bookmarkEnd w:id="1269"/>
      <w:bookmarkEnd w:id="1270"/>
    </w:p>
    <w:p w14:paraId="0A9D51EF" w14:textId="1ED7C831" w:rsidR="0040357C" w:rsidRPr="00A00187" w:rsidRDefault="0040357C" w:rsidP="0040357C">
      <w:pPr>
        <w:pStyle w:val="OdstavecASR"/>
      </w:pPr>
      <w:r w:rsidRPr="00A00187">
        <w:t>Plánovaný počet soudců je neměnný, ale v evidenčním počtu došlo k určitým změnám. V dřívějších letech se jednalo jen o malé výkyvy, v letech 2013 až 2015 však došlo k citelnému posílení soudu a evidenční počet soudců byl od roku 2015 stejně vysoký jako plánovaný počet soudců nebo vyšší. K 1.</w:t>
      </w:r>
      <w:r w:rsidR="00755920">
        <w:t> </w:t>
      </w:r>
      <w:r w:rsidRPr="00A00187">
        <w:t>1.</w:t>
      </w:r>
      <w:r w:rsidR="00755920">
        <w:t> </w:t>
      </w:r>
      <w:r w:rsidRPr="00A00187">
        <w:t>2019 činil 36 soudců, což je nejvyšší číslo za sledované období. K 1.</w:t>
      </w:r>
      <w:r w:rsidR="00755920">
        <w:t> </w:t>
      </w:r>
      <w:r w:rsidRPr="00A00187">
        <w:t>1.</w:t>
      </w:r>
      <w:r w:rsidR="00755920">
        <w:t> </w:t>
      </w:r>
      <w:r w:rsidRPr="00A00187">
        <w:t xml:space="preserve">2020 počet mírně klesl a byl o jednoho soudce nižší než plánovaný počet. Následně ovšem opět narostl </w:t>
      </w:r>
      <w:r w:rsidR="00755920" w:rsidRPr="00A00187">
        <w:t>a</w:t>
      </w:r>
      <w:r w:rsidR="00755920">
        <w:t> </w:t>
      </w:r>
      <w:r w:rsidRPr="00A00187">
        <w:t xml:space="preserve">k 1.1.2021 </w:t>
      </w:r>
      <w:r w:rsidR="001858DD" w:rsidRPr="00A00187">
        <w:t>soud opět vykazoval</w:t>
      </w:r>
      <w:r w:rsidRPr="00A00187">
        <w:t xml:space="preserve"> 36 soudců, tedy vyšší než plánovaný počet. </w:t>
      </w:r>
      <w:r w:rsidR="00285CDF" w:rsidRPr="00A00187">
        <w:t xml:space="preserve">Je třeba zmínit, že z uvedeného evidenčního počtu působí dva soudci na Ústavním soudě, jeden soudce je </w:t>
      </w:r>
      <w:r w:rsidR="00755920" w:rsidRPr="00A00187">
        <w:t>u</w:t>
      </w:r>
      <w:r w:rsidR="00755920">
        <w:t> </w:t>
      </w:r>
      <w:r w:rsidR="00285CDF" w:rsidRPr="00A00187">
        <w:t>Soudní</w:t>
      </w:r>
      <w:r w:rsidR="0096626A" w:rsidRPr="00A00187">
        <w:t>ho</w:t>
      </w:r>
      <w:r w:rsidR="00285CDF" w:rsidRPr="00A00187">
        <w:t xml:space="preserve"> dvora Evropské unie </w:t>
      </w:r>
      <w:r w:rsidR="00755920" w:rsidRPr="00A00187">
        <w:t>a</w:t>
      </w:r>
      <w:r w:rsidR="00755920">
        <w:t> </w:t>
      </w:r>
      <w:r w:rsidR="00285CDF" w:rsidRPr="00A00187">
        <w:t xml:space="preserve">jeden soudce je </w:t>
      </w:r>
      <w:r w:rsidR="00755920" w:rsidRPr="00A00187">
        <w:t>u</w:t>
      </w:r>
      <w:r w:rsidR="00755920">
        <w:t> </w:t>
      </w:r>
      <w:r w:rsidR="00285CDF" w:rsidRPr="00A00187">
        <w:t>Evropského soudu pro lidská práva</w:t>
      </w:r>
      <w:r w:rsidR="0096626A" w:rsidRPr="00A00187">
        <w:t>.</w:t>
      </w:r>
    </w:p>
    <w:p w14:paraId="505CE709" w14:textId="6D6A0E2B" w:rsidR="0040357C" w:rsidRPr="00A00187" w:rsidRDefault="0040357C" w:rsidP="0040357C">
      <w:pPr>
        <w:pStyle w:val="Podnadpis"/>
        <w:numPr>
          <w:ilvl w:val="0"/>
          <w:numId w:val="0"/>
        </w:numPr>
        <w:rPr>
          <w:color w:val="auto"/>
        </w:rPr>
      </w:pPr>
      <w:bookmarkStart w:id="1271" w:name="_Toc515871429"/>
      <w:bookmarkStart w:id="1272" w:name="_Toc11135160"/>
      <w:bookmarkStart w:id="1273" w:name="_Toc43841486"/>
      <w:bookmarkStart w:id="1274" w:name="_Toc75952289"/>
      <w:bookmarkStart w:id="1275" w:name="_Toc106106745"/>
      <w:bookmarkStart w:id="1276" w:name="_Toc109802069"/>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111</w:t>
      </w:r>
      <w:r w:rsidRPr="00A00187">
        <w:rPr>
          <w:color w:val="auto"/>
        </w:rPr>
        <w:fldChar w:fldCharType="end"/>
      </w:r>
      <w:r w:rsidRPr="00A00187">
        <w:rPr>
          <w:color w:val="auto"/>
        </w:rPr>
        <w:t>: NSS – počet soudců v letech 2008–20</w:t>
      </w:r>
      <w:bookmarkEnd w:id="1271"/>
      <w:bookmarkEnd w:id="1272"/>
      <w:bookmarkEnd w:id="1273"/>
      <w:r w:rsidRPr="00A00187">
        <w:rPr>
          <w:color w:val="auto"/>
        </w:rPr>
        <w:t>2</w:t>
      </w:r>
      <w:bookmarkEnd w:id="1274"/>
      <w:r w:rsidRPr="00A00187">
        <w:rPr>
          <w:color w:val="auto"/>
        </w:rPr>
        <w:t>1</w:t>
      </w:r>
      <w:bookmarkEnd w:id="1275"/>
      <w:bookmarkEnd w:id="1276"/>
    </w:p>
    <w:p w14:paraId="3063D829" w14:textId="7D0E78C8" w:rsidR="0040357C" w:rsidRPr="00A00187" w:rsidRDefault="0040357C" w:rsidP="0040357C">
      <w:r w:rsidRPr="00A00187">
        <w:rPr>
          <w:noProof/>
        </w:rPr>
        <w:drawing>
          <wp:inline distT="0" distB="0" distL="0" distR="0" wp14:anchorId="4ACDAAE8" wp14:editId="5D5F8D04">
            <wp:extent cx="5029200" cy="365760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3C9DAC" w14:textId="77777777" w:rsidR="0040357C" w:rsidRPr="00A00187" w:rsidRDefault="0040357C">
      <w:pPr>
        <w:spacing w:after="160" w:line="259" w:lineRule="auto"/>
        <w:jc w:val="left"/>
      </w:pPr>
      <w:r w:rsidRPr="00A00187">
        <w:br w:type="page"/>
      </w:r>
    </w:p>
    <w:p w14:paraId="2C9792D0" w14:textId="4B23324A" w:rsidR="0040357C" w:rsidRPr="00A00187" w:rsidRDefault="0040357C" w:rsidP="0040357C">
      <w:pPr>
        <w:pStyle w:val="Podnadpis"/>
        <w:rPr>
          <w:color w:val="auto"/>
        </w:rPr>
      </w:pPr>
      <w:bookmarkStart w:id="1277" w:name="_Toc515871430"/>
      <w:bookmarkStart w:id="1278" w:name="_Toc11135161"/>
      <w:bookmarkStart w:id="1279" w:name="_Toc43841487"/>
      <w:bookmarkStart w:id="1280" w:name="_Toc75952290"/>
      <w:bookmarkStart w:id="1281" w:name="_Toc106106746"/>
      <w:bookmarkStart w:id="1282" w:name="_Toc109802070"/>
      <w:r w:rsidRPr="00A00187">
        <w:rPr>
          <w:color w:val="auto"/>
        </w:rPr>
        <w:lastRenderedPageBreak/>
        <w:t xml:space="preserve">Graf </w:t>
      </w:r>
      <w:r w:rsidRPr="00A00187">
        <w:rPr>
          <w:color w:val="auto"/>
        </w:rPr>
        <w:fldChar w:fldCharType="begin"/>
      </w:r>
      <w:r w:rsidRPr="00A00187">
        <w:rPr>
          <w:noProof/>
          <w:color w:val="auto"/>
        </w:rPr>
        <w:instrText xml:space="preserve"> SEQ Graf \* ARABIC </w:instrText>
      </w:r>
      <w:r w:rsidRPr="00A00187">
        <w:rPr>
          <w:color w:val="auto"/>
        </w:rPr>
        <w:fldChar w:fldCharType="separate"/>
      </w:r>
      <w:r w:rsidR="00DE6B5E">
        <w:rPr>
          <w:noProof/>
          <w:color w:val="auto"/>
        </w:rPr>
        <w:t>112</w:t>
      </w:r>
      <w:r w:rsidRPr="00A00187">
        <w:rPr>
          <w:color w:val="auto"/>
        </w:rPr>
        <w:fldChar w:fldCharType="end"/>
      </w:r>
      <w:r w:rsidRPr="00A00187">
        <w:rPr>
          <w:color w:val="auto"/>
        </w:rPr>
        <w:t>: NSS – evidenční počet soudců dle pohlaví v letech 2008–20</w:t>
      </w:r>
      <w:bookmarkEnd w:id="1277"/>
      <w:bookmarkEnd w:id="1278"/>
      <w:bookmarkEnd w:id="1279"/>
      <w:r w:rsidRPr="00A00187">
        <w:rPr>
          <w:color w:val="auto"/>
        </w:rPr>
        <w:t>2</w:t>
      </w:r>
      <w:bookmarkEnd w:id="1280"/>
      <w:r w:rsidR="00A42749" w:rsidRPr="00A00187">
        <w:rPr>
          <w:color w:val="auto"/>
        </w:rPr>
        <w:t>1</w:t>
      </w:r>
      <w:bookmarkEnd w:id="1281"/>
      <w:bookmarkEnd w:id="1282"/>
    </w:p>
    <w:p w14:paraId="50558CFC" w14:textId="0678F513" w:rsidR="0040357C" w:rsidRPr="00A00187" w:rsidRDefault="0093371F" w:rsidP="0040357C">
      <w:r w:rsidRPr="00A00187">
        <w:rPr>
          <w:noProof/>
        </w:rPr>
        <w:drawing>
          <wp:inline distT="0" distB="0" distL="0" distR="0" wp14:anchorId="20FFE3FC" wp14:editId="035C4969">
            <wp:extent cx="5029200" cy="3657600"/>
            <wp:effectExtent l="0" t="0" r="0" b="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3273C13" w14:textId="5E6309F9" w:rsidR="0040357C" w:rsidRPr="00A00187" w:rsidRDefault="0040357C" w:rsidP="0040357C"/>
    <w:p w14:paraId="0E762883" w14:textId="2191A406" w:rsidR="0093371F" w:rsidRPr="00A00187" w:rsidRDefault="0093371F" w:rsidP="0093371F">
      <w:pPr>
        <w:pStyle w:val="OdstavecASR"/>
      </w:pPr>
      <w:r w:rsidRPr="00A00187">
        <w:t>V grafu výše vidíme, že v posledních letech se mění počet mužů, kteří u soudu působí. Počet žen je daleko stabilnější. U NSS v roce 2021 tvořily ženy přesně jednu třetinu soudců, tedy více než u NS, ale méně než u soudů nižších stupňů.</w:t>
      </w:r>
    </w:p>
    <w:p w14:paraId="65FCE4A2" w14:textId="7BE01407" w:rsidR="0093371F" w:rsidRPr="00A00187" w:rsidRDefault="0093371F" w:rsidP="0093371F">
      <w:pPr>
        <w:pStyle w:val="OdstavecASR"/>
      </w:pPr>
      <w:r w:rsidRPr="00A00187">
        <w:t>V dalším grafu je zobrazen stejně jako u ostatních článků soudní soustavy vývoj ve věkové struktuře soudců. Zajímavým poznatkem je, že soudci u NSS jsou výrazně mladší nejen než soudci u Nejvyššího soudu a u vrchních soudů, ale dokonce také než soudci u soudů krajských.</w:t>
      </w:r>
      <w:r w:rsidR="00206222" w:rsidRPr="00A00187">
        <w:t xml:space="preserve"> Soudci ve věku 41 až 50 let tvoří </w:t>
      </w:r>
      <w:r w:rsidR="00755920" w:rsidRPr="00A00187">
        <w:t>u</w:t>
      </w:r>
      <w:r w:rsidR="00755920">
        <w:t> </w:t>
      </w:r>
      <w:r w:rsidR="005C6C65" w:rsidRPr="00A00187">
        <w:t xml:space="preserve">NSS </w:t>
      </w:r>
      <w:r w:rsidR="00206222" w:rsidRPr="00A00187">
        <w:t>téměř dvě třetiny soudcovské populace.</w:t>
      </w:r>
    </w:p>
    <w:p w14:paraId="31DBF9C9" w14:textId="77777777" w:rsidR="0093371F" w:rsidRPr="00A00187" w:rsidRDefault="0093371F" w:rsidP="0093371F">
      <w:pPr>
        <w:pStyle w:val="OdstavecASR"/>
      </w:pPr>
      <w:r w:rsidRPr="00A00187">
        <w:t>Dáme-li údaje ze všech tří grafů dohromady, zjistíme, že soudci, o které byl v letech 2013 až 2015 soud posílen, byli muži ve věku 41 až 50 let.</w:t>
      </w:r>
    </w:p>
    <w:p w14:paraId="5F0A732D" w14:textId="521E29A6" w:rsidR="0093371F" w:rsidRPr="00A00187" w:rsidRDefault="0093371F" w:rsidP="0093371F">
      <w:pPr>
        <w:pStyle w:val="OdstavecASR"/>
      </w:pPr>
      <w:r w:rsidRPr="00A00187">
        <w:t xml:space="preserve">V grafu níže také vidíme, že </w:t>
      </w:r>
      <w:r w:rsidR="001858DD" w:rsidRPr="00A00187">
        <w:t>an</w:t>
      </w:r>
      <w:r w:rsidRPr="00A00187">
        <w:t>i u NSS nyní již nepůsobí žádní soudci ve věku do 40 let, neboť se posunuli do vyšší věkové skupiny.</w:t>
      </w:r>
    </w:p>
    <w:p w14:paraId="74DC677D" w14:textId="77100093" w:rsidR="0093371F" w:rsidRPr="00A00187" w:rsidRDefault="0093371F" w:rsidP="0093371F">
      <w:pPr>
        <w:pStyle w:val="Podnadpis"/>
        <w:rPr>
          <w:color w:val="auto"/>
        </w:rPr>
      </w:pPr>
      <w:bookmarkStart w:id="1283" w:name="_Toc515871431"/>
      <w:bookmarkStart w:id="1284" w:name="_Toc11135162"/>
      <w:bookmarkStart w:id="1285" w:name="_Toc43841488"/>
      <w:bookmarkStart w:id="1286" w:name="_Toc75952291"/>
      <w:bookmarkStart w:id="1287" w:name="_Toc106106747"/>
      <w:bookmarkStart w:id="1288" w:name="_Toc109802071"/>
      <w:r w:rsidRPr="00A00187">
        <w:rPr>
          <w:color w:val="auto"/>
        </w:rPr>
        <w:lastRenderedPageBreak/>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113</w:t>
      </w:r>
      <w:r w:rsidRPr="00A00187">
        <w:rPr>
          <w:color w:val="auto"/>
        </w:rPr>
        <w:fldChar w:fldCharType="end"/>
      </w:r>
      <w:r w:rsidRPr="00A00187">
        <w:rPr>
          <w:color w:val="auto"/>
        </w:rPr>
        <w:t>: NSS – věková struktura soudců v letech 2008</w:t>
      </w:r>
      <w:r w:rsidRPr="00A00187">
        <w:rPr>
          <w:color w:val="auto"/>
        </w:rPr>
        <w:sym w:font="Symbol" w:char="F02D"/>
      </w:r>
      <w:r w:rsidRPr="00A00187">
        <w:rPr>
          <w:color w:val="auto"/>
        </w:rPr>
        <w:t>20</w:t>
      </w:r>
      <w:bookmarkEnd w:id="1283"/>
      <w:bookmarkEnd w:id="1284"/>
      <w:bookmarkEnd w:id="1285"/>
      <w:r w:rsidRPr="00A00187">
        <w:rPr>
          <w:color w:val="auto"/>
        </w:rPr>
        <w:t>2</w:t>
      </w:r>
      <w:bookmarkEnd w:id="1286"/>
      <w:r w:rsidR="00855D78" w:rsidRPr="00A00187">
        <w:rPr>
          <w:color w:val="auto"/>
        </w:rPr>
        <w:t>1</w:t>
      </w:r>
      <w:bookmarkEnd w:id="1287"/>
      <w:bookmarkEnd w:id="1288"/>
    </w:p>
    <w:p w14:paraId="1882755E" w14:textId="2CD7E23F" w:rsidR="0093371F" w:rsidRPr="00A00187" w:rsidRDefault="0093371F" w:rsidP="0040357C">
      <w:r w:rsidRPr="00A00187">
        <w:rPr>
          <w:noProof/>
        </w:rPr>
        <w:drawing>
          <wp:inline distT="0" distB="0" distL="0" distR="0" wp14:anchorId="5A063545" wp14:editId="24174C53">
            <wp:extent cx="5029200" cy="3657600"/>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58F6EE0" w14:textId="77777777" w:rsidR="0040357C" w:rsidRPr="00A00187" w:rsidRDefault="0040357C" w:rsidP="0040357C">
      <w:pPr>
        <w:rPr>
          <w:lang w:eastAsia="cs-CZ"/>
        </w:rPr>
      </w:pPr>
    </w:p>
    <w:p w14:paraId="6088A3D4" w14:textId="77777777" w:rsidR="008430BD" w:rsidRPr="00A00187" w:rsidRDefault="008430BD" w:rsidP="008430BD">
      <w:pPr>
        <w:spacing w:line="240" w:lineRule="auto"/>
        <w:jc w:val="left"/>
        <w:rPr>
          <w:rFonts w:eastAsia="Times New Roman"/>
          <w:b/>
          <w:iCs/>
          <w:spacing w:val="15"/>
          <w:szCs w:val="24"/>
        </w:rPr>
      </w:pPr>
    </w:p>
    <w:p w14:paraId="7501F59F" w14:textId="77777777" w:rsidR="008430BD" w:rsidRPr="00A00187" w:rsidRDefault="008430BD" w:rsidP="008430BD">
      <w:pPr>
        <w:pStyle w:val="Nadpis3"/>
        <w:numPr>
          <w:ilvl w:val="2"/>
          <w:numId w:val="1"/>
        </w:numPr>
        <w:rPr>
          <w:color w:val="auto"/>
          <w:lang w:eastAsia="cs-CZ"/>
        </w:rPr>
      </w:pPr>
      <w:bookmarkStart w:id="1289" w:name="_Toc515871309"/>
      <w:bookmarkStart w:id="1290" w:name="_Toc106092824"/>
      <w:bookmarkStart w:id="1291" w:name="_Toc109801435"/>
      <w:r w:rsidRPr="00A00187">
        <w:rPr>
          <w:color w:val="auto"/>
          <w:lang w:eastAsia="cs-CZ"/>
        </w:rPr>
        <w:t>Zaměstnanci ve výkonu</w:t>
      </w:r>
      <w:bookmarkEnd w:id="1289"/>
      <w:bookmarkEnd w:id="1290"/>
      <w:bookmarkEnd w:id="1291"/>
    </w:p>
    <w:p w14:paraId="7A5D9F1B" w14:textId="559DD1DF" w:rsidR="00206222" w:rsidRPr="00A00187" w:rsidRDefault="00206222" w:rsidP="00206222">
      <w:pPr>
        <w:pStyle w:val="OdstavecASR"/>
      </w:pPr>
      <w:r w:rsidRPr="00A00187">
        <w:t>U NSS je stejně jako u NS s výjimkou asistentů soudců malé množství zaměstnanců ve výkonu. Na jednoho soudce připadají téměř dva asistenti. Personální počty opět plynou ze zvláštní povahy agendy u NSS. Ve srovnání s rokem 20</w:t>
      </w:r>
      <w:r w:rsidR="00B76403" w:rsidRPr="00A00187">
        <w:t>20</w:t>
      </w:r>
      <w:r w:rsidR="00E81D7B" w:rsidRPr="00A00187">
        <w:t xml:space="preserve"> </w:t>
      </w:r>
      <w:r w:rsidRPr="00A00187">
        <w:t xml:space="preserve">u soudu </w:t>
      </w:r>
      <w:r w:rsidR="001858DD" w:rsidRPr="00A00187">
        <w:t xml:space="preserve">přibyli </w:t>
      </w:r>
      <w:r w:rsidR="00B76403" w:rsidRPr="00A00187">
        <w:t>tři asistenti</w:t>
      </w:r>
      <w:r w:rsidRPr="00A00187">
        <w:t>, jinak počty zůstaly stejné.</w:t>
      </w:r>
    </w:p>
    <w:p w14:paraId="74ADB6CE" w14:textId="7211CE1B" w:rsidR="00206222" w:rsidRPr="00A00187" w:rsidRDefault="00206222" w:rsidP="00206222">
      <w:pPr>
        <w:pStyle w:val="Podnadpis"/>
        <w:numPr>
          <w:ilvl w:val="0"/>
          <w:numId w:val="0"/>
        </w:numPr>
        <w:rPr>
          <w:color w:val="auto"/>
        </w:rPr>
      </w:pPr>
      <w:bookmarkStart w:id="1292" w:name="_Toc515871506"/>
      <w:bookmarkStart w:id="1293" w:name="_Toc11133272"/>
      <w:bookmarkStart w:id="1294" w:name="_Toc43931254"/>
      <w:bookmarkStart w:id="1295" w:name="_Toc75952388"/>
      <w:bookmarkStart w:id="1296" w:name="_Toc106106841"/>
      <w:bookmarkStart w:id="1297" w:name="_Toc109802164"/>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79</w:t>
      </w:r>
      <w:r w:rsidRPr="00A00187">
        <w:rPr>
          <w:color w:val="auto"/>
        </w:rPr>
        <w:fldChar w:fldCharType="end"/>
      </w:r>
      <w:r w:rsidRPr="00A00187">
        <w:rPr>
          <w:color w:val="auto"/>
        </w:rPr>
        <w:t>: NSS – počet zaměstnanců ve výkonu</w:t>
      </w:r>
      <w:bookmarkEnd w:id="1292"/>
      <w:bookmarkEnd w:id="1293"/>
      <w:bookmarkEnd w:id="1294"/>
      <w:bookmarkEnd w:id="1295"/>
      <w:bookmarkEnd w:id="1296"/>
      <w:bookmarkEnd w:id="1297"/>
    </w:p>
    <w:tbl>
      <w:tblPr>
        <w:tblW w:w="5152" w:type="dxa"/>
        <w:tblCellMar>
          <w:left w:w="70" w:type="dxa"/>
          <w:right w:w="70" w:type="dxa"/>
        </w:tblCellMar>
        <w:tblLook w:val="04A0" w:firstRow="1" w:lastRow="0" w:firstColumn="1" w:lastColumn="0" w:noHBand="0" w:noVBand="1"/>
      </w:tblPr>
      <w:tblGrid>
        <w:gridCol w:w="3696"/>
        <w:gridCol w:w="1456"/>
      </w:tblGrid>
      <w:tr w:rsidR="00AC1E67" w:rsidRPr="00A00187" w14:paraId="5B8A0812" w14:textId="77777777" w:rsidTr="00E205CE">
        <w:trPr>
          <w:trHeight w:val="345"/>
        </w:trPr>
        <w:tc>
          <w:tcPr>
            <w:tcW w:w="3696" w:type="dxa"/>
            <w:tcBorders>
              <w:top w:val="double" w:sz="6" w:space="0" w:color="auto"/>
              <w:left w:val="nil"/>
              <w:bottom w:val="double" w:sz="6" w:space="0" w:color="auto"/>
              <w:right w:val="nil"/>
            </w:tcBorders>
            <w:shd w:val="clear" w:color="auto" w:fill="auto"/>
            <w:noWrap/>
            <w:vAlign w:val="center"/>
            <w:hideMark/>
          </w:tcPr>
          <w:p w14:paraId="1C412B07" w14:textId="7F523584" w:rsidR="00206222" w:rsidRPr="00A00187" w:rsidRDefault="00E205CE" w:rsidP="00E205CE">
            <w:pPr>
              <w:spacing w:line="240" w:lineRule="auto"/>
              <w:jc w:val="center"/>
              <w:rPr>
                <w:rFonts w:eastAsia="Times New Roman"/>
                <w:b/>
                <w:bCs/>
                <w:szCs w:val="24"/>
                <w:lang w:eastAsia="cs-CZ"/>
              </w:rPr>
            </w:pPr>
            <w:r>
              <w:rPr>
                <w:rFonts w:eastAsia="Times New Roman"/>
                <w:b/>
                <w:bCs/>
                <w:szCs w:val="24"/>
                <w:lang w:eastAsia="cs-CZ"/>
              </w:rPr>
              <w:t>Funkce</w:t>
            </w:r>
          </w:p>
        </w:tc>
        <w:tc>
          <w:tcPr>
            <w:tcW w:w="1456" w:type="dxa"/>
            <w:tcBorders>
              <w:top w:val="double" w:sz="6" w:space="0" w:color="auto"/>
              <w:left w:val="nil"/>
              <w:bottom w:val="double" w:sz="6" w:space="0" w:color="auto"/>
              <w:right w:val="nil"/>
            </w:tcBorders>
            <w:shd w:val="clear" w:color="auto" w:fill="auto"/>
            <w:noWrap/>
            <w:vAlign w:val="center"/>
            <w:hideMark/>
          </w:tcPr>
          <w:p w14:paraId="0B1C6637" w14:textId="77777777" w:rsidR="00206222" w:rsidRPr="00A00187" w:rsidRDefault="00206222" w:rsidP="00E205CE">
            <w:pPr>
              <w:spacing w:line="240" w:lineRule="auto"/>
              <w:jc w:val="center"/>
              <w:rPr>
                <w:rFonts w:eastAsia="Times New Roman"/>
                <w:b/>
                <w:bCs/>
                <w:szCs w:val="24"/>
                <w:lang w:eastAsia="cs-CZ"/>
              </w:rPr>
            </w:pPr>
            <w:r w:rsidRPr="00A00187">
              <w:rPr>
                <w:rFonts w:eastAsia="Times New Roman"/>
                <w:b/>
                <w:bCs/>
                <w:szCs w:val="24"/>
                <w:lang w:eastAsia="cs-CZ"/>
              </w:rPr>
              <w:t>Počet osob</w:t>
            </w:r>
          </w:p>
        </w:tc>
      </w:tr>
      <w:tr w:rsidR="00AC1E67" w:rsidRPr="00A00187" w14:paraId="7429A833" w14:textId="77777777" w:rsidTr="00206222">
        <w:trPr>
          <w:trHeight w:val="330"/>
        </w:trPr>
        <w:tc>
          <w:tcPr>
            <w:tcW w:w="3696" w:type="dxa"/>
            <w:tcBorders>
              <w:top w:val="nil"/>
              <w:left w:val="nil"/>
              <w:bottom w:val="single" w:sz="4" w:space="0" w:color="auto"/>
              <w:right w:val="nil"/>
            </w:tcBorders>
            <w:shd w:val="clear" w:color="auto" w:fill="auto"/>
            <w:noWrap/>
            <w:vAlign w:val="bottom"/>
            <w:hideMark/>
          </w:tcPr>
          <w:p w14:paraId="59648E4D" w14:textId="77777777" w:rsidR="00206222" w:rsidRPr="00A00187" w:rsidRDefault="00206222" w:rsidP="00206222">
            <w:pPr>
              <w:spacing w:line="240" w:lineRule="auto"/>
              <w:jc w:val="left"/>
              <w:rPr>
                <w:rFonts w:eastAsia="Times New Roman"/>
                <w:szCs w:val="24"/>
                <w:lang w:eastAsia="cs-CZ"/>
              </w:rPr>
            </w:pPr>
            <w:r w:rsidRPr="00A00187">
              <w:rPr>
                <w:rFonts w:eastAsia="Times New Roman"/>
                <w:szCs w:val="24"/>
                <w:lang w:eastAsia="cs-CZ"/>
              </w:rPr>
              <w:t>Asistent</w:t>
            </w:r>
          </w:p>
        </w:tc>
        <w:tc>
          <w:tcPr>
            <w:tcW w:w="1456" w:type="dxa"/>
            <w:tcBorders>
              <w:top w:val="nil"/>
              <w:left w:val="nil"/>
              <w:bottom w:val="single" w:sz="4" w:space="0" w:color="auto"/>
              <w:right w:val="nil"/>
            </w:tcBorders>
            <w:shd w:val="clear" w:color="auto" w:fill="auto"/>
            <w:noWrap/>
            <w:vAlign w:val="bottom"/>
            <w:hideMark/>
          </w:tcPr>
          <w:p w14:paraId="01B4122B" w14:textId="77777777" w:rsidR="00206222" w:rsidRPr="00A00187" w:rsidRDefault="00206222" w:rsidP="00206222">
            <w:pPr>
              <w:spacing w:line="240" w:lineRule="auto"/>
              <w:jc w:val="center"/>
              <w:rPr>
                <w:rFonts w:eastAsia="Times New Roman"/>
                <w:szCs w:val="24"/>
                <w:lang w:eastAsia="cs-CZ"/>
              </w:rPr>
            </w:pPr>
            <w:r w:rsidRPr="00A00187">
              <w:rPr>
                <w:rFonts w:eastAsia="Times New Roman"/>
                <w:szCs w:val="24"/>
                <w:lang w:eastAsia="cs-CZ"/>
              </w:rPr>
              <w:t>64</w:t>
            </w:r>
          </w:p>
        </w:tc>
      </w:tr>
      <w:tr w:rsidR="00AC1E67" w:rsidRPr="00A00187" w14:paraId="7D6CB4AC" w14:textId="77777777" w:rsidTr="00206222">
        <w:trPr>
          <w:trHeight w:val="315"/>
        </w:trPr>
        <w:tc>
          <w:tcPr>
            <w:tcW w:w="3696" w:type="dxa"/>
            <w:tcBorders>
              <w:top w:val="nil"/>
              <w:left w:val="nil"/>
              <w:bottom w:val="single" w:sz="4" w:space="0" w:color="auto"/>
              <w:right w:val="nil"/>
            </w:tcBorders>
            <w:shd w:val="clear" w:color="auto" w:fill="auto"/>
            <w:noWrap/>
            <w:vAlign w:val="bottom"/>
            <w:hideMark/>
          </w:tcPr>
          <w:p w14:paraId="7D26AFA7" w14:textId="77777777" w:rsidR="00206222" w:rsidRPr="00A00187" w:rsidRDefault="00206222" w:rsidP="00206222">
            <w:pPr>
              <w:spacing w:line="240" w:lineRule="auto"/>
              <w:jc w:val="left"/>
              <w:rPr>
                <w:rFonts w:eastAsia="Times New Roman"/>
                <w:szCs w:val="24"/>
                <w:lang w:eastAsia="cs-CZ"/>
              </w:rPr>
            </w:pPr>
            <w:r w:rsidRPr="00A00187">
              <w:rPr>
                <w:rFonts w:eastAsia="Times New Roman"/>
                <w:szCs w:val="24"/>
                <w:lang w:eastAsia="cs-CZ"/>
              </w:rPr>
              <w:t>Vedoucí kanceláře</w:t>
            </w:r>
          </w:p>
        </w:tc>
        <w:tc>
          <w:tcPr>
            <w:tcW w:w="1456" w:type="dxa"/>
            <w:tcBorders>
              <w:top w:val="nil"/>
              <w:left w:val="nil"/>
              <w:bottom w:val="single" w:sz="4" w:space="0" w:color="auto"/>
              <w:right w:val="nil"/>
            </w:tcBorders>
            <w:shd w:val="clear" w:color="auto" w:fill="auto"/>
            <w:noWrap/>
            <w:vAlign w:val="bottom"/>
            <w:hideMark/>
          </w:tcPr>
          <w:p w14:paraId="502D85A4" w14:textId="77777777" w:rsidR="00206222" w:rsidRPr="00A00187" w:rsidRDefault="00206222" w:rsidP="00206222">
            <w:pPr>
              <w:spacing w:line="240" w:lineRule="auto"/>
              <w:jc w:val="center"/>
              <w:rPr>
                <w:rFonts w:eastAsia="Times New Roman"/>
                <w:szCs w:val="24"/>
                <w:lang w:eastAsia="cs-CZ"/>
              </w:rPr>
            </w:pPr>
            <w:r w:rsidRPr="00A00187">
              <w:rPr>
                <w:rFonts w:eastAsia="Times New Roman"/>
                <w:szCs w:val="24"/>
                <w:lang w:eastAsia="cs-CZ"/>
              </w:rPr>
              <w:t>11</w:t>
            </w:r>
          </w:p>
        </w:tc>
      </w:tr>
      <w:tr w:rsidR="00AC1E67" w:rsidRPr="00A00187" w14:paraId="0780D156" w14:textId="77777777" w:rsidTr="00206222">
        <w:trPr>
          <w:trHeight w:val="315"/>
        </w:trPr>
        <w:tc>
          <w:tcPr>
            <w:tcW w:w="3696" w:type="dxa"/>
            <w:tcBorders>
              <w:top w:val="nil"/>
              <w:left w:val="nil"/>
              <w:bottom w:val="single" w:sz="4" w:space="0" w:color="auto"/>
              <w:right w:val="nil"/>
            </w:tcBorders>
            <w:shd w:val="clear" w:color="auto" w:fill="auto"/>
            <w:noWrap/>
            <w:vAlign w:val="bottom"/>
            <w:hideMark/>
          </w:tcPr>
          <w:p w14:paraId="4E5C315B" w14:textId="77777777" w:rsidR="00206222" w:rsidRPr="00A00187" w:rsidRDefault="00206222" w:rsidP="00206222">
            <w:pPr>
              <w:spacing w:line="240" w:lineRule="auto"/>
              <w:jc w:val="left"/>
              <w:rPr>
                <w:rFonts w:eastAsia="Times New Roman"/>
                <w:szCs w:val="24"/>
                <w:lang w:eastAsia="cs-CZ"/>
              </w:rPr>
            </w:pPr>
            <w:r w:rsidRPr="00A00187">
              <w:rPr>
                <w:rFonts w:eastAsia="Times New Roman"/>
                <w:szCs w:val="24"/>
                <w:lang w:eastAsia="cs-CZ"/>
              </w:rPr>
              <w:t>Protokolující úředník</w:t>
            </w:r>
          </w:p>
        </w:tc>
        <w:tc>
          <w:tcPr>
            <w:tcW w:w="1456" w:type="dxa"/>
            <w:tcBorders>
              <w:top w:val="nil"/>
              <w:left w:val="nil"/>
              <w:bottom w:val="single" w:sz="4" w:space="0" w:color="auto"/>
              <w:right w:val="nil"/>
            </w:tcBorders>
            <w:shd w:val="clear" w:color="auto" w:fill="auto"/>
            <w:noWrap/>
            <w:vAlign w:val="bottom"/>
            <w:hideMark/>
          </w:tcPr>
          <w:p w14:paraId="41DE4819" w14:textId="77777777" w:rsidR="00206222" w:rsidRPr="00A00187" w:rsidRDefault="00206222" w:rsidP="00206222">
            <w:pPr>
              <w:spacing w:line="240" w:lineRule="auto"/>
              <w:jc w:val="center"/>
              <w:rPr>
                <w:rFonts w:eastAsia="Times New Roman"/>
                <w:szCs w:val="24"/>
                <w:lang w:eastAsia="cs-CZ"/>
              </w:rPr>
            </w:pPr>
            <w:r w:rsidRPr="00A00187">
              <w:rPr>
                <w:rFonts w:eastAsia="Times New Roman"/>
                <w:szCs w:val="24"/>
                <w:lang w:eastAsia="cs-CZ"/>
              </w:rPr>
              <w:t>2</w:t>
            </w:r>
          </w:p>
        </w:tc>
      </w:tr>
      <w:tr w:rsidR="00AC1E67" w:rsidRPr="00A00187" w14:paraId="7735FC9D" w14:textId="77777777" w:rsidTr="00206222">
        <w:trPr>
          <w:trHeight w:val="330"/>
        </w:trPr>
        <w:tc>
          <w:tcPr>
            <w:tcW w:w="3696" w:type="dxa"/>
            <w:tcBorders>
              <w:top w:val="nil"/>
              <w:left w:val="nil"/>
              <w:bottom w:val="double" w:sz="6" w:space="0" w:color="auto"/>
              <w:right w:val="nil"/>
            </w:tcBorders>
            <w:shd w:val="clear" w:color="auto" w:fill="auto"/>
            <w:noWrap/>
            <w:vAlign w:val="bottom"/>
            <w:hideMark/>
          </w:tcPr>
          <w:p w14:paraId="73EB7315" w14:textId="77777777" w:rsidR="00206222" w:rsidRPr="00A00187" w:rsidRDefault="00206222" w:rsidP="00206222">
            <w:pPr>
              <w:spacing w:line="240" w:lineRule="auto"/>
              <w:jc w:val="left"/>
              <w:rPr>
                <w:rFonts w:eastAsia="Times New Roman"/>
                <w:szCs w:val="24"/>
                <w:lang w:eastAsia="cs-CZ"/>
              </w:rPr>
            </w:pPr>
            <w:r w:rsidRPr="00A00187">
              <w:rPr>
                <w:rFonts w:eastAsia="Times New Roman"/>
                <w:szCs w:val="24"/>
                <w:lang w:eastAsia="cs-CZ"/>
              </w:rPr>
              <w:t>Zapisovatelka</w:t>
            </w:r>
          </w:p>
        </w:tc>
        <w:tc>
          <w:tcPr>
            <w:tcW w:w="1456" w:type="dxa"/>
            <w:tcBorders>
              <w:top w:val="nil"/>
              <w:left w:val="nil"/>
              <w:bottom w:val="double" w:sz="6" w:space="0" w:color="auto"/>
              <w:right w:val="nil"/>
            </w:tcBorders>
            <w:shd w:val="clear" w:color="auto" w:fill="auto"/>
            <w:noWrap/>
            <w:vAlign w:val="bottom"/>
            <w:hideMark/>
          </w:tcPr>
          <w:p w14:paraId="2AAAD83A" w14:textId="77777777" w:rsidR="00206222" w:rsidRPr="00A00187" w:rsidRDefault="00206222" w:rsidP="00206222">
            <w:pPr>
              <w:spacing w:line="240" w:lineRule="auto"/>
              <w:jc w:val="center"/>
              <w:rPr>
                <w:rFonts w:eastAsia="Times New Roman"/>
                <w:szCs w:val="24"/>
                <w:lang w:eastAsia="cs-CZ"/>
              </w:rPr>
            </w:pPr>
            <w:r w:rsidRPr="00A00187">
              <w:rPr>
                <w:rFonts w:eastAsia="Times New Roman"/>
                <w:szCs w:val="24"/>
                <w:lang w:eastAsia="cs-CZ"/>
              </w:rPr>
              <w:t>20</w:t>
            </w:r>
          </w:p>
        </w:tc>
      </w:tr>
      <w:tr w:rsidR="00AC1E67" w:rsidRPr="00A00187" w14:paraId="1987C0F0" w14:textId="77777777" w:rsidTr="00206222">
        <w:trPr>
          <w:trHeight w:val="345"/>
        </w:trPr>
        <w:tc>
          <w:tcPr>
            <w:tcW w:w="3696" w:type="dxa"/>
            <w:tcBorders>
              <w:top w:val="nil"/>
              <w:left w:val="nil"/>
              <w:bottom w:val="double" w:sz="6" w:space="0" w:color="auto"/>
              <w:right w:val="nil"/>
            </w:tcBorders>
            <w:shd w:val="clear" w:color="auto" w:fill="auto"/>
            <w:noWrap/>
            <w:vAlign w:val="bottom"/>
            <w:hideMark/>
          </w:tcPr>
          <w:p w14:paraId="6D29012D" w14:textId="624800C3" w:rsidR="00206222" w:rsidRPr="00A00187" w:rsidRDefault="00206222" w:rsidP="00206222">
            <w:pPr>
              <w:spacing w:line="240" w:lineRule="auto"/>
              <w:jc w:val="left"/>
              <w:rPr>
                <w:rFonts w:eastAsia="Times New Roman"/>
                <w:b/>
                <w:bCs/>
                <w:szCs w:val="24"/>
                <w:lang w:eastAsia="cs-CZ"/>
              </w:rPr>
            </w:pPr>
            <w:r w:rsidRPr="00A00187">
              <w:rPr>
                <w:rFonts w:eastAsia="Times New Roman"/>
                <w:b/>
                <w:bCs/>
                <w:szCs w:val="24"/>
                <w:lang w:eastAsia="cs-CZ"/>
              </w:rPr>
              <w:t>Celkem</w:t>
            </w:r>
          </w:p>
        </w:tc>
        <w:tc>
          <w:tcPr>
            <w:tcW w:w="1456" w:type="dxa"/>
            <w:tcBorders>
              <w:top w:val="nil"/>
              <w:left w:val="nil"/>
              <w:bottom w:val="double" w:sz="6" w:space="0" w:color="auto"/>
              <w:right w:val="nil"/>
            </w:tcBorders>
            <w:shd w:val="clear" w:color="auto" w:fill="auto"/>
            <w:noWrap/>
            <w:vAlign w:val="bottom"/>
            <w:hideMark/>
          </w:tcPr>
          <w:p w14:paraId="591F1C26" w14:textId="77777777" w:rsidR="00206222" w:rsidRPr="00A00187" w:rsidRDefault="00206222" w:rsidP="00206222">
            <w:pPr>
              <w:spacing w:line="240" w:lineRule="auto"/>
              <w:jc w:val="center"/>
              <w:rPr>
                <w:rFonts w:eastAsia="Times New Roman"/>
                <w:b/>
                <w:bCs/>
                <w:szCs w:val="24"/>
                <w:lang w:eastAsia="cs-CZ"/>
              </w:rPr>
            </w:pPr>
            <w:r w:rsidRPr="00A00187">
              <w:rPr>
                <w:rFonts w:eastAsia="Times New Roman"/>
                <w:b/>
                <w:bCs/>
                <w:szCs w:val="24"/>
                <w:lang w:eastAsia="cs-CZ"/>
              </w:rPr>
              <w:t>97</w:t>
            </w:r>
          </w:p>
        </w:tc>
      </w:tr>
      <w:tr w:rsidR="00206222" w:rsidRPr="00A00187" w14:paraId="0F4292F8" w14:textId="77777777" w:rsidTr="00206222">
        <w:trPr>
          <w:trHeight w:val="330"/>
        </w:trPr>
        <w:tc>
          <w:tcPr>
            <w:tcW w:w="3696" w:type="dxa"/>
            <w:tcBorders>
              <w:top w:val="nil"/>
              <w:left w:val="nil"/>
              <w:bottom w:val="nil"/>
              <w:right w:val="nil"/>
            </w:tcBorders>
            <w:shd w:val="clear" w:color="auto" w:fill="auto"/>
            <w:noWrap/>
            <w:vAlign w:val="bottom"/>
            <w:hideMark/>
          </w:tcPr>
          <w:p w14:paraId="08017695" w14:textId="77777777" w:rsidR="00206222" w:rsidRPr="00A00187" w:rsidRDefault="00206222" w:rsidP="00206222">
            <w:pPr>
              <w:spacing w:line="240" w:lineRule="auto"/>
              <w:jc w:val="center"/>
              <w:rPr>
                <w:rFonts w:eastAsia="Times New Roman"/>
                <w:b/>
                <w:bCs/>
                <w:szCs w:val="24"/>
                <w:lang w:eastAsia="cs-CZ"/>
              </w:rPr>
            </w:pPr>
          </w:p>
        </w:tc>
        <w:tc>
          <w:tcPr>
            <w:tcW w:w="1456" w:type="dxa"/>
            <w:tcBorders>
              <w:top w:val="nil"/>
              <w:left w:val="nil"/>
              <w:bottom w:val="nil"/>
              <w:right w:val="nil"/>
            </w:tcBorders>
            <w:shd w:val="clear" w:color="auto" w:fill="auto"/>
            <w:noWrap/>
            <w:vAlign w:val="bottom"/>
            <w:hideMark/>
          </w:tcPr>
          <w:p w14:paraId="3B2ED8DE" w14:textId="77777777" w:rsidR="00206222" w:rsidRPr="00A00187" w:rsidRDefault="00206222" w:rsidP="00206222">
            <w:pPr>
              <w:spacing w:line="240" w:lineRule="auto"/>
              <w:jc w:val="left"/>
              <w:rPr>
                <w:rFonts w:ascii="Times New Roman" w:eastAsia="Times New Roman" w:hAnsi="Times New Roman"/>
                <w:sz w:val="20"/>
                <w:szCs w:val="20"/>
                <w:lang w:eastAsia="cs-CZ"/>
              </w:rPr>
            </w:pPr>
          </w:p>
        </w:tc>
      </w:tr>
    </w:tbl>
    <w:p w14:paraId="554EA6E4" w14:textId="77777777" w:rsidR="00206222" w:rsidRPr="00A00187" w:rsidRDefault="00206222" w:rsidP="00206222"/>
    <w:p w14:paraId="3ED2C4FA" w14:textId="77777777" w:rsidR="008430BD" w:rsidRPr="00A00187" w:rsidRDefault="008430BD" w:rsidP="008430BD">
      <w:pPr>
        <w:rPr>
          <w:lang w:eastAsia="cs-CZ"/>
        </w:rPr>
      </w:pPr>
    </w:p>
    <w:p w14:paraId="36DB857C" w14:textId="77777777" w:rsidR="008430BD" w:rsidRPr="00A00187" w:rsidRDefault="008430BD" w:rsidP="008430BD">
      <w:pPr>
        <w:spacing w:line="240" w:lineRule="auto"/>
        <w:jc w:val="left"/>
        <w:rPr>
          <w:lang w:eastAsia="cs-CZ"/>
        </w:rPr>
      </w:pPr>
      <w:r w:rsidRPr="00A00187">
        <w:rPr>
          <w:lang w:eastAsia="cs-CZ"/>
        </w:rPr>
        <w:br w:type="page"/>
      </w:r>
    </w:p>
    <w:p w14:paraId="1E9CB7A5" w14:textId="13B885C6" w:rsidR="008430BD" w:rsidRPr="00A00187" w:rsidRDefault="008430BD" w:rsidP="008430BD">
      <w:pPr>
        <w:pStyle w:val="Nadpis2"/>
        <w:numPr>
          <w:ilvl w:val="1"/>
          <w:numId w:val="1"/>
        </w:numPr>
        <w:spacing w:before="120"/>
        <w:rPr>
          <w:color w:val="auto"/>
        </w:rPr>
      </w:pPr>
      <w:bookmarkStart w:id="1298" w:name="_Toc487791312"/>
      <w:bookmarkStart w:id="1299" w:name="_Toc515871310"/>
      <w:bookmarkStart w:id="1300" w:name="_Toc106092825"/>
      <w:bookmarkStart w:id="1301" w:name="_Toc109801436"/>
      <w:r w:rsidRPr="00A00187">
        <w:rPr>
          <w:color w:val="auto"/>
        </w:rPr>
        <w:lastRenderedPageBreak/>
        <w:t>Řízení o kasačních stížnostech</w:t>
      </w:r>
      <w:bookmarkEnd w:id="1298"/>
      <w:bookmarkEnd w:id="1299"/>
      <w:bookmarkEnd w:id="1300"/>
      <w:bookmarkEnd w:id="1301"/>
    </w:p>
    <w:p w14:paraId="38CE27DD" w14:textId="77777777" w:rsidR="006D07D7" w:rsidRPr="00A00187" w:rsidRDefault="006D07D7" w:rsidP="006D07D7">
      <w:pPr>
        <w:pStyle w:val="OdstavecASR"/>
      </w:pPr>
      <w:r w:rsidRPr="00A00187">
        <w:t>Rejstříky spadající do této agendy jsou popsány v úvodu této části.</w:t>
      </w:r>
    </w:p>
    <w:p w14:paraId="4FAD4D21" w14:textId="7BB9D619" w:rsidR="008430BD" w:rsidRPr="00A00187" w:rsidRDefault="008430BD" w:rsidP="008430BD">
      <w:pPr>
        <w:pStyle w:val="Nadpis3"/>
        <w:numPr>
          <w:ilvl w:val="2"/>
          <w:numId w:val="1"/>
        </w:numPr>
        <w:rPr>
          <w:color w:val="auto"/>
        </w:rPr>
      </w:pPr>
      <w:bookmarkStart w:id="1302" w:name="_Toc515871311"/>
      <w:bookmarkStart w:id="1303" w:name="_Toc106092826"/>
      <w:bookmarkStart w:id="1304" w:name="_Toc109801437"/>
      <w:r w:rsidRPr="00A00187">
        <w:rPr>
          <w:color w:val="auto"/>
        </w:rPr>
        <w:t>Vyřizování věcí</w:t>
      </w:r>
      <w:bookmarkEnd w:id="1302"/>
      <w:bookmarkEnd w:id="1303"/>
      <w:bookmarkEnd w:id="1304"/>
    </w:p>
    <w:p w14:paraId="3B3B078F" w14:textId="77777777" w:rsidR="00CB570A" w:rsidRDefault="006D07D7" w:rsidP="006D07D7">
      <w:pPr>
        <w:pStyle w:val="OdstavecASR"/>
      </w:pPr>
      <w:r w:rsidRPr="00A00187">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14:paraId="57F502DD" w14:textId="6E682305" w:rsidR="00CB570A" w:rsidRDefault="006D07D7" w:rsidP="006D07D7">
      <w:pPr>
        <w:pStyle w:val="OdstavecASR"/>
      </w:pPr>
      <w:r w:rsidRPr="00A00187">
        <w:t>Od roku 2014 do rok</w:t>
      </w:r>
      <w:r w:rsidR="004E4F1C" w:rsidRPr="00A00187">
        <w:t>u 2019 pozorujeme trvalý růst nápadu</w:t>
      </w:r>
      <w:r w:rsidRPr="00A00187">
        <w:t xml:space="preserve">. </w:t>
      </w:r>
      <w:r w:rsidR="004E4F1C" w:rsidRPr="00A00187">
        <w:t>Od roku</w:t>
      </w:r>
      <w:r w:rsidRPr="00A00187">
        <w:t xml:space="preserve"> 2016</w:t>
      </w:r>
      <w:r w:rsidR="00E81D7B" w:rsidRPr="00A00187">
        <w:t xml:space="preserve"> </w:t>
      </w:r>
      <w:r w:rsidR="0041481E" w:rsidRPr="00A00187">
        <w:t xml:space="preserve">však </w:t>
      </w:r>
      <w:r w:rsidRPr="00A00187">
        <w:t xml:space="preserve">soud </w:t>
      </w:r>
      <w:r w:rsidR="0041481E" w:rsidRPr="00A00187">
        <w:t>již nestíhal vyřizovat</w:t>
      </w:r>
      <w:r w:rsidRPr="00A00187">
        <w:t xml:space="preserve"> svůj nápad, což logicky vyústilo v rychlý růst počtu nevyřízených věcí. V roce 2018 nárůst příchozích věcí zpomalil, ale nezastavil se. Počet příchozích věcí tak výrazně převýšil počet věcí vyřízených, a došlo tak k růstu v počtu nevyřízených věcí. </w:t>
      </w:r>
      <w:r w:rsidR="004E4F1C" w:rsidRPr="00A00187">
        <w:t xml:space="preserve">Od roku 2019 již </w:t>
      </w:r>
      <w:r w:rsidRPr="00A00187">
        <w:t>došlo k výraznému růstu v počtu vyřízených věcí a rozdíl mezi věcmi příchozími a vyřízenými se tak zmenšil.</w:t>
      </w:r>
      <w:r w:rsidR="004E4F1C" w:rsidRPr="00A00187">
        <w:t xml:space="preserve"> Počet napadlých věcí ale stále převyšuje počet věcí vyřízených, </w:t>
      </w:r>
      <w:r w:rsidR="00755920" w:rsidRPr="00A00187">
        <w:t>a</w:t>
      </w:r>
      <w:r w:rsidR="00755920">
        <w:t> </w:t>
      </w:r>
      <w:r w:rsidR="004E4F1C" w:rsidRPr="00A00187">
        <w:t>tak roste počet věcí nevyřízených.</w:t>
      </w:r>
    </w:p>
    <w:p w14:paraId="3F3372DD" w14:textId="2433E8A9" w:rsidR="00CB570A" w:rsidRDefault="006D07D7" w:rsidP="006D07D7">
      <w:pPr>
        <w:pStyle w:val="OdstavecASR"/>
      </w:pPr>
      <w:r w:rsidRPr="00A00187">
        <w:t xml:space="preserve">Zároveň je třeba upozornit na to, že </w:t>
      </w:r>
      <w:r w:rsidR="004E4F1C" w:rsidRPr="00A00187">
        <w:t>od roku</w:t>
      </w:r>
      <w:r w:rsidRPr="00A00187">
        <w:t xml:space="preserve"> 2019 </w:t>
      </w:r>
      <w:r w:rsidR="004E4F1C" w:rsidRPr="00A00187">
        <w:t>dochází k</w:t>
      </w:r>
      <w:r w:rsidR="00025E28" w:rsidRPr="00A00187">
        <w:t xml:space="preserve"> mírnému </w:t>
      </w:r>
      <w:r w:rsidR="004E4F1C" w:rsidRPr="00A00187">
        <w:t>p</w:t>
      </w:r>
      <w:r w:rsidRPr="00A00187">
        <w:t xml:space="preserve">oklesu v počtu příchozích věcí. </w:t>
      </w:r>
      <w:r w:rsidR="004E4F1C" w:rsidRPr="00A00187">
        <w:t>Počet vyřízených věcí klesá jen nepatrně</w:t>
      </w:r>
      <w:r w:rsidR="00025E28" w:rsidRPr="00A00187">
        <w:t xml:space="preserve">. </w:t>
      </w:r>
      <w:r w:rsidR="004E4F1C" w:rsidRPr="00A00187">
        <w:t>Vzhledem</w:t>
      </w:r>
      <w:r w:rsidRPr="00A00187">
        <w:t xml:space="preserve"> k</w:t>
      </w:r>
      <w:r w:rsidR="00025E28" w:rsidRPr="00A00187">
        <w:t xml:space="preserve"> poklesu nápadu v prvostupňové agendě </w:t>
      </w:r>
      <w:r w:rsidRPr="00A00187">
        <w:t xml:space="preserve">lze </w:t>
      </w:r>
      <w:r w:rsidR="00025E28" w:rsidRPr="00A00187">
        <w:t xml:space="preserve">s odstupem času </w:t>
      </w:r>
      <w:r w:rsidRPr="00A00187">
        <w:t>očekávat</w:t>
      </w:r>
      <w:r w:rsidR="004E4F1C" w:rsidRPr="00A00187">
        <w:t xml:space="preserve"> pokles nápadu </w:t>
      </w:r>
      <w:r w:rsidR="00755920" w:rsidRPr="00A00187">
        <w:t>i</w:t>
      </w:r>
      <w:r w:rsidR="00755920">
        <w:t> </w:t>
      </w:r>
      <w:r w:rsidR="004E4F1C" w:rsidRPr="00A00187">
        <w:t>zde.</w:t>
      </w:r>
    </w:p>
    <w:p w14:paraId="4EEA0389" w14:textId="64371AA4" w:rsidR="006D07D7" w:rsidRPr="00A00187" w:rsidRDefault="006D07D7" w:rsidP="006D07D7">
      <w:pPr>
        <w:pStyle w:val="Podnadpis"/>
        <w:numPr>
          <w:ilvl w:val="0"/>
          <w:numId w:val="0"/>
        </w:numPr>
        <w:rPr>
          <w:color w:val="auto"/>
        </w:rPr>
      </w:pPr>
      <w:bookmarkStart w:id="1305" w:name="_Toc43841489"/>
      <w:bookmarkStart w:id="1306" w:name="_Toc75952292"/>
      <w:bookmarkStart w:id="1307" w:name="_Toc106106748"/>
      <w:bookmarkStart w:id="1308" w:name="_Toc109802072"/>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114</w:t>
      </w:r>
      <w:r w:rsidRPr="00A00187">
        <w:rPr>
          <w:color w:val="auto"/>
        </w:rPr>
        <w:fldChar w:fldCharType="end"/>
      </w:r>
      <w:r w:rsidRPr="00A00187">
        <w:rPr>
          <w:color w:val="auto"/>
        </w:rPr>
        <w:t>: NSS – vyřizování kasačních věcí v letech 2008–20</w:t>
      </w:r>
      <w:bookmarkEnd w:id="1305"/>
      <w:r w:rsidRPr="00A00187">
        <w:rPr>
          <w:color w:val="auto"/>
        </w:rPr>
        <w:t>2</w:t>
      </w:r>
      <w:bookmarkEnd w:id="1306"/>
      <w:r w:rsidRPr="00A00187">
        <w:rPr>
          <w:color w:val="auto"/>
        </w:rPr>
        <w:t>1</w:t>
      </w:r>
      <w:bookmarkEnd w:id="1307"/>
      <w:bookmarkEnd w:id="1308"/>
    </w:p>
    <w:p w14:paraId="798B9240" w14:textId="77777777" w:rsidR="00FA7D36" w:rsidRPr="00FA7D36" w:rsidRDefault="00025E28" w:rsidP="008430BD">
      <w:pPr>
        <w:spacing w:line="240" w:lineRule="auto"/>
        <w:jc w:val="left"/>
      </w:pPr>
      <w:r w:rsidRPr="00A00187">
        <w:rPr>
          <w:noProof/>
        </w:rPr>
        <w:drawing>
          <wp:inline distT="0" distB="0" distL="0" distR="0" wp14:anchorId="2D6C1E46" wp14:editId="6E08C924">
            <wp:extent cx="5029200" cy="365760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93AB25F" w14:textId="7A76A4E5" w:rsidR="008430BD" w:rsidRPr="00A00187" w:rsidRDefault="008430BD" w:rsidP="008430BD">
      <w:pPr>
        <w:spacing w:line="240" w:lineRule="auto"/>
        <w:jc w:val="left"/>
      </w:pPr>
      <w:r w:rsidRPr="00A00187">
        <w:br w:type="page"/>
      </w:r>
    </w:p>
    <w:p w14:paraId="5BD9E643" w14:textId="5093AE01" w:rsidR="008430BD" w:rsidRPr="00A00187" w:rsidRDefault="008430BD" w:rsidP="008430BD">
      <w:pPr>
        <w:pStyle w:val="Nadpis2"/>
        <w:numPr>
          <w:ilvl w:val="1"/>
          <w:numId w:val="1"/>
        </w:numPr>
        <w:spacing w:before="120"/>
        <w:rPr>
          <w:color w:val="auto"/>
          <w:lang w:eastAsia="cs-CZ"/>
        </w:rPr>
      </w:pPr>
      <w:bookmarkStart w:id="1309" w:name="_Toc515871312"/>
      <w:bookmarkStart w:id="1310" w:name="_Toc106092827"/>
      <w:bookmarkStart w:id="1311" w:name="_Toc109801438"/>
      <w:r w:rsidRPr="00A00187">
        <w:rPr>
          <w:color w:val="auto"/>
          <w:lang w:eastAsia="cs-CZ"/>
        </w:rPr>
        <w:lastRenderedPageBreak/>
        <w:t>Řízení ve věcech soudců</w:t>
      </w:r>
      <w:bookmarkEnd w:id="1309"/>
      <w:bookmarkEnd w:id="1310"/>
      <w:bookmarkEnd w:id="1311"/>
    </w:p>
    <w:p w14:paraId="4C874723" w14:textId="05F97D3E" w:rsidR="004E4F1C" w:rsidRPr="00A00187" w:rsidRDefault="004E4F1C" w:rsidP="004E4F1C">
      <w:pPr>
        <w:rPr>
          <w:lang w:eastAsia="cs-CZ"/>
        </w:rPr>
      </w:pPr>
      <w:r w:rsidRPr="00A00187">
        <w:rPr>
          <w:lang w:eastAsia="cs-CZ"/>
        </w:rPr>
        <w:t xml:space="preserve">Jedná se o řízení ve věcech kárné odpovědnosti soudců a ve věcech nezpůsobilosti soudce podle § 91 zákona o soudech a soudcích. Věci jsou zapisovány do rejstříku </w:t>
      </w:r>
      <w:proofErr w:type="spellStart"/>
      <w:r w:rsidRPr="00A00187">
        <w:rPr>
          <w:lang w:eastAsia="cs-CZ"/>
        </w:rPr>
        <w:t>Kss</w:t>
      </w:r>
      <w:proofErr w:type="spellEnd"/>
      <w:r w:rsidRPr="00A00187">
        <w:rPr>
          <w:lang w:eastAsia="cs-CZ"/>
        </w:rPr>
        <w:t>.</w:t>
      </w:r>
    </w:p>
    <w:p w14:paraId="73253215" w14:textId="77777777" w:rsidR="008430BD" w:rsidRPr="00A00187" w:rsidRDefault="008430BD" w:rsidP="008430BD">
      <w:pPr>
        <w:pStyle w:val="Nadpis3"/>
        <w:numPr>
          <w:ilvl w:val="2"/>
          <w:numId w:val="1"/>
        </w:numPr>
        <w:rPr>
          <w:color w:val="auto"/>
          <w:lang w:eastAsia="cs-CZ"/>
        </w:rPr>
      </w:pPr>
      <w:bookmarkStart w:id="1312" w:name="_Toc515871313"/>
      <w:bookmarkStart w:id="1313" w:name="_Toc106092828"/>
      <w:bookmarkStart w:id="1314" w:name="_Toc109801439"/>
      <w:r w:rsidRPr="00A00187">
        <w:rPr>
          <w:color w:val="auto"/>
          <w:lang w:eastAsia="cs-CZ"/>
        </w:rPr>
        <w:t>Vyřizování věcí</w:t>
      </w:r>
      <w:bookmarkEnd w:id="1312"/>
      <w:bookmarkEnd w:id="1313"/>
      <w:bookmarkEnd w:id="1314"/>
    </w:p>
    <w:p w14:paraId="59B0EAC4" w14:textId="7D369010" w:rsidR="004E4F1C" w:rsidRPr="00A00187" w:rsidRDefault="004E4F1C" w:rsidP="00605265">
      <w:pPr>
        <w:pStyle w:val="Podnadpis"/>
        <w:numPr>
          <w:ilvl w:val="0"/>
          <w:numId w:val="0"/>
        </w:numPr>
        <w:rPr>
          <w:color w:val="auto"/>
        </w:rPr>
      </w:pPr>
      <w:bookmarkStart w:id="1315" w:name="_Toc515871433"/>
      <w:bookmarkStart w:id="1316" w:name="_Toc11135164"/>
      <w:bookmarkStart w:id="1317" w:name="_Toc43841490"/>
      <w:bookmarkStart w:id="1318" w:name="_Toc75952293"/>
      <w:bookmarkStart w:id="1319" w:name="_Toc106106749"/>
      <w:bookmarkStart w:id="1320" w:name="_Toc109802073"/>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115</w:t>
      </w:r>
      <w:r w:rsidRPr="00A00187">
        <w:rPr>
          <w:color w:val="auto"/>
        </w:rPr>
        <w:fldChar w:fldCharType="end"/>
      </w:r>
      <w:r w:rsidRPr="00A00187">
        <w:rPr>
          <w:color w:val="auto"/>
        </w:rPr>
        <w:t>: NSS – vyřizování řízení ve věcech soudců v letech 2008–20</w:t>
      </w:r>
      <w:bookmarkEnd w:id="1315"/>
      <w:bookmarkEnd w:id="1316"/>
      <w:bookmarkEnd w:id="1317"/>
      <w:r w:rsidRPr="00A00187">
        <w:rPr>
          <w:color w:val="auto"/>
        </w:rPr>
        <w:t>2</w:t>
      </w:r>
      <w:bookmarkEnd w:id="1318"/>
      <w:r w:rsidRPr="00A00187">
        <w:rPr>
          <w:color w:val="auto"/>
        </w:rPr>
        <w:t>1</w:t>
      </w:r>
      <w:bookmarkEnd w:id="1319"/>
      <w:bookmarkEnd w:id="1320"/>
    </w:p>
    <w:p w14:paraId="7A539C9B" w14:textId="77777777" w:rsidR="00605265" w:rsidRPr="00A00187" w:rsidRDefault="00605265" w:rsidP="008430BD">
      <w:pPr>
        <w:spacing w:line="240" w:lineRule="auto"/>
        <w:jc w:val="left"/>
      </w:pPr>
      <w:r w:rsidRPr="00A00187">
        <w:rPr>
          <w:noProof/>
        </w:rPr>
        <w:drawing>
          <wp:inline distT="0" distB="0" distL="0" distR="0" wp14:anchorId="245FD455" wp14:editId="2AA22012">
            <wp:extent cx="5029200" cy="365760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4ABEA08" w14:textId="7D10EEA7" w:rsidR="00605265" w:rsidRPr="00A00187" w:rsidRDefault="00605265" w:rsidP="00605265">
      <w:pPr>
        <w:pStyle w:val="OdstavecASR"/>
        <w:rPr>
          <w:lang w:eastAsia="cs-CZ"/>
        </w:rPr>
      </w:pPr>
      <w:r w:rsidRPr="00A00187">
        <w:t xml:space="preserve">Oproti agendě kasačních stížností je tato agenda velmi malá. Z toho také plyne velká variabilita. U takto malých čísel je možné, aby se v jeden rok „sešlo“ </w:t>
      </w:r>
      <w:r w:rsidR="009046C8" w:rsidRPr="00A00187">
        <w:t xml:space="preserve">vyšší </w:t>
      </w:r>
      <w:r w:rsidRPr="00A00187">
        <w:t xml:space="preserve">množství podaných kárných žalob, případně návrhů na zahájení řízení o způsobilosti soudce. V absolutních číslech se ale jedná o změny malé. </w:t>
      </w:r>
      <w:r w:rsidRPr="00A00187">
        <w:rPr>
          <w:lang w:eastAsia="cs-CZ"/>
        </w:rPr>
        <w:t xml:space="preserve">V roce 2018 bylo z 18 vyřízených věcí 10 soudců uznáno vinnými. V roce 2019 to bylo 20 soudců z 26, v roce 2020 </w:t>
      </w:r>
      <w:r w:rsidR="002A3A2C" w:rsidRPr="00A00187">
        <w:rPr>
          <w:lang w:eastAsia="cs-CZ"/>
        </w:rPr>
        <w:t xml:space="preserve">se jednalo </w:t>
      </w:r>
      <w:r w:rsidR="00755920" w:rsidRPr="00A00187">
        <w:rPr>
          <w:lang w:eastAsia="cs-CZ"/>
        </w:rPr>
        <w:t>o</w:t>
      </w:r>
      <w:r w:rsidR="00755920">
        <w:rPr>
          <w:lang w:eastAsia="cs-CZ"/>
        </w:rPr>
        <w:t> </w:t>
      </w:r>
      <w:r w:rsidRPr="00A00187">
        <w:rPr>
          <w:lang w:eastAsia="cs-CZ"/>
        </w:rPr>
        <w:t xml:space="preserve">10 soudců ze 17 </w:t>
      </w:r>
      <w:r w:rsidR="00755920" w:rsidRPr="00A00187">
        <w:rPr>
          <w:lang w:eastAsia="cs-CZ"/>
        </w:rPr>
        <w:t>a</w:t>
      </w:r>
      <w:r w:rsidR="00755920">
        <w:rPr>
          <w:lang w:eastAsia="cs-CZ"/>
        </w:rPr>
        <w:t> </w:t>
      </w:r>
      <w:r w:rsidRPr="00A00187">
        <w:rPr>
          <w:lang w:eastAsia="cs-CZ"/>
        </w:rPr>
        <w:t xml:space="preserve">v roce 2021 </w:t>
      </w:r>
      <w:r w:rsidR="00755920" w:rsidRPr="00A00187">
        <w:rPr>
          <w:lang w:eastAsia="cs-CZ"/>
        </w:rPr>
        <w:t>o</w:t>
      </w:r>
      <w:r w:rsidR="00755920">
        <w:rPr>
          <w:lang w:eastAsia="cs-CZ"/>
        </w:rPr>
        <w:t> </w:t>
      </w:r>
      <w:r w:rsidRPr="00A00187">
        <w:rPr>
          <w:lang w:eastAsia="cs-CZ"/>
        </w:rPr>
        <w:t>11 soudců z 20.</w:t>
      </w:r>
    </w:p>
    <w:p w14:paraId="75CEDFFF" w14:textId="4090492A" w:rsidR="008430BD" w:rsidRPr="00A00187" w:rsidRDefault="008430BD" w:rsidP="008430BD">
      <w:pPr>
        <w:spacing w:line="240" w:lineRule="auto"/>
        <w:jc w:val="left"/>
      </w:pPr>
      <w:r w:rsidRPr="00A00187">
        <w:br w:type="page"/>
      </w:r>
    </w:p>
    <w:p w14:paraId="1C74211D" w14:textId="4C0E5948" w:rsidR="008430BD" w:rsidRPr="00A00187" w:rsidRDefault="008430BD" w:rsidP="00564A4E">
      <w:pPr>
        <w:pStyle w:val="Nadpis1"/>
        <w:pageBreakBefore/>
        <w:numPr>
          <w:ilvl w:val="0"/>
          <w:numId w:val="1"/>
        </w:numPr>
        <w:spacing w:after="120"/>
        <w:rPr>
          <w:lang w:eastAsia="cs-CZ"/>
        </w:rPr>
      </w:pPr>
      <w:bookmarkStart w:id="1321" w:name="_Toc106092829"/>
      <w:bookmarkStart w:id="1322" w:name="_Toc109801440"/>
      <w:r w:rsidRPr="00A00187">
        <w:rPr>
          <w:lang w:eastAsia="cs-CZ"/>
        </w:rPr>
        <w:lastRenderedPageBreak/>
        <w:t xml:space="preserve">Shrnutí </w:t>
      </w:r>
      <w:r w:rsidR="00021FDD" w:rsidRPr="00A00187">
        <w:rPr>
          <w:lang w:eastAsia="cs-CZ"/>
        </w:rPr>
        <w:t>a </w:t>
      </w:r>
      <w:r w:rsidRPr="00A00187">
        <w:rPr>
          <w:lang w:eastAsia="cs-CZ"/>
        </w:rPr>
        <w:t>mezinárodní srovnání</w:t>
      </w:r>
      <w:bookmarkEnd w:id="1321"/>
      <w:bookmarkEnd w:id="1322"/>
    </w:p>
    <w:p w14:paraId="2F7111A3" w14:textId="331EC046" w:rsidR="008430BD" w:rsidRPr="00A00187" w:rsidRDefault="008430BD" w:rsidP="00564A4E">
      <w:pPr>
        <w:pStyle w:val="Nadpis2"/>
        <w:numPr>
          <w:ilvl w:val="1"/>
          <w:numId w:val="1"/>
        </w:numPr>
        <w:spacing w:before="120"/>
        <w:rPr>
          <w:color w:val="auto"/>
          <w:lang w:eastAsia="cs-CZ"/>
        </w:rPr>
      </w:pPr>
      <w:bookmarkStart w:id="1323" w:name="_Toc106092830"/>
      <w:bookmarkStart w:id="1324" w:name="_Toc109801441"/>
      <w:r w:rsidRPr="00A00187">
        <w:rPr>
          <w:color w:val="auto"/>
          <w:lang w:eastAsia="cs-CZ"/>
        </w:rPr>
        <w:t>Shrnutí</w:t>
      </w:r>
      <w:bookmarkEnd w:id="1323"/>
      <w:bookmarkEnd w:id="1324"/>
    </w:p>
    <w:p w14:paraId="3DC30570" w14:textId="052DB802" w:rsidR="0089497B" w:rsidRPr="00A00187" w:rsidRDefault="0089497B" w:rsidP="00FA7D36">
      <w:pPr>
        <w:pStyle w:val="OdstavecASR"/>
        <w:keepNext/>
        <w:outlineLvl w:val="3"/>
        <w:rPr>
          <w:b/>
          <w:bCs/>
          <w:lang w:eastAsia="cs-CZ"/>
        </w:rPr>
      </w:pPr>
      <w:r w:rsidRPr="00A00187">
        <w:rPr>
          <w:b/>
          <w:bCs/>
          <w:lang w:eastAsia="cs-CZ"/>
        </w:rPr>
        <w:t>Okresní soudy</w:t>
      </w:r>
    </w:p>
    <w:p w14:paraId="039E9103" w14:textId="77777777" w:rsidR="0046351F" w:rsidRPr="00A00187" w:rsidRDefault="0046351F" w:rsidP="00564A4E">
      <w:pPr>
        <w:pStyle w:val="OdstavecASR"/>
        <w:rPr>
          <w:lang w:eastAsia="cs-CZ"/>
        </w:rPr>
      </w:pPr>
      <w:r w:rsidRPr="00A00187">
        <w:rPr>
          <w:lang w:eastAsia="cs-CZ"/>
        </w:rPr>
        <w:t>Počet soudců je u OS dlouhodobě stabilní. Nemění se ani velikost úseků, ani zastoupení dle pohlaví.</w:t>
      </w:r>
    </w:p>
    <w:p w14:paraId="763A3642" w14:textId="224ABE8F" w:rsidR="00CB570A" w:rsidRDefault="0046351F" w:rsidP="00564A4E">
      <w:pPr>
        <w:pStyle w:val="OdstavecASR"/>
        <w:rPr>
          <w:lang w:eastAsia="cs-CZ"/>
        </w:rPr>
      </w:pPr>
      <w:r w:rsidRPr="00A00187">
        <w:rPr>
          <w:lang w:eastAsia="cs-CZ"/>
        </w:rPr>
        <w:t xml:space="preserve">V civilní agendě došlo od roku 2013 (kdy asi byla situace nejhorší) k výraznému zlepšení. Došlo k razantnímu snížení v délkách řízení, dispozičním čase a počtech nevyřízených věcí a nedodělků. </w:t>
      </w:r>
      <w:r w:rsidR="000A48FC" w:rsidRPr="00A00187">
        <w:rPr>
          <w:lang w:eastAsia="cs-CZ"/>
        </w:rPr>
        <w:t xml:space="preserve">Tomuto vývoji nepochybně napomohlo výrazné snížení nápadu. Historicky značná část problémů </w:t>
      </w:r>
      <w:r w:rsidRPr="00A00187">
        <w:rPr>
          <w:lang w:eastAsia="cs-CZ"/>
        </w:rPr>
        <w:t>plynul</w:t>
      </w:r>
      <w:r w:rsidR="000A48FC" w:rsidRPr="00A00187">
        <w:rPr>
          <w:lang w:eastAsia="cs-CZ"/>
        </w:rPr>
        <w:t>a</w:t>
      </w:r>
      <w:r w:rsidRPr="00A00187">
        <w:rPr>
          <w:lang w:eastAsia="cs-CZ"/>
        </w:rPr>
        <w:t xml:space="preserve"> z velké variability </w:t>
      </w:r>
      <w:r w:rsidR="000A48FC" w:rsidRPr="00A00187">
        <w:rPr>
          <w:lang w:eastAsia="cs-CZ"/>
        </w:rPr>
        <w:t>– m</w:t>
      </w:r>
      <w:r w:rsidRPr="00A00187">
        <w:rPr>
          <w:lang w:eastAsia="cs-CZ"/>
        </w:rPr>
        <w:t xml:space="preserve">noho soudů problémy nemělo, ale soudy v Jihomoravském kraji a především v Severočeském kraji vykazovaly značné </w:t>
      </w:r>
      <w:r w:rsidR="000A48FC" w:rsidRPr="00A00187">
        <w:rPr>
          <w:lang w:eastAsia="cs-CZ"/>
        </w:rPr>
        <w:t>obtíže</w:t>
      </w:r>
      <w:r w:rsidRPr="00A00187">
        <w:rPr>
          <w:lang w:eastAsia="cs-CZ"/>
        </w:rPr>
        <w:t xml:space="preserve">. </w:t>
      </w:r>
      <w:r w:rsidR="000A48FC" w:rsidRPr="00A00187">
        <w:rPr>
          <w:lang w:eastAsia="cs-CZ"/>
        </w:rPr>
        <w:t xml:space="preserve">Situace se </w:t>
      </w:r>
      <w:r w:rsidR="00755920" w:rsidRPr="00A00187">
        <w:rPr>
          <w:lang w:eastAsia="cs-CZ"/>
        </w:rPr>
        <w:t>i</w:t>
      </w:r>
      <w:r w:rsidR="00755920">
        <w:rPr>
          <w:lang w:eastAsia="cs-CZ"/>
        </w:rPr>
        <w:t> </w:t>
      </w:r>
      <w:r w:rsidR="000A48FC" w:rsidRPr="00A00187">
        <w:rPr>
          <w:lang w:eastAsia="cs-CZ"/>
        </w:rPr>
        <w:t>v tomto ohledu výrazně zlepšila, ale určité rozdíly přetrvávají.</w:t>
      </w:r>
    </w:p>
    <w:p w14:paraId="77EF6C4E" w14:textId="33CA62BA" w:rsidR="0046351F" w:rsidRPr="00A00187" w:rsidRDefault="0046351F" w:rsidP="00564A4E">
      <w:pPr>
        <w:pStyle w:val="OdstavecASR"/>
        <w:rPr>
          <w:lang w:eastAsia="cs-CZ"/>
        </w:rPr>
      </w:pPr>
      <w:r w:rsidRPr="00A00187">
        <w:rPr>
          <w:lang w:eastAsia="cs-CZ"/>
        </w:rPr>
        <w:t>Agenda elektronického platebního rozkazu byla vždy z hlediska délek řízení a vyřizování soudy jednoduchá a bezproblémová. Veškeré ukazatele jsou více či méně stabilní.</w:t>
      </w:r>
    </w:p>
    <w:p w14:paraId="371AE1E6" w14:textId="08073C7D" w:rsidR="0046351F" w:rsidRPr="00A00187" w:rsidRDefault="0046351F" w:rsidP="00564A4E">
      <w:pPr>
        <w:pStyle w:val="OdstavecASR"/>
        <w:rPr>
          <w:lang w:eastAsia="cs-CZ"/>
        </w:rPr>
      </w:pPr>
      <w:r w:rsidRPr="00A00187">
        <w:rPr>
          <w:lang w:eastAsia="cs-CZ"/>
        </w:rPr>
        <w:t xml:space="preserve">V trestní agendě došlo rovněž ke zlepšení, i když méně patrnému než v agendě civilní. Délky řízení jsou celorepublikově stabilní, ale došlo ke snížení variability. Opět se tedy zlepšily některé problematické soudy. V počtu příchozích a nevyřízených věcí je patrný klesající trend od roku 2014. </w:t>
      </w:r>
      <w:r w:rsidR="000A48FC" w:rsidRPr="00A00187">
        <w:rPr>
          <w:lang w:eastAsia="cs-CZ"/>
        </w:rPr>
        <w:t>V</w:t>
      </w:r>
      <w:r w:rsidRPr="00A00187">
        <w:rPr>
          <w:lang w:eastAsia="cs-CZ"/>
        </w:rPr>
        <w:t xml:space="preserve"> trestní agendě </w:t>
      </w:r>
      <w:r w:rsidR="000A48FC" w:rsidRPr="00A00187">
        <w:rPr>
          <w:lang w:eastAsia="cs-CZ"/>
        </w:rPr>
        <w:t xml:space="preserve">nicméně stále </w:t>
      </w:r>
      <w:r w:rsidRPr="00A00187">
        <w:rPr>
          <w:lang w:eastAsia="cs-CZ"/>
        </w:rPr>
        <w:t>jsou soudy, které vykazují problémy, a situace se tam příliš nezlepšuje. Je také třeba zmínit velký nárůst v počtu uložených peněžitých trestů v posledních letech.</w:t>
      </w:r>
    </w:p>
    <w:p w14:paraId="1D590E3F" w14:textId="77777777" w:rsidR="0046351F" w:rsidRPr="00A00187" w:rsidRDefault="0046351F" w:rsidP="00564A4E">
      <w:pPr>
        <w:pStyle w:val="OdstavecASR"/>
      </w:pPr>
      <w:r w:rsidRPr="00A00187">
        <w:t>V opatrovnické agendě byla situace až do roku 2013 stabilní. V roce 2014 však nabyl účinnosti nový občanský zákoník (zákon č. 89/2012 Sb.), což vedlo k růstu nápadu, délek řízení a počtu nevyřízených věcí. Od roku 2016 se pak počty nevyřízených začaly vracet do stavu před nabytím účinnosti zákona č. 89/2012 Sb. Délky řízení začaly klesat o rok později. Nápad zřejmě již trvale zůstane vyšší.</w:t>
      </w:r>
    </w:p>
    <w:p w14:paraId="7C844A9E" w14:textId="6C6D8329" w:rsidR="0046351F" w:rsidRPr="00A00187" w:rsidRDefault="0046351F" w:rsidP="00564A4E">
      <w:pPr>
        <w:pStyle w:val="OdstavecASR"/>
      </w:pPr>
      <w:r w:rsidRPr="00A00187">
        <w:t>Celkově lze říct, že se situace u okresních soudů z hlediska délek řízení a zatíženosti soudů za posledních</w:t>
      </w:r>
      <w:r w:rsidR="006E5589" w:rsidRPr="00A00187">
        <w:t xml:space="preserve"> </w:t>
      </w:r>
      <w:r w:rsidR="00551212" w:rsidRPr="00A00187">
        <w:t>8</w:t>
      </w:r>
      <w:r w:rsidRPr="00A00187">
        <w:t> let výrazně zlepšila, především pak v Severočeském kraji. Stále jsou ale soudy, které mají potíže s vyřizováním agend a </w:t>
      </w:r>
      <w:r w:rsidR="00936E98" w:rsidRPr="00A00187">
        <w:t xml:space="preserve">existuje tak </w:t>
      </w:r>
      <w:r w:rsidRPr="00A00187">
        <w:t>prostor pro zlepšení.</w:t>
      </w:r>
    </w:p>
    <w:p w14:paraId="7A2F9764" w14:textId="48A2FBDC" w:rsidR="0046351F" w:rsidRPr="00A00187" w:rsidRDefault="0046351F" w:rsidP="00564A4E">
      <w:pPr>
        <w:pStyle w:val="OdstavecASR"/>
      </w:pPr>
      <w:r w:rsidRPr="00A00187">
        <w:t>Je také třeba zmínit vliv pandemie COVID</w:t>
      </w:r>
      <w:r w:rsidRPr="00A00187">
        <w:noBreakHyphen/>
        <w:t>19</w:t>
      </w:r>
      <w:r w:rsidR="00936E98" w:rsidRPr="00A00187">
        <w:t xml:space="preserve"> </w:t>
      </w:r>
      <w:r w:rsidRPr="00A00187">
        <w:t>a s ní související opatření</w:t>
      </w:r>
      <w:r w:rsidR="00936E98" w:rsidRPr="00A00187">
        <w:t>.</w:t>
      </w:r>
      <w:r w:rsidRPr="00A00187">
        <w:t xml:space="preserve"> Ve většině agend došlo k výraznému poklesu nápadu</w:t>
      </w:r>
      <w:r w:rsidR="00936E98" w:rsidRPr="00A00187">
        <w:t xml:space="preserve"> </w:t>
      </w:r>
      <w:r w:rsidR="00755920" w:rsidRPr="00A00187">
        <w:t>a</w:t>
      </w:r>
      <w:r w:rsidR="00755920">
        <w:t> </w:t>
      </w:r>
      <w:r w:rsidR="00936E98" w:rsidRPr="00A00187">
        <w:t>p</w:t>
      </w:r>
      <w:r w:rsidRPr="00A00187">
        <w:t>andemie také soudům ztížila práci</w:t>
      </w:r>
      <w:r w:rsidR="00936E98" w:rsidRPr="00A00187">
        <w:t>;</w:t>
      </w:r>
      <w:r w:rsidRPr="00A00187">
        <w:t xml:space="preserve"> do statistik vyřizování věcí a délek řízení se to </w:t>
      </w:r>
      <w:r w:rsidR="00936E98" w:rsidRPr="00A00187">
        <w:t xml:space="preserve">nicméně </w:t>
      </w:r>
      <w:r w:rsidRPr="00A00187">
        <w:t xml:space="preserve">příliš nepromítlo snad s výjimkou rejstříku </w:t>
      </w:r>
      <w:r w:rsidR="00755920" w:rsidRPr="00A00187">
        <w:t>C</w:t>
      </w:r>
      <w:r w:rsidR="00755920">
        <w:t xml:space="preserve"> </w:t>
      </w:r>
      <w:r w:rsidRPr="00A00187">
        <w:t xml:space="preserve">v roce 2020. V roce 2021 soudy velmi dobře zvládaly vyřizovat </w:t>
      </w:r>
      <w:r w:rsidR="00755920" w:rsidRPr="00A00187">
        <w:t>i</w:t>
      </w:r>
      <w:r w:rsidR="00755920">
        <w:t> </w:t>
      </w:r>
      <w:r w:rsidRPr="00A00187">
        <w:t>věci rejstříku C.</w:t>
      </w:r>
    </w:p>
    <w:p w14:paraId="11AC2324" w14:textId="77777777" w:rsidR="0046351F" w:rsidRPr="00A00187" w:rsidRDefault="0046351F" w:rsidP="00FA7D36">
      <w:pPr>
        <w:pStyle w:val="OdstavecASR"/>
        <w:keepNext/>
        <w:outlineLvl w:val="3"/>
        <w:rPr>
          <w:b/>
          <w:bCs/>
          <w:lang w:eastAsia="cs-CZ"/>
        </w:rPr>
      </w:pPr>
      <w:r w:rsidRPr="00A00187">
        <w:rPr>
          <w:b/>
          <w:bCs/>
          <w:lang w:eastAsia="cs-CZ"/>
        </w:rPr>
        <w:t>Krajské soudy</w:t>
      </w:r>
    </w:p>
    <w:p w14:paraId="13CCC8AA" w14:textId="77777777" w:rsidR="0046351F" w:rsidRPr="00A00187" w:rsidRDefault="0046351F" w:rsidP="00564A4E">
      <w:pPr>
        <w:pStyle w:val="OdstavecASR"/>
        <w:rPr>
          <w:lang w:eastAsia="cs-CZ"/>
        </w:rPr>
      </w:pPr>
      <w:r w:rsidRPr="00A00187">
        <w:rPr>
          <w:lang w:eastAsia="cs-CZ"/>
        </w:rPr>
        <w:t>Počet soudců je u KS dlouhodobě stabilní. Nemění se ani velikost úseků, ale stoupá podíl mužů mezi soudci. Soudy mají dlouhodobě nižší evidenční počet soudců, než je plán.</w:t>
      </w:r>
    </w:p>
    <w:p w14:paraId="323AD828" w14:textId="0B4592E1" w:rsidR="0046351F" w:rsidRPr="00A00187" w:rsidRDefault="0046351F" w:rsidP="00564A4E">
      <w:pPr>
        <w:pStyle w:val="OdstavecASR"/>
      </w:pPr>
      <w:r w:rsidRPr="00A00187">
        <w:rPr>
          <w:lang w:eastAsia="cs-CZ"/>
        </w:rPr>
        <w:t>V prvostupňové civilní a obchodní agendě velmi prudce klesl nápad, což se projevilo poklesem</w:t>
      </w:r>
      <w:r w:rsidR="00FA7D36">
        <w:rPr>
          <w:lang w:eastAsia="cs-CZ"/>
        </w:rPr>
        <w:t xml:space="preserve"> </w:t>
      </w:r>
      <w:r w:rsidRPr="00A00187">
        <w:rPr>
          <w:lang w:eastAsia="cs-CZ"/>
        </w:rPr>
        <w:t xml:space="preserve">počtu nevyřízených věcí. To lze označit za pozitivní zprávu. Pokles se ale nepromítl do délek řízení především kvůli tomu, že je </w:t>
      </w:r>
      <w:r w:rsidRPr="00A00187">
        <w:t>velká část věcí přerušena z důvodu rozhodnutí o úpadku či konkursu. Přerušené věci se promítají do statistik a dochází tak ke zvýšení vykázaných délek řízení.</w:t>
      </w:r>
    </w:p>
    <w:p w14:paraId="708CA7EB" w14:textId="77777777" w:rsidR="00CB570A" w:rsidRDefault="0046351F" w:rsidP="00564A4E">
      <w:pPr>
        <w:pStyle w:val="OdstavecASR"/>
      </w:pPr>
      <w:r w:rsidRPr="00A00187">
        <w:lastRenderedPageBreak/>
        <w:t xml:space="preserve">V civilní odvolací agendě došlo rovněž k poklesu v nápadu, což plyne z poklesu v nápadu u okresních soudů. To vyústilo v pokles počtu nevyřízených věcí. Délky řízení jsou zde nicméně stabilní. Jsou také poměrně nízké v porovnání s prvostupňovou agendou. </w:t>
      </w:r>
      <w:r w:rsidR="004A5203" w:rsidRPr="00A00187">
        <w:t>Civilní odvolací</w:t>
      </w:r>
      <w:r w:rsidRPr="00A00187">
        <w:t xml:space="preserve"> agendu lze označit za celkem bezproblémovou, byť jsou i zde přítomny určité rozdíly mezi soudy.</w:t>
      </w:r>
    </w:p>
    <w:p w14:paraId="45F166B8" w14:textId="75740629" w:rsidR="0046351F" w:rsidRPr="00A00187" w:rsidRDefault="0046351F" w:rsidP="00564A4E">
      <w:pPr>
        <w:pStyle w:val="OdstavecASR"/>
      </w:pPr>
      <w:r w:rsidRPr="00A00187">
        <w:t xml:space="preserve">Statistické sledování prvostupňové trestní agendy ztěžuje to, že se jedná o malou agendu z hlediska počtu věcí, což znamená malý počet pozorování, </w:t>
      </w:r>
      <w:r w:rsidR="00755920" w:rsidRPr="00A00187">
        <w:t>a</w:t>
      </w:r>
      <w:r w:rsidR="00755920">
        <w:t> </w:t>
      </w:r>
      <w:r w:rsidRPr="00A00187">
        <w:t>tedy velkou variabilitu dat. Některé soudy vykazují v této agendě určité problémy, dlouhodobě ale lze situaci označit za stabilní, i když s určitými výkyvy. Je třeba přiznat, že se zde situace ze statistického hlediska nevylepšila.</w:t>
      </w:r>
    </w:p>
    <w:p w14:paraId="58FE7DAE" w14:textId="4B2DF9EF" w:rsidR="0046351F" w:rsidRPr="00A00187" w:rsidRDefault="0046351F" w:rsidP="00564A4E">
      <w:pPr>
        <w:pStyle w:val="OdstavecASR"/>
      </w:pPr>
      <w:r w:rsidRPr="00A00187">
        <w:t>Trestní odvolací agenda je z dlouhodobého hlediska bezproblémová – nízké délky řízení a </w:t>
      </w:r>
      <w:proofErr w:type="spellStart"/>
      <w:r w:rsidRPr="00A00187">
        <w:t>disposition</w:t>
      </w:r>
      <w:proofErr w:type="spellEnd"/>
      <w:r w:rsidRPr="00A00187">
        <w:t xml:space="preserve"> </w:t>
      </w:r>
      <w:proofErr w:type="spellStart"/>
      <w:r w:rsidRPr="00A00187">
        <w:t>time</w:t>
      </w:r>
      <w:proofErr w:type="spellEnd"/>
      <w:r w:rsidR="004A5203" w:rsidRPr="00A00187">
        <w:t xml:space="preserve"> (DT</w:t>
      </w:r>
      <w:r w:rsidRPr="00A00187">
        <w:t>), málo nevyřízených věcí a nevelké rozdíly mezi soudy. V </w:t>
      </w:r>
      <w:r w:rsidR="000418AF" w:rsidRPr="00A00187">
        <w:t>letech</w:t>
      </w:r>
      <w:r w:rsidRPr="00A00187">
        <w:t xml:space="preserve"> 2020</w:t>
      </w:r>
      <w:r w:rsidR="000418AF" w:rsidRPr="00A00187">
        <w:t xml:space="preserve"> </w:t>
      </w:r>
      <w:r w:rsidR="00755920" w:rsidRPr="00A00187">
        <w:t>a</w:t>
      </w:r>
      <w:r w:rsidR="00755920">
        <w:t> </w:t>
      </w:r>
      <w:r w:rsidR="000418AF" w:rsidRPr="00A00187">
        <w:t>2021</w:t>
      </w:r>
      <w:r w:rsidRPr="00A00187">
        <w:t xml:space="preserve"> výrazně klesl nápad kvůli pandemii onemocnění COVID</w:t>
      </w:r>
      <w:r w:rsidRPr="00A00187">
        <w:noBreakHyphen/>
        <w:t>19.</w:t>
      </w:r>
    </w:p>
    <w:p w14:paraId="36285813" w14:textId="10C9360C" w:rsidR="0046351F" w:rsidRPr="00A00187" w:rsidRDefault="0046351F" w:rsidP="00564A4E">
      <w:pPr>
        <w:pStyle w:val="OdstavecASR"/>
      </w:pPr>
      <w:r w:rsidRPr="00A00187">
        <w:t xml:space="preserve">Správní agenda </w:t>
      </w:r>
      <w:r w:rsidR="00E71696" w:rsidRPr="00A00187">
        <w:t xml:space="preserve">byla až do nedávna </w:t>
      </w:r>
      <w:r w:rsidRPr="00A00187">
        <w:t>ze statistického hlediska nejproblematičtější agendou krajských soudů. Dlouhodobě se jedná o vysoké délky řízení a </w:t>
      </w:r>
      <w:r w:rsidR="00F3155B" w:rsidRPr="00A00187">
        <w:t xml:space="preserve">vysoký </w:t>
      </w:r>
      <w:r w:rsidR="004A5203" w:rsidRPr="00A00187">
        <w:t>DT</w:t>
      </w:r>
      <w:r w:rsidRPr="00A00187">
        <w:t xml:space="preserve"> i velké množství nevyřízených věcí na soudce. </w:t>
      </w:r>
      <w:r w:rsidR="00E71696" w:rsidRPr="00A00187">
        <w:t xml:space="preserve">Do </w:t>
      </w:r>
      <w:r w:rsidRPr="00A00187">
        <w:t>roku 2018 prudce rostl nápad a počet nevyřízených věcí. V letech 2019 a</w:t>
      </w:r>
      <w:r w:rsidR="000418AF" w:rsidRPr="00A00187">
        <w:t>ž</w:t>
      </w:r>
      <w:r w:rsidRPr="00A00187">
        <w:t> 202</w:t>
      </w:r>
      <w:r w:rsidR="000418AF" w:rsidRPr="00A00187">
        <w:t>1</w:t>
      </w:r>
      <w:r w:rsidRPr="00A00187">
        <w:t xml:space="preserve"> </w:t>
      </w:r>
      <w:r w:rsidR="004A5203" w:rsidRPr="00A00187">
        <w:t xml:space="preserve">ale </w:t>
      </w:r>
      <w:r w:rsidRPr="00A00187">
        <w:t>obojí razantně kleslo, což znamená, že situace se začíná zlepšovat. Rovněž pomohlo posílení správních úseků krajských soudů. Stále se ale jedná o velmi problematickou agendu, zvlášť u některých soudů.</w:t>
      </w:r>
    </w:p>
    <w:p w14:paraId="44C79EE7" w14:textId="5B7EF799" w:rsidR="0046351F" w:rsidRPr="00A00187" w:rsidRDefault="0046351F" w:rsidP="00564A4E">
      <w:pPr>
        <w:pStyle w:val="OdstavecASR"/>
      </w:pPr>
      <w:r w:rsidRPr="00A00187">
        <w:t xml:space="preserve">Statistiky o insolvenční agendě jsou silně ovlivněny jejím charakterem a tím, že je relativně nová. Data ukazují, že soudy nemají problémy s rozhodováním o úpadku. Vyřizování věcí a délky řízení </w:t>
      </w:r>
      <w:r w:rsidR="004A5203" w:rsidRPr="00A00187">
        <w:t xml:space="preserve">v další fázi </w:t>
      </w:r>
      <w:r w:rsidRPr="00A00187">
        <w:t xml:space="preserve">pak plynou z charakteru agendy a soud na ně má jen omezený vliv. Až do roku 2013 nápad vykazoval jasný stoupající trend, </w:t>
      </w:r>
      <w:r w:rsidR="004A5203" w:rsidRPr="00A00187">
        <w:t xml:space="preserve">poté </w:t>
      </w:r>
      <w:r w:rsidRPr="00A00187">
        <w:t>začal klesat. Počet vyřízených věcí ho s několikaletým zpožděním následoval. Vývoj v agendě je také silně ovlivněn četnými novelizacemi insolvenčního zákona</w:t>
      </w:r>
      <w:r w:rsidR="004A5203" w:rsidRPr="00A00187">
        <w:t xml:space="preserve"> </w:t>
      </w:r>
      <w:r w:rsidR="00755920" w:rsidRPr="00A00187">
        <w:t>a</w:t>
      </w:r>
      <w:r w:rsidR="00755920">
        <w:t> </w:t>
      </w:r>
      <w:r w:rsidR="004A5203" w:rsidRPr="00A00187">
        <w:t xml:space="preserve">v posledním období zřejmě </w:t>
      </w:r>
      <w:r w:rsidR="00755920" w:rsidRPr="00A00187">
        <w:t>i</w:t>
      </w:r>
      <w:r w:rsidR="00755920">
        <w:t> </w:t>
      </w:r>
      <w:r w:rsidR="004A5203" w:rsidRPr="00A00187">
        <w:t xml:space="preserve">pandemií COVID-19 </w:t>
      </w:r>
      <w:r w:rsidR="00755920" w:rsidRPr="00A00187">
        <w:t>a</w:t>
      </w:r>
      <w:r w:rsidR="00755920">
        <w:t> </w:t>
      </w:r>
      <w:r w:rsidR="004A5203" w:rsidRPr="00A00187">
        <w:t>takzvaným „lex covid justice“</w:t>
      </w:r>
      <w:r w:rsidRPr="00A00187">
        <w:t>.</w:t>
      </w:r>
    </w:p>
    <w:p w14:paraId="3927E121" w14:textId="53B8654D" w:rsidR="0046351F" w:rsidRPr="00A00187" w:rsidRDefault="0046351F" w:rsidP="00564A4E">
      <w:pPr>
        <w:pStyle w:val="OdstavecASR"/>
      </w:pPr>
      <w:r w:rsidRPr="00A00187">
        <w:t xml:space="preserve">Incidenční spory jsou vyvolány insolvenčním řízením a projednávány v jeho rámci. Proto vývoj příchozích věcí s určitým zpožděním sleduje vývoj příchozích věcí v insolvenční agendě. Vysoké délky řízení, nemalý </w:t>
      </w:r>
      <w:r w:rsidR="004A5203" w:rsidRPr="00A00187">
        <w:t>DT</w:t>
      </w:r>
      <w:r w:rsidRPr="00A00187">
        <w:t xml:space="preserve"> a značné množství nevyřízených věcí ukazuje, že se jedná o náročnou agendu. Dobré znamení je to, že většina ukazatelů v posledních letech alespoň mírně poklesla. Stále se ale jedná o nelehkou agendu, a zvlášť některé soudy vykazují určité problémy s jejím vyřizováním. Většina ukazatelů rovněž vykazuje velkou variabilitu.</w:t>
      </w:r>
    </w:p>
    <w:p w14:paraId="49F48754" w14:textId="64130F57" w:rsidR="0046351F" w:rsidRPr="00A00187" w:rsidRDefault="0046351F" w:rsidP="00564A4E">
      <w:pPr>
        <w:pStyle w:val="OdstavecASR"/>
      </w:pPr>
      <w:r w:rsidRPr="00A00187">
        <w:t xml:space="preserve">Zatímco u okresních soudů je možné učinit závěr, že dochází ke zlepšení, u krajských soudů je situace složitější. V některých agendách klesá nápad a dochází tak k mírnému zlepšení (civilní odvolací a prvostupňová agenda), někde je situace dlouhodobě bezproblémová (trestní odvolací agenda), jinde je situace stabilní, ale vykazuje určité problémy (trestní prvostupňová agenda). V další agendě (insolvenční) je značná část statistických hodnot ovlivněna podstatou agendy. Jsou pak i agendy, kde data ukazují </w:t>
      </w:r>
      <w:r w:rsidR="004A5203" w:rsidRPr="00A00187">
        <w:t>na</w:t>
      </w:r>
      <w:r w:rsidRPr="00A00187">
        <w:t xml:space="preserve"> problémy (částečně incidenční spory, ale především správní agenda).</w:t>
      </w:r>
    </w:p>
    <w:p w14:paraId="58B3D2D3" w14:textId="77777777" w:rsidR="00136049" w:rsidRPr="00A00187" w:rsidRDefault="00136049" w:rsidP="00FA7D36">
      <w:pPr>
        <w:pStyle w:val="OdstavecASR"/>
        <w:keepNext/>
        <w:outlineLvl w:val="3"/>
        <w:rPr>
          <w:b/>
        </w:rPr>
      </w:pPr>
      <w:r w:rsidRPr="00A00187">
        <w:rPr>
          <w:b/>
        </w:rPr>
        <w:t>Vrchní soudy</w:t>
      </w:r>
    </w:p>
    <w:p w14:paraId="05ABD800" w14:textId="7BAD4D60" w:rsidR="00136049" w:rsidRPr="00A00187" w:rsidRDefault="00136049" w:rsidP="00564A4E">
      <w:pPr>
        <w:pStyle w:val="OdstavecASR"/>
      </w:pPr>
      <w:r w:rsidRPr="00A00187">
        <w:t>VS v Praze je více než dvakrát větší než VS v Olomouci. Počet soudců, podíl soudkyň a velikost úseků se u obou soudů v průběhu let mírně mění.</w:t>
      </w:r>
    </w:p>
    <w:p w14:paraId="2C8A2855" w14:textId="597B7C16" w:rsidR="00136049" w:rsidRPr="00A00187" w:rsidRDefault="00136049" w:rsidP="00564A4E">
      <w:pPr>
        <w:pStyle w:val="OdstavecASR"/>
      </w:pPr>
      <w:r w:rsidRPr="00A00187">
        <w:t xml:space="preserve">V civilní odvolací agendě je nemalý rozdíl mezi oběma soudy. VS Olomouc má výrazně lepší statistiky (nevyřízené věci na soudce, </w:t>
      </w:r>
      <w:r w:rsidR="004A5203" w:rsidRPr="00A00187">
        <w:t>DT</w:t>
      </w:r>
      <w:r w:rsidRPr="00A00187">
        <w:t>, délky řízení). U obou soudů</w:t>
      </w:r>
      <w:r w:rsidR="00343754" w:rsidRPr="00A00187">
        <w:t xml:space="preserve"> dlouhodobě</w:t>
      </w:r>
      <w:r w:rsidRPr="00A00187">
        <w:t xml:space="preserve"> klesá počet příchozích věcí, což vede ke snížení počtu nevyřízených věcí. Délky řízení nicméně neklesají. </w:t>
      </w:r>
      <w:r w:rsidRPr="00A00187">
        <w:lastRenderedPageBreak/>
        <w:t xml:space="preserve">Celkově lze shrnout, že situace u VS v Olomouci je dobrá, u VS v Praze </w:t>
      </w:r>
      <w:r w:rsidR="004A5203" w:rsidRPr="00A00187">
        <w:t>méně příznivá</w:t>
      </w:r>
      <w:r w:rsidRPr="00A00187">
        <w:t>, ale díky snižování nápadu se postupně zlepšuje.</w:t>
      </w:r>
    </w:p>
    <w:p w14:paraId="4B39FE6C" w14:textId="77777777" w:rsidR="00136049" w:rsidRPr="00A00187" w:rsidRDefault="00136049" w:rsidP="00564A4E">
      <w:pPr>
        <w:pStyle w:val="OdstavecASR"/>
      </w:pPr>
      <w:r w:rsidRPr="00A00187">
        <w:t>V trestní odvolací agendě je situace vyrovnanější. Z dlouhodobého hlediska soudy vykazují velmi vyrovnané statistiky.</w:t>
      </w:r>
    </w:p>
    <w:p w14:paraId="0AE26242" w14:textId="5F8A1C48" w:rsidR="00136049" w:rsidRPr="00A00187" w:rsidRDefault="00136049" w:rsidP="00564A4E">
      <w:pPr>
        <w:pStyle w:val="OdstavecASR"/>
      </w:pPr>
      <w:r w:rsidRPr="00A00187">
        <w:t xml:space="preserve">V insolvenční agendě II. stupně mají časové řady příchozích, vyřízených i nevyřízených věcí </w:t>
      </w:r>
      <w:r w:rsidR="00F50B14" w:rsidRPr="00A00187">
        <w:t xml:space="preserve">přibližně </w:t>
      </w:r>
      <w:r w:rsidRPr="00A00187">
        <w:t xml:space="preserve">tvar obráceného </w:t>
      </w:r>
      <w:r w:rsidR="00FA7D36">
        <w:t>„</w:t>
      </w:r>
      <w:r w:rsidRPr="00A00187">
        <w:t>U</w:t>
      </w:r>
      <w:r w:rsidR="00FA7D36">
        <w:t>“</w:t>
      </w:r>
      <w:r w:rsidRPr="00A00187">
        <w:t xml:space="preserve">, </w:t>
      </w:r>
      <w:r w:rsidR="00F50B14" w:rsidRPr="00A00187">
        <w:t>v posledních letech tedy klesaly</w:t>
      </w:r>
      <w:r w:rsidRPr="00A00187">
        <w:t xml:space="preserve">. </w:t>
      </w:r>
      <w:r w:rsidR="00F50B14" w:rsidRPr="00A00187">
        <w:t xml:space="preserve">Pokles se ovšem nyní zastavil. </w:t>
      </w:r>
      <w:r w:rsidRPr="00A00187">
        <w:t>V současné době jsou na tom oba soudy poměrně dobře, a to díky poklesu v počtu napadlých věcí.</w:t>
      </w:r>
    </w:p>
    <w:p w14:paraId="29E03C78" w14:textId="47B1F6E9" w:rsidR="00136049" w:rsidRPr="00A00187" w:rsidRDefault="00136049" w:rsidP="00564A4E">
      <w:pPr>
        <w:pStyle w:val="OdstavecASR"/>
      </w:pPr>
      <w:r w:rsidRPr="00A00187">
        <w:t xml:space="preserve">V incidenčních sporech II. stupně si lépe vede VS v Olomouci, který vykazuje nižší délky řízení, </w:t>
      </w:r>
      <w:r w:rsidR="007474D8" w:rsidRPr="00A00187">
        <w:t xml:space="preserve">nižší </w:t>
      </w:r>
      <w:r w:rsidR="004A5203" w:rsidRPr="00A00187">
        <w:t>DT</w:t>
      </w:r>
      <w:r w:rsidRPr="00A00187">
        <w:t xml:space="preserve"> i méně nevyřízených věcí na soudce.</w:t>
      </w:r>
    </w:p>
    <w:p w14:paraId="0B086F7F" w14:textId="77777777" w:rsidR="00F50B14" w:rsidRPr="00A00187" w:rsidRDefault="00F50B14" w:rsidP="00FA7D36">
      <w:pPr>
        <w:pStyle w:val="OdstavecASR"/>
        <w:keepNext/>
        <w:outlineLvl w:val="3"/>
        <w:rPr>
          <w:b/>
          <w:bCs/>
          <w:lang w:eastAsia="cs-CZ"/>
        </w:rPr>
      </w:pPr>
      <w:r w:rsidRPr="00A00187">
        <w:rPr>
          <w:b/>
          <w:bCs/>
          <w:lang w:eastAsia="cs-CZ"/>
        </w:rPr>
        <w:t>Nejvyšší soud</w:t>
      </w:r>
    </w:p>
    <w:p w14:paraId="5DAA1F2C" w14:textId="57788A63" w:rsidR="00F50B14" w:rsidRPr="00A00187" w:rsidRDefault="00F50B14" w:rsidP="00564A4E">
      <w:pPr>
        <w:pStyle w:val="OdstavecASR"/>
      </w:pPr>
      <w:r w:rsidRPr="00A00187">
        <w:t xml:space="preserve">U Nejvyššího soudu došlo v posledních letech k určitému růstu v plánovaném </w:t>
      </w:r>
      <w:r w:rsidR="00755920" w:rsidRPr="00A00187">
        <w:t>i</w:t>
      </w:r>
      <w:r w:rsidR="00755920">
        <w:t> </w:t>
      </w:r>
      <w:r w:rsidRPr="00A00187">
        <w:t>evidenčním počtu soudců. Civilní dovolací agenda a trestní dovolací agenda jsou nejvýznamnější a největší agendy Nejvyššího soudu.</w:t>
      </w:r>
    </w:p>
    <w:p w14:paraId="627AB220" w14:textId="397F2283" w:rsidR="00F50B14" w:rsidRPr="00A00187" w:rsidRDefault="00F50B14" w:rsidP="00564A4E">
      <w:pPr>
        <w:pStyle w:val="OdstavecASR"/>
      </w:pPr>
      <w:r w:rsidRPr="00A00187">
        <w:t>Nápad civilní dovolací agendy se v průběhu let poměrně zásadně měnil. Velmi vysoký byl v letech 2008 a 2009. V tuto dobu soud také vykazoval velmi vysoké počty nevyřízených věcí. Následně došlo k poklesu nápadu i nevyřízených věcí. V letech 2013 až 2017 ale nápad opět rostl. Tentokrát soud zvládl zvýšený nápor a počet nevyřízených věcí se nezvětšoval. Od roku 2018 nápad rychle klesá a díky tomu klesá i počet nevyřízených věcí, který je nyní nejnižší za sledované období 2008 až 202</w:t>
      </w:r>
      <w:r w:rsidR="00FA4AAE" w:rsidRPr="00A00187">
        <w:t>1</w:t>
      </w:r>
      <w:r w:rsidRPr="00A00187">
        <w:t>.</w:t>
      </w:r>
    </w:p>
    <w:p w14:paraId="181058FC" w14:textId="4A7BE0D0" w:rsidR="00F50B14" w:rsidRPr="00A00187" w:rsidRDefault="00F50B14" w:rsidP="00564A4E">
      <w:pPr>
        <w:pStyle w:val="OdstavecASR"/>
      </w:pPr>
      <w:r w:rsidRPr="00A00187">
        <w:t>Situace v trestní dovolací agendě je mnohem stabilnější. Nápad i počet vyřízených věcí se až na výjimky pohybuje mezi 1 450 a 1 700 věci ročně. Počet nevyřízených věcí se pak pohybuje (opět až na výjimky) mezi 150 a 200.</w:t>
      </w:r>
      <w:r w:rsidR="00FA4AAE" w:rsidRPr="00A00187">
        <w:t xml:space="preserve"> Teprve v posledních dvou letech je vidět určitý citelnější pokles. Je otázka, zda je trvalý</w:t>
      </w:r>
      <w:r w:rsidR="004A5203" w:rsidRPr="00A00187">
        <w:t>,</w:t>
      </w:r>
      <w:r w:rsidR="00FA4AAE" w:rsidRPr="00A00187">
        <w:t xml:space="preserve"> či se jedná </w:t>
      </w:r>
      <w:r w:rsidR="00755920" w:rsidRPr="00A00187">
        <w:t>o</w:t>
      </w:r>
      <w:r w:rsidR="00755920">
        <w:t> </w:t>
      </w:r>
      <w:r w:rsidR="00FA4AAE" w:rsidRPr="00A00187">
        <w:t>další výkyv, který by mohl být způsoben poklesem druhostupňové agendy.</w:t>
      </w:r>
    </w:p>
    <w:p w14:paraId="4632697A" w14:textId="77777777" w:rsidR="00F50B14" w:rsidRPr="00A00187" w:rsidRDefault="00F50B14" w:rsidP="00FA7D36">
      <w:pPr>
        <w:pStyle w:val="OdstavecASR"/>
        <w:keepNext/>
        <w:outlineLvl w:val="3"/>
        <w:rPr>
          <w:b/>
          <w:bCs/>
          <w:lang w:eastAsia="cs-CZ"/>
        </w:rPr>
      </w:pPr>
      <w:r w:rsidRPr="00A00187">
        <w:rPr>
          <w:b/>
          <w:bCs/>
          <w:lang w:eastAsia="cs-CZ"/>
        </w:rPr>
        <w:t>Nejvyšší správní soud</w:t>
      </w:r>
    </w:p>
    <w:p w14:paraId="1705546D" w14:textId="4A73BA83" w:rsidR="00F50B14" w:rsidRPr="00A00187" w:rsidRDefault="00F50B14" w:rsidP="00564A4E">
      <w:pPr>
        <w:pStyle w:val="OdstavecASR"/>
      </w:pPr>
      <w:r w:rsidRPr="00A00187">
        <w:t>V letech 2013 až 2015 došlo k nárůstu v počtu soudců, od té doby je víceméně stabilní.</w:t>
      </w:r>
    </w:p>
    <w:p w14:paraId="7300CDC5" w14:textId="551F1511" w:rsidR="00CB570A" w:rsidRDefault="00F50B14" w:rsidP="00564A4E">
      <w:pPr>
        <w:pStyle w:val="OdstavecASR"/>
      </w:pPr>
      <w:r w:rsidRPr="00A00187">
        <w:t>Nejvýznamnější agendou NSS je agenda řízení o kasačních stížnostech. V této agendě se bohužel projevuje trend, který pozorujeme ve správním soudnictví u krajských soudů. Od roku 2014 až do roku 2019 rostl nápad. Soud sice zvládl zvyšovat počet vyřízených věcí, ale nápad počet vyřízených věcí stále převyšoval. To potvrzuje, že ze statistického hlediska je správní soudnictví nejproblematičtější. Rok</w:t>
      </w:r>
      <w:r w:rsidR="00FA4AAE" w:rsidRPr="00A00187">
        <w:t>y</w:t>
      </w:r>
      <w:r w:rsidRPr="00A00187">
        <w:t xml:space="preserve"> 202</w:t>
      </w:r>
      <w:r w:rsidR="00FA4AAE" w:rsidRPr="00A00187">
        <w:t xml:space="preserve">0 </w:t>
      </w:r>
      <w:r w:rsidR="00755920" w:rsidRPr="00A00187">
        <w:t>a</w:t>
      </w:r>
      <w:r w:rsidR="00755920">
        <w:t> </w:t>
      </w:r>
      <w:r w:rsidR="00FA4AAE" w:rsidRPr="00A00187">
        <w:t>2021</w:t>
      </w:r>
      <w:r w:rsidRPr="00A00187">
        <w:t xml:space="preserve"> ale naznačuj</w:t>
      </w:r>
      <w:r w:rsidR="00FA4AAE" w:rsidRPr="00A00187">
        <w:t>í</w:t>
      </w:r>
      <w:r w:rsidRPr="00A00187">
        <w:t xml:space="preserve"> zlepšení, neboť nápad u krajských soudů již </w:t>
      </w:r>
      <w:r w:rsidR="00FA4AAE" w:rsidRPr="00A00187">
        <w:t>tři</w:t>
      </w:r>
      <w:r w:rsidRPr="00A00187">
        <w:t xml:space="preserve"> roky klesá a </w:t>
      </w:r>
      <w:r w:rsidR="00755920" w:rsidRPr="00A00187">
        <w:t>u</w:t>
      </w:r>
      <w:r w:rsidR="00755920">
        <w:t> </w:t>
      </w:r>
      <w:r w:rsidR="00FA4AAE" w:rsidRPr="00A00187">
        <w:t xml:space="preserve">NSS alespoň přestal růst. </w:t>
      </w:r>
      <w:r w:rsidR="004A5203" w:rsidRPr="00A00187">
        <w:t xml:space="preserve">Napadá nicméně pořád vysoký počet kasačních stížností proti rozhodnutím krajských soudů, které stále vykazují poměrně vysoký počet </w:t>
      </w:r>
      <w:r w:rsidR="00FA4AAE" w:rsidRPr="00A00187">
        <w:t xml:space="preserve">nedodělků. </w:t>
      </w:r>
      <w:r w:rsidR="002E6246" w:rsidRPr="00A00187">
        <w:t>Situace se tedy začne zlepšovat, až krajsk</w:t>
      </w:r>
      <w:r w:rsidR="004A5203" w:rsidRPr="00A00187">
        <w:t>é soudy „vyčerpají“ své nedodělky, což by mělo vést k signifikantnímu snížení nápadu kasačních stížností</w:t>
      </w:r>
      <w:r w:rsidR="002E6246" w:rsidRPr="00A00187">
        <w:t>. Pomoci by NSS rovněž mělo plánované personální posílení.</w:t>
      </w:r>
    </w:p>
    <w:p w14:paraId="299D555A" w14:textId="5F12E5A5" w:rsidR="00E10CA4" w:rsidRPr="00A00187" w:rsidRDefault="00E10CA4" w:rsidP="00564A4E">
      <w:pPr>
        <w:pStyle w:val="OdstavecASR"/>
      </w:pPr>
      <w:r w:rsidRPr="00A00187">
        <w:br w:type="page"/>
      </w:r>
    </w:p>
    <w:p w14:paraId="41821EF5" w14:textId="77795A1E" w:rsidR="004F2497" w:rsidRPr="00A00187" w:rsidRDefault="004F2497" w:rsidP="00A00187">
      <w:pPr>
        <w:pStyle w:val="Nadpis2"/>
        <w:numPr>
          <w:ilvl w:val="1"/>
          <w:numId w:val="1"/>
        </w:numPr>
        <w:spacing w:before="120"/>
        <w:rPr>
          <w:color w:val="auto"/>
          <w:lang w:eastAsia="cs-CZ"/>
        </w:rPr>
      </w:pPr>
      <w:bookmarkStart w:id="1325" w:name="_Toc75952166"/>
      <w:bookmarkStart w:id="1326" w:name="_Toc106092831"/>
      <w:bookmarkStart w:id="1327" w:name="_Toc109801442"/>
      <w:r w:rsidRPr="00A00187">
        <w:rPr>
          <w:color w:val="auto"/>
          <w:lang w:eastAsia="cs-CZ"/>
        </w:rPr>
        <w:lastRenderedPageBreak/>
        <w:t>Mezinárodní srovnání</w:t>
      </w:r>
      <w:bookmarkEnd w:id="1325"/>
      <w:bookmarkEnd w:id="1326"/>
      <w:bookmarkEnd w:id="1327"/>
    </w:p>
    <w:p w14:paraId="1CF058F0" w14:textId="77777777" w:rsidR="00CB570A" w:rsidRDefault="004F2497" w:rsidP="0089497B">
      <w:pPr>
        <w:pStyle w:val="OdstavecASR"/>
      </w:pPr>
      <w:r w:rsidRPr="00A00187">
        <w:t xml:space="preserve">Mezinárodní srovnání je nástroj, který přispívá k zvyšování účinnosti, kvality, nezávislosti a důvěryhodnosti soudního systému, protože </w:t>
      </w:r>
      <w:r w:rsidR="004A5203" w:rsidRPr="00A00187">
        <w:t xml:space="preserve">národnímu systému </w:t>
      </w:r>
      <w:r w:rsidRPr="00A00187">
        <w:t xml:space="preserve">nastavuje </w:t>
      </w:r>
      <w:r w:rsidR="004A5203" w:rsidRPr="00A00187">
        <w:t xml:space="preserve">příslovečné </w:t>
      </w:r>
      <w:r w:rsidRPr="00A00187">
        <w:t>zrcadlo.</w:t>
      </w:r>
    </w:p>
    <w:p w14:paraId="37AC3631" w14:textId="2C7A37F1" w:rsidR="004F2497" w:rsidRPr="00A00187" w:rsidRDefault="004F2497" w:rsidP="0089497B">
      <w:pPr>
        <w:pStyle w:val="OdstavecASR"/>
        <w:rPr>
          <w:lang w:eastAsia="cs-CZ"/>
        </w:rPr>
      </w:pPr>
      <w:r w:rsidRPr="00A00187">
        <w:rPr>
          <w:lang w:eastAsia="cs-CZ"/>
        </w:rPr>
        <w:t>V této části zprávy se zabýváme srovnáním personální</w:t>
      </w:r>
      <w:r w:rsidR="004A5203" w:rsidRPr="00A00187">
        <w:rPr>
          <w:lang w:eastAsia="cs-CZ"/>
        </w:rPr>
        <w:t>ho</w:t>
      </w:r>
      <w:r w:rsidRPr="00A00187">
        <w:rPr>
          <w:lang w:eastAsia="cs-CZ"/>
        </w:rPr>
        <w:t xml:space="preserve"> zabezpečení soudů, agendou netrestní (zejména spornými občanskými </w:t>
      </w:r>
      <w:r w:rsidR="00755920" w:rsidRPr="00A00187">
        <w:rPr>
          <w:lang w:eastAsia="cs-CZ"/>
        </w:rPr>
        <w:t>a</w:t>
      </w:r>
      <w:r w:rsidR="00755920">
        <w:rPr>
          <w:lang w:eastAsia="cs-CZ"/>
        </w:rPr>
        <w:t> </w:t>
      </w:r>
      <w:r w:rsidRPr="00A00187">
        <w:rPr>
          <w:lang w:eastAsia="cs-CZ"/>
        </w:rPr>
        <w:t xml:space="preserve">obchodními věcmi) </w:t>
      </w:r>
      <w:r w:rsidR="00755920" w:rsidRPr="00A00187">
        <w:rPr>
          <w:lang w:eastAsia="cs-CZ"/>
        </w:rPr>
        <w:t>a</w:t>
      </w:r>
      <w:r w:rsidR="00755920">
        <w:rPr>
          <w:lang w:eastAsia="cs-CZ"/>
        </w:rPr>
        <w:t> </w:t>
      </w:r>
      <w:r w:rsidRPr="00A00187">
        <w:rPr>
          <w:lang w:eastAsia="cs-CZ"/>
        </w:rPr>
        <w:t>poprvé základními daty z agendy trestní. Čerpáme přitom z obsáhlé publikace Evropské komise „</w:t>
      </w:r>
      <w:proofErr w:type="spellStart"/>
      <w:r w:rsidRPr="00A00187">
        <w:rPr>
          <w:lang w:eastAsia="cs-CZ"/>
        </w:rPr>
        <w:t>The</w:t>
      </w:r>
      <w:proofErr w:type="spellEnd"/>
      <w:r w:rsidRPr="00A00187">
        <w:rPr>
          <w:lang w:eastAsia="cs-CZ"/>
        </w:rPr>
        <w:t xml:space="preserve"> 2021 EU Justice </w:t>
      </w:r>
      <w:proofErr w:type="spellStart"/>
      <w:r w:rsidRPr="00A00187">
        <w:rPr>
          <w:lang w:eastAsia="cs-CZ"/>
        </w:rPr>
        <w:t>Scoreboard</w:t>
      </w:r>
      <w:proofErr w:type="spellEnd"/>
      <w:r w:rsidRPr="00A00187">
        <w:rPr>
          <w:lang w:eastAsia="cs-CZ"/>
        </w:rPr>
        <w:t>“, kterou doplňujeme dalšími zdroji informací, pokud je to vhodné či nezbytné (</w:t>
      </w:r>
      <w:proofErr w:type="spellStart"/>
      <w:r w:rsidRPr="00A00187">
        <w:rPr>
          <w:lang w:eastAsia="cs-CZ"/>
        </w:rPr>
        <w:t>Eurostat</w:t>
      </w:r>
      <w:proofErr w:type="spellEnd"/>
      <w:r w:rsidRPr="00A00187">
        <w:rPr>
          <w:lang w:eastAsia="cs-CZ"/>
        </w:rPr>
        <w:t>, UNODC).</w:t>
      </w:r>
    </w:p>
    <w:p w14:paraId="4F20BD74" w14:textId="18574537" w:rsidR="005608B5" w:rsidRPr="00A00187" w:rsidRDefault="005608B5" w:rsidP="005608B5">
      <w:bookmarkStart w:id="1328" w:name="_Hlk106105859"/>
      <w:r w:rsidRPr="00A00187">
        <w:t xml:space="preserve">Pro snazší porozumění následujícím grafům </w:t>
      </w:r>
      <w:r w:rsidR="00755920" w:rsidRPr="00A00187">
        <w:t>a</w:t>
      </w:r>
      <w:r w:rsidR="00755920">
        <w:t> </w:t>
      </w:r>
      <w:r w:rsidRPr="00A00187">
        <w:t>tabulkám uvádíme níže seznam zkratek členských zemí EU používaných v mezinárodním srovnání:</w:t>
      </w:r>
    </w:p>
    <w:p w14:paraId="7475FAC7" w14:textId="77777777" w:rsidR="00D96A4C" w:rsidRPr="00A00187" w:rsidRDefault="00D96A4C" w:rsidP="005608B5">
      <w:pPr>
        <w:sectPr w:rsidR="00D96A4C" w:rsidRPr="00A00187" w:rsidSect="00E077F3">
          <w:footerReference w:type="default" r:id="rId145"/>
          <w:pgSz w:w="11906" w:h="16838" w:code="9"/>
          <w:pgMar w:top="1418" w:right="1418" w:bottom="1418" w:left="1418" w:header="709" w:footer="709" w:gutter="0"/>
          <w:cols w:space="708"/>
          <w:titlePg/>
          <w:docGrid w:linePitch="360"/>
        </w:sectPr>
      </w:pPr>
    </w:p>
    <w:p w14:paraId="3610E74E" w14:textId="3A3A9514" w:rsidR="005608B5" w:rsidRPr="00A00187" w:rsidRDefault="005608B5" w:rsidP="005608B5"/>
    <w:p w14:paraId="41865ED9" w14:textId="77777777" w:rsidR="005608B5" w:rsidRPr="00A00187" w:rsidRDefault="005608B5" w:rsidP="005608B5">
      <w:pPr>
        <w:sectPr w:rsidR="005608B5" w:rsidRPr="00A00187" w:rsidSect="006E5589">
          <w:type w:val="continuous"/>
          <w:pgSz w:w="11906" w:h="16838" w:code="9"/>
          <w:pgMar w:top="1418" w:right="1418" w:bottom="1418" w:left="1418" w:header="709" w:footer="709" w:gutter="0"/>
          <w:cols w:num="3" w:space="708"/>
          <w:titlePg/>
          <w:docGrid w:linePitch="360"/>
        </w:sectPr>
      </w:pPr>
      <w:bookmarkStart w:id="1329" w:name="_Hlk106105823"/>
    </w:p>
    <w:p w14:paraId="5AF1778F" w14:textId="77777777" w:rsidR="005608B5" w:rsidRPr="00A00187" w:rsidRDefault="005608B5" w:rsidP="005608B5">
      <w:r w:rsidRPr="00A00187">
        <w:t>AT Rakousko</w:t>
      </w:r>
    </w:p>
    <w:p w14:paraId="7C8482C9" w14:textId="77777777" w:rsidR="005608B5" w:rsidRPr="00A00187" w:rsidRDefault="005608B5" w:rsidP="005608B5">
      <w:r w:rsidRPr="00A00187">
        <w:t>BE Belgie</w:t>
      </w:r>
    </w:p>
    <w:p w14:paraId="029A510F" w14:textId="77777777" w:rsidR="005608B5" w:rsidRPr="00A00187" w:rsidRDefault="005608B5" w:rsidP="005608B5">
      <w:r w:rsidRPr="00A00187">
        <w:t>BG Bulharsko</w:t>
      </w:r>
    </w:p>
    <w:p w14:paraId="75245F9F" w14:textId="77777777" w:rsidR="005608B5" w:rsidRPr="00A00187" w:rsidRDefault="005608B5" w:rsidP="005608B5">
      <w:r w:rsidRPr="00A00187">
        <w:t>CY Kypr</w:t>
      </w:r>
    </w:p>
    <w:p w14:paraId="0F75594B" w14:textId="77777777" w:rsidR="005608B5" w:rsidRPr="00A00187" w:rsidRDefault="005608B5" w:rsidP="005608B5">
      <w:r w:rsidRPr="00A00187">
        <w:t>CZ Česká republika</w:t>
      </w:r>
    </w:p>
    <w:p w14:paraId="23EF4679" w14:textId="77777777" w:rsidR="005608B5" w:rsidRPr="00A00187" w:rsidRDefault="005608B5" w:rsidP="005608B5">
      <w:r w:rsidRPr="00A00187">
        <w:t>DE Německo</w:t>
      </w:r>
    </w:p>
    <w:p w14:paraId="2D6F5A96" w14:textId="77777777" w:rsidR="005608B5" w:rsidRPr="00A00187" w:rsidRDefault="005608B5" w:rsidP="005608B5">
      <w:r w:rsidRPr="00A00187">
        <w:t>DK Dánsko</w:t>
      </w:r>
    </w:p>
    <w:p w14:paraId="23F30309" w14:textId="77777777" w:rsidR="005608B5" w:rsidRPr="00A00187" w:rsidRDefault="005608B5" w:rsidP="005608B5">
      <w:r w:rsidRPr="00A00187">
        <w:t>EE Estonsko</w:t>
      </w:r>
    </w:p>
    <w:p w14:paraId="3CC8423E" w14:textId="77777777" w:rsidR="005608B5" w:rsidRPr="00A00187" w:rsidRDefault="005608B5" w:rsidP="005608B5">
      <w:r w:rsidRPr="00A00187">
        <w:t>EL Řecko</w:t>
      </w:r>
      <w:r w:rsidRPr="00A00187">
        <w:br w:type="column"/>
      </w:r>
      <w:r w:rsidRPr="00A00187">
        <w:t>ES Španělsko</w:t>
      </w:r>
    </w:p>
    <w:p w14:paraId="69A2136C" w14:textId="77777777" w:rsidR="005608B5" w:rsidRPr="00A00187" w:rsidRDefault="005608B5" w:rsidP="005608B5">
      <w:r w:rsidRPr="00A00187">
        <w:t>FI Finsko</w:t>
      </w:r>
    </w:p>
    <w:p w14:paraId="09CFFA58" w14:textId="77777777" w:rsidR="005608B5" w:rsidRPr="00A00187" w:rsidRDefault="005608B5" w:rsidP="005608B5">
      <w:r w:rsidRPr="00A00187">
        <w:t>FR Francie</w:t>
      </w:r>
    </w:p>
    <w:p w14:paraId="0AC3A8DC" w14:textId="77777777" w:rsidR="005608B5" w:rsidRPr="00A00187" w:rsidRDefault="005608B5" w:rsidP="005608B5">
      <w:r w:rsidRPr="00A00187">
        <w:t>HR Chorvatsko</w:t>
      </w:r>
    </w:p>
    <w:p w14:paraId="0F31BDD1" w14:textId="77777777" w:rsidR="005608B5" w:rsidRPr="00A00187" w:rsidRDefault="005608B5" w:rsidP="005608B5">
      <w:r w:rsidRPr="00A00187">
        <w:t>HU Maďarsko</w:t>
      </w:r>
    </w:p>
    <w:p w14:paraId="024BAFC1" w14:textId="77777777" w:rsidR="005608B5" w:rsidRPr="00A00187" w:rsidRDefault="005608B5" w:rsidP="005608B5">
      <w:r w:rsidRPr="00A00187">
        <w:t>IE Irsko</w:t>
      </w:r>
    </w:p>
    <w:p w14:paraId="2CA234C3" w14:textId="77777777" w:rsidR="005608B5" w:rsidRPr="00A00187" w:rsidRDefault="005608B5" w:rsidP="005608B5">
      <w:r w:rsidRPr="00A00187">
        <w:t>IT Itálie</w:t>
      </w:r>
    </w:p>
    <w:p w14:paraId="0813418C" w14:textId="77777777" w:rsidR="00CB570A" w:rsidRDefault="005608B5" w:rsidP="005608B5">
      <w:r w:rsidRPr="00A00187">
        <w:t>LT Litva</w:t>
      </w:r>
    </w:p>
    <w:p w14:paraId="502AD644" w14:textId="4B90AB95" w:rsidR="005608B5" w:rsidRPr="00A00187" w:rsidRDefault="005608B5" w:rsidP="005608B5">
      <w:r w:rsidRPr="00A00187">
        <w:t>LU Lucembursko</w:t>
      </w:r>
      <w:r w:rsidRPr="00A00187">
        <w:br w:type="column"/>
      </w:r>
      <w:r w:rsidRPr="00A00187">
        <w:t>LV Lotyšsko</w:t>
      </w:r>
    </w:p>
    <w:p w14:paraId="166ABEBB" w14:textId="77777777" w:rsidR="005608B5" w:rsidRPr="00A00187" w:rsidRDefault="005608B5" w:rsidP="005608B5">
      <w:r w:rsidRPr="00A00187">
        <w:t>MT Malta</w:t>
      </w:r>
    </w:p>
    <w:p w14:paraId="1823BF1D" w14:textId="77777777" w:rsidR="005608B5" w:rsidRPr="00A00187" w:rsidRDefault="005608B5" w:rsidP="005608B5">
      <w:r w:rsidRPr="00A00187">
        <w:t>NL Nizozemsko</w:t>
      </w:r>
    </w:p>
    <w:p w14:paraId="2E677156" w14:textId="77777777" w:rsidR="005608B5" w:rsidRPr="00A00187" w:rsidRDefault="005608B5" w:rsidP="005608B5">
      <w:r w:rsidRPr="00A00187">
        <w:t>PL Polsko</w:t>
      </w:r>
    </w:p>
    <w:p w14:paraId="5173B3C0" w14:textId="77777777" w:rsidR="005608B5" w:rsidRPr="00A00187" w:rsidRDefault="005608B5" w:rsidP="005608B5">
      <w:r w:rsidRPr="00A00187">
        <w:t>PT Portugalsko</w:t>
      </w:r>
    </w:p>
    <w:p w14:paraId="5EC3BFD7" w14:textId="77777777" w:rsidR="005608B5" w:rsidRPr="00A00187" w:rsidRDefault="005608B5" w:rsidP="005608B5">
      <w:r w:rsidRPr="00A00187">
        <w:t>RO Rumunsko</w:t>
      </w:r>
    </w:p>
    <w:p w14:paraId="16A374F3" w14:textId="77777777" w:rsidR="005608B5" w:rsidRPr="00A00187" w:rsidRDefault="005608B5" w:rsidP="005608B5">
      <w:r w:rsidRPr="00A00187">
        <w:t>SE Švédsko</w:t>
      </w:r>
    </w:p>
    <w:p w14:paraId="17CA3997" w14:textId="77777777" w:rsidR="005608B5" w:rsidRPr="00A00187" w:rsidRDefault="005608B5" w:rsidP="005608B5">
      <w:r w:rsidRPr="00A00187">
        <w:t>SK Slovensko</w:t>
      </w:r>
    </w:p>
    <w:p w14:paraId="4D739935" w14:textId="77777777" w:rsidR="005608B5" w:rsidRPr="00A00187" w:rsidRDefault="005608B5" w:rsidP="005608B5">
      <w:r w:rsidRPr="00A00187">
        <w:t>SI Slovinsko</w:t>
      </w:r>
    </w:p>
    <w:p w14:paraId="61BA942A" w14:textId="77777777" w:rsidR="00D96A4C" w:rsidRPr="00A00187" w:rsidRDefault="00D96A4C" w:rsidP="005608B5">
      <w:pPr>
        <w:sectPr w:rsidR="00D96A4C" w:rsidRPr="00A00187" w:rsidSect="00D96A4C">
          <w:footerReference w:type="default" r:id="rId146"/>
          <w:type w:val="continuous"/>
          <w:pgSz w:w="11906" w:h="16838" w:code="9"/>
          <w:pgMar w:top="1418" w:right="1418" w:bottom="1418" w:left="1418" w:header="709" w:footer="709" w:gutter="0"/>
          <w:cols w:num="3" w:space="708"/>
          <w:titlePg/>
          <w:docGrid w:linePitch="360"/>
        </w:sectPr>
      </w:pPr>
    </w:p>
    <w:p w14:paraId="5FEBCEDD" w14:textId="6D228E50" w:rsidR="00D96A4C" w:rsidRPr="00A00187" w:rsidRDefault="00D96A4C" w:rsidP="005608B5"/>
    <w:p w14:paraId="0E65EEA6" w14:textId="77777777" w:rsidR="00D96A4C" w:rsidRPr="00A00187" w:rsidRDefault="00D96A4C" w:rsidP="00D96A4C">
      <w:pPr>
        <w:pStyle w:val="OdstavecASR"/>
        <w:sectPr w:rsidR="00D96A4C" w:rsidRPr="00A00187" w:rsidSect="003811B0">
          <w:type w:val="continuous"/>
          <w:pgSz w:w="11906" w:h="16838" w:code="9"/>
          <w:pgMar w:top="1418" w:right="1418" w:bottom="1418" w:left="1418" w:header="709" w:footer="709" w:gutter="0"/>
          <w:cols w:num="3" w:space="708"/>
          <w:titlePg/>
          <w:docGrid w:linePitch="360"/>
        </w:sectPr>
      </w:pPr>
    </w:p>
    <w:p w14:paraId="24E84B66" w14:textId="0555619A" w:rsidR="003426BF" w:rsidRDefault="00755920" w:rsidP="0089497B">
      <w:pPr>
        <w:pStyle w:val="OdstavecASR"/>
      </w:pPr>
      <w:r w:rsidRPr="00A00187">
        <w:rPr>
          <w:lang w:eastAsia="cs-CZ"/>
        </w:rPr>
        <w:t>A</w:t>
      </w:r>
      <w:r>
        <w:rPr>
          <w:lang w:eastAsia="cs-CZ"/>
        </w:rPr>
        <w:t> </w:t>
      </w:r>
      <w:r w:rsidR="00DD42DE" w:rsidRPr="00A00187">
        <w:rPr>
          <w:lang w:eastAsia="cs-CZ"/>
        </w:rPr>
        <w:t>v neposlední řadě</w:t>
      </w:r>
      <w:r w:rsidR="008660DF" w:rsidRPr="00A00187">
        <w:rPr>
          <w:lang w:eastAsia="cs-CZ"/>
        </w:rPr>
        <w:t xml:space="preserve"> upozorňujeme</w:t>
      </w:r>
      <w:r w:rsidR="00D96A4C" w:rsidRPr="00A00187">
        <w:rPr>
          <w:lang w:eastAsia="cs-CZ"/>
        </w:rPr>
        <w:t>, že každý stát je unikátní, liší se jejich justiční systémy i způsob</w:t>
      </w:r>
      <w:r w:rsidR="00F3155B" w:rsidRPr="00A00187">
        <w:rPr>
          <w:lang w:eastAsia="cs-CZ"/>
        </w:rPr>
        <w:t>y</w:t>
      </w:r>
      <w:r w:rsidR="006E5589" w:rsidRPr="00A00187">
        <w:rPr>
          <w:lang w:eastAsia="cs-CZ"/>
        </w:rPr>
        <w:t xml:space="preserve"> </w:t>
      </w:r>
      <w:r w:rsidR="0074771F" w:rsidRPr="00A00187">
        <w:rPr>
          <w:lang w:eastAsia="cs-CZ"/>
        </w:rPr>
        <w:t xml:space="preserve">statistického </w:t>
      </w:r>
      <w:r w:rsidR="00D96A4C" w:rsidRPr="00A00187">
        <w:rPr>
          <w:lang w:eastAsia="cs-CZ"/>
        </w:rPr>
        <w:t>vykazování dat. To je třeba brát při interpretaci dat v úvahu.</w:t>
      </w:r>
      <w:bookmarkEnd w:id="1328"/>
      <w:bookmarkEnd w:id="1329"/>
    </w:p>
    <w:p w14:paraId="00E66F35" w14:textId="73DDF40B" w:rsidR="00CB570A" w:rsidRDefault="004F2497" w:rsidP="0089497B">
      <w:pPr>
        <w:pStyle w:val="OdstavecASR"/>
      </w:pPr>
      <w:r w:rsidRPr="00A00187">
        <w:t>Z posledních dostupných dat mezinárodního srovnání netrestní agendy vyplývá v zásadě totéž, co bylo konstatováno ve zprávě předešlé.</w:t>
      </w:r>
      <w:r w:rsidR="00B21624" w:rsidRPr="00A00187">
        <w:t xml:space="preserve"> </w:t>
      </w:r>
      <w:r w:rsidRPr="00A00187">
        <w:t xml:space="preserve">ČR patří mezi země EU, ve kterých je spravedlnost dobře dostupná, svým občanům zajišťuje účinnou soudní ochranu a při vyřizování občanských a obchodních věcí je </w:t>
      </w:r>
      <w:r w:rsidR="000C43B6" w:rsidRPr="00A00187">
        <w:t xml:space="preserve">relativně </w:t>
      </w:r>
      <w:r w:rsidRPr="00A00187">
        <w:t>výkonná. Výsledkem je, že v ČR neexistují zásadní překážky v přístupu ke spravedlnosti a občanům není bráněno v podávání žalob, což činí velmi často (třetí nejvyšší počet příchozích sporných věcí přepočtený na 100 obyvatel v rámci EU</w:t>
      </w:r>
      <w:r w:rsidR="00C80217" w:rsidRPr="00A00187">
        <w:rPr>
          <w:rStyle w:val="Znakapoznpodarou"/>
        </w:rPr>
        <w:footnoteReference w:id="21"/>
      </w:r>
      <w:r w:rsidRPr="00A00187">
        <w:t>) a české soudy vyřizují tuto agendu v porovnání s ostatními zeměmi EU efektivně (</w:t>
      </w:r>
      <w:r w:rsidR="000C43B6" w:rsidRPr="00A00187">
        <w:t xml:space="preserve">alespoň dle </w:t>
      </w:r>
      <w:proofErr w:type="spellStart"/>
      <w:r w:rsidRPr="00A00187">
        <w:t>Disposition</w:t>
      </w:r>
      <w:proofErr w:type="spellEnd"/>
      <w:r w:rsidRPr="00A00187">
        <w:t xml:space="preserve"> </w:t>
      </w:r>
      <w:proofErr w:type="spellStart"/>
      <w:r w:rsidRPr="00A00187">
        <w:t>time</w:t>
      </w:r>
      <w:proofErr w:type="spellEnd"/>
      <w:r w:rsidRPr="00A00187">
        <w:t>).</w:t>
      </w:r>
      <w:r w:rsidR="00D9559B" w:rsidRPr="00A00187">
        <w:t xml:space="preserve"> To ale samozřejmě neznamená, že není co zlepšovat. Jak ukazuj</w:t>
      </w:r>
      <w:r w:rsidR="00BD2574" w:rsidRPr="00A00187">
        <w:t xml:space="preserve">e praxe </w:t>
      </w:r>
      <w:r w:rsidR="00755920" w:rsidRPr="00A00187">
        <w:t>i</w:t>
      </w:r>
      <w:r w:rsidR="00755920">
        <w:t> </w:t>
      </w:r>
      <w:r w:rsidR="00BD2574" w:rsidRPr="00A00187">
        <w:t xml:space="preserve">statistiky </w:t>
      </w:r>
      <w:r w:rsidR="00755920" w:rsidRPr="00A00187">
        <w:t>z</w:t>
      </w:r>
      <w:r w:rsidR="00755920">
        <w:t> </w:t>
      </w:r>
      <w:r w:rsidR="00D9559B" w:rsidRPr="00A00187">
        <w:t>předchozí</w:t>
      </w:r>
      <w:r w:rsidR="00BD2574" w:rsidRPr="00A00187">
        <w:t>ch</w:t>
      </w:r>
      <w:r w:rsidR="00D9559B" w:rsidRPr="00A00187">
        <w:t xml:space="preserve"> kapitol, prostor pro </w:t>
      </w:r>
      <w:r w:rsidR="00BD2574" w:rsidRPr="00A00187">
        <w:t>zlepšení</w:t>
      </w:r>
      <w:r w:rsidR="00D9559B" w:rsidRPr="00A00187">
        <w:t xml:space="preserve"> </w:t>
      </w:r>
      <w:r w:rsidR="004A5203" w:rsidRPr="00A00187">
        <w:t>rozhodně existuje</w:t>
      </w:r>
      <w:r w:rsidR="00D9559B" w:rsidRPr="00A00187">
        <w:t>.</w:t>
      </w:r>
    </w:p>
    <w:p w14:paraId="25E3C980" w14:textId="77777777" w:rsidR="00CB570A" w:rsidRDefault="004F2497" w:rsidP="004F2497">
      <w:r w:rsidRPr="00A00187">
        <w:t xml:space="preserve">Počet soudců </w:t>
      </w:r>
      <w:r w:rsidR="003B2A38" w:rsidRPr="00A00187">
        <w:t xml:space="preserve">je jedním </w:t>
      </w:r>
      <w:r w:rsidRPr="00A00187">
        <w:t>z</w:t>
      </w:r>
      <w:r w:rsidR="004A5203" w:rsidRPr="00A00187">
        <w:t> </w:t>
      </w:r>
      <w:r w:rsidRPr="00A00187">
        <w:t>významných ukazatelů dostupnosti spravedlnosti pro občany i podnikatele</w:t>
      </w:r>
      <w:r w:rsidR="004A5203" w:rsidRPr="00A00187">
        <w:t xml:space="preserve"> (nikoliv však ukazatelem jediným)</w:t>
      </w:r>
      <w:r w:rsidRPr="00A00187">
        <w:t>. Ke korektnímu srovnání je nutné použít přepočet na jednotnou bázi, v tomto případě na počet obyvatel. Vzhledem k tomu, že počet soudců je v zemích EU dlouhodobě velmi stabilní, neuvádíme v této zprávě aktualizovaný sloupcový graf ze zprávy minulé, ale přeneseme nové údaje za rok 2019 na mapu Evropy. Získáme zajímavý přehled o geografickém rozložení počtu soudců na 100 000 obyvatel.</w:t>
      </w:r>
    </w:p>
    <w:p w14:paraId="5E9A13E5" w14:textId="1647F2F1" w:rsidR="004F2497" w:rsidRPr="00A00187" w:rsidRDefault="004F2497" w:rsidP="004F2497">
      <w:r w:rsidRPr="00A00187">
        <w:t xml:space="preserve">Jeho interpretace však </w:t>
      </w:r>
      <w:r w:rsidR="00EC5937" w:rsidRPr="00A00187">
        <w:t xml:space="preserve">není snadná. </w:t>
      </w:r>
      <w:r w:rsidR="005608B5" w:rsidRPr="00A00187">
        <w:t xml:space="preserve">Rozhodně </w:t>
      </w:r>
      <w:r w:rsidR="00EC5937" w:rsidRPr="00A00187">
        <w:t xml:space="preserve">ale </w:t>
      </w:r>
      <w:r w:rsidR="005608B5" w:rsidRPr="00A00187">
        <w:t xml:space="preserve">nelze zjednodušeně tvrdit, že státy s nižším počtem soudců jsou „lepší“ </w:t>
      </w:r>
      <w:r w:rsidR="00755920" w:rsidRPr="00A00187">
        <w:t>a</w:t>
      </w:r>
      <w:r w:rsidR="00755920">
        <w:t> </w:t>
      </w:r>
      <w:r w:rsidR="005608B5" w:rsidRPr="00A00187">
        <w:t xml:space="preserve">ostatní státy jsou „horší“ či naopak. Spíše lze konstatovat, že některé státy ponechávají rozhodování více na profesionálních permanentních soudcích </w:t>
      </w:r>
      <w:r w:rsidR="00755920" w:rsidRPr="00A00187">
        <w:t>a</w:t>
      </w:r>
      <w:r w:rsidR="00755920">
        <w:t> </w:t>
      </w:r>
      <w:r w:rsidR="005608B5" w:rsidRPr="00A00187">
        <w:t xml:space="preserve">jiné spoléhají </w:t>
      </w:r>
      <w:r w:rsidR="005608B5" w:rsidRPr="00A00187">
        <w:lastRenderedPageBreak/>
        <w:t>více na neprofesionální soudce a pravděpodobně také na jiné než soudní instituce. To může být podmíněno geografickým umístěním na mapě Evropy a z toho plynoucím historickým vývojem soudního (</w:t>
      </w:r>
      <w:r w:rsidR="00755920" w:rsidRPr="00A00187">
        <w:t>a</w:t>
      </w:r>
      <w:r w:rsidR="00755920">
        <w:t> </w:t>
      </w:r>
      <w:r w:rsidR="005608B5" w:rsidRPr="00A00187">
        <w:t>možná také politického) systému.</w:t>
      </w:r>
    </w:p>
    <w:p w14:paraId="3F436C8F" w14:textId="08ABC950" w:rsidR="005608B5" w:rsidRPr="00A00187" w:rsidRDefault="005608B5" w:rsidP="005608B5">
      <w:pPr>
        <w:pStyle w:val="Podnadpis"/>
        <w:numPr>
          <w:ilvl w:val="0"/>
          <w:numId w:val="0"/>
        </w:numPr>
        <w:rPr>
          <w:color w:val="auto"/>
        </w:rPr>
      </w:pPr>
      <w:bookmarkStart w:id="1330" w:name="_Toc106106750"/>
      <w:bookmarkStart w:id="1331" w:name="_Toc109802074"/>
      <w:r w:rsidRPr="00A00187">
        <w:rPr>
          <w:color w:val="auto"/>
        </w:rPr>
        <w:t xml:space="preserve">Graf </w:t>
      </w:r>
      <w:r w:rsidRPr="00A00187">
        <w:rPr>
          <w:color w:val="auto"/>
        </w:rPr>
        <w:fldChar w:fldCharType="begin"/>
      </w:r>
      <w:r w:rsidRPr="00A00187">
        <w:rPr>
          <w:color w:val="auto"/>
        </w:rPr>
        <w:instrText xml:space="preserve"> SEQ Graf \* ARABIC </w:instrText>
      </w:r>
      <w:r w:rsidRPr="00A00187">
        <w:rPr>
          <w:color w:val="auto"/>
        </w:rPr>
        <w:fldChar w:fldCharType="separate"/>
      </w:r>
      <w:r w:rsidR="00DE6B5E">
        <w:rPr>
          <w:noProof/>
          <w:color w:val="auto"/>
        </w:rPr>
        <w:t>116</w:t>
      </w:r>
      <w:r w:rsidRPr="00A00187">
        <w:rPr>
          <w:color w:val="auto"/>
        </w:rPr>
        <w:fldChar w:fldCharType="end"/>
      </w:r>
      <w:r w:rsidRPr="00A00187">
        <w:rPr>
          <w:color w:val="auto"/>
        </w:rPr>
        <w:t xml:space="preserve">: </w:t>
      </w:r>
      <w:bookmarkStart w:id="1332" w:name="_Hlk104202026"/>
      <w:r w:rsidRPr="00A00187">
        <w:rPr>
          <w:color w:val="auto"/>
        </w:rPr>
        <w:t>Počet soudců na 100 000 obyvatel v zemích EU</w:t>
      </w:r>
      <w:bookmarkEnd w:id="1330"/>
      <w:bookmarkEnd w:id="1331"/>
    </w:p>
    <w:bookmarkEnd w:id="1332"/>
    <w:p w14:paraId="4E7A88CE" w14:textId="071BD5BA" w:rsidR="00757157" w:rsidRPr="00A00187" w:rsidRDefault="00357E89" w:rsidP="001C0095">
      <w:pPr>
        <w:keepNext/>
      </w:pPr>
      <w:r w:rsidRPr="00A00187">
        <w:rPr>
          <w:noProof/>
        </w:rPr>
        <w:drawing>
          <wp:inline distT="0" distB="0" distL="0" distR="0" wp14:anchorId="5E0F9DCE" wp14:editId="473BC26E">
            <wp:extent cx="4292600" cy="117582"/>
            <wp:effectExtent l="0" t="0" r="0" b="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494048" cy="123100"/>
                    </a:xfrm>
                    <a:prstGeom prst="rect">
                      <a:avLst/>
                    </a:prstGeom>
                    <a:noFill/>
                    <a:ln>
                      <a:noFill/>
                    </a:ln>
                  </pic:spPr>
                </pic:pic>
              </a:graphicData>
            </a:graphic>
          </wp:inline>
        </w:drawing>
      </w:r>
    </w:p>
    <w:p w14:paraId="71699E9A" w14:textId="33851F0B" w:rsidR="00BD2574" w:rsidRPr="00A00187" w:rsidRDefault="00757157" w:rsidP="004F2497">
      <w:r w:rsidRPr="00A00187">
        <w:rPr>
          <w:noProof/>
        </w:rPr>
        <w:drawing>
          <wp:inline distT="0" distB="0" distL="0" distR="0" wp14:anchorId="1504C7DC" wp14:editId="637911B1">
            <wp:extent cx="3721100" cy="3342389"/>
            <wp:effectExtent l="19050" t="19050" r="12700" b="10795"/>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3743440" cy="3362455"/>
                    </a:xfrm>
                    <a:prstGeom prst="rect">
                      <a:avLst/>
                    </a:prstGeom>
                    <a:ln w="6350">
                      <a:solidFill>
                        <a:schemeClr val="bg1">
                          <a:lumMod val="85000"/>
                        </a:schemeClr>
                      </a:solidFill>
                    </a:ln>
                  </pic:spPr>
                </pic:pic>
              </a:graphicData>
            </a:graphic>
          </wp:inline>
        </w:drawing>
      </w:r>
      <w:r w:rsidR="000C3E4E" w:rsidRPr="00A00187">
        <w:rPr>
          <w:sz w:val="20"/>
        </w:rPr>
        <w:br/>
        <w:t>Z</w:t>
      </w:r>
      <w:r w:rsidR="00BD2574" w:rsidRPr="00A00187">
        <w:rPr>
          <w:sz w:val="20"/>
        </w:rPr>
        <w:t>droj: Evropská komise, Srovnávací přehled EU o soudnictví za rok 2021, zpracování vlastní</w:t>
      </w:r>
    </w:p>
    <w:p w14:paraId="3227B0D6" w14:textId="53173B4F" w:rsidR="004F2497" w:rsidRPr="00A00187" w:rsidRDefault="00755920" w:rsidP="00883D80">
      <w:pPr>
        <w:pStyle w:val="OdstavecASR"/>
      </w:pPr>
      <w:bookmarkStart w:id="1333" w:name="_Toc75952295"/>
      <w:r w:rsidRPr="00A00187">
        <w:t>V</w:t>
      </w:r>
      <w:r>
        <w:t> </w:t>
      </w:r>
      <w:r w:rsidR="004F2497" w:rsidRPr="00A00187">
        <w:t xml:space="preserve">krátkosti je možno </w:t>
      </w:r>
      <w:r w:rsidR="005608B5" w:rsidRPr="00A00187">
        <w:t>uvést</w:t>
      </w:r>
      <w:r w:rsidR="004F2497" w:rsidRPr="00A00187">
        <w:t xml:space="preserve">, že stejně jako v roce 2018 se </w:t>
      </w:r>
      <w:r w:rsidRPr="00A00187">
        <w:t>i</w:t>
      </w:r>
      <w:r>
        <w:t> </w:t>
      </w:r>
      <w:r w:rsidR="004F2497" w:rsidRPr="00A00187">
        <w:t xml:space="preserve">v roce 2019 pohyboval počet soudců na 100 tisíc obyvatel mezi 3 až 42 soudci (v ČR 28,2 v roce 2019 vs. 28,4 v letech 2016–2018), pořadí zemí se </w:t>
      </w:r>
      <w:r w:rsidRPr="00A00187">
        <w:t>v</w:t>
      </w:r>
      <w:r>
        <w:t> </w:t>
      </w:r>
      <w:r w:rsidR="004F2497" w:rsidRPr="00A00187">
        <w:t xml:space="preserve">zásadě nemění </w:t>
      </w:r>
      <w:r w:rsidRPr="00A00187">
        <w:t>a</w:t>
      </w:r>
      <w:r>
        <w:t> </w:t>
      </w:r>
      <w:r w:rsidR="004F2497" w:rsidRPr="00A00187">
        <w:t xml:space="preserve">ČR si </w:t>
      </w:r>
      <w:r w:rsidRPr="00A00187">
        <w:t>i</w:t>
      </w:r>
      <w:r>
        <w:t> </w:t>
      </w:r>
      <w:r w:rsidR="004F2497" w:rsidRPr="00A00187">
        <w:t>v roce 2019 drží 7.</w:t>
      </w:r>
      <w:r w:rsidR="00FA7D36">
        <w:t> </w:t>
      </w:r>
      <w:r w:rsidR="004F2497" w:rsidRPr="00A00187">
        <w:t>nejvyšší počet soudců na 100 tis. obyvatel v EU.</w:t>
      </w:r>
    </w:p>
    <w:p w14:paraId="0A3FBE1A" w14:textId="214BF267" w:rsidR="004F2497" w:rsidRPr="00A00187" w:rsidRDefault="004F2497" w:rsidP="005D76CA">
      <w:pPr>
        <w:pStyle w:val="Podnadpis"/>
        <w:rPr>
          <w:color w:val="auto"/>
        </w:rPr>
      </w:pPr>
      <w:bookmarkStart w:id="1334" w:name="_Toc106106751"/>
      <w:bookmarkStart w:id="1335" w:name="_Toc109802075"/>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117</w:t>
      </w:r>
      <w:r w:rsidR="008457EB" w:rsidRPr="00A00187">
        <w:rPr>
          <w:noProof/>
          <w:color w:val="auto"/>
        </w:rPr>
        <w:fldChar w:fldCharType="end"/>
      </w:r>
      <w:r w:rsidRPr="00A00187">
        <w:rPr>
          <w:color w:val="auto"/>
        </w:rPr>
        <w:t>: Počet advokátů (*) na 100 000 obyvatel</w:t>
      </w:r>
      <w:bookmarkEnd w:id="1334"/>
      <w:bookmarkEnd w:id="1335"/>
    </w:p>
    <w:p w14:paraId="44B1EE8D" w14:textId="5E71CF15" w:rsidR="004F2497" w:rsidRPr="00A00187" w:rsidRDefault="004F2497" w:rsidP="004F2497">
      <w:r w:rsidRPr="00A00187">
        <w:rPr>
          <w:noProof/>
        </w:rPr>
        <w:drawing>
          <wp:inline distT="0" distB="0" distL="0" distR="0" wp14:anchorId="4CEBD208" wp14:editId="4C471808">
            <wp:extent cx="5753100" cy="2257425"/>
            <wp:effectExtent l="0" t="0" r="0" b="9525"/>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753100" cy="2257425"/>
                    </a:xfrm>
                    <a:prstGeom prst="rect">
                      <a:avLst/>
                    </a:prstGeom>
                    <a:noFill/>
                    <a:ln>
                      <a:noFill/>
                    </a:ln>
                  </pic:spPr>
                </pic:pic>
              </a:graphicData>
            </a:graphic>
          </wp:inline>
        </w:drawing>
      </w:r>
    </w:p>
    <w:p w14:paraId="441B4A9D" w14:textId="0FCFD7AB" w:rsidR="00DD42DE" w:rsidRPr="00A00187" w:rsidRDefault="004F2497" w:rsidP="00DD42DE">
      <w:pPr>
        <w:rPr>
          <w:i/>
          <w:sz w:val="20"/>
        </w:rPr>
      </w:pPr>
      <w:r w:rsidRPr="00A00187">
        <w:rPr>
          <w:i/>
          <w:iCs/>
          <w:sz w:val="20"/>
        </w:rPr>
        <w:t xml:space="preserve">(*) Podle metodiky CEPEJ je advokát osoba, která je podle vnitrostátního práva kvalifikovaná </w:t>
      </w:r>
      <w:r w:rsidR="00755920" w:rsidRPr="00A00187">
        <w:rPr>
          <w:i/>
          <w:iCs/>
          <w:sz w:val="20"/>
        </w:rPr>
        <w:t>a</w:t>
      </w:r>
      <w:r w:rsidR="00755920">
        <w:rPr>
          <w:i/>
          <w:iCs/>
          <w:sz w:val="20"/>
        </w:rPr>
        <w:t> </w:t>
      </w:r>
      <w:r w:rsidRPr="00A00187">
        <w:rPr>
          <w:i/>
          <w:iCs/>
          <w:sz w:val="20"/>
        </w:rPr>
        <w:t xml:space="preserve">oprávněná obhajovat klienty </w:t>
      </w:r>
      <w:r w:rsidR="00755920" w:rsidRPr="00A00187">
        <w:rPr>
          <w:i/>
          <w:iCs/>
          <w:sz w:val="20"/>
        </w:rPr>
        <w:t>a</w:t>
      </w:r>
      <w:r w:rsidR="00755920">
        <w:rPr>
          <w:i/>
          <w:iCs/>
          <w:sz w:val="20"/>
        </w:rPr>
        <w:t> </w:t>
      </w:r>
      <w:r w:rsidRPr="00A00187">
        <w:rPr>
          <w:i/>
          <w:iCs/>
          <w:sz w:val="20"/>
        </w:rPr>
        <w:t xml:space="preserve">jednat jejich jménem, vykonávat právní praxi, vystupovat před soudy nebo poskytovat klientům rady </w:t>
      </w:r>
      <w:r w:rsidR="00755920" w:rsidRPr="00A00187">
        <w:rPr>
          <w:i/>
          <w:iCs/>
          <w:sz w:val="20"/>
        </w:rPr>
        <w:t>a</w:t>
      </w:r>
      <w:r w:rsidR="00755920">
        <w:rPr>
          <w:i/>
          <w:iCs/>
          <w:sz w:val="20"/>
        </w:rPr>
        <w:t> </w:t>
      </w:r>
      <w:r w:rsidRPr="00A00187">
        <w:rPr>
          <w:i/>
          <w:iCs/>
          <w:sz w:val="20"/>
        </w:rPr>
        <w:t xml:space="preserve">zastupovat je </w:t>
      </w:r>
      <w:r w:rsidR="00755920" w:rsidRPr="00A00187">
        <w:rPr>
          <w:i/>
          <w:iCs/>
          <w:sz w:val="20"/>
        </w:rPr>
        <w:t>v</w:t>
      </w:r>
      <w:r w:rsidR="00755920">
        <w:rPr>
          <w:i/>
          <w:iCs/>
          <w:sz w:val="20"/>
        </w:rPr>
        <w:t> </w:t>
      </w:r>
      <w:r w:rsidRPr="00A00187">
        <w:rPr>
          <w:i/>
          <w:iCs/>
          <w:sz w:val="20"/>
        </w:rPr>
        <w:t>právních záležitostech.</w:t>
      </w:r>
    </w:p>
    <w:p w14:paraId="61C550F4" w14:textId="533F64F4" w:rsidR="004F2497" w:rsidRDefault="004F2497" w:rsidP="00C23C40">
      <w:pPr>
        <w:rPr>
          <w:sz w:val="20"/>
        </w:rPr>
      </w:pPr>
      <w:r w:rsidRPr="00A00187">
        <w:rPr>
          <w:sz w:val="20"/>
        </w:rPr>
        <w:t xml:space="preserve">Zdroj: Evropská komise, </w:t>
      </w:r>
      <w:bookmarkStart w:id="1336" w:name="_Hlk92900901"/>
      <w:r w:rsidRPr="00A00187">
        <w:rPr>
          <w:sz w:val="20"/>
        </w:rPr>
        <w:t xml:space="preserve">Srovnávací přehled EU o soudnictví 2021, </w:t>
      </w:r>
      <w:proofErr w:type="spellStart"/>
      <w:r w:rsidRPr="00A00187">
        <w:rPr>
          <w:sz w:val="20"/>
        </w:rPr>
        <w:t>Fig</w:t>
      </w:r>
      <w:proofErr w:type="spellEnd"/>
      <w:r w:rsidRPr="00A00187">
        <w:rPr>
          <w:sz w:val="20"/>
        </w:rPr>
        <w:t>(34)</w:t>
      </w:r>
    </w:p>
    <w:p w14:paraId="4210C273" w14:textId="77777777" w:rsidR="001C0095" w:rsidRPr="00A00187" w:rsidRDefault="001C0095" w:rsidP="00C23C40">
      <w:pPr>
        <w:rPr>
          <w:sz w:val="20"/>
        </w:rPr>
      </w:pPr>
    </w:p>
    <w:p w14:paraId="277DF9CF" w14:textId="6FA74DF8" w:rsidR="00883D80" w:rsidRPr="00A00187" w:rsidRDefault="00B86885" w:rsidP="00883D80">
      <w:pPr>
        <w:pStyle w:val="OdstavecASR"/>
      </w:pPr>
      <w:r w:rsidRPr="00A00187">
        <w:lastRenderedPageBreak/>
        <w:t xml:space="preserve">Pokud jde </w:t>
      </w:r>
      <w:r w:rsidR="00755920" w:rsidRPr="00A00187">
        <w:t>o</w:t>
      </w:r>
      <w:r w:rsidR="00755920">
        <w:t> </w:t>
      </w:r>
      <w:r w:rsidRPr="00A00187">
        <w:t xml:space="preserve">otázku </w:t>
      </w:r>
      <w:r w:rsidR="00883D80" w:rsidRPr="00A00187">
        <w:t>dostupnost</w:t>
      </w:r>
      <w:r w:rsidRPr="00A00187">
        <w:t>i</w:t>
      </w:r>
      <w:r w:rsidR="00883D80" w:rsidRPr="00A00187">
        <w:t xml:space="preserve"> </w:t>
      </w:r>
      <w:r w:rsidRPr="00A00187">
        <w:t>advokátů</w:t>
      </w:r>
      <w:r w:rsidR="00C23C40" w:rsidRPr="00A00187">
        <w:t>,</w:t>
      </w:r>
      <w:r w:rsidR="00883D80" w:rsidRPr="00A00187">
        <w:t xml:space="preserve"> pro občany </w:t>
      </w:r>
      <w:r w:rsidR="00755920" w:rsidRPr="00A00187">
        <w:t>a</w:t>
      </w:r>
      <w:r w:rsidR="00755920">
        <w:t> </w:t>
      </w:r>
      <w:r w:rsidR="00883D80" w:rsidRPr="00A00187">
        <w:t xml:space="preserve">podnikatele v ČR pro právní poradenství, případně zastupování </w:t>
      </w:r>
      <w:r w:rsidR="00755920" w:rsidRPr="00A00187">
        <w:t>u</w:t>
      </w:r>
      <w:r w:rsidR="00755920">
        <w:t> </w:t>
      </w:r>
      <w:r w:rsidR="00883D80" w:rsidRPr="00A00187">
        <w:t>soudních jednání</w:t>
      </w:r>
      <w:r w:rsidRPr="00A00187">
        <w:t>,</w:t>
      </w:r>
      <w:r w:rsidR="00883D80" w:rsidRPr="00A00187">
        <w:t xml:space="preserve"> </w:t>
      </w:r>
      <w:r w:rsidRPr="00A00187">
        <w:t>g</w:t>
      </w:r>
      <w:r w:rsidR="00883D80" w:rsidRPr="00A00187">
        <w:t>raf výše ukazuje, že v porovnání s jinými zeměmi EU není počet advokátů v ČR nijak vysoký, nicméně se tak jako i v dalších zemích postupně zvyšuje.</w:t>
      </w:r>
    </w:p>
    <w:bookmarkEnd w:id="1336"/>
    <w:p w14:paraId="76371F66" w14:textId="7B06F15E" w:rsidR="004F2497" w:rsidRPr="00A00187" w:rsidRDefault="004F2497" w:rsidP="00883D80">
      <w:pPr>
        <w:pStyle w:val="OdstavecASR"/>
      </w:pPr>
      <w:r w:rsidRPr="00A00187">
        <w:t xml:space="preserve">Hodnocení, zda je v dané zemi advokátů mnoho, málo, </w:t>
      </w:r>
      <w:r w:rsidR="00B86885" w:rsidRPr="00A00187">
        <w:t xml:space="preserve">či </w:t>
      </w:r>
      <w:r w:rsidRPr="00A00187">
        <w:t xml:space="preserve">přiměřeně je však složité </w:t>
      </w:r>
      <w:r w:rsidR="00755920" w:rsidRPr="00A00187">
        <w:t>a</w:t>
      </w:r>
      <w:r w:rsidR="00755920">
        <w:t> </w:t>
      </w:r>
      <w:r w:rsidRPr="00A00187">
        <w:t>závisí na mnoha okolnostech</w:t>
      </w:r>
      <w:r w:rsidR="00B86885" w:rsidRPr="00A00187">
        <w:t>, mimo jiné na stabilitě právního řádu</w:t>
      </w:r>
      <w:r w:rsidRPr="00A00187">
        <w:t xml:space="preserve">, </w:t>
      </w:r>
      <w:r w:rsidR="00B86885" w:rsidRPr="00A00187">
        <w:t xml:space="preserve">rozsahu úkonů řešených </w:t>
      </w:r>
      <w:r w:rsidR="004F1B6D" w:rsidRPr="00A00187">
        <w:t xml:space="preserve">soukromými osobami </w:t>
      </w:r>
      <w:r w:rsidR="00B86885" w:rsidRPr="00A00187">
        <w:t xml:space="preserve">obvykle za pomoci advokáta </w:t>
      </w:r>
      <w:r w:rsidR="004F1B6D" w:rsidRPr="00A00187">
        <w:t>č</w:t>
      </w:r>
      <w:r w:rsidR="00B86885" w:rsidRPr="00A00187">
        <w:t xml:space="preserve">i případnými dalšími funkcemi, které jsou advokátům svěřovány. </w:t>
      </w:r>
      <w:r w:rsidR="004F1B6D" w:rsidRPr="00A00187">
        <w:t>V každém případě poznatky z praxe nenasvědčují tomu, že by v České republice panoval objektivní nedostatek advokátů.</w:t>
      </w:r>
    </w:p>
    <w:p w14:paraId="2CBE75C8" w14:textId="56FFD29A" w:rsidR="00883D80" w:rsidRPr="00A00187" w:rsidRDefault="004F1B6D" w:rsidP="00883D80">
      <w:pPr>
        <w:pStyle w:val="OdstavecASR"/>
      </w:pPr>
      <w:r w:rsidRPr="00A00187">
        <w:t xml:space="preserve">Pokud jde </w:t>
      </w:r>
      <w:r w:rsidR="00755920" w:rsidRPr="00A00187">
        <w:t>o</w:t>
      </w:r>
      <w:r w:rsidR="00755920">
        <w:t> </w:t>
      </w:r>
      <w:r w:rsidRPr="00A00187">
        <w:t xml:space="preserve">podíl žen, </w:t>
      </w:r>
      <w:r w:rsidR="004F2497" w:rsidRPr="00A00187">
        <w:t>srovn</w:t>
      </w:r>
      <w:r w:rsidRPr="00A00187">
        <w:t xml:space="preserve">áváme jejich zastoupení </w:t>
      </w:r>
      <w:r w:rsidR="00755920" w:rsidRPr="00A00187">
        <w:t>v</w:t>
      </w:r>
      <w:r w:rsidR="00755920">
        <w:t> </w:t>
      </w:r>
      <w:r w:rsidR="004F2497" w:rsidRPr="00A00187">
        <w:t>cel</w:t>
      </w:r>
      <w:r w:rsidRPr="00A00187">
        <w:t>é</w:t>
      </w:r>
      <w:r w:rsidR="004F2497" w:rsidRPr="00A00187">
        <w:t xml:space="preserve"> soudní soustav</w:t>
      </w:r>
      <w:r w:rsidRPr="00A00187">
        <w:t xml:space="preserve">ě ČR </w:t>
      </w:r>
      <w:r w:rsidR="00755920" w:rsidRPr="00A00187">
        <w:t>a</w:t>
      </w:r>
      <w:r w:rsidR="00755920">
        <w:t> </w:t>
      </w:r>
      <w:r w:rsidRPr="00A00187">
        <w:t>sousedních zemí</w:t>
      </w:r>
      <w:r w:rsidR="009560BA">
        <w:t>ch</w:t>
      </w:r>
      <w:r w:rsidR="004F2497" w:rsidRPr="00A00187">
        <w:t xml:space="preserve">. </w:t>
      </w:r>
      <w:r w:rsidRPr="00A00187">
        <w:t>D</w:t>
      </w:r>
      <w:r w:rsidR="004F2497" w:rsidRPr="00A00187">
        <w:t xml:space="preserve">ata pro celou Evropu lze nalézt přímo na webových stránkách uvedených pod grafem. Bohužel ne všechny země poskytují kompletní informace, což srovnání </w:t>
      </w:r>
      <w:r w:rsidRPr="00A00187">
        <w:t>z</w:t>
      </w:r>
      <w:r w:rsidR="004F2497" w:rsidRPr="00A00187">
        <w:t xml:space="preserve">těžuje </w:t>
      </w:r>
      <w:r w:rsidR="00755920" w:rsidRPr="00A00187">
        <w:t>a</w:t>
      </w:r>
      <w:r w:rsidR="00755920">
        <w:t> </w:t>
      </w:r>
      <w:r w:rsidR="004F2497" w:rsidRPr="00A00187">
        <w:t>ovlivňuje.</w:t>
      </w:r>
    </w:p>
    <w:p w14:paraId="1526F284" w14:textId="6D73E52D" w:rsidR="00CB570A" w:rsidRDefault="004F2497" w:rsidP="005D76CA">
      <w:pPr>
        <w:pStyle w:val="Podnadpis"/>
        <w:rPr>
          <w:color w:val="auto"/>
        </w:rPr>
      </w:pPr>
      <w:bookmarkStart w:id="1337" w:name="_Toc106106752"/>
      <w:bookmarkStart w:id="1338" w:name="_Toc109802076"/>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118</w:t>
      </w:r>
      <w:r w:rsidR="008457EB" w:rsidRPr="00A00187">
        <w:rPr>
          <w:noProof/>
          <w:color w:val="auto"/>
        </w:rPr>
        <w:fldChar w:fldCharType="end"/>
      </w:r>
      <w:r w:rsidRPr="00A00187">
        <w:rPr>
          <w:color w:val="auto"/>
        </w:rPr>
        <w:t>: Podíl žen mezi soudci</w:t>
      </w:r>
      <w:bookmarkEnd w:id="1333"/>
      <w:bookmarkEnd w:id="1337"/>
      <w:bookmarkEnd w:id="1338"/>
    </w:p>
    <w:p w14:paraId="37D60FE8" w14:textId="2EB5F28E" w:rsidR="004F2497" w:rsidRPr="00A00187" w:rsidRDefault="004F2497" w:rsidP="004F2497">
      <w:pPr>
        <w:rPr>
          <w:bCs/>
          <w:sz w:val="20"/>
          <w:szCs w:val="18"/>
        </w:rPr>
      </w:pPr>
      <w:r w:rsidRPr="00A00187">
        <w:rPr>
          <w:noProof/>
        </w:rPr>
        <w:drawing>
          <wp:inline distT="0" distB="0" distL="0" distR="0" wp14:anchorId="0DE549DC" wp14:editId="7E6270A2">
            <wp:extent cx="5753100" cy="2628900"/>
            <wp:effectExtent l="0" t="0" r="0"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753100" cy="2628900"/>
                    </a:xfrm>
                    <a:prstGeom prst="rect">
                      <a:avLst/>
                    </a:prstGeom>
                    <a:noFill/>
                    <a:ln>
                      <a:noFill/>
                    </a:ln>
                  </pic:spPr>
                </pic:pic>
              </a:graphicData>
            </a:graphic>
          </wp:inline>
        </w:drawing>
      </w:r>
      <w:r w:rsidRPr="00A00187">
        <w:rPr>
          <w:bCs/>
          <w:sz w:val="20"/>
          <w:szCs w:val="18"/>
        </w:rPr>
        <w:t xml:space="preserve">Zdroj: CEPEJ – Gender </w:t>
      </w:r>
      <w:proofErr w:type="spellStart"/>
      <w:r w:rsidRPr="00A00187">
        <w:rPr>
          <w:bCs/>
          <w:sz w:val="20"/>
          <w:szCs w:val="18"/>
        </w:rPr>
        <w:t>equality</w:t>
      </w:r>
      <w:proofErr w:type="spellEnd"/>
      <w:r w:rsidRPr="00A00187">
        <w:rPr>
          <w:bCs/>
          <w:sz w:val="20"/>
          <w:szCs w:val="18"/>
        </w:rPr>
        <w:t xml:space="preserve"> v2020.1.0</w:t>
      </w:r>
      <w:r w:rsidR="008D5E6E" w:rsidRPr="00A00187">
        <w:rPr>
          <w:bCs/>
          <w:sz w:val="20"/>
          <w:szCs w:val="18"/>
        </w:rPr>
        <w:t>, vlastní zpracování</w:t>
      </w:r>
    </w:p>
    <w:p w14:paraId="2A2CFB51" w14:textId="40CFE4BF" w:rsidR="004F2497" w:rsidRDefault="00F66798" w:rsidP="004F2497">
      <w:pPr>
        <w:rPr>
          <w:sz w:val="20"/>
          <w:szCs w:val="18"/>
        </w:rPr>
      </w:pPr>
      <w:hyperlink r:id="rId151" w:history="1">
        <w:r w:rsidR="005B0E0D" w:rsidRPr="001C0095">
          <w:rPr>
            <w:rStyle w:val="Hypertextovodkaz"/>
            <w:sz w:val="20"/>
            <w:szCs w:val="18"/>
          </w:rPr>
          <w:t>https://public.tableau.com/app/profile/cepej/viz/CEPEJ-Genderequalityv2020_1_0EN/GenderEquality</w:t>
        </w:r>
      </w:hyperlink>
    </w:p>
    <w:p w14:paraId="02875ACB" w14:textId="77777777" w:rsidR="001C0095" w:rsidRPr="00A00187" w:rsidRDefault="001C0095" w:rsidP="004F2497">
      <w:pPr>
        <w:rPr>
          <w:sz w:val="16"/>
          <w:szCs w:val="16"/>
        </w:rPr>
      </w:pPr>
    </w:p>
    <w:p w14:paraId="395AB7BE" w14:textId="64A2A697" w:rsidR="00C23C40" w:rsidRPr="00A00187" w:rsidRDefault="00C23C40" w:rsidP="00883D80">
      <w:pPr>
        <w:pStyle w:val="OdstavecASR"/>
      </w:pPr>
      <w:r w:rsidRPr="00A00187">
        <w:t xml:space="preserve">Stav, kdy je podíl žen mezi soudci nejvyšší </w:t>
      </w:r>
      <w:r w:rsidR="00755920" w:rsidRPr="00A00187">
        <w:t>u</w:t>
      </w:r>
      <w:r w:rsidR="00755920">
        <w:t> </w:t>
      </w:r>
      <w:r w:rsidRPr="00A00187">
        <w:t xml:space="preserve">soudů 1. stupně </w:t>
      </w:r>
      <w:r w:rsidR="00755920" w:rsidRPr="00A00187">
        <w:t>a</w:t>
      </w:r>
      <w:r w:rsidR="00755920">
        <w:t> </w:t>
      </w:r>
      <w:r w:rsidRPr="00A00187">
        <w:t xml:space="preserve">postupně se snižuje je však dle dostupných údajů obecným trendem ve většině zemí EU </w:t>
      </w:r>
      <w:r w:rsidR="00755920" w:rsidRPr="00A00187">
        <w:t>i</w:t>
      </w:r>
      <w:r w:rsidR="00755920">
        <w:t> </w:t>
      </w:r>
      <w:r w:rsidRPr="00A00187">
        <w:t>celé Evropy.</w:t>
      </w:r>
    </w:p>
    <w:p w14:paraId="31CA75D0" w14:textId="4FE928DF" w:rsidR="00CB570A" w:rsidRDefault="004F2497" w:rsidP="00883D80">
      <w:pPr>
        <w:pStyle w:val="OdstavecASR"/>
      </w:pPr>
      <w:r w:rsidRPr="00A00187">
        <w:t xml:space="preserve">Výše soudních poplatků může také znesnadňovat přístup ke spravedlnosti. </w:t>
      </w:r>
      <w:r w:rsidR="00755920" w:rsidRPr="00A00187">
        <w:t>U</w:t>
      </w:r>
      <w:r w:rsidR="00755920">
        <w:t> </w:t>
      </w:r>
      <w:r w:rsidRPr="00A00187">
        <w:t xml:space="preserve">občanských sporů nedošlo k žádným dramatickým změnám z roku na rok, a proto se v letošní zprávě podíváme v jakém postavení jsou v této oblasti </w:t>
      </w:r>
      <w:r w:rsidR="00755920" w:rsidRPr="00A00187">
        <w:t>u</w:t>
      </w:r>
      <w:r w:rsidR="00755920">
        <w:t> </w:t>
      </w:r>
      <w:r w:rsidRPr="00A00187">
        <w:t>soudů podnikatelé v jednotlivých zemích EU, protože účinné vymáhání smluv je pro hospodářství dané země zásadní.</w:t>
      </w:r>
    </w:p>
    <w:p w14:paraId="18A77754" w14:textId="2F3F3636" w:rsidR="004F2497" w:rsidRPr="00A00187" w:rsidRDefault="004F2497" w:rsidP="00883D80">
      <w:pPr>
        <w:pStyle w:val="OdstavecASR"/>
      </w:pPr>
      <w:r w:rsidRPr="00A00187">
        <w:t>Bariéry typu vysokých soudních poplatků za zahájení soudního řízení či nejistota, zda strana, která ve sporu vyhraje</w:t>
      </w:r>
      <w:r w:rsidR="004F1B6D" w:rsidRPr="00A00187">
        <w:t>,</w:t>
      </w:r>
      <w:r w:rsidRPr="00A00187">
        <w:t xml:space="preserve"> obdrží od protistrany náhradu svých právních nákladů</w:t>
      </w:r>
      <w:r w:rsidR="004F1B6D" w:rsidRPr="00A00187">
        <w:t>,</w:t>
      </w:r>
      <w:r w:rsidRPr="00A00187">
        <w:t xml:space="preserve"> </w:t>
      </w:r>
      <w:r w:rsidR="004F1B6D" w:rsidRPr="00A00187">
        <w:t>přitom</w:t>
      </w:r>
      <w:r w:rsidRPr="00A00187">
        <w:t xml:space="preserve"> mohou dostupnost spravedlnosti, </w:t>
      </w:r>
      <w:r w:rsidR="00755920" w:rsidRPr="00A00187">
        <w:t>a</w:t>
      </w:r>
      <w:r w:rsidR="00755920">
        <w:t> </w:t>
      </w:r>
      <w:r w:rsidRPr="00A00187">
        <w:t>tím i celkové hospodářské prostředí</w:t>
      </w:r>
      <w:r w:rsidR="009560BA">
        <w:t>,</w:t>
      </w:r>
      <w:r w:rsidRPr="00A00187">
        <w:t xml:space="preserve"> negativně ovlivnit.</w:t>
      </w:r>
    </w:p>
    <w:p w14:paraId="5B05C37E" w14:textId="79FA41C9" w:rsidR="00CB570A" w:rsidRDefault="004F2497" w:rsidP="005D76CA">
      <w:pPr>
        <w:pStyle w:val="Podnadpis"/>
        <w:rPr>
          <w:bCs/>
          <w:color w:val="auto"/>
        </w:rPr>
      </w:pPr>
      <w:bookmarkStart w:id="1339" w:name="_Toc75952296"/>
      <w:bookmarkStart w:id="1340" w:name="_Toc106106753"/>
      <w:bookmarkStart w:id="1341" w:name="_Toc109802077"/>
      <w:r w:rsidRPr="00A00187">
        <w:rPr>
          <w:color w:val="auto"/>
        </w:rPr>
        <w:lastRenderedPageBreak/>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119</w:t>
      </w:r>
      <w:r w:rsidR="008457EB" w:rsidRPr="00A00187">
        <w:rPr>
          <w:noProof/>
          <w:color w:val="auto"/>
        </w:rPr>
        <w:fldChar w:fldCharType="end"/>
      </w:r>
      <w:r w:rsidRPr="00A00187">
        <w:rPr>
          <w:color w:val="auto"/>
        </w:rPr>
        <w:t>: EU – Soudní poplatek za zahájení řízení v konkrétní obch</w:t>
      </w:r>
      <w:r w:rsidR="00090CF1" w:rsidRPr="00A00187">
        <w:rPr>
          <w:color w:val="auto"/>
        </w:rPr>
        <w:t>.</w:t>
      </w:r>
      <w:r w:rsidRPr="00A00187">
        <w:rPr>
          <w:color w:val="auto"/>
        </w:rPr>
        <w:t xml:space="preserve"> věci, 20</w:t>
      </w:r>
      <w:bookmarkEnd w:id="1339"/>
      <w:r w:rsidRPr="00A00187">
        <w:rPr>
          <w:color w:val="auto"/>
        </w:rPr>
        <w:t>20</w:t>
      </w:r>
      <w:bookmarkEnd w:id="1340"/>
      <w:bookmarkEnd w:id="1341"/>
    </w:p>
    <w:p w14:paraId="7E0279C0" w14:textId="3F16714F" w:rsidR="004F2497" w:rsidRPr="00A00187" w:rsidRDefault="004F2497" w:rsidP="004F2497">
      <w:r w:rsidRPr="00A00187">
        <w:rPr>
          <w:noProof/>
        </w:rPr>
        <w:drawing>
          <wp:inline distT="0" distB="0" distL="0" distR="0" wp14:anchorId="304F454E" wp14:editId="66806C78">
            <wp:extent cx="5759450" cy="2037080"/>
            <wp:effectExtent l="0" t="0" r="0" b="127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59450" cy="2037080"/>
                    </a:xfrm>
                    <a:prstGeom prst="rect">
                      <a:avLst/>
                    </a:prstGeom>
                    <a:noFill/>
                    <a:ln>
                      <a:noFill/>
                    </a:ln>
                  </pic:spPr>
                </pic:pic>
              </a:graphicData>
            </a:graphic>
          </wp:inline>
        </w:drawing>
      </w:r>
    </w:p>
    <w:p w14:paraId="372CF9BE" w14:textId="30F7D1C2" w:rsidR="00DD42DE" w:rsidRPr="00A00187" w:rsidRDefault="004F2497" w:rsidP="00DD42DE">
      <w:pPr>
        <w:rPr>
          <w:i/>
          <w:sz w:val="20"/>
        </w:rPr>
      </w:pPr>
      <w:r w:rsidRPr="00A00187">
        <w:rPr>
          <w:i/>
          <w:iCs/>
          <w:sz w:val="16"/>
          <w:szCs w:val="18"/>
        </w:rPr>
        <w:t xml:space="preserve">(*) </w:t>
      </w:r>
      <w:r w:rsidRPr="00A00187">
        <w:rPr>
          <w:i/>
          <w:iCs/>
          <w:sz w:val="20"/>
          <w:szCs w:val="18"/>
        </w:rPr>
        <w:t xml:space="preserve">Výše poplatků je vyjádřena pomocí fiktivního žalovaného nároku 20 000 eur v přeshraničním sporu mezi dvěma obchodními společnostmi. Data byla shromážděna ve spolupráci </w:t>
      </w:r>
      <w:r w:rsidR="00755920" w:rsidRPr="00A00187">
        <w:rPr>
          <w:i/>
          <w:iCs/>
          <w:sz w:val="20"/>
          <w:szCs w:val="18"/>
        </w:rPr>
        <w:t>s</w:t>
      </w:r>
      <w:r w:rsidR="00755920">
        <w:rPr>
          <w:i/>
          <w:iCs/>
          <w:sz w:val="20"/>
          <w:szCs w:val="18"/>
        </w:rPr>
        <w:t> </w:t>
      </w:r>
      <w:r w:rsidRPr="00A00187">
        <w:rPr>
          <w:i/>
          <w:iCs/>
          <w:sz w:val="20"/>
          <w:szCs w:val="18"/>
        </w:rPr>
        <w:t>Radou evropských advokátních komor (</w:t>
      </w:r>
      <w:proofErr w:type="spellStart"/>
      <w:r w:rsidRPr="00A00187">
        <w:rPr>
          <w:i/>
          <w:iCs/>
          <w:sz w:val="20"/>
          <w:szCs w:val="18"/>
        </w:rPr>
        <w:t>Council</w:t>
      </w:r>
      <w:proofErr w:type="spellEnd"/>
      <w:r w:rsidRPr="00A00187">
        <w:rPr>
          <w:i/>
          <w:iCs/>
          <w:sz w:val="20"/>
          <w:szCs w:val="18"/>
        </w:rPr>
        <w:t xml:space="preserve"> </w:t>
      </w:r>
      <w:proofErr w:type="spellStart"/>
      <w:r w:rsidRPr="00A00187">
        <w:rPr>
          <w:i/>
          <w:iCs/>
          <w:sz w:val="20"/>
          <w:szCs w:val="18"/>
        </w:rPr>
        <w:t>of</w:t>
      </w:r>
      <w:proofErr w:type="spellEnd"/>
      <w:r w:rsidRPr="00A00187">
        <w:rPr>
          <w:i/>
          <w:iCs/>
          <w:sz w:val="20"/>
          <w:szCs w:val="18"/>
        </w:rPr>
        <w:t xml:space="preserve"> </w:t>
      </w:r>
      <w:proofErr w:type="spellStart"/>
      <w:r w:rsidRPr="00A00187">
        <w:rPr>
          <w:i/>
          <w:iCs/>
          <w:sz w:val="20"/>
          <w:szCs w:val="18"/>
        </w:rPr>
        <w:t>Bars</w:t>
      </w:r>
      <w:proofErr w:type="spellEnd"/>
      <w:r w:rsidRPr="00A00187">
        <w:rPr>
          <w:i/>
          <w:iCs/>
          <w:sz w:val="20"/>
          <w:szCs w:val="18"/>
        </w:rPr>
        <w:t xml:space="preserve"> and </w:t>
      </w:r>
      <w:proofErr w:type="spellStart"/>
      <w:r w:rsidRPr="00A00187">
        <w:rPr>
          <w:i/>
          <w:iCs/>
          <w:sz w:val="20"/>
          <w:szCs w:val="18"/>
        </w:rPr>
        <w:t>Law</w:t>
      </w:r>
      <w:proofErr w:type="spellEnd"/>
      <w:r w:rsidRPr="00A00187">
        <w:rPr>
          <w:i/>
          <w:iCs/>
          <w:sz w:val="20"/>
          <w:szCs w:val="18"/>
        </w:rPr>
        <w:t xml:space="preserve"> </w:t>
      </w:r>
      <w:proofErr w:type="spellStart"/>
      <w:r w:rsidRPr="00A00187">
        <w:rPr>
          <w:i/>
          <w:iCs/>
          <w:sz w:val="20"/>
          <w:szCs w:val="18"/>
        </w:rPr>
        <w:t>Societies</w:t>
      </w:r>
      <w:proofErr w:type="spellEnd"/>
      <w:r w:rsidRPr="00A00187">
        <w:rPr>
          <w:i/>
          <w:iCs/>
          <w:sz w:val="20"/>
          <w:szCs w:val="18"/>
        </w:rPr>
        <w:t xml:space="preserve"> </w:t>
      </w:r>
      <w:proofErr w:type="spellStart"/>
      <w:r w:rsidRPr="00A00187">
        <w:rPr>
          <w:i/>
          <w:iCs/>
          <w:sz w:val="20"/>
          <w:szCs w:val="18"/>
        </w:rPr>
        <w:t>of</w:t>
      </w:r>
      <w:proofErr w:type="spellEnd"/>
      <w:r w:rsidRPr="00A00187">
        <w:rPr>
          <w:i/>
          <w:iCs/>
          <w:sz w:val="20"/>
          <w:szCs w:val="18"/>
        </w:rPr>
        <w:t xml:space="preserve"> </w:t>
      </w:r>
      <w:proofErr w:type="spellStart"/>
      <w:proofErr w:type="gramStart"/>
      <w:r w:rsidRPr="00A00187">
        <w:rPr>
          <w:i/>
          <w:iCs/>
          <w:sz w:val="20"/>
          <w:szCs w:val="18"/>
        </w:rPr>
        <w:t>Europe</w:t>
      </w:r>
      <w:proofErr w:type="spellEnd"/>
      <w:r w:rsidRPr="00A00187">
        <w:rPr>
          <w:i/>
          <w:iCs/>
          <w:sz w:val="20"/>
          <w:szCs w:val="18"/>
        </w:rPr>
        <w:t xml:space="preserve"> - CCBE</w:t>
      </w:r>
      <w:proofErr w:type="gramEnd"/>
      <w:r w:rsidRPr="00A00187">
        <w:rPr>
          <w:i/>
          <w:iCs/>
          <w:sz w:val="20"/>
          <w:szCs w:val="18"/>
        </w:rPr>
        <w:t>), jejímž členem je také Česká advokátní komora</w:t>
      </w:r>
    </w:p>
    <w:p w14:paraId="346990D7" w14:textId="4AE9D970" w:rsidR="004F2497" w:rsidRDefault="004F2497" w:rsidP="00C23C40">
      <w:pPr>
        <w:rPr>
          <w:sz w:val="20"/>
        </w:rPr>
      </w:pPr>
      <w:r w:rsidRPr="00A00187">
        <w:rPr>
          <w:sz w:val="20"/>
        </w:rPr>
        <w:t xml:space="preserve">Zdroj: Evropská komise, Srovnávací přehled EU o soudnictví 2021, </w:t>
      </w:r>
      <w:proofErr w:type="spellStart"/>
      <w:r w:rsidRPr="00A00187">
        <w:rPr>
          <w:sz w:val="20"/>
        </w:rPr>
        <w:t>Fig</w:t>
      </w:r>
      <w:proofErr w:type="spellEnd"/>
      <w:r w:rsidRPr="00A00187">
        <w:rPr>
          <w:sz w:val="20"/>
        </w:rPr>
        <w:t>.(25)</w:t>
      </w:r>
    </w:p>
    <w:p w14:paraId="08476F23" w14:textId="77777777" w:rsidR="001C0095" w:rsidRPr="00A00187" w:rsidRDefault="001C0095" w:rsidP="00C23C40">
      <w:pPr>
        <w:rPr>
          <w:sz w:val="18"/>
        </w:rPr>
      </w:pPr>
    </w:p>
    <w:p w14:paraId="651A9277" w14:textId="044C45C8" w:rsidR="00CB570A" w:rsidRDefault="00A620BA" w:rsidP="009A00BC">
      <w:pPr>
        <w:pStyle w:val="OdstavecASR"/>
      </w:pPr>
      <w:r w:rsidRPr="00A00187">
        <w:t>Jak je vidět</w:t>
      </w:r>
      <w:r w:rsidR="004F2497" w:rsidRPr="00A00187">
        <w:t xml:space="preserve">, mezi </w:t>
      </w:r>
      <w:r w:rsidRPr="00A00187">
        <w:t>jednotlivými</w:t>
      </w:r>
      <w:r w:rsidR="004F2497" w:rsidRPr="00A00187">
        <w:t xml:space="preserve"> zeměmi je výše poplatku velmi variabilní a pohybuje se od neplacení poplatku, resp. poplatku ve výši od 0,1</w:t>
      </w:r>
      <w:r w:rsidR="00CB570A">
        <w:t> %</w:t>
      </w:r>
      <w:r w:rsidR="004F2497" w:rsidRPr="00A00187">
        <w:t xml:space="preserve"> až do 6</w:t>
      </w:r>
      <w:r w:rsidR="00CB570A">
        <w:t> %</w:t>
      </w:r>
      <w:r w:rsidR="004F2497" w:rsidRPr="00A00187">
        <w:t xml:space="preserve"> žalovaného nároku. ČR s poplatkem ve výši 1000 eur, což činí 5</w:t>
      </w:r>
      <w:r w:rsidR="00CB570A">
        <w:t> %</w:t>
      </w:r>
      <w:r w:rsidR="004F2497" w:rsidRPr="00A00187">
        <w:t xml:space="preserve"> fiktivního žalovaného nároku, zahajuje pětici zemí s nejvyššími poplatky. Problematika úhrady soudních poplatků </w:t>
      </w:r>
      <w:r w:rsidR="00755920" w:rsidRPr="00A00187">
        <w:t>a</w:t>
      </w:r>
      <w:r w:rsidR="00755920">
        <w:t> </w:t>
      </w:r>
      <w:r w:rsidR="004F2497" w:rsidRPr="00A00187">
        <w:t xml:space="preserve">úhrady právních nákladů vítězné straně sporu je však specifická, složitá </w:t>
      </w:r>
      <w:r w:rsidR="00755920" w:rsidRPr="00A00187">
        <w:t>a</w:t>
      </w:r>
      <w:r w:rsidR="00755920">
        <w:t> </w:t>
      </w:r>
      <w:r w:rsidR="004F2497" w:rsidRPr="00A00187">
        <w:t>vyžaduje více prostoru, než je jí možno věnovat v této zprávě.</w:t>
      </w:r>
      <w:r w:rsidR="00EB4920" w:rsidRPr="00A00187">
        <w:t xml:space="preserve"> </w:t>
      </w:r>
      <w:r w:rsidR="00DD42DE" w:rsidRPr="00A00187">
        <w:t>Současně j</w:t>
      </w:r>
      <w:r w:rsidR="008425B4" w:rsidRPr="00A00187">
        <w:t>e dobré připomenout, že v</w:t>
      </w:r>
      <w:r w:rsidR="005C702B" w:rsidRPr="00A00187">
        <w:t xml:space="preserve"> ČR se výše poplatku odvíjí </w:t>
      </w:r>
      <w:r w:rsidR="00DA0AC9" w:rsidRPr="00A00187">
        <w:t xml:space="preserve">od druhu řízení </w:t>
      </w:r>
      <w:r w:rsidR="00755920" w:rsidRPr="00A00187">
        <w:t>a</w:t>
      </w:r>
      <w:r w:rsidR="00755920">
        <w:t> </w:t>
      </w:r>
      <w:r w:rsidR="00DA0AC9" w:rsidRPr="00A00187">
        <w:t xml:space="preserve">výše žalovaného nároku. Rovněž existují zákonné důvody pro odpuštění soudního poplatku. </w:t>
      </w:r>
      <w:r w:rsidRPr="00A00187">
        <w:t>Výše zmíněný příklad tedy není plně reprezentativní</w:t>
      </w:r>
      <w:r w:rsidR="00DA0AC9" w:rsidRPr="00A00187">
        <w:t>.</w:t>
      </w:r>
    </w:p>
    <w:p w14:paraId="2C8C90D9" w14:textId="1CF5A68C" w:rsidR="00DA0AC9" w:rsidRPr="00A00187" w:rsidRDefault="004F2497" w:rsidP="009A00BC">
      <w:pPr>
        <w:pStyle w:val="OdstavecASR"/>
      </w:pPr>
      <w:r w:rsidRPr="00A00187">
        <w:t xml:space="preserve">Vedle dostupnosti spravedlnosti pro občany je neméně důležité, zda daná země svým občanům zajišťuje také účinnou soudní ochranu, tedy zda občané </w:t>
      </w:r>
      <w:r w:rsidR="00755920" w:rsidRPr="00A00187">
        <w:t>a</w:t>
      </w:r>
      <w:r w:rsidR="00755920">
        <w:t> </w:t>
      </w:r>
      <w:r w:rsidRPr="00A00187">
        <w:t xml:space="preserve">podnikatelé svému soudnímu systému důvěřují. </w:t>
      </w:r>
      <w:r w:rsidR="008425B4" w:rsidRPr="00A00187">
        <w:t>54</w:t>
      </w:r>
      <w:r w:rsidR="00CB570A">
        <w:t> %</w:t>
      </w:r>
      <w:r w:rsidRPr="00A00187">
        <w:t xml:space="preserve"> občanů EU, kteří se v roce 2021 zúčastnili průzkumu Eurobarometr FL489, hodnotilo soudní systém své země jako „dobrý“, zatímco </w:t>
      </w:r>
      <w:r w:rsidR="008425B4" w:rsidRPr="00A00187">
        <w:t>35</w:t>
      </w:r>
      <w:r w:rsidR="00CB570A">
        <w:t> %</w:t>
      </w:r>
      <w:r w:rsidRPr="00A00187">
        <w:t xml:space="preserve"> jako „špatný“(*). ČR se v rámci zemí EU propadla v roce 2021 na 16. příčku. </w:t>
      </w:r>
      <w:r w:rsidR="00DA0AC9" w:rsidRPr="00A00187">
        <w:t xml:space="preserve">Tentokrát </w:t>
      </w:r>
      <w:r w:rsidRPr="00A00187">
        <w:t>se ve zjednodušené podobě zaměříme na nejbližší sousedy. Přehled potvrzuje, že zvyšování důvěry v soudní systém je záležitost dlouhodobá, ale uskutečnitelná.</w:t>
      </w:r>
    </w:p>
    <w:p w14:paraId="279DAB00" w14:textId="1BC082F3" w:rsidR="004F2497" w:rsidRPr="00A00187" w:rsidRDefault="005D76CA" w:rsidP="005D76CA">
      <w:pPr>
        <w:pStyle w:val="Podnadpis"/>
        <w:rPr>
          <w:color w:val="auto"/>
        </w:rPr>
      </w:pPr>
      <w:bookmarkStart w:id="1342" w:name="_Toc75952297"/>
      <w:bookmarkStart w:id="1343" w:name="_Toc106106842"/>
      <w:bookmarkStart w:id="1344" w:name="_Toc109802165"/>
      <w:r w:rsidRPr="00A00187">
        <w:rPr>
          <w:color w:val="auto"/>
        </w:rPr>
        <w:t xml:space="preserve">Tabulka </w:t>
      </w:r>
      <w:r w:rsidRPr="00A00187">
        <w:rPr>
          <w:color w:val="auto"/>
        </w:rPr>
        <w:fldChar w:fldCharType="begin"/>
      </w:r>
      <w:r w:rsidRPr="00A00187">
        <w:rPr>
          <w:color w:val="auto"/>
        </w:rPr>
        <w:instrText xml:space="preserve"> SEQ Tabulka \* ARABIC </w:instrText>
      </w:r>
      <w:r w:rsidRPr="00A00187">
        <w:rPr>
          <w:color w:val="auto"/>
        </w:rPr>
        <w:fldChar w:fldCharType="separate"/>
      </w:r>
      <w:r w:rsidR="00DE6B5E">
        <w:rPr>
          <w:noProof/>
          <w:color w:val="auto"/>
        </w:rPr>
        <w:t>80</w:t>
      </w:r>
      <w:r w:rsidRPr="00A00187">
        <w:rPr>
          <w:color w:val="auto"/>
        </w:rPr>
        <w:fldChar w:fldCharType="end"/>
      </w:r>
      <w:r w:rsidR="004F2497" w:rsidRPr="00A00187">
        <w:rPr>
          <w:color w:val="auto"/>
        </w:rPr>
        <w:t>: EU – Vnímaná nezávislost soudů a soudců ze strany veřejnosti</w:t>
      </w:r>
      <w:bookmarkEnd w:id="1342"/>
      <w:bookmarkEnd w:id="1343"/>
      <w:bookmarkEnd w:id="1344"/>
    </w:p>
    <w:p w14:paraId="66B5F47E" w14:textId="55B8D4CA" w:rsidR="004F2497" w:rsidRPr="00A00187" w:rsidRDefault="004F2497" w:rsidP="004F2497">
      <w:r w:rsidRPr="00A00187">
        <w:rPr>
          <w:noProof/>
        </w:rPr>
        <w:drawing>
          <wp:inline distT="0" distB="0" distL="0" distR="0" wp14:anchorId="6C2286A4" wp14:editId="0B97B2F3">
            <wp:extent cx="5759450" cy="970915"/>
            <wp:effectExtent l="0" t="0" r="0" b="63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59450" cy="970915"/>
                    </a:xfrm>
                    <a:prstGeom prst="rect">
                      <a:avLst/>
                    </a:prstGeom>
                    <a:noFill/>
                    <a:ln>
                      <a:noFill/>
                    </a:ln>
                  </pic:spPr>
                </pic:pic>
              </a:graphicData>
            </a:graphic>
          </wp:inline>
        </w:drawing>
      </w:r>
    </w:p>
    <w:p w14:paraId="6D716947" w14:textId="77777777" w:rsidR="004F2497" w:rsidRPr="00A00187" w:rsidRDefault="004F2497" w:rsidP="004F2497"/>
    <w:p w14:paraId="32E0AB06" w14:textId="5CFBFA05" w:rsidR="004F2497" w:rsidRPr="00A00187" w:rsidRDefault="004F2497" w:rsidP="004F2497">
      <w:r w:rsidRPr="00A00187">
        <w:rPr>
          <w:noProof/>
        </w:rPr>
        <w:drawing>
          <wp:inline distT="0" distB="0" distL="0" distR="0" wp14:anchorId="03944275" wp14:editId="1F7169FE">
            <wp:extent cx="5759450" cy="970915"/>
            <wp:effectExtent l="0" t="0" r="0" b="635"/>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59450" cy="970915"/>
                    </a:xfrm>
                    <a:prstGeom prst="rect">
                      <a:avLst/>
                    </a:prstGeom>
                    <a:noFill/>
                    <a:ln>
                      <a:noFill/>
                    </a:ln>
                  </pic:spPr>
                </pic:pic>
              </a:graphicData>
            </a:graphic>
          </wp:inline>
        </w:drawing>
      </w:r>
    </w:p>
    <w:p w14:paraId="700DE41C" w14:textId="3A91136A" w:rsidR="004F2497" w:rsidRPr="00A00187" w:rsidRDefault="004F2497" w:rsidP="004F2497">
      <w:pPr>
        <w:rPr>
          <w:sz w:val="20"/>
        </w:rPr>
      </w:pPr>
      <w:r w:rsidRPr="00A00187">
        <w:rPr>
          <w:i/>
          <w:iCs/>
          <w:sz w:val="16"/>
          <w:szCs w:val="18"/>
        </w:rPr>
        <w:lastRenderedPageBreak/>
        <w:t xml:space="preserve">(*) </w:t>
      </w:r>
      <w:r w:rsidRPr="00A00187">
        <w:rPr>
          <w:i/>
          <w:iCs/>
          <w:sz w:val="20"/>
          <w:szCs w:val="18"/>
        </w:rPr>
        <w:t xml:space="preserve">Odpovědi na otázku: „Jak byste na základě toho, co je vám známo, ohodnotili systém soudnictví (ve vaší zemi), pokud jde </w:t>
      </w:r>
      <w:r w:rsidR="00755920" w:rsidRPr="00A00187">
        <w:rPr>
          <w:i/>
          <w:iCs/>
          <w:sz w:val="20"/>
          <w:szCs w:val="18"/>
        </w:rPr>
        <w:t>o</w:t>
      </w:r>
      <w:r w:rsidR="00755920">
        <w:rPr>
          <w:i/>
          <w:iCs/>
          <w:sz w:val="20"/>
          <w:szCs w:val="18"/>
        </w:rPr>
        <w:t> </w:t>
      </w:r>
      <w:r w:rsidRPr="00A00187">
        <w:rPr>
          <w:i/>
          <w:iCs/>
          <w:sz w:val="20"/>
          <w:szCs w:val="18"/>
        </w:rPr>
        <w:t xml:space="preserve">nezávislost soudů </w:t>
      </w:r>
      <w:r w:rsidR="00755920" w:rsidRPr="00A00187">
        <w:rPr>
          <w:i/>
          <w:iCs/>
          <w:sz w:val="20"/>
          <w:szCs w:val="18"/>
        </w:rPr>
        <w:t>a</w:t>
      </w:r>
      <w:r w:rsidR="00755920">
        <w:rPr>
          <w:i/>
          <w:iCs/>
          <w:sz w:val="20"/>
          <w:szCs w:val="18"/>
        </w:rPr>
        <w:t> </w:t>
      </w:r>
      <w:r w:rsidRPr="00A00187">
        <w:rPr>
          <w:i/>
          <w:iCs/>
          <w:sz w:val="20"/>
          <w:szCs w:val="18"/>
        </w:rPr>
        <w:t>soudců? Řekli byste, že je velmi dobrá, poměrně dobrá, poměrně špatná, nebo velmi špatná?“ V přehledu výše jsou odpovědi sumarizovány</w:t>
      </w:r>
    </w:p>
    <w:p w14:paraId="5FF50BB1" w14:textId="13C2EE86" w:rsidR="004F2497" w:rsidRPr="00A00187" w:rsidRDefault="004F2497" w:rsidP="004F2497">
      <w:r w:rsidRPr="00A00187">
        <w:rPr>
          <w:sz w:val="20"/>
        </w:rPr>
        <w:t xml:space="preserve">Zdroj: Průzkum Eurobarometr FL489, který se uskutečnil </w:t>
      </w:r>
      <w:r w:rsidR="00755920" w:rsidRPr="00A00187">
        <w:rPr>
          <w:sz w:val="20"/>
        </w:rPr>
        <w:t>v</w:t>
      </w:r>
      <w:r w:rsidR="00755920">
        <w:rPr>
          <w:sz w:val="20"/>
        </w:rPr>
        <w:t> </w:t>
      </w:r>
      <w:r w:rsidRPr="00A00187">
        <w:rPr>
          <w:sz w:val="20"/>
        </w:rPr>
        <w:t>období od 29. března do 9. dubna 2021</w:t>
      </w:r>
      <w:r w:rsidR="008D5E6E" w:rsidRPr="00A00187">
        <w:rPr>
          <w:sz w:val="20"/>
        </w:rPr>
        <w:t>, vlastní zpracování</w:t>
      </w:r>
      <w:r w:rsidRPr="00A00187">
        <w:rPr>
          <w:sz w:val="20"/>
        </w:rPr>
        <w:t>.</w:t>
      </w:r>
    </w:p>
    <w:p w14:paraId="56CE7983" w14:textId="77777777" w:rsidR="004F2497" w:rsidRPr="001C0095" w:rsidRDefault="004F2497" w:rsidP="004F2497">
      <w:pPr>
        <w:rPr>
          <w:sz w:val="20"/>
          <w:szCs w:val="18"/>
        </w:rPr>
      </w:pPr>
    </w:p>
    <w:p w14:paraId="4A188C3A" w14:textId="251950DC" w:rsidR="004F2497" w:rsidRPr="00A00187" w:rsidRDefault="004F2497" w:rsidP="009A00BC">
      <w:pPr>
        <w:pStyle w:val="OdstavecASR"/>
      </w:pPr>
      <w:r w:rsidRPr="00A00187">
        <w:t xml:space="preserve">Občané ČR patřili v roce 2021 mezi </w:t>
      </w:r>
      <w:r w:rsidR="00755920" w:rsidRPr="00A00187">
        <w:t>9</w:t>
      </w:r>
      <w:r w:rsidR="00755920">
        <w:t> </w:t>
      </w:r>
      <w:r w:rsidRPr="00A00187">
        <w:t xml:space="preserve">unijních zemí, ve kterých ekonomické tlaky na soudy byly považovány za nejdůležitější faktor snižující jejich důvěru v soudní systém. </w:t>
      </w:r>
      <w:r w:rsidR="00755920" w:rsidRPr="00A00187">
        <w:t>V</w:t>
      </w:r>
      <w:r w:rsidR="00755920">
        <w:t> </w:t>
      </w:r>
      <w:r w:rsidRPr="00A00187">
        <w:t xml:space="preserve">ostatních 18 zemích první příčku obsadily tlaky politické. Pokud v roce 2020 hodnotili podnikatelé důvěryhodnost české justice výrazně hůře než občané, tak v roce 2021 se hodnocení občanů </w:t>
      </w:r>
      <w:r w:rsidR="00755920" w:rsidRPr="00A00187">
        <w:t>i</w:t>
      </w:r>
      <w:r w:rsidR="00755920">
        <w:t> </w:t>
      </w:r>
      <w:r w:rsidRPr="00A00187">
        <w:t>podnikatelů srovnalo na v podstatě stejných hodnotách:</w:t>
      </w:r>
    </w:p>
    <w:p w14:paraId="66237EAD" w14:textId="319755B6" w:rsidR="004F2497" w:rsidRPr="00A00187" w:rsidRDefault="004F2497" w:rsidP="004F2497">
      <w:r w:rsidRPr="00A00187">
        <w:rPr>
          <w:noProof/>
        </w:rPr>
        <w:drawing>
          <wp:inline distT="0" distB="0" distL="0" distR="0" wp14:anchorId="69C64629" wp14:editId="03B0D2E5">
            <wp:extent cx="3057525" cy="800100"/>
            <wp:effectExtent l="0" t="0" r="9525"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057525" cy="800100"/>
                    </a:xfrm>
                    <a:prstGeom prst="rect">
                      <a:avLst/>
                    </a:prstGeom>
                    <a:noFill/>
                    <a:ln>
                      <a:noFill/>
                    </a:ln>
                  </pic:spPr>
                </pic:pic>
              </a:graphicData>
            </a:graphic>
          </wp:inline>
        </w:drawing>
      </w:r>
    </w:p>
    <w:p w14:paraId="7ABF98F9" w14:textId="111D2CE4" w:rsidR="004F2497" w:rsidRPr="00A00187" w:rsidRDefault="004F2497" w:rsidP="004F2497">
      <w:pPr>
        <w:rPr>
          <w:sz w:val="20"/>
        </w:rPr>
      </w:pPr>
      <w:r w:rsidRPr="00A00187">
        <w:rPr>
          <w:sz w:val="20"/>
        </w:rPr>
        <w:t xml:space="preserve">Zdroj </w:t>
      </w:r>
      <w:r w:rsidR="00755920" w:rsidRPr="00A00187">
        <w:rPr>
          <w:sz w:val="20"/>
        </w:rPr>
        <w:t>a</w:t>
      </w:r>
      <w:r w:rsidR="00755920">
        <w:rPr>
          <w:sz w:val="20"/>
        </w:rPr>
        <w:t> </w:t>
      </w:r>
      <w:r w:rsidRPr="00A00187">
        <w:rPr>
          <w:sz w:val="20"/>
        </w:rPr>
        <w:t xml:space="preserve">metodologie průzkumu jsou stejné jako </w:t>
      </w:r>
      <w:r w:rsidR="00755920" w:rsidRPr="00A00187">
        <w:rPr>
          <w:sz w:val="20"/>
        </w:rPr>
        <w:t>u</w:t>
      </w:r>
      <w:r w:rsidR="00755920">
        <w:rPr>
          <w:sz w:val="20"/>
        </w:rPr>
        <w:t> </w:t>
      </w:r>
      <w:r w:rsidRPr="00A00187">
        <w:rPr>
          <w:sz w:val="20"/>
        </w:rPr>
        <w:t>občanů</w:t>
      </w:r>
    </w:p>
    <w:p w14:paraId="761F9C4C" w14:textId="38CAB9CA" w:rsidR="00CB570A" w:rsidRDefault="004F2497" w:rsidP="004F2497">
      <w:r w:rsidRPr="00A00187">
        <w:t>Vedle dostupnosti a nezávislosti soudního systému je</w:t>
      </w:r>
      <w:r w:rsidR="00DA0AC9" w:rsidRPr="00A00187">
        <w:t xml:space="preserve"> </w:t>
      </w:r>
      <w:r w:rsidRPr="00A00187">
        <w:t>dalším důležitým ukazatelem jeho efektivnost. Uk</w:t>
      </w:r>
      <w:r w:rsidR="00A620BA" w:rsidRPr="00A00187">
        <w:t>ážeme</w:t>
      </w:r>
      <w:r w:rsidRPr="00A00187">
        <w:t xml:space="preserve"> si ji na datech týkajících se sporných občanských </w:t>
      </w:r>
      <w:r w:rsidR="00755920" w:rsidRPr="00A00187">
        <w:t>a</w:t>
      </w:r>
      <w:r w:rsidR="00755920">
        <w:t> </w:t>
      </w:r>
      <w:r w:rsidRPr="00A00187">
        <w:t xml:space="preserve">obchodních věcí, protože se jedná </w:t>
      </w:r>
      <w:r w:rsidR="00755920" w:rsidRPr="00A00187">
        <w:t>o</w:t>
      </w:r>
      <w:r w:rsidR="00755920">
        <w:t> </w:t>
      </w:r>
      <w:r w:rsidRPr="00A00187">
        <w:t>důležitou agendu, která je celkem dobře srovnatelná mezi státy EU.</w:t>
      </w:r>
    </w:p>
    <w:p w14:paraId="2D83C948" w14:textId="4771DC5C" w:rsidR="004F2497" w:rsidRPr="00A00187" w:rsidRDefault="004F2497" w:rsidP="004F2497"/>
    <w:p w14:paraId="33CD9C09" w14:textId="77777777" w:rsidR="004F2497" w:rsidRPr="00A00187" w:rsidRDefault="004F2497" w:rsidP="004F2497">
      <w:r w:rsidRPr="00A00187">
        <w:t>Nápad sporných občanských a obchodních věcí a jeho vývoj se mezi členskými státy EU značně liší, jak je vidět z následujícího grafu, a o to větší pozornost musí být věnována jejich efektivnímu vyřízení (výkonnosti jednotlivých soudních systémů).</w:t>
      </w:r>
    </w:p>
    <w:p w14:paraId="71E7C6AE" w14:textId="527AA081" w:rsidR="004F2497" w:rsidRPr="00A00187" w:rsidRDefault="004F2497" w:rsidP="005D76CA">
      <w:pPr>
        <w:pStyle w:val="Podnadpis"/>
        <w:rPr>
          <w:color w:val="auto"/>
        </w:rPr>
      </w:pPr>
      <w:bookmarkStart w:id="1345" w:name="_Toc75952298"/>
      <w:bookmarkStart w:id="1346" w:name="_Toc106106754"/>
      <w:bookmarkStart w:id="1347" w:name="_Toc109802078"/>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120</w:t>
      </w:r>
      <w:r w:rsidR="008457EB" w:rsidRPr="00A00187">
        <w:rPr>
          <w:noProof/>
          <w:color w:val="auto"/>
        </w:rPr>
        <w:fldChar w:fldCharType="end"/>
      </w:r>
      <w:r w:rsidRPr="00A00187">
        <w:rPr>
          <w:color w:val="auto"/>
        </w:rPr>
        <w:t>: EU – nápad sporných občanských a obch</w:t>
      </w:r>
      <w:r w:rsidR="00090CF1" w:rsidRPr="00A00187">
        <w:rPr>
          <w:color w:val="auto"/>
        </w:rPr>
        <w:t>.</w:t>
      </w:r>
      <w:r w:rsidRPr="00A00187">
        <w:rPr>
          <w:color w:val="auto"/>
        </w:rPr>
        <w:t xml:space="preserve"> věcí na 100 obyvatel</w:t>
      </w:r>
      <w:bookmarkEnd w:id="1345"/>
      <w:bookmarkEnd w:id="1346"/>
      <w:bookmarkEnd w:id="1347"/>
    </w:p>
    <w:p w14:paraId="07397875" w14:textId="77777777" w:rsidR="00CB570A" w:rsidRDefault="00014F1F" w:rsidP="00900C23">
      <w:pPr>
        <w:keepNext/>
        <w:spacing w:before="120" w:after="120" w:line="240" w:lineRule="auto"/>
        <w:rPr>
          <w:sz w:val="20"/>
        </w:rPr>
      </w:pPr>
      <w:r w:rsidRPr="00A00187">
        <w:rPr>
          <w:noProof/>
          <w:lang w:eastAsia="cs-CZ"/>
        </w:rPr>
        <w:drawing>
          <wp:inline distT="0" distB="0" distL="0" distR="0" wp14:anchorId="56B8611F" wp14:editId="6C4F5CC1">
            <wp:extent cx="5759450" cy="2277110"/>
            <wp:effectExtent l="0" t="0" r="0" b="889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759450" cy="2277110"/>
                    </a:xfrm>
                    <a:prstGeom prst="rect">
                      <a:avLst/>
                    </a:prstGeom>
                  </pic:spPr>
                </pic:pic>
              </a:graphicData>
            </a:graphic>
          </wp:inline>
        </w:drawing>
      </w:r>
    </w:p>
    <w:p w14:paraId="15EE9B9B" w14:textId="377F5633" w:rsidR="00CB570A" w:rsidRDefault="004F2497" w:rsidP="004F2497">
      <w:pPr>
        <w:spacing w:line="240" w:lineRule="auto"/>
        <w:rPr>
          <w:sz w:val="20"/>
        </w:rPr>
      </w:pPr>
      <w:r w:rsidRPr="00A00187">
        <w:rPr>
          <w:sz w:val="20"/>
        </w:rPr>
        <w:t xml:space="preserve">Zdroj: Evropská komise, Srovnávací přehled EU o soudnictví za rok 2021, </w:t>
      </w:r>
      <w:proofErr w:type="spellStart"/>
      <w:r w:rsidRPr="00A00187">
        <w:rPr>
          <w:sz w:val="20"/>
        </w:rPr>
        <w:t>Fig</w:t>
      </w:r>
      <w:proofErr w:type="spellEnd"/>
      <w:r w:rsidRPr="00A00187">
        <w:rPr>
          <w:sz w:val="20"/>
        </w:rPr>
        <w:t>.(4)</w:t>
      </w:r>
    </w:p>
    <w:p w14:paraId="2B1ABD1E" w14:textId="77777777" w:rsidR="001C0095" w:rsidRDefault="001C0095" w:rsidP="004F2497">
      <w:pPr>
        <w:spacing w:line="240" w:lineRule="auto"/>
        <w:rPr>
          <w:sz w:val="20"/>
        </w:rPr>
      </w:pPr>
    </w:p>
    <w:p w14:paraId="533810AA" w14:textId="02A6C4E0" w:rsidR="00CB570A" w:rsidRDefault="004F2497" w:rsidP="009A00BC">
      <w:pPr>
        <w:pStyle w:val="OdstavecASR"/>
      </w:pPr>
      <w:r w:rsidRPr="00A00187">
        <w:t xml:space="preserve">ČR vykazuje již tradičně jeden z nejvyšších </w:t>
      </w:r>
      <w:r w:rsidR="00755920" w:rsidRPr="00A00187">
        <w:t>a</w:t>
      </w:r>
      <w:r w:rsidR="00755920">
        <w:t> </w:t>
      </w:r>
      <w:r w:rsidRPr="00A00187">
        <w:t xml:space="preserve">dlouhodobě stabilních počtů příchozích sporných občanských </w:t>
      </w:r>
      <w:r w:rsidR="00755920" w:rsidRPr="00A00187">
        <w:t>a</w:t>
      </w:r>
      <w:r w:rsidR="00755920">
        <w:t> </w:t>
      </w:r>
      <w:r w:rsidRPr="00A00187">
        <w:t xml:space="preserve">obchodních věcí na 100 obyvatel v EU (3,5 věci v roce 2012 </w:t>
      </w:r>
      <w:r w:rsidR="00755920" w:rsidRPr="00A00187">
        <w:t>a</w:t>
      </w:r>
      <w:r w:rsidR="00755920">
        <w:t> </w:t>
      </w:r>
      <w:r w:rsidRPr="00A00187">
        <w:t xml:space="preserve">3,3 věci v roce 2019). </w:t>
      </w:r>
    </w:p>
    <w:p w14:paraId="2DDDDFA1" w14:textId="21991731" w:rsidR="004F2497" w:rsidRPr="00A00187" w:rsidRDefault="004F2497" w:rsidP="009A00BC">
      <w:pPr>
        <w:pStyle w:val="OdstavecASR"/>
      </w:pPr>
      <w:r w:rsidRPr="00A00187">
        <w:t>Vysoký nápad sporných obč</w:t>
      </w:r>
      <w:r w:rsidR="00632D5F" w:rsidRPr="00A00187">
        <w:t>anských</w:t>
      </w:r>
      <w:r w:rsidRPr="00A00187">
        <w:t xml:space="preserve"> </w:t>
      </w:r>
      <w:r w:rsidR="00755920" w:rsidRPr="00A00187">
        <w:t>a</w:t>
      </w:r>
      <w:r w:rsidR="00755920">
        <w:t> </w:t>
      </w:r>
      <w:r w:rsidRPr="00A00187">
        <w:t xml:space="preserve">obchodních věcí však řeší ČR velmi efektivně, </w:t>
      </w:r>
      <w:r w:rsidR="00632D5F" w:rsidRPr="00A00187">
        <w:t xml:space="preserve">neboť </w:t>
      </w:r>
      <w:r w:rsidRPr="00A00187">
        <w:t xml:space="preserve">je třetí za Estonskem </w:t>
      </w:r>
      <w:r w:rsidR="00755920" w:rsidRPr="00A00187">
        <w:t>a</w:t>
      </w:r>
      <w:r w:rsidR="00755920">
        <w:t> </w:t>
      </w:r>
      <w:r w:rsidRPr="00A00187">
        <w:t>Rakouskem při hodnocení pomocí dispozičního času za celou soudní soustavu.</w:t>
      </w:r>
    </w:p>
    <w:p w14:paraId="33D8E9C6" w14:textId="4C606F9F" w:rsidR="004F2497" w:rsidRPr="00A00187" w:rsidRDefault="004F2497" w:rsidP="00090CF1">
      <w:pPr>
        <w:pStyle w:val="Podnadpis"/>
        <w:rPr>
          <w:color w:val="auto"/>
        </w:rPr>
      </w:pPr>
      <w:bookmarkStart w:id="1348" w:name="_Toc106106755"/>
      <w:bookmarkStart w:id="1349" w:name="_Toc109802079"/>
      <w:r w:rsidRPr="00A00187">
        <w:rPr>
          <w:color w:val="auto"/>
        </w:rPr>
        <w:lastRenderedPageBreak/>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121</w:t>
      </w:r>
      <w:r w:rsidR="008457EB" w:rsidRPr="00A00187">
        <w:rPr>
          <w:noProof/>
          <w:color w:val="auto"/>
        </w:rPr>
        <w:fldChar w:fldCharType="end"/>
      </w:r>
      <w:r w:rsidRPr="00A00187">
        <w:rPr>
          <w:color w:val="auto"/>
        </w:rPr>
        <w:t xml:space="preserve">: EU – </w:t>
      </w:r>
      <w:proofErr w:type="spellStart"/>
      <w:r w:rsidRPr="00A00187">
        <w:rPr>
          <w:color w:val="auto"/>
        </w:rPr>
        <w:t>disposition</w:t>
      </w:r>
      <w:proofErr w:type="spellEnd"/>
      <w:r w:rsidRPr="00A00187">
        <w:rPr>
          <w:color w:val="auto"/>
        </w:rPr>
        <w:t xml:space="preserve"> </w:t>
      </w:r>
      <w:proofErr w:type="spellStart"/>
      <w:r w:rsidRPr="00A00187">
        <w:rPr>
          <w:color w:val="auto"/>
        </w:rPr>
        <w:t>time</w:t>
      </w:r>
      <w:proofErr w:type="spellEnd"/>
      <w:r w:rsidRPr="00A00187">
        <w:rPr>
          <w:color w:val="auto"/>
        </w:rPr>
        <w:t xml:space="preserve"> sporných </w:t>
      </w:r>
      <w:proofErr w:type="spellStart"/>
      <w:r w:rsidRPr="00A00187">
        <w:rPr>
          <w:color w:val="auto"/>
        </w:rPr>
        <w:t>obč</w:t>
      </w:r>
      <w:proofErr w:type="spellEnd"/>
      <w:r w:rsidRPr="00A00187">
        <w:rPr>
          <w:color w:val="auto"/>
        </w:rPr>
        <w:t>. a obch</w:t>
      </w:r>
      <w:r w:rsidR="00090CF1" w:rsidRPr="00A00187">
        <w:rPr>
          <w:color w:val="auto"/>
        </w:rPr>
        <w:t>.</w:t>
      </w:r>
      <w:r w:rsidRPr="00A00187">
        <w:rPr>
          <w:color w:val="auto"/>
        </w:rPr>
        <w:t xml:space="preserve"> věcí</w:t>
      </w:r>
      <w:bookmarkEnd w:id="1348"/>
      <w:bookmarkEnd w:id="1349"/>
    </w:p>
    <w:p w14:paraId="238D12F2" w14:textId="0E2AC213" w:rsidR="004F2497" w:rsidRPr="00A00187" w:rsidRDefault="00900C23" w:rsidP="004F2497">
      <w:r w:rsidRPr="00A00187">
        <w:rPr>
          <w:noProof/>
        </w:rPr>
        <w:drawing>
          <wp:inline distT="0" distB="0" distL="0" distR="0" wp14:anchorId="3C6E62D2" wp14:editId="6D754F25">
            <wp:extent cx="5759450" cy="2278380"/>
            <wp:effectExtent l="0" t="0" r="0" b="7620"/>
            <wp:docPr id="156" name="Obrázek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759450" cy="2278380"/>
                    </a:xfrm>
                    <a:prstGeom prst="rect">
                      <a:avLst/>
                    </a:prstGeom>
                  </pic:spPr>
                </pic:pic>
              </a:graphicData>
            </a:graphic>
          </wp:inline>
        </w:drawing>
      </w:r>
    </w:p>
    <w:p w14:paraId="53367641" w14:textId="4AA2D298" w:rsidR="00CB570A" w:rsidRDefault="004F2497" w:rsidP="004F2497">
      <w:pPr>
        <w:spacing w:line="240" w:lineRule="auto"/>
        <w:rPr>
          <w:i/>
          <w:iCs/>
          <w:sz w:val="20"/>
        </w:rPr>
      </w:pPr>
      <w:r w:rsidRPr="00A00187">
        <w:rPr>
          <w:i/>
          <w:iCs/>
          <w:sz w:val="20"/>
        </w:rPr>
        <w:t xml:space="preserve">(*) země jsou seřazeny dle soudu s nejdelším časem, NL: dle doprovodných vysvětlivek </w:t>
      </w:r>
      <w:r w:rsidR="00755920" w:rsidRPr="00A00187">
        <w:rPr>
          <w:i/>
          <w:iCs/>
          <w:sz w:val="20"/>
        </w:rPr>
        <w:t>v</w:t>
      </w:r>
      <w:r w:rsidR="00755920">
        <w:rPr>
          <w:i/>
          <w:iCs/>
          <w:sz w:val="20"/>
        </w:rPr>
        <w:t> </w:t>
      </w:r>
      <w:r w:rsidRPr="00A00187">
        <w:rPr>
          <w:i/>
          <w:iCs/>
          <w:sz w:val="20"/>
        </w:rPr>
        <w:t>publikaci Evropské komise zahrnuje do výpočtu dispozičního času pro soudy 1. stupně také nesporné věci</w:t>
      </w:r>
    </w:p>
    <w:p w14:paraId="3EC20952" w14:textId="28E42399" w:rsidR="004F2497" w:rsidRPr="00A00187" w:rsidRDefault="004F2497" w:rsidP="004F2497">
      <w:pPr>
        <w:spacing w:before="120" w:line="360" w:lineRule="auto"/>
        <w:rPr>
          <w:sz w:val="20"/>
        </w:rPr>
      </w:pPr>
      <w:r w:rsidRPr="00A00187">
        <w:rPr>
          <w:sz w:val="20"/>
        </w:rPr>
        <w:t xml:space="preserve">Zdroj: Evropská komise, Srovnávací přehled EU o soudnictví za rok 2021, </w:t>
      </w:r>
      <w:proofErr w:type="spellStart"/>
      <w:r w:rsidRPr="00A00187">
        <w:rPr>
          <w:sz w:val="20"/>
        </w:rPr>
        <w:t>Fig</w:t>
      </w:r>
      <w:proofErr w:type="spellEnd"/>
      <w:r w:rsidRPr="00A00187">
        <w:rPr>
          <w:sz w:val="20"/>
        </w:rPr>
        <w:t>.(8)</w:t>
      </w:r>
    </w:p>
    <w:p w14:paraId="618C7596" w14:textId="059B53A2" w:rsidR="00CB570A" w:rsidRDefault="004F2497" w:rsidP="009A00BC">
      <w:pPr>
        <w:pStyle w:val="OdstavecASR"/>
      </w:pPr>
      <w:r w:rsidRPr="00A00187">
        <w:t xml:space="preserve">Pokud tedy jeden z nejvyšších nápadů v EU řeší ČR velmi rychle, jak je možné, že při srovnání počtu nevyřízených věcí je ČR dlouhodobě pouze průměrná (14. z 23 zemí EU poskytujících data </w:t>
      </w:r>
      <w:r w:rsidR="00755920" w:rsidRPr="00A00187">
        <w:t>o</w:t>
      </w:r>
      <w:r w:rsidR="00755920">
        <w:t> </w:t>
      </w:r>
      <w:r w:rsidRPr="00A00187">
        <w:t>nevyřízených věcech)?</w:t>
      </w:r>
    </w:p>
    <w:p w14:paraId="089A8708" w14:textId="3A3CE598" w:rsidR="004F2497" w:rsidRPr="00A00187" w:rsidRDefault="004F2497" w:rsidP="005D76CA">
      <w:pPr>
        <w:pStyle w:val="Podnadpis"/>
        <w:rPr>
          <w:color w:val="auto"/>
        </w:rPr>
      </w:pPr>
      <w:bookmarkStart w:id="1350" w:name="_Toc106106756"/>
      <w:bookmarkStart w:id="1351" w:name="_Toc109802080"/>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122</w:t>
      </w:r>
      <w:r w:rsidR="008457EB" w:rsidRPr="00A00187">
        <w:rPr>
          <w:noProof/>
          <w:color w:val="auto"/>
        </w:rPr>
        <w:fldChar w:fldCharType="end"/>
      </w:r>
      <w:r w:rsidRPr="00A00187">
        <w:rPr>
          <w:color w:val="auto"/>
        </w:rPr>
        <w:t xml:space="preserve">: EU – počet nevyřízených </w:t>
      </w:r>
      <w:bookmarkStart w:id="1352" w:name="_Hlk92907271"/>
      <w:r w:rsidRPr="00A00187">
        <w:rPr>
          <w:color w:val="auto"/>
        </w:rPr>
        <w:t xml:space="preserve">sporných </w:t>
      </w:r>
      <w:proofErr w:type="spellStart"/>
      <w:r w:rsidRPr="00A00187">
        <w:rPr>
          <w:color w:val="auto"/>
        </w:rPr>
        <w:t>obč</w:t>
      </w:r>
      <w:proofErr w:type="spellEnd"/>
      <w:r w:rsidRPr="00A00187">
        <w:rPr>
          <w:color w:val="auto"/>
        </w:rPr>
        <w:t>. a obch</w:t>
      </w:r>
      <w:r w:rsidR="00090CF1" w:rsidRPr="00A00187">
        <w:rPr>
          <w:color w:val="auto"/>
        </w:rPr>
        <w:t>.</w:t>
      </w:r>
      <w:r w:rsidRPr="00A00187">
        <w:rPr>
          <w:color w:val="auto"/>
        </w:rPr>
        <w:t xml:space="preserve"> věcí</w:t>
      </w:r>
      <w:bookmarkEnd w:id="1352"/>
      <w:r w:rsidRPr="00A00187">
        <w:rPr>
          <w:color w:val="auto"/>
        </w:rPr>
        <w:t xml:space="preserve"> na 100 obyvatel</w:t>
      </w:r>
      <w:bookmarkEnd w:id="1350"/>
      <w:bookmarkEnd w:id="1351"/>
    </w:p>
    <w:p w14:paraId="2466B185" w14:textId="4FC96CFC" w:rsidR="004F2497" w:rsidRPr="00A00187" w:rsidRDefault="00900C23" w:rsidP="00D11CFD">
      <w:pPr>
        <w:keepNext/>
        <w:spacing w:before="120" w:after="120" w:line="240" w:lineRule="auto"/>
        <w:rPr>
          <w:sz w:val="20"/>
        </w:rPr>
      </w:pPr>
      <w:r w:rsidRPr="00A00187">
        <w:rPr>
          <w:rFonts w:eastAsia="Times New Roman"/>
          <w:b/>
          <w:iCs/>
          <w:noProof/>
          <w:spacing w:val="15"/>
          <w:szCs w:val="24"/>
        </w:rPr>
        <w:drawing>
          <wp:inline distT="0" distB="0" distL="0" distR="0" wp14:anchorId="1BE9B1F0" wp14:editId="361871F6">
            <wp:extent cx="5759450" cy="2278380"/>
            <wp:effectExtent l="0" t="0" r="0" b="7620"/>
            <wp:docPr id="157" name="Obrázek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759450" cy="2278380"/>
                    </a:xfrm>
                    <a:prstGeom prst="rect">
                      <a:avLst/>
                    </a:prstGeom>
                  </pic:spPr>
                </pic:pic>
              </a:graphicData>
            </a:graphic>
          </wp:inline>
        </w:drawing>
      </w:r>
      <w:r w:rsidR="004F2497" w:rsidRPr="00A00187">
        <w:rPr>
          <w:sz w:val="20"/>
        </w:rPr>
        <w:t xml:space="preserve">Zdroj: Evropská komise, Srovnávací přehled EU o soudnictví za rok 2021, </w:t>
      </w:r>
      <w:proofErr w:type="spellStart"/>
      <w:r w:rsidR="004F2497" w:rsidRPr="00A00187">
        <w:rPr>
          <w:sz w:val="20"/>
        </w:rPr>
        <w:t>Fig</w:t>
      </w:r>
      <w:proofErr w:type="spellEnd"/>
      <w:r w:rsidR="004F2497" w:rsidRPr="00A00187">
        <w:rPr>
          <w:sz w:val="20"/>
        </w:rPr>
        <w:t>.(15)</w:t>
      </w:r>
    </w:p>
    <w:p w14:paraId="12B4EFD8" w14:textId="77777777" w:rsidR="004F2497" w:rsidRPr="00A00187" w:rsidRDefault="004F2497" w:rsidP="004F2497">
      <w:pPr>
        <w:spacing w:line="240" w:lineRule="auto"/>
      </w:pPr>
    </w:p>
    <w:p w14:paraId="4DB345A6" w14:textId="2802BD2E" w:rsidR="00CB570A" w:rsidRDefault="00AD2E58" w:rsidP="00AD2E58">
      <w:pPr>
        <w:pStyle w:val="OdstavecASR"/>
      </w:pPr>
      <w:r w:rsidRPr="00A00187">
        <w:t>Vysvětlení leží především ve velikosti nápadu</w:t>
      </w:r>
      <w:r w:rsidR="0062531F" w:rsidRPr="00A00187">
        <w:t xml:space="preserve"> </w:t>
      </w:r>
      <w:r w:rsidR="00755920" w:rsidRPr="00A00187">
        <w:t>a</w:t>
      </w:r>
      <w:r w:rsidR="00755920">
        <w:t> </w:t>
      </w:r>
      <w:r w:rsidR="0062531F" w:rsidRPr="00A00187">
        <w:t xml:space="preserve">v konstrukci vzorce pro počítání </w:t>
      </w:r>
      <w:proofErr w:type="spellStart"/>
      <w:r w:rsidR="0062531F" w:rsidRPr="00A00187">
        <w:t>disposition</w:t>
      </w:r>
      <w:proofErr w:type="spellEnd"/>
      <w:r w:rsidR="0062531F" w:rsidRPr="00A00187">
        <w:t xml:space="preserve"> </w:t>
      </w:r>
      <w:proofErr w:type="spellStart"/>
      <w:r w:rsidR="0062531F" w:rsidRPr="00A00187">
        <w:t>time</w:t>
      </w:r>
      <w:proofErr w:type="spellEnd"/>
      <w:r w:rsidRPr="00A00187">
        <w:t xml:space="preserve">. </w:t>
      </w:r>
      <w:r w:rsidR="0062531F" w:rsidRPr="00A00187">
        <w:t>Jednak z</w:t>
      </w:r>
      <w:r w:rsidRPr="00A00187">
        <w:t>emě s nízkým nápadem na 100 obyv</w:t>
      </w:r>
      <w:r w:rsidR="00632D5F" w:rsidRPr="00A00187">
        <w:t>atel</w:t>
      </w:r>
      <w:r w:rsidRPr="00A00187">
        <w:t xml:space="preserve"> mají logicky také nízký počet vyřízených věcí. </w:t>
      </w:r>
      <w:proofErr w:type="spellStart"/>
      <w:r w:rsidR="00632D5F" w:rsidRPr="00A00187">
        <w:t>D</w:t>
      </w:r>
      <w:r w:rsidRPr="00A00187">
        <w:t>isposition</w:t>
      </w:r>
      <w:proofErr w:type="spellEnd"/>
      <w:r w:rsidR="00D11CFD" w:rsidRPr="00A00187">
        <w:t xml:space="preserve"> </w:t>
      </w:r>
      <w:proofErr w:type="spellStart"/>
      <w:r w:rsidR="00D11CFD" w:rsidRPr="00A00187">
        <w:t>time</w:t>
      </w:r>
      <w:proofErr w:type="spellEnd"/>
      <w:r w:rsidR="00D11CFD" w:rsidRPr="00A00187">
        <w:t xml:space="preserve"> </w:t>
      </w:r>
      <w:r w:rsidR="0062531F" w:rsidRPr="00A00187">
        <w:t xml:space="preserve">je </w:t>
      </w:r>
      <w:r w:rsidR="00632D5F" w:rsidRPr="00A00187">
        <w:t xml:space="preserve">přitom </w:t>
      </w:r>
      <w:r w:rsidRPr="00A00187">
        <w:t xml:space="preserve">počítán </w:t>
      </w:r>
      <w:r w:rsidR="00632D5F" w:rsidRPr="00A00187">
        <w:t>právě</w:t>
      </w:r>
      <w:r w:rsidRPr="00A00187">
        <w:t xml:space="preserve"> jako počet nevyřízených věcí/počet vyřízených věcí</w:t>
      </w:r>
      <w:r w:rsidR="00370EDB" w:rsidRPr="00A00187">
        <w:t xml:space="preserve"> krát </w:t>
      </w:r>
      <w:r w:rsidRPr="00A00187">
        <w:t xml:space="preserve">365. Počet vyřízených věcí je dělitel </w:t>
      </w:r>
      <w:r w:rsidR="00755920" w:rsidRPr="00A00187">
        <w:t>a</w:t>
      </w:r>
      <w:r w:rsidR="00755920">
        <w:t> </w:t>
      </w:r>
      <w:r w:rsidRPr="00A00187">
        <w:t xml:space="preserve">nižší počet vyřízených věcí tedy </w:t>
      </w:r>
      <w:proofErr w:type="spellStart"/>
      <w:r w:rsidRPr="00A00187">
        <w:rPr>
          <w:i/>
          <w:iCs/>
        </w:rPr>
        <w:t>ceteris</w:t>
      </w:r>
      <w:proofErr w:type="spellEnd"/>
      <w:r w:rsidRPr="00A00187">
        <w:rPr>
          <w:i/>
          <w:iCs/>
        </w:rPr>
        <w:t xml:space="preserve"> </w:t>
      </w:r>
      <w:proofErr w:type="spellStart"/>
      <w:r w:rsidRPr="00A00187">
        <w:rPr>
          <w:i/>
          <w:iCs/>
        </w:rPr>
        <w:t>paribus</w:t>
      </w:r>
      <w:proofErr w:type="spellEnd"/>
      <w:r w:rsidRPr="00A00187">
        <w:rPr>
          <w:i/>
          <w:iCs/>
        </w:rPr>
        <w:t xml:space="preserve"> </w:t>
      </w:r>
      <w:r w:rsidRPr="00A00187">
        <w:t xml:space="preserve">znamená vyšší </w:t>
      </w:r>
      <w:proofErr w:type="spellStart"/>
      <w:r w:rsidRPr="00A00187">
        <w:t>disposition</w:t>
      </w:r>
      <w:proofErr w:type="spellEnd"/>
      <w:r w:rsidRPr="00A00187">
        <w:t xml:space="preserve"> </w:t>
      </w:r>
      <w:proofErr w:type="spellStart"/>
      <w:r w:rsidRPr="00A00187">
        <w:t>time</w:t>
      </w:r>
      <w:proofErr w:type="spellEnd"/>
      <w:r w:rsidRPr="00A00187">
        <w:t xml:space="preserve">. </w:t>
      </w:r>
      <w:r w:rsidR="00755920" w:rsidRPr="00A00187">
        <w:t>I</w:t>
      </w:r>
      <w:r w:rsidR="00755920">
        <w:t> </w:t>
      </w:r>
      <w:r w:rsidR="00A73075" w:rsidRPr="00A00187">
        <w:t>s </w:t>
      </w:r>
      <w:r w:rsidR="00DB1D3B" w:rsidRPr="00A00187">
        <w:t>nižším</w:t>
      </w:r>
      <w:r w:rsidR="00A73075" w:rsidRPr="00A00187">
        <w:t xml:space="preserve"> nápadem nicméně bude vždy k danému datu existovat určitý počet nevyřízených věcí. Z logiky věci </w:t>
      </w:r>
      <w:r w:rsidR="0062531F" w:rsidRPr="00A00187">
        <w:t xml:space="preserve">totiž </w:t>
      </w:r>
      <w:r w:rsidR="00A73075" w:rsidRPr="00A00187">
        <w:t xml:space="preserve">není ve sporných občanských </w:t>
      </w:r>
      <w:r w:rsidR="00755920" w:rsidRPr="00A00187">
        <w:t>a</w:t>
      </w:r>
      <w:r w:rsidR="00755920">
        <w:t> </w:t>
      </w:r>
      <w:r w:rsidR="00A73075" w:rsidRPr="00A00187">
        <w:t xml:space="preserve">obchodních věcech možné </w:t>
      </w:r>
      <w:r w:rsidR="00014F1F" w:rsidRPr="00A00187">
        <w:t xml:space="preserve">počet nevyřízených věcí </w:t>
      </w:r>
      <w:r w:rsidR="00A73075" w:rsidRPr="00A00187">
        <w:t>snížit na nulu či blízko k nule.</w:t>
      </w:r>
    </w:p>
    <w:p w14:paraId="4261F19C" w14:textId="2DF051E3" w:rsidR="004F2497" w:rsidRPr="00A00187" w:rsidRDefault="00A73075" w:rsidP="00A73075">
      <w:pPr>
        <w:pStyle w:val="OdstavecASR"/>
      </w:pPr>
      <w:proofErr w:type="spellStart"/>
      <w:r w:rsidRPr="00A00187">
        <w:t>Diposition</w:t>
      </w:r>
      <w:proofErr w:type="spellEnd"/>
      <w:r w:rsidRPr="00A00187">
        <w:t xml:space="preserve"> </w:t>
      </w:r>
      <w:proofErr w:type="spellStart"/>
      <w:r w:rsidRPr="00A00187">
        <w:t>time</w:t>
      </w:r>
      <w:proofErr w:type="spellEnd"/>
      <w:r w:rsidRPr="00A00187">
        <w:t xml:space="preserve"> rovněž souvisí s</w:t>
      </w:r>
      <w:r w:rsidR="004F2497" w:rsidRPr="00A00187">
        <w:t> mí</w:t>
      </w:r>
      <w:r w:rsidRPr="00A00187">
        <w:t>rou</w:t>
      </w:r>
      <w:r w:rsidR="004F2497" w:rsidRPr="00A00187">
        <w:t xml:space="preserve"> vyřizování</w:t>
      </w:r>
      <w:r w:rsidRPr="00A00187">
        <w:t>.</w:t>
      </w:r>
      <w:r w:rsidR="004F2497" w:rsidRPr="00A00187">
        <w:t xml:space="preserve"> </w:t>
      </w:r>
      <w:r w:rsidRPr="00A00187">
        <w:t xml:space="preserve">Ta </w:t>
      </w:r>
      <w:r w:rsidR="00DB1D3B" w:rsidRPr="00A00187">
        <w:t>je</w:t>
      </w:r>
      <w:r w:rsidRPr="00A00187">
        <w:t xml:space="preserve"> dlouhodobě </w:t>
      </w:r>
      <w:r w:rsidR="004F2497" w:rsidRPr="00A00187">
        <w:t>okolo 100</w:t>
      </w:r>
      <w:r w:rsidR="00CB570A">
        <w:t> %</w:t>
      </w:r>
      <w:r w:rsidR="004F2497" w:rsidRPr="00A00187">
        <w:t>. Přesto se v roce 2019 ČR posunula na 7. místo mezi všemi zeměmi EU (</w:t>
      </w:r>
      <w:r w:rsidR="00755920" w:rsidRPr="00A00187">
        <w:t>z</w:t>
      </w:r>
      <w:r w:rsidR="00755920">
        <w:t> </w:t>
      </w:r>
      <w:r w:rsidR="004F2497" w:rsidRPr="00A00187">
        <w:t xml:space="preserve">12. v roce 2018), protože </w:t>
      </w:r>
      <w:r w:rsidR="00755920" w:rsidRPr="00A00187">
        <w:t>u</w:t>
      </w:r>
      <w:r w:rsidR="00755920">
        <w:t> </w:t>
      </w:r>
      <w:r w:rsidR="004F2497" w:rsidRPr="00A00187">
        <w:t>několika zemí se míra vyřizování snížila (graf neuvádíme).</w:t>
      </w:r>
    </w:p>
    <w:p w14:paraId="11C1E068" w14:textId="3E649068" w:rsidR="004F2497" w:rsidRPr="00A00187" w:rsidRDefault="00A73075" w:rsidP="00A73075">
      <w:pPr>
        <w:pStyle w:val="OdstavecASR"/>
      </w:pPr>
      <w:r w:rsidRPr="00A00187">
        <w:rPr>
          <w:rStyle w:val="OdstavecASRChar"/>
        </w:rPr>
        <w:lastRenderedPageBreak/>
        <w:t>Výše uvedené</w:t>
      </w:r>
      <w:r w:rsidR="004F2497" w:rsidRPr="00A00187">
        <w:rPr>
          <w:rStyle w:val="OdstavecASRChar"/>
        </w:rPr>
        <w:t xml:space="preserve"> naznačuje, že české soudy 1. stupně jsou schopny </w:t>
      </w:r>
      <w:r w:rsidRPr="00A00187">
        <w:rPr>
          <w:rStyle w:val="OdstavecASRChar"/>
        </w:rPr>
        <w:t>rychleji</w:t>
      </w:r>
      <w:r w:rsidR="004F2497" w:rsidRPr="00A00187">
        <w:rPr>
          <w:rStyle w:val="OdstavecASRChar"/>
        </w:rPr>
        <w:t xml:space="preserve"> než ostatní země EU vyřizovat velké množství napadlých věcí v tom samém roce</w:t>
      </w:r>
      <w:r w:rsidR="00632D5F" w:rsidRPr="00A00187">
        <w:rPr>
          <w:rStyle w:val="OdstavecASRChar"/>
        </w:rPr>
        <w:t>,</w:t>
      </w:r>
      <w:r w:rsidR="004F2497" w:rsidRPr="00A00187">
        <w:rPr>
          <w:rStyle w:val="OdstavecASRChar"/>
        </w:rPr>
        <w:t xml:space="preserve"> kdy přijdou na soud</w:t>
      </w:r>
      <w:r w:rsidR="004F2497" w:rsidRPr="00A00187">
        <w:t xml:space="preserve">. </w:t>
      </w:r>
      <w:r w:rsidR="00632D5F" w:rsidRPr="00A00187">
        <w:t xml:space="preserve">Opakovaně nicméně upozorňujeme, </w:t>
      </w:r>
      <w:r w:rsidRPr="00A00187">
        <w:t xml:space="preserve">že srovnání </w:t>
      </w:r>
      <w:r w:rsidR="00632D5F" w:rsidRPr="00A00187">
        <w:t>tohoto druhu jsou značně ovlivněna</w:t>
      </w:r>
      <w:r w:rsidRPr="00A00187">
        <w:t xml:space="preserve"> </w:t>
      </w:r>
      <w:r w:rsidR="00632D5F" w:rsidRPr="00A00187">
        <w:t xml:space="preserve">metodologií výkaznictví jednotlivých států, </w:t>
      </w:r>
      <w:r w:rsidR="00755920" w:rsidRPr="00A00187">
        <w:t>v</w:t>
      </w:r>
      <w:r w:rsidR="00755920">
        <w:t> </w:t>
      </w:r>
      <w:r w:rsidR="00924FF0" w:rsidRPr="00A00187">
        <w:t>tomto</w:t>
      </w:r>
      <w:r w:rsidRPr="00A00187">
        <w:t xml:space="preserve"> případě</w:t>
      </w:r>
      <w:r w:rsidR="00632D5F" w:rsidRPr="00A00187">
        <w:t xml:space="preserve"> zejména otázkou</w:t>
      </w:r>
      <w:r w:rsidRPr="00A00187">
        <w:t>, co daná země vykazuje jako spornou obč</w:t>
      </w:r>
      <w:r w:rsidR="00632D5F" w:rsidRPr="00A00187">
        <w:t>anskou</w:t>
      </w:r>
      <w:r w:rsidRPr="00A00187">
        <w:t xml:space="preserve"> </w:t>
      </w:r>
      <w:r w:rsidR="00755920" w:rsidRPr="00A00187">
        <w:t>a</w:t>
      </w:r>
      <w:r w:rsidR="00755920">
        <w:t> </w:t>
      </w:r>
      <w:r w:rsidRPr="00A00187">
        <w:t>obchodních věc.</w:t>
      </w:r>
    </w:p>
    <w:p w14:paraId="5CCBC3A1" w14:textId="3DEC145F" w:rsidR="004F2497" w:rsidRPr="00A00187" w:rsidRDefault="004F2497" w:rsidP="00924FF0">
      <w:pPr>
        <w:pStyle w:val="OdstavecASR"/>
      </w:pPr>
      <w:r w:rsidRPr="00A00187">
        <w:t xml:space="preserve">Pokud jde </w:t>
      </w:r>
      <w:r w:rsidR="00755920" w:rsidRPr="00A00187">
        <w:t>o</w:t>
      </w:r>
      <w:r w:rsidR="00755920">
        <w:t> </w:t>
      </w:r>
      <w:r w:rsidRPr="00A00187">
        <w:t xml:space="preserve">správní agendu, došlo v ČR </w:t>
      </w:r>
      <w:r w:rsidR="00755920" w:rsidRPr="00A00187">
        <w:t>v</w:t>
      </w:r>
      <w:r w:rsidR="00755920">
        <w:t> </w:t>
      </w:r>
      <w:r w:rsidRPr="00A00187">
        <w:t xml:space="preserve">roce 2019 k výraznému nárustu míry vyřizování na </w:t>
      </w:r>
      <w:r w:rsidR="008425B4" w:rsidRPr="00A00187">
        <w:t>107</w:t>
      </w:r>
      <w:r w:rsidR="00CB570A">
        <w:t> %</w:t>
      </w:r>
      <w:r w:rsidRPr="00A00187">
        <w:t xml:space="preserve"> v roce 2019 z </w:t>
      </w:r>
      <w:r w:rsidR="0038209A" w:rsidRPr="00A00187">
        <w:t>88</w:t>
      </w:r>
      <w:r w:rsidR="00CB570A">
        <w:t> %</w:t>
      </w:r>
      <w:r w:rsidRPr="00A00187">
        <w:t xml:space="preserve"> v roce 2018, čímž se ČR posunula v hodnocení zemí EU z 23. místa v roce 2018 na 9. místo v roce 2019. Důležitým efektem je snížení počtu nevyřízených </w:t>
      </w:r>
      <w:r w:rsidR="00924FF0" w:rsidRPr="00A00187">
        <w:t>správních</w:t>
      </w:r>
      <w:r w:rsidRPr="00A00187">
        <w:t xml:space="preserve"> věcí v roce 2019, kdy ČR přeskočila S</w:t>
      </w:r>
      <w:r w:rsidR="00632D5F" w:rsidRPr="00A00187">
        <w:t>lovensko</w:t>
      </w:r>
      <w:r w:rsidRPr="00A00187">
        <w:t xml:space="preserve">, </w:t>
      </w:r>
      <w:r w:rsidR="00755920" w:rsidRPr="00A00187">
        <w:t>u</w:t>
      </w:r>
      <w:r w:rsidR="00755920">
        <w:t> </w:t>
      </w:r>
      <w:r w:rsidRPr="00A00187">
        <w:t xml:space="preserve">kterého dochází k nárůstu. Snižování počtu nevyřízených </w:t>
      </w:r>
      <w:r w:rsidR="00924FF0" w:rsidRPr="00A00187">
        <w:t>správních</w:t>
      </w:r>
      <w:r w:rsidRPr="00A00187">
        <w:t xml:space="preserve"> věcí pokračovalo dle vnitrostátních dat také </w:t>
      </w:r>
      <w:r w:rsidR="00755920" w:rsidRPr="00A00187">
        <w:t>v</w:t>
      </w:r>
      <w:r w:rsidR="00755920">
        <w:t> </w:t>
      </w:r>
      <w:r w:rsidRPr="00A00187">
        <w:t xml:space="preserve">letech 2020 </w:t>
      </w:r>
      <w:r w:rsidR="00755920" w:rsidRPr="00A00187">
        <w:t>a</w:t>
      </w:r>
      <w:r w:rsidR="00755920">
        <w:t> </w:t>
      </w:r>
      <w:r w:rsidRPr="00A00187">
        <w:t xml:space="preserve">2021, </w:t>
      </w:r>
      <w:r w:rsidR="00755920" w:rsidRPr="00A00187">
        <w:t>a</w:t>
      </w:r>
      <w:r w:rsidR="00755920">
        <w:t> </w:t>
      </w:r>
      <w:r w:rsidR="008425B4" w:rsidRPr="00A00187">
        <w:t xml:space="preserve">lze tudíž očekávat dobré postavení ČR mezi zeměmi EU </w:t>
      </w:r>
      <w:r w:rsidR="00755920" w:rsidRPr="00A00187">
        <w:t>i</w:t>
      </w:r>
      <w:r w:rsidR="00755920">
        <w:t> </w:t>
      </w:r>
      <w:r w:rsidR="008425B4" w:rsidRPr="00A00187">
        <w:t xml:space="preserve">ve zprávách Evropské komise za roky 2020 </w:t>
      </w:r>
      <w:r w:rsidR="00755920" w:rsidRPr="00A00187">
        <w:t>a</w:t>
      </w:r>
      <w:r w:rsidR="00755920">
        <w:t> </w:t>
      </w:r>
      <w:r w:rsidR="008425B4" w:rsidRPr="00A00187">
        <w:t>2021.</w:t>
      </w:r>
      <w:r w:rsidR="00924FF0" w:rsidRPr="00A00187">
        <w:t xml:space="preserve">Více </w:t>
      </w:r>
      <w:r w:rsidR="00755920" w:rsidRPr="00A00187">
        <w:t>o</w:t>
      </w:r>
      <w:r w:rsidR="00755920">
        <w:t> </w:t>
      </w:r>
      <w:r w:rsidR="00924FF0" w:rsidRPr="00A00187">
        <w:t xml:space="preserve">správním soudnictví </w:t>
      </w:r>
      <w:r w:rsidR="00755920" w:rsidRPr="00A00187">
        <w:t>v</w:t>
      </w:r>
      <w:r w:rsidR="00755920">
        <w:t> </w:t>
      </w:r>
      <w:r w:rsidR="008425B4" w:rsidRPr="00A00187">
        <w:t>ČR v</w:t>
      </w:r>
      <w:r w:rsidR="0062531F" w:rsidRPr="00A00187">
        <w:t> </w:t>
      </w:r>
      <w:r w:rsidR="008425B4" w:rsidRPr="00A00187">
        <w:t>kapitole </w:t>
      </w:r>
      <w:r w:rsidR="00924FF0" w:rsidRPr="00A00187">
        <w:t>3.6.</w:t>
      </w:r>
    </w:p>
    <w:p w14:paraId="46A532B8" w14:textId="18D44BAC" w:rsidR="00A73075" w:rsidRPr="00A00187" w:rsidRDefault="00A73075" w:rsidP="00924FF0">
      <w:pPr>
        <w:pStyle w:val="OdstavecASR"/>
      </w:pPr>
      <w:r w:rsidRPr="00A00187">
        <w:t xml:space="preserve">Srovnávací přehled EU </w:t>
      </w:r>
      <w:r w:rsidR="00755920" w:rsidRPr="00A00187">
        <w:t>o</w:t>
      </w:r>
      <w:r w:rsidR="00755920">
        <w:t> </w:t>
      </w:r>
      <w:r w:rsidRPr="00A00187">
        <w:t xml:space="preserve">soudnictví (EU Justice </w:t>
      </w:r>
      <w:proofErr w:type="spellStart"/>
      <w:r w:rsidRPr="00A00187">
        <w:t>Scoreboard</w:t>
      </w:r>
      <w:proofErr w:type="spellEnd"/>
      <w:r w:rsidRPr="00A00187">
        <w:t>) samozřejmě obsahuje mnoho dalších dat</w:t>
      </w:r>
      <w:r w:rsidR="00D11CFD" w:rsidRPr="00A00187">
        <w:t xml:space="preserve">. </w:t>
      </w:r>
      <w:r w:rsidRPr="00A00187">
        <w:t>Stáhnout ho lze</w:t>
      </w:r>
      <w:r w:rsidR="00924FF0" w:rsidRPr="00A00187">
        <w:t xml:space="preserve"> na stránkách Evropské </w:t>
      </w:r>
      <w:r w:rsidR="00632D5F" w:rsidRPr="00A00187">
        <w:t>u</w:t>
      </w:r>
      <w:r w:rsidR="00924FF0" w:rsidRPr="00A00187">
        <w:t>nie (</w:t>
      </w:r>
      <w:hyperlink r:id="rId159" w:history="1">
        <w:r w:rsidR="00924FF0" w:rsidRPr="005B0E0D">
          <w:rPr>
            <w:rStyle w:val="Hypertextovodkaz"/>
          </w:rPr>
          <w:t>zde</w:t>
        </w:r>
      </w:hyperlink>
      <w:r w:rsidR="00924FF0" w:rsidRPr="00A00187">
        <w:t>).</w:t>
      </w:r>
    </w:p>
    <w:p w14:paraId="69234FF4" w14:textId="47AB029F" w:rsidR="00CB570A" w:rsidRDefault="004F2497" w:rsidP="00924FF0">
      <w:pPr>
        <w:pStyle w:val="OdstavecASR"/>
      </w:pPr>
      <w:r w:rsidRPr="00A00187">
        <w:t xml:space="preserve">Velkému zájmu se těší </w:t>
      </w:r>
      <w:r w:rsidR="00632D5F" w:rsidRPr="00A00187">
        <w:t xml:space="preserve">též </w:t>
      </w:r>
      <w:r w:rsidRPr="00A00187">
        <w:t>statistická data kriminality</w:t>
      </w:r>
      <w:r w:rsidR="00632D5F" w:rsidRPr="00A00187">
        <w:t>.</w:t>
      </w:r>
      <w:r w:rsidRPr="00A00187">
        <w:t xml:space="preserve"> </w:t>
      </w:r>
      <w:r w:rsidR="00632D5F" w:rsidRPr="00A00187">
        <w:t>N</w:t>
      </w:r>
      <w:r w:rsidRPr="00A00187">
        <w:t xml:space="preserve">ově proto zařazujeme porovnání ČR v agendě trestní pomocí několika základních ukazatelů bez rozsáhlejších komentářů, ale s důrazným upozorněním, že mezinárodní srovnávání statistických údajů </w:t>
      </w:r>
      <w:r w:rsidR="00755920" w:rsidRPr="00A00187">
        <w:t>o</w:t>
      </w:r>
      <w:r w:rsidR="00755920">
        <w:t> </w:t>
      </w:r>
      <w:r w:rsidRPr="00A00187">
        <w:t xml:space="preserve">trestné činnosti a trestním soudnictví musí být prováděno velmi opatrně kvůli existujícím rozdílům mezi právními definicemi trestných činů, různým </w:t>
      </w:r>
      <w:r w:rsidR="00632D5F" w:rsidRPr="00A00187">
        <w:t xml:space="preserve">metodám </w:t>
      </w:r>
      <w:r w:rsidRPr="00A00187">
        <w:t xml:space="preserve">počítání </w:t>
      </w:r>
      <w:r w:rsidR="00755920" w:rsidRPr="00A00187">
        <w:t>a</w:t>
      </w:r>
      <w:r w:rsidR="00755920">
        <w:t> </w:t>
      </w:r>
      <w:r w:rsidRPr="00A00187">
        <w:t>zaznamenávání trestných činů</w:t>
      </w:r>
      <w:r w:rsidR="00236876" w:rsidRPr="00A00187">
        <w:t xml:space="preserve"> do statistických přehledů v jednotlivých zemích</w:t>
      </w:r>
      <w:r w:rsidRPr="00A00187">
        <w:t>, (ne)dostupnost</w:t>
      </w:r>
      <w:r w:rsidR="00632D5F" w:rsidRPr="00A00187">
        <w:t>i</w:t>
      </w:r>
      <w:r w:rsidRPr="00A00187">
        <w:t xml:space="preserve"> dat v různých zemích nebo i možným rozdíl</w:t>
      </w:r>
      <w:r w:rsidR="00632D5F" w:rsidRPr="00A00187">
        <w:t>ům</w:t>
      </w:r>
      <w:r w:rsidRPr="00A00187">
        <w:t xml:space="preserve"> v přepočtu na obyvatele.</w:t>
      </w:r>
      <w:r w:rsidR="005176A0" w:rsidRPr="00A00187">
        <w:t xml:space="preserve"> Byl</w:t>
      </w:r>
      <w:r w:rsidR="00342E4F" w:rsidRPr="00A00187">
        <w:t>y</w:t>
      </w:r>
      <w:r w:rsidR="005176A0" w:rsidRPr="00A00187">
        <w:t xml:space="preserve"> využity dva různé zdroje dat (</w:t>
      </w:r>
      <w:proofErr w:type="spellStart"/>
      <w:r w:rsidR="005176A0" w:rsidRPr="00A00187">
        <w:t>Eurostat</w:t>
      </w:r>
      <w:proofErr w:type="spellEnd"/>
      <w:r w:rsidR="005176A0" w:rsidRPr="00A00187">
        <w:t xml:space="preserve"> vs. UNODC) dle dostupnosti potřebných údajů. Srovnávat data z různých zdrojů může být problematické.</w:t>
      </w:r>
    </w:p>
    <w:p w14:paraId="49F7CB43" w14:textId="50E7E3D7" w:rsidR="004F2497" w:rsidRPr="00A00187" w:rsidRDefault="004F2497" w:rsidP="005D76CA">
      <w:pPr>
        <w:pStyle w:val="Podnadpis"/>
        <w:rPr>
          <w:color w:val="auto"/>
        </w:rPr>
      </w:pPr>
      <w:bookmarkStart w:id="1353" w:name="_Toc106106757"/>
      <w:bookmarkStart w:id="1354" w:name="_Toc109802081"/>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123</w:t>
      </w:r>
      <w:r w:rsidR="008457EB" w:rsidRPr="00A00187">
        <w:rPr>
          <w:noProof/>
          <w:color w:val="auto"/>
        </w:rPr>
        <w:fldChar w:fldCharType="end"/>
      </w:r>
      <w:r w:rsidRPr="00A00187">
        <w:rPr>
          <w:color w:val="auto"/>
        </w:rPr>
        <w:t>: EU – Nápad trestních věcí na 100 000 obyvatel, soudy 1. stupně</w:t>
      </w:r>
      <w:bookmarkEnd w:id="1353"/>
      <w:bookmarkEnd w:id="1354"/>
    </w:p>
    <w:p w14:paraId="51DACB2F" w14:textId="01D52B7E" w:rsidR="004F2497" w:rsidRPr="00A00187" w:rsidRDefault="00900C23" w:rsidP="006858AF">
      <w:pPr>
        <w:spacing w:before="120" w:after="120" w:line="240" w:lineRule="auto"/>
        <w:jc w:val="left"/>
        <w:rPr>
          <w:rStyle w:val="Hypertextovodkaz"/>
          <w:color w:val="auto"/>
          <w:sz w:val="20"/>
        </w:rPr>
      </w:pPr>
      <w:r w:rsidRPr="00A00187">
        <w:rPr>
          <w:noProof/>
        </w:rPr>
        <w:drawing>
          <wp:inline distT="0" distB="0" distL="0" distR="0" wp14:anchorId="7C6DDD4A" wp14:editId="04483738">
            <wp:extent cx="5759450" cy="2560955"/>
            <wp:effectExtent l="0" t="0" r="0" b="0"/>
            <wp:docPr id="161" name="Grafický objekt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extLst>
                        <a:ext uri="{96DAC541-7B7A-43D3-8B79-37D633B846F1}">
                          <asvg:svgBlip xmlns:asvg="http://schemas.microsoft.com/office/drawing/2016/SVG/main" r:embed="rId161"/>
                        </a:ext>
                      </a:extLst>
                    </a:blip>
                    <a:stretch>
                      <a:fillRect/>
                    </a:stretch>
                  </pic:blipFill>
                  <pic:spPr>
                    <a:xfrm>
                      <a:off x="0" y="0"/>
                      <a:ext cx="5759450" cy="2560955"/>
                    </a:xfrm>
                    <a:prstGeom prst="rect">
                      <a:avLst/>
                    </a:prstGeom>
                  </pic:spPr>
                </pic:pic>
              </a:graphicData>
            </a:graphic>
          </wp:inline>
        </w:drawing>
      </w:r>
      <w:r w:rsidR="004F2497" w:rsidRPr="00A00187">
        <w:rPr>
          <w:sz w:val="20"/>
        </w:rPr>
        <w:t xml:space="preserve">Zdroj: EUROSTAT, pořadí dle roku 2019, BE, LU </w:t>
      </w:r>
      <w:r w:rsidR="00755920" w:rsidRPr="00A00187">
        <w:rPr>
          <w:sz w:val="20"/>
        </w:rPr>
        <w:t>a</w:t>
      </w:r>
      <w:r w:rsidR="00755920">
        <w:rPr>
          <w:sz w:val="20"/>
        </w:rPr>
        <w:t> </w:t>
      </w:r>
      <w:r w:rsidR="004F2497" w:rsidRPr="00A00187">
        <w:rPr>
          <w:sz w:val="20"/>
        </w:rPr>
        <w:t>NL umístěny na konci kvůli nedostupným datům</w:t>
      </w:r>
      <w:r w:rsidR="002950C5" w:rsidRPr="00A00187">
        <w:rPr>
          <w:sz w:val="20"/>
        </w:rPr>
        <w:t>, vlastní zpracování</w:t>
      </w:r>
      <w:r w:rsidR="004F2497" w:rsidRPr="00A00187">
        <w:rPr>
          <w:sz w:val="20"/>
        </w:rPr>
        <w:t xml:space="preserve"> </w:t>
      </w:r>
      <w:hyperlink r:id="rId162" w:history="1">
        <w:r w:rsidR="002950C5" w:rsidRPr="005B0E0D">
          <w:rPr>
            <w:rStyle w:val="Hypertextovodkaz"/>
            <w:sz w:val="20"/>
          </w:rPr>
          <w:t>https://ec.europa.eu/eurostat/databrowser/view/CRIM_CRT_CASE__custom_1737282/default/table?lang=en</w:t>
        </w:r>
      </w:hyperlink>
    </w:p>
    <w:p w14:paraId="12DC7549" w14:textId="0102C2A9" w:rsidR="00CF3BC4" w:rsidRPr="005B0E0D" w:rsidRDefault="00CF3BC4" w:rsidP="004F2497">
      <w:pPr>
        <w:jc w:val="left"/>
        <w:rPr>
          <w:rStyle w:val="Hypertextovodkaz"/>
          <w:color w:val="auto"/>
          <w:sz w:val="20"/>
          <w:u w:val="none"/>
        </w:rPr>
      </w:pPr>
    </w:p>
    <w:p w14:paraId="61F26C90" w14:textId="7D1A5B17" w:rsidR="00CF3BC4" w:rsidRPr="005B0E0D" w:rsidRDefault="00CF3BC4" w:rsidP="00CF3BC4">
      <w:pPr>
        <w:pStyle w:val="OdstavecASR"/>
        <w:rPr>
          <w:rStyle w:val="Hypertextovodkaz"/>
          <w:color w:val="auto"/>
          <w:sz w:val="20"/>
          <w:u w:val="none"/>
        </w:rPr>
      </w:pPr>
      <w:r w:rsidRPr="005B0E0D">
        <w:lastRenderedPageBreak/>
        <w:t xml:space="preserve">Vidíme, že ČR se nachází </w:t>
      </w:r>
      <w:r w:rsidR="008D5E6E" w:rsidRPr="005B0E0D">
        <w:t xml:space="preserve">přibližně </w:t>
      </w:r>
      <w:r w:rsidRPr="005B0E0D">
        <w:t>na konci první poloviny</w:t>
      </w:r>
      <w:r w:rsidR="008D5E6E" w:rsidRPr="005B0E0D">
        <w:t xml:space="preserve"> zemí</w:t>
      </w:r>
      <w:r w:rsidRPr="005B0E0D">
        <w:t xml:space="preserve">. V grafu zcela vyčnívají Polsko </w:t>
      </w:r>
      <w:r w:rsidR="00755920" w:rsidRPr="005B0E0D">
        <w:t>a</w:t>
      </w:r>
      <w:r w:rsidR="00755920">
        <w:t> </w:t>
      </w:r>
      <w:r w:rsidRPr="005B0E0D">
        <w:t>Francie</w:t>
      </w:r>
      <w:r w:rsidR="00632D5F" w:rsidRPr="005B0E0D">
        <w:t xml:space="preserve">; nabízí se legitimní otázka, jaký rozsah protiprávních jednání (například přestupky) tyto dva státy </w:t>
      </w:r>
      <w:r w:rsidRPr="005B0E0D">
        <w:t xml:space="preserve">do nápadu trestních věcí </w:t>
      </w:r>
      <w:r w:rsidR="00632D5F" w:rsidRPr="005B0E0D">
        <w:t>zahrnují</w:t>
      </w:r>
      <w:r w:rsidRPr="005B0E0D">
        <w:t>.</w:t>
      </w:r>
    </w:p>
    <w:p w14:paraId="27D8AEF3" w14:textId="7C51E963" w:rsidR="004F2497" w:rsidRPr="00A00187" w:rsidRDefault="004F2497" w:rsidP="005D76CA">
      <w:pPr>
        <w:pStyle w:val="Podnadpis"/>
        <w:rPr>
          <w:color w:val="auto"/>
        </w:rPr>
      </w:pPr>
      <w:bookmarkStart w:id="1355" w:name="_Toc106106758"/>
      <w:bookmarkStart w:id="1356" w:name="_Toc109802082"/>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124</w:t>
      </w:r>
      <w:r w:rsidR="008457EB" w:rsidRPr="00A00187">
        <w:rPr>
          <w:noProof/>
          <w:color w:val="auto"/>
        </w:rPr>
        <w:fldChar w:fldCharType="end"/>
      </w:r>
      <w:r w:rsidRPr="00A00187">
        <w:rPr>
          <w:color w:val="auto"/>
        </w:rPr>
        <w:t>: EU – Nevyřízeno trestních věcí na 100 000 obyvatel, soudy 1. stupně</w:t>
      </w:r>
      <w:bookmarkEnd w:id="1355"/>
      <w:bookmarkEnd w:id="1356"/>
    </w:p>
    <w:p w14:paraId="19F71E3B" w14:textId="6F8F5BE6" w:rsidR="00900C23" w:rsidRPr="00A00187" w:rsidRDefault="00900C23" w:rsidP="00900C23">
      <w:pPr>
        <w:rPr>
          <w:sz w:val="20"/>
        </w:rPr>
      </w:pPr>
      <w:r w:rsidRPr="00A00187">
        <w:rPr>
          <w:noProof/>
        </w:rPr>
        <w:drawing>
          <wp:inline distT="0" distB="0" distL="0" distR="0" wp14:anchorId="16358643" wp14:editId="7E531E61">
            <wp:extent cx="5759450" cy="2560955"/>
            <wp:effectExtent l="0" t="0" r="0" b="0"/>
            <wp:docPr id="162" name="Grafický objekt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extLst>
                        <a:ext uri="{96DAC541-7B7A-43D3-8B79-37D633B846F1}">
                          <asvg:svgBlip xmlns:asvg="http://schemas.microsoft.com/office/drawing/2016/SVG/main" r:embed="rId164"/>
                        </a:ext>
                      </a:extLst>
                    </a:blip>
                    <a:stretch>
                      <a:fillRect/>
                    </a:stretch>
                  </pic:blipFill>
                  <pic:spPr>
                    <a:xfrm>
                      <a:off x="0" y="0"/>
                      <a:ext cx="5759450" cy="2560955"/>
                    </a:xfrm>
                    <a:prstGeom prst="rect">
                      <a:avLst/>
                    </a:prstGeom>
                  </pic:spPr>
                </pic:pic>
              </a:graphicData>
            </a:graphic>
          </wp:inline>
        </w:drawing>
      </w:r>
      <w:r w:rsidR="004F2497" w:rsidRPr="00A00187">
        <w:rPr>
          <w:sz w:val="20"/>
        </w:rPr>
        <w:t>Zdroj: EUROSTAT, pořadí dle roku 2019 (nejtmavší odstín)</w:t>
      </w:r>
      <w:r w:rsidR="002950C5" w:rsidRPr="00A00187">
        <w:rPr>
          <w:sz w:val="20"/>
        </w:rPr>
        <w:t>, vlastní zpracování</w:t>
      </w:r>
    </w:p>
    <w:p w14:paraId="5A504000" w14:textId="0FC1E1BA" w:rsidR="004F2497" w:rsidRPr="00A00187" w:rsidRDefault="00F66798" w:rsidP="004F2497">
      <w:pPr>
        <w:jc w:val="left"/>
        <w:rPr>
          <w:sz w:val="20"/>
          <w:u w:val="single"/>
        </w:rPr>
      </w:pPr>
      <w:hyperlink r:id="rId165" w:history="1">
        <w:r w:rsidR="000777CE" w:rsidRPr="001F715A">
          <w:rPr>
            <w:rStyle w:val="Hypertextovodkaz"/>
            <w:sz w:val="20"/>
          </w:rPr>
          <w:t>https://ec.europa.eu/eurostat/databrowser/view/CRIM_CRT_CASE__custom_1737282/default/table?lang=en</w:t>
        </w:r>
      </w:hyperlink>
    </w:p>
    <w:p w14:paraId="53B41A5D" w14:textId="77777777" w:rsidR="004F2497" w:rsidRPr="005B0E0D" w:rsidRDefault="004F2497" w:rsidP="004F2497">
      <w:pPr>
        <w:rPr>
          <w:rFonts w:eastAsia="Times New Roman"/>
          <w:bCs/>
          <w:iCs/>
          <w:spacing w:val="15"/>
          <w:szCs w:val="24"/>
        </w:rPr>
      </w:pPr>
    </w:p>
    <w:p w14:paraId="3F643DDF" w14:textId="25ACD868" w:rsidR="004F2497" w:rsidRPr="00A00187" w:rsidRDefault="004F2497" w:rsidP="004F2497">
      <w:r w:rsidRPr="00A00187">
        <w:t>Za povšimnutí stojí Itálie, kde počet nevyřízených věcí v roce 2019 (2 157 věcí / 100 tis. obyv.)</w:t>
      </w:r>
      <w:r w:rsidR="00B21624" w:rsidRPr="00A00187">
        <w:t xml:space="preserve"> </w:t>
      </w:r>
      <w:r w:rsidRPr="00A00187">
        <w:t xml:space="preserve">je </w:t>
      </w:r>
      <w:r w:rsidR="00C80217" w:rsidRPr="00A00187">
        <w:t>téměř stejně vysoký jako</w:t>
      </w:r>
      <w:r w:rsidRPr="00A00187">
        <w:t xml:space="preserve"> počet napadlých (2 </w:t>
      </w:r>
      <w:r w:rsidR="000777CE">
        <w:t>159</w:t>
      </w:r>
      <w:r w:rsidRPr="00A00187">
        <w:t xml:space="preserve"> věcí / 100 tis. obyv.).</w:t>
      </w:r>
      <w:r w:rsidR="00CF3BC4" w:rsidRPr="00A00187">
        <w:t xml:space="preserve"> To by ukazovalo na opravdu značné problémy s vyřizováním trestní agendy. </w:t>
      </w:r>
      <w:r w:rsidR="00813A1D" w:rsidRPr="00A00187">
        <w:t>ČR si v tomto ukazateli vede velmi dobře.</w:t>
      </w:r>
    </w:p>
    <w:p w14:paraId="3765B53A" w14:textId="710C8377" w:rsidR="004F2497" w:rsidRPr="00A00187" w:rsidRDefault="004F2497" w:rsidP="005D76CA">
      <w:pPr>
        <w:pStyle w:val="Podnadpis"/>
        <w:rPr>
          <w:color w:val="auto"/>
        </w:rPr>
      </w:pPr>
      <w:bookmarkStart w:id="1357" w:name="_Toc106106759"/>
      <w:bookmarkStart w:id="1358" w:name="_Toc109802083"/>
      <w:r w:rsidRPr="00A00187">
        <w:rPr>
          <w:color w:val="auto"/>
        </w:rPr>
        <w:t xml:space="preserve">Graf </w:t>
      </w:r>
      <w:r w:rsidR="008457EB" w:rsidRPr="00A00187">
        <w:rPr>
          <w:color w:val="auto"/>
        </w:rPr>
        <w:fldChar w:fldCharType="begin"/>
      </w:r>
      <w:r w:rsidR="008457EB" w:rsidRPr="00A00187">
        <w:rPr>
          <w:color w:val="auto"/>
        </w:rPr>
        <w:instrText xml:space="preserve"> SEQ Graf \* ARABIC </w:instrText>
      </w:r>
      <w:r w:rsidR="008457EB" w:rsidRPr="00A00187">
        <w:rPr>
          <w:color w:val="auto"/>
        </w:rPr>
        <w:fldChar w:fldCharType="separate"/>
      </w:r>
      <w:r w:rsidR="00DE6B5E">
        <w:rPr>
          <w:noProof/>
          <w:color w:val="auto"/>
        </w:rPr>
        <w:t>125</w:t>
      </w:r>
      <w:r w:rsidR="008457EB" w:rsidRPr="00A00187">
        <w:rPr>
          <w:noProof/>
          <w:color w:val="auto"/>
        </w:rPr>
        <w:fldChar w:fldCharType="end"/>
      </w:r>
      <w:r w:rsidRPr="00A00187">
        <w:rPr>
          <w:color w:val="auto"/>
        </w:rPr>
        <w:t xml:space="preserve">: EU – Odsouzeno osob na 100 000 obyvatel, </w:t>
      </w:r>
      <w:proofErr w:type="gramStart"/>
      <w:r w:rsidRPr="00A00187">
        <w:rPr>
          <w:color w:val="auto"/>
        </w:rPr>
        <w:t>2008 – 2018</w:t>
      </w:r>
      <w:bookmarkEnd w:id="1357"/>
      <w:bookmarkEnd w:id="1358"/>
      <w:proofErr w:type="gramEnd"/>
    </w:p>
    <w:p w14:paraId="53E631FC" w14:textId="3779F4B1" w:rsidR="004F2497" w:rsidRPr="00A00187" w:rsidRDefault="003D4FBA" w:rsidP="004F2497">
      <w:pPr>
        <w:rPr>
          <w:rFonts w:eastAsia="Times New Roman"/>
          <w:b/>
          <w:iCs/>
          <w:spacing w:val="15"/>
          <w:szCs w:val="24"/>
        </w:rPr>
      </w:pPr>
      <w:r w:rsidRPr="00A00187">
        <w:rPr>
          <w:noProof/>
        </w:rPr>
        <w:drawing>
          <wp:inline distT="0" distB="0" distL="0" distR="0" wp14:anchorId="5087201C" wp14:editId="45E332F5">
            <wp:extent cx="5759450" cy="2560955"/>
            <wp:effectExtent l="0" t="0" r="0" b="0"/>
            <wp:docPr id="163" name="Grafický objekt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extLst>
                        <a:ext uri="{96DAC541-7B7A-43D3-8B79-37D633B846F1}">
                          <asvg:svgBlip xmlns:asvg="http://schemas.microsoft.com/office/drawing/2016/SVG/main" r:embed="rId167"/>
                        </a:ext>
                      </a:extLst>
                    </a:blip>
                    <a:stretch>
                      <a:fillRect/>
                    </a:stretch>
                  </pic:blipFill>
                  <pic:spPr>
                    <a:xfrm>
                      <a:off x="0" y="0"/>
                      <a:ext cx="5759450" cy="2560955"/>
                    </a:xfrm>
                    <a:prstGeom prst="rect">
                      <a:avLst/>
                    </a:prstGeom>
                  </pic:spPr>
                </pic:pic>
              </a:graphicData>
            </a:graphic>
          </wp:inline>
        </w:drawing>
      </w:r>
    </w:p>
    <w:p w14:paraId="605D0DA5" w14:textId="577A1A4D" w:rsidR="004F2497" w:rsidRPr="00A00187" w:rsidRDefault="004F2497" w:rsidP="004F2497">
      <w:pPr>
        <w:rPr>
          <w:sz w:val="20"/>
          <w:szCs w:val="20"/>
        </w:rPr>
      </w:pPr>
      <w:r w:rsidRPr="00A00187">
        <w:rPr>
          <w:sz w:val="20"/>
        </w:rPr>
        <w:t>Zdroj: UNODC, údaje jsou shromažďovány od vnitrostátních orgánů prostřednictvím každoročního průzkumu trendů kriminality Organizace spojených národů (UN-CTS), data seřazena dle roku 2018</w:t>
      </w:r>
      <w:r w:rsidR="006858AF" w:rsidRPr="00A00187">
        <w:rPr>
          <w:sz w:val="20"/>
        </w:rPr>
        <w:t xml:space="preserve">, </w:t>
      </w:r>
      <w:r w:rsidR="002950C5" w:rsidRPr="00A00187">
        <w:rPr>
          <w:sz w:val="20"/>
        </w:rPr>
        <w:t>vlastní zpracování</w:t>
      </w:r>
      <w:r w:rsidR="00C00B1D" w:rsidRPr="00A00187">
        <w:rPr>
          <w:sz w:val="20"/>
        </w:rPr>
        <w:t xml:space="preserve">. </w:t>
      </w:r>
      <w:hyperlink r:id="rId168" w:history="1">
        <w:r w:rsidR="000777CE" w:rsidRPr="001F715A">
          <w:rPr>
            <w:rStyle w:val="Hypertextovodkaz"/>
            <w:sz w:val="20"/>
            <w:szCs w:val="20"/>
          </w:rPr>
          <w:t>https://dataunodc.un.org/data/crime/Persons%20convicted</w:t>
        </w:r>
      </w:hyperlink>
    </w:p>
    <w:p w14:paraId="6CE158FE" w14:textId="4C722A4D" w:rsidR="004F2497" w:rsidRPr="00A00187" w:rsidRDefault="004F2497" w:rsidP="004F2497"/>
    <w:p w14:paraId="33840C8F" w14:textId="290375E9" w:rsidR="00A004DB" w:rsidRPr="00A00187" w:rsidRDefault="00A004DB" w:rsidP="004F2497">
      <w:r w:rsidRPr="00A00187">
        <w:t xml:space="preserve">Poslední graf </w:t>
      </w:r>
      <w:r w:rsidR="0019514C" w:rsidRPr="00A00187">
        <w:t>znázorňuje</w:t>
      </w:r>
      <w:r w:rsidRPr="00A00187">
        <w:t xml:space="preserve"> počet odsouzených osob na 100 tis. obyvatel </w:t>
      </w:r>
      <w:r w:rsidR="00755920" w:rsidRPr="00A00187">
        <w:t>a</w:t>
      </w:r>
      <w:r w:rsidR="00755920">
        <w:t> </w:t>
      </w:r>
      <w:r w:rsidRPr="00A00187">
        <w:t xml:space="preserve">ČR </w:t>
      </w:r>
      <w:r w:rsidR="008D5E6E" w:rsidRPr="00A00187">
        <w:t xml:space="preserve">v něm </w:t>
      </w:r>
      <w:r w:rsidRPr="00A00187">
        <w:t>obsadil</w:t>
      </w:r>
      <w:r w:rsidR="006858AF" w:rsidRPr="00A00187">
        <w:t>a</w:t>
      </w:r>
      <w:r w:rsidRPr="00A00187">
        <w:t xml:space="preserve"> 11.</w:t>
      </w:r>
      <w:r w:rsidR="00D5568C" w:rsidRPr="00A00187">
        <w:t> </w:t>
      </w:r>
      <w:r w:rsidRPr="00A00187">
        <w:t xml:space="preserve">příčku jako v počtu napadlých trestních věcí, což se zdá být logické. Naopak data </w:t>
      </w:r>
      <w:r w:rsidR="00755920" w:rsidRPr="00A00187">
        <w:t>u</w:t>
      </w:r>
      <w:r w:rsidR="00755920">
        <w:t> </w:t>
      </w:r>
      <w:r w:rsidRPr="00A00187">
        <w:t xml:space="preserve">některých států vyžadují při hodnocení velkou obezřetnost </w:t>
      </w:r>
      <w:r w:rsidR="00755920" w:rsidRPr="00A00187">
        <w:t>a</w:t>
      </w:r>
      <w:r w:rsidR="00755920">
        <w:t> </w:t>
      </w:r>
      <w:r w:rsidRPr="00A00187">
        <w:t xml:space="preserve">opatrnost, jak již bylo předesláno dříve. Například finský statistický </w:t>
      </w:r>
      <w:r w:rsidR="007314AB" w:rsidRPr="00A00187">
        <w:t xml:space="preserve">úřad na svých stránkách </w:t>
      </w:r>
      <w:hyperlink r:id="rId169" w:history="1">
        <w:r w:rsidR="000777CE" w:rsidRPr="001F715A">
          <w:rPr>
            <w:rStyle w:val="Hypertextovodkaz"/>
          </w:rPr>
          <w:t>https://www.stat.fi/til/syyttr/index_en.html</w:t>
        </w:r>
      </w:hyperlink>
      <w:r w:rsidR="000777CE">
        <w:t xml:space="preserve"> </w:t>
      </w:r>
      <w:r w:rsidR="007314AB" w:rsidRPr="00A00187">
        <w:lastRenderedPageBreak/>
        <w:t>uvádí (volný překlad z anglické verze stránek): „</w:t>
      </w:r>
      <w:r w:rsidR="007314AB" w:rsidRPr="00A00187">
        <w:rPr>
          <w:i/>
          <w:iCs/>
        </w:rPr>
        <w:t xml:space="preserve">Kromě stíhání </w:t>
      </w:r>
      <w:r w:rsidR="00755920" w:rsidRPr="00A00187">
        <w:rPr>
          <w:i/>
          <w:iCs/>
        </w:rPr>
        <w:t>u</w:t>
      </w:r>
      <w:r w:rsidR="00755920">
        <w:rPr>
          <w:i/>
          <w:iCs/>
        </w:rPr>
        <w:t> </w:t>
      </w:r>
      <w:r w:rsidR="007314AB" w:rsidRPr="00A00187">
        <w:rPr>
          <w:i/>
          <w:iCs/>
        </w:rPr>
        <w:t xml:space="preserve">okresních soudů </w:t>
      </w:r>
      <w:r w:rsidR="00755920" w:rsidRPr="00A00187">
        <w:rPr>
          <w:i/>
          <w:iCs/>
        </w:rPr>
        <w:t>a</w:t>
      </w:r>
      <w:r w:rsidR="00755920">
        <w:rPr>
          <w:i/>
          <w:iCs/>
        </w:rPr>
        <w:t> </w:t>
      </w:r>
      <w:r w:rsidR="00755920" w:rsidRPr="00A00187">
        <w:rPr>
          <w:i/>
          <w:iCs/>
        </w:rPr>
        <w:t>u</w:t>
      </w:r>
      <w:r w:rsidR="00755920">
        <w:rPr>
          <w:i/>
          <w:iCs/>
        </w:rPr>
        <w:t> </w:t>
      </w:r>
      <w:r w:rsidR="007314AB" w:rsidRPr="00A00187">
        <w:rPr>
          <w:i/>
          <w:iCs/>
        </w:rPr>
        <w:t xml:space="preserve">odvolacích soudů působících jako soudy prvního stupně, obsahuje statistika také údaje </w:t>
      </w:r>
      <w:r w:rsidR="00755920" w:rsidRPr="00A00187">
        <w:rPr>
          <w:i/>
          <w:iCs/>
        </w:rPr>
        <w:t>o</w:t>
      </w:r>
      <w:r w:rsidR="00755920">
        <w:rPr>
          <w:i/>
          <w:iCs/>
        </w:rPr>
        <w:t> </w:t>
      </w:r>
      <w:r w:rsidR="007314AB" w:rsidRPr="00A00187">
        <w:rPr>
          <w:i/>
          <w:iCs/>
        </w:rPr>
        <w:t>souhrnných trestních pokutách uložených státním zástupcem</w:t>
      </w:r>
      <w:r w:rsidR="001251F4" w:rsidRPr="00A00187">
        <w:rPr>
          <w:i/>
          <w:iCs/>
        </w:rPr>
        <w:t>,</w:t>
      </w:r>
      <w:r w:rsidR="007314AB" w:rsidRPr="00A00187">
        <w:rPr>
          <w:i/>
          <w:iCs/>
        </w:rPr>
        <w:t xml:space="preserve"> a o drobných pokutách uložených policií, celníky nebo orgány pohraniční stráže. Osoba je do statistik zapsána zpravidla tolikrát, kolikrát </w:t>
      </w:r>
      <w:r w:rsidR="00755920" w:rsidRPr="00A00187">
        <w:rPr>
          <w:i/>
          <w:iCs/>
        </w:rPr>
        <w:t>o</w:t>
      </w:r>
      <w:r w:rsidR="00755920">
        <w:rPr>
          <w:i/>
          <w:iCs/>
        </w:rPr>
        <w:t> </w:t>
      </w:r>
      <w:r w:rsidR="007314AB" w:rsidRPr="00A00187">
        <w:rPr>
          <w:i/>
          <w:iCs/>
        </w:rPr>
        <w:t xml:space="preserve">ní bylo učiněno některé </w:t>
      </w:r>
      <w:r w:rsidR="00755920" w:rsidRPr="00A00187">
        <w:rPr>
          <w:i/>
          <w:iCs/>
        </w:rPr>
        <w:t>z</w:t>
      </w:r>
      <w:r w:rsidR="00755920">
        <w:rPr>
          <w:i/>
          <w:iCs/>
        </w:rPr>
        <w:t> </w:t>
      </w:r>
      <w:r w:rsidR="007314AB" w:rsidRPr="00A00187">
        <w:rPr>
          <w:i/>
          <w:iCs/>
        </w:rPr>
        <w:t>výše uvedených rozhodnutí</w:t>
      </w:r>
      <w:r w:rsidR="007314AB" w:rsidRPr="00A00187">
        <w:t>.“</w:t>
      </w:r>
      <w:r w:rsidR="00B21624" w:rsidRPr="00A00187">
        <w:t xml:space="preserve"> </w:t>
      </w:r>
      <w:r w:rsidR="007314AB" w:rsidRPr="00A00187">
        <w:t xml:space="preserve">Sice se nepodařilo na stránkách UNODC dohledat přesný popis tam uvedených dat pro každou zemi, ale domníváme se, že </w:t>
      </w:r>
      <w:r w:rsidR="001251F4" w:rsidRPr="00A00187">
        <w:t>postavení Finska v rámci dalších zemí</w:t>
      </w:r>
      <w:r w:rsidR="007314AB" w:rsidRPr="00A00187">
        <w:t xml:space="preserve"> </w:t>
      </w:r>
      <w:r w:rsidR="00F500B0" w:rsidRPr="00A00187">
        <w:t xml:space="preserve">v uvedeném grafu </w:t>
      </w:r>
      <w:r w:rsidR="007314AB" w:rsidRPr="00A00187">
        <w:t xml:space="preserve">je dobrým příkladem </w:t>
      </w:r>
      <w:r w:rsidR="00896ADA" w:rsidRPr="00A00187">
        <w:t xml:space="preserve">možných </w:t>
      </w:r>
      <w:r w:rsidR="001251F4" w:rsidRPr="00A00187">
        <w:t>úskalí</w:t>
      </w:r>
      <w:r w:rsidR="007314AB" w:rsidRPr="00A00187">
        <w:t xml:space="preserve"> mezinárodního srovnání dat kriminality</w:t>
      </w:r>
      <w:r w:rsidR="001251F4" w:rsidRPr="00A00187">
        <w:t xml:space="preserve"> bez podrobných znalostí </w:t>
      </w:r>
      <w:r w:rsidR="007D2152" w:rsidRPr="00A00187">
        <w:t xml:space="preserve">způsobu </w:t>
      </w:r>
      <w:r w:rsidR="001251F4" w:rsidRPr="00A00187">
        <w:t xml:space="preserve">vykazování všech států, bez </w:t>
      </w:r>
      <w:r w:rsidR="00151EFF" w:rsidRPr="00A00187">
        <w:t>kterých</w:t>
      </w:r>
      <w:r w:rsidR="001251F4" w:rsidRPr="00A00187">
        <w:t xml:space="preserve"> není možno činit definitivní závěry</w:t>
      </w:r>
      <w:r w:rsidR="007314AB" w:rsidRPr="00A00187">
        <w:t xml:space="preserve">. </w:t>
      </w:r>
      <w:r w:rsidR="00755920" w:rsidRPr="00A00187">
        <w:t>I</w:t>
      </w:r>
      <w:r w:rsidR="00755920">
        <w:t> </w:t>
      </w:r>
      <w:r w:rsidR="006858AF" w:rsidRPr="00A00187">
        <w:t>přes výše uvedené graf určitou informační hodnotu má</w:t>
      </w:r>
      <w:r w:rsidR="00090CF1" w:rsidRPr="00A00187">
        <w:t>,</w:t>
      </w:r>
      <w:r w:rsidR="006858AF" w:rsidRPr="00A00187">
        <w:t xml:space="preserve"> </w:t>
      </w:r>
      <w:r w:rsidR="00755920" w:rsidRPr="00A00187">
        <w:t>a</w:t>
      </w:r>
      <w:r w:rsidR="00755920">
        <w:t> </w:t>
      </w:r>
      <w:bookmarkStart w:id="1359" w:name="_Hlk92877720"/>
      <w:bookmarkStart w:id="1360" w:name="_Toc487791314"/>
      <w:r w:rsidR="006858AF" w:rsidRPr="00A00187">
        <w:t>proto jej přebíráme.</w:t>
      </w:r>
    </w:p>
    <w:p w14:paraId="4DF8E16E" w14:textId="77777777" w:rsidR="005608B5" w:rsidRPr="00A00187" w:rsidRDefault="005608B5" w:rsidP="005608B5">
      <w:pPr>
        <w:spacing w:after="160" w:line="259" w:lineRule="auto"/>
        <w:jc w:val="left"/>
      </w:pPr>
      <w:r w:rsidRPr="00A00187">
        <w:br w:type="page"/>
      </w:r>
    </w:p>
    <w:p w14:paraId="45BF9F08" w14:textId="2AB0644A" w:rsidR="008430BD" w:rsidRPr="00A00187" w:rsidRDefault="008430BD" w:rsidP="008430BD">
      <w:pPr>
        <w:pStyle w:val="Nadpis1"/>
      </w:pPr>
      <w:bookmarkStart w:id="1361" w:name="_Toc106092832"/>
      <w:bookmarkStart w:id="1362" w:name="_Toc109801443"/>
      <w:bookmarkEnd w:id="1359"/>
      <w:r w:rsidRPr="00A00187">
        <w:lastRenderedPageBreak/>
        <w:t>Seznam grafů</w:t>
      </w:r>
      <w:bookmarkEnd w:id="1360"/>
      <w:bookmarkEnd w:id="1361"/>
      <w:bookmarkEnd w:id="1362"/>
    </w:p>
    <w:p w14:paraId="58FB6622" w14:textId="00F304E2" w:rsidR="007F73C9" w:rsidRDefault="008430BD">
      <w:pPr>
        <w:pStyle w:val="Seznamobrzk"/>
        <w:tabs>
          <w:tab w:val="right" w:leader="dot" w:pos="9060"/>
        </w:tabs>
        <w:rPr>
          <w:rFonts w:asciiTheme="minorHAnsi" w:eastAsiaTheme="minorEastAsia" w:hAnsiTheme="minorHAnsi" w:cstheme="minorBidi"/>
          <w:noProof/>
          <w:sz w:val="22"/>
          <w:lang w:eastAsia="cs-CZ"/>
        </w:rPr>
      </w:pPr>
      <w:r w:rsidRPr="00A00187">
        <w:fldChar w:fldCharType="begin"/>
      </w:r>
      <w:r w:rsidRPr="00A00187">
        <w:instrText xml:space="preserve"> TOC \h \z \c "Graf" </w:instrText>
      </w:r>
      <w:r w:rsidRPr="00A00187">
        <w:fldChar w:fldCharType="separate"/>
      </w:r>
      <w:hyperlink w:anchor="_Toc109801959" w:history="1">
        <w:r w:rsidR="007F73C9" w:rsidRPr="005C6330">
          <w:rPr>
            <w:rStyle w:val="Hypertextovodkaz"/>
            <w:noProof/>
          </w:rPr>
          <w:t>Graf 1: OS – počet soudců v letech 2008–2021</w:t>
        </w:r>
        <w:r w:rsidR="007F73C9">
          <w:rPr>
            <w:noProof/>
            <w:webHidden/>
          </w:rPr>
          <w:tab/>
        </w:r>
        <w:r w:rsidR="007F73C9">
          <w:rPr>
            <w:noProof/>
            <w:webHidden/>
          </w:rPr>
          <w:fldChar w:fldCharType="begin"/>
        </w:r>
        <w:r w:rsidR="007F73C9">
          <w:rPr>
            <w:noProof/>
            <w:webHidden/>
          </w:rPr>
          <w:instrText xml:space="preserve"> PAGEREF _Toc109801959 \h </w:instrText>
        </w:r>
        <w:r w:rsidR="007F73C9">
          <w:rPr>
            <w:noProof/>
            <w:webHidden/>
          </w:rPr>
        </w:r>
        <w:r w:rsidR="007F73C9">
          <w:rPr>
            <w:noProof/>
            <w:webHidden/>
          </w:rPr>
          <w:fldChar w:fldCharType="separate"/>
        </w:r>
        <w:r w:rsidR="007F73C9">
          <w:rPr>
            <w:noProof/>
            <w:webHidden/>
          </w:rPr>
          <w:t>11</w:t>
        </w:r>
        <w:r w:rsidR="007F73C9">
          <w:rPr>
            <w:noProof/>
            <w:webHidden/>
          </w:rPr>
          <w:fldChar w:fldCharType="end"/>
        </w:r>
      </w:hyperlink>
    </w:p>
    <w:p w14:paraId="3F8A0FC7" w14:textId="1659EAB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0" w:history="1">
        <w:r w:rsidRPr="005C6330">
          <w:rPr>
            <w:rStyle w:val="Hypertextovodkaz"/>
            <w:noProof/>
          </w:rPr>
          <w:t>Graf 2: OS – evidenční počet soudců dle soudních úseků v letech 2008–2021</w:t>
        </w:r>
        <w:r>
          <w:rPr>
            <w:noProof/>
            <w:webHidden/>
          </w:rPr>
          <w:tab/>
        </w:r>
        <w:r>
          <w:rPr>
            <w:noProof/>
            <w:webHidden/>
          </w:rPr>
          <w:fldChar w:fldCharType="begin"/>
        </w:r>
        <w:r>
          <w:rPr>
            <w:noProof/>
            <w:webHidden/>
          </w:rPr>
          <w:instrText xml:space="preserve"> PAGEREF _Toc109801960 \h </w:instrText>
        </w:r>
        <w:r>
          <w:rPr>
            <w:noProof/>
            <w:webHidden/>
          </w:rPr>
        </w:r>
        <w:r>
          <w:rPr>
            <w:noProof/>
            <w:webHidden/>
          </w:rPr>
          <w:fldChar w:fldCharType="separate"/>
        </w:r>
        <w:r>
          <w:rPr>
            <w:noProof/>
            <w:webHidden/>
          </w:rPr>
          <w:t>13</w:t>
        </w:r>
        <w:r>
          <w:rPr>
            <w:noProof/>
            <w:webHidden/>
          </w:rPr>
          <w:fldChar w:fldCharType="end"/>
        </w:r>
      </w:hyperlink>
    </w:p>
    <w:p w14:paraId="2E8C0E93" w14:textId="08F7E08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1" w:history="1">
        <w:r w:rsidRPr="005C6330">
          <w:rPr>
            <w:rStyle w:val="Hypertextovodkaz"/>
            <w:noProof/>
          </w:rPr>
          <w:t>Graf 3: OS – evidenční počet soudců u jednotlivých soudů</w:t>
        </w:r>
        <w:r>
          <w:rPr>
            <w:noProof/>
            <w:webHidden/>
          </w:rPr>
          <w:tab/>
        </w:r>
        <w:r>
          <w:rPr>
            <w:noProof/>
            <w:webHidden/>
          </w:rPr>
          <w:fldChar w:fldCharType="begin"/>
        </w:r>
        <w:r>
          <w:rPr>
            <w:noProof/>
            <w:webHidden/>
          </w:rPr>
          <w:instrText xml:space="preserve"> PAGEREF _Toc109801961 \h </w:instrText>
        </w:r>
        <w:r>
          <w:rPr>
            <w:noProof/>
            <w:webHidden/>
          </w:rPr>
        </w:r>
        <w:r>
          <w:rPr>
            <w:noProof/>
            <w:webHidden/>
          </w:rPr>
          <w:fldChar w:fldCharType="separate"/>
        </w:r>
        <w:r>
          <w:rPr>
            <w:noProof/>
            <w:webHidden/>
          </w:rPr>
          <w:t>14</w:t>
        </w:r>
        <w:r>
          <w:rPr>
            <w:noProof/>
            <w:webHidden/>
          </w:rPr>
          <w:fldChar w:fldCharType="end"/>
        </w:r>
      </w:hyperlink>
    </w:p>
    <w:p w14:paraId="4E17E99B" w14:textId="7A079D3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2" w:history="1">
        <w:r w:rsidRPr="005C6330">
          <w:rPr>
            <w:rStyle w:val="Hypertextovodkaz"/>
            <w:noProof/>
          </w:rPr>
          <w:t>Graf 4: OS – evidenční počet soudců dle pohlaví v letech 2008–2021</w:t>
        </w:r>
        <w:r>
          <w:rPr>
            <w:noProof/>
            <w:webHidden/>
          </w:rPr>
          <w:tab/>
        </w:r>
        <w:r>
          <w:rPr>
            <w:noProof/>
            <w:webHidden/>
          </w:rPr>
          <w:fldChar w:fldCharType="begin"/>
        </w:r>
        <w:r>
          <w:rPr>
            <w:noProof/>
            <w:webHidden/>
          </w:rPr>
          <w:instrText xml:space="preserve"> PAGEREF _Toc109801962 \h </w:instrText>
        </w:r>
        <w:r>
          <w:rPr>
            <w:noProof/>
            <w:webHidden/>
          </w:rPr>
        </w:r>
        <w:r>
          <w:rPr>
            <w:noProof/>
            <w:webHidden/>
          </w:rPr>
          <w:fldChar w:fldCharType="separate"/>
        </w:r>
        <w:r>
          <w:rPr>
            <w:noProof/>
            <w:webHidden/>
          </w:rPr>
          <w:t>14</w:t>
        </w:r>
        <w:r>
          <w:rPr>
            <w:noProof/>
            <w:webHidden/>
          </w:rPr>
          <w:fldChar w:fldCharType="end"/>
        </w:r>
      </w:hyperlink>
    </w:p>
    <w:p w14:paraId="0669AEBD" w14:textId="477B0AD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3" w:history="1">
        <w:r w:rsidRPr="005C6330">
          <w:rPr>
            <w:rStyle w:val="Hypertextovodkaz"/>
            <w:noProof/>
          </w:rPr>
          <w:t>Graf 5: OS – věková struktura soudců v letech 2008–2021</w:t>
        </w:r>
        <w:r>
          <w:rPr>
            <w:noProof/>
            <w:webHidden/>
          </w:rPr>
          <w:tab/>
        </w:r>
        <w:r>
          <w:rPr>
            <w:noProof/>
            <w:webHidden/>
          </w:rPr>
          <w:fldChar w:fldCharType="begin"/>
        </w:r>
        <w:r>
          <w:rPr>
            <w:noProof/>
            <w:webHidden/>
          </w:rPr>
          <w:instrText xml:space="preserve"> PAGEREF _Toc109801963 \h </w:instrText>
        </w:r>
        <w:r>
          <w:rPr>
            <w:noProof/>
            <w:webHidden/>
          </w:rPr>
        </w:r>
        <w:r>
          <w:rPr>
            <w:noProof/>
            <w:webHidden/>
          </w:rPr>
          <w:fldChar w:fldCharType="separate"/>
        </w:r>
        <w:r>
          <w:rPr>
            <w:noProof/>
            <w:webHidden/>
          </w:rPr>
          <w:t>16</w:t>
        </w:r>
        <w:r>
          <w:rPr>
            <w:noProof/>
            <w:webHidden/>
          </w:rPr>
          <w:fldChar w:fldCharType="end"/>
        </w:r>
      </w:hyperlink>
    </w:p>
    <w:p w14:paraId="1F612A75" w14:textId="0388E0F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4" w:history="1">
        <w:r w:rsidRPr="005C6330">
          <w:rPr>
            <w:rStyle w:val="Hypertextovodkaz"/>
            <w:noProof/>
          </w:rPr>
          <w:t>Graf 6: OS – délka civilního řízení v letech 2008–2021</w:t>
        </w:r>
        <w:r>
          <w:rPr>
            <w:noProof/>
            <w:webHidden/>
          </w:rPr>
          <w:tab/>
        </w:r>
        <w:r>
          <w:rPr>
            <w:noProof/>
            <w:webHidden/>
          </w:rPr>
          <w:fldChar w:fldCharType="begin"/>
        </w:r>
        <w:r>
          <w:rPr>
            <w:noProof/>
            <w:webHidden/>
          </w:rPr>
          <w:instrText xml:space="preserve"> PAGEREF _Toc109801964 \h </w:instrText>
        </w:r>
        <w:r>
          <w:rPr>
            <w:noProof/>
            <w:webHidden/>
          </w:rPr>
        </w:r>
        <w:r>
          <w:rPr>
            <w:noProof/>
            <w:webHidden/>
          </w:rPr>
          <w:fldChar w:fldCharType="separate"/>
        </w:r>
        <w:r>
          <w:rPr>
            <w:noProof/>
            <w:webHidden/>
          </w:rPr>
          <w:t>23</w:t>
        </w:r>
        <w:r>
          <w:rPr>
            <w:noProof/>
            <w:webHidden/>
          </w:rPr>
          <w:fldChar w:fldCharType="end"/>
        </w:r>
      </w:hyperlink>
    </w:p>
    <w:p w14:paraId="6DA67AE8" w14:textId="033A22B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5" w:history="1">
        <w:r w:rsidRPr="005C6330">
          <w:rPr>
            <w:rStyle w:val="Hypertextovodkaz"/>
            <w:noProof/>
          </w:rPr>
          <w:t>Graf 7: OS – mediánové délky civilního řízení u jednotlivých soudů</w:t>
        </w:r>
        <w:r>
          <w:rPr>
            <w:noProof/>
            <w:webHidden/>
          </w:rPr>
          <w:tab/>
        </w:r>
        <w:r>
          <w:rPr>
            <w:noProof/>
            <w:webHidden/>
          </w:rPr>
          <w:fldChar w:fldCharType="begin"/>
        </w:r>
        <w:r>
          <w:rPr>
            <w:noProof/>
            <w:webHidden/>
          </w:rPr>
          <w:instrText xml:space="preserve"> PAGEREF _Toc109801965 \h </w:instrText>
        </w:r>
        <w:r>
          <w:rPr>
            <w:noProof/>
            <w:webHidden/>
          </w:rPr>
        </w:r>
        <w:r>
          <w:rPr>
            <w:noProof/>
            <w:webHidden/>
          </w:rPr>
          <w:fldChar w:fldCharType="separate"/>
        </w:r>
        <w:r>
          <w:rPr>
            <w:noProof/>
            <w:webHidden/>
          </w:rPr>
          <w:t>24</w:t>
        </w:r>
        <w:r>
          <w:rPr>
            <w:noProof/>
            <w:webHidden/>
          </w:rPr>
          <w:fldChar w:fldCharType="end"/>
        </w:r>
      </w:hyperlink>
    </w:p>
    <w:p w14:paraId="26C5FD29" w14:textId="742BB7B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6" w:history="1">
        <w:r w:rsidRPr="005C6330">
          <w:rPr>
            <w:rStyle w:val="Hypertextovodkaz"/>
            <w:noProof/>
          </w:rPr>
          <w:t>Graf 8: OS – krabicové grafy, mediánové délky civilního řízení</w:t>
        </w:r>
        <w:r>
          <w:rPr>
            <w:noProof/>
            <w:webHidden/>
          </w:rPr>
          <w:tab/>
        </w:r>
        <w:r>
          <w:rPr>
            <w:noProof/>
            <w:webHidden/>
          </w:rPr>
          <w:fldChar w:fldCharType="begin"/>
        </w:r>
        <w:r>
          <w:rPr>
            <w:noProof/>
            <w:webHidden/>
          </w:rPr>
          <w:instrText xml:space="preserve"> PAGEREF _Toc109801966 \h </w:instrText>
        </w:r>
        <w:r>
          <w:rPr>
            <w:noProof/>
            <w:webHidden/>
          </w:rPr>
        </w:r>
        <w:r>
          <w:rPr>
            <w:noProof/>
            <w:webHidden/>
          </w:rPr>
          <w:fldChar w:fldCharType="separate"/>
        </w:r>
        <w:r>
          <w:rPr>
            <w:noProof/>
            <w:webHidden/>
          </w:rPr>
          <w:t>25</w:t>
        </w:r>
        <w:r>
          <w:rPr>
            <w:noProof/>
            <w:webHidden/>
          </w:rPr>
          <w:fldChar w:fldCharType="end"/>
        </w:r>
      </w:hyperlink>
    </w:p>
    <w:p w14:paraId="148DD082" w14:textId="67F08BB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7" w:history="1">
        <w:r w:rsidRPr="005C6330">
          <w:rPr>
            <w:rStyle w:val="Hypertextovodkaz"/>
            <w:noProof/>
          </w:rPr>
          <w:t>Graf 9: OS – distribuce délek civilního řízení</w:t>
        </w:r>
        <w:r>
          <w:rPr>
            <w:noProof/>
            <w:webHidden/>
          </w:rPr>
          <w:tab/>
        </w:r>
        <w:r>
          <w:rPr>
            <w:noProof/>
            <w:webHidden/>
          </w:rPr>
          <w:fldChar w:fldCharType="begin"/>
        </w:r>
        <w:r>
          <w:rPr>
            <w:noProof/>
            <w:webHidden/>
          </w:rPr>
          <w:instrText xml:space="preserve"> PAGEREF _Toc109801967 \h </w:instrText>
        </w:r>
        <w:r>
          <w:rPr>
            <w:noProof/>
            <w:webHidden/>
          </w:rPr>
        </w:r>
        <w:r>
          <w:rPr>
            <w:noProof/>
            <w:webHidden/>
          </w:rPr>
          <w:fldChar w:fldCharType="separate"/>
        </w:r>
        <w:r>
          <w:rPr>
            <w:noProof/>
            <w:webHidden/>
          </w:rPr>
          <w:t>26</w:t>
        </w:r>
        <w:r>
          <w:rPr>
            <w:noProof/>
            <w:webHidden/>
          </w:rPr>
          <w:fldChar w:fldCharType="end"/>
        </w:r>
      </w:hyperlink>
    </w:p>
    <w:p w14:paraId="1F84D110" w14:textId="16C524F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8" w:history="1">
        <w:r w:rsidRPr="005C6330">
          <w:rPr>
            <w:rStyle w:val="Hypertextovodkaz"/>
            <w:noProof/>
          </w:rPr>
          <w:t>Graf 10: OS – vyřizování civilních věcí v letech 2008–2021</w:t>
        </w:r>
        <w:r>
          <w:rPr>
            <w:noProof/>
            <w:webHidden/>
          </w:rPr>
          <w:tab/>
        </w:r>
        <w:r>
          <w:rPr>
            <w:noProof/>
            <w:webHidden/>
          </w:rPr>
          <w:fldChar w:fldCharType="begin"/>
        </w:r>
        <w:r>
          <w:rPr>
            <w:noProof/>
            <w:webHidden/>
          </w:rPr>
          <w:instrText xml:space="preserve"> PAGEREF _Toc109801968 \h </w:instrText>
        </w:r>
        <w:r>
          <w:rPr>
            <w:noProof/>
            <w:webHidden/>
          </w:rPr>
        </w:r>
        <w:r>
          <w:rPr>
            <w:noProof/>
            <w:webHidden/>
          </w:rPr>
          <w:fldChar w:fldCharType="separate"/>
        </w:r>
        <w:r>
          <w:rPr>
            <w:noProof/>
            <w:webHidden/>
          </w:rPr>
          <w:t>27</w:t>
        </w:r>
        <w:r>
          <w:rPr>
            <w:noProof/>
            <w:webHidden/>
          </w:rPr>
          <w:fldChar w:fldCharType="end"/>
        </w:r>
      </w:hyperlink>
    </w:p>
    <w:p w14:paraId="45551161" w14:textId="61DC498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69" w:history="1">
        <w:r w:rsidRPr="005C6330">
          <w:rPr>
            <w:rStyle w:val="Hypertextovodkaz"/>
            <w:noProof/>
          </w:rPr>
          <w:t>Graf 11: OS – počet nevyříz. civilních věcí na úvazek u jednotlivých soudů</w:t>
        </w:r>
        <w:r>
          <w:rPr>
            <w:noProof/>
            <w:webHidden/>
          </w:rPr>
          <w:tab/>
        </w:r>
        <w:r>
          <w:rPr>
            <w:noProof/>
            <w:webHidden/>
          </w:rPr>
          <w:fldChar w:fldCharType="begin"/>
        </w:r>
        <w:r>
          <w:rPr>
            <w:noProof/>
            <w:webHidden/>
          </w:rPr>
          <w:instrText xml:space="preserve"> PAGEREF _Toc109801969 \h </w:instrText>
        </w:r>
        <w:r>
          <w:rPr>
            <w:noProof/>
            <w:webHidden/>
          </w:rPr>
        </w:r>
        <w:r>
          <w:rPr>
            <w:noProof/>
            <w:webHidden/>
          </w:rPr>
          <w:fldChar w:fldCharType="separate"/>
        </w:r>
        <w:r>
          <w:rPr>
            <w:noProof/>
            <w:webHidden/>
          </w:rPr>
          <w:t>29</w:t>
        </w:r>
        <w:r>
          <w:rPr>
            <w:noProof/>
            <w:webHidden/>
          </w:rPr>
          <w:fldChar w:fldCharType="end"/>
        </w:r>
      </w:hyperlink>
    </w:p>
    <w:p w14:paraId="6B888369" w14:textId="0A628B1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0" w:history="1">
        <w:r w:rsidRPr="005C6330">
          <w:rPr>
            <w:rStyle w:val="Hypertextovodkaz"/>
            <w:noProof/>
          </w:rPr>
          <w:t>Graf 12: OS – disposition time civilního řízení v letech 2008–2021</w:t>
        </w:r>
        <w:r>
          <w:rPr>
            <w:noProof/>
            <w:webHidden/>
          </w:rPr>
          <w:tab/>
        </w:r>
        <w:r>
          <w:rPr>
            <w:noProof/>
            <w:webHidden/>
          </w:rPr>
          <w:fldChar w:fldCharType="begin"/>
        </w:r>
        <w:r>
          <w:rPr>
            <w:noProof/>
            <w:webHidden/>
          </w:rPr>
          <w:instrText xml:space="preserve"> PAGEREF _Toc109801970 \h </w:instrText>
        </w:r>
        <w:r>
          <w:rPr>
            <w:noProof/>
            <w:webHidden/>
          </w:rPr>
        </w:r>
        <w:r>
          <w:rPr>
            <w:noProof/>
            <w:webHidden/>
          </w:rPr>
          <w:fldChar w:fldCharType="separate"/>
        </w:r>
        <w:r>
          <w:rPr>
            <w:noProof/>
            <w:webHidden/>
          </w:rPr>
          <w:t>31</w:t>
        </w:r>
        <w:r>
          <w:rPr>
            <w:noProof/>
            <w:webHidden/>
          </w:rPr>
          <w:fldChar w:fldCharType="end"/>
        </w:r>
      </w:hyperlink>
    </w:p>
    <w:p w14:paraId="6F2656CA" w14:textId="622F1FE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1" w:history="1">
        <w:r w:rsidRPr="005C6330">
          <w:rPr>
            <w:rStyle w:val="Hypertextovodkaz"/>
            <w:noProof/>
          </w:rPr>
          <w:t>Graf 13: OS – disposition time civilního řízení u jednotlivých soudů</w:t>
        </w:r>
        <w:r>
          <w:rPr>
            <w:noProof/>
            <w:webHidden/>
          </w:rPr>
          <w:tab/>
        </w:r>
        <w:r>
          <w:rPr>
            <w:noProof/>
            <w:webHidden/>
          </w:rPr>
          <w:fldChar w:fldCharType="begin"/>
        </w:r>
        <w:r>
          <w:rPr>
            <w:noProof/>
            <w:webHidden/>
          </w:rPr>
          <w:instrText xml:space="preserve"> PAGEREF _Toc109801971 \h </w:instrText>
        </w:r>
        <w:r>
          <w:rPr>
            <w:noProof/>
            <w:webHidden/>
          </w:rPr>
        </w:r>
        <w:r>
          <w:rPr>
            <w:noProof/>
            <w:webHidden/>
          </w:rPr>
          <w:fldChar w:fldCharType="separate"/>
        </w:r>
        <w:r>
          <w:rPr>
            <w:noProof/>
            <w:webHidden/>
          </w:rPr>
          <w:t>32</w:t>
        </w:r>
        <w:r>
          <w:rPr>
            <w:noProof/>
            <w:webHidden/>
          </w:rPr>
          <w:fldChar w:fldCharType="end"/>
        </w:r>
      </w:hyperlink>
    </w:p>
    <w:p w14:paraId="2CDC8922" w14:textId="5D36B9E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2" w:history="1">
        <w:r w:rsidRPr="005C6330">
          <w:rPr>
            <w:rStyle w:val="Hypertextovodkaz"/>
            <w:noProof/>
          </w:rPr>
          <w:t>Graf 14: OS – krabicové grafy, DT civilního řízení</w:t>
        </w:r>
        <w:r>
          <w:rPr>
            <w:noProof/>
            <w:webHidden/>
          </w:rPr>
          <w:tab/>
        </w:r>
        <w:r>
          <w:rPr>
            <w:noProof/>
            <w:webHidden/>
          </w:rPr>
          <w:fldChar w:fldCharType="begin"/>
        </w:r>
        <w:r>
          <w:rPr>
            <w:noProof/>
            <w:webHidden/>
          </w:rPr>
          <w:instrText xml:space="preserve"> PAGEREF _Toc109801972 \h </w:instrText>
        </w:r>
        <w:r>
          <w:rPr>
            <w:noProof/>
            <w:webHidden/>
          </w:rPr>
        </w:r>
        <w:r>
          <w:rPr>
            <w:noProof/>
            <w:webHidden/>
          </w:rPr>
          <w:fldChar w:fldCharType="separate"/>
        </w:r>
        <w:r>
          <w:rPr>
            <w:noProof/>
            <w:webHidden/>
          </w:rPr>
          <w:t>33</w:t>
        </w:r>
        <w:r>
          <w:rPr>
            <w:noProof/>
            <w:webHidden/>
          </w:rPr>
          <w:fldChar w:fldCharType="end"/>
        </w:r>
      </w:hyperlink>
    </w:p>
    <w:p w14:paraId="238599AC" w14:textId="4E74E67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3" w:history="1">
        <w:r w:rsidRPr="005C6330">
          <w:rPr>
            <w:rStyle w:val="Hypertextovodkaz"/>
            <w:noProof/>
          </w:rPr>
          <w:t>Graf 15: OS – míra odvolání u jednotlivých soudů v civilním řízení</w:t>
        </w:r>
        <w:r>
          <w:rPr>
            <w:noProof/>
            <w:webHidden/>
          </w:rPr>
          <w:tab/>
        </w:r>
        <w:r>
          <w:rPr>
            <w:noProof/>
            <w:webHidden/>
          </w:rPr>
          <w:fldChar w:fldCharType="begin"/>
        </w:r>
        <w:r>
          <w:rPr>
            <w:noProof/>
            <w:webHidden/>
          </w:rPr>
          <w:instrText xml:space="preserve"> PAGEREF _Toc109801973 \h </w:instrText>
        </w:r>
        <w:r>
          <w:rPr>
            <w:noProof/>
            <w:webHidden/>
          </w:rPr>
        </w:r>
        <w:r>
          <w:rPr>
            <w:noProof/>
            <w:webHidden/>
          </w:rPr>
          <w:fldChar w:fldCharType="separate"/>
        </w:r>
        <w:r>
          <w:rPr>
            <w:noProof/>
            <w:webHidden/>
          </w:rPr>
          <w:t>35</w:t>
        </w:r>
        <w:r>
          <w:rPr>
            <w:noProof/>
            <w:webHidden/>
          </w:rPr>
          <w:fldChar w:fldCharType="end"/>
        </w:r>
      </w:hyperlink>
    </w:p>
    <w:p w14:paraId="5765176D" w14:textId="30B9C02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4" w:history="1">
        <w:r w:rsidRPr="005C6330">
          <w:rPr>
            <w:rStyle w:val="Hypertextovodkaz"/>
            <w:noProof/>
          </w:rPr>
          <w:t>Graf 16: OS – míra změny rozsudku u jednotlivých soudů v civilním řízení</w:t>
        </w:r>
        <w:r>
          <w:rPr>
            <w:noProof/>
            <w:webHidden/>
          </w:rPr>
          <w:tab/>
        </w:r>
        <w:r>
          <w:rPr>
            <w:noProof/>
            <w:webHidden/>
          </w:rPr>
          <w:fldChar w:fldCharType="begin"/>
        </w:r>
        <w:r>
          <w:rPr>
            <w:noProof/>
            <w:webHidden/>
          </w:rPr>
          <w:instrText xml:space="preserve"> PAGEREF _Toc109801974 \h </w:instrText>
        </w:r>
        <w:r>
          <w:rPr>
            <w:noProof/>
            <w:webHidden/>
          </w:rPr>
        </w:r>
        <w:r>
          <w:rPr>
            <w:noProof/>
            <w:webHidden/>
          </w:rPr>
          <w:fldChar w:fldCharType="separate"/>
        </w:r>
        <w:r>
          <w:rPr>
            <w:noProof/>
            <w:webHidden/>
          </w:rPr>
          <w:t>36</w:t>
        </w:r>
        <w:r>
          <w:rPr>
            <w:noProof/>
            <w:webHidden/>
          </w:rPr>
          <w:fldChar w:fldCharType="end"/>
        </w:r>
      </w:hyperlink>
    </w:p>
    <w:p w14:paraId="5C40966C" w14:textId="26DEEAF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5" w:history="1">
        <w:r w:rsidRPr="005C6330">
          <w:rPr>
            <w:rStyle w:val="Hypertextovodkaz"/>
            <w:noProof/>
          </w:rPr>
          <w:t>Graf 17: OS – vývoj počtu sporů ve věcech nájmů</w:t>
        </w:r>
        <w:r>
          <w:rPr>
            <w:noProof/>
            <w:webHidden/>
          </w:rPr>
          <w:tab/>
        </w:r>
        <w:r>
          <w:rPr>
            <w:noProof/>
            <w:webHidden/>
          </w:rPr>
          <w:fldChar w:fldCharType="begin"/>
        </w:r>
        <w:r>
          <w:rPr>
            <w:noProof/>
            <w:webHidden/>
          </w:rPr>
          <w:instrText xml:space="preserve"> PAGEREF _Toc109801975 \h </w:instrText>
        </w:r>
        <w:r>
          <w:rPr>
            <w:noProof/>
            <w:webHidden/>
          </w:rPr>
        </w:r>
        <w:r>
          <w:rPr>
            <w:noProof/>
            <w:webHidden/>
          </w:rPr>
          <w:fldChar w:fldCharType="separate"/>
        </w:r>
        <w:r>
          <w:rPr>
            <w:noProof/>
            <w:webHidden/>
          </w:rPr>
          <w:t>38</w:t>
        </w:r>
        <w:r>
          <w:rPr>
            <w:noProof/>
            <w:webHidden/>
          </w:rPr>
          <w:fldChar w:fldCharType="end"/>
        </w:r>
      </w:hyperlink>
    </w:p>
    <w:p w14:paraId="34D7A7AB" w14:textId="663E7523"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6" w:history="1">
        <w:r w:rsidRPr="005C6330">
          <w:rPr>
            <w:rStyle w:val="Hypertextovodkaz"/>
            <w:noProof/>
          </w:rPr>
          <w:t>Graf 18: OS – délka civilního el. rozkazního řízení v letech 2013–2021</w:t>
        </w:r>
        <w:r>
          <w:rPr>
            <w:noProof/>
            <w:webHidden/>
          </w:rPr>
          <w:tab/>
        </w:r>
        <w:r>
          <w:rPr>
            <w:noProof/>
            <w:webHidden/>
          </w:rPr>
          <w:fldChar w:fldCharType="begin"/>
        </w:r>
        <w:r>
          <w:rPr>
            <w:noProof/>
            <w:webHidden/>
          </w:rPr>
          <w:instrText xml:space="preserve"> PAGEREF _Toc109801976 \h </w:instrText>
        </w:r>
        <w:r>
          <w:rPr>
            <w:noProof/>
            <w:webHidden/>
          </w:rPr>
        </w:r>
        <w:r>
          <w:rPr>
            <w:noProof/>
            <w:webHidden/>
          </w:rPr>
          <w:fldChar w:fldCharType="separate"/>
        </w:r>
        <w:r>
          <w:rPr>
            <w:noProof/>
            <w:webHidden/>
          </w:rPr>
          <w:t>40</w:t>
        </w:r>
        <w:r>
          <w:rPr>
            <w:noProof/>
            <w:webHidden/>
          </w:rPr>
          <w:fldChar w:fldCharType="end"/>
        </w:r>
      </w:hyperlink>
    </w:p>
    <w:p w14:paraId="50481D51" w14:textId="26DB448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7" w:history="1">
        <w:r w:rsidRPr="005C6330">
          <w:rPr>
            <w:rStyle w:val="Hypertextovodkaz"/>
            <w:noProof/>
          </w:rPr>
          <w:t>Graf 19: OS – vyřizování věcí v rejstříku EPR v letech 2013–2021</w:t>
        </w:r>
        <w:r>
          <w:rPr>
            <w:noProof/>
            <w:webHidden/>
          </w:rPr>
          <w:tab/>
        </w:r>
        <w:r>
          <w:rPr>
            <w:noProof/>
            <w:webHidden/>
          </w:rPr>
          <w:fldChar w:fldCharType="begin"/>
        </w:r>
        <w:r>
          <w:rPr>
            <w:noProof/>
            <w:webHidden/>
          </w:rPr>
          <w:instrText xml:space="preserve"> PAGEREF _Toc109801977 \h </w:instrText>
        </w:r>
        <w:r>
          <w:rPr>
            <w:noProof/>
            <w:webHidden/>
          </w:rPr>
        </w:r>
        <w:r>
          <w:rPr>
            <w:noProof/>
            <w:webHidden/>
          </w:rPr>
          <w:fldChar w:fldCharType="separate"/>
        </w:r>
        <w:r>
          <w:rPr>
            <w:noProof/>
            <w:webHidden/>
          </w:rPr>
          <w:t>42</w:t>
        </w:r>
        <w:r>
          <w:rPr>
            <w:noProof/>
            <w:webHidden/>
          </w:rPr>
          <w:fldChar w:fldCharType="end"/>
        </w:r>
      </w:hyperlink>
    </w:p>
    <w:p w14:paraId="7999903A" w14:textId="75E9AE7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8" w:history="1">
        <w:r w:rsidRPr="005C6330">
          <w:rPr>
            <w:rStyle w:val="Hypertextovodkaz"/>
            <w:noProof/>
          </w:rPr>
          <w:t>Graf 20: OS – převedeno z rejstříku EPR v letech 2013–2021</w:t>
        </w:r>
        <w:r>
          <w:rPr>
            <w:noProof/>
            <w:webHidden/>
          </w:rPr>
          <w:tab/>
        </w:r>
        <w:r>
          <w:rPr>
            <w:noProof/>
            <w:webHidden/>
          </w:rPr>
          <w:fldChar w:fldCharType="begin"/>
        </w:r>
        <w:r>
          <w:rPr>
            <w:noProof/>
            <w:webHidden/>
          </w:rPr>
          <w:instrText xml:space="preserve"> PAGEREF _Toc109801978 \h </w:instrText>
        </w:r>
        <w:r>
          <w:rPr>
            <w:noProof/>
            <w:webHidden/>
          </w:rPr>
        </w:r>
        <w:r>
          <w:rPr>
            <w:noProof/>
            <w:webHidden/>
          </w:rPr>
          <w:fldChar w:fldCharType="separate"/>
        </w:r>
        <w:r>
          <w:rPr>
            <w:noProof/>
            <w:webHidden/>
          </w:rPr>
          <w:t>43</w:t>
        </w:r>
        <w:r>
          <w:rPr>
            <w:noProof/>
            <w:webHidden/>
          </w:rPr>
          <w:fldChar w:fldCharType="end"/>
        </w:r>
      </w:hyperlink>
    </w:p>
    <w:p w14:paraId="133EFF2D" w14:textId="465D30E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79" w:history="1">
        <w:r w:rsidRPr="005C6330">
          <w:rPr>
            <w:rStyle w:val="Hypertextovodkaz"/>
            <w:noProof/>
          </w:rPr>
          <w:t>Graf 21: OS – délka trestního řízení v letech 2008–2021</w:t>
        </w:r>
        <w:r>
          <w:rPr>
            <w:noProof/>
            <w:webHidden/>
          </w:rPr>
          <w:tab/>
        </w:r>
        <w:r>
          <w:rPr>
            <w:noProof/>
            <w:webHidden/>
          </w:rPr>
          <w:fldChar w:fldCharType="begin"/>
        </w:r>
        <w:r>
          <w:rPr>
            <w:noProof/>
            <w:webHidden/>
          </w:rPr>
          <w:instrText xml:space="preserve"> PAGEREF _Toc109801979 \h </w:instrText>
        </w:r>
        <w:r>
          <w:rPr>
            <w:noProof/>
            <w:webHidden/>
          </w:rPr>
        </w:r>
        <w:r>
          <w:rPr>
            <w:noProof/>
            <w:webHidden/>
          </w:rPr>
          <w:fldChar w:fldCharType="separate"/>
        </w:r>
        <w:r>
          <w:rPr>
            <w:noProof/>
            <w:webHidden/>
          </w:rPr>
          <w:t>45</w:t>
        </w:r>
        <w:r>
          <w:rPr>
            <w:noProof/>
            <w:webHidden/>
          </w:rPr>
          <w:fldChar w:fldCharType="end"/>
        </w:r>
      </w:hyperlink>
    </w:p>
    <w:p w14:paraId="72D02FCB" w14:textId="6763142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0" w:history="1">
        <w:r w:rsidRPr="005C6330">
          <w:rPr>
            <w:rStyle w:val="Hypertextovodkaz"/>
            <w:noProof/>
          </w:rPr>
          <w:t>Graf 22: OS – mediánové délky trestního řízení u jednotlivých soudů</w:t>
        </w:r>
        <w:r>
          <w:rPr>
            <w:noProof/>
            <w:webHidden/>
          </w:rPr>
          <w:tab/>
        </w:r>
        <w:r>
          <w:rPr>
            <w:noProof/>
            <w:webHidden/>
          </w:rPr>
          <w:fldChar w:fldCharType="begin"/>
        </w:r>
        <w:r>
          <w:rPr>
            <w:noProof/>
            <w:webHidden/>
          </w:rPr>
          <w:instrText xml:space="preserve"> PAGEREF _Toc109801980 \h </w:instrText>
        </w:r>
        <w:r>
          <w:rPr>
            <w:noProof/>
            <w:webHidden/>
          </w:rPr>
        </w:r>
        <w:r>
          <w:rPr>
            <w:noProof/>
            <w:webHidden/>
          </w:rPr>
          <w:fldChar w:fldCharType="separate"/>
        </w:r>
        <w:r>
          <w:rPr>
            <w:noProof/>
            <w:webHidden/>
          </w:rPr>
          <w:t>46</w:t>
        </w:r>
        <w:r>
          <w:rPr>
            <w:noProof/>
            <w:webHidden/>
          </w:rPr>
          <w:fldChar w:fldCharType="end"/>
        </w:r>
      </w:hyperlink>
    </w:p>
    <w:p w14:paraId="37C685C5" w14:textId="728E616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1" w:history="1">
        <w:r w:rsidRPr="005C6330">
          <w:rPr>
            <w:rStyle w:val="Hypertextovodkaz"/>
            <w:noProof/>
          </w:rPr>
          <w:t>Graf 23: OS – krabicové grafy, mediánové délky trestního řízení</w:t>
        </w:r>
        <w:r>
          <w:rPr>
            <w:noProof/>
            <w:webHidden/>
          </w:rPr>
          <w:tab/>
        </w:r>
        <w:r>
          <w:rPr>
            <w:noProof/>
            <w:webHidden/>
          </w:rPr>
          <w:fldChar w:fldCharType="begin"/>
        </w:r>
        <w:r>
          <w:rPr>
            <w:noProof/>
            <w:webHidden/>
          </w:rPr>
          <w:instrText xml:space="preserve"> PAGEREF _Toc109801981 \h </w:instrText>
        </w:r>
        <w:r>
          <w:rPr>
            <w:noProof/>
            <w:webHidden/>
          </w:rPr>
        </w:r>
        <w:r>
          <w:rPr>
            <w:noProof/>
            <w:webHidden/>
          </w:rPr>
          <w:fldChar w:fldCharType="separate"/>
        </w:r>
        <w:r>
          <w:rPr>
            <w:noProof/>
            <w:webHidden/>
          </w:rPr>
          <w:t>47</w:t>
        </w:r>
        <w:r>
          <w:rPr>
            <w:noProof/>
            <w:webHidden/>
          </w:rPr>
          <w:fldChar w:fldCharType="end"/>
        </w:r>
      </w:hyperlink>
    </w:p>
    <w:p w14:paraId="56069654" w14:textId="3D13B82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2" w:history="1">
        <w:r w:rsidRPr="005C6330">
          <w:rPr>
            <w:rStyle w:val="Hypertextovodkaz"/>
            <w:noProof/>
          </w:rPr>
          <w:t>Graf 24: OS – distribuce délek trestního řízení</w:t>
        </w:r>
        <w:r>
          <w:rPr>
            <w:noProof/>
            <w:webHidden/>
          </w:rPr>
          <w:tab/>
        </w:r>
        <w:r>
          <w:rPr>
            <w:noProof/>
            <w:webHidden/>
          </w:rPr>
          <w:fldChar w:fldCharType="begin"/>
        </w:r>
        <w:r>
          <w:rPr>
            <w:noProof/>
            <w:webHidden/>
          </w:rPr>
          <w:instrText xml:space="preserve"> PAGEREF _Toc109801982 \h </w:instrText>
        </w:r>
        <w:r>
          <w:rPr>
            <w:noProof/>
            <w:webHidden/>
          </w:rPr>
        </w:r>
        <w:r>
          <w:rPr>
            <w:noProof/>
            <w:webHidden/>
          </w:rPr>
          <w:fldChar w:fldCharType="separate"/>
        </w:r>
        <w:r>
          <w:rPr>
            <w:noProof/>
            <w:webHidden/>
          </w:rPr>
          <w:t>48</w:t>
        </w:r>
        <w:r>
          <w:rPr>
            <w:noProof/>
            <w:webHidden/>
          </w:rPr>
          <w:fldChar w:fldCharType="end"/>
        </w:r>
      </w:hyperlink>
    </w:p>
    <w:p w14:paraId="55C20475" w14:textId="3CC039E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3" w:history="1">
        <w:r w:rsidRPr="005C6330">
          <w:rPr>
            <w:rStyle w:val="Hypertextovodkaz"/>
            <w:noProof/>
          </w:rPr>
          <w:t>Graf 25: OS – vyřizování trestních věcí v letech 2008–2021</w:t>
        </w:r>
        <w:r>
          <w:rPr>
            <w:noProof/>
            <w:webHidden/>
          </w:rPr>
          <w:tab/>
        </w:r>
        <w:r>
          <w:rPr>
            <w:noProof/>
            <w:webHidden/>
          </w:rPr>
          <w:fldChar w:fldCharType="begin"/>
        </w:r>
        <w:r>
          <w:rPr>
            <w:noProof/>
            <w:webHidden/>
          </w:rPr>
          <w:instrText xml:space="preserve"> PAGEREF _Toc109801983 \h </w:instrText>
        </w:r>
        <w:r>
          <w:rPr>
            <w:noProof/>
            <w:webHidden/>
          </w:rPr>
        </w:r>
        <w:r>
          <w:rPr>
            <w:noProof/>
            <w:webHidden/>
          </w:rPr>
          <w:fldChar w:fldCharType="separate"/>
        </w:r>
        <w:r>
          <w:rPr>
            <w:noProof/>
            <w:webHidden/>
          </w:rPr>
          <w:t>49</w:t>
        </w:r>
        <w:r>
          <w:rPr>
            <w:noProof/>
            <w:webHidden/>
          </w:rPr>
          <w:fldChar w:fldCharType="end"/>
        </w:r>
      </w:hyperlink>
    </w:p>
    <w:p w14:paraId="0F31E495" w14:textId="67C522D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4" w:history="1">
        <w:r w:rsidRPr="005C6330">
          <w:rPr>
            <w:rStyle w:val="Hypertextovodkaz"/>
            <w:noProof/>
          </w:rPr>
          <w:t>Graf 26: OS – počet nevyříz. trestních věcí na úvazek u jednotlivých soudů</w:t>
        </w:r>
        <w:r>
          <w:rPr>
            <w:noProof/>
            <w:webHidden/>
          </w:rPr>
          <w:tab/>
        </w:r>
        <w:r>
          <w:rPr>
            <w:noProof/>
            <w:webHidden/>
          </w:rPr>
          <w:fldChar w:fldCharType="begin"/>
        </w:r>
        <w:r>
          <w:rPr>
            <w:noProof/>
            <w:webHidden/>
          </w:rPr>
          <w:instrText xml:space="preserve"> PAGEREF _Toc109801984 \h </w:instrText>
        </w:r>
        <w:r>
          <w:rPr>
            <w:noProof/>
            <w:webHidden/>
          </w:rPr>
        </w:r>
        <w:r>
          <w:rPr>
            <w:noProof/>
            <w:webHidden/>
          </w:rPr>
          <w:fldChar w:fldCharType="separate"/>
        </w:r>
        <w:r>
          <w:rPr>
            <w:noProof/>
            <w:webHidden/>
          </w:rPr>
          <w:t>51</w:t>
        </w:r>
        <w:r>
          <w:rPr>
            <w:noProof/>
            <w:webHidden/>
          </w:rPr>
          <w:fldChar w:fldCharType="end"/>
        </w:r>
      </w:hyperlink>
    </w:p>
    <w:p w14:paraId="081AE713" w14:textId="4F07546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5" w:history="1">
        <w:r w:rsidRPr="005C6330">
          <w:rPr>
            <w:rStyle w:val="Hypertextovodkaz"/>
            <w:noProof/>
          </w:rPr>
          <w:t>Graf 27: OS – disposition time trestního řízení v letech 2008–2020</w:t>
        </w:r>
        <w:r>
          <w:rPr>
            <w:noProof/>
            <w:webHidden/>
          </w:rPr>
          <w:tab/>
        </w:r>
        <w:r>
          <w:rPr>
            <w:noProof/>
            <w:webHidden/>
          </w:rPr>
          <w:fldChar w:fldCharType="begin"/>
        </w:r>
        <w:r>
          <w:rPr>
            <w:noProof/>
            <w:webHidden/>
          </w:rPr>
          <w:instrText xml:space="preserve"> PAGEREF _Toc109801985 \h </w:instrText>
        </w:r>
        <w:r>
          <w:rPr>
            <w:noProof/>
            <w:webHidden/>
          </w:rPr>
        </w:r>
        <w:r>
          <w:rPr>
            <w:noProof/>
            <w:webHidden/>
          </w:rPr>
          <w:fldChar w:fldCharType="separate"/>
        </w:r>
        <w:r>
          <w:rPr>
            <w:noProof/>
            <w:webHidden/>
          </w:rPr>
          <w:t>52</w:t>
        </w:r>
        <w:r>
          <w:rPr>
            <w:noProof/>
            <w:webHidden/>
          </w:rPr>
          <w:fldChar w:fldCharType="end"/>
        </w:r>
      </w:hyperlink>
    </w:p>
    <w:p w14:paraId="0B1F6732" w14:textId="0EFA1AD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6" w:history="1">
        <w:r w:rsidRPr="005C6330">
          <w:rPr>
            <w:rStyle w:val="Hypertextovodkaz"/>
            <w:noProof/>
          </w:rPr>
          <w:t>Graf 28: OS – disposition time trestního řízení u jednotlivých soudů</w:t>
        </w:r>
        <w:r>
          <w:rPr>
            <w:noProof/>
            <w:webHidden/>
          </w:rPr>
          <w:tab/>
        </w:r>
        <w:r>
          <w:rPr>
            <w:noProof/>
            <w:webHidden/>
          </w:rPr>
          <w:fldChar w:fldCharType="begin"/>
        </w:r>
        <w:r>
          <w:rPr>
            <w:noProof/>
            <w:webHidden/>
          </w:rPr>
          <w:instrText xml:space="preserve"> PAGEREF _Toc109801986 \h </w:instrText>
        </w:r>
        <w:r>
          <w:rPr>
            <w:noProof/>
            <w:webHidden/>
          </w:rPr>
        </w:r>
        <w:r>
          <w:rPr>
            <w:noProof/>
            <w:webHidden/>
          </w:rPr>
          <w:fldChar w:fldCharType="separate"/>
        </w:r>
        <w:r>
          <w:rPr>
            <w:noProof/>
            <w:webHidden/>
          </w:rPr>
          <w:t>53</w:t>
        </w:r>
        <w:r>
          <w:rPr>
            <w:noProof/>
            <w:webHidden/>
          </w:rPr>
          <w:fldChar w:fldCharType="end"/>
        </w:r>
      </w:hyperlink>
    </w:p>
    <w:p w14:paraId="4EC6B1D8" w14:textId="55B727C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7" w:history="1">
        <w:r w:rsidRPr="005C6330">
          <w:rPr>
            <w:rStyle w:val="Hypertextovodkaz"/>
            <w:noProof/>
          </w:rPr>
          <w:t>Graf 29: OS – krabicové grafy, DT trestního řízení</w:t>
        </w:r>
        <w:r>
          <w:rPr>
            <w:noProof/>
            <w:webHidden/>
          </w:rPr>
          <w:tab/>
        </w:r>
        <w:r>
          <w:rPr>
            <w:noProof/>
            <w:webHidden/>
          </w:rPr>
          <w:fldChar w:fldCharType="begin"/>
        </w:r>
        <w:r>
          <w:rPr>
            <w:noProof/>
            <w:webHidden/>
          </w:rPr>
          <w:instrText xml:space="preserve"> PAGEREF _Toc109801987 \h </w:instrText>
        </w:r>
        <w:r>
          <w:rPr>
            <w:noProof/>
            <w:webHidden/>
          </w:rPr>
        </w:r>
        <w:r>
          <w:rPr>
            <w:noProof/>
            <w:webHidden/>
          </w:rPr>
          <w:fldChar w:fldCharType="separate"/>
        </w:r>
        <w:r>
          <w:rPr>
            <w:noProof/>
            <w:webHidden/>
          </w:rPr>
          <w:t>53</w:t>
        </w:r>
        <w:r>
          <w:rPr>
            <w:noProof/>
            <w:webHidden/>
          </w:rPr>
          <w:fldChar w:fldCharType="end"/>
        </w:r>
      </w:hyperlink>
    </w:p>
    <w:p w14:paraId="37A18CA7" w14:textId="2CBE88F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8" w:history="1">
        <w:r w:rsidRPr="005C6330">
          <w:rPr>
            <w:rStyle w:val="Hypertextovodkaz"/>
            <w:noProof/>
          </w:rPr>
          <w:t>Graf 30: OS – míra odvolání u jednotlivých soudů v trestním řízení</w:t>
        </w:r>
        <w:r>
          <w:rPr>
            <w:noProof/>
            <w:webHidden/>
          </w:rPr>
          <w:tab/>
        </w:r>
        <w:r>
          <w:rPr>
            <w:noProof/>
            <w:webHidden/>
          </w:rPr>
          <w:fldChar w:fldCharType="begin"/>
        </w:r>
        <w:r>
          <w:rPr>
            <w:noProof/>
            <w:webHidden/>
          </w:rPr>
          <w:instrText xml:space="preserve"> PAGEREF _Toc109801988 \h </w:instrText>
        </w:r>
        <w:r>
          <w:rPr>
            <w:noProof/>
            <w:webHidden/>
          </w:rPr>
        </w:r>
        <w:r>
          <w:rPr>
            <w:noProof/>
            <w:webHidden/>
          </w:rPr>
          <w:fldChar w:fldCharType="separate"/>
        </w:r>
        <w:r>
          <w:rPr>
            <w:noProof/>
            <w:webHidden/>
          </w:rPr>
          <w:t>54</w:t>
        </w:r>
        <w:r>
          <w:rPr>
            <w:noProof/>
            <w:webHidden/>
          </w:rPr>
          <w:fldChar w:fldCharType="end"/>
        </w:r>
      </w:hyperlink>
    </w:p>
    <w:p w14:paraId="4B9DACB2" w14:textId="5D81DEA3"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89" w:history="1">
        <w:r w:rsidRPr="005C6330">
          <w:rPr>
            <w:rStyle w:val="Hypertextovodkaz"/>
            <w:noProof/>
          </w:rPr>
          <w:t>Graf 31: OS – míra změny rozsudku u jednotlivých soudů v trestním řízení</w:t>
        </w:r>
        <w:r>
          <w:rPr>
            <w:noProof/>
            <w:webHidden/>
          </w:rPr>
          <w:tab/>
        </w:r>
        <w:r>
          <w:rPr>
            <w:noProof/>
            <w:webHidden/>
          </w:rPr>
          <w:fldChar w:fldCharType="begin"/>
        </w:r>
        <w:r>
          <w:rPr>
            <w:noProof/>
            <w:webHidden/>
          </w:rPr>
          <w:instrText xml:space="preserve"> PAGEREF _Toc109801989 \h </w:instrText>
        </w:r>
        <w:r>
          <w:rPr>
            <w:noProof/>
            <w:webHidden/>
          </w:rPr>
        </w:r>
        <w:r>
          <w:rPr>
            <w:noProof/>
            <w:webHidden/>
          </w:rPr>
          <w:fldChar w:fldCharType="separate"/>
        </w:r>
        <w:r>
          <w:rPr>
            <w:noProof/>
            <w:webHidden/>
          </w:rPr>
          <w:t>56</w:t>
        </w:r>
        <w:r>
          <w:rPr>
            <w:noProof/>
            <w:webHidden/>
          </w:rPr>
          <w:fldChar w:fldCharType="end"/>
        </w:r>
      </w:hyperlink>
    </w:p>
    <w:p w14:paraId="7AF7142F" w14:textId="04C25CB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0" w:history="1">
        <w:r w:rsidRPr="005C6330">
          <w:rPr>
            <w:rStyle w:val="Hypertextovodkaz"/>
            <w:noProof/>
          </w:rPr>
          <w:t>Graf 32: OS – podíl věcí skončených trestním příkazem v letech 2008–2021</w:t>
        </w:r>
        <w:r>
          <w:rPr>
            <w:noProof/>
            <w:webHidden/>
          </w:rPr>
          <w:tab/>
        </w:r>
        <w:r>
          <w:rPr>
            <w:noProof/>
            <w:webHidden/>
          </w:rPr>
          <w:fldChar w:fldCharType="begin"/>
        </w:r>
        <w:r>
          <w:rPr>
            <w:noProof/>
            <w:webHidden/>
          </w:rPr>
          <w:instrText xml:space="preserve"> PAGEREF _Toc109801990 \h </w:instrText>
        </w:r>
        <w:r>
          <w:rPr>
            <w:noProof/>
            <w:webHidden/>
          </w:rPr>
        </w:r>
        <w:r>
          <w:rPr>
            <w:noProof/>
            <w:webHidden/>
          </w:rPr>
          <w:fldChar w:fldCharType="separate"/>
        </w:r>
        <w:r>
          <w:rPr>
            <w:noProof/>
            <w:webHidden/>
          </w:rPr>
          <w:t>57</w:t>
        </w:r>
        <w:r>
          <w:rPr>
            <w:noProof/>
            <w:webHidden/>
          </w:rPr>
          <w:fldChar w:fldCharType="end"/>
        </w:r>
      </w:hyperlink>
    </w:p>
    <w:p w14:paraId="73CE4203" w14:textId="729CFBF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1" w:history="1">
        <w:r w:rsidRPr="005C6330">
          <w:rPr>
            <w:rStyle w:val="Hypertextovodkaz"/>
            <w:noProof/>
          </w:rPr>
          <w:t>Graf 33: OS – suma uložených peněžitých trestů</w:t>
        </w:r>
        <w:r>
          <w:rPr>
            <w:noProof/>
            <w:webHidden/>
          </w:rPr>
          <w:tab/>
        </w:r>
        <w:r>
          <w:rPr>
            <w:noProof/>
            <w:webHidden/>
          </w:rPr>
          <w:fldChar w:fldCharType="begin"/>
        </w:r>
        <w:r>
          <w:rPr>
            <w:noProof/>
            <w:webHidden/>
          </w:rPr>
          <w:instrText xml:space="preserve"> PAGEREF _Toc109801991 \h </w:instrText>
        </w:r>
        <w:r>
          <w:rPr>
            <w:noProof/>
            <w:webHidden/>
          </w:rPr>
        </w:r>
        <w:r>
          <w:rPr>
            <w:noProof/>
            <w:webHidden/>
          </w:rPr>
          <w:fldChar w:fldCharType="separate"/>
        </w:r>
        <w:r>
          <w:rPr>
            <w:noProof/>
            <w:webHidden/>
          </w:rPr>
          <w:t>59</w:t>
        </w:r>
        <w:r>
          <w:rPr>
            <w:noProof/>
            <w:webHidden/>
          </w:rPr>
          <w:fldChar w:fldCharType="end"/>
        </w:r>
      </w:hyperlink>
    </w:p>
    <w:p w14:paraId="4AC75F81" w14:textId="212BC42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2" w:history="1">
        <w:r w:rsidRPr="005C6330">
          <w:rPr>
            <w:rStyle w:val="Hypertextovodkaz"/>
            <w:noProof/>
          </w:rPr>
          <w:t>Graf 34: OS – počet a průměrná výše uložených peněžitých trestů</w:t>
        </w:r>
        <w:r>
          <w:rPr>
            <w:noProof/>
            <w:webHidden/>
          </w:rPr>
          <w:tab/>
        </w:r>
        <w:r>
          <w:rPr>
            <w:noProof/>
            <w:webHidden/>
          </w:rPr>
          <w:fldChar w:fldCharType="begin"/>
        </w:r>
        <w:r>
          <w:rPr>
            <w:noProof/>
            <w:webHidden/>
          </w:rPr>
          <w:instrText xml:space="preserve"> PAGEREF _Toc109801992 \h </w:instrText>
        </w:r>
        <w:r>
          <w:rPr>
            <w:noProof/>
            <w:webHidden/>
          </w:rPr>
        </w:r>
        <w:r>
          <w:rPr>
            <w:noProof/>
            <w:webHidden/>
          </w:rPr>
          <w:fldChar w:fldCharType="separate"/>
        </w:r>
        <w:r>
          <w:rPr>
            <w:noProof/>
            <w:webHidden/>
          </w:rPr>
          <w:t>60</w:t>
        </w:r>
        <w:r>
          <w:rPr>
            <w:noProof/>
            <w:webHidden/>
          </w:rPr>
          <w:fldChar w:fldCharType="end"/>
        </w:r>
      </w:hyperlink>
    </w:p>
    <w:p w14:paraId="5DA7BFCA" w14:textId="4F3AB89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3" w:history="1">
        <w:r w:rsidRPr="005C6330">
          <w:rPr>
            <w:rStyle w:val="Hypertextovodkaz"/>
            <w:noProof/>
          </w:rPr>
          <w:t>Graf 35: OS – míra odsouzení v letech 2008 až 2021</w:t>
        </w:r>
        <w:r>
          <w:rPr>
            <w:noProof/>
            <w:webHidden/>
          </w:rPr>
          <w:tab/>
        </w:r>
        <w:r>
          <w:rPr>
            <w:noProof/>
            <w:webHidden/>
          </w:rPr>
          <w:fldChar w:fldCharType="begin"/>
        </w:r>
        <w:r>
          <w:rPr>
            <w:noProof/>
            <w:webHidden/>
          </w:rPr>
          <w:instrText xml:space="preserve"> PAGEREF _Toc109801993 \h </w:instrText>
        </w:r>
        <w:r>
          <w:rPr>
            <w:noProof/>
            <w:webHidden/>
          </w:rPr>
        </w:r>
        <w:r>
          <w:rPr>
            <w:noProof/>
            <w:webHidden/>
          </w:rPr>
          <w:fldChar w:fldCharType="separate"/>
        </w:r>
        <w:r>
          <w:rPr>
            <w:noProof/>
            <w:webHidden/>
          </w:rPr>
          <w:t>62</w:t>
        </w:r>
        <w:r>
          <w:rPr>
            <w:noProof/>
            <w:webHidden/>
          </w:rPr>
          <w:fldChar w:fldCharType="end"/>
        </w:r>
      </w:hyperlink>
    </w:p>
    <w:p w14:paraId="07757FC1" w14:textId="7AE29206"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4" w:history="1">
        <w:r w:rsidRPr="005C6330">
          <w:rPr>
            <w:rStyle w:val="Hypertextovodkaz"/>
            <w:noProof/>
          </w:rPr>
          <w:t>Graf 36: OS – délka řízení v opatrovnické agendě v letech 2010–2021</w:t>
        </w:r>
        <w:r>
          <w:rPr>
            <w:noProof/>
            <w:webHidden/>
          </w:rPr>
          <w:tab/>
        </w:r>
        <w:r>
          <w:rPr>
            <w:noProof/>
            <w:webHidden/>
          </w:rPr>
          <w:fldChar w:fldCharType="begin"/>
        </w:r>
        <w:r>
          <w:rPr>
            <w:noProof/>
            <w:webHidden/>
          </w:rPr>
          <w:instrText xml:space="preserve"> PAGEREF _Toc109801994 \h </w:instrText>
        </w:r>
        <w:r>
          <w:rPr>
            <w:noProof/>
            <w:webHidden/>
          </w:rPr>
        </w:r>
        <w:r>
          <w:rPr>
            <w:noProof/>
            <w:webHidden/>
          </w:rPr>
          <w:fldChar w:fldCharType="separate"/>
        </w:r>
        <w:r>
          <w:rPr>
            <w:noProof/>
            <w:webHidden/>
          </w:rPr>
          <w:t>64</w:t>
        </w:r>
        <w:r>
          <w:rPr>
            <w:noProof/>
            <w:webHidden/>
          </w:rPr>
          <w:fldChar w:fldCharType="end"/>
        </w:r>
      </w:hyperlink>
    </w:p>
    <w:p w14:paraId="41B2BAA6" w14:textId="2067640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5" w:history="1">
        <w:r w:rsidRPr="005C6330">
          <w:rPr>
            <w:rStyle w:val="Hypertextovodkaz"/>
            <w:noProof/>
          </w:rPr>
          <w:t>Graf 37: OS – mediánové délky opatrovnického řízení u jednotlivých soudů</w:t>
        </w:r>
        <w:r>
          <w:rPr>
            <w:noProof/>
            <w:webHidden/>
          </w:rPr>
          <w:tab/>
        </w:r>
        <w:r>
          <w:rPr>
            <w:noProof/>
            <w:webHidden/>
          </w:rPr>
          <w:fldChar w:fldCharType="begin"/>
        </w:r>
        <w:r>
          <w:rPr>
            <w:noProof/>
            <w:webHidden/>
          </w:rPr>
          <w:instrText xml:space="preserve"> PAGEREF _Toc109801995 \h </w:instrText>
        </w:r>
        <w:r>
          <w:rPr>
            <w:noProof/>
            <w:webHidden/>
          </w:rPr>
        </w:r>
        <w:r>
          <w:rPr>
            <w:noProof/>
            <w:webHidden/>
          </w:rPr>
          <w:fldChar w:fldCharType="separate"/>
        </w:r>
        <w:r>
          <w:rPr>
            <w:noProof/>
            <w:webHidden/>
          </w:rPr>
          <w:t>66</w:t>
        </w:r>
        <w:r>
          <w:rPr>
            <w:noProof/>
            <w:webHidden/>
          </w:rPr>
          <w:fldChar w:fldCharType="end"/>
        </w:r>
      </w:hyperlink>
    </w:p>
    <w:p w14:paraId="00AF3A3D" w14:textId="21938CD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6" w:history="1">
        <w:r w:rsidRPr="005C6330">
          <w:rPr>
            <w:rStyle w:val="Hypertextovodkaz"/>
            <w:noProof/>
          </w:rPr>
          <w:t>Graf 38: OS – krabicové grafy, mediánové délky opatrovnického řízení</w:t>
        </w:r>
        <w:r>
          <w:rPr>
            <w:noProof/>
            <w:webHidden/>
          </w:rPr>
          <w:tab/>
        </w:r>
        <w:r>
          <w:rPr>
            <w:noProof/>
            <w:webHidden/>
          </w:rPr>
          <w:fldChar w:fldCharType="begin"/>
        </w:r>
        <w:r>
          <w:rPr>
            <w:noProof/>
            <w:webHidden/>
          </w:rPr>
          <w:instrText xml:space="preserve"> PAGEREF _Toc109801996 \h </w:instrText>
        </w:r>
        <w:r>
          <w:rPr>
            <w:noProof/>
            <w:webHidden/>
          </w:rPr>
        </w:r>
        <w:r>
          <w:rPr>
            <w:noProof/>
            <w:webHidden/>
          </w:rPr>
          <w:fldChar w:fldCharType="separate"/>
        </w:r>
        <w:r>
          <w:rPr>
            <w:noProof/>
            <w:webHidden/>
          </w:rPr>
          <w:t>67</w:t>
        </w:r>
        <w:r>
          <w:rPr>
            <w:noProof/>
            <w:webHidden/>
          </w:rPr>
          <w:fldChar w:fldCharType="end"/>
        </w:r>
      </w:hyperlink>
    </w:p>
    <w:p w14:paraId="5D59F805" w14:textId="6CBC52C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7" w:history="1">
        <w:r w:rsidRPr="005C6330">
          <w:rPr>
            <w:rStyle w:val="Hypertextovodkaz"/>
            <w:noProof/>
          </w:rPr>
          <w:t>Graf 39: OS – krabicové grafy, mediánové délky opatrovnického řízení</w:t>
        </w:r>
        <w:r>
          <w:rPr>
            <w:noProof/>
            <w:webHidden/>
          </w:rPr>
          <w:tab/>
        </w:r>
        <w:r>
          <w:rPr>
            <w:noProof/>
            <w:webHidden/>
          </w:rPr>
          <w:fldChar w:fldCharType="begin"/>
        </w:r>
        <w:r>
          <w:rPr>
            <w:noProof/>
            <w:webHidden/>
          </w:rPr>
          <w:instrText xml:space="preserve"> PAGEREF _Toc109801997 \h </w:instrText>
        </w:r>
        <w:r>
          <w:rPr>
            <w:noProof/>
            <w:webHidden/>
          </w:rPr>
        </w:r>
        <w:r>
          <w:rPr>
            <w:noProof/>
            <w:webHidden/>
          </w:rPr>
          <w:fldChar w:fldCharType="separate"/>
        </w:r>
        <w:r>
          <w:rPr>
            <w:noProof/>
            <w:webHidden/>
          </w:rPr>
          <w:t>68</w:t>
        </w:r>
        <w:r>
          <w:rPr>
            <w:noProof/>
            <w:webHidden/>
          </w:rPr>
          <w:fldChar w:fldCharType="end"/>
        </w:r>
      </w:hyperlink>
    </w:p>
    <w:p w14:paraId="5F8CCB0E" w14:textId="12B1800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8" w:history="1">
        <w:r w:rsidRPr="005C6330">
          <w:rPr>
            <w:rStyle w:val="Hypertextovodkaz"/>
            <w:noProof/>
          </w:rPr>
          <w:t>Graf 40: OS – vyřizování věcí v opatrovnické agendě v letech 2008–2021</w:t>
        </w:r>
        <w:r>
          <w:rPr>
            <w:noProof/>
            <w:webHidden/>
          </w:rPr>
          <w:tab/>
        </w:r>
        <w:r>
          <w:rPr>
            <w:noProof/>
            <w:webHidden/>
          </w:rPr>
          <w:fldChar w:fldCharType="begin"/>
        </w:r>
        <w:r>
          <w:rPr>
            <w:noProof/>
            <w:webHidden/>
          </w:rPr>
          <w:instrText xml:space="preserve"> PAGEREF _Toc109801998 \h </w:instrText>
        </w:r>
        <w:r>
          <w:rPr>
            <w:noProof/>
            <w:webHidden/>
          </w:rPr>
        </w:r>
        <w:r>
          <w:rPr>
            <w:noProof/>
            <w:webHidden/>
          </w:rPr>
          <w:fldChar w:fldCharType="separate"/>
        </w:r>
        <w:r>
          <w:rPr>
            <w:noProof/>
            <w:webHidden/>
          </w:rPr>
          <w:t>69</w:t>
        </w:r>
        <w:r>
          <w:rPr>
            <w:noProof/>
            <w:webHidden/>
          </w:rPr>
          <w:fldChar w:fldCharType="end"/>
        </w:r>
      </w:hyperlink>
    </w:p>
    <w:p w14:paraId="3756CB54" w14:textId="0BCBCF9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1999" w:history="1">
        <w:r w:rsidRPr="005C6330">
          <w:rPr>
            <w:rStyle w:val="Hypertextovodkaz"/>
            <w:noProof/>
          </w:rPr>
          <w:t>Graf 41: OS – počet nevyříz. opatrov. věcí na úvazky soudce u jednotlivých soudů</w:t>
        </w:r>
        <w:r>
          <w:rPr>
            <w:noProof/>
            <w:webHidden/>
          </w:rPr>
          <w:tab/>
        </w:r>
        <w:r>
          <w:rPr>
            <w:noProof/>
            <w:webHidden/>
          </w:rPr>
          <w:fldChar w:fldCharType="begin"/>
        </w:r>
        <w:r>
          <w:rPr>
            <w:noProof/>
            <w:webHidden/>
          </w:rPr>
          <w:instrText xml:space="preserve"> PAGEREF _Toc109801999 \h </w:instrText>
        </w:r>
        <w:r>
          <w:rPr>
            <w:noProof/>
            <w:webHidden/>
          </w:rPr>
        </w:r>
        <w:r>
          <w:rPr>
            <w:noProof/>
            <w:webHidden/>
          </w:rPr>
          <w:fldChar w:fldCharType="separate"/>
        </w:r>
        <w:r>
          <w:rPr>
            <w:noProof/>
            <w:webHidden/>
          </w:rPr>
          <w:t>70</w:t>
        </w:r>
        <w:r>
          <w:rPr>
            <w:noProof/>
            <w:webHidden/>
          </w:rPr>
          <w:fldChar w:fldCharType="end"/>
        </w:r>
      </w:hyperlink>
    </w:p>
    <w:p w14:paraId="17C316EE" w14:textId="6C7A681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0" w:history="1">
        <w:r w:rsidRPr="005C6330">
          <w:rPr>
            <w:rStyle w:val="Hypertextovodkaz"/>
            <w:noProof/>
          </w:rPr>
          <w:t>Graf 42: OS – disposition time v opatrovnické agendě v letech 2008–2021</w:t>
        </w:r>
        <w:r>
          <w:rPr>
            <w:noProof/>
            <w:webHidden/>
          </w:rPr>
          <w:tab/>
        </w:r>
        <w:r>
          <w:rPr>
            <w:noProof/>
            <w:webHidden/>
          </w:rPr>
          <w:fldChar w:fldCharType="begin"/>
        </w:r>
        <w:r>
          <w:rPr>
            <w:noProof/>
            <w:webHidden/>
          </w:rPr>
          <w:instrText xml:space="preserve"> PAGEREF _Toc109802000 \h </w:instrText>
        </w:r>
        <w:r>
          <w:rPr>
            <w:noProof/>
            <w:webHidden/>
          </w:rPr>
        </w:r>
        <w:r>
          <w:rPr>
            <w:noProof/>
            <w:webHidden/>
          </w:rPr>
          <w:fldChar w:fldCharType="separate"/>
        </w:r>
        <w:r>
          <w:rPr>
            <w:noProof/>
            <w:webHidden/>
          </w:rPr>
          <w:t>71</w:t>
        </w:r>
        <w:r>
          <w:rPr>
            <w:noProof/>
            <w:webHidden/>
          </w:rPr>
          <w:fldChar w:fldCharType="end"/>
        </w:r>
      </w:hyperlink>
    </w:p>
    <w:p w14:paraId="325371E4" w14:textId="2E7EBF1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1" w:history="1">
        <w:r w:rsidRPr="005C6330">
          <w:rPr>
            <w:rStyle w:val="Hypertextovodkaz"/>
            <w:noProof/>
          </w:rPr>
          <w:t>Graf 43: OS – disposition time v opatrovnické agendě u jednotlivých soudů</w:t>
        </w:r>
        <w:r>
          <w:rPr>
            <w:noProof/>
            <w:webHidden/>
          </w:rPr>
          <w:tab/>
        </w:r>
        <w:r>
          <w:rPr>
            <w:noProof/>
            <w:webHidden/>
          </w:rPr>
          <w:fldChar w:fldCharType="begin"/>
        </w:r>
        <w:r>
          <w:rPr>
            <w:noProof/>
            <w:webHidden/>
          </w:rPr>
          <w:instrText xml:space="preserve"> PAGEREF _Toc109802001 \h </w:instrText>
        </w:r>
        <w:r>
          <w:rPr>
            <w:noProof/>
            <w:webHidden/>
          </w:rPr>
        </w:r>
        <w:r>
          <w:rPr>
            <w:noProof/>
            <w:webHidden/>
          </w:rPr>
          <w:fldChar w:fldCharType="separate"/>
        </w:r>
        <w:r>
          <w:rPr>
            <w:noProof/>
            <w:webHidden/>
          </w:rPr>
          <w:t>72</w:t>
        </w:r>
        <w:r>
          <w:rPr>
            <w:noProof/>
            <w:webHidden/>
          </w:rPr>
          <w:fldChar w:fldCharType="end"/>
        </w:r>
      </w:hyperlink>
    </w:p>
    <w:p w14:paraId="464511F8" w14:textId="7290047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2" w:history="1">
        <w:r w:rsidRPr="005C6330">
          <w:rPr>
            <w:rStyle w:val="Hypertextovodkaz"/>
            <w:noProof/>
          </w:rPr>
          <w:t>Graf 44: OS – míra odvolání u jednotlivých soudů v opatrovnickém řízení</w:t>
        </w:r>
        <w:r>
          <w:rPr>
            <w:noProof/>
            <w:webHidden/>
          </w:rPr>
          <w:tab/>
        </w:r>
        <w:r>
          <w:rPr>
            <w:noProof/>
            <w:webHidden/>
          </w:rPr>
          <w:fldChar w:fldCharType="begin"/>
        </w:r>
        <w:r>
          <w:rPr>
            <w:noProof/>
            <w:webHidden/>
          </w:rPr>
          <w:instrText xml:space="preserve"> PAGEREF _Toc109802002 \h </w:instrText>
        </w:r>
        <w:r>
          <w:rPr>
            <w:noProof/>
            <w:webHidden/>
          </w:rPr>
        </w:r>
        <w:r>
          <w:rPr>
            <w:noProof/>
            <w:webHidden/>
          </w:rPr>
          <w:fldChar w:fldCharType="separate"/>
        </w:r>
        <w:r>
          <w:rPr>
            <w:noProof/>
            <w:webHidden/>
          </w:rPr>
          <w:t>74</w:t>
        </w:r>
        <w:r>
          <w:rPr>
            <w:noProof/>
            <w:webHidden/>
          </w:rPr>
          <w:fldChar w:fldCharType="end"/>
        </w:r>
      </w:hyperlink>
    </w:p>
    <w:p w14:paraId="62CF1E46" w14:textId="23DF96A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3" w:history="1">
        <w:r w:rsidRPr="005C6330">
          <w:rPr>
            <w:rStyle w:val="Hypertextovodkaz"/>
            <w:noProof/>
          </w:rPr>
          <w:t>Graf 45: OS – míra změny rozsudku u jednotlivých soudů v opatrov. řízení</w:t>
        </w:r>
        <w:r>
          <w:rPr>
            <w:noProof/>
            <w:webHidden/>
          </w:rPr>
          <w:tab/>
        </w:r>
        <w:r>
          <w:rPr>
            <w:noProof/>
            <w:webHidden/>
          </w:rPr>
          <w:fldChar w:fldCharType="begin"/>
        </w:r>
        <w:r>
          <w:rPr>
            <w:noProof/>
            <w:webHidden/>
          </w:rPr>
          <w:instrText xml:space="preserve"> PAGEREF _Toc109802003 \h </w:instrText>
        </w:r>
        <w:r>
          <w:rPr>
            <w:noProof/>
            <w:webHidden/>
          </w:rPr>
        </w:r>
        <w:r>
          <w:rPr>
            <w:noProof/>
            <w:webHidden/>
          </w:rPr>
          <w:fldChar w:fldCharType="separate"/>
        </w:r>
        <w:r>
          <w:rPr>
            <w:noProof/>
            <w:webHidden/>
          </w:rPr>
          <w:t>75</w:t>
        </w:r>
        <w:r>
          <w:rPr>
            <w:noProof/>
            <w:webHidden/>
          </w:rPr>
          <w:fldChar w:fldCharType="end"/>
        </w:r>
      </w:hyperlink>
    </w:p>
    <w:p w14:paraId="3EC952B3" w14:textId="2374E94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4" w:history="1">
        <w:r w:rsidRPr="005C6330">
          <w:rPr>
            <w:rStyle w:val="Hypertextovodkaz"/>
            <w:noProof/>
          </w:rPr>
          <w:t>Graf 46: OS – průměrná výše výživného dle povinné osoby v letech 2012–2021</w:t>
        </w:r>
        <w:r>
          <w:rPr>
            <w:noProof/>
            <w:webHidden/>
          </w:rPr>
          <w:tab/>
        </w:r>
        <w:r>
          <w:rPr>
            <w:noProof/>
            <w:webHidden/>
          </w:rPr>
          <w:fldChar w:fldCharType="begin"/>
        </w:r>
        <w:r>
          <w:rPr>
            <w:noProof/>
            <w:webHidden/>
          </w:rPr>
          <w:instrText xml:space="preserve"> PAGEREF _Toc109802004 \h </w:instrText>
        </w:r>
        <w:r>
          <w:rPr>
            <w:noProof/>
            <w:webHidden/>
          </w:rPr>
        </w:r>
        <w:r>
          <w:rPr>
            <w:noProof/>
            <w:webHidden/>
          </w:rPr>
          <w:fldChar w:fldCharType="separate"/>
        </w:r>
        <w:r>
          <w:rPr>
            <w:noProof/>
            <w:webHidden/>
          </w:rPr>
          <w:t>76</w:t>
        </w:r>
        <w:r>
          <w:rPr>
            <w:noProof/>
            <w:webHidden/>
          </w:rPr>
          <w:fldChar w:fldCharType="end"/>
        </w:r>
      </w:hyperlink>
    </w:p>
    <w:p w14:paraId="4C766CC0" w14:textId="3FAE6C83"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5" w:history="1">
        <w:r w:rsidRPr="005C6330">
          <w:rPr>
            <w:rStyle w:val="Hypertextovodkaz"/>
            <w:noProof/>
          </w:rPr>
          <w:t>Graf 47: OS – podíl na příjmu povinné osoby v letech 2012–2021</w:t>
        </w:r>
        <w:r>
          <w:rPr>
            <w:noProof/>
            <w:webHidden/>
          </w:rPr>
          <w:tab/>
        </w:r>
        <w:r>
          <w:rPr>
            <w:noProof/>
            <w:webHidden/>
          </w:rPr>
          <w:fldChar w:fldCharType="begin"/>
        </w:r>
        <w:r>
          <w:rPr>
            <w:noProof/>
            <w:webHidden/>
          </w:rPr>
          <w:instrText xml:space="preserve"> PAGEREF _Toc109802005 \h </w:instrText>
        </w:r>
        <w:r>
          <w:rPr>
            <w:noProof/>
            <w:webHidden/>
          </w:rPr>
        </w:r>
        <w:r>
          <w:rPr>
            <w:noProof/>
            <w:webHidden/>
          </w:rPr>
          <w:fldChar w:fldCharType="separate"/>
        </w:r>
        <w:r>
          <w:rPr>
            <w:noProof/>
            <w:webHidden/>
          </w:rPr>
          <w:t>77</w:t>
        </w:r>
        <w:r>
          <w:rPr>
            <w:noProof/>
            <w:webHidden/>
          </w:rPr>
          <w:fldChar w:fldCharType="end"/>
        </w:r>
      </w:hyperlink>
    </w:p>
    <w:p w14:paraId="7636E5C7" w14:textId="6CD2FC7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6" w:history="1">
        <w:r w:rsidRPr="005C6330">
          <w:rPr>
            <w:rStyle w:val="Hypertextovodkaz"/>
            <w:noProof/>
          </w:rPr>
          <w:t>Graf 48: OS – svěřování dítěte do péče</w:t>
        </w:r>
        <w:r>
          <w:rPr>
            <w:noProof/>
            <w:webHidden/>
          </w:rPr>
          <w:tab/>
        </w:r>
        <w:r>
          <w:rPr>
            <w:noProof/>
            <w:webHidden/>
          </w:rPr>
          <w:fldChar w:fldCharType="begin"/>
        </w:r>
        <w:r>
          <w:rPr>
            <w:noProof/>
            <w:webHidden/>
          </w:rPr>
          <w:instrText xml:space="preserve"> PAGEREF _Toc109802006 \h </w:instrText>
        </w:r>
        <w:r>
          <w:rPr>
            <w:noProof/>
            <w:webHidden/>
          </w:rPr>
        </w:r>
        <w:r>
          <w:rPr>
            <w:noProof/>
            <w:webHidden/>
          </w:rPr>
          <w:fldChar w:fldCharType="separate"/>
        </w:r>
        <w:r>
          <w:rPr>
            <w:noProof/>
            <w:webHidden/>
          </w:rPr>
          <w:t>78</w:t>
        </w:r>
        <w:r>
          <w:rPr>
            <w:noProof/>
            <w:webHidden/>
          </w:rPr>
          <w:fldChar w:fldCharType="end"/>
        </w:r>
      </w:hyperlink>
    </w:p>
    <w:p w14:paraId="3319EFF1" w14:textId="1C8D377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7" w:history="1">
        <w:r w:rsidRPr="005C6330">
          <w:rPr>
            <w:rStyle w:val="Hypertextovodkaz"/>
            <w:noProof/>
          </w:rPr>
          <w:t>Graf 49: OS – podpůrná opatření a svéprávnost v letech 2014 až 2021</w:t>
        </w:r>
        <w:r>
          <w:rPr>
            <w:noProof/>
            <w:webHidden/>
          </w:rPr>
          <w:tab/>
        </w:r>
        <w:r>
          <w:rPr>
            <w:noProof/>
            <w:webHidden/>
          </w:rPr>
          <w:fldChar w:fldCharType="begin"/>
        </w:r>
        <w:r>
          <w:rPr>
            <w:noProof/>
            <w:webHidden/>
          </w:rPr>
          <w:instrText xml:space="preserve"> PAGEREF _Toc109802007 \h </w:instrText>
        </w:r>
        <w:r>
          <w:rPr>
            <w:noProof/>
            <w:webHidden/>
          </w:rPr>
        </w:r>
        <w:r>
          <w:rPr>
            <w:noProof/>
            <w:webHidden/>
          </w:rPr>
          <w:fldChar w:fldCharType="separate"/>
        </w:r>
        <w:r>
          <w:rPr>
            <w:noProof/>
            <w:webHidden/>
          </w:rPr>
          <w:t>80</w:t>
        </w:r>
        <w:r>
          <w:rPr>
            <w:noProof/>
            <w:webHidden/>
          </w:rPr>
          <w:fldChar w:fldCharType="end"/>
        </w:r>
      </w:hyperlink>
    </w:p>
    <w:p w14:paraId="0516B2B7" w14:textId="1AF3F35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8" w:history="1">
        <w:r w:rsidRPr="005C6330">
          <w:rPr>
            <w:rStyle w:val="Hypertextovodkaz"/>
            <w:noProof/>
          </w:rPr>
          <w:t>Graf 50: OS – podpůrná opatření a svéprávnost dle typu rozhodnutí (2021)</w:t>
        </w:r>
        <w:r>
          <w:rPr>
            <w:noProof/>
            <w:webHidden/>
          </w:rPr>
          <w:tab/>
        </w:r>
        <w:r>
          <w:rPr>
            <w:noProof/>
            <w:webHidden/>
          </w:rPr>
          <w:fldChar w:fldCharType="begin"/>
        </w:r>
        <w:r>
          <w:rPr>
            <w:noProof/>
            <w:webHidden/>
          </w:rPr>
          <w:instrText xml:space="preserve"> PAGEREF _Toc109802008 \h </w:instrText>
        </w:r>
        <w:r>
          <w:rPr>
            <w:noProof/>
            <w:webHidden/>
          </w:rPr>
        </w:r>
        <w:r>
          <w:rPr>
            <w:noProof/>
            <w:webHidden/>
          </w:rPr>
          <w:fldChar w:fldCharType="separate"/>
        </w:r>
        <w:r>
          <w:rPr>
            <w:noProof/>
            <w:webHidden/>
          </w:rPr>
          <w:t>81</w:t>
        </w:r>
        <w:r>
          <w:rPr>
            <w:noProof/>
            <w:webHidden/>
          </w:rPr>
          <w:fldChar w:fldCharType="end"/>
        </w:r>
      </w:hyperlink>
    </w:p>
    <w:p w14:paraId="52D2D8DE" w14:textId="0BBBBF4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09" w:history="1">
        <w:r w:rsidRPr="005C6330">
          <w:rPr>
            <w:rStyle w:val="Hypertextovodkaz"/>
            <w:noProof/>
          </w:rPr>
          <w:t>Graf 51: OS – podpůrná opatření a svéprávnost, věková pyramida (2021)</w:t>
        </w:r>
        <w:r>
          <w:rPr>
            <w:noProof/>
            <w:webHidden/>
          </w:rPr>
          <w:tab/>
        </w:r>
        <w:r>
          <w:rPr>
            <w:noProof/>
            <w:webHidden/>
          </w:rPr>
          <w:fldChar w:fldCharType="begin"/>
        </w:r>
        <w:r>
          <w:rPr>
            <w:noProof/>
            <w:webHidden/>
          </w:rPr>
          <w:instrText xml:space="preserve"> PAGEREF _Toc109802009 \h </w:instrText>
        </w:r>
        <w:r>
          <w:rPr>
            <w:noProof/>
            <w:webHidden/>
          </w:rPr>
        </w:r>
        <w:r>
          <w:rPr>
            <w:noProof/>
            <w:webHidden/>
          </w:rPr>
          <w:fldChar w:fldCharType="separate"/>
        </w:r>
        <w:r>
          <w:rPr>
            <w:noProof/>
            <w:webHidden/>
          </w:rPr>
          <w:t>82</w:t>
        </w:r>
        <w:r>
          <w:rPr>
            <w:noProof/>
            <w:webHidden/>
          </w:rPr>
          <w:fldChar w:fldCharType="end"/>
        </w:r>
      </w:hyperlink>
    </w:p>
    <w:p w14:paraId="7DD693F0" w14:textId="5130C7A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0" w:history="1">
        <w:r w:rsidRPr="005C6330">
          <w:rPr>
            <w:rStyle w:val="Hypertextovodkaz"/>
            <w:noProof/>
          </w:rPr>
          <w:t>Graf 52: KS – počet soudců v letech 2008–2021</w:t>
        </w:r>
        <w:r>
          <w:rPr>
            <w:noProof/>
            <w:webHidden/>
          </w:rPr>
          <w:tab/>
        </w:r>
        <w:r>
          <w:rPr>
            <w:noProof/>
            <w:webHidden/>
          </w:rPr>
          <w:fldChar w:fldCharType="begin"/>
        </w:r>
        <w:r>
          <w:rPr>
            <w:noProof/>
            <w:webHidden/>
          </w:rPr>
          <w:instrText xml:space="preserve"> PAGEREF _Toc109802010 \h </w:instrText>
        </w:r>
        <w:r>
          <w:rPr>
            <w:noProof/>
            <w:webHidden/>
          </w:rPr>
        </w:r>
        <w:r>
          <w:rPr>
            <w:noProof/>
            <w:webHidden/>
          </w:rPr>
          <w:fldChar w:fldCharType="separate"/>
        </w:r>
        <w:r>
          <w:rPr>
            <w:noProof/>
            <w:webHidden/>
          </w:rPr>
          <w:t>88</w:t>
        </w:r>
        <w:r>
          <w:rPr>
            <w:noProof/>
            <w:webHidden/>
          </w:rPr>
          <w:fldChar w:fldCharType="end"/>
        </w:r>
      </w:hyperlink>
    </w:p>
    <w:p w14:paraId="2BF64F7B" w14:textId="421F830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1" w:history="1">
        <w:r w:rsidRPr="005C6330">
          <w:rPr>
            <w:rStyle w:val="Hypertextovodkaz"/>
            <w:noProof/>
          </w:rPr>
          <w:t>Graf 53: KS – evidenční počet soudců dle soudních úseků v letech 2008–2021</w:t>
        </w:r>
        <w:r>
          <w:rPr>
            <w:noProof/>
            <w:webHidden/>
          </w:rPr>
          <w:tab/>
        </w:r>
        <w:r>
          <w:rPr>
            <w:noProof/>
            <w:webHidden/>
          </w:rPr>
          <w:fldChar w:fldCharType="begin"/>
        </w:r>
        <w:r>
          <w:rPr>
            <w:noProof/>
            <w:webHidden/>
          </w:rPr>
          <w:instrText xml:space="preserve"> PAGEREF _Toc109802011 \h </w:instrText>
        </w:r>
        <w:r>
          <w:rPr>
            <w:noProof/>
            <w:webHidden/>
          </w:rPr>
        </w:r>
        <w:r>
          <w:rPr>
            <w:noProof/>
            <w:webHidden/>
          </w:rPr>
          <w:fldChar w:fldCharType="separate"/>
        </w:r>
        <w:r>
          <w:rPr>
            <w:noProof/>
            <w:webHidden/>
          </w:rPr>
          <w:t>89</w:t>
        </w:r>
        <w:r>
          <w:rPr>
            <w:noProof/>
            <w:webHidden/>
          </w:rPr>
          <w:fldChar w:fldCharType="end"/>
        </w:r>
      </w:hyperlink>
    </w:p>
    <w:p w14:paraId="2353EDBD" w14:textId="3AEE761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2" w:history="1">
        <w:r w:rsidRPr="005C6330">
          <w:rPr>
            <w:rStyle w:val="Hypertextovodkaz"/>
            <w:noProof/>
          </w:rPr>
          <w:t>Graf 54: KS – evidenční počet soudců dle pohlaví v letech 2008–2021</w:t>
        </w:r>
        <w:r>
          <w:rPr>
            <w:noProof/>
            <w:webHidden/>
          </w:rPr>
          <w:tab/>
        </w:r>
        <w:r>
          <w:rPr>
            <w:noProof/>
            <w:webHidden/>
          </w:rPr>
          <w:fldChar w:fldCharType="begin"/>
        </w:r>
        <w:r>
          <w:rPr>
            <w:noProof/>
            <w:webHidden/>
          </w:rPr>
          <w:instrText xml:space="preserve"> PAGEREF _Toc109802012 \h </w:instrText>
        </w:r>
        <w:r>
          <w:rPr>
            <w:noProof/>
            <w:webHidden/>
          </w:rPr>
        </w:r>
        <w:r>
          <w:rPr>
            <w:noProof/>
            <w:webHidden/>
          </w:rPr>
          <w:fldChar w:fldCharType="separate"/>
        </w:r>
        <w:r>
          <w:rPr>
            <w:noProof/>
            <w:webHidden/>
          </w:rPr>
          <w:t>90</w:t>
        </w:r>
        <w:r>
          <w:rPr>
            <w:noProof/>
            <w:webHidden/>
          </w:rPr>
          <w:fldChar w:fldCharType="end"/>
        </w:r>
      </w:hyperlink>
    </w:p>
    <w:p w14:paraId="65D42D25" w14:textId="4A0F8C5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3" w:history="1">
        <w:r w:rsidRPr="005C6330">
          <w:rPr>
            <w:rStyle w:val="Hypertextovodkaz"/>
            <w:noProof/>
          </w:rPr>
          <w:t>Graf 55: KS – věkové složení soudců v letech 2008–2021</w:t>
        </w:r>
        <w:r>
          <w:rPr>
            <w:noProof/>
            <w:webHidden/>
          </w:rPr>
          <w:tab/>
        </w:r>
        <w:r>
          <w:rPr>
            <w:noProof/>
            <w:webHidden/>
          </w:rPr>
          <w:fldChar w:fldCharType="begin"/>
        </w:r>
        <w:r>
          <w:rPr>
            <w:noProof/>
            <w:webHidden/>
          </w:rPr>
          <w:instrText xml:space="preserve"> PAGEREF _Toc109802013 \h </w:instrText>
        </w:r>
        <w:r>
          <w:rPr>
            <w:noProof/>
            <w:webHidden/>
          </w:rPr>
        </w:r>
        <w:r>
          <w:rPr>
            <w:noProof/>
            <w:webHidden/>
          </w:rPr>
          <w:fldChar w:fldCharType="separate"/>
        </w:r>
        <w:r>
          <w:rPr>
            <w:noProof/>
            <w:webHidden/>
          </w:rPr>
          <w:t>91</w:t>
        </w:r>
        <w:r>
          <w:rPr>
            <w:noProof/>
            <w:webHidden/>
          </w:rPr>
          <w:fldChar w:fldCharType="end"/>
        </w:r>
      </w:hyperlink>
    </w:p>
    <w:p w14:paraId="17D4DB35" w14:textId="2F3A0FF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4" w:history="1">
        <w:r w:rsidRPr="005C6330">
          <w:rPr>
            <w:rStyle w:val="Hypertextovodkaz"/>
            <w:noProof/>
          </w:rPr>
          <w:t>Graf 56: KS – délka prvostupňového civilního řízení v letech 2008–2021</w:t>
        </w:r>
        <w:r>
          <w:rPr>
            <w:noProof/>
            <w:webHidden/>
          </w:rPr>
          <w:tab/>
        </w:r>
        <w:r>
          <w:rPr>
            <w:noProof/>
            <w:webHidden/>
          </w:rPr>
          <w:fldChar w:fldCharType="begin"/>
        </w:r>
        <w:r>
          <w:rPr>
            <w:noProof/>
            <w:webHidden/>
          </w:rPr>
          <w:instrText xml:space="preserve"> PAGEREF _Toc109802014 \h </w:instrText>
        </w:r>
        <w:r>
          <w:rPr>
            <w:noProof/>
            <w:webHidden/>
          </w:rPr>
        </w:r>
        <w:r>
          <w:rPr>
            <w:noProof/>
            <w:webHidden/>
          </w:rPr>
          <w:fldChar w:fldCharType="separate"/>
        </w:r>
        <w:r>
          <w:rPr>
            <w:noProof/>
            <w:webHidden/>
          </w:rPr>
          <w:t>97</w:t>
        </w:r>
        <w:r>
          <w:rPr>
            <w:noProof/>
            <w:webHidden/>
          </w:rPr>
          <w:fldChar w:fldCharType="end"/>
        </w:r>
      </w:hyperlink>
    </w:p>
    <w:p w14:paraId="5BEA2FE8" w14:textId="4BD15DD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5" w:history="1">
        <w:r w:rsidRPr="005C6330">
          <w:rPr>
            <w:rStyle w:val="Hypertextovodkaz"/>
            <w:noProof/>
          </w:rPr>
          <w:t>Graf 57: KS – distribuce délek prvostupňového civilního řízení</w:t>
        </w:r>
        <w:r>
          <w:rPr>
            <w:noProof/>
            <w:webHidden/>
          </w:rPr>
          <w:tab/>
        </w:r>
        <w:r>
          <w:rPr>
            <w:noProof/>
            <w:webHidden/>
          </w:rPr>
          <w:fldChar w:fldCharType="begin"/>
        </w:r>
        <w:r>
          <w:rPr>
            <w:noProof/>
            <w:webHidden/>
          </w:rPr>
          <w:instrText xml:space="preserve"> PAGEREF _Toc109802015 \h </w:instrText>
        </w:r>
        <w:r>
          <w:rPr>
            <w:noProof/>
            <w:webHidden/>
          </w:rPr>
        </w:r>
        <w:r>
          <w:rPr>
            <w:noProof/>
            <w:webHidden/>
          </w:rPr>
          <w:fldChar w:fldCharType="separate"/>
        </w:r>
        <w:r>
          <w:rPr>
            <w:noProof/>
            <w:webHidden/>
          </w:rPr>
          <w:t>98</w:t>
        </w:r>
        <w:r>
          <w:rPr>
            <w:noProof/>
            <w:webHidden/>
          </w:rPr>
          <w:fldChar w:fldCharType="end"/>
        </w:r>
      </w:hyperlink>
    </w:p>
    <w:p w14:paraId="423CC534" w14:textId="07B55DA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6" w:history="1">
        <w:r w:rsidRPr="005C6330">
          <w:rPr>
            <w:rStyle w:val="Hypertextovodkaz"/>
            <w:noProof/>
          </w:rPr>
          <w:t>Graf 58: KS – vyřizování prvostupňových civilních věcí v letech 2008–2021</w:t>
        </w:r>
        <w:r>
          <w:rPr>
            <w:noProof/>
            <w:webHidden/>
          </w:rPr>
          <w:tab/>
        </w:r>
        <w:r>
          <w:rPr>
            <w:noProof/>
            <w:webHidden/>
          </w:rPr>
          <w:fldChar w:fldCharType="begin"/>
        </w:r>
        <w:r>
          <w:rPr>
            <w:noProof/>
            <w:webHidden/>
          </w:rPr>
          <w:instrText xml:space="preserve"> PAGEREF _Toc109802016 \h </w:instrText>
        </w:r>
        <w:r>
          <w:rPr>
            <w:noProof/>
            <w:webHidden/>
          </w:rPr>
        </w:r>
        <w:r>
          <w:rPr>
            <w:noProof/>
            <w:webHidden/>
          </w:rPr>
          <w:fldChar w:fldCharType="separate"/>
        </w:r>
        <w:r>
          <w:rPr>
            <w:noProof/>
            <w:webHidden/>
          </w:rPr>
          <w:t>99</w:t>
        </w:r>
        <w:r>
          <w:rPr>
            <w:noProof/>
            <w:webHidden/>
          </w:rPr>
          <w:fldChar w:fldCharType="end"/>
        </w:r>
      </w:hyperlink>
    </w:p>
    <w:p w14:paraId="30662147" w14:textId="53BDE6A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7" w:history="1">
        <w:r w:rsidRPr="005C6330">
          <w:rPr>
            <w:rStyle w:val="Hypertextovodkaz"/>
            <w:noProof/>
          </w:rPr>
          <w:t>Graf 59: KS – vyřizování věcí v letech 2008–2021, pouze rejstřík Cm</w:t>
        </w:r>
        <w:r>
          <w:rPr>
            <w:noProof/>
            <w:webHidden/>
          </w:rPr>
          <w:tab/>
        </w:r>
        <w:r>
          <w:rPr>
            <w:noProof/>
            <w:webHidden/>
          </w:rPr>
          <w:fldChar w:fldCharType="begin"/>
        </w:r>
        <w:r>
          <w:rPr>
            <w:noProof/>
            <w:webHidden/>
          </w:rPr>
          <w:instrText xml:space="preserve"> PAGEREF _Toc109802017 \h </w:instrText>
        </w:r>
        <w:r>
          <w:rPr>
            <w:noProof/>
            <w:webHidden/>
          </w:rPr>
        </w:r>
        <w:r>
          <w:rPr>
            <w:noProof/>
            <w:webHidden/>
          </w:rPr>
          <w:fldChar w:fldCharType="separate"/>
        </w:r>
        <w:r>
          <w:rPr>
            <w:noProof/>
            <w:webHidden/>
          </w:rPr>
          <w:t>100</w:t>
        </w:r>
        <w:r>
          <w:rPr>
            <w:noProof/>
            <w:webHidden/>
          </w:rPr>
          <w:fldChar w:fldCharType="end"/>
        </w:r>
      </w:hyperlink>
    </w:p>
    <w:p w14:paraId="59175BE9" w14:textId="1188B66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8" w:history="1">
        <w:r w:rsidRPr="005C6330">
          <w:rPr>
            <w:rStyle w:val="Hypertextovodkaz"/>
            <w:noProof/>
          </w:rPr>
          <w:t>Graf 60: KS – DT prvostupňového civilního řízení v letech 2008–2021</w:t>
        </w:r>
        <w:r>
          <w:rPr>
            <w:noProof/>
            <w:webHidden/>
          </w:rPr>
          <w:tab/>
        </w:r>
        <w:r>
          <w:rPr>
            <w:noProof/>
            <w:webHidden/>
          </w:rPr>
          <w:fldChar w:fldCharType="begin"/>
        </w:r>
        <w:r>
          <w:rPr>
            <w:noProof/>
            <w:webHidden/>
          </w:rPr>
          <w:instrText xml:space="preserve"> PAGEREF _Toc109802018 \h </w:instrText>
        </w:r>
        <w:r>
          <w:rPr>
            <w:noProof/>
            <w:webHidden/>
          </w:rPr>
        </w:r>
        <w:r>
          <w:rPr>
            <w:noProof/>
            <w:webHidden/>
          </w:rPr>
          <w:fldChar w:fldCharType="separate"/>
        </w:r>
        <w:r>
          <w:rPr>
            <w:noProof/>
            <w:webHidden/>
          </w:rPr>
          <w:t>102</w:t>
        </w:r>
        <w:r>
          <w:rPr>
            <w:noProof/>
            <w:webHidden/>
          </w:rPr>
          <w:fldChar w:fldCharType="end"/>
        </w:r>
      </w:hyperlink>
    </w:p>
    <w:p w14:paraId="702DDF8B" w14:textId="53E3A57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19" w:history="1">
        <w:r w:rsidRPr="005C6330">
          <w:rPr>
            <w:rStyle w:val="Hypertextovodkaz"/>
            <w:noProof/>
          </w:rPr>
          <w:t>Graf 61: KS – délka odvolacího civilního řízení v letech 2010–2021</w:t>
        </w:r>
        <w:r>
          <w:rPr>
            <w:noProof/>
            <w:webHidden/>
          </w:rPr>
          <w:tab/>
        </w:r>
        <w:r>
          <w:rPr>
            <w:noProof/>
            <w:webHidden/>
          </w:rPr>
          <w:fldChar w:fldCharType="begin"/>
        </w:r>
        <w:r>
          <w:rPr>
            <w:noProof/>
            <w:webHidden/>
          </w:rPr>
          <w:instrText xml:space="preserve"> PAGEREF _Toc109802019 \h </w:instrText>
        </w:r>
        <w:r>
          <w:rPr>
            <w:noProof/>
            <w:webHidden/>
          </w:rPr>
        </w:r>
        <w:r>
          <w:rPr>
            <w:noProof/>
            <w:webHidden/>
          </w:rPr>
          <w:fldChar w:fldCharType="separate"/>
        </w:r>
        <w:r>
          <w:rPr>
            <w:noProof/>
            <w:webHidden/>
          </w:rPr>
          <w:t>106</w:t>
        </w:r>
        <w:r>
          <w:rPr>
            <w:noProof/>
            <w:webHidden/>
          </w:rPr>
          <w:fldChar w:fldCharType="end"/>
        </w:r>
      </w:hyperlink>
    </w:p>
    <w:p w14:paraId="2AE5D8E6" w14:textId="57F9CDE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0" w:history="1">
        <w:r w:rsidRPr="005C6330">
          <w:rPr>
            <w:rStyle w:val="Hypertextovodkaz"/>
            <w:noProof/>
          </w:rPr>
          <w:t>Graf 62: KS – distribuce délek odvolacího civilního řízení</w:t>
        </w:r>
        <w:r>
          <w:rPr>
            <w:noProof/>
            <w:webHidden/>
          </w:rPr>
          <w:tab/>
        </w:r>
        <w:r>
          <w:rPr>
            <w:noProof/>
            <w:webHidden/>
          </w:rPr>
          <w:fldChar w:fldCharType="begin"/>
        </w:r>
        <w:r>
          <w:rPr>
            <w:noProof/>
            <w:webHidden/>
          </w:rPr>
          <w:instrText xml:space="preserve"> PAGEREF _Toc109802020 \h </w:instrText>
        </w:r>
        <w:r>
          <w:rPr>
            <w:noProof/>
            <w:webHidden/>
          </w:rPr>
        </w:r>
        <w:r>
          <w:rPr>
            <w:noProof/>
            <w:webHidden/>
          </w:rPr>
          <w:fldChar w:fldCharType="separate"/>
        </w:r>
        <w:r>
          <w:rPr>
            <w:noProof/>
            <w:webHidden/>
          </w:rPr>
          <w:t>108</w:t>
        </w:r>
        <w:r>
          <w:rPr>
            <w:noProof/>
            <w:webHidden/>
          </w:rPr>
          <w:fldChar w:fldCharType="end"/>
        </w:r>
      </w:hyperlink>
    </w:p>
    <w:p w14:paraId="4EBEBDB4" w14:textId="5DD7D75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1" w:history="1">
        <w:r w:rsidRPr="005C6330">
          <w:rPr>
            <w:rStyle w:val="Hypertextovodkaz"/>
            <w:noProof/>
          </w:rPr>
          <w:t>Graf 63: KS – vyřizování odvolacích civilních věcí v letech 2008–2021</w:t>
        </w:r>
        <w:r>
          <w:rPr>
            <w:noProof/>
            <w:webHidden/>
          </w:rPr>
          <w:tab/>
        </w:r>
        <w:r>
          <w:rPr>
            <w:noProof/>
            <w:webHidden/>
          </w:rPr>
          <w:fldChar w:fldCharType="begin"/>
        </w:r>
        <w:r>
          <w:rPr>
            <w:noProof/>
            <w:webHidden/>
          </w:rPr>
          <w:instrText xml:space="preserve"> PAGEREF _Toc109802021 \h </w:instrText>
        </w:r>
        <w:r>
          <w:rPr>
            <w:noProof/>
            <w:webHidden/>
          </w:rPr>
        </w:r>
        <w:r>
          <w:rPr>
            <w:noProof/>
            <w:webHidden/>
          </w:rPr>
          <w:fldChar w:fldCharType="separate"/>
        </w:r>
        <w:r>
          <w:rPr>
            <w:noProof/>
            <w:webHidden/>
          </w:rPr>
          <w:t>108</w:t>
        </w:r>
        <w:r>
          <w:rPr>
            <w:noProof/>
            <w:webHidden/>
          </w:rPr>
          <w:fldChar w:fldCharType="end"/>
        </w:r>
      </w:hyperlink>
    </w:p>
    <w:p w14:paraId="06808D8B" w14:textId="33B692C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2" w:history="1">
        <w:r w:rsidRPr="005C6330">
          <w:rPr>
            <w:rStyle w:val="Hypertextovodkaz"/>
            <w:noProof/>
          </w:rPr>
          <w:t>Graf 64: KS – DT odvolacího civilního řízení v letech 2008–2021</w:t>
        </w:r>
        <w:r>
          <w:rPr>
            <w:noProof/>
            <w:webHidden/>
          </w:rPr>
          <w:tab/>
        </w:r>
        <w:r>
          <w:rPr>
            <w:noProof/>
            <w:webHidden/>
          </w:rPr>
          <w:fldChar w:fldCharType="begin"/>
        </w:r>
        <w:r>
          <w:rPr>
            <w:noProof/>
            <w:webHidden/>
          </w:rPr>
          <w:instrText xml:space="preserve"> PAGEREF _Toc109802022 \h </w:instrText>
        </w:r>
        <w:r>
          <w:rPr>
            <w:noProof/>
            <w:webHidden/>
          </w:rPr>
        </w:r>
        <w:r>
          <w:rPr>
            <w:noProof/>
            <w:webHidden/>
          </w:rPr>
          <w:fldChar w:fldCharType="separate"/>
        </w:r>
        <w:r>
          <w:rPr>
            <w:noProof/>
            <w:webHidden/>
          </w:rPr>
          <w:t>111</w:t>
        </w:r>
        <w:r>
          <w:rPr>
            <w:noProof/>
            <w:webHidden/>
          </w:rPr>
          <w:fldChar w:fldCharType="end"/>
        </w:r>
      </w:hyperlink>
    </w:p>
    <w:p w14:paraId="0CC2B73C" w14:textId="3F35C42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3" w:history="1">
        <w:r w:rsidRPr="005C6330">
          <w:rPr>
            <w:rStyle w:val="Hypertextovodkaz"/>
            <w:noProof/>
          </w:rPr>
          <w:t>Graf 65: KS – délka prvostupňového trestního řízení v letech 2008–2021</w:t>
        </w:r>
        <w:r>
          <w:rPr>
            <w:noProof/>
            <w:webHidden/>
          </w:rPr>
          <w:tab/>
        </w:r>
        <w:r>
          <w:rPr>
            <w:noProof/>
            <w:webHidden/>
          </w:rPr>
          <w:fldChar w:fldCharType="begin"/>
        </w:r>
        <w:r>
          <w:rPr>
            <w:noProof/>
            <w:webHidden/>
          </w:rPr>
          <w:instrText xml:space="preserve"> PAGEREF _Toc109802023 \h </w:instrText>
        </w:r>
        <w:r>
          <w:rPr>
            <w:noProof/>
            <w:webHidden/>
          </w:rPr>
        </w:r>
        <w:r>
          <w:rPr>
            <w:noProof/>
            <w:webHidden/>
          </w:rPr>
          <w:fldChar w:fldCharType="separate"/>
        </w:r>
        <w:r>
          <w:rPr>
            <w:noProof/>
            <w:webHidden/>
          </w:rPr>
          <w:t>112</w:t>
        </w:r>
        <w:r>
          <w:rPr>
            <w:noProof/>
            <w:webHidden/>
          </w:rPr>
          <w:fldChar w:fldCharType="end"/>
        </w:r>
      </w:hyperlink>
    </w:p>
    <w:p w14:paraId="24FC32F1" w14:textId="5E80957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4" w:history="1">
        <w:r w:rsidRPr="005C6330">
          <w:rPr>
            <w:rStyle w:val="Hypertextovodkaz"/>
            <w:noProof/>
          </w:rPr>
          <w:t>Graf 66: KS – vyřizování prvostupňových trestních věcí v letech 2008–2021</w:t>
        </w:r>
        <w:r>
          <w:rPr>
            <w:noProof/>
            <w:webHidden/>
          </w:rPr>
          <w:tab/>
        </w:r>
        <w:r>
          <w:rPr>
            <w:noProof/>
            <w:webHidden/>
          </w:rPr>
          <w:fldChar w:fldCharType="begin"/>
        </w:r>
        <w:r>
          <w:rPr>
            <w:noProof/>
            <w:webHidden/>
          </w:rPr>
          <w:instrText xml:space="preserve"> PAGEREF _Toc109802024 \h </w:instrText>
        </w:r>
        <w:r>
          <w:rPr>
            <w:noProof/>
            <w:webHidden/>
          </w:rPr>
        </w:r>
        <w:r>
          <w:rPr>
            <w:noProof/>
            <w:webHidden/>
          </w:rPr>
          <w:fldChar w:fldCharType="separate"/>
        </w:r>
        <w:r>
          <w:rPr>
            <w:noProof/>
            <w:webHidden/>
          </w:rPr>
          <w:t>115</w:t>
        </w:r>
        <w:r>
          <w:rPr>
            <w:noProof/>
            <w:webHidden/>
          </w:rPr>
          <w:fldChar w:fldCharType="end"/>
        </w:r>
      </w:hyperlink>
    </w:p>
    <w:p w14:paraId="7A3B1F97" w14:textId="5108CC3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5" w:history="1">
        <w:r w:rsidRPr="005C6330">
          <w:rPr>
            <w:rStyle w:val="Hypertextovodkaz"/>
            <w:noProof/>
          </w:rPr>
          <w:t>Graf 67: KS – DT prvostupňového trestního řízení v letech 2008–2021</w:t>
        </w:r>
        <w:r>
          <w:rPr>
            <w:noProof/>
            <w:webHidden/>
          </w:rPr>
          <w:tab/>
        </w:r>
        <w:r>
          <w:rPr>
            <w:noProof/>
            <w:webHidden/>
          </w:rPr>
          <w:fldChar w:fldCharType="begin"/>
        </w:r>
        <w:r>
          <w:rPr>
            <w:noProof/>
            <w:webHidden/>
          </w:rPr>
          <w:instrText xml:space="preserve"> PAGEREF _Toc109802025 \h </w:instrText>
        </w:r>
        <w:r>
          <w:rPr>
            <w:noProof/>
            <w:webHidden/>
          </w:rPr>
        </w:r>
        <w:r>
          <w:rPr>
            <w:noProof/>
            <w:webHidden/>
          </w:rPr>
          <w:fldChar w:fldCharType="separate"/>
        </w:r>
        <w:r>
          <w:rPr>
            <w:noProof/>
            <w:webHidden/>
          </w:rPr>
          <w:t>117</w:t>
        </w:r>
        <w:r>
          <w:rPr>
            <w:noProof/>
            <w:webHidden/>
          </w:rPr>
          <w:fldChar w:fldCharType="end"/>
        </w:r>
      </w:hyperlink>
    </w:p>
    <w:p w14:paraId="4937CE1B" w14:textId="7D7367D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6" w:history="1">
        <w:r w:rsidRPr="005C6330">
          <w:rPr>
            <w:rStyle w:val="Hypertextovodkaz"/>
            <w:noProof/>
          </w:rPr>
          <w:t>Graf 68: KS – suma uložených peněžitých trestů</w:t>
        </w:r>
        <w:r>
          <w:rPr>
            <w:noProof/>
            <w:webHidden/>
          </w:rPr>
          <w:tab/>
        </w:r>
        <w:r>
          <w:rPr>
            <w:noProof/>
            <w:webHidden/>
          </w:rPr>
          <w:fldChar w:fldCharType="begin"/>
        </w:r>
        <w:r>
          <w:rPr>
            <w:noProof/>
            <w:webHidden/>
          </w:rPr>
          <w:instrText xml:space="preserve"> PAGEREF _Toc109802026 \h </w:instrText>
        </w:r>
        <w:r>
          <w:rPr>
            <w:noProof/>
            <w:webHidden/>
          </w:rPr>
        </w:r>
        <w:r>
          <w:rPr>
            <w:noProof/>
            <w:webHidden/>
          </w:rPr>
          <w:fldChar w:fldCharType="separate"/>
        </w:r>
        <w:r>
          <w:rPr>
            <w:noProof/>
            <w:webHidden/>
          </w:rPr>
          <w:t>120</w:t>
        </w:r>
        <w:r>
          <w:rPr>
            <w:noProof/>
            <w:webHidden/>
          </w:rPr>
          <w:fldChar w:fldCharType="end"/>
        </w:r>
      </w:hyperlink>
    </w:p>
    <w:p w14:paraId="7CEAAB29" w14:textId="4140D4E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7" w:history="1">
        <w:r w:rsidRPr="005C6330">
          <w:rPr>
            <w:rStyle w:val="Hypertextovodkaz"/>
            <w:noProof/>
          </w:rPr>
          <w:t>Graf 69: KS – počet a průměrná výše uložených peněžitých trestů</w:t>
        </w:r>
        <w:r>
          <w:rPr>
            <w:noProof/>
            <w:webHidden/>
          </w:rPr>
          <w:tab/>
        </w:r>
        <w:r>
          <w:rPr>
            <w:noProof/>
            <w:webHidden/>
          </w:rPr>
          <w:fldChar w:fldCharType="begin"/>
        </w:r>
        <w:r>
          <w:rPr>
            <w:noProof/>
            <w:webHidden/>
          </w:rPr>
          <w:instrText xml:space="preserve"> PAGEREF _Toc109802027 \h </w:instrText>
        </w:r>
        <w:r>
          <w:rPr>
            <w:noProof/>
            <w:webHidden/>
          </w:rPr>
        </w:r>
        <w:r>
          <w:rPr>
            <w:noProof/>
            <w:webHidden/>
          </w:rPr>
          <w:fldChar w:fldCharType="separate"/>
        </w:r>
        <w:r>
          <w:rPr>
            <w:noProof/>
            <w:webHidden/>
          </w:rPr>
          <w:t>120</w:t>
        </w:r>
        <w:r>
          <w:rPr>
            <w:noProof/>
            <w:webHidden/>
          </w:rPr>
          <w:fldChar w:fldCharType="end"/>
        </w:r>
      </w:hyperlink>
    </w:p>
    <w:p w14:paraId="51B53D6D" w14:textId="045FA7E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8" w:history="1">
        <w:r w:rsidRPr="005C6330">
          <w:rPr>
            <w:rStyle w:val="Hypertextovodkaz"/>
            <w:noProof/>
          </w:rPr>
          <w:t>Graf 70: KS – délka odvolacího trestního řízení v letech 2008–2021</w:t>
        </w:r>
        <w:r>
          <w:rPr>
            <w:noProof/>
            <w:webHidden/>
          </w:rPr>
          <w:tab/>
        </w:r>
        <w:r>
          <w:rPr>
            <w:noProof/>
            <w:webHidden/>
          </w:rPr>
          <w:fldChar w:fldCharType="begin"/>
        </w:r>
        <w:r>
          <w:rPr>
            <w:noProof/>
            <w:webHidden/>
          </w:rPr>
          <w:instrText xml:space="preserve"> PAGEREF _Toc109802028 \h </w:instrText>
        </w:r>
        <w:r>
          <w:rPr>
            <w:noProof/>
            <w:webHidden/>
          </w:rPr>
        </w:r>
        <w:r>
          <w:rPr>
            <w:noProof/>
            <w:webHidden/>
          </w:rPr>
          <w:fldChar w:fldCharType="separate"/>
        </w:r>
        <w:r>
          <w:rPr>
            <w:noProof/>
            <w:webHidden/>
          </w:rPr>
          <w:t>122</w:t>
        </w:r>
        <w:r>
          <w:rPr>
            <w:noProof/>
            <w:webHidden/>
          </w:rPr>
          <w:fldChar w:fldCharType="end"/>
        </w:r>
      </w:hyperlink>
    </w:p>
    <w:p w14:paraId="3102706A" w14:textId="61639AD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29" w:history="1">
        <w:r w:rsidRPr="005C6330">
          <w:rPr>
            <w:rStyle w:val="Hypertextovodkaz"/>
            <w:noProof/>
          </w:rPr>
          <w:t>Graf 71: KS – distribuce délek trestního odvolacího řízení</w:t>
        </w:r>
        <w:r>
          <w:rPr>
            <w:noProof/>
            <w:webHidden/>
          </w:rPr>
          <w:tab/>
        </w:r>
        <w:r>
          <w:rPr>
            <w:noProof/>
            <w:webHidden/>
          </w:rPr>
          <w:fldChar w:fldCharType="begin"/>
        </w:r>
        <w:r>
          <w:rPr>
            <w:noProof/>
            <w:webHidden/>
          </w:rPr>
          <w:instrText xml:space="preserve"> PAGEREF _Toc109802029 \h </w:instrText>
        </w:r>
        <w:r>
          <w:rPr>
            <w:noProof/>
            <w:webHidden/>
          </w:rPr>
        </w:r>
        <w:r>
          <w:rPr>
            <w:noProof/>
            <w:webHidden/>
          </w:rPr>
          <w:fldChar w:fldCharType="separate"/>
        </w:r>
        <w:r>
          <w:rPr>
            <w:noProof/>
            <w:webHidden/>
          </w:rPr>
          <w:t>123</w:t>
        </w:r>
        <w:r>
          <w:rPr>
            <w:noProof/>
            <w:webHidden/>
          </w:rPr>
          <w:fldChar w:fldCharType="end"/>
        </w:r>
      </w:hyperlink>
    </w:p>
    <w:p w14:paraId="459F68FA" w14:textId="276237F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0" w:history="1">
        <w:r w:rsidRPr="005C6330">
          <w:rPr>
            <w:rStyle w:val="Hypertextovodkaz"/>
            <w:noProof/>
          </w:rPr>
          <w:t>Graf 72: KS – vyřizování odvolacích trestních věcí v letech 2008–2021</w:t>
        </w:r>
        <w:r>
          <w:rPr>
            <w:noProof/>
            <w:webHidden/>
          </w:rPr>
          <w:tab/>
        </w:r>
        <w:r>
          <w:rPr>
            <w:noProof/>
            <w:webHidden/>
          </w:rPr>
          <w:fldChar w:fldCharType="begin"/>
        </w:r>
        <w:r>
          <w:rPr>
            <w:noProof/>
            <w:webHidden/>
          </w:rPr>
          <w:instrText xml:space="preserve"> PAGEREF _Toc109802030 \h </w:instrText>
        </w:r>
        <w:r>
          <w:rPr>
            <w:noProof/>
            <w:webHidden/>
          </w:rPr>
        </w:r>
        <w:r>
          <w:rPr>
            <w:noProof/>
            <w:webHidden/>
          </w:rPr>
          <w:fldChar w:fldCharType="separate"/>
        </w:r>
        <w:r>
          <w:rPr>
            <w:noProof/>
            <w:webHidden/>
          </w:rPr>
          <w:t>124</w:t>
        </w:r>
        <w:r>
          <w:rPr>
            <w:noProof/>
            <w:webHidden/>
          </w:rPr>
          <w:fldChar w:fldCharType="end"/>
        </w:r>
      </w:hyperlink>
    </w:p>
    <w:p w14:paraId="0F8B09D4" w14:textId="454F90D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1" w:history="1">
        <w:r w:rsidRPr="005C6330">
          <w:rPr>
            <w:rStyle w:val="Hypertextovodkaz"/>
            <w:noProof/>
          </w:rPr>
          <w:t>Graf 73: KS – DT odvolacího trestního řízení v letech 2008–2021</w:t>
        </w:r>
        <w:r>
          <w:rPr>
            <w:noProof/>
            <w:webHidden/>
          </w:rPr>
          <w:tab/>
        </w:r>
        <w:r>
          <w:rPr>
            <w:noProof/>
            <w:webHidden/>
          </w:rPr>
          <w:fldChar w:fldCharType="begin"/>
        </w:r>
        <w:r>
          <w:rPr>
            <w:noProof/>
            <w:webHidden/>
          </w:rPr>
          <w:instrText xml:space="preserve"> PAGEREF _Toc109802031 \h </w:instrText>
        </w:r>
        <w:r>
          <w:rPr>
            <w:noProof/>
            <w:webHidden/>
          </w:rPr>
        </w:r>
        <w:r>
          <w:rPr>
            <w:noProof/>
            <w:webHidden/>
          </w:rPr>
          <w:fldChar w:fldCharType="separate"/>
        </w:r>
        <w:r>
          <w:rPr>
            <w:noProof/>
            <w:webHidden/>
          </w:rPr>
          <w:t>126</w:t>
        </w:r>
        <w:r>
          <w:rPr>
            <w:noProof/>
            <w:webHidden/>
          </w:rPr>
          <w:fldChar w:fldCharType="end"/>
        </w:r>
      </w:hyperlink>
    </w:p>
    <w:p w14:paraId="6404B6AC" w14:textId="6023E8C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2" w:history="1">
        <w:r w:rsidRPr="005C6330">
          <w:rPr>
            <w:rStyle w:val="Hypertextovodkaz"/>
            <w:noProof/>
          </w:rPr>
          <w:t>Graf 74: KS – délka správního řízení u KS v letech 2008–2021</w:t>
        </w:r>
        <w:r>
          <w:rPr>
            <w:noProof/>
            <w:webHidden/>
          </w:rPr>
          <w:tab/>
        </w:r>
        <w:r>
          <w:rPr>
            <w:noProof/>
            <w:webHidden/>
          </w:rPr>
          <w:fldChar w:fldCharType="begin"/>
        </w:r>
        <w:r>
          <w:rPr>
            <w:noProof/>
            <w:webHidden/>
          </w:rPr>
          <w:instrText xml:space="preserve"> PAGEREF _Toc109802032 \h </w:instrText>
        </w:r>
        <w:r>
          <w:rPr>
            <w:noProof/>
            <w:webHidden/>
          </w:rPr>
        </w:r>
        <w:r>
          <w:rPr>
            <w:noProof/>
            <w:webHidden/>
          </w:rPr>
          <w:fldChar w:fldCharType="separate"/>
        </w:r>
        <w:r>
          <w:rPr>
            <w:noProof/>
            <w:webHidden/>
          </w:rPr>
          <w:t>128</w:t>
        </w:r>
        <w:r>
          <w:rPr>
            <w:noProof/>
            <w:webHidden/>
          </w:rPr>
          <w:fldChar w:fldCharType="end"/>
        </w:r>
      </w:hyperlink>
    </w:p>
    <w:p w14:paraId="23E0C837" w14:textId="4D5017F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3" w:history="1">
        <w:r w:rsidRPr="005C6330">
          <w:rPr>
            <w:rStyle w:val="Hypertextovodkaz"/>
            <w:noProof/>
          </w:rPr>
          <w:t>Graf 75: KS – distribuce délek správního řízení</w:t>
        </w:r>
        <w:r>
          <w:rPr>
            <w:noProof/>
            <w:webHidden/>
          </w:rPr>
          <w:tab/>
        </w:r>
        <w:r>
          <w:rPr>
            <w:noProof/>
            <w:webHidden/>
          </w:rPr>
          <w:fldChar w:fldCharType="begin"/>
        </w:r>
        <w:r>
          <w:rPr>
            <w:noProof/>
            <w:webHidden/>
          </w:rPr>
          <w:instrText xml:space="preserve"> PAGEREF _Toc109802033 \h </w:instrText>
        </w:r>
        <w:r>
          <w:rPr>
            <w:noProof/>
            <w:webHidden/>
          </w:rPr>
        </w:r>
        <w:r>
          <w:rPr>
            <w:noProof/>
            <w:webHidden/>
          </w:rPr>
          <w:fldChar w:fldCharType="separate"/>
        </w:r>
        <w:r>
          <w:rPr>
            <w:noProof/>
            <w:webHidden/>
          </w:rPr>
          <w:t>130</w:t>
        </w:r>
        <w:r>
          <w:rPr>
            <w:noProof/>
            <w:webHidden/>
          </w:rPr>
          <w:fldChar w:fldCharType="end"/>
        </w:r>
      </w:hyperlink>
    </w:p>
    <w:p w14:paraId="016DB6C2" w14:textId="7B098FC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4" w:history="1">
        <w:r w:rsidRPr="005C6330">
          <w:rPr>
            <w:rStyle w:val="Hypertextovodkaz"/>
            <w:noProof/>
          </w:rPr>
          <w:t>Graf 76: KS – vyřizování správních věcí v letech 2008–2021</w:t>
        </w:r>
        <w:r>
          <w:rPr>
            <w:noProof/>
            <w:webHidden/>
          </w:rPr>
          <w:tab/>
        </w:r>
        <w:r>
          <w:rPr>
            <w:noProof/>
            <w:webHidden/>
          </w:rPr>
          <w:fldChar w:fldCharType="begin"/>
        </w:r>
        <w:r>
          <w:rPr>
            <w:noProof/>
            <w:webHidden/>
          </w:rPr>
          <w:instrText xml:space="preserve"> PAGEREF _Toc109802034 \h </w:instrText>
        </w:r>
        <w:r>
          <w:rPr>
            <w:noProof/>
            <w:webHidden/>
          </w:rPr>
        </w:r>
        <w:r>
          <w:rPr>
            <w:noProof/>
            <w:webHidden/>
          </w:rPr>
          <w:fldChar w:fldCharType="separate"/>
        </w:r>
        <w:r>
          <w:rPr>
            <w:noProof/>
            <w:webHidden/>
          </w:rPr>
          <w:t>131</w:t>
        </w:r>
        <w:r>
          <w:rPr>
            <w:noProof/>
            <w:webHidden/>
          </w:rPr>
          <w:fldChar w:fldCharType="end"/>
        </w:r>
      </w:hyperlink>
    </w:p>
    <w:p w14:paraId="6908DC9B" w14:textId="3C2FAE0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5" w:history="1">
        <w:r w:rsidRPr="005C6330">
          <w:rPr>
            <w:rStyle w:val="Hypertextovodkaz"/>
            <w:noProof/>
          </w:rPr>
          <w:t>Graf 77: KS – vývoj počtu příchozích věcí dle agend správního soudnictví</w:t>
        </w:r>
        <w:r>
          <w:rPr>
            <w:noProof/>
            <w:webHidden/>
          </w:rPr>
          <w:tab/>
        </w:r>
        <w:r>
          <w:rPr>
            <w:noProof/>
            <w:webHidden/>
          </w:rPr>
          <w:fldChar w:fldCharType="begin"/>
        </w:r>
        <w:r>
          <w:rPr>
            <w:noProof/>
            <w:webHidden/>
          </w:rPr>
          <w:instrText xml:space="preserve"> PAGEREF _Toc109802035 \h </w:instrText>
        </w:r>
        <w:r>
          <w:rPr>
            <w:noProof/>
            <w:webHidden/>
          </w:rPr>
        </w:r>
        <w:r>
          <w:rPr>
            <w:noProof/>
            <w:webHidden/>
          </w:rPr>
          <w:fldChar w:fldCharType="separate"/>
        </w:r>
        <w:r>
          <w:rPr>
            <w:noProof/>
            <w:webHidden/>
          </w:rPr>
          <w:t>132</w:t>
        </w:r>
        <w:r>
          <w:rPr>
            <w:noProof/>
            <w:webHidden/>
          </w:rPr>
          <w:fldChar w:fldCharType="end"/>
        </w:r>
      </w:hyperlink>
    </w:p>
    <w:p w14:paraId="140425FE" w14:textId="16ACDF4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6" w:history="1">
        <w:r w:rsidRPr="005C6330">
          <w:rPr>
            <w:rStyle w:val="Hypertextovodkaz"/>
            <w:noProof/>
          </w:rPr>
          <w:t>Graf 78: KS – DT správního řízení v letech 2008–2021</w:t>
        </w:r>
        <w:r>
          <w:rPr>
            <w:noProof/>
            <w:webHidden/>
          </w:rPr>
          <w:tab/>
        </w:r>
        <w:r>
          <w:rPr>
            <w:noProof/>
            <w:webHidden/>
          </w:rPr>
          <w:fldChar w:fldCharType="begin"/>
        </w:r>
        <w:r>
          <w:rPr>
            <w:noProof/>
            <w:webHidden/>
          </w:rPr>
          <w:instrText xml:space="preserve"> PAGEREF _Toc109802036 \h </w:instrText>
        </w:r>
        <w:r>
          <w:rPr>
            <w:noProof/>
            <w:webHidden/>
          </w:rPr>
        </w:r>
        <w:r>
          <w:rPr>
            <w:noProof/>
            <w:webHidden/>
          </w:rPr>
          <w:fldChar w:fldCharType="separate"/>
        </w:r>
        <w:r>
          <w:rPr>
            <w:noProof/>
            <w:webHidden/>
          </w:rPr>
          <w:t>134</w:t>
        </w:r>
        <w:r>
          <w:rPr>
            <w:noProof/>
            <w:webHidden/>
          </w:rPr>
          <w:fldChar w:fldCharType="end"/>
        </w:r>
      </w:hyperlink>
    </w:p>
    <w:p w14:paraId="7E322DA1" w14:textId="6F274ED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7" w:history="1">
        <w:r w:rsidRPr="005C6330">
          <w:rPr>
            <w:rStyle w:val="Hypertextovodkaz"/>
            <w:noProof/>
          </w:rPr>
          <w:t>Graf 79: KS – délka insolvenčního řízení v letech 2008–2021</w:t>
        </w:r>
        <w:r>
          <w:rPr>
            <w:noProof/>
            <w:webHidden/>
          </w:rPr>
          <w:tab/>
        </w:r>
        <w:r>
          <w:rPr>
            <w:noProof/>
            <w:webHidden/>
          </w:rPr>
          <w:fldChar w:fldCharType="begin"/>
        </w:r>
        <w:r>
          <w:rPr>
            <w:noProof/>
            <w:webHidden/>
          </w:rPr>
          <w:instrText xml:space="preserve"> PAGEREF _Toc109802037 \h </w:instrText>
        </w:r>
        <w:r>
          <w:rPr>
            <w:noProof/>
            <w:webHidden/>
          </w:rPr>
        </w:r>
        <w:r>
          <w:rPr>
            <w:noProof/>
            <w:webHidden/>
          </w:rPr>
          <w:fldChar w:fldCharType="separate"/>
        </w:r>
        <w:r>
          <w:rPr>
            <w:noProof/>
            <w:webHidden/>
          </w:rPr>
          <w:t>137</w:t>
        </w:r>
        <w:r>
          <w:rPr>
            <w:noProof/>
            <w:webHidden/>
          </w:rPr>
          <w:fldChar w:fldCharType="end"/>
        </w:r>
      </w:hyperlink>
    </w:p>
    <w:p w14:paraId="660D67B5" w14:textId="7F296CC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8" w:history="1">
        <w:r w:rsidRPr="005C6330">
          <w:rPr>
            <w:rStyle w:val="Hypertextovodkaz"/>
            <w:noProof/>
          </w:rPr>
          <w:t>Graf 80: KS – vyřizování insolvenčních věcí v letech 2008–2020</w:t>
        </w:r>
        <w:r>
          <w:rPr>
            <w:noProof/>
            <w:webHidden/>
          </w:rPr>
          <w:tab/>
        </w:r>
        <w:r>
          <w:rPr>
            <w:noProof/>
            <w:webHidden/>
          </w:rPr>
          <w:fldChar w:fldCharType="begin"/>
        </w:r>
        <w:r>
          <w:rPr>
            <w:noProof/>
            <w:webHidden/>
          </w:rPr>
          <w:instrText xml:space="preserve"> PAGEREF _Toc109802038 \h </w:instrText>
        </w:r>
        <w:r>
          <w:rPr>
            <w:noProof/>
            <w:webHidden/>
          </w:rPr>
        </w:r>
        <w:r>
          <w:rPr>
            <w:noProof/>
            <w:webHidden/>
          </w:rPr>
          <w:fldChar w:fldCharType="separate"/>
        </w:r>
        <w:r>
          <w:rPr>
            <w:noProof/>
            <w:webHidden/>
          </w:rPr>
          <w:t>138</w:t>
        </w:r>
        <w:r>
          <w:rPr>
            <w:noProof/>
            <w:webHidden/>
          </w:rPr>
          <w:fldChar w:fldCharType="end"/>
        </w:r>
      </w:hyperlink>
    </w:p>
    <w:p w14:paraId="2B506C16" w14:textId="2AF6AFC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39" w:history="1">
        <w:r w:rsidRPr="005C6330">
          <w:rPr>
            <w:rStyle w:val="Hypertextovodkaz"/>
            <w:noProof/>
          </w:rPr>
          <w:t>Graf 81: KS – délka incidenčních sporů řízení v letech 2011–2021</w:t>
        </w:r>
        <w:r>
          <w:rPr>
            <w:noProof/>
            <w:webHidden/>
          </w:rPr>
          <w:tab/>
        </w:r>
        <w:r>
          <w:rPr>
            <w:noProof/>
            <w:webHidden/>
          </w:rPr>
          <w:fldChar w:fldCharType="begin"/>
        </w:r>
        <w:r>
          <w:rPr>
            <w:noProof/>
            <w:webHidden/>
          </w:rPr>
          <w:instrText xml:space="preserve"> PAGEREF _Toc109802039 \h </w:instrText>
        </w:r>
        <w:r>
          <w:rPr>
            <w:noProof/>
            <w:webHidden/>
          </w:rPr>
        </w:r>
        <w:r>
          <w:rPr>
            <w:noProof/>
            <w:webHidden/>
          </w:rPr>
          <w:fldChar w:fldCharType="separate"/>
        </w:r>
        <w:r>
          <w:rPr>
            <w:noProof/>
            <w:webHidden/>
          </w:rPr>
          <w:t>142</w:t>
        </w:r>
        <w:r>
          <w:rPr>
            <w:noProof/>
            <w:webHidden/>
          </w:rPr>
          <w:fldChar w:fldCharType="end"/>
        </w:r>
      </w:hyperlink>
    </w:p>
    <w:p w14:paraId="474F5FF5" w14:textId="3FBDF58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0" w:history="1">
        <w:r w:rsidRPr="005C6330">
          <w:rPr>
            <w:rStyle w:val="Hypertextovodkaz"/>
            <w:noProof/>
          </w:rPr>
          <w:t>Graf 82: KS – distribuce délek incidenčních sporů</w:t>
        </w:r>
        <w:r>
          <w:rPr>
            <w:noProof/>
            <w:webHidden/>
          </w:rPr>
          <w:tab/>
        </w:r>
        <w:r>
          <w:rPr>
            <w:noProof/>
            <w:webHidden/>
          </w:rPr>
          <w:fldChar w:fldCharType="begin"/>
        </w:r>
        <w:r>
          <w:rPr>
            <w:noProof/>
            <w:webHidden/>
          </w:rPr>
          <w:instrText xml:space="preserve"> PAGEREF _Toc109802040 \h </w:instrText>
        </w:r>
        <w:r>
          <w:rPr>
            <w:noProof/>
            <w:webHidden/>
          </w:rPr>
        </w:r>
        <w:r>
          <w:rPr>
            <w:noProof/>
            <w:webHidden/>
          </w:rPr>
          <w:fldChar w:fldCharType="separate"/>
        </w:r>
        <w:r>
          <w:rPr>
            <w:noProof/>
            <w:webHidden/>
          </w:rPr>
          <w:t>144</w:t>
        </w:r>
        <w:r>
          <w:rPr>
            <w:noProof/>
            <w:webHidden/>
          </w:rPr>
          <w:fldChar w:fldCharType="end"/>
        </w:r>
      </w:hyperlink>
    </w:p>
    <w:p w14:paraId="4B211D49" w14:textId="650368F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1" w:history="1">
        <w:r w:rsidRPr="005C6330">
          <w:rPr>
            <w:rStyle w:val="Hypertextovodkaz"/>
            <w:noProof/>
          </w:rPr>
          <w:t>Graf 83: KS – vyřizování incidenčních sporů v letech 2011–2021</w:t>
        </w:r>
        <w:r>
          <w:rPr>
            <w:noProof/>
            <w:webHidden/>
          </w:rPr>
          <w:tab/>
        </w:r>
        <w:r>
          <w:rPr>
            <w:noProof/>
            <w:webHidden/>
          </w:rPr>
          <w:fldChar w:fldCharType="begin"/>
        </w:r>
        <w:r>
          <w:rPr>
            <w:noProof/>
            <w:webHidden/>
          </w:rPr>
          <w:instrText xml:space="preserve"> PAGEREF _Toc109802041 \h </w:instrText>
        </w:r>
        <w:r>
          <w:rPr>
            <w:noProof/>
            <w:webHidden/>
          </w:rPr>
        </w:r>
        <w:r>
          <w:rPr>
            <w:noProof/>
            <w:webHidden/>
          </w:rPr>
          <w:fldChar w:fldCharType="separate"/>
        </w:r>
        <w:r>
          <w:rPr>
            <w:noProof/>
            <w:webHidden/>
          </w:rPr>
          <w:t>145</w:t>
        </w:r>
        <w:r>
          <w:rPr>
            <w:noProof/>
            <w:webHidden/>
          </w:rPr>
          <w:fldChar w:fldCharType="end"/>
        </w:r>
      </w:hyperlink>
    </w:p>
    <w:p w14:paraId="506D46D8" w14:textId="45F94B4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2" w:history="1">
        <w:r w:rsidRPr="005C6330">
          <w:rPr>
            <w:rStyle w:val="Hypertextovodkaz"/>
            <w:noProof/>
          </w:rPr>
          <w:t>Graf 84: KS – DT incidenčních sporů v letech 2011–2021</w:t>
        </w:r>
        <w:r>
          <w:rPr>
            <w:noProof/>
            <w:webHidden/>
          </w:rPr>
          <w:tab/>
        </w:r>
        <w:r>
          <w:rPr>
            <w:noProof/>
            <w:webHidden/>
          </w:rPr>
          <w:fldChar w:fldCharType="begin"/>
        </w:r>
        <w:r>
          <w:rPr>
            <w:noProof/>
            <w:webHidden/>
          </w:rPr>
          <w:instrText xml:space="preserve"> PAGEREF _Toc109802042 \h </w:instrText>
        </w:r>
        <w:r>
          <w:rPr>
            <w:noProof/>
            <w:webHidden/>
          </w:rPr>
        </w:r>
        <w:r>
          <w:rPr>
            <w:noProof/>
            <w:webHidden/>
          </w:rPr>
          <w:fldChar w:fldCharType="separate"/>
        </w:r>
        <w:r>
          <w:rPr>
            <w:noProof/>
            <w:webHidden/>
          </w:rPr>
          <w:t>147</w:t>
        </w:r>
        <w:r>
          <w:rPr>
            <w:noProof/>
            <w:webHidden/>
          </w:rPr>
          <w:fldChar w:fldCharType="end"/>
        </w:r>
      </w:hyperlink>
    </w:p>
    <w:p w14:paraId="0B43B7B2" w14:textId="613794C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3" w:history="1">
        <w:r w:rsidRPr="005C6330">
          <w:rPr>
            <w:rStyle w:val="Hypertextovodkaz"/>
            <w:noProof/>
          </w:rPr>
          <w:t>Graf 85: VS – počet soudců v letech 2008–2021</w:t>
        </w:r>
        <w:r>
          <w:rPr>
            <w:noProof/>
            <w:webHidden/>
          </w:rPr>
          <w:tab/>
        </w:r>
        <w:r>
          <w:rPr>
            <w:noProof/>
            <w:webHidden/>
          </w:rPr>
          <w:fldChar w:fldCharType="begin"/>
        </w:r>
        <w:r>
          <w:rPr>
            <w:noProof/>
            <w:webHidden/>
          </w:rPr>
          <w:instrText xml:space="preserve"> PAGEREF _Toc109802043 \h </w:instrText>
        </w:r>
        <w:r>
          <w:rPr>
            <w:noProof/>
            <w:webHidden/>
          </w:rPr>
        </w:r>
        <w:r>
          <w:rPr>
            <w:noProof/>
            <w:webHidden/>
          </w:rPr>
          <w:fldChar w:fldCharType="separate"/>
        </w:r>
        <w:r>
          <w:rPr>
            <w:noProof/>
            <w:webHidden/>
          </w:rPr>
          <w:t>148</w:t>
        </w:r>
        <w:r>
          <w:rPr>
            <w:noProof/>
            <w:webHidden/>
          </w:rPr>
          <w:fldChar w:fldCharType="end"/>
        </w:r>
      </w:hyperlink>
    </w:p>
    <w:p w14:paraId="3FEAD85E" w14:textId="0ECD5AE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4" w:history="1">
        <w:r w:rsidRPr="005C6330">
          <w:rPr>
            <w:rStyle w:val="Hypertextovodkaz"/>
            <w:noProof/>
          </w:rPr>
          <w:t>Graf 86: VS – evidenční počet soudců dle soudních úseků v letech 2008–2021</w:t>
        </w:r>
        <w:r>
          <w:rPr>
            <w:noProof/>
            <w:webHidden/>
          </w:rPr>
          <w:tab/>
        </w:r>
        <w:r>
          <w:rPr>
            <w:noProof/>
            <w:webHidden/>
          </w:rPr>
          <w:fldChar w:fldCharType="begin"/>
        </w:r>
        <w:r>
          <w:rPr>
            <w:noProof/>
            <w:webHidden/>
          </w:rPr>
          <w:instrText xml:space="preserve"> PAGEREF _Toc109802044 \h </w:instrText>
        </w:r>
        <w:r>
          <w:rPr>
            <w:noProof/>
            <w:webHidden/>
          </w:rPr>
        </w:r>
        <w:r>
          <w:rPr>
            <w:noProof/>
            <w:webHidden/>
          </w:rPr>
          <w:fldChar w:fldCharType="separate"/>
        </w:r>
        <w:r>
          <w:rPr>
            <w:noProof/>
            <w:webHidden/>
          </w:rPr>
          <w:t>149</w:t>
        </w:r>
        <w:r>
          <w:rPr>
            <w:noProof/>
            <w:webHidden/>
          </w:rPr>
          <w:fldChar w:fldCharType="end"/>
        </w:r>
      </w:hyperlink>
    </w:p>
    <w:p w14:paraId="2F7B6A89" w14:textId="5CFC7E8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5" w:history="1">
        <w:r w:rsidRPr="005C6330">
          <w:rPr>
            <w:rStyle w:val="Hypertextovodkaz"/>
            <w:noProof/>
          </w:rPr>
          <w:t>Graf 87: VS – evidenční počet soudců dle pohlaví v letech 2008–2021</w:t>
        </w:r>
        <w:r>
          <w:rPr>
            <w:noProof/>
            <w:webHidden/>
          </w:rPr>
          <w:tab/>
        </w:r>
        <w:r>
          <w:rPr>
            <w:noProof/>
            <w:webHidden/>
          </w:rPr>
          <w:fldChar w:fldCharType="begin"/>
        </w:r>
        <w:r>
          <w:rPr>
            <w:noProof/>
            <w:webHidden/>
          </w:rPr>
          <w:instrText xml:space="preserve"> PAGEREF _Toc109802045 \h </w:instrText>
        </w:r>
        <w:r>
          <w:rPr>
            <w:noProof/>
            <w:webHidden/>
          </w:rPr>
        </w:r>
        <w:r>
          <w:rPr>
            <w:noProof/>
            <w:webHidden/>
          </w:rPr>
          <w:fldChar w:fldCharType="separate"/>
        </w:r>
        <w:r>
          <w:rPr>
            <w:noProof/>
            <w:webHidden/>
          </w:rPr>
          <w:t>150</w:t>
        </w:r>
        <w:r>
          <w:rPr>
            <w:noProof/>
            <w:webHidden/>
          </w:rPr>
          <w:fldChar w:fldCharType="end"/>
        </w:r>
      </w:hyperlink>
    </w:p>
    <w:p w14:paraId="2CB2E230" w14:textId="1B08BD2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6" w:history="1">
        <w:r w:rsidRPr="005C6330">
          <w:rPr>
            <w:rStyle w:val="Hypertextovodkaz"/>
            <w:noProof/>
          </w:rPr>
          <w:t>Graf 88: VS Praha – věkové složení soudců v letech 2008–2021</w:t>
        </w:r>
        <w:r>
          <w:rPr>
            <w:noProof/>
            <w:webHidden/>
          </w:rPr>
          <w:tab/>
        </w:r>
        <w:r>
          <w:rPr>
            <w:noProof/>
            <w:webHidden/>
          </w:rPr>
          <w:fldChar w:fldCharType="begin"/>
        </w:r>
        <w:r>
          <w:rPr>
            <w:noProof/>
            <w:webHidden/>
          </w:rPr>
          <w:instrText xml:space="preserve"> PAGEREF _Toc109802046 \h </w:instrText>
        </w:r>
        <w:r>
          <w:rPr>
            <w:noProof/>
            <w:webHidden/>
          </w:rPr>
        </w:r>
        <w:r>
          <w:rPr>
            <w:noProof/>
            <w:webHidden/>
          </w:rPr>
          <w:fldChar w:fldCharType="separate"/>
        </w:r>
        <w:r>
          <w:rPr>
            <w:noProof/>
            <w:webHidden/>
          </w:rPr>
          <w:t>151</w:t>
        </w:r>
        <w:r>
          <w:rPr>
            <w:noProof/>
            <w:webHidden/>
          </w:rPr>
          <w:fldChar w:fldCharType="end"/>
        </w:r>
      </w:hyperlink>
    </w:p>
    <w:p w14:paraId="659C0BCD" w14:textId="3B3C135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7" w:history="1">
        <w:r w:rsidRPr="005C6330">
          <w:rPr>
            <w:rStyle w:val="Hypertextovodkaz"/>
            <w:noProof/>
          </w:rPr>
          <w:t>Graf 89: VS Olomouc – věkové složení soudců v letech 2008–2021</w:t>
        </w:r>
        <w:r>
          <w:rPr>
            <w:noProof/>
            <w:webHidden/>
          </w:rPr>
          <w:tab/>
        </w:r>
        <w:r>
          <w:rPr>
            <w:noProof/>
            <w:webHidden/>
          </w:rPr>
          <w:fldChar w:fldCharType="begin"/>
        </w:r>
        <w:r>
          <w:rPr>
            <w:noProof/>
            <w:webHidden/>
          </w:rPr>
          <w:instrText xml:space="preserve"> PAGEREF _Toc109802047 \h </w:instrText>
        </w:r>
        <w:r>
          <w:rPr>
            <w:noProof/>
            <w:webHidden/>
          </w:rPr>
        </w:r>
        <w:r>
          <w:rPr>
            <w:noProof/>
            <w:webHidden/>
          </w:rPr>
          <w:fldChar w:fldCharType="separate"/>
        </w:r>
        <w:r>
          <w:rPr>
            <w:noProof/>
            <w:webHidden/>
          </w:rPr>
          <w:t>151</w:t>
        </w:r>
        <w:r>
          <w:rPr>
            <w:noProof/>
            <w:webHidden/>
          </w:rPr>
          <w:fldChar w:fldCharType="end"/>
        </w:r>
      </w:hyperlink>
    </w:p>
    <w:p w14:paraId="2E7D9270" w14:textId="0D6244A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8" w:history="1">
        <w:r w:rsidRPr="005C6330">
          <w:rPr>
            <w:rStyle w:val="Hypertextovodkaz"/>
            <w:noProof/>
          </w:rPr>
          <w:t>Graf 90: VS – délka civilního odvolacího řízení u VS v letech 2010–2021</w:t>
        </w:r>
        <w:r>
          <w:rPr>
            <w:noProof/>
            <w:webHidden/>
          </w:rPr>
          <w:tab/>
        </w:r>
        <w:r>
          <w:rPr>
            <w:noProof/>
            <w:webHidden/>
          </w:rPr>
          <w:fldChar w:fldCharType="begin"/>
        </w:r>
        <w:r>
          <w:rPr>
            <w:noProof/>
            <w:webHidden/>
          </w:rPr>
          <w:instrText xml:space="preserve"> PAGEREF _Toc109802048 \h </w:instrText>
        </w:r>
        <w:r>
          <w:rPr>
            <w:noProof/>
            <w:webHidden/>
          </w:rPr>
        </w:r>
        <w:r>
          <w:rPr>
            <w:noProof/>
            <w:webHidden/>
          </w:rPr>
          <w:fldChar w:fldCharType="separate"/>
        </w:r>
        <w:r>
          <w:rPr>
            <w:noProof/>
            <w:webHidden/>
          </w:rPr>
          <w:t>153</w:t>
        </w:r>
        <w:r>
          <w:rPr>
            <w:noProof/>
            <w:webHidden/>
          </w:rPr>
          <w:fldChar w:fldCharType="end"/>
        </w:r>
      </w:hyperlink>
    </w:p>
    <w:p w14:paraId="226799CC" w14:textId="11282D2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49" w:history="1">
        <w:r w:rsidRPr="005C6330">
          <w:rPr>
            <w:rStyle w:val="Hypertextovodkaz"/>
            <w:noProof/>
          </w:rPr>
          <w:t>Graf 91: VS – distribuce délek civilního odvolacího řízení</w:t>
        </w:r>
        <w:r>
          <w:rPr>
            <w:noProof/>
            <w:webHidden/>
          </w:rPr>
          <w:tab/>
        </w:r>
        <w:r>
          <w:rPr>
            <w:noProof/>
            <w:webHidden/>
          </w:rPr>
          <w:fldChar w:fldCharType="begin"/>
        </w:r>
        <w:r>
          <w:rPr>
            <w:noProof/>
            <w:webHidden/>
          </w:rPr>
          <w:instrText xml:space="preserve"> PAGEREF _Toc109802049 \h </w:instrText>
        </w:r>
        <w:r>
          <w:rPr>
            <w:noProof/>
            <w:webHidden/>
          </w:rPr>
        </w:r>
        <w:r>
          <w:rPr>
            <w:noProof/>
            <w:webHidden/>
          </w:rPr>
          <w:fldChar w:fldCharType="separate"/>
        </w:r>
        <w:r>
          <w:rPr>
            <w:noProof/>
            <w:webHidden/>
          </w:rPr>
          <w:t>154</w:t>
        </w:r>
        <w:r>
          <w:rPr>
            <w:noProof/>
            <w:webHidden/>
          </w:rPr>
          <w:fldChar w:fldCharType="end"/>
        </w:r>
      </w:hyperlink>
    </w:p>
    <w:p w14:paraId="7B83E90B" w14:textId="3555F00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0" w:history="1">
        <w:r w:rsidRPr="005C6330">
          <w:rPr>
            <w:rStyle w:val="Hypertextovodkaz"/>
            <w:noProof/>
          </w:rPr>
          <w:t>Graf 92: VS – vyřizování odvolacích civilních věcí v letech 2008–2021</w:t>
        </w:r>
        <w:r>
          <w:rPr>
            <w:noProof/>
            <w:webHidden/>
          </w:rPr>
          <w:tab/>
        </w:r>
        <w:r>
          <w:rPr>
            <w:noProof/>
            <w:webHidden/>
          </w:rPr>
          <w:fldChar w:fldCharType="begin"/>
        </w:r>
        <w:r>
          <w:rPr>
            <w:noProof/>
            <w:webHidden/>
          </w:rPr>
          <w:instrText xml:space="preserve"> PAGEREF _Toc109802050 \h </w:instrText>
        </w:r>
        <w:r>
          <w:rPr>
            <w:noProof/>
            <w:webHidden/>
          </w:rPr>
        </w:r>
        <w:r>
          <w:rPr>
            <w:noProof/>
            <w:webHidden/>
          </w:rPr>
          <w:fldChar w:fldCharType="separate"/>
        </w:r>
        <w:r>
          <w:rPr>
            <w:noProof/>
            <w:webHidden/>
          </w:rPr>
          <w:t>155</w:t>
        </w:r>
        <w:r>
          <w:rPr>
            <w:noProof/>
            <w:webHidden/>
          </w:rPr>
          <w:fldChar w:fldCharType="end"/>
        </w:r>
      </w:hyperlink>
    </w:p>
    <w:p w14:paraId="0E904535" w14:textId="4D886F0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1" w:history="1">
        <w:r w:rsidRPr="005C6330">
          <w:rPr>
            <w:rStyle w:val="Hypertextovodkaz"/>
            <w:noProof/>
          </w:rPr>
          <w:t>Graf 93: VS – DT civilního odvolacího řízení v letech 2008–2021</w:t>
        </w:r>
        <w:r>
          <w:rPr>
            <w:noProof/>
            <w:webHidden/>
          </w:rPr>
          <w:tab/>
        </w:r>
        <w:r>
          <w:rPr>
            <w:noProof/>
            <w:webHidden/>
          </w:rPr>
          <w:fldChar w:fldCharType="begin"/>
        </w:r>
        <w:r>
          <w:rPr>
            <w:noProof/>
            <w:webHidden/>
          </w:rPr>
          <w:instrText xml:space="preserve"> PAGEREF _Toc109802051 \h </w:instrText>
        </w:r>
        <w:r>
          <w:rPr>
            <w:noProof/>
            <w:webHidden/>
          </w:rPr>
        </w:r>
        <w:r>
          <w:rPr>
            <w:noProof/>
            <w:webHidden/>
          </w:rPr>
          <w:fldChar w:fldCharType="separate"/>
        </w:r>
        <w:r>
          <w:rPr>
            <w:noProof/>
            <w:webHidden/>
          </w:rPr>
          <w:t>157</w:t>
        </w:r>
        <w:r>
          <w:rPr>
            <w:noProof/>
            <w:webHidden/>
          </w:rPr>
          <w:fldChar w:fldCharType="end"/>
        </w:r>
      </w:hyperlink>
    </w:p>
    <w:p w14:paraId="4FBBBF9F" w14:textId="53E171C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2" w:history="1">
        <w:r w:rsidRPr="005C6330">
          <w:rPr>
            <w:rStyle w:val="Hypertextovodkaz"/>
            <w:noProof/>
          </w:rPr>
          <w:t>Graf 94: VS – délka trestního odvolacího řízení v letech 2010–2021</w:t>
        </w:r>
        <w:r>
          <w:rPr>
            <w:noProof/>
            <w:webHidden/>
          </w:rPr>
          <w:tab/>
        </w:r>
        <w:r>
          <w:rPr>
            <w:noProof/>
            <w:webHidden/>
          </w:rPr>
          <w:fldChar w:fldCharType="begin"/>
        </w:r>
        <w:r>
          <w:rPr>
            <w:noProof/>
            <w:webHidden/>
          </w:rPr>
          <w:instrText xml:space="preserve"> PAGEREF _Toc109802052 \h </w:instrText>
        </w:r>
        <w:r>
          <w:rPr>
            <w:noProof/>
            <w:webHidden/>
          </w:rPr>
        </w:r>
        <w:r>
          <w:rPr>
            <w:noProof/>
            <w:webHidden/>
          </w:rPr>
          <w:fldChar w:fldCharType="separate"/>
        </w:r>
        <w:r>
          <w:rPr>
            <w:noProof/>
            <w:webHidden/>
          </w:rPr>
          <w:t>158</w:t>
        </w:r>
        <w:r>
          <w:rPr>
            <w:noProof/>
            <w:webHidden/>
          </w:rPr>
          <w:fldChar w:fldCharType="end"/>
        </w:r>
      </w:hyperlink>
    </w:p>
    <w:p w14:paraId="70B30788" w14:textId="5DCDCD8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3" w:history="1">
        <w:r w:rsidRPr="005C6330">
          <w:rPr>
            <w:rStyle w:val="Hypertextovodkaz"/>
            <w:noProof/>
          </w:rPr>
          <w:t>Graf 95: VS – distribuce délek trestního odvolacího řízení</w:t>
        </w:r>
        <w:r>
          <w:rPr>
            <w:noProof/>
            <w:webHidden/>
          </w:rPr>
          <w:tab/>
        </w:r>
        <w:r>
          <w:rPr>
            <w:noProof/>
            <w:webHidden/>
          </w:rPr>
          <w:fldChar w:fldCharType="begin"/>
        </w:r>
        <w:r>
          <w:rPr>
            <w:noProof/>
            <w:webHidden/>
          </w:rPr>
          <w:instrText xml:space="preserve"> PAGEREF _Toc109802053 \h </w:instrText>
        </w:r>
        <w:r>
          <w:rPr>
            <w:noProof/>
            <w:webHidden/>
          </w:rPr>
        </w:r>
        <w:r>
          <w:rPr>
            <w:noProof/>
            <w:webHidden/>
          </w:rPr>
          <w:fldChar w:fldCharType="separate"/>
        </w:r>
        <w:r>
          <w:rPr>
            <w:noProof/>
            <w:webHidden/>
          </w:rPr>
          <w:t>159</w:t>
        </w:r>
        <w:r>
          <w:rPr>
            <w:noProof/>
            <w:webHidden/>
          </w:rPr>
          <w:fldChar w:fldCharType="end"/>
        </w:r>
      </w:hyperlink>
    </w:p>
    <w:p w14:paraId="1F34E545" w14:textId="4ABC80B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4" w:history="1">
        <w:r w:rsidRPr="005C6330">
          <w:rPr>
            <w:rStyle w:val="Hypertextovodkaz"/>
            <w:noProof/>
          </w:rPr>
          <w:t>Graf 96: VS – vyřizování odvolacích trestních věcí v letech 2008–2021</w:t>
        </w:r>
        <w:r>
          <w:rPr>
            <w:noProof/>
            <w:webHidden/>
          </w:rPr>
          <w:tab/>
        </w:r>
        <w:r>
          <w:rPr>
            <w:noProof/>
            <w:webHidden/>
          </w:rPr>
          <w:fldChar w:fldCharType="begin"/>
        </w:r>
        <w:r>
          <w:rPr>
            <w:noProof/>
            <w:webHidden/>
          </w:rPr>
          <w:instrText xml:space="preserve"> PAGEREF _Toc109802054 \h </w:instrText>
        </w:r>
        <w:r>
          <w:rPr>
            <w:noProof/>
            <w:webHidden/>
          </w:rPr>
        </w:r>
        <w:r>
          <w:rPr>
            <w:noProof/>
            <w:webHidden/>
          </w:rPr>
          <w:fldChar w:fldCharType="separate"/>
        </w:r>
        <w:r>
          <w:rPr>
            <w:noProof/>
            <w:webHidden/>
          </w:rPr>
          <w:t>160</w:t>
        </w:r>
        <w:r>
          <w:rPr>
            <w:noProof/>
            <w:webHidden/>
          </w:rPr>
          <w:fldChar w:fldCharType="end"/>
        </w:r>
      </w:hyperlink>
    </w:p>
    <w:p w14:paraId="4B4C3B18" w14:textId="729A148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5" w:history="1">
        <w:r w:rsidRPr="005C6330">
          <w:rPr>
            <w:rStyle w:val="Hypertextovodkaz"/>
            <w:noProof/>
          </w:rPr>
          <w:t>Graf 97: VS – DT trestního odvolacího řízení v letech 2008–2021</w:t>
        </w:r>
        <w:r>
          <w:rPr>
            <w:noProof/>
            <w:webHidden/>
          </w:rPr>
          <w:tab/>
        </w:r>
        <w:r>
          <w:rPr>
            <w:noProof/>
            <w:webHidden/>
          </w:rPr>
          <w:fldChar w:fldCharType="begin"/>
        </w:r>
        <w:r>
          <w:rPr>
            <w:noProof/>
            <w:webHidden/>
          </w:rPr>
          <w:instrText xml:space="preserve"> PAGEREF _Toc109802055 \h </w:instrText>
        </w:r>
        <w:r>
          <w:rPr>
            <w:noProof/>
            <w:webHidden/>
          </w:rPr>
        </w:r>
        <w:r>
          <w:rPr>
            <w:noProof/>
            <w:webHidden/>
          </w:rPr>
          <w:fldChar w:fldCharType="separate"/>
        </w:r>
        <w:r>
          <w:rPr>
            <w:noProof/>
            <w:webHidden/>
          </w:rPr>
          <w:t>161</w:t>
        </w:r>
        <w:r>
          <w:rPr>
            <w:noProof/>
            <w:webHidden/>
          </w:rPr>
          <w:fldChar w:fldCharType="end"/>
        </w:r>
      </w:hyperlink>
    </w:p>
    <w:p w14:paraId="4683D5F2" w14:textId="44A75D0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6" w:history="1">
        <w:r w:rsidRPr="005C6330">
          <w:rPr>
            <w:rStyle w:val="Hypertextovodkaz"/>
            <w:noProof/>
          </w:rPr>
          <w:t>Graf 98: VS – vyřizování insolvenční agendy v letech 2010–2021</w:t>
        </w:r>
        <w:r>
          <w:rPr>
            <w:noProof/>
            <w:webHidden/>
          </w:rPr>
          <w:tab/>
        </w:r>
        <w:r>
          <w:rPr>
            <w:noProof/>
            <w:webHidden/>
          </w:rPr>
          <w:fldChar w:fldCharType="begin"/>
        </w:r>
        <w:r>
          <w:rPr>
            <w:noProof/>
            <w:webHidden/>
          </w:rPr>
          <w:instrText xml:space="preserve"> PAGEREF _Toc109802056 \h </w:instrText>
        </w:r>
        <w:r>
          <w:rPr>
            <w:noProof/>
            <w:webHidden/>
          </w:rPr>
        </w:r>
        <w:r>
          <w:rPr>
            <w:noProof/>
            <w:webHidden/>
          </w:rPr>
          <w:fldChar w:fldCharType="separate"/>
        </w:r>
        <w:r>
          <w:rPr>
            <w:noProof/>
            <w:webHidden/>
          </w:rPr>
          <w:t>163</w:t>
        </w:r>
        <w:r>
          <w:rPr>
            <w:noProof/>
            <w:webHidden/>
          </w:rPr>
          <w:fldChar w:fldCharType="end"/>
        </w:r>
      </w:hyperlink>
    </w:p>
    <w:p w14:paraId="4AB370AB" w14:textId="16D782F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7" w:history="1">
        <w:r w:rsidRPr="005C6330">
          <w:rPr>
            <w:rStyle w:val="Hypertextovodkaz"/>
            <w:noProof/>
          </w:rPr>
          <w:t>Graf 99: VS – DT v insolvenční agendě v letech 2010–2021</w:t>
        </w:r>
        <w:r>
          <w:rPr>
            <w:noProof/>
            <w:webHidden/>
          </w:rPr>
          <w:tab/>
        </w:r>
        <w:r>
          <w:rPr>
            <w:noProof/>
            <w:webHidden/>
          </w:rPr>
          <w:fldChar w:fldCharType="begin"/>
        </w:r>
        <w:r>
          <w:rPr>
            <w:noProof/>
            <w:webHidden/>
          </w:rPr>
          <w:instrText xml:space="preserve"> PAGEREF _Toc109802057 \h </w:instrText>
        </w:r>
        <w:r>
          <w:rPr>
            <w:noProof/>
            <w:webHidden/>
          </w:rPr>
        </w:r>
        <w:r>
          <w:rPr>
            <w:noProof/>
            <w:webHidden/>
          </w:rPr>
          <w:fldChar w:fldCharType="separate"/>
        </w:r>
        <w:r>
          <w:rPr>
            <w:noProof/>
            <w:webHidden/>
          </w:rPr>
          <w:t>163</w:t>
        </w:r>
        <w:r>
          <w:rPr>
            <w:noProof/>
            <w:webHidden/>
          </w:rPr>
          <w:fldChar w:fldCharType="end"/>
        </w:r>
      </w:hyperlink>
    </w:p>
    <w:p w14:paraId="60F61C19" w14:textId="61C0AB0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8" w:history="1">
        <w:r w:rsidRPr="005C6330">
          <w:rPr>
            <w:rStyle w:val="Hypertextovodkaz"/>
            <w:noProof/>
          </w:rPr>
          <w:t>Graf 100: VS – délka odvolacího řízení incidenčních sporů v letech 2011–2021</w:t>
        </w:r>
        <w:r>
          <w:rPr>
            <w:noProof/>
            <w:webHidden/>
          </w:rPr>
          <w:tab/>
        </w:r>
        <w:r>
          <w:rPr>
            <w:noProof/>
            <w:webHidden/>
          </w:rPr>
          <w:fldChar w:fldCharType="begin"/>
        </w:r>
        <w:r>
          <w:rPr>
            <w:noProof/>
            <w:webHidden/>
          </w:rPr>
          <w:instrText xml:space="preserve"> PAGEREF _Toc109802058 \h </w:instrText>
        </w:r>
        <w:r>
          <w:rPr>
            <w:noProof/>
            <w:webHidden/>
          </w:rPr>
        </w:r>
        <w:r>
          <w:rPr>
            <w:noProof/>
            <w:webHidden/>
          </w:rPr>
          <w:fldChar w:fldCharType="separate"/>
        </w:r>
        <w:r>
          <w:rPr>
            <w:noProof/>
            <w:webHidden/>
          </w:rPr>
          <w:t>165</w:t>
        </w:r>
        <w:r>
          <w:rPr>
            <w:noProof/>
            <w:webHidden/>
          </w:rPr>
          <w:fldChar w:fldCharType="end"/>
        </w:r>
      </w:hyperlink>
    </w:p>
    <w:p w14:paraId="5CA0CBF6" w14:textId="47DF7B3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59" w:history="1">
        <w:r w:rsidRPr="005C6330">
          <w:rPr>
            <w:rStyle w:val="Hypertextovodkaz"/>
            <w:noProof/>
          </w:rPr>
          <w:t>Graf 101: VS – distribuce délek odvolacího řízení v incidenčních sporech</w:t>
        </w:r>
        <w:r>
          <w:rPr>
            <w:noProof/>
            <w:webHidden/>
          </w:rPr>
          <w:tab/>
        </w:r>
        <w:r>
          <w:rPr>
            <w:noProof/>
            <w:webHidden/>
          </w:rPr>
          <w:fldChar w:fldCharType="begin"/>
        </w:r>
        <w:r>
          <w:rPr>
            <w:noProof/>
            <w:webHidden/>
          </w:rPr>
          <w:instrText xml:space="preserve"> PAGEREF _Toc109802059 \h </w:instrText>
        </w:r>
        <w:r>
          <w:rPr>
            <w:noProof/>
            <w:webHidden/>
          </w:rPr>
        </w:r>
        <w:r>
          <w:rPr>
            <w:noProof/>
            <w:webHidden/>
          </w:rPr>
          <w:fldChar w:fldCharType="separate"/>
        </w:r>
        <w:r>
          <w:rPr>
            <w:noProof/>
            <w:webHidden/>
          </w:rPr>
          <w:t>166</w:t>
        </w:r>
        <w:r>
          <w:rPr>
            <w:noProof/>
            <w:webHidden/>
          </w:rPr>
          <w:fldChar w:fldCharType="end"/>
        </w:r>
      </w:hyperlink>
    </w:p>
    <w:p w14:paraId="1FBD9740" w14:textId="4DD2E45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0" w:history="1">
        <w:r w:rsidRPr="005C6330">
          <w:rPr>
            <w:rStyle w:val="Hypertextovodkaz"/>
            <w:noProof/>
          </w:rPr>
          <w:t>Graf 102: VS – vyřizování odvolacího řízení v incidenčních sporech</w:t>
        </w:r>
        <w:r>
          <w:rPr>
            <w:noProof/>
            <w:webHidden/>
          </w:rPr>
          <w:tab/>
        </w:r>
        <w:r>
          <w:rPr>
            <w:noProof/>
            <w:webHidden/>
          </w:rPr>
          <w:fldChar w:fldCharType="begin"/>
        </w:r>
        <w:r>
          <w:rPr>
            <w:noProof/>
            <w:webHidden/>
          </w:rPr>
          <w:instrText xml:space="preserve"> PAGEREF _Toc109802060 \h </w:instrText>
        </w:r>
        <w:r>
          <w:rPr>
            <w:noProof/>
            <w:webHidden/>
          </w:rPr>
        </w:r>
        <w:r>
          <w:rPr>
            <w:noProof/>
            <w:webHidden/>
          </w:rPr>
          <w:fldChar w:fldCharType="separate"/>
        </w:r>
        <w:r>
          <w:rPr>
            <w:noProof/>
            <w:webHidden/>
          </w:rPr>
          <w:t>167</w:t>
        </w:r>
        <w:r>
          <w:rPr>
            <w:noProof/>
            <w:webHidden/>
          </w:rPr>
          <w:fldChar w:fldCharType="end"/>
        </w:r>
      </w:hyperlink>
    </w:p>
    <w:p w14:paraId="476047E5" w14:textId="7FE5D17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1" w:history="1">
        <w:r w:rsidRPr="005C6330">
          <w:rPr>
            <w:rStyle w:val="Hypertextovodkaz"/>
            <w:noProof/>
          </w:rPr>
          <w:t>Graf 103: VS – DT odvolacího řízení v incidenčních sporech</w:t>
        </w:r>
        <w:r>
          <w:rPr>
            <w:noProof/>
            <w:webHidden/>
          </w:rPr>
          <w:tab/>
        </w:r>
        <w:r>
          <w:rPr>
            <w:noProof/>
            <w:webHidden/>
          </w:rPr>
          <w:fldChar w:fldCharType="begin"/>
        </w:r>
        <w:r>
          <w:rPr>
            <w:noProof/>
            <w:webHidden/>
          </w:rPr>
          <w:instrText xml:space="preserve"> PAGEREF _Toc109802061 \h </w:instrText>
        </w:r>
        <w:r>
          <w:rPr>
            <w:noProof/>
            <w:webHidden/>
          </w:rPr>
        </w:r>
        <w:r>
          <w:rPr>
            <w:noProof/>
            <w:webHidden/>
          </w:rPr>
          <w:fldChar w:fldCharType="separate"/>
        </w:r>
        <w:r>
          <w:rPr>
            <w:noProof/>
            <w:webHidden/>
          </w:rPr>
          <w:t>168</w:t>
        </w:r>
        <w:r>
          <w:rPr>
            <w:noProof/>
            <w:webHidden/>
          </w:rPr>
          <w:fldChar w:fldCharType="end"/>
        </w:r>
      </w:hyperlink>
    </w:p>
    <w:p w14:paraId="53B2E745" w14:textId="5436DA3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2" w:history="1">
        <w:r w:rsidRPr="005C6330">
          <w:rPr>
            <w:rStyle w:val="Hypertextovodkaz"/>
            <w:noProof/>
          </w:rPr>
          <w:t>Graf 104: NS – počet soudců v letech 2008–2021</w:t>
        </w:r>
        <w:r>
          <w:rPr>
            <w:noProof/>
            <w:webHidden/>
          </w:rPr>
          <w:tab/>
        </w:r>
        <w:r>
          <w:rPr>
            <w:noProof/>
            <w:webHidden/>
          </w:rPr>
          <w:fldChar w:fldCharType="begin"/>
        </w:r>
        <w:r>
          <w:rPr>
            <w:noProof/>
            <w:webHidden/>
          </w:rPr>
          <w:instrText xml:space="preserve"> PAGEREF _Toc109802062 \h </w:instrText>
        </w:r>
        <w:r>
          <w:rPr>
            <w:noProof/>
            <w:webHidden/>
          </w:rPr>
        </w:r>
        <w:r>
          <w:rPr>
            <w:noProof/>
            <w:webHidden/>
          </w:rPr>
          <w:fldChar w:fldCharType="separate"/>
        </w:r>
        <w:r>
          <w:rPr>
            <w:noProof/>
            <w:webHidden/>
          </w:rPr>
          <w:t>170</w:t>
        </w:r>
        <w:r>
          <w:rPr>
            <w:noProof/>
            <w:webHidden/>
          </w:rPr>
          <w:fldChar w:fldCharType="end"/>
        </w:r>
      </w:hyperlink>
    </w:p>
    <w:p w14:paraId="115F1C0F" w14:textId="087A273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3" w:history="1">
        <w:r w:rsidRPr="005C6330">
          <w:rPr>
            <w:rStyle w:val="Hypertextovodkaz"/>
            <w:noProof/>
          </w:rPr>
          <w:t>Graf 105: NS – evidenční počet soudců dle soudních úseků v letech 2008–2021</w:t>
        </w:r>
        <w:r>
          <w:rPr>
            <w:noProof/>
            <w:webHidden/>
          </w:rPr>
          <w:tab/>
        </w:r>
        <w:r>
          <w:rPr>
            <w:noProof/>
            <w:webHidden/>
          </w:rPr>
          <w:fldChar w:fldCharType="begin"/>
        </w:r>
        <w:r>
          <w:rPr>
            <w:noProof/>
            <w:webHidden/>
          </w:rPr>
          <w:instrText xml:space="preserve"> PAGEREF _Toc109802063 \h </w:instrText>
        </w:r>
        <w:r>
          <w:rPr>
            <w:noProof/>
            <w:webHidden/>
          </w:rPr>
        </w:r>
        <w:r>
          <w:rPr>
            <w:noProof/>
            <w:webHidden/>
          </w:rPr>
          <w:fldChar w:fldCharType="separate"/>
        </w:r>
        <w:r>
          <w:rPr>
            <w:noProof/>
            <w:webHidden/>
          </w:rPr>
          <w:t>170</w:t>
        </w:r>
        <w:r>
          <w:rPr>
            <w:noProof/>
            <w:webHidden/>
          </w:rPr>
          <w:fldChar w:fldCharType="end"/>
        </w:r>
      </w:hyperlink>
    </w:p>
    <w:p w14:paraId="08C424B3" w14:textId="5EFDB14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4" w:history="1">
        <w:r w:rsidRPr="005C6330">
          <w:rPr>
            <w:rStyle w:val="Hypertextovodkaz"/>
            <w:noProof/>
          </w:rPr>
          <w:t>Graf 106: NS – věková struktura soudců v letech 2008–2021</w:t>
        </w:r>
        <w:r>
          <w:rPr>
            <w:noProof/>
            <w:webHidden/>
          </w:rPr>
          <w:tab/>
        </w:r>
        <w:r>
          <w:rPr>
            <w:noProof/>
            <w:webHidden/>
          </w:rPr>
          <w:fldChar w:fldCharType="begin"/>
        </w:r>
        <w:r>
          <w:rPr>
            <w:noProof/>
            <w:webHidden/>
          </w:rPr>
          <w:instrText xml:space="preserve"> PAGEREF _Toc109802064 \h </w:instrText>
        </w:r>
        <w:r>
          <w:rPr>
            <w:noProof/>
            <w:webHidden/>
          </w:rPr>
        </w:r>
        <w:r>
          <w:rPr>
            <w:noProof/>
            <w:webHidden/>
          </w:rPr>
          <w:fldChar w:fldCharType="separate"/>
        </w:r>
        <w:r>
          <w:rPr>
            <w:noProof/>
            <w:webHidden/>
          </w:rPr>
          <w:t>172</w:t>
        </w:r>
        <w:r>
          <w:rPr>
            <w:noProof/>
            <w:webHidden/>
          </w:rPr>
          <w:fldChar w:fldCharType="end"/>
        </w:r>
      </w:hyperlink>
    </w:p>
    <w:p w14:paraId="67C091CF" w14:textId="11BAEBE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5" w:history="1">
        <w:r w:rsidRPr="005C6330">
          <w:rPr>
            <w:rStyle w:val="Hypertextovodkaz"/>
            <w:noProof/>
          </w:rPr>
          <w:t>Graf 107: NS – vyřizování civilní dovolací agendy v letech 2008–2021</w:t>
        </w:r>
        <w:r>
          <w:rPr>
            <w:noProof/>
            <w:webHidden/>
          </w:rPr>
          <w:tab/>
        </w:r>
        <w:r>
          <w:rPr>
            <w:noProof/>
            <w:webHidden/>
          </w:rPr>
          <w:fldChar w:fldCharType="begin"/>
        </w:r>
        <w:r>
          <w:rPr>
            <w:noProof/>
            <w:webHidden/>
          </w:rPr>
          <w:instrText xml:space="preserve"> PAGEREF _Toc109802065 \h </w:instrText>
        </w:r>
        <w:r>
          <w:rPr>
            <w:noProof/>
            <w:webHidden/>
          </w:rPr>
        </w:r>
        <w:r>
          <w:rPr>
            <w:noProof/>
            <w:webHidden/>
          </w:rPr>
          <w:fldChar w:fldCharType="separate"/>
        </w:r>
        <w:r>
          <w:rPr>
            <w:noProof/>
            <w:webHidden/>
          </w:rPr>
          <w:t>173</w:t>
        </w:r>
        <w:r>
          <w:rPr>
            <w:noProof/>
            <w:webHidden/>
          </w:rPr>
          <w:fldChar w:fldCharType="end"/>
        </w:r>
      </w:hyperlink>
    </w:p>
    <w:p w14:paraId="61A6A789" w14:textId="10D809F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6" w:history="1">
        <w:r w:rsidRPr="005C6330">
          <w:rPr>
            <w:rStyle w:val="Hypertextovodkaz"/>
            <w:noProof/>
          </w:rPr>
          <w:t>Graf 108: NS – vyřizování trestní dovolací agendy v letech 2008–2021</w:t>
        </w:r>
        <w:r>
          <w:rPr>
            <w:noProof/>
            <w:webHidden/>
          </w:rPr>
          <w:tab/>
        </w:r>
        <w:r>
          <w:rPr>
            <w:noProof/>
            <w:webHidden/>
          </w:rPr>
          <w:fldChar w:fldCharType="begin"/>
        </w:r>
        <w:r>
          <w:rPr>
            <w:noProof/>
            <w:webHidden/>
          </w:rPr>
          <w:instrText xml:space="preserve"> PAGEREF _Toc109802066 \h </w:instrText>
        </w:r>
        <w:r>
          <w:rPr>
            <w:noProof/>
            <w:webHidden/>
          </w:rPr>
        </w:r>
        <w:r>
          <w:rPr>
            <w:noProof/>
            <w:webHidden/>
          </w:rPr>
          <w:fldChar w:fldCharType="separate"/>
        </w:r>
        <w:r>
          <w:rPr>
            <w:noProof/>
            <w:webHidden/>
          </w:rPr>
          <w:t>174</w:t>
        </w:r>
        <w:r>
          <w:rPr>
            <w:noProof/>
            <w:webHidden/>
          </w:rPr>
          <w:fldChar w:fldCharType="end"/>
        </w:r>
      </w:hyperlink>
    </w:p>
    <w:p w14:paraId="51761DD7" w14:textId="573E504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7" w:history="1">
        <w:r w:rsidRPr="005C6330">
          <w:rPr>
            <w:rStyle w:val="Hypertextovodkaz"/>
            <w:noProof/>
          </w:rPr>
          <w:t>Graf 109: NS – vyřizování stížností pro porušení zákona v letech 2010–2021</w:t>
        </w:r>
        <w:r>
          <w:rPr>
            <w:noProof/>
            <w:webHidden/>
          </w:rPr>
          <w:tab/>
        </w:r>
        <w:r>
          <w:rPr>
            <w:noProof/>
            <w:webHidden/>
          </w:rPr>
          <w:fldChar w:fldCharType="begin"/>
        </w:r>
        <w:r>
          <w:rPr>
            <w:noProof/>
            <w:webHidden/>
          </w:rPr>
          <w:instrText xml:space="preserve"> PAGEREF _Toc109802067 \h </w:instrText>
        </w:r>
        <w:r>
          <w:rPr>
            <w:noProof/>
            <w:webHidden/>
          </w:rPr>
        </w:r>
        <w:r>
          <w:rPr>
            <w:noProof/>
            <w:webHidden/>
          </w:rPr>
          <w:fldChar w:fldCharType="separate"/>
        </w:r>
        <w:r>
          <w:rPr>
            <w:noProof/>
            <w:webHidden/>
          </w:rPr>
          <w:t>175</w:t>
        </w:r>
        <w:r>
          <w:rPr>
            <w:noProof/>
            <w:webHidden/>
          </w:rPr>
          <w:fldChar w:fldCharType="end"/>
        </w:r>
      </w:hyperlink>
    </w:p>
    <w:p w14:paraId="3B63B099" w14:textId="6B42BA6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8" w:history="1">
        <w:r w:rsidRPr="005C6330">
          <w:rPr>
            <w:rStyle w:val="Hypertextovodkaz"/>
            <w:noProof/>
          </w:rPr>
          <w:t>Graf 110: NS – vyřizování insolvenční dovolací agendy v letech 2010–2021</w:t>
        </w:r>
        <w:r>
          <w:rPr>
            <w:noProof/>
            <w:webHidden/>
          </w:rPr>
          <w:tab/>
        </w:r>
        <w:r>
          <w:rPr>
            <w:noProof/>
            <w:webHidden/>
          </w:rPr>
          <w:fldChar w:fldCharType="begin"/>
        </w:r>
        <w:r>
          <w:rPr>
            <w:noProof/>
            <w:webHidden/>
          </w:rPr>
          <w:instrText xml:space="preserve"> PAGEREF _Toc109802068 \h </w:instrText>
        </w:r>
        <w:r>
          <w:rPr>
            <w:noProof/>
            <w:webHidden/>
          </w:rPr>
        </w:r>
        <w:r>
          <w:rPr>
            <w:noProof/>
            <w:webHidden/>
          </w:rPr>
          <w:fldChar w:fldCharType="separate"/>
        </w:r>
        <w:r>
          <w:rPr>
            <w:noProof/>
            <w:webHidden/>
          </w:rPr>
          <w:t>176</w:t>
        </w:r>
        <w:r>
          <w:rPr>
            <w:noProof/>
            <w:webHidden/>
          </w:rPr>
          <w:fldChar w:fldCharType="end"/>
        </w:r>
      </w:hyperlink>
    </w:p>
    <w:p w14:paraId="7A7AC235" w14:textId="0179075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69" w:history="1">
        <w:r w:rsidRPr="005C6330">
          <w:rPr>
            <w:rStyle w:val="Hypertextovodkaz"/>
            <w:noProof/>
          </w:rPr>
          <w:t>Graf 111: NSS – počet soudců v letech 2008–2021</w:t>
        </w:r>
        <w:r>
          <w:rPr>
            <w:noProof/>
            <w:webHidden/>
          </w:rPr>
          <w:tab/>
        </w:r>
        <w:r>
          <w:rPr>
            <w:noProof/>
            <w:webHidden/>
          </w:rPr>
          <w:fldChar w:fldCharType="begin"/>
        </w:r>
        <w:r>
          <w:rPr>
            <w:noProof/>
            <w:webHidden/>
          </w:rPr>
          <w:instrText xml:space="preserve"> PAGEREF _Toc109802069 \h </w:instrText>
        </w:r>
        <w:r>
          <w:rPr>
            <w:noProof/>
            <w:webHidden/>
          </w:rPr>
        </w:r>
        <w:r>
          <w:rPr>
            <w:noProof/>
            <w:webHidden/>
          </w:rPr>
          <w:fldChar w:fldCharType="separate"/>
        </w:r>
        <w:r>
          <w:rPr>
            <w:noProof/>
            <w:webHidden/>
          </w:rPr>
          <w:t>178</w:t>
        </w:r>
        <w:r>
          <w:rPr>
            <w:noProof/>
            <w:webHidden/>
          </w:rPr>
          <w:fldChar w:fldCharType="end"/>
        </w:r>
      </w:hyperlink>
    </w:p>
    <w:p w14:paraId="52796948" w14:textId="143C493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0" w:history="1">
        <w:r w:rsidRPr="005C6330">
          <w:rPr>
            <w:rStyle w:val="Hypertextovodkaz"/>
            <w:noProof/>
          </w:rPr>
          <w:t>Graf 112: NSS – evidenční počet soudců dle pohlaví v letech 2008–2021</w:t>
        </w:r>
        <w:r>
          <w:rPr>
            <w:noProof/>
            <w:webHidden/>
          </w:rPr>
          <w:tab/>
        </w:r>
        <w:r>
          <w:rPr>
            <w:noProof/>
            <w:webHidden/>
          </w:rPr>
          <w:fldChar w:fldCharType="begin"/>
        </w:r>
        <w:r>
          <w:rPr>
            <w:noProof/>
            <w:webHidden/>
          </w:rPr>
          <w:instrText xml:space="preserve"> PAGEREF _Toc109802070 \h </w:instrText>
        </w:r>
        <w:r>
          <w:rPr>
            <w:noProof/>
            <w:webHidden/>
          </w:rPr>
        </w:r>
        <w:r>
          <w:rPr>
            <w:noProof/>
            <w:webHidden/>
          </w:rPr>
          <w:fldChar w:fldCharType="separate"/>
        </w:r>
        <w:r>
          <w:rPr>
            <w:noProof/>
            <w:webHidden/>
          </w:rPr>
          <w:t>179</w:t>
        </w:r>
        <w:r>
          <w:rPr>
            <w:noProof/>
            <w:webHidden/>
          </w:rPr>
          <w:fldChar w:fldCharType="end"/>
        </w:r>
      </w:hyperlink>
    </w:p>
    <w:p w14:paraId="16C8DD14" w14:textId="66C7491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1" w:history="1">
        <w:r w:rsidRPr="005C6330">
          <w:rPr>
            <w:rStyle w:val="Hypertextovodkaz"/>
            <w:noProof/>
          </w:rPr>
          <w:t>Graf 113: NSS – věková struktura soudců v letech 2008</w:t>
        </w:r>
        <w:r w:rsidRPr="005C6330">
          <w:rPr>
            <w:rStyle w:val="Hypertextovodkaz"/>
            <w:noProof/>
          </w:rPr>
          <w:sym w:font="Symbol" w:char="F02D"/>
        </w:r>
        <w:r w:rsidRPr="005C6330">
          <w:rPr>
            <w:rStyle w:val="Hypertextovodkaz"/>
            <w:noProof/>
          </w:rPr>
          <w:t>2021</w:t>
        </w:r>
        <w:r>
          <w:rPr>
            <w:noProof/>
            <w:webHidden/>
          </w:rPr>
          <w:tab/>
        </w:r>
        <w:r>
          <w:rPr>
            <w:noProof/>
            <w:webHidden/>
          </w:rPr>
          <w:fldChar w:fldCharType="begin"/>
        </w:r>
        <w:r>
          <w:rPr>
            <w:noProof/>
            <w:webHidden/>
          </w:rPr>
          <w:instrText xml:space="preserve"> PAGEREF _Toc109802071 \h </w:instrText>
        </w:r>
        <w:r>
          <w:rPr>
            <w:noProof/>
            <w:webHidden/>
          </w:rPr>
        </w:r>
        <w:r>
          <w:rPr>
            <w:noProof/>
            <w:webHidden/>
          </w:rPr>
          <w:fldChar w:fldCharType="separate"/>
        </w:r>
        <w:r>
          <w:rPr>
            <w:noProof/>
            <w:webHidden/>
          </w:rPr>
          <w:t>180</w:t>
        </w:r>
        <w:r>
          <w:rPr>
            <w:noProof/>
            <w:webHidden/>
          </w:rPr>
          <w:fldChar w:fldCharType="end"/>
        </w:r>
      </w:hyperlink>
    </w:p>
    <w:p w14:paraId="32D60DA6" w14:textId="05A5A62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2" w:history="1">
        <w:r w:rsidRPr="005C6330">
          <w:rPr>
            <w:rStyle w:val="Hypertextovodkaz"/>
            <w:noProof/>
          </w:rPr>
          <w:t>Graf 114: NSS – vyřizování kasačních věcí v letech 2008–2021</w:t>
        </w:r>
        <w:r>
          <w:rPr>
            <w:noProof/>
            <w:webHidden/>
          </w:rPr>
          <w:tab/>
        </w:r>
        <w:r>
          <w:rPr>
            <w:noProof/>
            <w:webHidden/>
          </w:rPr>
          <w:fldChar w:fldCharType="begin"/>
        </w:r>
        <w:r>
          <w:rPr>
            <w:noProof/>
            <w:webHidden/>
          </w:rPr>
          <w:instrText xml:space="preserve"> PAGEREF _Toc109802072 \h </w:instrText>
        </w:r>
        <w:r>
          <w:rPr>
            <w:noProof/>
            <w:webHidden/>
          </w:rPr>
        </w:r>
        <w:r>
          <w:rPr>
            <w:noProof/>
            <w:webHidden/>
          </w:rPr>
          <w:fldChar w:fldCharType="separate"/>
        </w:r>
        <w:r>
          <w:rPr>
            <w:noProof/>
            <w:webHidden/>
          </w:rPr>
          <w:t>181</w:t>
        </w:r>
        <w:r>
          <w:rPr>
            <w:noProof/>
            <w:webHidden/>
          </w:rPr>
          <w:fldChar w:fldCharType="end"/>
        </w:r>
      </w:hyperlink>
    </w:p>
    <w:p w14:paraId="58D67AC9" w14:textId="1FFF896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3" w:history="1">
        <w:r w:rsidRPr="005C6330">
          <w:rPr>
            <w:rStyle w:val="Hypertextovodkaz"/>
            <w:noProof/>
          </w:rPr>
          <w:t>Graf 115: NSS – vyřizování řízení ve věcech soudců v letech 2008–2021</w:t>
        </w:r>
        <w:r>
          <w:rPr>
            <w:noProof/>
            <w:webHidden/>
          </w:rPr>
          <w:tab/>
        </w:r>
        <w:r>
          <w:rPr>
            <w:noProof/>
            <w:webHidden/>
          </w:rPr>
          <w:fldChar w:fldCharType="begin"/>
        </w:r>
        <w:r>
          <w:rPr>
            <w:noProof/>
            <w:webHidden/>
          </w:rPr>
          <w:instrText xml:space="preserve"> PAGEREF _Toc109802073 \h </w:instrText>
        </w:r>
        <w:r>
          <w:rPr>
            <w:noProof/>
            <w:webHidden/>
          </w:rPr>
        </w:r>
        <w:r>
          <w:rPr>
            <w:noProof/>
            <w:webHidden/>
          </w:rPr>
          <w:fldChar w:fldCharType="separate"/>
        </w:r>
        <w:r>
          <w:rPr>
            <w:noProof/>
            <w:webHidden/>
          </w:rPr>
          <w:t>182</w:t>
        </w:r>
        <w:r>
          <w:rPr>
            <w:noProof/>
            <w:webHidden/>
          </w:rPr>
          <w:fldChar w:fldCharType="end"/>
        </w:r>
      </w:hyperlink>
    </w:p>
    <w:p w14:paraId="373156EC" w14:textId="38984CE3"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4" w:history="1">
        <w:r w:rsidRPr="005C6330">
          <w:rPr>
            <w:rStyle w:val="Hypertextovodkaz"/>
            <w:noProof/>
          </w:rPr>
          <w:t>Graf 116: Počet soudců na 100 000 obyvatel v zemích EU</w:t>
        </w:r>
        <w:r>
          <w:rPr>
            <w:noProof/>
            <w:webHidden/>
          </w:rPr>
          <w:tab/>
        </w:r>
        <w:r>
          <w:rPr>
            <w:noProof/>
            <w:webHidden/>
          </w:rPr>
          <w:fldChar w:fldCharType="begin"/>
        </w:r>
        <w:r>
          <w:rPr>
            <w:noProof/>
            <w:webHidden/>
          </w:rPr>
          <w:instrText xml:space="preserve"> PAGEREF _Toc109802074 \h </w:instrText>
        </w:r>
        <w:r>
          <w:rPr>
            <w:noProof/>
            <w:webHidden/>
          </w:rPr>
        </w:r>
        <w:r>
          <w:rPr>
            <w:noProof/>
            <w:webHidden/>
          </w:rPr>
          <w:fldChar w:fldCharType="separate"/>
        </w:r>
        <w:r>
          <w:rPr>
            <w:noProof/>
            <w:webHidden/>
          </w:rPr>
          <w:t>187</w:t>
        </w:r>
        <w:r>
          <w:rPr>
            <w:noProof/>
            <w:webHidden/>
          </w:rPr>
          <w:fldChar w:fldCharType="end"/>
        </w:r>
      </w:hyperlink>
    </w:p>
    <w:p w14:paraId="7AE076C5" w14:textId="2EF29D3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5" w:history="1">
        <w:r w:rsidRPr="005C6330">
          <w:rPr>
            <w:rStyle w:val="Hypertextovodkaz"/>
            <w:noProof/>
          </w:rPr>
          <w:t>Graf 117: Počet advokátů (*) na 100 000 obyvatel</w:t>
        </w:r>
        <w:r>
          <w:rPr>
            <w:noProof/>
            <w:webHidden/>
          </w:rPr>
          <w:tab/>
        </w:r>
        <w:r>
          <w:rPr>
            <w:noProof/>
            <w:webHidden/>
          </w:rPr>
          <w:fldChar w:fldCharType="begin"/>
        </w:r>
        <w:r>
          <w:rPr>
            <w:noProof/>
            <w:webHidden/>
          </w:rPr>
          <w:instrText xml:space="preserve"> PAGEREF _Toc109802075 \h </w:instrText>
        </w:r>
        <w:r>
          <w:rPr>
            <w:noProof/>
            <w:webHidden/>
          </w:rPr>
        </w:r>
        <w:r>
          <w:rPr>
            <w:noProof/>
            <w:webHidden/>
          </w:rPr>
          <w:fldChar w:fldCharType="separate"/>
        </w:r>
        <w:r>
          <w:rPr>
            <w:noProof/>
            <w:webHidden/>
          </w:rPr>
          <w:t>187</w:t>
        </w:r>
        <w:r>
          <w:rPr>
            <w:noProof/>
            <w:webHidden/>
          </w:rPr>
          <w:fldChar w:fldCharType="end"/>
        </w:r>
      </w:hyperlink>
    </w:p>
    <w:p w14:paraId="10395802" w14:textId="45B5B70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6" w:history="1">
        <w:r w:rsidRPr="005C6330">
          <w:rPr>
            <w:rStyle w:val="Hypertextovodkaz"/>
            <w:noProof/>
          </w:rPr>
          <w:t>Graf 118: Podíl žen mezi soudci</w:t>
        </w:r>
        <w:r>
          <w:rPr>
            <w:noProof/>
            <w:webHidden/>
          </w:rPr>
          <w:tab/>
        </w:r>
        <w:r>
          <w:rPr>
            <w:noProof/>
            <w:webHidden/>
          </w:rPr>
          <w:fldChar w:fldCharType="begin"/>
        </w:r>
        <w:r>
          <w:rPr>
            <w:noProof/>
            <w:webHidden/>
          </w:rPr>
          <w:instrText xml:space="preserve"> PAGEREF _Toc109802076 \h </w:instrText>
        </w:r>
        <w:r>
          <w:rPr>
            <w:noProof/>
            <w:webHidden/>
          </w:rPr>
        </w:r>
        <w:r>
          <w:rPr>
            <w:noProof/>
            <w:webHidden/>
          </w:rPr>
          <w:fldChar w:fldCharType="separate"/>
        </w:r>
        <w:r>
          <w:rPr>
            <w:noProof/>
            <w:webHidden/>
          </w:rPr>
          <w:t>188</w:t>
        </w:r>
        <w:r>
          <w:rPr>
            <w:noProof/>
            <w:webHidden/>
          </w:rPr>
          <w:fldChar w:fldCharType="end"/>
        </w:r>
      </w:hyperlink>
    </w:p>
    <w:p w14:paraId="02F202B2" w14:textId="1B88874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7" w:history="1">
        <w:r w:rsidRPr="005C6330">
          <w:rPr>
            <w:rStyle w:val="Hypertextovodkaz"/>
            <w:noProof/>
          </w:rPr>
          <w:t>Graf 119: EU – Soudní poplatek za zahájení řízení v konkrétní obch. věci, 2020</w:t>
        </w:r>
        <w:r>
          <w:rPr>
            <w:noProof/>
            <w:webHidden/>
          </w:rPr>
          <w:tab/>
        </w:r>
        <w:r>
          <w:rPr>
            <w:noProof/>
            <w:webHidden/>
          </w:rPr>
          <w:fldChar w:fldCharType="begin"/>
        </w:r>
        <w:r>
          <w:rPr>
            <w:noProof/>
            <w:webHidden/>
          </w:rPr>
          <w:instrText xml:space="preserve"> PAGEREF _Toc109802077 \h </w:instrText>
        </w:r>
        <w:r>
          <w:rPr>
            <w:noProof/>
            <w:webHidden/>
          </w:rPr>
        </w:r>
        <w:r>
          <w:rPr>
            <w:noProof/>
            <w:webHidden/>
          </w:rPr>
          <w:fldChar w:fldCharType="separate"/>
        </w:r>
        <w:r>
          <w:rPr>
            <w:noProof/>
            <w:webHidden/>
          </w:rPr>
          <w:t>189</w:t>
        </w:r>
        <w:r>
          <w:rPr>
            <w:noProof/>
            <w:webHidden/>
          </w:rPr>
          <w:fldChar w:fldCharType="end"/>
        </w:r>
      </w:hyperlink>
    </w:p>
    <w:p w14:paraId="195E2276" w14:textId="444FE58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8" w:history="1">
        <w:r w:rsidRPr="005C6330">
          <w:rPr>
            <w:rStyle w:val="Hypertextovodkaz"/>
            <w:noProof/>
          </w:rPr>
          <w:t>Graf 120: EU – nápad sporných občanských a obch. věcí na 100 obyvatel</w:t>
        </w:r>
        <w:r>
          <w:rPr>
            <w:noProof/>
            <w:webHidden/>
          </w:rPr>
          <w:tab/>
        </w:r>
        <w:r>
          <w:rPr>
            <w:noProof/>
            <w:webHidden/>
          </w:rPr>
          <w:fldChar w:fldCharType="begin"/>
        </w:r>
        <w:r>
          <w:rPr>
            <w:noProof/>
            <w:webHidden/>
          </w:rPr>
          <w:instrText xml:space="preserve"> PAGEREF _Toc109802078 \h </w:instrText>
        </w:r>
        <w:r>
          <w:rPr>
            <w:noProof/>
            <w:webHidden/>
          </w:rPr>
        </w:r>
        <w:r>
          <w:rPr>
            <w:noProof/>
            <w:webHidden/>
          </w:rPr>
          <w:fldChar w:fldCharType="separate"/>
        </w:r>
        <w:r>
          <w:rPr>
            <w:noProof/>
            <w:webHidden/>
          </w:rPr>
          <w:t>190</w:t>
        </w:r>
        <w:r>
          <w:rPr>
            <w:noProof/>
            <w:webHidden/>
          </w:rPr>
          <w:fldChar w:fldCharType="end"/>
        </w:r>
      </w:hyperlink>
    </w:p>
    <w:p w14:paraId="4B5CBA66" w14:textId="086E5FB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79" w:history="1">
        <w:r w:rsidRPr="005C6330">
          <w:rPr>
            <w:rStyle w:val="Hypertextovodkaz"/>
            <w:noProof/>
          </w:rPr>
          <w:t>Graf 121: EU – disposition time sporných obč. a obch. věcí</w:t>
        </w:r>
        <w:r>
          <w:rPr>
            <w:noProof/>
            <w:webHidden/>
          </w:rPr>
          <w:tab/>
        </w:r>
        <w:r>
          <w:rPr>
            <w:noProof/>
            <w:webHidden/>
          </w:rPr>
          <w:fldChar w:fldCharType="begin"/>
        </w:r>
        <w:r>
          <w:rPr>
            <w:noProof/>
            <w:webHidden/>
          </w:rPr>
          <w:instrText xml:space="preserve"> PAGEREF _Toc109802079 \h </w:instrText>
        </w:r>
        <w:r>
          <w:rPr>
            <w:noProof/>
            <w:webHidden/>
          </w:rPr>
        </w:r>
        <w:r>
          <w:rPr>
            <w:noProof/>
            <w:webHidden/>
          </w:rPr>
          <w:fldChar w:fldCharType="separate"/>
        </w:r>
        <w:r>
          <w:rPr>
            <w:noProof/>
            <w:webHidden/>
          </w:rPr>
          <w:t>191</w:t>
        </w:r>
        <w:r>
          <w:rPr>
            <w:noProof/>
            <w:webHidden/>
          </w:rPr>
          <w:fldChar w:fldCharType="end"/>
        </w:r>
      </w:hyperlink>
    </w:p>
    <w:p w14:paraId="3F67A802" w14:textId="3478F5F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0" w:history="1">
        <w:r w:rsidRPr="005C6330">
          <w:rPr>
            <w:rStyle w:val="Hypertextovodkaz"/>
            <w:noProof/>
          </w:rPr>
          <w:t>Graf 122: EU – počet nevyřízených sporných obč. a obch. věcí na 100 obyvatel</w:t>
        </w:r>
        <w:r>
          <w:rPr>
            <w:noProof/>
            <w:webHidden/>
          </w:rPr>
          <w:tab/>
        </w:r>
        <w:r>
          <w:rPr>
            <w:noProof/>
            <w:webHidden/>
          </w:rPr>
          <w:fldChar w:fldCharType="begin"/>
        </w:r>
        <w:r>
          <w:rPr>
            <w:noProof/>
            <w:webHidden/>
          </w:rPr>
          <w:instrText xml:space="preserve"> PAGEREF _Toc109802080 \h </w:instrText>
        </w:r>
        <w:r>
          <w:rPr>
            <w:noProof/>
            <w:webHidden/>
          </w:rPr>
        </w:r>
        <w:r>
          <w:rPr>
            <w:noProof/>
            <w:webHidden/>
          </w:rPr>
          <w:fldChar w:fldCharType="separate"/>
        </w:r>
        <w:r>
          <w:rPr>
            <w:noProof/>
            <w:webHidden/>
          </w:rPr>
          <w:t>191</w:t>
        </w:r>
        <w:r>
          <w:rPr>
            <w:noProof/>
            <w:webHidden/>
          </w:rPr>
          <w:fldChar w:fldCharType="end"/>
        </w:r>
      </w:hyperlink>
    </w:p>
    <w:p w14:paraId="06A51D1C" w14:textId="66448FA3"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1" w:history="1">
        <w:r w:rsidRPr="005C6330">
          <w:rPr>
            <w:rStyle w:val="Hypertextovodkaz"/>
            <w:noProof/>
          </w:rPr>
          <w:t>Graf 123: EU – Nápad trestních věcí na 100 000 obyvatel, soudy 1. stupně</w:t>
        </w:r>
        <w:r>
          <w:rPr>
            <w:noProof/>
            <w:webHidden/>
          </w:rPr>
          <w:tab/>
        </w:r>
        <w:r>
          <w:rPr>
            <w:noProof/>
            <w:webHidden/>
          </w:rPr>
          <w:fldChar w:fldCharType="begin"/>
        </w:r>
        <w:r>
          <w:rPr>
            <w:noProof/>
            <w:webHidden/>
          </w:rPr>
          <w:instrText xml:space="preserve"> PAGEREF _Toc109802081 \h </w:instrText>
        </w:r>
        <w:r>
          <w:rPr>
            <w:noProof/>
            <w:webHidden/>
          </w:rPr>
        </w:r>
        <w:r>
          <w:rPr>
            <w:noProof/>
            <w:webHidden/>
          </w:rPr>
          <w:fldChar w:fldCharType="separate"/>
        </w:r>
        <w:r>
          <w:rPr>
            <w:noProof/>
            <w:webHidden/>
          </w:rPr>
          <w:t>192</w:t>
        </w:r>
        <w:r>
          <w:rPr>
            <w:noProof/>
            <w:webHidden/>
          </w:rPr>
          <w:fldChar w:fldCharType="end"/>
        </w:r>
      </w:hyperlink>
    </w:p>
    <w:p w14:paraId="075A807C" w14:textId="7D8C6C3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2" w:history="1">
        <w:r w:rsidRPr="005C6330">
          <w:rPr>
            <w:rStyle w:val="Hypertextovodkaz"/>
            <w:noProof/>
          </w:rPr>
          <w:t>Graf 124: EU – Nevyřízeno trestních věcí na 100 000 obyvatel, soudy 1. stupně</w:t>
        </w:r>
        <w:r>
          <w:rPr>
            <w:noProof/>
            <w:webHidden/>
          </w:rPr>
          <w:tab/>
        </w:r>
        <w:r>
          <w:rPr>
            <w:noProof/>
            <w:webHidden/>
          </w:rPr>
          <w:fldChar w:fldCharType="begin"/>
        </w:r>
        <w:r>
          <w:rPr>
            <w:noProof/>
            <w:webHidden/>
          </w:rPr>
          <w:instrText xml:space="preserve"> PAGEREF _Toc109802082 \h </w:instrText>
        </w:r>
        <w:r>
          <w:rPr>
            <w:noProof/>
            <w:webHidden/>
          </w:rPr>
        </w:r>
        <w:r>
          <w:rPr>
            <w:noProof/>
            <w:webHidden/>
          </w:rPr>
          <w:fldChar w:fldCharType="separate"/>
        </w:r>
        <w:r>
          <w:rPr>
            <w:noProof/>
            <w:webHidden/>
          </w:rPr>
          <w:t>193</w:t>
        </w:r>
        <w:r>
          <w:rPr>
            <w:noProof/>
            <w:webHidden/>
          </w:rPr>
          <w:fldChar w:fldCharType="end"/>
        </w:r>
      </w:hyperlink>
    </w:p>
    <w:p w14:paraId="35FFC933" w14:textId="2AB3FC8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3" w:history="1">
        <w:r w:rsidRPr="005C6330">
          <w:rPr>
            <w:rStyle w:val="Hypertextovodkaz"/>
            <w:noProof/>
          </w:rPr>
          <w:t>Graf 125: EU – Odsouzeno osob na 100 000 obyvatel, 2008 – 2018</w:t>
        </w:r>
        <w:r>
          <w:rPr>
            <w:noProof/>
            <w:webHidden/>
          </w:rPr>
          <w:tab/>
        </w:r>
        <w:r>
          <w:rPr>
            <w:noProof/>
            <w:webHidden/>
          </w:rPr>
          <w:fldChar w:fldCharType="begin"/>
        </w:r>
        <w:r>
          <w:rPr>
            <w:noProof/>
            <w:webHidden/>
          </w:rPr>
          <w:instrText xml:space="preserve"> PAGEREF _Toc109802083 \h </w:instrText>
        </w:r>
        <w:r>
          <w:rPr>
            <w:noProof/>
            <w:webHidden/>
          </w:rPr>
        </w:r>
        <w:r>
          <w:rPr>
            <w:noProof/>
            <w:webHidden/>
          </w:rPr>
          <w:fldChar w:fldCharType="separate"/>
        </w:r>
        <w:r>
          <w:rPr>
            <w:noProof/>
            <w:webHidden/>
          </w:rPr>
          <w:t>193</w:t>
        </w:r>
        <w:r>
          <w:rPr>
            <w:noProof/>
            <w:webHidden/>
          </w:rPr>
          <w:fldChar w:fldCharType="end"/>
        </w:r>
      </w:hyperlink>
    </w:p>
    <w:p w14:paraId="30D66D30" w14:textId="2F420E8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4" w:history="1">
        <w:r w:rsidRPr="005C6330">
          <w:rPr>
            <w:rStyle w:val="Hypertextovodkaz"/>
            <w:noProof/>
          </w:rPr>
          <w:t>Graf 126: Koncept technické efektivnosti</w:t>
        </w:r>
        <w:r>
          <w:rPr>
            <w:noProof/>
            <w:webHidden/>
          </w:rPr>
          <w:tab/>
        </w:r>
        <w:r>
          <w:rPr>
            <w:noProof/>
            <w:webHidden/>
          </w:rPr>
          <w:fldChar w:fldCharType="begin"/>
        </w:r>
        <w:r>
          <w:rPr>
            <w:noProof/>
            <w:webHidden/>
          </w:rPr>
          <w:instrText xml:space="preserve"> PAGEREF _Toc109802084 \h </w:instrText>
        </w:r>
        <w:r>
          <w:rPr>
            <w:noProof/>
            <w:webHidden/>
          </w:rPr>
        </w:r>
        <w:r>
          <w:rPr>
            <w:noProof/>
            <w:webHidden/>
          </w:rPr>
          <w:fldChar w:fldCharType="separate"/>
        </w:r>
        <w:r>
          <w:rPr>
            <w:noProof/>
            <w:webHidden/>
          </w:rPr>
          <w:t>215</w:t>
        </w:r>
        <w:r>
          <w:rPr>
            <w:noProof/>
            <w:webHidden/>
          </w:rPr>
          <w:fldChar w:fldCharType="end"/>
        </w:r>
      </w:hyperlink>
    </w:p>
    <w:p w14:paraId="2D27A51A" w14:textId="20B21AA6"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5" w:history="1">
        <w:r w:rsidRPr="005C6330">
          <w:rPr>
            <w:rStyle w:val="Hypertextovodkaz"/>
            <w:noProof/>
          </w:rPr>
          <w:t>Graf 127: Koncept technické efektivnosti a přídatné proměnné</w:t>
        </w:r>
        <w:r>
          <w:rPr>
            <w:noProof/>
            <w:webHidden/>
          </w:rPr>
          <w:tab/>
        </w:r>
        <w:r>
          <w:rPr>
            <w:noProof/>
            <w:webHidden/>
          </w:rPr>
          <w:fldChar w:fldCharType="begin"/>
        </w:r>
        <w:r>
          <w:rPr>
            <w:noProof/>
            <w:webHidden/>
          </w:rPr>
          <w:instrText xml:space="preserve"> PAGEREF _Toc109802085 \h </w:instrText>
        </w:r>
        <w:r>
          <w:rPr>
            <w:noProof/>
            <w:webHidden/>
          </w:rPr>
        </w:r>
        <w:r>
          <w:rPr>
            <w:noProof/>
            <w:webHidden/>
          </w:rPr>
          <w:fldChar w:fldCharType="separate"/>
        </w:r>
        <w:r>
          <w:rPr>
            <w:noProof/>
            <w:webHidden/>
          </w:rPr>
          <w:t>216</w:t>
        </w:r>
        <w:r>
          <w:rPr>
            <w:noProof/>
            <w:webHidden/>
          </w:rPr>
          <w:fldChar w:fldCharType="end"/>
        </w:r>
      </w:hyperlink>
    </w:p>
    <w:p w14:paraId="6B012A64" w14:textId="64F5A80A" w:rsidR="008430BD" w:rsidRPr="00A00187" w:rsidRDefault="008430BD" w:rsidP="008430BD">
      <w:pPr>
        <w:spacing w:line="240" w:lineRule="auto"/>
        <w:jc w:val="left"/>
      </w:pPr>
      <w:r w:rsidRPr="00A00187">
        <w:fldChar w:fldCharType="end"/>
      </w:r>
      <w:r w:rsidRPr="00A00187">
        <w:br w:type="page"/>
      </w:r>
    </w:p>
    <w:p w14:paraId="26C437B7" w14:textId="77777777" w:rsidR="008430BD" w:rsidRPr="00A00187" w:rsidRDefault="008430BD" w:rsidP="008430BD">
      <w:pPr>
        <w:pStyle w:val="Nadpis1"/>
        <w:ind w:left="432" w:hanging="432"/>
      </w:pPr>
      <w:bookmarkStart w:id="1363" w:name="_Toc487791315"/>
      <w:bookmarkStart w:id="1364" w:name="_Toc106092833"/>
      <w:bookmarkStart w:id="1365" w:name="_Toc109801444"/>
      <w:r w:rsidRPr="00A00187">
        <w:lastRenderedPageBreak/>
        <w:t>Seznam tabulek</w:t>
      </w:r>
      <w:bookmarkEnd w:id="1363"/>
      <w:bookmarkEnd w:id="1364"/>
      <w:bookmarkEnd w:id="1365"/>
    </w:p>
    <w:p w14:paraId="5883C0EC" w14:textId="47695591" w:rsidR="007F73C9" w:rsidRDefault="008430BD">
      <w:pPr>
        <w:pStyle w:val="Seznamobrzk"/>
        <w:tabs>
          <w:tab w:val="right" w:leader="dot" w:pos="9060"/>
        </w:tabs>
        <w:rPr>
          <w:rFonts w:asciiTheme="minorHAnsi" w:eastAsiaTheme="minorEastAsia" w:hAnsiTheme="minorHAnsi" w:cstheme="minorBidi"/>
          <w:noProof/>
          <w:sz w:val="22"/>
          <w:lang w:eastAsia="cs-CZ"/>
        </w:rPr>
      </w:pPr>
      <w:r w:rsidRPr="00A00187">
        <w:rPr>
          <w:b/>
          <w:bCs/>
          <w:noProof/>
        </w:rPr>
        <w:fldChar w:fldCharType="begin"/>
      </w:r>
      <w:r w:rsidRPr="00A00187">
        <w:rPr>
          <w:b/>
          <w:bCs/>
          <w:noProof/>
        </w:rPr>
        <w:instrText xml:space="preserve"> TOC \h \z \c "Tabulka" </w:instrText>
      </w:r>
      <w:r w:rsidRPr="00A00187">
        <w:rPr>
          <w:b/>
          <w:bCs/>
          <w:noProof/>
        </w:rPr>
        <w:fldChar w:fldCharType="separate"/>
      </w:r>
      <w:hyperlink w:anchor="_Toc109802086" w:history="1">
        <w:r w:rsidR="007F73C9" w:rsidRPr="00C03B62">
          <w:rPr>
            <w:rStyle w:val="Hypertextovodkaz"/>
            <w:noProof/>
          </w:rPr>
          <w:t>Tabulka 1: OS – počet soudců dle krajů</w:t>
        </w:r>
        <w:r w:rsidR="007F73C9">
          <w:rPr>
            <w:noProof/>
            <w:webHidden/>
          </w:rPr>
          <w:tab/>
        </w:r>
        <w:r w:rsidR="007F73C9">
          <w:rPr>
            <w:noProof/>
            <w:webHidden/>
          </w:rPr>
          <w:fldChar w:fldCharType="begin"/>
        </w:r>
        <w:r w:rsidR="007F73C9">
          <w:rPr>
            <w:noProof/>
            <w:webHidden/>
          </w:rPr>
          <w:instrText xml:space="preserve"> PAGEREF _Toc109802086 \h </w:instrText>
        </w:r>
        <w:r w:rsidR="007F73C9">
          <w:rPr>
            <w:noProof/>
            <w:webHidden/>
          </w:rPr>
        </w:r>
        <w:r w:rsidR="007F73C9">
          <w:rPr>
            <w:noProof/>
            <w:webHidden/>
          </w:rPr>
          <w:fldChar w:fldCharType="separate"/>
        </w:r>
        <w:r w:rsidR="007F73C9">
          <w:rPr>
            <w:noProof/>
            <w:webHidden/>
          </w:rPr>
          <w:t>13</w:t>
        </w:r>
        <w:r w:rsidR="007F73C9">
          <w:rPr>
            <w:noProof/>
            <w:webHidden/>
          </w:rPr>
          <w:fldChar w:fldCharType="end"/>
        </w:r>
      </w:hyperlink>
    </w:p>
    <w:p w14:paraId="518CF5ED" w14:textId="21A1F24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7" w:history="1">
        <w:r w:rsidRPr="00C03B62">
          <w:rPr>
            <w:rStyle w:val="Hypertextovodkaz"/>
            <w:noProof/>
          </w:rPr>
          <w:t>Tabulka 2: OS – evidenční počet soudců dle pohlaví a krajů</w:t>
        </w:r>
        <w:r>
          <w:rPr>
            <w:noProof/>
            <w:webHidden/>
          </w:rPr>
          <w:tab/>
        </w:r>
        <w:r>
          <w:rPr>
            <w:noProof/>
            <w:webHidden/>
          </w:rPr>
          <w:fldChar w:fldCharType="begin"/>
        </w:r>
        <w:r>
          <w:rPr>
            <w:noProof/>
            <w:webHidden/>
          </w:rPr>
          <w:instrText xml:space="preserve"> PAGEREF _Toc109802087 \h </w:instrText>
        </w:r>
        <w:r>
          <w:rPr>
            <w:noProof/>
            <w:webHidden/>
          </w:rPr>
        </w:r>
        <w:r>
          <w:rPr>
            <w:noProof/>
            <w:webHidden/>
          </w:rPr>
          <w:fldChar w:fldCharType="separate"/>
        </w:r>
        <w:r>
          <w:rPr>
            <w:noProof/>
            <w:webHidden/>
          </w:rPr>
          <w:t>15</w:t>
        </w:r>
        <w:r>
          <w:rPr>
            <w:noProof/>
            <w:webHidden/>
          </w:rPr>
          <w:fldChar w:fldCharType="end"/>
        </w:r>
      </w:hyperlink>
    </w:p>
    <w:p w14:paraId="27C356EC" w14:textId="1C56BD5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8" w:history="1">
        <w:r w:rsidRPr="00C03B62">
          <w:rPr>
            <w:rStyle w:val="Hypertextovodkaz"/>
            <w:noProof/>
          </w:rPr>
          <w:t>Tabulka 3: OS – předsedové a místopředsedové okresních soudů</w:t>
        </w:r>
        <w:r>
          <w:rPr>
            <w:noProof/>
            <w:webHidden/>
          </w:rPr>
          <w:tab/>
        </w:r>
        <w:r>
          <w:rPr>
            <w:noProof/>
            <w:webHidden/>
          </w:rPr>
          <w:fldChar w:fldCharType="begin"/>
        </w:r>
        <w:r>
          <w:rPr>
            <w:noProof/>
            <w:webHidden/>
          </w:rPr>
          <w:instrText xml:space="preserve"> PAGEREF _Toc109802088 \h </w:instrText>
        </w:r>
        <w:r>
          <w:rPr>
            <w:noProof/>
            <w:webHidden/>
          </w:rPr>
        </w:r>
        <w:r>
          <w:rPr>
            <w:noProof/>
            <w:webHidden/>
          </w:rPr>
          <w:fldChar w:fldCharType="separate"/>
        </w:r>
        <w:r>
          <w:rPr>
            <w:noProof/>
            <w:webHidden/>
          </w:rPr>
          <w:t>15</w:t>
        </w:r>
        <w:r>
          <w:rPr>
            <w:noProof/>
            <w:webHidden/>
          </w:rPr>
          <w:fldChar w:fldCharType="end"/>
        </w:r>
      </w:hyperlink>
    </w:p>
    <w:p w14:paraId="0BEA5CB3" w14:textId="56341CB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89" w:history="1">
        <w:r w:rsidRPr="00C03B62">
          <w:rPr>
            <w:rStyle w:val="Hypertextovodkaz"/>
            <w:noProof/>
          </w:rPr>
          <w:t>Tabulka 4: OS – věková struktura soudců dle krajů v %</w:t>
        </w:r>
        <w:r>
          <w:rPr>
            <w:noProof/>
            <w:webHidden/>
          </w:rPr>
          <w:tab/>
        </w:r>
        <w:r>
          <w:rPr>
            <w:noProof/>
            <w:webHidden/>
          </w:rPr>
          <w:fldChar w:fldCharType="begin"/>
        </w:r>
        <w:r>
          <w:rPr>
            <w:noProof/>
            <w:webHidden/>
          </w:rPr>
          <w:instrText xml:space="preserve"> PAGEREF _Toc109802089 \h </w:instrText>
        </w:r>
        <w:r>
          <w:rPr>
            <w:noProof/>
            <w:webHidden/>
          </w:rPr>
        </w:r>
        <w:r>
          <w:rPr>
            <w:noProof/>
            <w:webHidden/>
          </w:rPr>
          <w:fldChar w:fldCharType="separate"/>
        </w:r>
        <w:r>
          <w:rPr>
            <w:noProof/>
            <w:webHidden/>
          </w:rPr>
          <w:t>17</w:t>
        </w:r>
        <w:r>
          <w:rPr>
            <w:noProof/>
            <w:webHidden/>
          </w:rPr>
          <w:fldChar w:fldCharType="end"/>
        </w:r>
      </w:hyperlink>
    </w:p>
    <w:p w14:paraId="38F30503" w14:textId="07D0106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0" w:history="1">
        <w:r w:rsidRPr="00C03B62">
          <w:rPr>
            <w:rStyle w:val="Hypertextovodkaz"/>
            <w:noProof/>
          </w:rPr>
          <w:t>Tabulka 5: OS – srovnání evidenčního a plánovaného počtu soudců za 7 let</w:t>
        </w:r>
        <w:r>
          <w:rPr>
            <w:noProof/>
            <w:webHidden/>
          </w:rPr>
          <w:tab/>
        </w:r>
        <w:r>
          <w:rPr>
            <w:noProof/>
            <w:webHidden/>
          </w:rPr>
          <w:fldChar w:fldCharType="begin"/>
        </w:r>
        <w:r>
          <w:rPr>
            <w:noProof/>
            <w:webHidden/>
          </w:rPr>
          <w:instrText xml:space="preserve"> PAGEREF _Toc109802090 \h </w:instrText>
        </w:r>
        <w:r>
          <w:rPr>
            <w:noProof/>
            <w:webHidden/>
          </w:rPr>
        </w:r>
        <w:r>
          <w:rPr>
            <w:noProof/>
            <w:webHidden/>
          </w:rPr>
          <w:fldChar w:fldCharType="separate"/>
        </w:r>
        <w:r>
          <w:rPr>
            <w:noProof/>
            <w:webHidden/>
          </w:rPr>
          <w:t>17</w:t>
        </w:r>
        <w:r>
          <w:rPr>
            <w:noProof/>
            <w:webHidden/>
          </w:rPr>
          <w:fldChar w:fldCharType="end"/>
        </w:r>
      </w:hyperlink>
    </w:p>
    <w:p w14:paraId="5E141097" w14:textId="1952714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1" w:history="1">
        <w:r w:rsidRPr="00C03B62">
          <w:rPr>
            <w:rStyle w:val="Hypertextovodkaz"/>
            <w:noProof/>
          </w:rPr>
          <w:t>Tabulka 6: OS – evidenční počet zaměstnanců ve výkonu dle krajů</w:t>
        </w:r>
        <w:r>
          <w:rPr>
            <w:noProof/>
            <w:webHidden/>
          </w:rPr>
          <w:tab/>
        </w:r>
        <w:r>
          <w:rPr>
            <w:noProof/>
            <w:webHidden/>
          </w:rPr>
          <w:fldChar w:fldCharType="begin"/>
        </w:r>
        <w:r>
          <w:rPr>
            <w:noProof/>
            <w:webHidden/>
          </w:rPr>
          <w:instrText xml:space="preserve"> PAGEREF _Toc109802091 \h </w:instrText>
        </w:r>
        <w:r>
          <w:rPr>
            <w:noProof/>
            <w:webHidden/>
          </w:rPr>
        </w:r>
        <w:r>
          <w:rPr>
            <w:noProof/>
            <w:webHidden/>
          </w:rPr>
          <w:fldChar w:fldCharType="separate"/>
        </w:r>
        <w:r>
          <w:rPr>
            <w:noProof/>
            <w:webHidden/>
          </w:rPr>
          <w:t>18</w:t>
        </w:r>
        <w:r>
          <w:rPr>
            <w:noProof/>
            <w:webHidden/>
          </w:rPr>
          <w:fldChar w:fldCharType="end"/>
        </w:r>
      </w:hyperlink>
    </w:p>
    <w:p w14:paraId="42CD5C27" w14:textId="34A1F71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2" w:history="1">
        <w:r w:rsidRPr="00C03B62">
          <w:rPr>
            <w:rStyle w:val="Hypertextovodkaz"/>
            <w:noProof/>
          </w:rPr>
          <w:t>Tabulka 7: OS – počet přísedících dle krajů a pohlaví</w:t>
        </w:r>
        <w:r>
          <w:rPr>
            <w:noProof/>
            <w:webHidden/>
          </w:rPr>
          <w:tab/>
        </w:r>
        <w:r>
          <w:rPr>
            <w:noProof/>
            <w:webHidden/>
          </w:rPr>
          <w:fldChar w:fldCharType="begin"/>
        </w:r>
        <w:r>
          <w:rPr>
            <w:noProof/>
            <w:webHidden/>
          </w:rPr>
          <w:instrText xml:space="preserve"> PAGEREF _Toc109802092 \h </w:instrText>
        </w:r>
        <w:r>
          <w:rPr>
            <w:noProof/>
            <w:webHidden/>
          </w:rPr>
        </w:r>
        <w:r>
          <w:rPr>
            <w:noProof/>
            <w:webHidden/>
          </w:rPr>
          <w:fldChar w:fldCharType="separate"/>
        </w:r>
        <w:r>
          <w:rPr>
            <w:noProof/>
            <w:webHidden/>
          </w:rPr>
          <w:t>20</w:t>
        </w:r>
        <w:r>
          <w:rPr>
            <w:noProof/>
            <w:webHidden/>
          </w:rPr>
          <w:fldChar w:fldCharType="end"/>
        </w:r>
      </w:hyperlink>
    </w:p>
    <w:p w14:paraId="5B552234" w14:textId="7A8C4B5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3" w:history="1">
        <w:r w:rsidRPr="00C03B62">
          <w:rPr>
            <w:rStyle w:val="Hypertextovodkaz"/>
            <w:noProof/>
          </w:rPr>
          <w:t>Tabulka 8: OS – podíl přísedících dle krajů a věku</w:t>
        </w:r>
        <w:r>
          <w:rPr>
            <w:noProof/>
            <w:webHidden/>
          </w:rPr>
          <w:tab/>
        </w:r>
        <w:r>
          <w:rPr>
            <w:noProof/>
            <w:webHidden/>
          </w:rPr>
          <w:fldChar w:fldCharType="begin"/>
        </w:r>
        <w:r>
          <w:rPr>
            <w:noProof/>
            <w:webHidden/>
          </w:rPr>
          <w:instrText xml:space="preserve"> PAGEREF _Toc109802093 \h </w:instrText>
        </w:r>
        <w:r>
          <w:rPr>
            <w:noProof/>
            <w:webHidden/>
          </w:rPr>
        </w:r>
        <w:r>
          <w:rPr>
            <w:noProof/>
            <w:webHidden/>
          </w:rPr>
          <w:fldChar w:fldCharType="separate"/>
        </w:r>
        <w:r>
          <w:rPr>
            <w:noProof/>
            <w:webHidden/>
          </w:rPr>
          <w:t>21</w:t>
        </w:r>
        <w:r>
          <w:rPr>
            <w:noProof/>
            <w:webHidden/>
          </w:rPr>
          <w:fldChar w:fldCharType="end"/>
        </w:r>
      </w:hyperlink>
    </w:p>
    <w:p w14:paraId="6C0DFD27" w14:textId="32C602B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4" w:history="1">
        <w:r w:rsidRPr="00C03B62">
          <w:rPr>
            <w:rStyle w:val="Hypertextovodkaz"/>
            <w:noProof/>
          </w:rPr>
          <w:t>Tabulka 9: OS – délky civilního řízení dle krajů</w:t>
        </w:r>
        <w:r>
          <w:rPr>
            <w:noProof/>
            <w:webHidden/>
          </w:rPr>
          <w:tab/>
        </w:r>
        <w:r>
          <w:rPr>
            <w:noProof/>
            <w:webHidden/>
          </w:rPr>
          <w:fldChar w:fldCharType="begin"/>
        </w:r>
        <w:r>
          <w:rPr>
            <w:noProof/>
            <w:webHidden/>
          </w:rPr>
          <w:instrText xml:space="preserve"> PAGEREF _Toc109802094 \h </w:instrText>
        </w:r>
        <w:r>
          <w:rPr>
            <w:noProof/>
            <w:webHidden/>
          </w:rPr>
        </w:r>
        <w:r>
          <w:rPr>
            <w:noProof/>
            <w:webHidden/>
          </w:rPr>
          <w:fldChar w:fldCharType="separate"/>
        </w:r>
        <w:r>
          <w:rPr>
            <w:noProof/>
            <w:webHidden/>
          </w:rPr>
          <w:t>23</w:t>
        </w:r>
        <w:r>
          <w:rPr>
            <w:noProof/>
            <w:webHidden/>
          </w:rPr>
          <w:fldChar w:fldCharType="end"/>
        </w:r>
      </w:hyperlink>
    </w:p>
    <w:p w14:paraId="6FB5C052" w14:textId="54A02C8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5" w:history="1">
        <w:r w:rsidRPr="00C03B62">
          <w:rPr>
            <w:rStyle w:val="Hypertextovodkaz"/>
            <w:noProof/>
          </w:rPr>
          <w:t>Tabulka 10: OS – vyřizování civilních věcí dle krajů</w:t>
        </w:r>
        <w:r>
          <w:rPr>
            <w:noProof/>
            <w:webHidden/>
          </w:rPr>
          <w:tab/>
        </w:r>
        <w:r>
          <w:rPr>
            <w:noProof/>
            <w:webHidden/>
          </w:rPr>
          <w:fldChar w:fldCharType="begin"/>
        </w:r>
        <w:r>
          <w:rPr>
            <w:noProof/>
            <w:webHidden/>
          </w:rPr>
          <w:instrText xml:space="preserve"> PAGEREF _Toc109802095 \h </w:instrText>
        </w:r>
        <w:r>
          <w:rPr>
            <w:noProof/>
            <w:webHidden/>
          </w:rPr>
        </w:r>
        <w:r>
          <w:rPr>
            <w:noProof/>
            <w:webHidden/>
          </w:rPr>
          <w:fldChar w:fldCharType="separate"/>
        </w:r>
        <w:r>
          <w:rPr>
            <w:noProof/>
            <w:webHidden/>
          </w:rPr>
          <w:t>28</w:t>
        </w:r>
        <w:r>
          <w:rPr>
            <w:noProof/>
            <w:webHidden/>
          </w:rPr>
          <w:fldChar w:fldCharType="end"/>
        </w:r>
      </w:hyperlink>
    </w:p>
    <w:p w14:paraId="2A9FED12" w14:textId="1FB37F1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6" w:history="1">
        <w:r w:rsidRPr="00C03B62">
          <w:rPr>
            <w:rStyle w:val="Hypertextovodkaz"/>
            <w:noProof/>
          </w:rPr>
          <w:t>Tabulka 11: OS – vyřizování civilních věcí na skutečný úvazek dle krajů</w:t>
        </w:r>
        <w:r>
          <w:rPr>
            <w:noProof/>
            <w:webHidden/>
          </w:rPr>
          <w:tab/>
        </w:r>
        <w:r>
          <w:rPr>
            <w:noProof/>
            <w:webHidden/>
          </w:rPr>
          <w:fldChar w:fldCharType="begin"/>
        </w:r>
        <w:r>
          <w:rPr>
            <w:noProof/>
            <w:webHidden/>
          </w:rPr>
          <w:instrText xml:space="preserve"> PAGEREF _Toc109802096 \h </w:instrText>
        </w:r>
        <w:r>
          <w:rPr>
            <w:noProof/>
            <w:webHidden/>
          </w:rPr>
        </w:r>
        <w:r>
          <w:rPr>
            <w:noProof/>
            <w:webHidden/>
          </w:rPr>
          <w:fldChar w:fldCharType="separate"/>
        </w:r>
        <w:r>
          <w:rPr>
            <w:noProof/>
            <w:webHidden/>
          </w:rPr>
          <w:t>29</w:t>
        </w:r>
        <w:r>
          <w:rPr>
            <w:noProof/>
            <w:webHidden/>
          </w:rPr>
          <w:fldChar w:fldCharType="end"/>
        </w:r>
      </w:hyperlink>
    </w:p>
    <w:p w14:paraId="545698F0" w14:textId="5B488BD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7" w:history="1">
        <w:r w:rsidRPr="00C03B62">
          <w:rPr>
            <w:rStyle w:val="Hypertextovodkaz"/>
            <w:noProof/>
          </w:rPr>
          <w:t>Tabulka 12: OS – srovnání evidenčního a skutečného počtu soudců</w:t>
        </w:r>
        <w:r>
          <w:rPr>
            <w:noProof/>
            <w:webHidden/>
          </w:rPr>
          <w:tab/>
        </w:r>
        <w:r>
          <w:rPr>
            <w:noProof/>
            <w:webHidden/>
          </w:rPr>
          <w:fldChar w:fldCharType="begin"/>
        </w:r>
        <w:r>
          <w:rPr>
            <w:noProof/>
            <w:webHidden/>
          </w:rPr>
          <w:instrText xml:space="preserve"> PAGEREF _Toc109802097 \h </w:instrText>
        </w:r>
        <w:r>
          <w:rPr>
            <w:noProof/>
            <w:webHidden/>
          </w:rPr>
        </w:r>
        <w:r>
          <w:rPr>
            <w:noProof/>
            <w:webHidden/>
          </w:rPr>
          <w:fldChar w:fldCharType="separate"/>
        </w:r>
        <w:r>
          <w:rPr>
            <w:noProof/>
            <w:webHidden/>
          </w:rPr>
          <w:t>30</w:t>
        </w:r>
        <w:r>
          <w:rPr>
            <w:noProof/>
            <w:webHidden/>
          </w:rPr>
          <w:fldChar w:fldCharType="end"/>
        </w:r>
      </w:hyperlink>
    </w:p>
    <w:p w14:paraId="19362162" w14:textId="7EA307B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8" w:history="1">
        <w:r w:rsidRPr="00C03B62">
          <w:rPr>
            <w:rStyle w:val="Hypertextovodkaz"/>
            <w:noProof/>
          </w:rPr>
          <w:t>Tabulka 13: OS – disposition time v civilním řízení dle krajů</w:t>
        </w:r>
        <w:r>
          <w:rPr>
            <w:noProof/>
            <w:webHidden/>
          </w:rPr>
          <w:tab/>
        </w:r>
        <w:r>
          <w:rPr>
            <w:noProof/>
            <w:webHidden/>
          </w:rPr>
          <w:fldChar w:fldCharType="begin"/>
        </w:r>
        <w:r>
          <w:rPr>
            <w:noProof/>
            <w:webHidden/>
          </w:rPr>
          <w:instrText xml:space="preserve"> PAGEREF _Toc109802098 \h </w:instrText>
        </w:r>
        <w:r>
          <w:rPr>
            <w:noProof/>
            <w:webHidden/>
          </w:rPr>
        </w:r>
        <w:r>
          <w:rPr>
            <w:noProof/>
            <w:webHidden/>
          </w:rPr>
          <w:fldChar w:fldCharType="separate"/>
        </w:r>
        <w:r>
          <w:rPr>
            <w:noProof/>
            <w:webHidden/>
          </w:rPr>
          <w:t>32</w:t>
        </w:r>
        <w:r>
          <w:rPr>
            <w:noProof/>
            <w:webHidden/>
          </w:rPr>
          <w:fldChar w:fldCharType="end"/>
        </w:r>
      </w:hyperlink>
    </w:p>
    <w:p w14:paraId="4CAB592F" w14:textId="4B60D5C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099" w:history="1">
        <w:r w:rsidRPr="00C03B62">
          <w:rPr>
            <w:rStyle w:val="Hypertextovodkaz"/>
            <w:noProof/>
          </w:rPr>
          <w:t>Tabulka 14: OS – míra odvolání dle krajů v civilním řízení</w:t>
        </w:r>
        <w:r>
          <w:rPr>
            <w:noProof/>
            <w:webHidden/>
          </w:rPr>
          <w:tab/>
        </w:r>
        <w:r>
          <w:rPr>
            <w:noProof/>
            <w:webHidden/>
          </w:rPr>
          <w:fldChar w:fldCharType="begin"/>
        </w:r>
        <w:r>
          <w:rPr>
            <w:noProof/>
            <w:webHidden/>
          </w:rPr>
          <w:instrText xml:space="preserve"> PAGEREF _Toc109802099 \h </w:instrText>
        </w:r>
        <w:r>
          <w:rPr>
            <w:noProof/>
            <w:webHidden/>
          </w:rPr>
        </w:r>
        <w:r>
          <w:rPr>
            <w:noProof/>
            <w:webHidden/>
          </w:rPr>
          <w:fldChar w:fldCharType="separate"/>
        </w:r>
        <w:r>
          <w:rPr>
            <w:noProof/>
            <w:webHidden/>
          </w:rPr>
          <w:t>34</w:t>
        </w:r>
        <w:r>
          <w:rPr>
            <w:noProof/>
            <w:webHidden/>
          </w:rPr>
          <w:fldChar w:fldCharType="end"/>
        </w:r>
      </w:hyperlink>
    </w:p>
    <w:p w14:paraId="64893CD5" w14:textId="573C569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0" w:history="1">
        <w:r w:rsidRPr="00C03B62">
          <w:rPr>
            <w:rStyle w:val="Hypertextovodkaz"/>
            <w:noProof/>
          </w:rPr>
          <w:t>Tabulka 15: OS – míra změny rozsudku dle krajů v civilním řízení</w:t>
        </w:r>
        <w:r>
          <w:rPr>
            <w:noProof/>
            <w:webHidden/>
          </w:rPr>
          <w:tab/>
        </w:r>
        <w:r>
          <w:rPr>
            <w:noProof/>
            <w:webHidden/>
          </w:rPr>
          <w:fldChar w:fldCharType="begin"/>
        </w:r>
        <w:r>
          <w:rPr>
            <w:noProof/>
            <w:webHidden/>
          </w:rPr>
          <w:instrText xml:space="preserve"> PAGEREF _Toc109802100 \h </w:instrText>
        </w:r>
        <w:r>
          <w:rPr>
            <w:noProof/>
            <w:webHidden/>
          </w:rPr>
        </w:r>
        <w:r>
          <w:rPr>
            <w:noProof/>
            <w:webHidden/>
          </w:rPr>
          <w:fldChar w:fldCharType="separate"/>
        </w:r>
        <w:r>
          <w:rPr>
            <w:noProof/>
            <w:webHidden/>
          </w:rPr>
          <w:t>35</w:t>
        </w:r>
        <w:r>
          <w:rPr>
            <w:noProof/>
            <w:webHidden/>
          </w:rPr>
          <w:fldChar w:fldCharType="end"/>
        </w:r>
      </w:hyperlink>
    </w:p>
    <w:p w14:paraId="7FEFB2A2" w14:textId="6E7F382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1" w:history="1">
        <w:r w:rsidRPr="00C03B62">
          <w:rPr>
            <w:rStyle w:val="Hypertextovodkaz"/>
            <w:noProof/>
          </w:rPr>
          <w:t>Tabulka 16: OS – nápad civilních věcí na 1 000 obyvatel</w:t>
        </w:r>
        <w:r>
          <w:rPr>
            <w:noProof/>
            <w:webHidden/>
          </w:rPr>
          <w:tab/>
        </w:r>
        <w:r>
          <w:rPr>
            <w:noProof/>
            <w:webHidden/>
          </w:rPr>
          <w:fldChar w:fldCharType="begin"/>
        </w:r>
        <w:r>
          <w:rPr>
            <w:noProof/>
            <w:webHidden/>
          </w:rPr>
          <w:instrText xml:space="preserve"> PAGEREF _Toc109802101 \h </w:instrText>
        </w:r>
        <w:r>
          <w:rPr>
            <w:noProof/>
            <w:webHidden/>
          </w:rPr>
        </w:r>
        <w:r>
          <w:rPr>
            <w:noProof/>
            <w:webHidden/>
          </w:rPr>
          <w:fldChar w:fldCharType="separate"/>
        </w:r>
        <w:r>
          <w:rPr>
            <w:noProof/>
            <w:webHidden/>
          </w:rPr>
          <w:t>37</w:t>
        </w:r>
        <w:r>
          <w:rPr>
            <w:noProof/>
            <w:webHidden/>
          </w:rPr>
          <w:fldChar w:fldCharType="end"/>
        </w:r>
      </w:hyperlink>
    </w:p>
    <w:p w14:paraId="29A4E957" w14:textId="473CCA0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2" w:history="1">
        <w:r w:rsidRPr="00C03B62">
          <w:rPr>
            <w:rStyle w:val="Hypertextovodkaz"/>
            <w:noProof/>
          </w:rPr>
          <w:t>Tabulka 17: OS – délky el. rozkazního civilního řízení dle krajů</w:t>
        </w:r>
        <w:r>
          <w:rPr>
            <w:noProof/>
            <w:webHidden/>
          </w:rPr>
          <w:tab/>
        </w:r>
        <w:r>
          <w:rPr>
            <w:noProof/>
            <w:webHidden/>
          </w:rPr>
          <w:fldChar w:fldCharType="begin"/>
        </w:r>
        <w:r>
          <w:rPr>
            <w:noProof/>
            <w:webHidden/>
          </w:rPr>
          <w:instrText xml:space="preserve"> PAGEREF _Toc109802102 \h </w:instrText>
        </w:r>
        <w:r>
          <w:rPr>
            <w:noProof/>
            <w:webHidden/>
          </w:rPr>
        </w:r>
        <w:r>
          <w:rPr>
            <w:noProof/>
            <w:webHidden/>
          </w:rPr>
          <w:fldChar w:fldCharType="separate"/>
        </w:r>
        <w:r>
          <w:rPr>
            <w:noProof/>
            <w:webHidden/>
          </w:rPr>
          <w:t>41</w:t>
        </w:r>
        <w:r>
          <w:rPr>
            <w:noProof/>
            <w:webHidden/>
          </w:rPr>
          <w:fldChar w:fldCharType="end"/>
        </w:r>
      </w:hyperlink>
    </w:p>
    <w:p w14:paraId="36986514" w14:textId="6FDCCBB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3" w:history="1">
        <w:r w:rsidRPr="00C03B62">
          <w:rPr>
            <w:rStyle w:val="Hypertextovodkaz"/>
            <w:noProof/>
          </w:rPr>
          <w:t>Tabulka 18: OS – vyřizování věcí v rejstříku EPR dle krajů</w:t>
        </w:r>
        <w:r>
          <w:rPr>
            <w:noProof/>
            <w:webHidden/>
          </w:rPr>
          <w:tab/>
        </w:r>
        <w:r>
          <w:rPr>
            <w:noProof/>
            <w:webHidden/>
          </w:rPr>
          <w:fldChar w:fldCharType="begin"/>
        </w:r>
        <w:r>
          <w:rPr>
            <w:noProof/>
            <w:webHidden/>
          </w:rPr>
          <w:instrText xml:space="preserve"> PAGEREF _Toc109802103 \h </w:instrText>
        </w:r>
        <w:r>
          <w:rPr>
            <w:noProof/>
            <w:webHidden/>
          </w:rPr>
        </w:r>
        <w:r>
          <w:rPr>
            <w:noProof/>
            <w:webHidden/>
          </w:rPr>
          <w:fldChar w:fldCharType="separate"/>
        </w:r>
        <w:r>
          <w:rPr>
            <w:noProof/>
            <w:webHidden/>
          </w:rPr>
          <w:t>43</w:t>
        </w:r>
        <w:r>
          <w:rPr>
            <w:noProof/>
            <w:webHidden/>
          </w:rPr>
          <w:fldChar w:fldCharType="end"/>
        </w:r>
      </w:hyperlink>
    </w:p>
    <w:p w14:paraId="0F6A8C22" w14:textId="735BDA8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4" w:history="1">
        <w:r w:rsidRPr="00C03B62">
          <w:rPr>
            <w:rStyle w:val="Hypertextovodkaz"/>
            <w:noProof/>
          </w:rPr>
          <w:t>Tabulka 19: OS – převedeno z rejstříku EPR dle krajů</w:t>
        </w:r>
        <w:r>
          <w:rPr>
            <w:noProof/>
            <w:webHidden/>
          </w:rPr>
          <w:tab/>
        </w:r>
        <w:r>
          <w:rPr>
            <w:noProof/>
            <w:webHidden/>
          </w:rPr>
          <w:fldChar w:fldCharType="begin"/>
        </w:r>
        <w:r>
          <w:rPr>
            <w:noProof/>
            <w:webHidden/>
          </w:rPr>
          <w:instrText xml:space="preserve"> PAGEREF _Toc109802104 \h </w:instrText>
        </w:r>
        <w:r>
          <w:rPr>
            <w:noProof/>
            <w:webHidden/>
          </w:rPr>
        </w:r>
        <w:r>
          <w:rPr>
            <w:noProof/>
            <w:webHidden/>
          </w:rPr>
          <w:fldChar w:fldCharType="separate"/>
        </w:r>
        <w:r>
          <w:rPr>
            <w:noProof/>
            <w:webHidden/>
          </w:rPr>
          <w:t>44</w:t>
        </w:r>
        <w:r>
          <w:rPr>
            <w:noProof/>
            <w:webHidden/>
          </w:rPr>
          <w:fldChar w:fldCharType="end"/>
        </w:r>
      </w:hyperlink>
    </w:p>
    <w:p w14:paraId="058E9BFE" w14:textId="52B7DFA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5" w:history="1">
        <w:r w:rsidRPr="00C03B62">
          <w:rPr>
            <w:rStyle w:val="Hypertextovodkaz"/>
            <w:noProof/>
          </w:rPr>
          <w:t>Tabulka 20: OS – délky trestního řízení dle krajů</w:t>
        </w:r>
        <w:r>
          <w:rPr>
            <w:noProof/>
            <w:webHidden/>
          </w:rPr>
          <w:tab/>
        </w:r>
        <w:r>
          <w:rPr>
            <w:noProof/>
            <w:webHidden/>
          </w:rPr>
          <w:fldChar w:fldCharType="begin"/>
        </w:r>
        <w:r>
          <w:rPr>
            <w:noProof/>
            <w:webHidden/>
          </w:rPr>
          <w:instrText xml:space="preserve"> PAGEREF _Toc109802105 \h </w:instrText>
        </w:r>
        <w:r>
          <w:rPr>
            <w:noProof/>
            <w:webHidden/>
          </w:rPr>
        </w:r>
        <w:r>
          <w:rPr>
            <w:noProof/>
            <w:webHidden/>
          </w:rPr>
          <w:fldChar w:fldCharType="separate"/>
        </w:r>
        <w:r>
          <w:rPr>
            <w:noProof/>
            <w:webHidden/>
          </w:rPr>
          <w:t>46</w:t>
        </w:r>
        <w:r>
          <w:rPr>
            <w:noProof/>
            <w:webHidden/>
          </w:rPr>
          <w:fldChar w:fldCharType="end"/>
        </w:r>
      </w:hyperlink>
    </w:p>
    <w:p w14:paraId="4B03161F" w14:textId="4AE1CB9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6" w:history="1">
        <w:r w:rsidRPr="00C03B62">
          <w:rPr>
            <w:rStyle w:val="Hypertextovodkaz"/>
            <w:noProof/>
          </w:rPr>
          <w:t>Tabulka 21: OS – vyřizování trestních věcí dle krajů</w:t>
        </w:r>
        <w:r>
          <w:rPr>
            <w:noProof/>
            <w:webHidden/>
          </w:rPr>
          <w:tab/>
        </w:r>
        <w:r>
          <w:rPr>
            <w:noProof/>
            <w:webHidden/>
          </w:rPr>
          <w:fldChar w:fldCharType="begin"/>
        </w:r>
        <w:r>
          <w:rPr>
            <w:noProof/>
            <w:webHidden/>
          </w:rPr>
          <w:instrText xml:space="preserve"> PAGEREF _Toc109802106 \h </w:instrText>
        </w:r>
        <w:r>
          <w:rPr>
            <w:noProof/>
            <w:webHidden/>
          </w:rPr>
        </w:r>
        <w:r>
          <w:rPr>
            <w:noProof/>
            <w:webHidden/>
          </w:rPr>
          <w:fldChar w:fldCharType="separate"/>
        </w:r>
        <w:r>
          <w:rPr>
            <w:noProof/>
            <w:webHidden/>
          </w:rPr>
          <w:t>50</w:t>
        </w:r>
        <w:r>
          <w:rPr>
            <w:noProof/>
            <w:webHidden/>
          </w:rPr>
          <w:fldChar w:fldCharType="end"/>
        </w:r>
      </w:hyperlink>
    </w:p>
    <w:p w14:paraId="50747B9A" w14:textId="28AE987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7" w:history="1">
        <w:r w:rsidRPr="00C03B62">
          <w:rPr>
            <w:rStyle w:val="Hypertextovodkaz"/>
            <w:noProof/>
          </w:rPr>
          <w:t>Tabulka 22: OS – vyřizování trestních věcí na skutečný úvazek dle krajů</w:t>
        </w:r>
        <w:r>
          <w:rPr>
            <w:noProof/>
            <w:webHidden/>
          </w:rPr>
          <w:tab/>
        </w:r>
        <w:r>
          <w:rPr>
            <w:noProof/>
            <w:webHidden/>
          </w:rPr>
          <w:fldChar w:fldCharType="begin"/>
        </w:r>
        <w:r>
          <w:rPr>
            <w:noProof/>
            <w:webHidden/>
          </w:rPr>
          <w:instrText xml:space="preserve"> PAGEREF _Toc109802107 \h </w:instrText>
        </w:r>
        <w:r>
          <w:rPr>
            <w:noProof/>
            <w:webHidden/>
          </w:rPr>
        </w:r>
        <w:r>
          <w:rPr>
            <w:noProof/>
            <w:webHidden/>
          </w:rPr>
          <w:fldChar w:fldCharType="separate"/>
        </w:r>
        <w:r>
          <w:rPr>
            <w:noProof/>
            <w:webHidden/>
          </w:rPr>
          <w:t>50</w:t>
        </w:r>
        <w:r>
          <w:rPr>
            <w:noProof/>
            <w:webHidden/>
          </w:rPr>
          <w:fldChar w:fldCharType="end"/>
        </w:r>
      </w:hyperlink>
    </w:p>
    <w:p w14:paraId="1FB6A2B5" w14:textId="58824FC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8" w:history="1">
        <w:r w:rsidRPr="00C03B62">
          <w:rPr>
            <w:rStyle w:val="Hypertextovodkaz"/>
            <w:noProof/>
          </w:rPr>
          <w:t>Tabulka 23: OS – disposition time trestního řízení dle krajů</w:t>
        </w:r>
        <w:r>
          <w:rPr>
            <w:noProof/>
            <w:webHidden/>
          </w:rPr>
          <w:tab/>
        </w:r>
        <w:r>
          <w:rPr>
            <w:noProof/>
            <w:webHidden/>
          </w:rPr>
          <w:fldChar w:fldCharType="begin"/>
        </w:r>
        <w:r>
          <w:rPr>
            <w:noProof/>
            <w:webHidden/>
          </w:rPr>
          <w:instrText xml:space="preserve"> PAGEREF _Toc109802108 \h </w:instrText>
        </w:r>
        <w:r>
          <w:rPr>
            <w:noProof/>
            <w:webHidden/>
          </w:rPr>
        </w:r>
        <w:r>
          <w:rPr>
            <w:noProof/>
            <w:webHidden/>
          </w:rPr>
          <w:fldChar w:fldCharType="separate"/>
        </w:r>
        <w:r>
          <w:rPr>
            <w:noProof/>
            <w:webHidden/>
          </w:rPr>
          <w:t>52</w:t>
        </w:r>
        <w:r>
          <w:rPr>
            <w:noProof/>
            <w:webHidden/>
          </w:rPr>
          <w:fldChar w:fldCharType="end"/>
        </w:r>
      </w:hyperlink>
    </w:p>
    <w:p w14:paraId="3C8CB27A" w14:textId="4F56D53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09" w:history="1">
        <w:r w:rsidRPr="00C03B62">
          <w:rPr>
            <w:rStyle w:val="Hypertextovodkaz"/>
            <w:noProof/>
          </w:rPr>
          <w:t>Tabulka 24: OS – míra změny rozsudku dle krajů v trestním řízení</w:t>
        </w:r>
        <w:r>
          <w:rPr>
            <w:noProof/>
            <w:webHidden/>
          </w:rPr>
          <w:tab/>
        </w:r>
        <w:r>
          <w:rPr>
            <w:noProof/>
            <w:webHidden/>
          </w:rPr>
          <w:fldChar w:fldCharType="begin"/>
        </w:r>
        <w:r>
          <w:rPr>
            <w:noProof/>
            <w:webHidden/>
          </w:rPr>
          <w:instrText xml:space="preserve"> PAGEREF _Toc109802109 \h </w:instrText>
        </w:r>
        <w:r>
          <w:rPr>
            <w:noProof/>
            <w:webHidden/>
          </w:rPr>
        </w:r>
        <w:r>
          <w:rPr>
            <w:noProof/>
            <w:webHidden/>
          </w:rPr>
          <w:fldChar w:fldCharType="separate"/>
        </w:r>
        <w:r>
          <w:rPr>
            <w:noProof/>
            <w:webHidden/>
          </w:rPr>
          <w:t>55</w:t>
        </w:r>
        <w:r>
          <w:rPr>
            <w:noProof/>
            <w:webHidden/>
          </w:rPr>
          <w:fldChar w:fldCharType="end"/>
        </w:r>
      </w:hyperlink>
    </w:p>
    <w:p w14:paraId="7CA7B90D" w14:textId="2E6F61F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0" w:history="1">
        <w:r w:rsidRPr="00C03B62">
          <w:rPr>
            <w:rStyle w:val="Hypertextovodkaz"/>
            <w:noProof/>
          </w:rPr>
          <w:t>Tabulka 25: OS – nejčastější trestné činy dle věkových skupin</w:t>
        </w:r>
        <w:r>
          <w:rPr>
            <w:noProof/>
            <w:webHidden/>
          </w:rPr>
          <w:tab/>
        </w:r>
        <w:r>
          <w:rPr>
            <w:noProof/>
            <w:webHidden/>
          </w:rPr>
          <w:fldChar w:fldCharType="begin"/>
        </w:r>
        <w:r>
          <w:rPr>
            <w:noProof/>
            <w:webHidden/>
          </w:rPr>
          <w:instrText xml:space="preserve"> PAGEREF _Toc109802110 \h </w:instrText>
        </w:r>
        <w:r>
          <w:rPr>
            <w:noProof/>
            <w:webHidden/>
          </w:rPr>
        </w:r>
        <w:r>
          <w:rPr>
            <w:noProof/>
            <w:webHidden/>
          </w:rPr>
          <w:fldChar w:fldCharType="separate"/>
        </w:r>
        <w:r>
          <w:rPr>
            <w:noProof/>
            <w:webHidden/>
          </w:rPr>
          <w:t>57</w:t>
        </w:r>
        <w:r>
          <w:rPr>
            <w:noProof/>
            <w:webHidden/>
          </w:rPr>
          <w:fldChar w:fldCharType="end"/>
        </w:r>
      </w:hyperlink>
    </w:p>
    <w:p w14:paraId="4973138B" w14:textId="42D8145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1" w:history="1">
        <w:r w:rsidRPr="00C03B62">
          <w:rPr>
            <w:rStyle w:val="Hypertextovodkaz"/>
            <w:noProof/>
          </w:rPr>
          <w:t>Tabulka 26: OS – pravomocné přeměny peněžitého trestu v jiný trest</w:t>
        </w:r>
        <w:r>
          <w:rPr>
            <w:noProof/>
            <w:webHidden/>
          </w:rPr>
          <w:tab/>
        </w:r>
        <w:r>
          <w:rPr>
            <w:noProof/>
            <w:webHidden/>
          </w:rPr>
          <w:fldChar w:fldCharType="begin"/>
        </w:r>
        <w:r>
          <w:rPr>
            <w:noProof/>
            <w:webHidden/>
          </w:rPr>
          <w:instrText xml:space="preserve"> PAGEREF _Toc109802111 \h </w:instrText>
        </w:r>
        <w:r>
          <w:rPr>
            <w:noProof/>
            <w:webHidden/>
          </w:rPr>
        </w:r>
        <w:r>
          <w:rPr>
            <w:noProof/>
            <w:webHidden/>
          </w:rPr>
          <w:fldChar w:fldCharType="separate"/>
        </w:r>
        <w:r>
          <w:rPr>
            <w:noProof/>
            <w:webHidden/>
          </w:rPr>
          <w:t>61</w:t>
        </w:r>
        <w:r>
          <w:rPr>
            <w:noProof/>
            <w:webHidden/>
          </w:rPr>
          <w:fldChar w:fldCharType="end"/>
        </w:r>
      </w:hyperlink>
    </w:p>
    <w:p w14:paraId="5EC1A405" w14:textId="44DBB0D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2" w:history="1">
        <w:r w:rsidRPr="00C03B62">
          <w:rPr>
            <w:rStyle w:val="Hypertextovodkaz"/>
            <w:noProof/>
          </w:rPr>
          <w:t>Tabulka 27: OS – míra odsouzení dle krajů</w:t>
        </w:r>
        <w:r>
          <w:rPr>
            <w:noProof/>
            <w:webHidden/>
          </w:rPr>
          <w:tab/>
        </w:r>
        <w:r>
          <w:rPr>
            <w:noProof/>
            <w:webHidden/>
          </w:rPr>
          <w:fldChar w:fldCharType="begin"/>
        </w:r>
        <w:r>
          <w:rPr>
            <w:noProof/>
            <w:webHidden/>
          </w:rPr>
          <w:instrText xml:space="preserve"> PAGEREF _Toc109802112 \h </w:instrText>
        </w:r>
        <w:r>
          <w:rPr>
            <w:noProof/>
            <w:webHidden/>
          </w:rPr>
        </w:r>
        <w:r>
          <w:rPr>
            <w:noProof/>
            <w:webHidden/>
          </w:rPr>
          <w:fldChar w:fldCharType="separate"/>
        </w:r>
        <w:r>
          <w:rPr>
            <w:noProof/>
            <w:webHidden/>
          </w:rPr>
          <w:t>63</w:t>
        </w:r>
        <w:r>
          <w:rPr>
            <w:noProof/>
            <w:webHidden/>
          </w:rPr>
          <w:fldChar w:fldCharType="end"/>
        </w:r>
      </w:hyperlink>
    </w:p>
    <w:p w14:paraId="45BE3C91" w14:textId="1718EC56"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3" w:history="1">
        <w:r w:rsidRPr="00C03B62">
          <w:rPr>
            <w:rStyle w:val="Hypertextovodkaz"/>
            <w:noProof/>
          </w:rPr>
          <w:t>Tabulka 28: OS – délky řízení v opatrovnické agendě dle krajů</w:t>
        </w:r>
        <w:r>
          <w:rPr>
            <w:noProof/>
            <w:webHidden/>
          </w:rPr>
          <w:tab/>
        </w:r>
        <w:r>
          <w:rPr>
            <w:noProof/>
            <w:webHidden/>
          </w:rPr>
          <w:fldChar w:fldCharType="begin"/>
        </w:r>
        <w:r>
          <w:rPr>
            <w:noProof/>
            <w:webHidden/>
          </w:rPr>
          <w:instrText xml:space="preserve"> PAGEREF _Toc109802113 \h </w:instrText>
        </w:r>
        <w:r>
          <w:rPr>
            <w:noProof/>
            <w:webHidden/>
          </w:rPr>
        </w:r>
        <w:r>
          <w:rPr>
            <w:noProof/>
            <w:webHidden/>
          </w:rPr>
          <w:fldChar w:fldCharType="separate"/>
        </w:r>
        <w:r>
          <w:rPr>
            <w:noProof/>
            <w:webHidden/>
          </w:rPr>
          <w:t>66</w:t>
        </w:r>
        <w:r>
          <w:rPr>
            <w:noProof/>
            <w:webHidden/>
          </w:rPr>
          <w:fldChar w:fldCharType="end"/>
        </w:r>
      </w:hyperlink>
    </w:p>
    <w:p w14:paraId="2E265DF8" w14:textId="697833E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4" w:history="1">
        <w:r w:rsidRPr="00C03B62">
          <w:rPr>
            <w:rStyle w:val="Hypertextovodkaz"/>
            <w:noProof/>
          </w:rPr>
          <w:t>Tabulka 29: OS – vyřizování opatrovnických věcí dle krajů</w:t>
        </w:r>
        <w:r>
          <w:rPr>
            <w:noProof/>
            <w:webHidden/>
          </w:rPr>
          <w:tab/>
        </w:r>
        <w:r>
          <w:rPr>
            <w:noProof/>
            <w:webHidden/>
          </w:rPr>
          <w:fldChar w:fldCharType="begin"/>
        </w:r>
        <w:r>
          <w:rPr>
            <w:noProof/>
            <w:webHidden/>
          </w:rPr>
          <w:instrText xml:space="preserve"> PAGEREF _Toc109802114 \h </w:instrText>
        </w:r>
        <w:r>
          <w:rPr>
            <w:noProof/>
            <w:webHidden/>
          </w:rPr>
        </w:r>
        <w:r>
          <w:rPr>
            <w:noProof/>
            <w:webHidden/>
          </w:rPr>
          <w:fldChar w:fldCharType="separate"/>
        </w:r>
        <w:r>
          <w:rPr>
            <w:noProof/>
            <w:webHidden/>
          </w:rPr>
          <w:t>69</w:t>
        </w:r>
        <w:r>
          <w:rPr>
            <w:noProof/>
            <w:webHidden/>
          </w:rPr>
          <w:fldChar w:fldCharType="end"/>
        </w:r>
      </w:hyperlink>
    </w:p>
    <w:p w14:paraId="10EFBE06" w14:textId="08A40ED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5" w:history="1">
        <w:r w:rsidRPr="00C03B62">
          <w:rPr>
            <w:rStyle w:val="Hypertextovodkaz"/>
            <w:noProof/>
          </w:rPr>
          <w:t>Tabulka 30: OS – vyřizování opatrovnických věcí na skutečný úvazek dle krajů</w:t>
        </w:r>
        <w:r>
          <w:rPr>
            <w:noProof/>
            <w:webHidden/>
          </w:rPr>
          <w:tab/>
        </w:r>
        <w:r>
          <w:rPr>
            <w:noProof/>
            <w:webHidden/>
          </w:rPr>
          <w:fldChar w:fldCharType="begin"/>
        </w:r>
        <w:r>
          <w:rPr>
            <w:noProof/>
            <w:webHidden/>
          </w:rPr>
          <w:instrText xml:space="preserve"> PAGEREF _Toc109802115 \h </w:instrText>
        </w:r>
        <w:r>
          <w:rPr>
            <w:noProof/>
            <w:webHidden/>
          </w:rPr>
        </w:r>
        <w:r>
          <w:rPr>
            <w:noProof/>
            <w:webHidden/>
          </w:rPr>
          <w:fldChar w:fldCharType="separate"/>
        </w:r>
        <w:r>
          <w:rPr>
            <w:noProof/>
            <w:webHidden/>
          </w:rPr>
          <w:t>70</w:t>
        </w:r>
        <w:r>
          <w:rPr>
            <w:noProof/>
            <w:webHidden/>
          </w:rPr>
          <w:fldChar w:fldCharType="end"/>
        </w:r>
      </w:hyperlink>
    </w:p>
    <w:p w14:paraId="5859B83B" w14:textId="3A0A26B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6" w:history="1">
        <w:r w:rsidRPr="00C03B62">
          <w:rPr>
            <w:rStyle w:val="Hypertextovodkaz"/>
            <w:noProof/>
          </w:rPr>
          <w:t>Tabulka 31: OS – disposition time v opatrovnické agendě dle krajů</w:t>
        </w:r>
        <w:r>
          <w:rPr>
            <w:noProof/>
            <w:webHidden/>
          </w:rPr>
          <w:tab/>
        </w:r>
        <w:r>
          <w:rPr>
            <w:noProof/>
            <w:webHidden/>
          </w:rPr>
          <w:fldChar w:fldCharType="begin"/>
        </w:r>
        <w:r>
          <w:rPr>
            <w:noProof/>
            <w:webHidden/>
          </w:rPr>
          <w:instrText xml:space="preserve"> PAGEREF _Toc109802116 \h </w:instrText>
        </w:r>
        <w:r>
          <w:rPr>
            <w:noProof/>
            <w:webHidden/>
          </w:rPr>
        </w:r>
        <w:r>
          <w:rPr>
            <w:noProof/>
            <w:webHidden/>
          </w:rPr>
          <w:fldChar w:fldCharType="separate"/>
        </w:r>
        <w:r>
          <w:rPr>
            <w:noProof/>
            <w:webHidden/>
          </w:rPr>
          <w:t>72</w:t>
        </w:r>
        <w:r>
          <w:rPr>
            <w:noProof/>
            <w:webHidden/>
          </w:rPr>
          <w:fldChar w:fldCharType="end"/>
        </w:r>
      </w:hyperlink>
    </w:p>
    <w:p w14:paraId="04FD974A" w14:textId="2717BC5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7" w:history="1">
        <w:r w:rsidRPr="00C03B62">
          <w:rPr>
            <w:rStyle w:val="Hypertextovodkaz"/>
            <w:noProof/>
          </w:rPr>
          <w:t>Tabulka 32: OS – míra odvolání dle krajů v opatrovnickém řízení</w:t>
        </w:r>
        <w:r>
          <w:rPr>
            <w:noProof/>
            <w:webHidden/>
          </w:rPr>
          <w:tab/>
        </w:r>
        <w:r>
          <w:rPr>
            <w:noProof/>
            <w:webHidden/>
          </w:rPr>
          <w:fldChar w:fldCharType="begin"/>
        </w:r>
        <w:r>
          <w:rPr>
            <w:noProof/>
            <w:webHidden/>
          </w:rPr>
          <w:instrText xml:space="preserve"> PAGEREF _Toc109802117 \h </w:instrText>
        </w:r>
        <w:r>
          <w:rPr>
            <w:noProof/>
            <w:webHidden/>
          </w:rPr>
        </w:r>
        <w:r>
          <w:rPr>
            <w:noProof/>
            <w:webHidden/>
          </w:rPr>
          <w:fldChar w:fldCharType="separate"/>
        </w:r>
        <w:r>
          <w:rPr>
            <w:noProof/>
            <w:webHidden/>
          </w:rPr>
          <w:t>74</w:t>
        </w:r>
        <w:r>
          <w:rPr>
            <w:noProof/>
            <w:webHidden/>
          </w:rPr>
          <w:fldChar w:fldCharType="end"/>
        </w:r>
      </w:hyperlink>
    </w:p>
    <w:p w14:paraId="0FA19BEC" w14:textId="743195D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8" w:history="1">
        <w:r w:rsidRPr="00C03B62">
          <w:rPr>
            <w:rStyle w:val="Hypertextovodkaz"/>
            <w:noProof/>
          </w:rPr>
          <w:t>Tabulka 33: OS – míra změny rozsudku dle krajů v opatrovnickém řízení</w:t>
        </w:r>
        <w:r>
          <w:rPr>
            <w:noProof/>
            <w:webHidden/>
          </w:rPr>
          <w:tab/>
        </w:r>
        <w:r>
          <w:rPr>
            <w:noProof/>
            <w:webHidden/>
          </w:rPr>
          <w:fldChar w:fldCharType="begin"/>
        </w:r>
        <w:r>
          <w:rPr>
            <w:noProof/>
            <w:webHidden/>
          </w:rPr>
          <w:instrText xml:space="preserve"> PAGEREF _Toc109802118 \h </w:instrText>
        </w:r>
        <w:r>
          <w:rPr>
            <w:noProof/>
            <w:webHidden/>
          </w:rPr>
        </w:r>
        <w:r>
          <w:rPr>
            <w:noProof/>
            <w:webHidden/>
          </w:rPr>
          <w:fldChar w:fldCharType="separate"/>
        </w:r>
        <w:r>
          <w:rPr>
            <w:noProof/>
            <w:webHidden/>
          </w:rPr>
          <w:t>75</w:t>
        </w:r>
        <w:r>
          <w:rPr>
            <w:noProof/>
            <w:webHidden/>
          </w:rPr>
          <w:fldChar w:fldCharType="end"/>
        </w:r>
      </w:hyperlink>
    </w:p>
    <w:p w14:paraId="45E75C64" w14:textId="67A065F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19" w:history="1">
        <w:r w:rsidRPr="00C03B62">
          <w:rPr>
            <w:rStyle w:val="Hypertextovodkaz"/>
            <w:noProof/>
          </w:rPr>
          <w:t>Tabulka 34: OS – DEA, výsledky</w:t>
        </w:r>
        <w:r>
          <w:rPr>
            <w:noProof/>
            <w:webHidden/>
          </w:rPr>
          <w:tab/>
        </w:r>
        <w:r>
          <w:rPr>
            <w:noProof/>
            <w:webHidden/>
          </w:rPr>
          <w:fldChar w:fldCharType="begin"/>
        </w:r>
        <w:r>
          <w:rPr>
            <w:noProof/>
            <w:webHidden/>
          </w:rPr>
          <w:instrText xml:space="preserve"> PAGEREF _Toc109802119 \h </w:instrText>
        </w:r>
        <w:r>
          <w:rPr>
            <w:noProof/>
            <w:webHidden/>
          </w:rPr>
        </w:r>
        <w:r>
          <w:rPr>
            <w:noProof/>
            <w:webHidden/>
          </w:rPr>
          <w:fldChar w:fldCharType="separate"/>
        </w:r>
        <w:r>
          <w:rPr>
            <w:noProof/>
            <w:webHidden/>
          </w:rPr>
          <w:t>86</w:t>
        </w:r>
        <w:r>
          <w:rPr>
            <w:noProof/>
            <w:webHidden/>
          </w:rPr>
          <w:fldChar w:fldCharType="end"/>
        </w:r>
      </w:hyperlink>
    </w:p>
    <w:p w14:paraId="57D02FE2" w14:textId="1AB97BE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0" w:history="1">
        <w:r w:rsidRPr="00C03B62">
          <w:rPr>
            <w:rStyle w:val="Hypertextovodkaz"/>
            <w:noProof/>
          </w:rPr>
          <w:t>Tabulka 35: KS – počet soudců dle soudů</w:t>
        </w:r>
        <w:r>
          <w:rPr>
            <w:noProof/>
            <w:webHidden/>
          </w:rPr>
          <w:tab/>
        </w:r>
        <w:r>
          <w:rPr>
            <w:noProof/>
            <w:webHidden/>
          </w:rPr>
          <w:fldChar w:fldCharType="begin"/>
        </w:r>
        <w:r>
          <w:rPr>
            <w:noProof/>
            <w:webHidden/>
          </w:rPr>
          <w:instrText xml:space="preserve"> PAGEREF _Toc109802120 \h </w:instrText>
        </w:r>
        <w:r>
          <w:rPr>
            <w:noProof/>
            <w:webHidden/>
          </w:rPr>
        </w:r>
        <w:r>
          <w:rPr>
            <w:noProof/>
            <w:webHidden/>
          </w:rPr>
          <w:fldChar w:fldCharType="separate"/>
        </w:r>
        <w:r>
          <w:rPr>
            <w:noProof/>
            <w:webHidden/>
          </w:rPr>
          <w:t>89</w:t>
        </w:r>
        <w:r>
          <w:rPr>
            <w:noProof/>
            <w:webHidden/>
          </w:rPr>
          <w:fldChar w:fldCharType="end"/>
        </w:r>
      </w:hyperlink>
    </w:p>
    <w:p w14:paraId="68C9DCD9" w14:textId="6D74351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1" w:history="1">
        <w:r w:rsidRPr="00C03B62">
          <w:rPr>
            <w:rStyle w:val="Hypertextovodkaz"/>
            <w:noProof/>
          </w:rPr>
          <w:t>Tabulka 36: KS – evidenční počet soudců dle pohlaví a soudů</w:t>
        </w:r>
        <w:r>
          <w:rPr>
            <w:noProof/>
            <w:webHidden/>
          </w:rPr>
          <w:tab/>
        </w:r>
        <w:r>
          <w:rPr>
            <w:noProof/>
            <w:webHidden/>
          </w:rPr>
          <w:fldChar w:fldCharType="begin"/>
        </w:r>
        <w:r>
          <w:rPr>
            <w:noProof/>
            <w:webHidden/>
          </w:rPr>
          <w:instrText xml:space="preserve"> PAGEREF _Toc109802121 \h </w:instrText>
        </w:r>
        <w:r>
          <w:rPr>
            <w:noProof/>
            <w:webHidden/>
          </w:rPr>
        </w:r>
        <w:r>
          <w:rPr>
            <w:noProof/>
            <w:webHidden/>
          </w:rPr>
          <w:fldChar w:fldCharType="separate"/>
        </w:r>
        <w:r>
          <w:rPr>
            <w:noProof/>
            <w:webHidden/>
          </w:rPr>
          <w:t>90</w:t>
        </w:r>
        <w:r>
          <w:rPr>
            <w:noProof/>
            <w:webHidden/>
          </w:rPr>
          <w:fldChar w:fldCharType="end"/>
        </w:r>
      </w:hyperlink>
    </w:p>
    <w:p w14:paraId="232A5251" w14:textId="49A1126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2" w:history="1">
        <w:r w:rsidRPr="00C03B62">
          <w:rPr>
            <w:rStyle w:val="Hypertextovodkaz"/>
            <w:noProof/>
          </w:rPr>
          <w:t>Tabulka 37: KS – věková struktura soudců dle krajů</w:t>
        </w:r>
        <w:r>
          <w:rPr>
            <w:noProof/>
            <w:webHidden/>
          </w:rPr>
          <w:tab/>
        </w:r>
        <w:r>
          <w:rPr>
            <w:noProof/>
            <w:webHidden/>
          </w:rPr>
          <w:fldChar w:fldCharType="begin"/>
        </w:r>
        <w:r>
          <w:rPr>
            <w:noProof/>
            <w:webHidden/>
          </w:rPr>
          <w:instrText xml:space="preserve"> PAGEREF _Toc109802122 \h </w:instrText>
        </w:r>
        <w:r>
          <w:rPr>
            <w:noProof/>
            <w:webHidden/>
          </w:rPr>
        </w:r>
        <w:r>
          <w:rPr>
            <w:noProof/>
            <w:webHidden/>
          </w:rPr>
          <w:fldChar w:fldCharType="separate"/>
        </w:r>
        <w:r>
          <w:rPr>
            <w:noProof/>
            <w:webHidden/>
          </w:rPr>
          <w:t>92</w:t>
        </w:r>
        <w:r>
          <w:rPr>
            <w:noProof/>
            <w:webHidden/>
          </w:rPr>
          <w:fldChar w:fldCharType="end"/>
        </w:r>
      </w:hyperlink>
    </w:p>
    <w:p w14:paraId="29A4ACF7" w14:textId="740DA7B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3" w:history="1">
        <w:r w:rsidRPr="00C03B62">
          <w:rPr>
            <w:rStyle w:val="Hypertextovodkaz"/>
            <w:noProof/>
          </w:rPr>
          <w:t>Tabulka 38: KS – srovnání evidenčního a plánovaného počtu soudců za 7 let</w:t>
        </w:r>
        <w:r>
          <w:rPr>
            <w:noProof/>
            <w:webHidden/>
          </w:rPr>
          <w:tab/>
        </w:r>
        <w:r>
          <w:rPr>
            <w:noProof/>
            <w:webHidden/>
          </w:rPr>
          <w:fldChar w:fldCharType="begin"/>
        </w:r>
        <w:r>
          <w:rPr>
            <w:noProof/>
            <w:webHidden/>
          </w:rPr>
          <w:instrText xml:space="preserve"> PAGEREF _Toc109802123 \h </w:instrText>
        </w:r>
        <w:r>
          <w:rPr>
            <w:noProof/>
            <w:webHidden/>
          </w:rPr>
        </w:r>
        <w:r>
          <w:rPr>
            <w:noProof/>
            <w:webHidden/>
          </w:rPr>
          <w:fldChar w:fldCharType="separate"/>
        </w:r>
        <w:r>
          <w:rPr>
            <w:noProof/>
            <w:webHidden/>
          </w:rPr>
          <w:t>93</w:t>
        </w:r>
        <w:r>
          <w:rPr>
            <w:noProof/>
            <w:webHidden/>
          </w:rPr>
          <w:fldChar w:fldCharType="end"/>
        </w:r>
      </w:hyperlink>
    </w:p>
    <w:p w14:paraId="2D8C5AC5" w14:textId="07B85366"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4" w:history="1">
        <w:r w:rsidRPr="00C03B62">
          <w:rPr>
            <w:rStyle w:val="Hypertextovodkaz"/>
            <w:noProof/>
          </w:rPr>
          <w:t>Tabulka 39: KS – evidenční počet zaměstnanců ve výkonu dle soudů</w:t>
        </w:r>
        <w:r>
          <w:rPr>
            <w:noProof/>
            <w:webHidden/>
          </w:rPr>
          <w:tab/>
        </w:r>
        <w:r>
          <w:rPr>
            <w:noProof/>
            <w:webHidden/>
          </w:rPr>
          <w:fldChar w:fldCharType="begin"/>
        </w:r>
        <w:r>
          <w:rPr>
            <w:noProof/>
            <w:webHidden/>
          </w:rPr>
          <w:instrText xml:space="preserve"> PAGEREF _Toc109802124 \h </w:instrText>
        </w:r>
        <w:r>
          <w:rPr>
            <w:noProof/>
            <w:webHidden/>
          </w:rPr>
        </w:r>
        <w:r>
          <w:rPr>
            <w:noProof/>
            <w:webHidden/>
          </w:rPr>
          <w:fldChar w:fldCharType="separate"/>
        </w:r>
        <w:r>
          <w:rPr>
            <w:noProof/>
            <w:webHidden/>
          </w:rPr>
          <w:t>93</w:t>
        </w:r>
        <w:r>
          <w:rPr>
            <w:noProof/>
            <w:webHidden/>
          </w:rPr>
          <w:fldChar w:fldCharType="end"/>
        </w:r>
      </w:hyperlink>
    </w:p>
    <w:p w14:paraId="7C8305A3" w14:textId="6C4E76A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5" w:history="1">
        <w:r w:rsidRPr="00C03B62">
          <w:rPr>
            <w:rStyle w:val="Hypertextovodkaz"/>
            <w:noProof/>
          </w:rPr>
          <w:t>Tabulka 40: KS – počet přísedících dle soudů a pohlaví</w:t>
        </w:r>
        <w:r>
          <w:rPr>
            <w:noProof/>
            <w:webHidden/>
          </w:rPr>
          <w:tab/>
        </w:r>
        <w:r>
          <w:rPr>
            <w:noProof/>
            <w:webHidden/>
          </w:rPr>
          <w:fldChar w:fldCharType="begin"/>
        </w:r>
        <w:r>
          <w:rPr>
            <w:noProof/>
            <w:webHidden/>
          </w:rPr>
          <w:instrText xml:space="preserve"> PAGEREF _Toc109802125 \h </w:instrText>
        </w:r>
        <w:r>
          <w:rPr>
            <w:noProof/>
            <w:webHidden/>
          </w:rPr>
        </w:r>
        <w:r>
          <w:rPr>
            <w:noProof/>
            <w:webHidden/>
          </w:rPr>
          <w:fldChar w:fldCharType="separate"/>
        </w:r>
        <w:r>
          <w:rPr>
            <w:noProof/>
            <w:webHidden/>
          </w:rPr>
          <w:t>94</w:t>
        </w:r>
        <w:r>
          <w:rPr>
            <w:noProof/>
            <w:webHidden/>
          </w:rPr>
          <w:fldChar w:fldCharType="end"/>
        </w:r>
      </w:hyperlink>
    </w:p>
    <w:p w14:paraId="497C48C2" w14:textId="0A518FC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6" w:history="1">
        <w:r w:rsidRPr="00C03B62">
          <w:rPr>
            <w:rStyle w:val="Hypertextovodkaz"/>
            <w:noProof/>
          </w:rPr>
          <w:t>Tabulka 41: KS – počet přísedících dle soudů a věků</w:t>
        </w:r>
        <w:r>
          <w:rPr>
            <w:noProof/>
            <w:webHidden/>
          </w:rPr>
          <w:tab/>
        </w:r>
        <w:r>
          <w:rPr>
            <w:noProof/>
            <w:webHidden/>
          </w:rPr>
          <w:fldChar w:fldCharType="begin"/>
        </w:r>
        <w:r>
          <w:rPr>
            <w:noProof/>
            <w:webHidden/>
          </w:rPr>
          <w:instrText xml:space="preserve"> PAGEREF _Toc109802126 \h </w:instrText>
        </w:r>
        <w:r>
          <w:rPr>
            <w:noProof/>
            <w:webHidden/>
          </w:rPr>
        </w:r>
        <w:r>
          <w:rPr>
            <w:noProof/>
            <w:webHidden/>
          </w:rPr>
          <w:fldChar w:fldCharType="separate"/>
        </w:r>
        <w:r>
          <w:rPr>
            <w:noProof/>
            <w:webHidden/>
          </w:rPr>
          <w:t>95</w:t>
        </w:r>
        <w:r>
          <w:rPr>
            <w:noProof/>
            <w:webHidden/>
          </w:rPr>
          <w:fldChar w:fldCharType="end"/>
        </w:r>
      </w:hyperlink>
    </w:p>
    <w:p w14:paraId="40000EC5" w14:textId="3EC7F49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7" w:history="1">
        <w:r w:rsidRPr="00C03B62">
          <w:rPr>
            <w:rStyle w:val="Hypertextovodkaz"/>
            <w:noProof/>
          </w:rPr>
          <w:t>Tabulka 42: KS – vyřizování prvostupňových civilních věcí dle soudů</w:t>
        </w:r>
        <w:r>
          <w:rPr>
            <w:noProof/>
            <w:webHidden/>
          </w:rPr>
          <w:tab/>
        </w:r>
        <w:r>
          <w:rPr>
            <w:noProof/>
            <w:webHidden/>
          </w:rPr>
          <w:fldChar w:fldCharType="begin"/>
        </w:r>
        <w:r>
          <w:rPr>
            <w:noProof/>
            <w:webHidden/>
          </w:rPr>
          <w:instrText xml:space="preserve"> PAGEREF _Toc109802127 \h </w:instrText>
        </w:r>
        <w:r>
          <w:rPr>
            <w:noProof/>
            <w:webHidden/>
          </w:rPr>
        </w:r>
        <w:r>
          <w:rPr>
            <w:noProof/>
            <w:webHidden/>
          </w:rPr>
          <w:fldChar w:fldCharType="separate"/>
        </w:r>
        <w:r>
          <w:rPr>
            <w:noProof/>
            <w:webHidden/>
          </w:rPr>
          <w:t>100</w:t>
        </w:r>
        <w:r>
          <w:rPr>
            <w:noProof/>
            <w:webHidden/>
          </w:rPr>
          <w:fldChar w:fldCharType="end"/>
        </w:r>
      </w:hyperlink>
    </w:p>
    <w:p w14:paraId="5D4382AB" w14:textId="5AFD567E"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8" w:history="1">
        <w:r w:rsidRPr="00C03B62">
          <w:rPr>
            <w:rStyle w:val="Hypertextovodkaz"/>
            <w:noProof/>
          </w:rPr>
          <w:t>Tabulka 43: KS – vyřiz. prvostupň. civil. věcí na skutečný úvazek dle soudů</w:t>
        </w:r>
        <w:r>
          <w:rPr>
            <w:noProof/>
            <w:webHidden/>
          </w:rPr>
          <w:tab/>
        </w:r>
        <w:r>
          <w:rPr>
            <w:noProof/>
            <w:webHidden/>
          </w:rPr>
          <w:fldChar w:fldCharType="begin"/>
        </w:r>
        <w:r>
          <w:rPr>
            <w:noProof/>
            <w:webHidden/>
          </w:rPr>
          <w:instrText xml:space="preserve"> PAGEREF _Toc109802128 \h </w:instrText>
        </w:r>
        <w:r>
          <w:rPr>
            <w:noProof/>
            <w:webHidden/>
          </w:rPr>
        </w:r>
        <w:r>
          <w:rPr>
            <w:noProof/>
            <w:webHidden/>
          </w:rPr>
          <w:fldChar w:fldCharType="separate"/>
        </w:r>
        <w:r>
          <w:rPr>
            <w:noProof/>
            <w:webHidden/>
          </w:rPr>
          <w:t>101</w:t>
        </w:r>
        <w:r>
          <w:rPr>
            <w:noProof/>
            <w:webHidden/>
          </w:rPr>
          <w:fldChar w:fldCharType="end"/>
        </w:r>
      </w:hyperlink>
    </w:p>
    <w:p w14:paraId="01F8B191" w14:textId="5E2CA85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29" w:history="1">
        <w:r w:rsidRPr="00C03B62">
          <w:rPr>
            <w:rStyle w:val="Hypertextovodkaz"/>
            <w:noProof/>
          </w:rPr>
          <w:t>Tabulka 44: KS – DT prvostupňového civilního řízení dle soudů</w:t>
        </w:r>
        <w:r>
          <w:rPr>
            <w:noProof/>
            <w:webHidden/>
          </w:rPr>
          <w:tab/>
        </w:r>
        <w:r>
          <w:rPr>
            <w:noProof/>
            <w:webHidden/>
          </w:rPr>
          <w:fldChar w:fldCharType="begin"/>
        </w:r>
        <w:r>
          <w:rPr>
            <w:noProof/>
            <w:webHidden/>
          </w:rPr>
          <w:instrText xml:space="preserve"> PAGEREF _Toc109802129 \h </w:instrText>
        </w:r>
        <w:r>
          <w:rPr>
            <w:noProof/>
            <w:webHidden/>
          </w:rPr>
        </w:r>
        <w:r>
          <w:rPr>
            <w:noProof/>
            <w:webHidden/>
          </w:rPr>
          <w:fldChar w:fldCharType="separate"/>
        </w:r>
        <w:r>
          <w:rPr>
            <w:noProof/>
            <w:webHidden/>
          </w:rPr>
          <w:t>103</w:t>
        </w:r>
        <w:r>
          <w:rPr>
            <w:noProof/>
            <w:webHidden/>
          </w:rPr>
          <w:fldChar w:fldCharType="end"/>
        </w:r>
      </w:hyperlink>
    </w:p>
    <w:p w14:paraId="3CC0BA2E" w14:textId="04238FF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0" w:history="1">
        <w:r w:rsidRPr="00C03B62">
          <w:rPr>
            <w:rStyle w:val="Hypertextovodkaz"/>
            <w:noProof/>
          </w:rPr>
          <w:t>Tabulka 45: KS – míra odvolání dle soudů v civilním řízení</w:t>
        </w:r>
        <w:r>
          <w:rPr>
            <w:noProof/>
            <w:webHidden/>
          </w:rPr>
          <w:tab/>
        </w:r>
        <w:r>
          <w:rPr>
            <w:noProof/>
            <w:webHidden/>
          </w:rPr>
          <w:fldChar w:fldCharType="begin"/>
        </w:r>
        <w:r>
          <w:rPr>
            <w:noProof/>
            <w:webHidden/>
          </w:rPr>
          <w:instrText xml:space="preserve"> PAGEREF _Toc109802130 \h </w:instrText>
        </w:r>
        <w:r>
          <w:rPr>
            <w:noProof/>
            <w:webHidden/>
          </w:rPr>
        </w:r>
        <w:r>
          <w:rPr>
            <w:noProof/>
            <w:webHidden/>
          </w:rPr>
          <w:fldChar w:fldCharType="separate"/>
        </w:r>
        <w:r>
          <w:rPr>
            <w:noProof/>
            <w:webHidden/>
          </w:rPr>
          <w:t>103</w:t>
        </w:r>
        <w:r>
          <w:rPr>
            <w:noProof/>
            <w:webHidden/>
          </w:rPr>
          <w:fldChar w:fldCharType="end"/>
        </w:r>
      </w:hyperlink>
    </w:p>
    <w:p w14:paraId="48B33A86" w14:textId="448CD1F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1" w:history="1">
        <w:r w:rsidRPr="00C03B62">
          <w:rPr>
            <w:rStyle w:val="Hypertextovodkaz"/>
            <w:noProof/>
          </w:rPr>
          <w:t>Tabulka 46: KS – míra změny rozsudku dle soudů v civilním řízení</w:t>
        </w:r>
        <w:r>
          <w:rPr>
            <w:noProof/>
            <w:webHidden/>
          </w:rPr>
          <w:tab/>
        </w:r>
        <w:r>
          <w:rPr>
            <w:noProof/>
            <w:webHidden/>
          </w:rPr>
          <w:fldChar w:fldCharType="begin"/>
        </w:r>
        <w:r>
          <w:rPr>
            <w:noProof/>
            <w:webHidden/>
          </w:rPr>
          <w:instrText xml:space="preserve"> PAGEREF _Toc109802131 \h </w:instrText>
        </w:r>
        <w:r>
          <w:rPr>
            <w:noProof/>
            <w:webHidden/>
          </w:rPr>
        </w:r>
        <w:r>
          <w:rPr>
            <w:noProof/>
            <w:webHidden/>
          </w:rPr>
          <w:fldChar w:fldCharType="separate"/>
        </w:r>
        <w:r>
          <w:rPr>
            <w:noProof/>
            <w:webHidden/>
          </w:rPr>
          <w:t>104</w:t>
        </w:r>
        <w:r>
          <w:rPr>
            <w:noProof/>
            <w:webHidden/>
          </w:rPr>
          <w:fldChar w:fldCharType="end"/>
        </w:r>
      </w:hyperlink>
    </w:p>
    <w:p w14:paraId="1ED8FFEC" w14:textId="212BD84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2" w:history="1">
        <w:r w:rsidRPr="00C03B62">
          <w:rPr>
            <w:rStyle w:val="Hypertextovodkaz"/>
            <w:noProof/>
          </w:rPr>
          <w:t>Tabulka 47: KS – nejčastější předměty sporu</w:t>
        </w:r>
        <w:r>
          <w:rPr>
            <w:noProof/>
            <w:webHidden/>
          </w:rPr>
          <w:tab/>
        </w:r>
        <w:r>
          <w:rPr>
            <w:noProof/>
            <w:webHidden/>
          </w:rPr>
          <w:fldChar w:fldCharType="begin"/>
        </w:r>
        <w:r>
          <w:rPr>
            <w:noProof/>
            <w:webHidden/>
          </w:rPr>
          <w:instrText xml:space="preserve"> PAGEREF _Toc109802132 \h </w:instrText>
        </w:r>
        <w:r>
          <w:rPr>
            <w:noProof/>
            <w:webHidden/>
          </w:rPr>
        </w:r>
        <w:r>
          <w:rPr>
            <w:noProof/>
            <w:webHidden/>
          </w:rPr>
          <w:fldChar w:fldCharType="separate"/>
        </w:r>
        <w:r>
          <w:rPr>
            <w:noProof/>
            <w:webHidden/>
          </w:rPr>
          <w:t>105</w:t>
        </w:r>
        <w:r>
          <w:rPr>
            <w:noProof/>
            <w:webHidden/>
          </w:rPr>
          <w:fldChar w:fldCharType="end"/>
        </w:r>
      </w:hyperlink>
    </w:p>
    <w:p w14:paraId="05DEC107" w14:textId="1CA3039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3" w:history="1">
        <w:r w:rsidRPr="00C03B62">
          <w:rPr>
            <w:rStyle w:val="Hypertextovodkaz"/>
            <w:noProof/>
          </w:rPr>
          <w:t>Tabulka 48: KS – délky odvolacího civilního řízení dle soudů</w:t>
        </w:r>
        <w:r>
          <w:rPr>
            <w:noProof/>
            <w:webHidden/>
          </w:rPr>
          <w:tab/>
        </w:r>
        <w:r>
          <w:rPr>
            <w:noProof/>
            <w:webHidden/>
          </w:rPr>
          <w:fldChar w:fldCharType="begin"/>
        </w:r>
        <w:r>
          <w:rPr>
            <w:noProof/>
            <w:webHidden/>
          </w:rPr>
          <w:instrText xml:space="preserve"> PAGEREF _Toc109802133 \h </w:instrText>
        </w:r>
        <w:r>
          <w:rPr>
            <w:noProof/>
            <w:webHidden/>
          </w:rPr>
        </w:r>
        <w:r>
          <w:rPr>
            <w:noProof/>
            <w:webHidden/>
          </w:rPr>
          <w:fldChar w:fldCharType="separate"/>
        </w:r>
        <w:r>
          <w:rPr>
            <w:noProof/>
            <w:webHidden/>
          </w:rPr>
          <w:t>107</w:t>
        </w:r>
        <w:r>
          <w:rPr>
            <w:noProof/>
            <w:webHidden/>
          </w:rPr>
          <w:fldChar w:fldCharType="end"/>
        </w:r>
      </w:hyperlink>
    </w:p>
    <w:p w14:paraId="4D9FD72C" w14:textId="0090F773"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4" w:history="1">
        <w:r w:rsidRPr="00C03B62">
          <w:rPr>
            <w:rStyle w:val="Hypertextovodkaz"/>
            <w:noProof/>
          </w:rPr>
          <w:t>Tabulka 49: KS – vyřizování odvolacích civilních věcí dle soudů</w:t>
        </w:r>
        <w:r>
          <w:rPr>
            <w:noProof/>
            <w:webHidden/>
          </w:rPr>
          <w:tab/>
        </w:r>
        <w:r>
          <w:rPr>
            <w:noProof/>
            <w:webHidden/>
          </w:rPr>
          <w:fldChar w:fldCharType="begin"/>
        </w:r>
        <w:r>
          <w:rPr>
            <w:noProof/>
            <w:webHidden/>
          </w:rPr>
          <w:instrText xml:space="preserve"> PAGEREF _Toc109802134 \h </w:instrText>
        </w:r>
        <w:r>
          <w:rPr>
            <w:noProof/>
            <w:webHidden/>
          </w:rPr>
        </w:r>
        <w:r>
          <w:rPr>
            <w:noProof/>
            <w:webHidden/>
          </w:rPr>
          <w:fldChar w:fldCharType="separate"/>
        </w:r>
        <w:r>
          <w:rPr>
            <w:noProof/>
            <w:webHidden/>
          </w:rPr>
          <w:t>109</w:t>
        </w:r>
        <w:r>
          <w:rPr>
            <w:noProof/>
            <w:webHidden/>
          </w:rPr>
          <w:fldChar w:fldCharType="end"/>
        </w:r>
      </w:hyperlink>
    </w:p>
    <w:p w14:paraId="080EA494" w14:textId="4589079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5" w:history="1">
        <w:r w:rsidRPr="00C03B62">
          <w:rPr>
            <w:rStyle w:val="Hypertextovodkaz"/>
            <w:noProof/>
          </w:rPr>
          <w:t>Tabulka 50: KS – vyřiz. odvolacích civil. věcí na skutečný úvazek dle soudů</w:t>
        </w:r>
        <w:r>
          <w:rPr>
            <w:noProof/>
            <w:webHidden/>
          </w:rPr>
          <w:tab/>
        </w:r>
        <w:r>
          <w:rPr>
            <w:noProof/>
            <w:webHidden/>
          </w:rPr>
          <w:fldChar w:fldCharType="begin"/>
        </w:r>
        <w:r>
          <w:rPr>
            <w:noProof/>
            <w:webHidden/>
          </w:rPr>
          <w:instrText xml:space="preserve"> PAGEREF _Toc109802135 \h </w:instrText>
        </w:r>
        <w:r>
          <w:rPr>
            <w:noProof/>
            <w:webHidden/>
          </w:rPr>
        </w:r>
        <w:r>
          <w:rPr>
            <w:noProof/>
            <w:webHidden/>
          </w:rPr>
          <w:fldChar w:fldCharType="separate"/>
        </w:r>
        <w:r>
          <w:rPr>
            <w:noProof/>
            <w:webHidden/>
          </w:rPr>
          <w:t>110</w:t>
        </w:r>
        <w:r>
          <w:rPr>
            <w:noProof/>
            <w:webHidden/>
          </w:rPr>
          <w:fldChar w:fldCharType="end"/>
        </w:r>
      </w:hyperlink>
    </w:p>
    <w:p w14:paraId="34CC8354" w14:textId="223F5216"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6" w:history="1">
        <w:r w:rsidRPr="00C03B62">
          <w:rPr>
            <w:rStyle w:val="Hypertextovodkaz"/>
            <w:noProof/>
          </w:rPr>
          <w:t>Tabulka 51: KS – DT v civilním odvolacím řízení dle soudů</w:t>
        </w:r>
        <w:r>
          <w:rPr>
            <w:noProof/>
            <w:webHidden/>
          </w:rPr>
          <w:tab/>
        </w:r>
        <w:r>
          <w:rPr>
            <w:noProof/>
            <w:webHidden/>
          </w:rPr>
          <w:fldChar w:fldCharType="begin"/>
        </w:r>
        <w:r>
          <w:rPr>
            <w:noProof/>
            <w:webHidden/>
          </w:rPr>
          <w:instrText xml:space="preserve"> PAGEREF _Toc109802136 \h </w:instrText>
        </w:r>
        <w:r>
          <w:rPr>
            <w:noProof/>
            <w:webHidden/>
          </w:rPr>
        </w:r>
        <w:r>
          <w:rPr>
            <w:noProof/>
            <w:webHidden/>
          </w:rPr>
          <w:fldChar w:fldCharType="separate"/>
        </w:r>
        <w:r>
          <w:rPr>
            <w:noProof/>
            <w:webHidden/>
          </w:rPr>
          <w:t>111</w:t>
        </w:r>
        <w:r>
          <w:rPr>
            <w:noProof/>
            <w:webHidden/>
          </w:rPr>
          <w:fldChar w:fldCharType="end"/>
        </w:r>
      </w:hyperlink>
    </w:p>
    <w:p w14:paraId="24D704E2" w14:textId="73B5C9E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7" w:history="1">
        <w:r w:rsidRPr="00C03B62">
          <w:rPr>
            <w:rStyle w:val="Hypertextovodkaz"/>
            <w:noProof/>
          </w:rPr>
          <w:t>Tabulka 52: KS – délky prvostupňového trestního řízení dle soudů</w:t>
        </w:r>
        <w:r>
          <w:rPr>
            <w:noProof/>
            <w:webHidden/>
          </w:rPr>
          <w:tab/>
        </w:r>
        <w:r>
          <w:rPr>
            <w:noProof/>
            <w:webHidden/>
          </w:rPr>
          <w:fldChar w:fldCharType="begin"/>
        </w:r>
        <w:r>
          <w:rPr>
            <w:noProof/>
            <w:webHidden/>
          </w:rPr>
          <w:instrText xml:space="preserve"> PAGEREF _Toc109802137 \h </w:instrText>
        </w:r>
        <w:r>
          <w:rPr>
            <w:noProof/>
            <w:webHidden/>
          </w:rPr>
        </w:r>
        <w:r>
          <w:rPr>
            <w:noProof/>
            <w:webHidden/>
          </w:rPr>
          <w:fldChar w:fldCharType="separate"/>
        </w:r>
        <w:r>
          <w:rPr>
            <w:noProof/>
            <w:webHidden/>
          </w:rPr>
          <w:t>113</w:t>
        </w:r>
        <w:r>
          <w:rPr>
            <w:noProof/>
            <w:webHidden/>
          </w:rPr>
          <w:fldChar w:fldCharType="end"/>
        </w:r>
      </w:hyperlink>
    </w:p>
    <w:p w14:paraId="67E323FF" w14:textId="2961019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8" w:history="1">
        <w:r w:rsidRPr="00C03B62">
          <w:rPr>
            <w:rStyle w:val="Hypertextovodkaz"/>
            <w:noProof/>
          </w:rPr>
          <w:t>Tabulka 53: KS – vyřizování prvostupňových trestních věcí dle soudů</w:t>
        </w:r>
        <w:r>
          <w:rPr>
            <w:noProof/>
            <w:webHidden/>
          </w:rPr>
          <w:tab/>
        </w:r>
        <w:r>
          <w:rPr>
            <w:noProof/>
            <w:webHidden/>
          </w:rPr>
          <w:fldChar w:fldCharType="begin"/>
        </w:r>
        <w:r>
          <w:rPr>
            <w:noProof/>
            <w:webHidden/>
          </w:rPr>
          <w:instrText xml:space="preserve"> PAGEREF _Toc109802138 \h </w:instrText>
        </w:r>
        <w:r>
          <w:rPr>
            <w:noProof/>
            <w:webHidden/>
          </w:rPr>
        </w:r>
        <w:r>
          <w:rPr>
            <w:noProof/>
            <w:webHidden/>
          </w:rPr>
          <w:fldChar w:fldCharType="separate"/>
        </w:r>
        <w:r>
          <w:rPr>
            <w:noProof/>
            <w:webHidden/>
          </w:rPr>
          <w:t>115</w:t>
        </w:r>
        <w:r>
          <w:rPr>
            <w:noProof/>
            <w:webHidden/>
          </w:rPr>
          <w:fldChar w:fldCharType="end"/>
        </w:r>
      </w:hyperlink>
    </w:p>
    <w:p w14:paraId="0FE8DBEF" w14:textId="24F235B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39" w:history="1">
        <w:r w:rsidRPr="00C03B62">
          <w:rPr>
            <w:rStyle w:val="Hypertextovodkaz"/>
            <w:noProof/>
          </w:rPr>
          <w:t>Tabulka 54: KS – vyřiz. prvostupň. trest. věcí na skutečný úvazek dle soudů</w:t>
        </w:r>
        <w:r>
          <w:rPr>
            <w:noProof/>
            <w:webHidden/>
          </w:rPr>
          <w:tab/>
        </w:r>
        <w:r>
          <w:rPr>
            <w:noProof/>
            <w:webHidden/>
          </w:rPr>
          <w:fldChar w:fldCharType="begin"/>
        </w:r>
        <w:r>
          <w:rPr>
            <w:noProof/>
            <w:webHidden/>
          </w:rPr>
          <w:instrText xml:space="preserve"> PAGEREF _Toc109802139 \h </w:instrText>
        </w:r>
        <w:r>
          <w:rPr>
            <w:noProof/>
            <w:webHidden/>
          </w:rPr>
        </w:r>
        <w:r>
          <w:rPr>
            <w:noProof/>
            <w:webHidden/>
          </w:rPr>
          <w:fldChar w:fldCharType="separate"/>
        </w:r>
        <w:r>
          <w:rPr>
            <w:noProof/>
            <w:webHidden/>
          </w:rPr>
          <w:t>116</w:t>
        </w:r>
        <w:r>
          <w:rPr>
            <w:noProof/>
            <w:webHidden/>
          </w:rPr>
          <w:fldChar w:fldCharType="end"/>
        </w:r>
      </w:hyperlink>
    </w:p>
    <w:p w14:paraId="734A21AF" w14:textId="69B84A5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0" w:history="1">
        <w:r w:rsidRPr="00C03B62">
          <w:rPr>
            <w:rStyle w:val="Hypertextovodkaz"/>
            <w:noProof/>
          </w:rPr>
          <w:t>Tabulka 55: KS – DT v prvostupňovém trestním řízení dle soudů</w:t>
        </w:r>
        <w:r>
          <w:rPr>
            <w:noProof/>
            <w:webHidden/>
          </w:rPr>
          <w:tab/>
        </w:r>
        <w:r>
          <w:rPr>
            <w:noProof/>
            <w:webHidden/>
          </w:rPr>
          <w:fldChar w:fldCharType="begin"/>
        </w:r>
        <w:r>
          <w:rPr>
            <w:noProof/>
            <w:webHidden/>
          </w:rPr>
          <w:instrText xml:space="preserve"> PAGEREF _Toc109802140 \h </w:instrText>
        </w:r>
        <w:r>
          <w:rPr>
            <w:noProof/>
            <w:webHidden/>
          </w:rPr>
        </w:r>
        <w:r>
          <w:rPr>
            <w:noProof/>
            <w:webHidden/>
          </w:rPr>
          <w:fldChar w:fldCharType="separate"/>
        </w:r>
        <w:r>
          <w:rPr>
            <w:noProof/>
            <w:webHidden/>
          </w:rPr>
          <w:t>117</w:t>
        </w:r>
        <w:r>
          <w:rPr>
            <w:noProof/>
            <w:webHidden/>
          </w:rPr>
          <w:fldChar w:fldCharType="end"/>
        </w:r>
      </w:hyperlink>
    </w:p>
    <w:p w14:paraId="7DFB29CF" w14:textId="3920BD2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1" w:history="1">
        <w:r w:rsidRPr="00C03B62">
          <w:rPr>
            <w:rStyle w:val="Hypertextovodkaz"/>
            <w:noProof/>
          </w:rPr>
          <w:t>Tabulka 56: KS – míra odvolání dle soudů v trestním řízení</w:t>
        </w:r>
        <w:r>
          <w:rPr>
            <w:noProof/>
            <w:webHidden/>
          </w:rPr>
          <w:tab/>
        </w:r>
        <w:r>
          <w:rPr>
            <w:noProof/>
            <w:webHidden/>
          </w:rPr>
          <w:fldChar w:fldCharType="begin"/>
        </w:r>
        <w:r>
          <w:rPr>
            <w:noProof/>
            <w:webHidden/>
          </w:rPr>
          <w:instrText xml:space="preserve"> PAGEREF _Toc109802141 \h </w:instrText>
        </w:r>
        <w:r>
          <w:rPr>
            <w:noProof/>
            <w:webHidden/>
          </w:rPr>
        </w:r>
        <w:r>
          <w:rPr>
            <w:noProof/>
            <w:webHidden/>
          </w:rPr>
          <w:fldChar w:fldCharType="separate"/>
        </w:r>
        <w:r>
          <w:rPr>
            <w:noProof/>
            <w:webHidden/>
          </w:rPr>
          <w:t>118</w:t>
        </w:r>
        <w:r>
          <w:rPr>
            <w:noProof/>
            <w:webHidden/>
          </w:rPr>
          <w:fldChar w:fldCharType="end"/>
        </w:r>
      </w:hyperlink>
    </w:p>
    <w:p w14:paraId="277FF87D" w14:textId="1B88507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2" w:history="1">
        <w:r w:rsidRPr="00C03B62">
          <w:rPr>
            <w:rStyle w:val="Hypertextovodkaz"/>
            <w:noProof/>
          </w:rPr>
          <w:t>Tabulka 57: KS – míra změny rozsudku dle soudů v trestním řízení</w:t>
        </w:r>
        <w:r>
          <w:rPr>
            <w:noProof/>
            <w:webHidden/>
          </w:rPr>
          <w:tab/>
        </w:r>
        <w:r>
          <w:rPr>
            <w:noProof/>
            <w:webHidden/>
          </w:rPr>
          <w:fldChar w:fldCharType="begin"/>
        </w:r>
        <w:r>
          <w:rPr>
            <w:noProof/>
            <w:webHidden/>
          </w:rPr>
          <w:instrText xml:space="preserve"> PAGEREF _Toc109802142 \h </w:instrText>
        </w:r>
        <w:r>
          <w:rPr>
            <w:noProof/>
            <w:webHidden/>
          </w:rPr>
        </w:r>
        <w:r>
          <w:rPr>
            <w:noProof/>
            <w:webHidden/>
          </w:rPr>
          <w:fldChar w:fldCharType="separate"/>
        </w:r>
        <w:r>
          <w:rPr>
            <w:noProof/>
            <w:webHidden/>
          </w:rPr>
          <w:t>119</w:t>
        </w:r>
        <w:r>
          <w:rPr>
            <w:noProof/>
            <w:webHidden/>
          </w:rPr>
          <w:fldChar w:fldCharType="end"/>
        </w:r>
      </w:hyperlink>
    </w:p>
    <w:p w14:paraId="736CAAD9" w14:textId="32E4E18A"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3" w:history="1">
        <w:r w:rsidRPr="00C03B62">
          <w:rPr>
            <w:rStyle w:val="Hypertextovodkaz"/>
            <w:noProof/>
          </w:rPr>
          <w:t>Tabulka 58: KS – délky odvolacího trestního řízení dle soudů</w:t>
        </w:r>
        <w:r>
          <w:rPr>
            <w:noProof/>
            <w:webHidden/>
          </w:rPr>
          <w:tab/>
        </w:r>
        <w:r>
          <w:rPr>
            <w:noProof/>
            <w:webHidden/>
          </w:rPr>
          <w:fldChar w:fldCharType="begin"/>
        </w:r>
        <w:r>
          <w:rPr>
            <w:noProof/>
            <w:webHidden/>
          </w:rPr>
          <w:instrText xml:space="preserve"> PAGEREF _Toc109802143 \h </w:instrText>
        </w:r>
        <w:r>
          <w:rPr>
            <w:noProof/>
            <w:webHidden/>
          </w:rPr>
        </w:r>
        <w:r>
          <w:rPr>
            <w:noProof/>
            <w:webHidden/>
          </w:rPr>
          <w:fldChar w:fldCharType="separate"/>
        </w:r>
        <w:r>
          <w:rPr>
            <w:noProof/>
            <w:webHidden/>
          </w:rPr>
          <w:t>123</w:t>
        </w:r>
        <w:r>
          <w:rPr>
            <w:noProof/>
            <w:webHidden/>
          </w:rPr>
          <w:fldChar w:fldCharType="end"/>
        </w:r>
      </w:hyperlink>
    </w:p>
    <w:p w14:paraId="2AE34610" w14:textId="11B19727"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4" w:history="1">
        <w:r w:rsidRPr="00C03B62">
          <w:rPr>
            <w:rStyle w:val="Hypertextovodkaz"/>
            <w:noProof/>
          </w:rPr>
          <w:t>Tabulka 59: KS – vyřizování odvolacích trestních věcí dle soudů</w:t>
        </w:r>
        <w:r>
          <w:rPr>
            <w:noProof/>
            <w:webHidden/>
          </w:rPr>
          <w:tab/>
        </w:r>
        <w:r>
          <w:rPr>
            <w:noProof/>
            <w:webHidden/>
          </w:rPr>
          <w:fldChar w:fldCharType="begin"/>
        </w:r>
        <w:r>
          <w:rPr>
            <w:noProof/>
            <w:webHidden/>
          </w:rPr>
          <w:instrText xml:space="preserve"> PAGEREF _Toc109802144 \h </w:instrText>
        </w:r>
        <w:r>
          <w:rPr>
            <w:noProof/>
            <w:webHidden/>
          </w:rPr>
        </w:r>
        <w:r>
          <w:rPr>
            <w:noProof/>
            <w:webHidden/>
          </w:rPr>
          <w:fldChar w:fldCharType="separate"/>
        </w:r>
        <w:r>
          <w:rPr>
            <w:noProof/>
            <w:webHidden/>
          </w:rPr>
          <w:t>125</w:t>
        </w:r>
        <w:r>
          <w:rPr>
            <w:noProof/>
            <w:webHidden/>
          </w:rPr>
          <w:fldChar w:fldCharType="end"/>
        </w:r>
      </w:hyperlink>
    </w:p>
    <w:p w14:paraId="6C0397C5" w14:textId="5377941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5" w:history="1">
        <w:r w:rsidRPr="00C03B62">
          <w:rPr>
            <w:rStyle w:val="Hypertextovodkaz"/>
            <w:noProof/>
          </w:rPr>
          <w:t>Tabulka 60: KS – vyřiz. odvolacích tr. věcí na skutečný úvazek dle soudů</w:t>
        </w:r>
        <w:r>
          <w:rPr>
            <w:noProof/>
            <w:webHidden/>
          </w:rPr>
          <w:tab/>
        </w:r>
        <w:r>
          <w:rPr>
            <w:noProof/>
            <w:webHidden/>
          </w:rPr>
          <w:fldChar w:fldCharType="begin"/>
        </w:r>
        <w:r>
          <w:rPr>
            <w:noProof/>
            <w:webHidden/>
          </w:rPr>
          <w:instrText xml:space="preserve"> PAGEREF _Toc109802145 \h </w:instrText>
        </w:r>
        <w:r>
          <w:rPr>
            <w:noProof/>
            <w:webHidden/>
          </w:rPr>
        </w:r>
        <w:r>
          <w:rPr>
            <w:noProof/>
            <w:webHidden/>
          </w:rPr>
          <w:fldChar w:fldCharType="separate"/>
        </w:r>
        <w:r>
          <w:rPr>
            <w:noProof/>
            <w:webHidden/>
          </w:rPr>
          <w:t>125</w:t>
        </w:r>
        <w:r>
          <w:rPr>
            <w:noProof/>
            <w:webHidden/>
          </w:rPr>
          <w:fldChar w:fldCharType="end"/>
        </w:r>
      </w:hyperlink>
    </w:p>
    <w:p w14:paraId="60E2571A" w14:textId="552BC7C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6" w:history="1">
        <w:r w:rsidRPr="00C03B62">
          <w:rPr>
            <w:rStyle w:val="Hypertextovodkaz"/>
            <w:noProof/>
          </w:rPr>
          <w:t>Tabulka 61: KS – DT odvolacího trestního řízení dle soudů</w:t>
        </w:r>
        <w:r>
          <w:rPr>
            <w:noProof/>
            <w:webHidden/>
          </w:rPr>
          <w:tab/>
        </w:r>
        <w:r>
          <w:rPr>
            <w:noProof/>
            <w:webHidden/>
          </w:rPr>
          <w:fldChar w:fldCharType="begin"/>
        </w:r>
        <w:r>
          <w:rPr>
            <w:noProof/>
            <w:webHidden/>
          </w:rPr>
          <w:instrText xml:space="preserve"> PAGEREF _Toc109802146 \h </w:instrText>
        </w:r>
        <w:r>
          <w:rPr>
            <w:noProof/>
            <w:webHidden/>
          </w:rPr>
        </w:r>
        <w:r>
          <w:rPr>
            <w:noProof/>
            <w:webHidden/>
          </w:rPr>
          <w:fldChar w:fldCharType="separate"/>
        </w:r>
        <w:r>
          <w:rPr>
            <w:noProof/>
            <w:webHidden/>
          </w:rPr>
          <w:t>126</w:t>
        </w:r>
        <w:r>
          <w:rPr>
            <w:noProof/>
            <w:webHidden/>
          </w:rPr>
          <w:fldChar w:fldCharType="end"/>
        </w:r>
      </w:hyperlink>
    </w:p>
    <w:p w14:paraId="66346812" w14:textId="71AB10D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7" w:history="1">
        <w:r w:rsidRPr="00C03B62">
          <w:rPr>
            <w:rStyle w:val="Hypertextovodkaz"/>
            <w:noProof/>
          </w:rPr>
          <w:t>Tabulka 62: KS – délky správního řízení dle soudů</w:t>
        </w:r>
        <w:r>
          <w:rPr>
            <w:noProof/>
            <w:webHidden/>
          </w:rPr>
          <w:tab/>
        </w:r>
        <w:r>
          <w:rPr>
            <w:noProof/>
            <w:webHidden/>
          </w:rPr>
          <w:fldChar w:fldCharType="begin"/>
        </w:r>
        <w:r>
          <w:rPr>
            <w:noProof/>
            <w:webHidden/>
          </w:rPr>
          <w:instrText xml:space="preserve"> PAGEREF _Toc109802147 \h </w:instrText>
        </w:r>
        <w:r>
          <w:rPr>
            <w:noProof/>
            <w:webHidden/>
          </w:rPr>
        </w:r>
        <w:r>
          <w:rPr>
            <w:noProof/>
            <w:webHidden/>
          </w:rPr>
          <w:fldChar w:fldCharType="separate"/>
        </w:r>
        <w:r>
          <w:rPr>
            <w:noProof/>
            <w:webHidden/>
          </w:rPr>
          <w:t>129</w:t>
        </w:r>
        <w:r>
          <w:rPr>
            <w:noProof/>
            <w:webHidden/>
          </w:rPr>
          <w:fldChar w:fldCharType="end"/>
        </w:r>
      </w:hyperlink>
    </w:p>
    <w:p w14:paraId="03895C66" w14:textId="3CD35D2C"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8" w:history="1">
        <w:r w:rsidRPr="00C03B62">
          <w:rPr>
            <w:rStyle w:val="Hypertextovodkaz"/>
            <w:noProof/>
          </w:rPr>
          <w:t>Tabulka 63: KS – vyřizování správních věcí dle soudů</w:t>
        </w:r>
        <w:r>
          <w:rPr>
            <w:noProof/>
            <w:webHidden/>
          </w:rPr>
          <w:tab/>
        </w:r>
        <w:r>
          <w:rPr>
            <w:noProof/>
            <w:webHidden/>
          </w:rPr>
          <w:fldChar w:fldCharType="begin"/>
        </w:r>
        <w:r>
          <w:rPr>
            <w:noProof/>
            <w:webHidden/>
          </w:rPr>
          <w:instrText xml:space="preserve"> PAGEREF _Toc109802148 \h </w:instrText>
        </w:r>
        <w:r>
          <w:rPr>
            <w:noProof/>
            <w:webHidden/>
          </w:rPr>
        </w:r>
        <w:r>
          <w:rPr>
            <w:noProof/>
            <w:webHidden/>
          </w:rPr>
          <w:fldChar w:fldCharType="separate"/>
        </w:r>
        <w:r>
          <w:rPr>
            <w:noProof/>
            <w:webHidden/>
          </w:rPr>
          <w:t>131</w:t>
        </w:r>
        <w:r>
          <w:rPr>
            <w:noProof/>
            <w:webHidden/>
          </w:rPr>
          <w:fldChar w:fldCharType="end"/>
        </w:r>
      </w:hyperlink>
    </w:p>
    <w:p w14:paraId="47AA7112" w14:textId="668C0AED"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49" w:history="1">
        <w:r w:rsidRPr="00C03B62">
          <w:rPr>
            <w:rStyle w:val="Hypertextovodkaz"/>
            <w:noProof/>
          </w:rPr>
          <w:t>Tabulka 64: KS – podíl nevyřízených věcí druhů agendy správního soudnictví</w:t>
        </w:r>
        <w:r>
          <w:rPr>
            <w:noProof/>
            <w:webHidden/>
          </w:rPr>
          <w:tab/>
        </w:r>
        <w:r>
          <w:rPr>
            <w:noProof/>
            <w:webHidden/>
          </w:rPr>
          <w:fldChar w:fldCharType="begin"/>
        </w:r>
        <w:r>
          <w:rPr>
            <w:noProof/>
            <w:webHidden/>
          </w:rPr>
          <w:instrText xml:space="preserve"> PAGEREF _Toc109802149 \h </w:instrText>
        </w:r>
        <w:r>
          <w:rPr>
            <w:noProof/>
            <w:webHidden/>
          </w:rPr>
        </w:r>
        <w:r>
          <w:rPr>
            <w:noProof/>
            <w:webHidden/>
          </w:rPr>
          <w:fldChar w:fldCharType="separate"/>
        </w:r>
        <w:r>
          <w:rPr>
            <w:noProof/>
            <w:webHidden/>
          </w:rPr>
          <w:t>133</w:t>
        </w:r>
        <w:r>
          <w:rPr>
            <w:noProof/>
            <w:webHidden/>
          </w:rPr>
          <w:fldChar w:fldCharType="end"/>
        </w:r>
      </w:hyperlink>
    </w:p>
    <w:p w14:paraId="70C0AC55" w14:textId="2DE05CB8"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0" w:history="1">
        <w:r w:rsidRPr="00C03B62">
          <w:rPr>
            <w:rStyle w:val="Hypertextovodkaz"/>
            <w:noProof/>
          </w:rPr>
          <w:t>Tabulka 65: KS – vyřizování správních věcí na skutečný úvazek dle soudů</w:t>
        </w:r>
        <w:r>
          <w:rPr>
            <w:noProof/>
            <w:webHidden/>
          </w:rPr>
          <w:tab/>
        </w:r>
        <w:r>
          <w:rPr>
            <w:noProof/>
            <w:webHidden/>
          </w:rPr>
          <w:fldChar w:fldCharType="begin"/>
        </w:r>
        <w:r>
          <w:rPr>
            <w:noProof/>
            <w:webHidden/>
          </w:rPr>
          <w:instrText xml:space="preserve"> PAGEREF _Toc109802150 \h </w:instrText>
        </w:r>
        <w:r>
          <w:rPr>
            <w:noProof/>
            <w:webHidden/>
          </w:rPr>
        </w:r>
        <w:r>
          <w:rPr>
            <w:noProof/>
            <w:webHidden/>
          </w:rPr>
          <w:fldChar w:fldCharType="separate"/>
        </w:r>
        <w:r>
          <w:rPr>
            <w:noProof/>
            <w:webHidden/>
          </w:rPr>
          <w:t>133</w:t>
        </w:r>
        <w:r>
          <w:rPr>
            <w:noProof/>
            <w:webHidden/>
          </w:rPr>
          <w:fldChar w:fldCharType="end"/>
        </w:r>
      </w:hyperlink>
    </w:p>
    <w:p w14:paraId="2AA02F31" w14:textId="15614D1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1" w:history="1">
        <w:r w:rsidRPr="00C03B62">
          <w:rPr>
            <w:rStyle w:val="Hypertextovodkaz"/>
            <w:noProof/>
          </w:rPr>
          <w:t>Tabulka 66: KS – DT správního řízení dle soudů</w:t>
        </w:r>
        <w:r>
          <w:rPr>
            <w:noProof/>
            <w:webHidden/>
          </w:rPr>
          <w:tab/>
        </w:r>
        <w:r>
          <w:rPr>
            <w:noProof/>
            <w:webHidden/>
          </w:rPr>
          <w:fldChar w:fldCharType="begin"/>
        </w:r>
        <w:r>
          <w:rPr>
            <w:noProof/>
            <w:webHidden/>
          </w:rPr>
          <w:instrText xml:space="preserve"> PAGEREF _Toc109802151 \h </w:instrText>
        </w:r>
        <w:r>
          <w:rPr>
            <w:noProof/>
            <w:webHidden/>
          </w:rPr>
        </w:r>
        <w:r>
          <w:rPr>
            <w:noProof/>
            <w:webHidden/>
          </w:rPr>
          <w:fldChar w:fldCharType="separate"/>
        </w:r>
        <w:r>
          <w:rPr>
            <w:noProof/>
            <w:webHidden/>
          </w:rPr>
          <w:t>135</w:t>
        </w:r>
        <w:r>
          <w:rPr>
            <w:noProof/>
            <w:webHidden/>
          </w:rPr>
          <w:fldChar w:fldCharType="end"/>
        </w:r>
      </w:hyperlink>
    </w:p>
    <w:p w14:paraId="5E3F3D72" w14:textId="7422511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2" w:history="1">
        <w:r w:rsidRPr="00C03B62">
          <w:rPr>
            <w:rStyle w:val="Hypertextovodkaz"/>
            <w:noProof/>
          </w:rPr>
          <w:t>Tabulka 67: KS – délky insolvenčního řízení dle soudů</w:t>
        </w:r>
        <w:r>
          <w:rPr>
            <w:noProof/>
            <w:webHidden/>
          </w:rPr>
          <w:tab/>
        </w:r>
        <w:r>
          <w:rPr>
            <w:noProof/>
            <w:webHidden/>
          </w:rPr>
          <w:fldChar w:fldCharType="begin"/>
        </w:r>
        <w:r>
          <w:rPr>
            <w:noProof/>
            <w:webHidden/>
          </w:rPr>
          <w:instrText xml:space="preserve"> PAGEREF _Toc109802152 \h </w:instrText>
        </w:r>
        <w:r>
          <w:rPr>
            <w:noProof/>
            <w:webHidden/>
          </w:rPr>
        </w:r>
        <w:r>
          <w:rPr>
            <w:noProof/>
            <w:webHidden/>
          </w:rPr>
          <w:fldChar w:fldCharType="separate"/>
        </w:r>
        <w:r>
          <w:rPr>
            <w:noProof/>
            <w:webHidden/>
          </w:rPr>
          <w:t>138</w:t>
        </w:r>
        <w:r>
          <w:rPr>
            <w:noProof/>
            <w:webHidden/>
          </w:rPr>
          <w:fldChar w:fldCharType="end"/>
        </w:r>
      </w:hyperlink>
    </w:p>
    <w:p w14:paraId="3B2525AA" w14:textId="170DD3C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3" w:history="1">
        <w:r w:rsidRPr="00C03B62">
          <w:rPr>
            <w:rStyle w:val="Hypertextovodkaz"/>
            <w:noProof/>
          </w:rPr>
          <w:t>Tabulka 68: KS – vyřizování insolvenčních věcí dle soudů</w:t>
        </w:r>
        <w:r>
          <w:rPr>
            <w:noProof/>
            <w:webHidden/>
          </w:rPr>
          <w:tab/>
        </w:r>
        <w:r>
          <w:rPr>
            <w:noProof/>
            <w:webHidden/>
          </w:rPr>
          <w:fldChar w:fldCharType="begin"/>
        </w:r>
        <w:r>
          <w:rPr>
            <w:noProof/>
            <w:webHidden/>
          </w:rPr>
          <w:instrText xml:space="preserve"> PAGEREF _Toc109802153 \h </w:instrText>
        </w:r>
        <w:r>
          <w:rPr>
            <w:noProof/>
            <w:webHidden/>
          </w:rPr>
        </w:r>
        <w:r>
          <w:rPr>
            <w:noProof/>
            <w:webHidden/>
          </w:rPr>
          <w:fldChar w:fldCharType="separate"/>
        </w:r>
        <w:r>
          <w:rPr>
            <w:noProof/>
            <w:webHidden/>
          </w:rPr>
          <w:t>139</w:t>
        </w:r>
        <w:r>
          <w:rPr>
            <w:noProof/>
            <w:webHidden/>
          </w:rPr>
          <w:fldChar w:fldCharType="end"/>
        </w:r>
      </w:hyperlink>
    </w:p>
    <w:p w14:paraId="1B22D023" w14:textId="485CD7A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4" w:history="1">
        <w:r w:rsidRPr="00C03B62">
          <w:rPr>
            <w:rStyle w:val="Hypertextovodkaz"/>
            <w:noProof/>
          </w:rPr>
          <w:t>Tabulka 69: KS – vyřizování insolvenčních věcí na skutečný úvazek dle soudů</w:t>
        </w:r>
        <w:r>
          <w:rPr>
            <w:noProof/>
            <w:webHidden/>
          </w:rPr>
          <w:tab/>
        </w:r>
        <w:r>
          <w:rPr>
            <w:noProof/>
            <w:webHidden/>
          </w:rPr>
          <w:fldChar w:fldCharType="begin"/>
        </w:r>
        <w:r>
          <w:rPr>
            <w:noProof/>
            <w:webHidden/>
          </w:rPr>
          <w:instrText xml:space="preserve"> PAGEREF _Toc109802154 \h </w:instrText>
        </w:r>
        <w:r>
          <w:rPr>
            <w:noProof/>
            <w:webHidden/>
          </w:rPr>
        </w:r>
        <w:r>
          <w:rPr>
            <w:noProof/>
            <w:webHidden/>
          </w:rPr>
          <w:fldChar w:fldCharType="separate"/>
        </w:r>
        <w:r>
          <w:rPr>
            <w:noProof/>
            <w:webHidden/>
          </w:rPr>
          <w:t>140</w:t>
        </w:r>
        <w:r>
          <w:rPr>
            <w:noProof/>
            <w:webHidden/>
          </w:rPr>
          <w:fldChar w:fldCharType="end"/>
        </w:r>
      </w:hyperlink>
    </w:p>
    <w:p w14:paraId="21979F57" w14:textId="734E1852"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5" w:history="1">
        <w:r w:rsidRPr="00C03B62">
          <w:rPr>
            <w:rStyle w:val="Hypertextovodkaz"/>
            <w:noProof/>
          </w:rPr>
          <w:t>Tabulka 70: KS – podíl jednotlivých způsobů řešení úpadku v %</w:t>
        </w:r>
        <w:r>
          <w:rPr>
            <w:noProof/>
            <w:webHidden/>
          </w:rPr>
          <w:tab/>
        </w:r>
        <w:r>
          <w:rPr>
            <w:noProof/>
            <w:webHidden/>
          </w:rPr>
          <w:fldChar w:fldCharType="begin"/>
        </w:r>
        <w:r>
          <w:rPr>
            <w:noProof/>
            <w:webHidden/>
          </w:rPr>
          <w:instrText xml:space="preserve"> PAGEREF _Toc109802155 \h </w:instrText>
        </w:r>
        <w:r>
          <w:rPr>
            <w:noProof/>
            <w:webHidden/>
          </w:rPr>
        </w:r>
        <w:r>
          <w:rPr>
            <w:noProof/>
            <w:webHidden/>
          </w:rPr>
          <w:fldChar w:fldCharType="separate"/>
        </w:r>
        <w:r>
          <w:rPr>
            <w:noProof/>
            <w:webHidden/>
          </w:rPr>
          <w:t>141</w:t>
        </w:r>
        <w:r>
          <w:rPr>
            <w:noProof/>
            <w:webHidden/>
          </w:rPr>
          <w:fldChar w:fldCharType="end"/>
        </w:r>
      </w:hyperlink>
    </w:p>
    <w:p w14:paraId="50C8912A" w14:textId="16F10CA1"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6" w:history="1">
        <w:r w:rsidRPr="00C03B62">
          <w:rPr>
            <w:rStyle w:val="Hypertextovodkaz"/>
            <w:noProof/>
          </w:rPr>
          <w:t>Tabulka 71: KS – délky incidenčních sporů dle soudů</w:t>
        </w:r>
        <w:r>
          <w:rPr>
            <w:noProof/>
            <w:webHidden/>
          </w:rPr>
          <w:tab/>
        </w:r>
        <w:r>
          <w:rPr>
            <w:noProof/>
            <w:webHidden/>
          </w:rPr>
          <w:fldChar w:fldCharType="begin"/>
        </w:r>
        <w:r>
          <w:rPr>
            <w:noProof/>
            <w:webHidden/>
          </w:rPr>
          <w:instrText xml:space="preserve"> PAGEREF _Toc109802156 \h </w:instrText>
        </w:r>
        <w:r>
          <w:rPr>
            <w:noProof/>
            <w:webHidden/>
          </w:rPr>
        </w:r>
        <w:r>
          <w:rPr>
            <w:noProof/>
            <w:webHidden/>
          </w:rPr>
          <w:fldChar w:fldCharType="separate"/>
        </w:r>
        <w:r>
          <w:rPr>
            <w:noProof/>
            <w:webHidden/>
          </w:rPr>
          <w:t>143</w:t>
        </w:r>
        <w:r>
          <w:rPr>
            <w:noProof/>
            <w:webHidden/>
          </w:rPr>
          <w:fldChar w:fldCharType="end"/>
        </w:r>
      </w:hyperlink>
    </w:p>
    <w:p w14:paraId="3975D9D1" w14:textId="7C025AF5"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7" w:history="1">
        <w:r w:rsidRPr="00C03B62">
          <w:rPr>
            <w:rStyle w:val="Hypertextovodkaz"/>
            <w:noProof/>
          </w:rPr>
          <w:t>Tabulka 72: KS – vyřizování incidenčních sporů dle soudů</w:t>
        </w:r>
        <w:r>
          <w:rPr>
            <w:noProof/>
            <w:webHidden/>
          </w:rPr>
          <w:tab/>
        </w:r>
        <w:r>
          <w:rPr>
            <w:noProof/>
            <w:webHidden/>
          </w:rPr>
          <w:fldChar w:fldCharType="begin"/>
        </w:r>
        <w:r>
          <w:rPr>
            <w:noProof/>
            <w:webHidden/>
          </w:rPr>
          <w:instrText xml:space="preserve"> PAGEREF _Toc109802157 \h </w:instrText>
        </w:r>
        <w:r>
          <w:rPr>
            <w:noProof/>
            <w:webHidden/>
          </w:rPr>
        </w:r>
        <w:r>
          <w:rPr>
            <w:noProof/>
            <w:webHidden/>
          </w:rPr>
          <w:fldChar w:fldCharType="separate"/>
        </w:r>
        <w:r>
          <w:rPr>
            <w:noProof/>
            <w:webHidden/>
          </w:rPr>
          <w:t>145</w:t>
        </w:r>
        <w:r>
          <w:rPr>
            <w:noProof/>
            <w:webHidden/>
          </w:rPr>
          <w:fldChar w:fldCharType="end"/>
        </w:r>
      </w:hyperlink>
    </w:p>
    <w:p w14:paraId="7931ED6E" w14:textId="7B777B3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8" w:history="1">
        <w:r w:rsidRPr="00C03B62">
          <w:rPr>
            <w:rStyle w:val="Hypertextovodkaz"/>
            <w:noProof/>
          </w:rPr>
          <w:t>Tabulka 73: KS – vyřizování incidenčních sporů na skutečný úvazek dle soudů</w:t>
        </w:r>
        <w:r>
          <w:rPr>
            <w:noProof/>
            <w:webHidden/>
          </w:rPr>
          <w:tab/>
        </w:r>
        <w:r>
          <w:rPr>
            <w:noProof/>
            <w:webHidden/>
          </w:rPr>
          <w:fldChar w:fldCharType="begin"/>
        </w:r>
        <w:r>
          <w:rPr>
            <w:noProof/>
            <w:webHidden/>
          </w:rPr>
          <w:instrText xml:space="preserve"> PAGEREF _Toc109802158 \h </w:instrText>
        </w:r>
        <w:r>
          <w:rPr>
            <w:noProof/>
            <w:webHidden/>
          </w:rPr>
        </w:r>
        <w:r>
          <w:rPr>
            <w:noProof/>
            <w:webHidden/>
          </w:rPr>
          <w:fldChar w:fldCharType="separate"/>
        </w:r>
        <w:r>
          <w:rPr>
            <w:noProof/>
            <w:webHidden/>
          </w:rPr>
          <w:t>146</w:t>
        </w:r>
        <w:r>
          <w:rPr>
            <w:noProof/>
            <w:webHidden/>
          </w:rPr>
          <w:fldChar w:fldCharType="end"/>
        </w:r>
      </w:hyperlink>
    </w:p>
    <w:p w14:paraId="0B6E923F" w14:textId="3D27883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59" w:history="1">
        <w:r w:rsidRPr="00C03B62">
          <w:rPr>
            <w:rStyle w:val="Hypertextovodkaz"/>
            <w:noProof/>
          </w:rPr>
          <w:t>Tabulka 74: KS – DT incidenčních sporů dle soudů</w:t>
        </w:r>
        <w:r>
          <w:rPr>
            <w:noProof/>
            <w:webHidden/>
          </w:rPr>
          <w:tab/>
        </w:r>
        <w:r>
          <w:rPr>
            <w:noProof/>
            <w:webHidden/>
          </w:rPr>
          <w:fldChar w:fldCharType="begin"/>
        </w:r>
        <w:r>
          <w:rPr>
            <w:noProof/>
            <w:webHidden/>
          </w:rPr>
          <w:instrText xml:space="preserve"> PAGEREF _Toc109802159 \h </w:instrText>
        </w:r>
        <w:r>
          <w:rPr>
            <w:noProof/>
            <w:webHidden/>
          </w:rPr>
        </w:r>
        <w:r>
          <w:rPr>
            <w:noProof/>
            <w:webHidden/>
          </w:rPr>
          <w:fldChar w:fldCharType="separate"/>
        </w:r>
        <w:r>
          <w:rPr>
            <w:noProof/>
            <w:webHidden/>
          </w:rPr>
          <w:t>147</w:t>
        </w:r>
        <w:r>
          <w:rPr>
            <w:noProof/>
            <w:webHidden/>
          </w:rPr>
          <w:fldChar w:fldCharType="end"/>
        </w:r>
      </w:hyperlink>
    </w:p>
    <w:p w14:paraId="2BED22FA" w14:textId="66A3130F"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60" w:history="1">
        <w:r w:rsidRPr="00C03B62">
          <w:rPr>
            <w:rStyle w:val="Hypertextovodkaz"/>
            <w:noProof/>
          </w:rPr>
          <w:t>Tabulka 75: VS – počet zaměstnanců ve výkonu dle soudů</w:t>
        </w:r>
        <w:r>
          <w:rPr>
            <w:noProof/>
            <w:webHidden/>
          </w:rPr>
          <w:tab/>
        </w:r>
        <w:r>
          <w:rPr>
            <w:noProof/>
            <w:webHidden/>
          </w:rPr>
          <w:fldChar w:fldCharType="begin"/>
        </w:r>
        <w:r>
          <w:rPr>
            <w:noProof/>
            <w:webHidden/>
          </w:rPr>
          <w:instrText xml:space="preserve"> PAGEREF _Toc109802160 \h </w:instrText>
        </w:r>
        <w:r>
          <w:rPr>
            <w:noProof/>
            <w:webHidden/>
          </w:rPr>
        </w:r>
        <w:r>
          <w:rPr>
            <w:noProof/>
            <w:webHidden/>
          </w:rPr>
          <w:fldChar w:fldCharType="separate"/>
        </w:r>
        <w:r>
          <w:rPr>
            <w:noProof/>
            <w:webHidden/>
          </w:rPr>
          <w:t>152</w:t>
        </w:r>
        <w:r>
          <w:rPr>
            <w:noProof/>
            <w:webHidden/>
          </w:rPr>
          <w:fldChar w:fldCharType="end"/>
        </w:r>
      </w:hyperlink>
    </w:p>
    <w:p w14:paraId="43638B1D" w14:textId="2BB52A36"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61" w:history="1">
        <w:r w:rsidRPr="00C03B62">
          <w:rPr>
            <w:rStyle w:val="Hypertextovodkaz"/>
            <w:noProof/>
          </w:rPr>
          <w:t>Tabulka 76: VS – vyřizování odvolacích civilních věcí na soudce</w:t>
        </w:r>
        <w:r>
          <w:rPr>
            <w:noProof/>
            <w:webHidden/>
          </w:rPr>
          <w:tab/>
        </w:r>
        <w:r>
          <w:rPr>
            <w:noProof/>
            <w:webHidden/>
          </w:rPr>
          <w:fldChar w:fldCharType="begin"/>
        </w:r>
        <w:r>
          <w:rPr>
            <w:noProof/>
            <w:webHidden/>
          </w:rPr>
          <w:instrText xml:space="preserve"> PAGEREF _Toc109802161 \h </w:instrText>
        </w:r>
        <w:r>
          <w:rPr>
            <w:noProof/>
            <w:webHidden/>
          </w:rPr>
        </w:r>
        <w:r>
          <w:rPr>
            <w:noProof/>
            <w:webHidden/>
          </w:rPr>
          <w:fldChar w:fldCharType="separate"/>
        </w:r>
        <w:r>
          <w:rPr>
            <w:noProof/>
            <w:webHidden/>
          </w:rPr>
          <w:t>156</w:t>
        </w:r>
        <w:r>
          <w:rPr>
            <w:noProof/>
            <w:webHidden/>
          </w:rPr>
          <w:fldChar w:fldCharType="end"/>
        </w:r>
      </w:hyperlink>
    </w:p>
    <w:p w14:paraId="5CDCBD83" w14:textId="7BFFB900"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62" w:history="1">
        <w:r w:rsidRPr="00C03B62">
          <w:rPr>
            <w:rStyle w:val="Hypertextovodkaz"/>
            <w:noProof/>
          </w:rPr>
          <w:t>Tabulka 77: VS – vyřizování odvolacích trestních věcí na soudce</w:t>
        </w:r>
        <w:r>
          <w:rPr>
            <w:noProof/>
            <w:webHidden/>
          </w:rPr>
          <w:tab/>
        </w:r>
        <w:r>
          <w:rPr>
            <w:noProof/>
            <w:webHidden/>
          </w:rPr>
          <w:fldChar w:fldCharType="begin"/>
        </w:r>
        <w:r>
          <w:rPr>
            <w:noProof/>
            <w:webHidden/>
          </w:rPr>
          <w:instrText xml:space="preserve"> PAGEREF _Toc109802162 \h </w:instrText>
        </w:r>
        <w:r>
          <w:rPr>
            <w:noProof/>
            <w:webHidden/>
          </w:rPr>
        </w:r>
        <w:r>
          <w:rPr>
            <w:noProof/>
            <w:webHidden/>
          </w:rPr>
          <w:fldChar w:fldCharType="separate"/>
        </w:r>
        <w:r>
          <w:rPr>
            <w:noProof/>
            <w:webHidden/>
          </w:rPr>
          <w:t>160</w:t>
        </w:r>
        <w:r>
          <w:rPr>
            <w:noProof/>
            <w:webHidden/>
          </w:rPr>
          <w:fldChar w:fldCharType="end"/>
        </w:r>
      </w:hyperlink>
    </w:p>
    <w:p w14:paraId="1B5F2C99" w14:textId="10A15B04"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63" w:history="1">
        <w:r w:rsidRPr="00C03B62">
          <w:rPr>
            <w:rStyle w:val="Hypertextovodkaz"/>
            <w:noProof/>
          </w:rPr>
          <w:t>Tabulka 78: NS – počet zaměstnanců ve výkonu</w:t>
        </w:r>
        <w:r>
          <w:rPr>
            <w:noProof/>
            <w:webHidden/>
          </w:rPr>
          <w:tab/>
        </w:r>
        <w:r>
          <w:rPr>
            <w:noProof/>
            <w:webHidden/>
          </w:rPr>
          <w:fldChar w:fldCharType="begin"/>
        </w:r>
        <w:r>
          <w:rPr>
            <w:noProof/>
            <w:webHidden/>
          </w:rPr>
          <w:instrText xml:space="preserve"> PAGEREF _Toc109802163 \h </w:instrText>
        </w:r>
        <w:r>
          <w:rPr>
            <w:noProof/>
            <w:webHidden/>
          </w:rPr>
        </w:r>
        <w:r>
          <w:rPr>
            <w:noProof/>
            <w:webHidden/>
          </w:rPr>
          <w:fldChar w:fldCharType="separate"/>
        </w:r>
        <w:r>
          <w:rPr>
            <w:noProof/>
            <w:webHidden/>
          </w:rPr>
          <w:t>172</w:t>
        </w:r>
        <w:r>
          <w:rPr>
            <w:noProof/>
            <w:webHidden/>
          </w:rPr>
          <w:fldChar w:fldCharType="end"/>
        </w:r>
      </w:hyperlink>
    </w:p>
    <w:p w14:paraId="2D3EB38A" w14:textId="3BCCD93B"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64" w:history="1">
        <w:r w:rsidRPr="00C03B62">
          <w:rPr>
            <w:rStyle w:val="Hypertextovodkaz"/>
            <w:noProof/>
          </w:rPr>
          <w:t>Tabulka 79: NSS – počet zaměstnanců ve výkonu</w:t>
        </w:r>
        <w:r>
          <w:rPr>
            <w:noProof/>
            <w:webHidden/>
          </w:rPr>
          <w:tab/>
        </w:r>
        <w:r>
          <w:rPr>
            <w:noProof/>
            <w:webHidden/>
          </w:rPr>
          <w:fldChar w:fldCharType="begin"/>
        </w:r>
        <w:r>
          <w:rPr>
            <w:noProof/>
            <w:webHidden/>
          </w:rPr>
          <w:instrText xml:space="preserve"> PAGEREF _Toc109802164 \h </w:instrText>
        </w:r>
        <w:r>
          <w:rPr>
            <w:noProof/>
            <w:webHidden/>
          </w:rPr>
        </w:r>
        <w:r>
          <w:rPr>
            <w:noProof/>
            <w:webHidden/>
          </w:rPr>
          <w:fldChar w:fldCharType="separate"/>
        </w:r>
        <w:r>
          <w:rPr>
            <w:noProof/>
            <w:webHidden/>
          </w:rPr>
          <w:t>180</w:t>
        </w:r>
        <w:r>
          <w:rPr>
            <w:noProof/>
            <w:webHidden/>
          </w:rPr>
          <w:fldChar w:fldCharType="end"/>
        </w:r>
      </w:hyperlink>
    </w:p>
    <w:p w14:paraId="597A7352" w14:textId="4E759639" w:rsidR="007F73C9" w:rsidRDefault="007F73C9">
      <w:pPr>
        <w:pStyle w:val="Seznamobrzk"/>
        <w:tabs>
          <w:tab w:val="right" w:leader="dot" w:pos="9060"/>
        </w:tabs>
        <w:rPr>
          <w:rFonts w:asciiTheme="minorHAnsi" w:eastAsiaTheme="minorEastAsia" w:hAnsiTheme="minorHAnsi" w:cstheme="minorBidi"/>
          <w:noProof/>
          <w:sz w:val="22"/>
          <w:lang w:eastAsia="cs-CZ"/>
        </w:rPr>
      </w:pPr>
      <w:hyperlink w:anchor="_Toc109802165" w:history="1">
        <w:r w:rsidRPr="00C03B62">
          <w:rPr>
            <w:rStyle w:val="Hypertextovodkaz"/>
            <w:noProof/>
          </w:rPr>
          <w:t>Tabulka 80: EU – Vnímaná nezávislost soudů a soudců ze strany veřejnosti</w:t>
        </w:r>
        <w:r>
          <w:rPr>
            <w:noProof/>
            <w:webHidden/>
          </w:rPr>
          <w:tab/>
        </w:r>
        <w:r>
          <w:rPr>
            <w:noProof/>
            <w:webHidden/>
          </w:rPr>
          <w:fldChar w:fldCharType="begin"/>
        </w:r>
        <w:r>
          <w:rPr>
            <w:noProof/>
            <w:webHidden/>
          </w:rPr>
          <w:instrText xml:space="preserve"> PAGEREF _Toc109802165 \h </w:instrText>
        </w:r>
        <w:r>
          <w:rPr>
            <w:noProof/>
            <w:webHidden/>
          </w:rPr>
        </w:r>
        <w:r>
          <w:rPr>
            <w:noProof/>
            <w:webHidden/>
          </w:rPr>
          <w:fldChar w:fldCharType="separate"/>
        </w:r>
        <w:r>
          <w:rPr>
            <w:noProof/>
            <w:webHidden/>
          </w:rPr>
          <w:t>189</w:t>
        </w:r>
        <w:r>
          <w:rPr>
            <w:noProof/>
            <w:webHidden/>
          </w:rPr>
          <w:fldChar w:fldCharType="end"/>
        </w:r>
      </w:hyperlink>
    </w:p>
    <w:p w14:paraId="72A43C92" w14:textId="49A707DA" w:rsidR="008430BD" w:rsidRPr="00A00187" w:rsidRDefault="008430BD" w:rsidP="008430BD">
      <w:pPr>
        <w:spacing w:line="240" w:lineRule="auto"/>
        <w:jc w:val="left"/>
      </w:pPr>
      <w:r w:rsidRPr="00A00187">
        <w:rPr>
          <w:b/>
          <w:bCs/>
          <w:noProof/>
        </w:rPr>
        <w:fldChar w:fldCharType="end"/>
      </w:r>
      <w:r w:rsidRPr="00A00187">
        <w:br w:type="page"/>
      </w:r>
    </w:p>
    <w:p w14:paraId="21B4A6A6" w14:textId="77777777" w:rsidR="008430BD" w:rsidRPr="00A00187" w:rsidRDefault="008430BD" w:rsidP="008430BD">
      <w:pPr>
        <w:pStyle w:val="Nadpis1"/>
      </w:pPr>
      <w:bookmarkStart w:id="1366" w:name="_Toc487791316"/>
      <w:bookmarkStart w:id="1367" w:name="_Toc106092834"/>
      <w:bookmarkStart w:id="1368" w:name="_Toc109801445"/>
      <w:r w:rsidRPr="00A00187">
        <w:lastRenderedPageBreak/>
        <w:t>Přílohy</w:t>
      </w:r>
      <w:bookmarkEnd w:id="1366"/>
      <w:bookmarkEnd w:id="1367"/>
      <w:bookmarkEnd w:id="1368"/>
    </w:p>
    <w:p w14:paraId="2A6A00A7" w14:textId="375239DF" w:rsidR="008430BD" w:rsidRPr="00A00187" w:rsidRDefault="008430BD" w:rsidP="008430BD">
      <w:pPr>
        <w:pStyle w:val="Nadpis2"/>
        <w:rPr>
          <w:color w:val="auto"/>
        </w:rPr>
      </w:pPr>
      <w:bookmarkStart w:id="1369" w:name="_Ref482901945"/>
      <w:bookmarkStart w:id="1370" w:name="_Toc487791317"/>
      <w:bookmarkStart w:id="1371" w:name="_Toc106092835"/>
      <w:bookmarkStart w:id="1372" w:name="_Toc109801446"/>
      <w:r w:rsidRPr="00A00187">
        <w:rPr>
          <w:color w:val="auto"/>
        </w:rPr>
        <w:t>Příloha</w:t>
      </w:r>
      <w:r w:rsidR="000C3B1E" w:rsidRPr="00A00187">
        <w:rPr>
          <w:color w:val="auto"/>
        </w:rPr>
        <w:t> </w:t>
      </w:r>
      <w:r w:rsidRPr="00A00187">
        <w:rPr>
          <w:color w:val="auto"/>
        </w:rPr>
        <w:t>A</w:t>
      </w:r>
      <w:r w:rsidR="000C3B1E" w:rsidRPr="00A00187">
        <w:rPr>
          <w:color w:val="auto"/>
        </w:rPr>
        <w:t xml:space="preserve"> </w:t>
      </w:r>
      <w:r w:rsidRPr="00A00187">
        <w:rPr>
          <w:color w:val="auto"/>
        </w:rPr>
        <w:t>– seznam použitých pojmů</w:t>
      </w:r>
      <w:bookmarkEnd w:id="1369"/>
      <w:bookmarkEnd w:id="1370"/>
      <w:bookmarkEnd w:id="1371"/>
      <w:bookmarkEnd w:id="1372"/>
    </w:p>
    <w:p w14:paraId="3FA7D20C" w14:textId="77777777" w:rsidR="008430BD" w:rsidRPr="00A00187" w:rsidRDefault="008430BD" w:rsidP="008430BD">
      <w:pPr>
        <w:pStyle w:val="Nadpis3"/>
        <w:ind w:left="0" w:firstLine="0"/>
        <w:rPr>
          <w:color w:val="auto"/>
        </w:rPr>
      </w:pPr>
      <w:bookmarkStart w:id="1373" w:name="_Toc487791318"/>
      <w:bookmarkStart w:id="1374" w:name="_Toc106092836"/>
      <w:bookmarkStart w:id="1375" w:name="_Toc109801447"/>
      <w:r w:rsidRPr="00A00187">
        <w:rPr>
          <w:color w:val="auto"/>
        </w:rPr>
        <w:t>Statistické pojmy a použité statistické ukazatele</w:t>
      </w:r>
      <w:bookmarkEnd w:id="1373"/>
      <w:bookmarkEnd w:id="1374"/>
      <w:bookmarkEnd w:id="1375"/>
    </w:p>
    <w:p w14:paraId="2431E5DC" w14:textId="77777777" w:rsidR="008430BD" w:rsidRPr="00A00187" w:rsidRDefault="008430BD" w:rsidP="008430BD">
      <w:pPr>
        <w:pStyle w:val="Odstavecseseznamem"/>
        <w:numPr>
          <w:ilvl w:val="0"/>
          <w:numId w:val="4"/>
        </w:numPr>
      </w:pPr>
      <w:r w:rsidRPr="00A00187">
        <w:rPr>
          <w:b/>
        </w:rPr>
        <w:t xml:space="preserve">Časová řada </w:t>
      </w:r>
      <w:r w:rsidRPr="00A00187">
        <w:t>– umožňuje sledovat vývoj daného ukazatele (např. průměrné délky řízení) v čase. Periodicita řad je v této zprávě roční, porovnáváme tedy mezi sebou jednotlivé roky. Řady jsou buď intervalové (např. počet vyřízených věcí za rok), nebo okamžikové (např. počet nevyřízených věcí k 31. 12. daného roku). Časové řady jsou vždy znázorněny v grafické podobě.</w:t>
      </w:r>
    </w:p>
    <w:p w14:paraId="41CB10A3" w14:textId="51EB3E39" w:rsidR="00DB2AA8" w:rsidRPr="00A00187" w:rsidRDefault="00DB2AA8" w:rsidP="00DB2AA8">
      <w:pPr>
        <w:pStyle w:val="Odstavecseseznamem"/>
        <w:numPr>
          <w:ilvl w:val="0"/>
          <w:numId w:val="4"/>
        </w:numPr>
        <w:rPr>
          <w:bCs/>
        </w:rPr>
      </w:pPr>
      <w:r w:rsidRPr="00A00187">
        <w:rPr>
          <w:b/>
        </w:rPr>
        <w:t xml:space="preserve">Četnost </w:t>
      </w:r>
      <w:r w:rsidRPr="00A00187">
        <w:rPr>
          <w:bCs/>
        </w:rPr>
        <w:t xml:space="preserve">– </w:t>
      </w:r>
      <w:r w:rsidR="00A8458E" w:rsidRPr="00A00187">
        <w:rPr>
          <w:bCs/>
        </w:rPr>
        <w:t xml:space="preserve">neboli počet hodnot, </w:t>
      </w:r>
      <w:r w:rsidRPr="00A00187">
        <w:rPr>
          <w:bCs/>
        </w:rPr>
        <w:t>může být absolutní</w:t>
      </w:r>
      <w:r w:rsidR="003426BF">
        <w:rPr>
          <w:bCs/>
        </w:rPr>
        <w:t xml:space="preserve"> nebo</w:t>
      </w:r>
      <w:r w:rsidR="003426BF" w:rsidRPr="00A00187">
        <w:rPr>
          <w:bCs/>
        </w:rPr>
        <w:t xml:space="preserve"> </w:t>
      </w:r>
      <w:r w:rsidRPr="00A00187">
        <w:rPr>
          <w:bCs/>
        </w:rPr>
        <w:t>relativní:</w:t>
      </w:r>
    </w:p>
    <w:p w14:paraId="264A0D8A" w14:textId="22C45A5E" w:rsidR="00DB2AA8" w:rsidRPr="00A00187" w:rsidRDefault="00DB2AA8" w:rsidP="00DB2AA8">
      <w:pPr>
        <w:pStyle w:val="Odstavecseseznamem"/>
        <w:numPr>
          <w:ilvl w:val="1"/>
          <w:numId w:val="4"/>
        </w:numPr>
        <w:rPr>
          <w:bCs/>
        </w:rPr>
      </w:pPr>
      <w:r w:rsidRPr="00A00187">
        <w:rPr>
          <w:b/>
        </w:rPr>
        <w:t>absolutní</w:t>
      </w:r>
      <w:r w:rsidRPr="00A00187">
        <w:rPr>
          <w:bCs/>
        </w:rPr>
        <w:t xml:space="preserve">: vyjadřuje, kolikrát se daná hodnota </w:t>
      </w:r>
      <w:r w:rsidR="00755920" w:rsidRPr="00A00187">
        <w:rPr>
          <w:bCs/>
        </w:rPr>
        <w:t>v</w:t>
      </w:r>
      <w:r w:rsidR="00755920">
        <w:rPr>
          <w:bCs/>
        </w:rPr>
        <w:t> </w:t>
      </w:r>
      <w:r w:rsidRPr="00A00187">
        <w:rPr>
          <w:bCs/>
        </w:rPr>
        <w:t xml:space="preserve">souboru </w:t>
      </w:r>
      <w:r w:rsidR="000A04FF" w:rsidRPr="00A00187">
        <w:rPr>
          <w:bCs/>
        </w:rPr>
        <w:t xml:space="preserve">/ ukazateli </w:t>
      </w:r>
      <w:r w:rsidRPr="00A00187">
        <w:rPr>
          <w:bCs/>
        </w:rPr>
        <w:t>vyskytuje; jejich součet dává celkový počet hodnot v</w:t>
      </w:r>
      <w:r w:rsidR="00A8458E" w:rsidRPr="00A00187">
        <w:rPr>
          <w:bCs/>
        </w:rPr>
        <w:t> ukazateli</w:t>
      </w:r>
      <w:r w:rsidRPr="00A00187">
        <w:rPr>
          <w:bCs/>
        </w:rPr>
        <w:t>.</w:t>
      </w:r>
    </w:p>
    <w:p w14:paraId="01F63630" w14:textId="32F9821E" w:rsidR="00DB2AA8" w:rsidRPr="00A00187" w:rsidRDefault="00DB2AA8" w:rsidP="00DB2AA8">
      <w:pPr>
        <w:pStyle w:val="Odstavecseseznamem"/>
        <w:numPr>
          <w:ilvl w:val="1"/>
          <w:numId w:val="4"/>
        </w:numPr>
        <w:rPr>
          <w:bCs/>
        </w:rPr>
      </w:pPr>
      <w:r w:rsidRPr="00A00187">
        <w:rPr>
          <w:b/>
        </w:rPr>
        <w:t>relativní</w:t>
      </w:r>
      <w:r w:rsidRPr="00A00187">
        <w:rPr>
          <w:bCs/>
        </w:rPr>
        <w:t xml:space="preserve">: vyjadřuje podíl dané hodnoty na </w:t>
      </w:r>
      <w:r w:rsidR="00602009" w:rsidRPr="00A00187">
        <w:rPr>
          <w:bCs/>
        </w:rPr>
        <w:t>celkovém počtu hodnot v ukazateli</w:t>
      </w:r>
      <w:r w:rsidRPr="00A00187">
        <w:rPr>
          <w:bCs/>
        </w:rPr>
        <w:t>; po vynásobení stem se vyjádří v</w:t>
      </w:r>
      <w:r w:rsidR="00CB570A">
        <w:rPr>
          <w:bCs/>
        </w:rPr>
        <w:t> %</w:t>
      </w:r>
      <w:r w:rsidRPr="00A00187">
        <w:rPr>
          <w:bCs/>
        </w:rPr>
        <w:t>.</w:t>
      </w:r>
      <w:r w:rsidR="007D0235" w:rsidRPr="00A00187">
        <w:rPr>
          <w:bCs/>
        </w:rPr>
        <w:t xml:space="preserve"> </w:t>
      </w:r>
      <w:r w:rsidR="007D0235" w:rsidRPr="00A00187">
        <w:t>Máme-li například soubor, kde jsou hodnoty {1,1,2,2,3,3,3,4} potom relativní četnost hodnoty 3 v tomto souboru</w:t>
      </w:r>
      <w:r w:rsidR="00A8458E" w:rsidRPr="00A00187">
        <w:t xml:space="preserve"> je</w:t>
      </w:r>
      <w:r w:rsidR="007D0235" w:rsidRPr="00A00187">
        <w:t xml:space="preserve"> 3 : 8 </w:t>
      </w:r>
      <w:r w:rsidR="00755920">
        <w:t xml:space="preserve">× </w:t>
      </w:r>
      <w:r w:rsidR="007D0235" w:rsidRPr="00A00187">
        <w:t>100 = 37,5</w:t>
      </w:r>
      <w:r w:rsidR="00CB570A">
        <w:t> %</w:t>
      </w:r>
      <w:r w:rsidR="00A05289" w:rsidRPr="00A00187">
        <w:t xml:space="preserve"> - tuto četnost hojně využíváme v grafech distribuce délek řízení</w:t>
      </w:r>
      <w:r w:rsidR="000777CE">
        <w:t>.</w:t>
      </w:r>
    </w:p>
    <w:p w14:paraId="294BF80C" w14:textId="315D37D6" w:rsidR="008430BD" w:rsidRPr="00A00187" w:rsidRDefault="008430BD" w:rsidP="008430BD">
      <w:pPr>
        <w:pStyle w:val="Odstavecseseznamem"/>
        <w:numPr>
          <w:ilvl w:val="0"/>
          <w:numId w:val="4"/>
        </w:numPr>
        <w:rPr>
          <w:b/>
        </w:rPr>
      </w:pPr>
      <w:r w:rsidRPr="00A00187">
        <w:rPr>
          <w:b/>
        </w:rPr>
        <w:t xml:space="preserve">Délka řízení </w:t>
      </w:r>
      <w:r w:rsidRPr="00A00187">
        <w:t xml:space="preserve">– v textu je pojem často používán v množném čísle „délky řízení“. Tím jsou obvykle myšleny sledované ukazatele (průměrná délka řízení, mediánová délka řízení a devadesátý percentil). U každé podkapitoly je uvedeno, o jakou délku řízení se jedná (ode dne nápadu do dne vyřízení soudem </w:t>
      </w:r>
      <w:r w:rsidR="000C3B1E" w:rsidRPr="00A00187">
        <w:t>I. stupně</w:t>
      </w:r>
      <w:r w:rsidRPr="00A00187">
        <w:t xml:space="preserve"> apod.). Délka řízení je vždy</w:t>
      </w:r>
      <w:r w:rsidRPr="00A00187" w:rsidDel="00312547">
        <w:t xml:space="preserve"> </w:t>
      </w:r>
      <w:r w:rsidRPr="00A00187">
        <w:t>udávána v kalendářních dnech. Vypočtena je ze statistických listů a je považována za jeden z ukazatelů výkonnosti a zatíženosti soudů.</w:t>
      </w:r>
    </w:p>
    <w:p w14:paraId="6277B701" w14:textId="662DAEFB" w:rsidR="008430BD" w:rsidRPr="00A00187" w:rsidRDefault="008430BD" w:rsidP="008430BD">
      <w:pPr>
        <w:pStyle w:val="Odstavecseseznamem"/>
        <w:numPr>
          <w:ilvl w:val="0"/>
          <w:numId w:val="4"/>
        </w:numPr>
      </w:pPr>
      <w:proofErr w:type="spellStart"/>
      <w:r w:rsidRPr="00A00187">
        <w:rPr>
          <w:b/>
        </w:rPr>
        <w:t>Disposition</w:t>
      </w:r>
      <w:proofErr w:type="spellEnd"/>
      <w:r w:rsidRPr="00A00187">
        <w:rPr>
          <w:b/>
        </w:rPr>
        <w:t xml:space="preserve"> </w:t>
      </w:r>
      <w:proofErr w:type="spellStart"/>
      <w:r w:rsidRPr="00A00187">
        <w:rPr>
          <w:b/>
        </w:rPr>
        <w:t>time</w:t>
      </w:r>
      <w:proofErr w:type="spellEnd"/>
      <w:r w:rsidRPr="00A00187">
        <w:rPr>
          <w:b/>
        </w:rPr>
        <w:t xml:space="preserve"> (DT) </w:t>
      </w:r>
      <w:r w:rsidRPr="00A00187">
        <w:t>– je vypočítán podle metodiky CEPEJ</w:t>
      </w:r>
      <w:r w:rsidRPr="00A00187">
        <w:rPr>
          <w:rStyle w:val="Znakapoznpodarou"/>
        </w:rPr>
        <w:footnoteReference w:id="22"/>
      </w:r>
      <w:r w:rsidRPr="00A00187">
        <w:t xml:space="preserve"> jako (počet nevyřízených věcí na konci daného období) / (počet vyřízených věcí v daném období) ×</w:t>
      </w:r>
      <w:r w:rsidR="000C3B1E" w:rsidRPr="00A00187">
        <w:t xml:space="preserve"> </w:t>
      </w:r>
      <w:r w:rsidRPr="00A00187">
        <w:t xml:space="preserve">365. Tento údaj v podstatě ukazuje, za kolik dní by při stejném tempu soud </w:t>
      </w:r>
      <w:proofErr w:type="spellStart"/>
      <w:r w:rsidRPr="00A00187">
        <w:t>dovyřídil</w:t>
      </w:r>
      <w:proofErr w:type="spellEnd"/>
      <w:r w:rsidRPr="00A00187">
        <w:t xml:space="preserve"> všechny věci, které u něj dnes </w:t>
      </w:r>
      <w:r w:rsidR="0052609E" w:rsidRPr="00A00187">
        <w:t>„</w:t>
      </w:r>
      <w:r w:rsidRPr="00A00187">
        <w:t>leží</w:t>
      </w:r>
      <w:r w:rsidR="0052609E" w:rsidRPr="00A00187">
        <w:t>“</w:t>
      </w:r>
      <w:r w:rsidRPr="00A00187">
        <w:t xml:space="preserve">, kdyby k němu již žádné další nepřicházely. Nejedná se o délku řízení, přestože by se to mohlo podle názvu nabízet. Další informace k tomuto ukazateli obsahuje podkapitola 2.2.4. DT je považován za jeden z ukazatelů výkonnosti a zatíženosti soudů. Příklad interpretace: Pokud by soud vykázal za daný rok pouze </w:t>
      </w:r>
      <w:r w:rsidR="000C3B1E" w:rsidRPr="00A00187">
        <w:t>1 </w:t>
      </w:r>
      <w:r w:rsidRPr="00A00187">
        <w:t xml:space="preserve">nevyřízenou věc </w:t>
      </w:r>
      <w:r w:rsidR="000C3B1E" w:rsidRPr="00A00187">
        <w:t>a </w:t>
      </w:r>
      <w:r w:rsidRPr="00A00187">
        <w:t>100</w:t>
      </w:r>
      <w:r w:rsidR="000C3B1E" w:rsidRPr="00A00187">
        <w:t> </w:t>
      </w:r>
      <w:r w:rsidRPr="00A00187">
        <w:t xml:space="preserve">věcí vyřízených, potom ukazatel </w:t>
      </w:r>
      <w:proofErr w:type="spellStart"/>
      <w:r w:rsidRPr="00A00187">
        <w:t>disposition</w:t>
      </w:r>
      <w:proofErr w:type="spellEnd"/>
      <w:r w:rsidRPr="00A00187">
        <w:t xml:space="preserve"> </w:t>
      </w:r>
      <w:proofErr w:type="spellStart"/>
      <w:r w:rsidRPr="00A00187">
        <w:t>time</w:t>
      </w:r>
      <w:proofErr w:type="spellEnd"/>
      <w:r w:rsidRPr="00A00187">
        <w:t xml:space="preserve"> má hodnotu 3,65</w:t>
      </w:r>
      <w:r w:rsidR="000C3B1E" w:rsidRPr="00A00187">
        <w:t> </w:t>
      </w:r>
      <w:r w:rsidRPr="00A00187">
        <w:t>dní. Pokud by soud vykázal 100</w:t>
      </w:r>
      <w:r w:rsidR="000C3B1E" w:rsidRPr="00A00187">
        <w:t> </w:t>
      </w:r>
      <w:r w:rsidRPr="00A00187">
        <w:t xml:space="preserve">nevyřízených věci </w:t>
      </w:r>
      <w:r w:rsidR="00466E7F" w:rsidRPr="00A00187">
        <w:t>věcí</w:t>
      </w:r>
      <w:r w:rsidRPr="00A00187">
        <w:t xml:space="preserve"> na 100</w:t>
      </w:r>
      <w:r w:rsidR="000C3B1E" w:rsidRPr="00A00187">
        <w:t> </w:t>
      </w:r>
      <w:r w:rsidRPr="00A00187">
        <w:t xml:space="preserve">vyřízených věcí </w:t>
      </w:r>
      <w:r w:rsidR="000C3B1E" w:rsidRPr="00A00187">
        <w:t>v </w:t>
      </w:r>
      <w:r w:rsidRPr="00A00187">
        <w:t xml:space="preserve">daném roce, potom by ukazatel </w:t>
      </w:r>
      <w:proofErr w:type="spellStart"/>
      <w:r w:rsidRPr="00A00187">
        <w:t>disposition</w:t>
      </w:r>
      <w:proofErr w:type="spellEnd"/>
      <w:r w:rsidRPr="00A00187">
        <w:t xml:space="preserve"> </w:t>
      </w:r>
      <w:proofErr w:type="spellStart"/>
      <w:r w:rsidRPr="00A00187">
        <w:t>time</w:t>
      </w:r>
      <w:proofErr w:type="spellEnd"/>
      <w:r w:rsidRPr="00A00187">
        <w:t xml:space="preserve"> měl hodnotu 365</w:t>
      </w:r>
      <w:r w:rsidR="000C3B1E" w:rsidRPr="00A00187">
        <w:t> </w:t>
      </w:r>
      <w:r w:rsidRPr="00A00187">
        <w:t>dní</w:t>
      </w:r>
      <w:r w:rsidR="00FC53D6" w:rsidRPr="00A00187">
        <w:t xml:space="preserve">. </w:t>
      </w:r>
      <w:r w:rsidR="00BA1658" w:rsidRPr="00A00187">
        <w:t>V</w:t>
      </w:r>
      <w:r w:rsidR="00F5698F" w:rsidRPr="00A00187">
        <w:t xml:space="preserve">šechny agendy </w:t>
      </w:r>
      <w:r w:rsidR="000C3B1E" w:rsidRPr="00A00187">
        <w:t>a </w:t>
      </w:r>
      <w:r w:rsidR="00F5698F" w:rsidRPr="00A00187">
        <w:t>všechny soudy s</w:t>
      </w:r>
      <w:r w:rsidR="00BA1658" w:rsidRPr="00A00187">
        <w:t> DT &gt; </w:t>
      </w:r>
      <w:r w:rsidR="00F5698F" w:rsidRPr="00A00187">
        <w:t xml:space="preserve">365 mají </w:t>
      </w:r>
      <w:r w:rsidR="00BA1658" w:rsidRPr="00A00187">
        <w:t xml:space="preserve">tedy </w:t>
      </w:r>
      <w:r w:rsidR="00F5698F" w:rsidRPr="00A00187">
        <w:t xml:space="preserve">více nevyřízených věcí než vyřízených, </w:t>
      </w:r>
      <w:r w:rsidR="000C3B1E" w:rsidRPr="00A00187">
        <w:t>a </w:t>
      </w:r>
      <w:r w:rsidR="00BA1658" w:rsidRPr="00A00187">
        <w:t xml:space="preserve">pokud </w:t>
      </w:r>
      <w:r w:rsidR="005176A0" w:rsidRPr="00A00187">
        <w:t xml:space="preserve">by </w:t>
      </w:r>
      <w:r w:rsidR="00BA1658" w:rsidRPr="00A00187">
        <w:t xml:space="preserve">nepřicházel nový nápad nebo obživa, </w:t>
      </w:r>
      <w:r w:rsidR="00F5698F" w:rsidRPr="00A00187">
        <w:t>jejich vyřízení by trvalo více než jeden rok</w:t>
      </w:r>
      <w:r w:rsidR="005176A0" w:rsidRPr="00A00187">
        <w:t>.</w:t>
      </w:r>
    </w:p>
    <w:p w14:paraId="25B4889E" w14:textId="77777777" w:rsidR="008430BD" w:rsidRPr="00A00187" w:rsidRDefault="008430BD" w:rsidP="008430BD">
      <w:pPr>
        <w:pStyle w:val="Odstavecseseznamem"/>
        <w:numPr>
          <w:ilvl w:val="0"/>
          <w:numId w:val="4"/>
        </w:numPr>
        <w:rPr>
          <w:b/>
        </w:rPr>
      </w:pPr>
      <w:r w:rsidRPr="00A00187">
        <w:rPr>
          <w:b/>
        </w:rPr>
        <w:t xml:space="preserve">Evidenční počet soudců </w:t>
      </w:r>
      <w:r w:rsidRPr="00A00187">
        <w:t>– zahrnuje všechny soudce. Do čísla jsou tedy započteni i dlouhodobě nepřítomní soudci (např. na mateřské nebo rodičovské dovolené, dlouhodobě nemocní, na stáži). Uváděné počty jsou vždy k 1. 1. sledovaného roku.</w:t>
      </w:r>
    </w:p>
    <w:p w14:paraId="19E9D46A" w14:textId="17AAA9F5" w:rsidR="008430BD" w:rsidRPr="00A00187" w:rsidRDefault="008430BD" w:rsidP="008430BD">
      <w:pPr>
        <w:pStyle w:val="Odstavecseseznamem"/>
        <w:numPr>
          <w:ilvl w:val="0"/>
          <w:numId w:val="4"/>
        </w:numPr>
      </w:pPr>
      <w:r w:rsidRPr="00A00187">
        <w:rPr>
          <w:b/>
        </w:rPr>
        <w:t xml:space="preserve">Histogram </w:t>
      </w:r>
      <w:r w:rsidRPr="00A00187">
        <w:t>– používá se pro znázornění rozdělení zkoumaných dat za využití sloupcového grafu. V této zprávě je na ose </w:t>
      </w:r>
      <w:r w:rsidRPr="00A00187">
        <w:rPr>
          <w:i/>
        </w:rPr>
        <w:t>x</w:t>
      </w:r>
      <w:r w:rsidRPr="00A00187">
        <w:t xml:space="preserve"> zkoumaný ukazatel, na ose </w:t>
      </w:r>
      <w:r w:rsidRPr="00A00187">
        <w:rPr>
          <w:i/>
        </w:rPr>
        <w:t>y</w:t>
      </w:r>
      <w:r w:rsidRPr="00A00187">
        <w:t xml:space="preserve"> je relativní četnost v</w:t>
      </w:r>
      <w:r w:rsidR="00CB570A">
        <w:t> %</w:t>
      </w:r>
      <w:r w:rsidRPr="00A00187">
        <w:t>. Výška sloupců tedy vyjadřuje relativní četnost. Jedná se o počet pozorování, která se nacházejí v daném intervalu / celkový počet pozorování v datovém souboru ×</w:t>
      </w:r>
      <w:r w:rsidR="000C3B1E" w:rsidRPr="00A00187">
        <w:t xml:space="preserve"> </w:t>
      </w:r>
      <w:r w:rsidRPr="00A00187">
        <w:t>100.</w:t>
      </w:r>
    </w:p>
    <w:p w14:paraId="3A86B722" w14:textId="77777777" w:rsidR="008430BD" w:rsidRPr="00A00187" w:rsidRDefault="008430BD" w:rsidP="008430BD">
      <w:pPr>
        <w:pStyle w:val="Odstavecseseznamem"/>
        <w:numPr>
          <w:ilvl w:val="0"/>
          <w:numId w:val="4"/>
        </w:numPr>
      </w:pPr>
      <w:r w:rsidRPr="00A00187">
        <w:rPr>
          <w:b/>
        </w:rPr>
        <w:lastRenderedPageBreak/>
        <w:t xml:space="preserve">Kartogram </w:t>
      </w:r>
      <w:r w:rsidRPr="00A00187">
        <w:t>– v této zprávě se jedná o mapu, která znázorňuje výši zkoumaného ukazatele v 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 k dezinterpretaci. Graf se vždy skládá ze dvou kartogramů – větší znázorňuje celou ČR, Praha je pak znázorněna na menším kartogramu v pravém horním rohu.</w:t>
      </w:r>
    </w:p>
    <w:p w14:paraId="5D2C57E9" w14:textId="71FF4E7C" w:rsidR="008430BD" w:rsidRPr="00A00187" w:rsidRDefault="008430BD" w:rsidP="008430BD">
      <w:pPr>
        <w:pStyle w:val="Odstavecseseznamem"/>
        <w:numPr>
          <w:ilvl w:val="0"/>
          <w:numId w:val="4"/>
        </w:numPr>
        <w:rPr>
          <w:rStyle w:val="OdstavecASRChar"/>
        </w:rPr>
      </w:pPr>
      <w:r w:rsidRPr="00A00187">
        <w:rPr>
          <w:b/>
        </w:rPr>
        <w:t xml:space="preserve">Krabicový graf </w:t>
      </w:r>
      <w:r w:rsidRPr="00A00187">
        <w:t xml:space="preserve">– </w:t>
      </w:r>
      <w:r w:rsidRPr="00A00187">
        <w:rPr>
          <w:rStyle w:val="OdstavecASRChar"/>
        </w:rPr>
        <w:t>nebo</w:t>
      </w:r>
      <w:r w:rsidR="00245596" w:rsidRPr="00A00187">
        <w:rPr>
          <w:rStyle w:val="OdstavecASRChar"/>
        </w:rPr>
        <w:t>li</w:t>
      </w:r>
      <w:r w:rsidRPr="00A00187">
        <w:rPr>
          <w:rStyle w:val="OdstavecASRChar"/>
        </w:rPr>
        <w:t xml:space="preserve"> krabicový diagram, z anglického </w:t>
      </w:r>
      <w:r w:rsidRPr="00A00187">
        <w:rPr>
          <w:rStyle w:val="OdstavecASRChar"/>
          <w:i/>
        </w:rPr>
        <w:t>box plot</w:t>
      </w:r>
      <w:r w:rsidRPr="00A00187">
        <w:rPr>
          <w:rStyle w:val="OdstavecASRChar"/>
        </w:rPr>
        <w:t xml:space="preserve">. U vybraných ukazatelů a agend je sestaven pro každý rok. Krabicové grafy jsou seřazeny za sebe do časové řady, aby bylo vidět, jak se s postupem času měnily, a jak se tedy měnila data, z nichž vychází. Na obrázku níže je zobrazen krabicový graf i s popisky jednotlivých částí. Pojmy medián a kvartil jsou vysvětleny v příslušných heslech tohoto seznamu. Přilehlé hodnoty se rovnají 1,5násobku hodnoty příslušného kvartilu. Odlehlé hodnoty (tzv. </w:t>
      </w:r>
      <w:proofErr w:type="spellStart"/>
      <w:r w:rsidRPr="00A00187">
        <w:rPr>
          <w:rStyle w:val="OdstavecASRChar"/>
          <w:i/>
        </w:rPr>
        <w:t>outliers</w:t>
      </w:r>
      <w:proofErr w:type="spellEnd"/>
      <w:r w:rsidRPr="00A00187">
        <w:rPr>
          <w:rStyle w:val="OdstavecASRChar"/>
        </w:rPr>
        <w:t xml:space="preserve">) jsou pak hodnoty </w:t>
      </w:r>
      <w:r w:rsidR="00245596" w:rsidRPr="00A00187">
        <w:rPr>
          <w:rStyle w:val="OdstavecASRChar"/>
        </w:rPr>
        <w:t>vyšší nebo nižší</w:t>
      </w:r>
      <w:r w:rsidRPr="00A00187">
        <w:rPr>
          <w:rStyle w:val="OdstavecASRChar"/>
        </w:rPr>
        <w:t>, než je přilehlá hodnota.</w:t>
      </w:r>
    </w:p>
    <w:p w14:paraId="09356734" w14:textId="77777777" w:rsidR="008430BD" w:rsidRPr="00A00187" w:rsidRDefault="008430BD" w:rsidP="008430BD">
      <w:pPr>
        <w:pStyle w:val="Odstavecseseznamem"/>
      </w:pPr>
      <w:r w:rsidRPr="00A00187">
        <w:rPr>
          <w:rStyle w:val="OdstavecASRChar"/>
          <w:noProof/>
          <w:lang w:eastAsia="cs-CZ"/>
        </w:rPr>
        <w:drawing>
          <wp:inline distT="0" distB="0" distL="0" distR="0" wp14:anchorId="541574C8" wp14:editId="562E0362">
            <wp:extent cx="4985385" cy="4126865"/>
            <wp:effectExtent l="0" t="0" r="5715" b="698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985385" cy="4126865"/>
                    </a:xfrm>
                    <a:prstGeom prst="rect">
                      <a:avLst/>
                    </a:prstGeom>
                    <a:noFill/>
                    <a:ln>
                      <a:noFill/>
                    </a:ln>
                  </pic:spPr>
                </pic:pic>
              </a:graphicData>
            </a:graphic>
          </wp:inline>
        </w:drawing>
      </w:r>
    </w:p>
    <w:p w14:paraId="60C4FC65" w14:textId="77777777" w:rsidR="008430BD" w:rsidRPr="00A00187" w:rsidRDefault="008430BD" w:rsidP="008430BD">
      <w:pPr>
        <w:pStyle w:val="Odstavecseseznamem"/>
      </w:pPr>
      <w:r w:rsidRPr="00A00187">
        <w:t>Příklad grafu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14:paraId="0013ABFA" w14:textId="77777777" w:rsidR="008430BD" w:rsidRPr="00A00187" w:rsidRDefault="008430BD" w:rsidP="008430BD">
      <w:pPr>
        <w:pStyle w:val="Odstavecseseznamem"/>
      </w:pPr>
      <w:r w:rsidRPr="00A00187">
        <w:t>Větší box, delší vousy nebo více odlehlých hodnot</w:t>
      </w:r>
      <w:r w:rsidR="00BA1658" w:rsidRPr="00A00187">
        <w:t>,</w:t>
      </w:r>
      <w:r w:rsidRPr="00A00187">
        <w:t xml:space="preserve"> značí větší variabilitu v datech, a tedy i větší rozdíly mezi soudy. Vždy je však potřeba věnovat pozornost měřítku osy </w:t>
      </w:r>
      <w:r w:rsidRPr="00A00187">
        <w:rPr>
          <w:i/>
        </w:rPr>
        <w:t>y</w:t>
      </w:r>
      <w:r w:rsidRPr="00A00187">
        <w:t>.</w:t>
      </w:r>
    </w:p>
    <w:p w14:paraId="0DB93DE9" w14:textId="77777777" w:rsidR="008430BD" w:rsidRPr="00A00187" w:rsidRDefault="008430BD" w:rsidP="008430BD">
      <w:pPr>
        <w:pStyle w:val="Odstavecseseznamem"/>
      </w:pPr>
      <w:r w:rsidRPr="00A00187">
        <w:t>Výhodou krabicového grafu je, že poskytuje lepší a komplexnější přehled o rozdělení a míře variability v datech než pouze jeden sledovaný ukazatel, jako je například směrodatná odchylka. Přitom je ale stále vhodný pro sledování změn v čase.</w:t>
      </w:r>
    </w:p>
    <w:p w14:paraId="195163D3" w14:textId="7F598F2D" w:rsidR="008430BD" w:rsidRPr="00A00187" w:rsidRDefault="008430BD" w:rsidP="008430BD">
      <w:pPr>
        <w:pStyle w:val="Odstavecseseznamem"/>
        <w:numPr>
          <w:ilvl w:val="0"/>
          <w:numId w:val="4"/>
        </w:numPr>
      </w:pPr>
      <w:r w:rsidRPr="00A00187">
        <w:rPr>
          <w:b/>
        </w:rPr>
        <w:lastRenderedPageBreak/>
        <w:t xml:space="preserve">Kvartil </w:t>
      </w:r>
      <w:r w:rsidRPr="00A00187">
        <w:t>– tři kvartily rozdělí vzestupně setříděný soubor hodnot na čtyři stejně velké části, z nichž každá představuje právě jednu čtvrtinu. První kvartil (tzv. dolní) se rovná 25. percentilu, tedy 25</w:t>
      </w:r>
      <w:r w:rsidR="00CB570A">
        <w:t> %</w:t>
      </w:r>
      <w:r w:rsidRPr="00A00187">
        <w:t xml:space="preserve"> hodnot je </w:t>
      </w:r>
      <w:r w:rsidR="00245596" w:rsidRPr="00A00187">
        <w:t xml:space="preserve">nižších </w:t>
      </w:r>
      <w:r w:rsidRPr="00A00187">
        <w:t>a 75</w:t>
      </w:r>
      <w:r w:rsidR="00CB570A">
        <w:t> %</w:t>
      </w:r>
      <w:r w:rsidRPr="00A00187">
        <w:t xml:space="preserve"> je </w:t>
      </w:r>
      <w:r w:rsidR="00245596" w:rsidRPr="00A00187">
        <w:t>vyšších</w:t>
      </w:r>
      <w:r w:rsidRPr="00A00187">
        <w:t>, druhý kvartil (střední) je mediánem a třetí kvartil (horní) je roven 75. percentilu.</w:t>
      </w:r>
    </w:p>
    <w:p w14:paraId="626F4BB1" w14:textId="2045E6F9" w:rsidR="008430BD" w:rsidRPr="00A00187" w:rsidRDefault="008430BD" w:rsidP="008430BD">
      <w:pPr>
        <w:pStyle w:val="Odstavecseseznamem"/>
        <w:numPr>
          <w:ilvl w:val="0"/>
          <w:numId w:val="4"/>
        </w:numPr>
      </w:pPr>
      <w:r w:rsidRPr="00A00187">
        <w:rPr>
          <w:b/>
        </w:rPr>
        <w:t xml:space="preserve">Medián </w:t>
      </w:r>
      <w:r w:rsidRPr="00A00187">
        <w:t>– hodnota, která se nachází přesně uprostřed vzestupně setříděného souboru hodnot a dělí ho na dvě stejně velké části o stejném počtu hodnot. Platí, že nejméně 50</w:t>
      </w:r>
      <w:r w:rsidR="00CB570A">
        <w:t> %</w:t>
      </w:r>
      <w:r w:rsidRPr="00A00187">
        <w:t xml:space="preserve"> hodnot je </w:t>
      </w:r>
      <w:r w:rsidR="007474D8" w:rsidRPr="00A00187">
        <w:t xml:space="preserve">nižších </w:t>
      </w:r>
      <w:r w:rsidRPr="00A00187">
        <w:t>nebo rovno a nejméně 50</w:t>
      </w:r>
      <w:r w:rsidR="00CB570A">
        <w:t> %</w:t>
      </w:r>
      <w:r w:rsidRPr="00A00187">
        <w:t xml:space="preserve"> hodnot je </w:t>
      </w:r>
      <w:r w:rsidR="00245596" w:rsidRPr="00A00187">
        <w:t xml:space="preserve">vyšších </w:t>
      </w:r>
      <w:r w:rsidRPr="00A00187">
        <w:t xml:space="preserve">nebo rovno mediánu. Medián se rovná druhému kvartilu, pátému decilu a padesátému percentilu. Má-li soud mediánovou délku řízení např. 200 dnů, řízení pro první polovinu případů (tedy věcí) trvá maximálně 200 dnů včetně, pro druhou polovinu </w:t>
      </w:r>
      <w:r w:rsidR="00560594" w:rsidRPr="00A00187">
        <w:t xml:space="preserve">pak </w:t>
      </w:r>
      <w:r w:rsidRPr="00A00187">
        <w:t>20</w:t>
      </w:r>
      <w:r w:rsidR="005176A0" w:rsidRPr="00A00187">
        <w:t>0</w:t>
      </w:r>
      <w:r w:rsidRPr="00A00187">
        <w:t xml:space="preserve"> dnů nebo více.</w:t>
      </w:r>
    </w:p>
    <w:p w14:paraId="62B7BC3B" w14:textId="77777777" w:rsidR="008430BD" w:rsidRPr="00A00187" w:rsidRDefault="008430BD" w:rsidP="008430BD">
      <w:pPr>
        <w:pStyle w:val="Odstavecseseznamem"/>
        <w:numPr>
          <w:ilvl w:val="0"/>
          <w:numId w:val="4"/>
        </w:numPr>
      </w:pPr>
      <w:r w:rsidRPr="00A00187">
        <w:rPr>
          <w:b/>
        </w:rPr>
        <w:t xml:space="preserve">Měřítko náročnosti agendy </w:t>
      </w:r>
      <w:r w:rsidRPr="00A00187">
        <w:t>– měřítka byla pro každou soudní agendu (rejstřík) stanovena komisí složenou ze soudců a expertů. Teoreticky určuje náročnost průměrné věci v dané agendě (rejstříku). Měřítka vyjadřují počet věcí, které by měl jeden soudce nebo zaměstnanec ve výkonu vyřídit (zpracovat) za rok. Vyšší číslo tedy znamená nižší náročnost. Měřítka jsou využita při tzv. systemizaci (viz toto heslo).</w:t>
      </w:r>
    </w:p>
    <w:p w14:paraId="3DBCFF85" w14:textId="3FB4CFBC" w:rsidR="008430BD" w:rsidRPr="00A00187" w:rsidRDefault="008430BD" w:rsidP="008430BD">
      <w:pPr>
        <w:pStyle w:val="Odstavecseseznamem"/>
        <w:numPr>
          <w:ilvl w:val="0"/>
          <w:numId w:val="4"/>
        </w:numPr>
      </w:pPr>
      <w:r w:rsidRPr="00A00187">
        <w:rPr>
          <w:b/>
        </w:rPr>
        <w:t xml:space="preserve">Míra celkové změny rozsudku </w:t>
      </w:r>
      <w:r w:rsidRPr="00A00187">
        <w:t xml:space="preserve">– vypočtena jako míra odvolání krát míra změny rozsudku. Jde </w:t>
      </w:r>
      <w:r w:rsidR="000C3B1E" w:rsidRPr="00A00187">
        <w:t>o </w:t>
      </w:r>
      <w:r w:rsidRPr="00A00187">
        <w:t xml:space="preserve">podíl věcí, v nichž nakonec bylo odvolacím soudem změněno rozhodnutí soudu </w:t>
      </w:r>
      <w:r w:rsidR="000C3B1E" w:rsidRPr="00A00187">
        <w:t>I. stupně</w:t>
      </w:r>
      <w:r w:rsidR="00BA1658" w:rsidRPr="00A00187">
        <w:t>,</w:t>
      </w:r>
      <w:r w:rsidRPr="00A00187">
        <w:t xml:space="preserve"> ke všem prvostupňovým rozhodnutím.</w:t>
      </w:r>
    </w:p>
    <w:p w14:paraId="5AE25CD6" w14:textId="74F32A31" w:rsidR="00930695" w:rsidRPr="00A00187" w:rsidRDefault="00930695" w:rsidP="008430BD">
      <w:pPr>
        <w:pStyle w:val="Odstavecseseznamem"/>
        <w:numPr>
          <w:ilvl w:val="0"/>
          <w:numId w:val="4"/>
        </w:numPr>
      </w:pPr>
      <w:r w:rsidRPr="00A00187">
        <w:rPr>
          <w:b/>
          <w:bCs/>
        </w:rPr>
        <w:t>Míra odsouzení</w:t>
      </w:r>
      <w:r w:rsidRPr="00A00187">
        <w:t xml:space="preserve"> – je vypočtena ze statistických listů</w:t>
      </w:r>
      <w:r w:rsidR="00033563" w:rsidRPr="00A00187">
        <w:t>.</w:t>
      </w:r>
      <w:r w:rsidRPr="00A00187">
        <w:t xml:space="preserve"> </w:t>
      </w:r>
      <w:r w:rsidR="00033563" w:rsidRPr="00A00187">
        <w:t>J</w:t>
      </w:r>
      <w:r w:rsidRPr="00A00187">
        <w:t xml:space="preserve">edná se </w:t>
      </w:r>
      <w:r w:rsidR="000C3B1E" w:rsidRPr="00A00187">
        <w:t>o </w:t>
      </w:r>
      <w:r w:rsidRPr="00A00187">
        <w:t>podíl odsouzených na počtu obžalovaných × 100</w:t>
      </w:r>
      <w:r w:rsidR="00CB570A">
        <w:t> %</w:t>
      </w:r>
      <w:r w:rsidRPr="00A00187">
        <w:t>. Udává tedy</w:t>
      </w:r>
      <w:r w:rsidR="00033563" w:rsidRPr="00A00187">
        <w:t>,</w:t>
      </w:r>
      <w:r w:rsidRPr="00A00187">
        <w:t xml:space="preserve"> kolik z obžalovaných osob bylo aspoň za jeden trestný </w:t>
      </w:r>
      <w:r w:rsidR="00BF4CBC" w:rsidRPr="00A00187">
        <w:t xml:space="preserve">čin </w:t>
      </w:r>
      <w:r w:rsidRPr="00A00187">
        <w:t>uznán</w:t>
      </w:r>
      <w:r w:rsidR="00E844A3" w:rsidRPr="00A00187">
        <w:t>o</w:t>
      </w:r>
      <w:r w:rsidRPr="00A00187">
        <w:t xml:space="preserve"> vinným</w:t>
      </w:r>
      <w:r w:rsidR="00033563" w:rsidRPr="00A00187">
        <w:t>i</w:t>
      </w:r>
      <w:r w:rsidRPr="00A00187">
        <w:t xml:space="preserve">. Do obžalovaných osob </w:t>
      </w:r>
      <w:r w:rsidR="00E844A3" w:rsidRPr="00A00187">
        <w:t xml:space="preserve">se </w:t>
      </w:r>
      <w:r w:rsidRPr="00A00187">
        <w:t xml:space="preserve">započítávají všechny osoby, vůči kterým státní zástupce </w:t>
      </w:r>
      <w:r w:rsidR="00BE34F3" w:rsidRPr="00A00187">
        <w:t xml:space="preserve">podal </w:t>
      </w:r>
      <w:r w:rsidR="000C3B1E" w:rsidRPr="00A00187">
        <w:t>u </w:t>
      </w:r>
      <w:r w:rsidRPr="00A00187">
        <w:t xml:space="preserve">soudu obžalobu, návrh na potrestání nebo návrh na schválení dohody o vinně </w:t>
      </w:r>
      <w:r w:rsidR="000C3B1E" w:rsidRPr="00A00187">
        <w:t>a </w:t>
      </w:r>
      <w:r w:rsidRPr="00A00187">
        <w:t>trestu.</w:t>
      </w:r>
    </w:p>
    <w:p w14:paraId="16A37439" w14:textId="230AA5BC" w:rsidR="008430BD" w:rsidRPr="00A00187" w:rsidRDefault="008430BD" w:rsidP="008430BD">
      <w:pPr>
        <w:pStyle w:val="Odstavecseseznamem"/>
        <w:numPr>
          <w:ilvl w:val="0"/>
          <w:numId w:val="4"/>
        </w:numPr>
        <w:ind w:left="714" w:hanging="357"/>
      </w:pPr>
      <w:r w:rsidRPr="00A00187">
        <w:rPr>
          <w:b/>
        </w:rPr>
        <w:t xml:space="preserve">Míra odvolání </w:t>
      </w:r>
      <w:r w:rsidRPr="00A00187">
        <w:t>– je vypočtena ze statistických listů a jedná se o poměr pravomocně vyřízených věcí, v nichž bylo podáno odvolání, k celkovému počtu pravomocně skončených (vyřízených) věcí × 100</w:t>
      </w:r>
      <w:r w:rsidR="00CB570A">
        <w:t> %</w:t>
      </w:r>
      <w:r w:rsidRPr="00A00187">
        <w:t xml:space="preserve">. </w:t>
      </w:r>
      <w:proofErr w:type="spellStart"/>
      <w:r w:rsidRPr="00A00187">
        <w:rPr>
          <w:bCs/>
          <w:i/>
        </w:rPr>
        <w:t>Ceteris</w:t>
      </w:r>
      <w:proofErr w:type="spellEnd"/>
      <w:r w:rsidRPr="00A00187">
        <w:rPr>
          <w:bCs/>
          <w:i/>
        </w:rPr>
        <w:t xml:space="preserve"> </w:t>
      </w:r>
      <w:proofErr w:type="spellStart"/>
      <w:r w:rsidRPr="00A00187">
        <w:rPr>
          <w:bCs/>
          <w:i/>
        </w:rPr>
        <w:t>paribus</w:t>
      </w:r>
      <w:proofErr w:type="spellEnd"/>
      <w:r w:rsidRPr="00A00187">
        <w:rPr>
          <w:i/>
        </w:rPr>
        <w:t xml:space="preserve"> </w:t>
      </w:r>
      <w:r w:rsidRPr="00A00187">
        <w:t>(za jinak neměnných podmínek) ji</w:t>
      </w:r>
      <w:r w:rsidRPr="00A00187">
        <w:rPr>
          <w:i/>
        </w:rPr>
        <w:t xml:space="preserve"> </w:t>
      </w:r>
      <w:r w:rsidRPr="00A00187">
        <w:t xml:space="preserve">lze považovat za aproximaci složitosti věcí (čím složitější věc, tím pravděpodobnější odvolání), je však třeba mít na paměti, že je ovlivněna i mnoha dalšími faktory. Způsob výpočtu míry odvolání jsme oproti verzi z roku 2016 upravili. Nyní jsou zahrnuty i věci, v nichž odvolací soud zrušil rozhodnutí soudu </w:t>
      </w:r>
      <w:r w:rsidR="000C3B1E" w:rsidRPr="00A00187">
        <w:t>I. stupně</w:t>
      </w:r>
      <w:r w:rsidRPr="00A00187">
        <w:t xml:space="preserve"> a věc mu vrátil </w:t>
      </w:r>
      <w:r w:rsidR="000C3B1E" w:rsidRPr="00A00187">
        <w:t>a </w:t>
      </w:r>
      <w:r w:rsidRPr="00A00187">
        <w:t>následně již odvolání podáno nebylo. Dále jsme data u prvostupňové civilní agendy očistili o spory, kde byla výše přiznaného nároku menší než 10 000 Kč. V těchto sporech (až na výjimky) nelze podat odvolání, a jejich zahrnutí by tak snižovalo vypočtené hodnoty míry odvolání. Po této úpravě tak došlo k poměrně značnému zvýšení míry odvolání. Změnu metodiky jsme aplikovali i na data z předchozích let.</w:t>
      </w:r>
    </w:p>
    <w:p w14:paraId="17AE7F8F" w14:textId="57BFBE2D" w:rsidR="008430BD" w:rsidRPr="00A00187" w:rsidRDefault="008430BD" w:rsidP="008430BD">
      <w:pPr>
        <w:pStyle w:val="Odstavecseseznamem"/>
        <w:numPr>
          <w:ilvl w:val="0"/>
          <w:numId w:val="4"/>
        </w:numPr>
      </w:pPr>
      <w:r w:rsidRPr="00A00187">
        <w:rPr>
          <w:b/>
        </w:rPr>
        <w:t xml:space="preserve">Míra vyřizování </w:t>
      </w:r>
      <w:r w:rsidRPr="00A00187">
        <w:t>– je vypočtena jako (počet vyřízených věcí v daném období) / (počet příchozích věcí v daném období) × 100</w:t>
      </w:r>
      <w:r w:rsidR="00CB570A">
        <w:t> %</w:t>
      </w:r>
      <w:r w:rsidRPr="00A00187">
        <w:t xml:space="preserve">. Udává tedy, zda soud vyřídil více věcí, než mu nově přišlo (nápad a obživa). Je-li </w:t>
      </w:r>
      <w:r w:rsidR="00245596" w:rsidRPr="00A00187">
        <w:t>vyšší</w:t>
      </w:r>
      <w:r w:rsidRPr="00A00187">
        <w:t xml:space="preserve"> než 100</w:t>
      </w:r>
      <w:r w:rsidR="00CB570A">
        <w:t> %</w:t>
      </w:r>
      <w:r w:rsidRPr="00A00187">
        <w:t xml:space="preserve">, soud vyřídil více věcí, než mu přišlo, a snížil se tedy počet nevyřízených věcí. Je-li </w:t>
      </w:r>
      <w:r w:rsidR="007474D8" w:rsidRPr="00A00187">
        <w:t xml:space="preserve">nižší </w:t>
      </w:r>
      <w:r w:rsidRPr="00A00187">
        <w:t>než 100</w:t>
      </w:r>
      <w:r w:rsidR="00CB570A">
        <w:t> %</w:t>
      </w:r>
      <w:r w:rsidRPr="00A00187">
        <w:t>, soud vyřídil m</w:t>
      </w:r>
      <w:r w:rsidR="00DA1058" w:rsidRPr="00A00187">
        <w:t>é</w:t>
      </w:r>
      <w:r w:rsidRPr="00A00187">
        <w:t>ně věcí, než mu přišlo, a zvýšil se tedy počet nevyřízených věcí.</w:t>
      </w:r>
    </w:p>
    <w:p w14:paraId="1C60440E" w14:textId="108BC980" w:rsidR="008430BD" w:rsidRPr="00A00187" w:rsidRDefault="008430BD" w:rsidP="008430BD">
      <w:pPr>
        <w:pStyle w:val="Odstavecseseznamem"/>
        <w:numPr>
          <w:ilvl w:val="0"/>
          <w:numId w:val="4"/>
        </w:numPr>
      </w:pPr>
      <w:r w:rsidRPr="00A00187">
        <w:rPr>
          <w:b/>
        </w:rPr>
        <w:t xml:space="preserve">Míra změny rozsudku </w:t>
      </w:r>
      <w:r w:rsidRPr="00A00187">
        <w:t xml:space="preserve">– je vypočtena ze statistických listů a jedná se o poměr pravomocně skončených věcí, v nichž bylo vyhověno odvolání (tedy rozsudek soudu </w:t>
      </w:r>
      <w:r w:rsidR="000C3B1E" w:rsidRPr="00A00187">
        <w:t>I. stupně</w:t>
      </w:r>
      <w:r w:rsidRPr="00A00187">
        <w:t xml:space="preserve"> byl změněn odvolacím soudem na podkladě odvolání)</w:t>
      </w:r>
      <w:r w:rsidR="00431442" w:rsidRPr="00A00187">
        <w:t>,</w:t>
      </w:r>
      <w:r w:rsidRPr="00A00187">
        <w:t xml:space="preserve"> k celkovému počtu pravomocně skončených věcí, v nichž bylo podáno odvolání × 100</w:t>
      </w:r>
      <w:r w:rsidR="00CB570A">
        <w:t> %</w:t>
      </w:r>
      <w:r w:rsidRPr="00A00187">
        <w:t xml:space="preserve">. Do změny </w:t>
      </w:r>
      <w:r w:rsidRPr="00A00187">
        <w:lastRenderedPageBreak/>
        <w:t xml:space="preserve">rozsudku jsou započítány i případy, kdy bylo rozhodnutí soudu </w:t>
      </w:r>
      <w:r w:rsidR="000C3B1E" w:rsidRPr="00A00187">
        <w:t>I. stupně</w:t>
      </w:r>
      <w:r w:rsidRPr="00A00187">
        <w:t xml:space="preserve"> u odvolacího soudu zrušeno a vráceno soudu </w:t>
      </w:r>
      <w:r w:rsidR="000C3B1E" w:rsidRPr="00A00187">
        <w:t>I. stupně</w:t>
      </w:r>
      <w:r w:rsidRPr="00A00187">
        <w:t xml:space="preserve">. </w:t>
      </w:r>
      <w:proofErr w:type="spellStart"/>
      <w:r w:rsidRPr="00A00187">
        <w:rPr>
          <w:bCs/>
          <w:i/>
        </w:rPr>
        <w:t>Ceteris</w:t>
      </w:r>
      <w:proofErr w:type="spellEnd"/>
      <w:r w:rsidRPr="00A00187">
        <w:rPr>
          <w:bCs/>
          <w:i/>
        </w:rPr>
        <w:t xml:space="preserve"> </w:t>
      </w:r>
      <w:proofErr w:type="spellStart"/>
      <w:r w:rsidRPr="00A00187">
        <w:rPr>
          <w:bCs/>
          <w:i/>
        </w:rPr>
        <w:t>paribus</w:t>
      </w:r>
      <w:proofErr w:type="spellEnd"/>
      <w:r w:rsidRPr="00A00187">
        <w:rPr>
          <w:i/>
        </w:rPr>
        <w:t xml:space="preserve"> </w:t>
      </w:r>
      <w:r w:rsidRPr="00A00187">
        <w:t>(za jinak neměnných podmínek) ji</w:t>
      </w:r>
      <w:r w:rsidRPr="00A00187">
        <w:rPr>
          <w:i/>
        </w:rPr>
        <w:t xml:space="preserve"> </w:t>
      </w:r>
      <w:r w:rsidRPr="00A00187">
        <w:t>lze považovat za aproximaci kvality rozhodování, je však třeba mít na paměti, že je ovlivněna i mnoha dalšími faktory.</w:t>
      </w:r>
    </w:p>
    <w:p w14:paraId="341F7BEB" w14:textId="77777777" w:rsidR="008430BD" w:rsidRPr="00A00187" w:rsidRDefault="008430BD" w:rsidP="008430BD">
      <w:pPr>
        <w:pStyle w:val="Odstavecseseznamem"/>
        <w:numPr>
          <w:ilvl w:val="0"/>
          <w:numId w:val="4"/>
        </w:numPr>
        <w:ind w:left="714" w:hanging="357"/>
      </w:pPr>
      <w:r w:rsidRPr="00A00187">
        <w:rPr>
          <w:b/>
        </w:rPr>
        <w:t>Nápad</w:t>
      </w:r>
      <w:r w:rsidRPr="00A00187">
        <w:t xml:space="preserve"> – nebo také napadlé věci. Počet nově zapsaných věcí do rejstříku za určité období. V této zprávě se jedná vždy o roční data, která získáváme z výkazů o činnosti soudů.</w:t>
      </w:r>
    </w:p>
    <w:p w14:paraId="36E1AE01" w14:textId="77777777" w:rsidR="008430BD" w:rsidRPr="00A00187" w:rsidRDefault="008430BD" w:rsidP="008430BD">
      <w:pPr>
        <w:pStyle w:val="Odstavecseseznamem"/>
        <w:numPr>
          <w:ilvl w:val="0"/>
          <w:numId w:val="4"/>
        </w:numPr>
        <w:ind w:left="714" w:hanging="357"/>
      </w:pPr>
      <w:r w:rsidRPr="00A00187">
        <w:rPr>
          <w:b/>
        </w:rPr>
        <w:t xml:space="preserve">Nevyřízené věci </w:t>
      </w:r>
      <w:r w:rsidRPr="00A00187">
        <w:t>– počet věcí, které nebyly vyřízeny (skončeny) k poslednímu dni vykazovaného období. Na rozdíl od ukazatelů jako je nápad, obživa nebo vyřízené věci, které se vztahují k celému sledovanému období, se v tomto případě jedná o stav k určitému datu, v této zprávě vždy k 31. 12. daného roku. Data pocházejí z výkazů o činnosti soudů.</w:t>
      </w:r>
    </w:p>
    <w:p w14:paraId="0ADD28B8" w14:textId="63ACE098" w:rsidR="008430BD" w:rsidRPr="00A00187" w:rsidRDefault="008430BD" w:rsidP="008430BD">
      <w:pPr>
        <w:pStyle w:val="Odstavecseseznamem"/>
        <w:numPr>
          <w:ilvl w:val="0"/>
          <w:numId w:val="4"/>
        </w:numPr>
        <w:ind w:left="714" w:hanging="357"/>
      </w:pPr>
      <w:r w:rsidRPr="00A00187">
        <w:rPr>
          <w:b/>
        </w:rPr>
        <w:t xml:space="preserve">Obživa </w:t>
      </w:r>
      <w:r w:rsidRPr="00A00187">
        <w:t xml:space="preserve">– nebo také obživlé věci. Jedná se o případy, kdy byla věc sice vyřízena, ale z určitého důvodu se v řízení pokračuje (většinou v důsledku odvolacího řízení, kdy bylo rozhodnutí soudu </w:t>
      </w:r>
      <w:r w:rsidR="000C3B1E" w:rsidRPr="00A00187">
        <w:t>I. stupně</w:t>
      </w:r>
      <w:r w:rsidRPr="00A00187">
        <w:t xml:space="preserve"> zrušeno a vráceno mu k novému projednání, či po podání odporu). V této zprávě se stejně jako u nápadu jedná o počet věcí, které obživly za vykazované období, tedy za celý daný rok. Data jsou rovněž získávána z výkazů o činnosti soudů.</w:t>
      </w:r>
    </w:p>
    <w:p w14:paraId="616FD1D7" w14:textId="15976514" w:rsidR="008430BD" w:rsidRPr="00A00187" w:rsidRDefault="008430BD" w:rsidP="008430BD">
      <w:pPr>
        <w:pStyle w:val="Odstavecseseznamem"/>
        <w:numPr>
          <w:ilvl w:val="0"/>
          <w:numId w:val="4"/>
        </w:numPr>
      </w:pPr>
      <w:r w:rsidRPr="00A00187">
        <w:rPr>
          <w:b/>
        </w:rPr>
        <w:t xml:space="preserve">Percentil </w:t>
      </w:r>
      <w:r w:rsidRPr="00A00187">
        <w:t>– percentily dělí vzestupně setříděný soubor hodnot na setiny (na sto stejných částí). Devadesátý percentil znamená, že 90</w:t>
      </w:r>
      <w:r w:rsidR="00CB570A">
        <w:t> %</w:t>
      </w:r>
      <w:r w:rsidRPr="00A00187">
        <w:t xml:space="preserve"> hodnot je </w:t>
      </w:r>
      <w:r w:rsidR="00245596" w:rsidRPr="00A00187">
        <w:t xml:space="preserve">nižších </w:t>
      </w:r>
      <w:r w:rsidRPr="00A00187">
        <w:t>nebo rovno a 10</w:t>
      </w:r>
      <w:r w:rsidR="00CB570A">
        <w:t> %</w:t>
      </w:r>
      <w:r w:rsidRPr="00A00187">
        <w:t xml:space="preserve"> hodnot </w:t>
      </w:r>
      <w:r w:rsidR="00245596" w:rsidRPr="00A00187">
        <w:t xml:space="preserve">vyšších </w:t>
      </w:r>
      <w:r w:rsidRPr="00A00187">
        <w:t>nebo rovno hodnotě percentilu. Má-li tedy soud devadesátý percentil délky řízení 400 dnů, znamená to, že vyřízení 90</w:t>
      </w:r>
      <w:r w:rsidR="00CB570A">
        <w:t> %</w:t>
      </w:r>
      <w:r w:rsidRPr="00A00187">
        <w:t> věcí trvá maximálně 400 dnů, zbylých 10</w:t>
      </w:r>
      <w:r w:rsidR="00CB570A">
        <w:t> %</w:t>
      </w:r>
      <w:r w:rsidRPr="00A00187">
        <w:t> pak 400 dnů a více.</w:t>
      </w:r>
    </w:p>
    <w:p w14:paraId="19D20B63" w14:textId="77777777" w:rsidR="008430BD" w:rsidRPr="00A00187" w:rsidRDefault="008430BD" w:rsidP="008430BD">
      <w:pPr>
        <w:pStyle w:val="Odstavecseseznamem"/>
        <w:numPr>
          <w:ilvl w:val="0"/>
          <w:numId w:val="4"/>
        </w:numPr>
      </w:pPr>
      <w:r w:rsidRPr="00A00187">
        <w:rPr>
          <w:b/>
        </w:rPr>
        <w:t xml:space="preserve">Plánovaný počet soudců </w:t>
      </w:r>
      <w:r w:rsidRPr="00A00187">
        <w:t>– odhad počtu soudců potřebných k vyřízení nápadu za předmětný rok. Je vypočítáván pro všechny okresní a krajské soudy</w:t>
      </w:r>
      <w:r w:rsidRPr="00A00187">
        <w:rPr>
          <w:lang w:eastAsia="cs-CZ"/>
        </w:rPr>
        <w:t>, zpravidla</w:t>
      </w:r>
      <w:r w:rsidRPr="00A00187">
        <w:t xml:space="preserve"> jednou ročně pro následující rok. Systemizace </w:t>
      </w:r>
      <w:r w:rsidRPr="00A00187">
        <w:rPr>
          <w:lang w:eastAsia="cs-CZ"/>
        </w:rPr>
        <w:t>vyšších soudů je určena na základě dohody, nikoliv výpočtem.</w:t>
      </w:r>
    </w:p>
    <w:p w14:paraId="2A0B861F" w14:textId="77777777" w:rsidR="008430BD" w:rsidRPr="00A00187" w:rsidRDefault="008430BD" w:rsidP="008430BD">
      <w:pPr>
        <w:pStyle w:val="Odstavecseseznamem"/>
        <w:numPr>
          <w:ilvl w:val="0"/>
          <w:numId w:val="4"/>
        </w:numPr>
      </w:pPr>
      <w:r w:rsidRPr="00A00187">
        <w:rPr>
          <w:b/>
        </w:rPr>
        <w:t xml:space="preserve">Plošný graf </w:t>
      </w:r>
      <w:r w:rsidRPr="00A00187">
        <w:t>– typ grafu, který velmi dobře znázorňuje velikost změn v čase a v součtu zobrazovaných hodnot</w:t>
      </w:r>
      <w:r w:rsidR="001126B0" w:rsidRPr="00A00187">
        <w:t>,</w:t>
      </w:r>
      <w:r w:rsidRPr="00A00187">
        <w:t xml:space="preserve"> vyjadřuje rovněž vztah jednotlivých částí k celku. Jedná se v podstatě o spojnicový graf, ale plochy pod čarami jsou vyplněny barvami. Plošných grafů existuje několik podtypů a v této zprávě používáme skládaný plošný graf a stoprocentní skládaný plošný graf. Osa </w:t>
      </w:r>
      <w:r w:rsidRPr="00A00187">
        <w:rPr>
          <w:i/>
        </w:rPr>
        <w:t>x</w:t>
      </w:r>
      <w:r w:rsidRPr="00A00187">
        <w:t xml:space="preserve"> znázorňuje čas a na svislé ose </w:t>
      </w:r>
      <w:r w:rsidRPr="00A00187">
        <w:rPr>
          <w:i/>
        </w:rPr>
        <w:t>y</w:t>
      </w:r>
      <w:r w:rsidRPr="00A00187">
        <w:t xml:space="preserve"> jsou hodnoty jednotlivých druhů zkoumaných ukazatelů v absolutních číslech nebo v procentním poměru.</w:t>
      </w:r>
    </w:p>
    <w:p w14:paraId="17250CBC" w14:textId="18706F17" w:rsidR="008430BD" w:rsidRPr="00A00187" w:rsidRDefault="008430BD" w:rsidP="008430BD">
      <w:pPr>
        <w:pStyle w:val="Odstavecseseznamem"/>
        <w:numPr>
          <w:ilvl w:val="0"/>
          <w:numId w:val="4"/>
        </w:numPr>
      </w:pPr>
      <w:r w:rsidRPr="00A00187">
        <w:rPr>
          <w:b/>
        </w:rPr>
        <w:t xml:space="preserve">Počet soudkyň </w:t>
      </w:r>
      <w:r w:rsidR="000C3B1E" w:rsidRPr="00A00187">
        <w:rPr>
          <w:b/>
        </w:rPr>
        <w:t>a </w:t>
      </w:r>
      <w:r w:rsidRPr="00A00187">
        <w:rPr>
          <w:b/>
        </w:rPr>
        <w:t xml:space="preserve">soudců na MD/RD </w:t>
      </w:r>
      <w:r w:rsidRPr="00A00187">
        <w:t xml:space="preserve">– počet soudkyň </w:t>
      </w:r>
      <w:r w:rsidR="000C3B1E" w:rsidRPr="00A00187">
        <w:t>a </w:t>
      </w:r>
      <w:r w:rsidRPr="00A00187">
        <w:t>soudců, kteří jsou na mateřské nebo rodičovské dovolené. Je zahrnut do evidenčního počtu soudců. Uvádíme vždy údaje k 1. 1. daného roku.</w:t>
      </w:r>
    </w:p>
    <w:p w14:paraId="036647FD" w14:textId="77777777" w:rsidR="008430BD" w:rsidRPr="00A00187" w:rsidRDefault="008430BD" w:rsidP="008430BD">
      <w:pPr>
        <w:pStyle w:val="Odstavecseseznamem"/>
        <w:numPr>
          <w:ilvl w:val="0"/>
          <w:numId w:val="4"/>
        </w:numPr>
        <w:rPr>
          <w:b/>
        </w:rPr>
      </w:pPr>
      <w:r w:rsidRPr="00A00187">
        <w:rPr>
          <w:b/>
        </w:rPr>
        <w:t xml:space="preserve">Průměr </w:t>
      </w:r>
      <w:r w:rsidRPr="00A00187">
        <w:t>– je míněn aritmetický průměr hodnot.</w:t>
      </w:r>
    </w:p>
    <w:p w14:paraId="05E47786" w14:textId="00B6B78E" w:rsidR="008430BD" w:rsidRPr="00A00187" w:rsidRDefault="008430BD" w:rsidP="008430BD">
      <w:pPr>
        <w:pStyle w:val="Odstavecseseznamem"/>
        <w:numPr>
          <w:ilvl w:val="0"/>
          <w:numId w:val="4"/>
        </w:numPr>
      </w:pPr>
      <w:r w:rsidRPr="00A00187">
        <w:rPr>
          <w:b/>
        </w:rPr>
        <w:t xml:space="preserve">Přepočet na soudce </w:t>
      </w:r>
      <w:r w:rsidRPr="00A00187">
        <w:t xml:space="preserve">– počty napadlých, vyřízených a nevyřízených věcí jsou vyděleny počtem soudců. Jedná se o jeden z ukazatelů výkonnosti a zatíženosti soudů. Pro výpočet je využit počet skutečných úvazků. Tato data byla poprvé sbírána k 1. 1. 2020. Jejich velkou výhodou je fakt, že jsou přesnější. Je zde například vyčleněna opatrovnická agenda (počet není uveden dohromady s rejstříkem C) </w:t>
      </w:r>
      <w:r w:rsidR="000C3B1E" w:rsidRPr="00A00187">
        <w:t>a </w:t>
      </w:r>
      <w:r w:rsidRPr="00A00187">
        <w:t>dále jsou zohledněny i nepřítomnosti soudců, jako je dlouhodobá nemoc apod. Počty soudců jsou s přesností na desetinu soudce.</w:t>
      </w:r>
    </w:p>
    <w:p w14:paraId="28CA1584" w14:textId="77777777" w:rsidR="008430BD" w:rsidRPr="00A00187" w:rsidRDefault="008430BD" w:rsidP="008430BD">
      <w:pPr>
        <w:pStyle w:val="Odstavecseseznamem"/>
        <w:numPr>
          <w:ilvl w:val="0"/>
          <w:numId w:val="4"/>
        </w:numPr>
      </w:pPr>
      <w:r w:rsidRPr="00A00187">
        <w:rPr>
          <w:b/>
        </w:rPr>
        <w:t xml:space="preserve">Příchozí věci </w:t>
      </w:r>
      <w:r w:rsidRPr="00A00187">
        <w:t>– v této zprávě znamená součet napadlých a obživlých věcí.</w:t>
      </w:r>
    </w:p>
    <w:p w14:paraId="6BA82784" w14:textId="6E1EBFD2" w:rsidR="008430BD" w:rsidRPr="00A00187" w:rsidRDefault="008430BD" w:rsidP="008430BD">
      <w:pPr>
        <w:pStyle w:val="Odstavecseseznamem"/>
        <w:numPr>
          <w:ilvl w:val="0"/>
          <w:numId w:val="4"/>
        </w:numPr>
      </w:pPr>
      <w:r w:rsidRPr="00A00187">
        <w:rPr>
          <w:b/>
        </w:rPr>
        <w:t xml:space="preserve">Skutečný počet úvazků </w:t>
      </w:r>
      <w:r w:rsidRPr="00296758">
        <w:rPr>
          <w:bCs/>
        </w:rPr>
        <w:t xml:space="preserve">– jde </w:t>
      </w:r>
      <w:r w:rsidR="000C3B1E" w:rsidRPr="00296758">
        <w:rPr>
          <w:bCs/>
        </w:rPr>
        <w:t>o</w:t>
      </w:r>
      <w:r w:rsidR="000C3B1E" w:rsidRPr="00A00187">
        <w:t> </w:t>
      </w:r>
      <w:r w:rsidRPr="00A00187">
        <w:t xml:space="preserve">data, která byla získána dotazníkovým šetřením od soudů. </w:t>
      </w:r>
      <w:r w:rsidR="00033563" w:rsidRPr="00A00187">
        <w:t>Zahrnují</w:t>
      </w:r>
      <w:r w:rsidRPr="00A00187">
        <w:t xml:space="preserve"> pouze soudc</w:t>
      </w:r>
      <w:r w:rsidR="00033563" w:rsidRPr="00A00187">
        <w:t>e</w:t>
      </w:r>
      <w:r w:rsidRPr="00A00187">
        <w:t>, kteří dan</w:t>
      </w:r>
      <w:r w:rsidR="00E844A3" w:rsidRPr="00A00187">
        <w:t>o</w:t>
      </w:r>
      <w:r w:rsidRPr="00A00187">
        <w:t xml:space="preserve">u agendu v příslušném roce </w:t>
      </w:r>
      <w:r w:rsidR="00033563" w:rsidRPr="00A00187">
        <w:t xml:space="preserve">reálně </w:t>
      </w:r>
      <w:r w:rsidRPr="00A00187">
        <w:t xml:space="preserve">vyřizovali. Na rozdíl </w:t>
      </w:r>
      <w:r w:rsidRPr="00A00187">
        <w:lastRenderedPageBreak/>
        <w:t xml:space="preserve">od evidenčního počtu soudců tedy nejsou zahrnuti dlouhodobě nepřítomní soudci (na MD/RD, dlouhodobě nemocní, dočasně zproštěni výkonu funkce soudce </w:t>
      </w:r>
      <w:r w:rsidR="000E2347" w:rsidRPr="00A00187">
        <w:t>(§ </w:t>
      </w:r>
      <w:r w:rsidRPr="00A00187">
        <w:t xml:space="preserve">99, 100 </w:t>
      </w:r>
      <w:r w:rsidR="000C3B1E" w:rsidRPr="00A00187">
        <w:t>a </w:t>
      </w:r>
      <w:r w:rsidRPr="00A00187">
        <w:t>100a zák. č</w:t>
      </w:r>
      <w:r w:rsidR="000E2347" w:rsidRPr="00A00187">
        <w:t>. </w:t>
      </w:r>
      <w:r w:rsidRPr="00A00187">
        <w:t>6/</w:t>
      </w:r>
      <w:r w:rsidR="000E2347" w:rsidRPr="00A00187">
        <w:t>2002 </w:t>
      </w:r>
      <w:r w:rsidRPr="00A00187">
        <w:t>Sb.</w:t>
      </w:r>
      <w:r w:rsidR="001126B0" w:rsidRPr="00A00187">
        <w:t>,</w:t>
      </w:r>
      <w:r w:rsidR="00C8663B" w:rsidRPr="00A00187">
        <w:t xml:space="preserve"> o soudech, soudcích, přísedících a státní správě soudů a o změně některých dalších zákonů (zákon o soudech a soudcích), ve znění pozdějších předpisů</w:t>
      </w:r>
      <w:r w:rsidRPr="00A00187">
        <w:t xml:space="preserve">) nebo dočasně přeloženi </w:t>
      </w:r>
      <w:r w:rsidR="000C3B1E" w:rsidRPr="00A00187">
        <w:t>k </w:t>
      </w:r>
      <w:r w:rsidRPr="00A00187">
        <w:t xml:space="preserve">jinému soudu (stáž). Údaje jsou </w:t>
      </w:r>
      <w:r w:rsidR="00033563" w:rsidRPr="00A00187">
        <w:t>sledovány</w:t>
      </w:r>
      <w:r w:rsidRPr="00A00187">
        <w:t xml:space="preserve"> s přesností na desetinu soudce </w:t>
      </w:r>
      <w:r w:rsidR="000C3B1E" w:rsidRPr="00A00187">
        <w:t>a </w:t>
      </w:r>
      <w:r w:rsidRPr="00A00187">
        <w:t>jsou podrobněji členěn</w:t>
      </w:r>
      <w:r w:rsidR="00E844A3" w:rsidRPr="00A00187">
        <w:t>y</w:t>
      </w:r>
      <w:r w:rsidRPr="00A00187">
        <w:t xml:space="preserve"> dle úseků </w:t>
      </w:r>
      <w:r w:rsidR="000C3B1E" w:rsidRPr="00A00187">
        <w:t>a </w:t>
      </w:r>
      <w:r w:rsidRPr="00A00187">
        <w:t>agendy, které se</w:t>
      </w:r>
      <w:r w:rsidR="00E844A3" w:rsidRPr="00A00187">
        <w:t xml:space="preserve"> soudci</w:t>
      </w:r>
      <w:r w:rsidRPr="00A00187">
        <w:t xml:space="preserve"> věnují. Někdy též </w:t>
      </w:r>
      <w:r w:rsidR="00033563" w:rsidRPr="00A00187">
        <w:t xml:space="preserve">označováno </w:t>
      </w:r>
      <w:r w:rsidRPr="00A00187">
        <w:t>jako</w:t>
      </w:r>
      <w:r w:rsidR="000E2347" w:rsidRPr="00A00187">
        <w:t xml:space="preserve"> </w:t>
      </w:r>
      <w:r w:rsidRPr="00A00187">
        <w:t>skutečný počet soudců.</w:t>
      </w:r>
    </w:p>
    <w:p w14:paraId="2D00E67E" w14:textId="77777777" w:rsidR="008430BD" w:rsidRPr="00A00187" w:rsidRDefault="008430BD" w:rsidP="008430BD">
      <w:pPr>
        <w:pStyle w:val="Odstavecseseznamem"/>
        <w:numPr>
          <w:ilvl w:val="0"/>
          <w:numId w:val="4"/>
        </w:numPr>
      </w:pPr>
      <w:r w:rsidRPr="00A00187">
        <w:rPr>
          <w:b/>
        </w:rPr>
        <w:t xml:space="preserve">Statistické listy (SL) </w:t>
      </w:r>
      <w:r w:rsidRPr="00A00187">
        <w:t>– po pravomocném skončení (konečném vyřízení) věci v hlavních agendách jsou vyplňovány u jednotlivých soudů odpovědnou osobou, odeslány v elektronické podobě a automaticky zařazeny do datového skladu. Vyhotovují se ke každé věci (osobě v trestní agendě). Obsahují velmi detailní údaje o věci (významné časové údaje, údaje o odvolání, výsledek řízení, anonymizované údaje o účastnících řízení, o výši a druhu trestu apod.).</w:t>
      </w:r>
    </w:p>
    <w:p w14:paraId="16974D36" w14:textId="3A309148" w:rsidR="008430BD" w:rsidRPr="00A00187" w:rsidRDefault="008430BD" w:rsidP="008430BD">
      <w:pPr>
        <w:pStyle w:val="Odstavecseseznamem"/>
        <w:numPr>
          <w:ilvl w:val="0"/>
          <w:numId w:val="4"/>
        </w:numPr>
      </w:pPr>
      <w:r w:rsidRPr="00A00187">
        <w:rPr>
          <w:b/>
        </w:rPr>
        <w:t xml:space="preserve">Výkazy o činnosti soudů </w:t>
      </w:r>
      <w:r w:rsidRPr="00A00187">
        <w:t xml:space="preserve">– obsahují především údaje o počtu napadlých, obživlých, vyřízených a nevyřízených věcí za zkoumané období, ale i další data </w:t>
      </w:r>
      <w:r w:rsidR="001126B0" w:rsidRPr="00A00187">
        <w:t>jako</w:t>
      </w:r>
      <w:r w:rsidRPr="00A00187">
        <w:t xml:space="preserve"> např. dělení vyřízených věcí podle způsobu vyřízení </w:t>
      </w:r>
      <w:r w:rsidR="005A77B7" w:rsidRPr="00A00187">
        <w:t>či</w:t>
      </w:r>
      <w:r w:rsidRPr="00A00187">
        <w:t> dělení obživlých věcí podle důvodu pro obživnutí. Vypočítávají se automaticky pro každou agendu (rejstřík) a každý soud.</w:t>
      </w:r>
    </w:p>
    <w:p w14:paraId="4579D780" w14:textId="77777777" w:rsidR="008430BD" w:rsidRPr="00A00187" w:rsidRDefault="008430BD" w:rsidP="008430BD">
      <w:pPr>
        <w:pStyle w:val="Odstavecseseznamem"/>
        <w:numPr>
          <w:ilvl w:val="0"/>
          <w:numId w:val="4"/>
        </w:numPr>
        <w:rPr>
          <w:b/>
        </w:rPr>
      </w:pPr>
      <w:r w:rsidRPr="00A00187">
        <w:rPr>
          <w:b/>
        </w:rPr>
        <w:t xml:space="preserve">Vyřízené věci </w:t>
      </w:r>
      <w:r w:rsidRPr="00A00187">
        <w:t>– v této zprávě se vždy jedná o roční data, která jsou získána z výkazů o činnosti soudů.</w:t>
      </w:r>
    </w:p>
    <w:p w14:paraId="6E4D1CE5" w14:textId="77777777" w:rsidR="008430BD" w:rsidRPr="00A00187" w:rsidRDefault="008430BD" w:rsidP="008430BD"/>
    <w:p w14:paraId="1F5A5D67" w14:textId="77777777" w:rsidR="008430BD" w:rsidRPr="00A00187" w:rsidRDefault="008430BD" w:rsidP="008430BD">
      <w:pPr>
        <w:pStyle w:val="Nadpis3"/>
        <w:pageBreakBefore/>
        <w:ind w:left="0" w:firstLine="0"/>
        <w:rPr>
          <w:color w:val="auto"/>
        </w:rPr>
      </w:pPr>
      <w:bookmarkStart w:id="1376" w:name="_Toc487791319"/>
      <w:bookmarkStart w:id="1377" w:name="_Toc106092837"/>
      <w:bookmarkStart w:id="1378" w:name="_Toc109801448"/>
      <w:r w:rsidRPr="00A00187">
        <w:rPr>
          <w:color w:val="auto"/>
        </w:rPr>
        <w:lastRenderedPageBreak/>
        <w:t>Právní a ostatní pojmy</w:t>
      </w:r>
      <w:bookmarkEnd w:id="1376"/>
      <w:bookmarkEnd w:id="1377"/>
      <w:bookmarkEnd w:id="1378"/>
    </w:p>
    <w:p w14:paraId="68BDF495" w14:textId="77777777" w:rsidR="008430BD" w:rsidRPr="00A00187" w:rsidRDefault="008430BD" w:rsidP="008430BD">
      <w:pPr>
        <w:pStyle w:val="Odstavecseseznamem"/>
        <w:numPr>
          <w:ilvl w:val="0"/>
          <w:numId w:val="4"/>
        </w:numPr>
      </w:pPr>
      <w:r w:rsidRPr="00A00187">
        <w:rPr>
          <w:b/>
        </w:rPr>
        <w:t xml:space="preserve">Civilní </w:t>
      </w:r>
      <w:r w:rsidRPr="00A00187">
        <w:t>– (agenda, řízení, úsek) činnost soudů v občanském soudním řízení. Civilní soudnictví v sobě dále zahrnuje celou řadů různých specificky upravených typů řízení (řízení o pozůstalosti, umoření listin apod.) a člení se tudíž na další agendy. Do samostatných agend se z něj vyčleňuje opatrovnická a obchodní agenda, z obchodní agendy pak dále zvlášť agenda insolvenční. V této zprávě se civilní agendou myslí zpravidla věci vedené v rejstříku C, do kterého se zapisují zejména občanskoprávní návrhy týkající se právních poměrů mezi žalobcem a žalovaným a návrhy na rozhodnutí ve statusových věcech manželských a partnerských.</w:t>
      </w:r>
    </w:p>
    <w:p w14:paraId="2794FE33" w14:textId="2BAD5EC0" w:rsidR="002754E0" w:rsidRPr="00A00187" w:rsidRDefault="002754E0" w:rsidP="002754E0">
      <w:pPr>
        <w:pStyle w:val="Odstavecseseznamem"/>
        <w:numPr>
          <w:ilvl w:val="0"/>
          <w:numId w:val="4"/>
        </w:numPr>
      </w:pPr>
      <w:r w:rsidRPr="00A00187">
        <w:rPr>
          <w:b/>
        </w:rPr>
        <w:t>CEPEJ</w:t>
      </w:r>
      <w:r w:rsidRPr="00A00187">
        <w:t xml:space="preserve"> – </w:t>
      </w:r>
      <w:r w:rsidR="00357A51" w:rsidRPr="00A00187">
        <w:t>E</w:t>
      </w:r>
      <w:r w:rsidRPr="00A00187">
        <w:t>vropská komise pro efektivitu justice</w:t>
      </w:r>
      <w:r w:rsidR="001D7D46" w:rsidRPr="00A00187">
        <w:t xml:space="preserve"> Rady Evropy</w:t>
      </w:r>
      <w:r w:rsidRPr="00A00187">
        <w:t xml:space="preserve"> (</w:t>
      </w:r>
      <w:proofErr w:type="spellStart"/>
      <w:r w:rsidR="00357A51" w:rsidRPr="00A00187">
        <w:t>European</w:t>
      </w:r>
      <w:proofErr w:type="spellEnd"/>
      <w:r w:rsidR="00357A51" w:rsidRPr="00A00187">
        <w:t xml:space="preserve"> </w:t>
      </w:r>
      <w:r w:rsidR="003426BF">
        <w:br/>
      </w:r>
      <w:proofErr w:type="spellStart"/>
      <w:r w:rsidR="00357A51" w:rsidRPr="00A00187">
        <w:t>Commission</w:t>
      </w:r>
      <w:proofErr w:type="spellEnd"/>
      <w:r w:rsidR="00357A51" w:rsidRPr="00A00187">
        <w:t xml:space="preserve"> </w:t>
      </w:r>
      <w:proofErr w:type="spellStart"/>
      <w:r w:rsidR="00357A51" w:rsidRPr="00A00187">
        <w:t>for</w:t>
      </w:r>
      <w:proofErr w:type="spellEnd"/>
      <w:r w:rsidR="00357A51" w:rsidRPr="00A00187">
        <w:t xml:space="preserve"> </w:t>
      </w:r>
      <w:proofErr w:type="spellStart"/>
      <w:r w:rsidR="00357A51" w:rsidRPr="00A00187">
        <w:t>the</w:t>
      </w:r>
      <w:proofErr w:type="spellEnd"/>
      <w:r w:rsidR="00357A51" w:rsidRPr="00A00187">
        <w:t xml:space="preserve"> </w:t>
      </w:r>
      <w:proofErr w:type="spellStart"/>
      <w:r w:rsidR="00357A51" w:rsidRPr="00A00187">
        <w:t>Efficiency</w:t>
      </w:r>
      <w:proofErr w:type="spellEnd"/>
      <w:r w:rsidR="00357A51" w:rsidRPr="00A00187">
        <w:t xml:space="preserve"> </w:t>
      </w:r>
      <w:proofErr w:type="spellStart"/>
      <w:r w:rsidR="00357A51" w:rsidRPr="00A00187">
        <w:t>of</w:t>
      </w:r>
      <w:proofErr w:type="spellEnd"/>
      <w:r w:rsidR="00357A51" w:rsidRPr="00A00187">
        <w:t xml:space="preserve"> Justice), jejímž úkolem je </w:t>
      </w:r>
      <w:r w:rsidR="00C22C9A" w:rsidRPr="00A00187">
        <w:t xml:space="preserve">porovnávání </w:t>
      </w:r>
      <w:r w:rsidR="003426BF">
        <w:br/>
      </w:r>
      <w:r w:rsidR="00C22C9A" w:rsidRPr="00A00187">
        <w:t xml:space="preserve">soudních systémů </w:t>
      </w:r>
      <w:r w:rsidR="00755920" w:rsidRPr="00A00187">
        <w:t>a</w:t>
      </w:r>
      <w:r w:rsidR="003426BF">
        <w:t xml:space="preserve"> </w:t>
      </w:r>
      <w:r w:rsidR="00C22C9A" w:rsidRPr="00A00187">
        <w:t xml:space="preserve">výměna poznatků o jejich fungování. </w:t>
      </w:r>
      <w:r w:rsidR="00395B5A" w:rsidRPr="00A00187">
        <w:t>Domovská stránka</w:t>
      </w:r>
      <w:r w:rsidR="00C22C9A" w:rsidRPr="00A00187">
        <w:t xml:space="preserve">: </w:t>
      </w:r>
      <w:hyperlink r:id="rId171" w:history="1">
        <w:r w:rsidR="000777CE" w:rsidRPr="001F715A">
          <w:rPr>
            <w:rStyle w:val="Hypertextovodkaz"/>
          </w:rPr>
          <w:t>https://www.coe.int/en/web/cepej/home</w:t>
        </w:r>
      </w:hyperlink>
      <w:r w:rsidR="000777CE">
        <w:t>.</w:t>
      </w:r>
    </w:p>
    <w:p w14:paraId="5A5CF2DC" w14:textId="4D17DD63" w:rsidR="008430BD" w:rsidRPr="00A00187" w:rsidRDefault="008430BD" w:rsidP="008430BD">
      <w:pPr>
        <w:pStyle w:val="Odstavecseseznamem"/>
        <w:numPr>
          <w:ilvl w:val="0"/>
          <w:numId w:val="4"/>
        </w:numPr>
      </w:pPr>
      <w:r w:rsidRPr="00A00187">
        <w:rPr>
          <w:b/>
        </w:rPr>
        <w:t xml:space="preserve">Dovolání </w:t>
      </w:r>
      <w:r w:rsidRPr="00A00187">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 apod.).</w:t>
      </w:r>
    </w:p>
    <w:p w14:paraId="3ADDCFFE" w14:textId="611837A4" w:rsidR="008430BD" w:rsidRPr="00A00187" w:rsidRDefault="008430BD" w:rsidP="008430BD">
      <w:pPr>
        <w:pStyle w:val="Odstavecseseznamem"/>
        <w:numPr>
          <w:ilvl w:val="0"/>
          <w:numId w:val="4"/>
        </w:numPr>
      </w:pPr>
      <w:r w:rsidRPr="00A00187">
        <w:rPr>
          <w:b/>
        </w:rPr>
        <w:t xml:space="preserve">Hlavní agendy </w:t>
      </w:r>
      <w:r w:rsidRPr="00A00187">
        <w:t>– jedná se o takové agendy soudů, které svou velikostí a významem tvoří stěžejní část jejich práce. V případě soudů jsou to z civilní (občanskoprávní) agendy věci zapisované do rejstříku C, z opatrovnické agendy věci vedené v rejstříku P</w:t>
      </w:r>
      <w:r w:rsidR="0053190F" w:rsidRPr="00A00187">
        <w:t> </w:t>
      </w:r>
      <w:r w:rsidRPr="00A00187">
        <w:t>a </w:t>
      </w:r>
      <w:proofErr w:type="spellStart"/>
      <w:r w:rsidRPr="00A00187">
        <w:t>Nc</w:t>
      </w:r>
      <w:proofErr w:type="spellEnd"/>
      <w:r w:rsidRPr="00A00187">
        <w:t>, u obchodní agendy věci z rejstříku Cm a insolvenčního rejstříku</w:t>
      </w:r>
      <w:r w:rsidR="0053190F" w:rsidRPr="00A00187">
        <w:t> </w:t>
      </w:r>
      <w:r w:rsidRPr="00A00187">
        <w:t>INS, z trestní agendy rejstříky T a </w:t>
      </w:r>
      <w:proofErr w:type="spellStart"/>
      <w:r w:rsidRPr="00A00187">
        <w:t>Tm</w:t>
      </w:r>
      <w:proofErr w:type="spellEnd"/>
      <w:r w:rsidRPr="00A00187">
        <w:t xml:space="preserve"> a ze správního soudnictví všechny správní rejstříky kromě tzv. všeobecného rejstříku správního soudnictví.</w:t>
      </w:r>
    </w:p>
    <w:p w14:paraId="6A811697" w14:textId="7D42460A" w:rsidR="008430BD" w:rsidRPr="00A00187" w:rsidRDefault="008430BD" w:rsidP="008430BD">
      <w:pPr>
        <w:pStyle w:val="Odstavecseseznamem"/>
        <w:numPr>
          <w:ilvl w:val="0"/>
          <w:numId w:val="4"/>
        </w:numPr>
      </w:pPr>
      <w:proofErr w:type="spellStart"/>
      <w:r w:rsidRPr="00A00187">
        <w:rPr>
          <w:b/>
        </w:rPr>
        <w:t>InfoData</w:t>
      </w:r>
      <w:proofErr w:type="spellEnd"/>
      <w:r w:rsidRPr="00A00187">
        <w:rPr>
          <w:b/>
        </w:rPr>
        <w:t xml:space="preserve"> </w:t>
      </w:r>
      <w:r w:rsidRPr="00A00187">
        <w:t>– statistický portál Ministerstva spravedlnosti, který umožňuje přístup široké veřejnosti k výkazům a statistikám soudů. Jeho hlavním cílem je prezentovat všechny důležité informace o justici na jednom místě a tím přispět k její větší otevřenosti (</w:t>
      </w:r>
      <w:hyperlink r:id="rId172" w:history="1">
        <w:r w:rsidR="005B0E0D" w:rsidRPr="0014092B">
          <w:rPr>
            <w:rStyle w:val="Hypertextovodkaz"/>
          </w:rPr>
          <w:t>http://cslav.justice.cz/InfoData/uvod.html</w:t>
        </w:r>
      </w:hyperlink>
      <w:r w:rsidRPr="00A00187">
        <w:t>).</w:t>
      </w:r>
    </w:p>
    <w:p w14:paraId="754C9E75" w14:textId="7DE8E608" w:rsidR="008430BD" w:rsidRPr="00A00187" w:rsidRDefault="008430BD" w:rsidP="008430BD">
      <w:pPr>
        <w:pStyle w:val="Odstavecseseznamem"/>
        <w:numPr>
          <w:ilvl w:val="0"/>
          <w:numId w:val="4"/>
        </w:numPr>
      </w:pPr>
      <w:r w:rsidRPr="00A00187">
        <w:rPr>
          <w:b/>
        </w:rPr>
        <w:t xml:space="preserve">Incidenční spory </w:t>
      </w:r>
      <w:r w:rsidRPr="00A00187">
        <w:t xml:space="preserve">– jedná se </w:t>
      </w:r>
      <w:r w:rsidR="000C3B1E" w:rsidRPr="00A00187">
        <w:t>o </w:t>
      </w:r>
      <w:r w:rsidRPr="00A00187">
        <w:t xml:space="preserve">spory vyvolané insolvenčním řízením </w:t>
      </w:r>
      <w:r w:rsidR="000C3B1E" w:rsidRPr="00A00187">
        <w:t>a </w:t>
      </w:r>
      <w:r w:rsidRPr="00A00187">
        <w:t xml:space="preserve">projednávané v rámci insolvenčního řízení. Co jsou incidenční spory vymezuje insolvenční zákon (zákon č. 182/2006 Sb.). Jde například </w:t>
      </w:r>
      <w:r w:rsidR="000C3B1E" w:rsidRPr="00A00187">
        <w:t>o </w:t>
      </w:r>
      <w:r w:rsidRPr="00A00187">
        <w:t xml:space="preserve">spory </w:t>
      </w:r>
      <w:r w:rsidR="000C3B1E" w:rsidRPr="00A00187">
        <w:t>o </w:t>
      </w:r>
      <w:r w:rsidRPr="00A00187">
        <w:t xml:space="preserve">pravost, výši nebo pořadí přihlášených pohledávek, spory </w:t>
      </w:r>
      <w:r w:rsidR="000C3B1E" w:rsidRPr="00A00187">
        <w:t>o </w:t>
      </w:r>
      <w:r w:rsidRPr="00A00187">
        <w:t xml:space="preserve">vypořádání společného jmění dlužníka </w:t>
      </w:r>
      <w:r w:rsidR="000C3B1E" w:rsidRPr="00A00187">
        <w:t>a </w:t>
      </w:r>
      <w:r w:rsidRPr="00A00187">
        <w:t xml:space="preserve">jeho manžela, spory o platnost smluv, kterými došlo ke zpeněžení majetkové podstaty prodejem mimo dražbu </w:t>
      </w:r>
      <w:r w:rsidR="000C3B1E" w:rsidRPr="00A00187">
        <w:t>a </w:t>
      </w:r>
      <w:r w:rsidRPr="00A00187">
        <w:t xml:space="preserve">další (viz také </w:t>
      </w:r>
      <w:proofErr w:type="spellStart"/>
      <w:r w:rsidRPr="00A00187">
        <w:t>ust</w:t>
      </w:r>
      <w:proofErr w:type="spellEnd"/>
      <w:r w:rsidRPr="00A00187">
        <w:t>. §</w:t>
      </w:r>
      <w:r w:rsidR="0053190F" w:rsidRPr="00A00187">
        <w:t> </w:t>
      </w:r>
      <w:r w:rsidRPr="00A00187">
        <w:t xml:space="preserve">159 </w:t>
      </w:r>
      <w:r w:rsidR="000C3B1E" w:rsidRPr="00A00187">
        <w:t>a </w:t>
      </w:r>
      <w:r w:rsidRPr="00A00187">
        <w:t>násl. insolvenčního zákona).</w:t>
      </w:r>
    </w:p>
    <w:p w14:paraId="1767D529" w14:textId="18298AC4" w:rsidR="008430BD" w:rsidRPr="00A00187" w:rsidRDefault="008430BD" w:rsidP="008430BD">
      <w:pPr>
        <w:pStyle w:val="Odstavecseseznamem"/>
        <w:numPr>
          <w:ilvl w:val="0"/>
          <w:numId w:val="4"/>
        </w:numPr>
      </w:pPr>
      <w:r w:rsidRPr="00A00187">
        <w:rPr>
          <w:b/>
        </w:rPr>
        <w:t xml:space="preserve">Insolvence </w:t>
      </w:r>
      <w:r w:rsidRPr="00A00187">
        <w:t>– jinak také insolvenční agenda (řízení). Jedná se o zvláštní soudní řízení civilní agendy, jehož předmětem je projednání úpadku a jeho řešení. Do insolvenční agendy se dále ř</w:t>
      </w:r>
      <w:r w:rsidR="005A77B7" w:rsidRPr="00A00187">
        <w:t>a</w:t>
      </w:r>
      <w:r w:rsidRPr="00A00187">
        <w:t xml:space="preserve">dí incidenční spory. </w:t>
      </w:r>
      <w:r w:rsidR="00560594" w:rsidRPr="00A00187">
        <w:t xml:space="preserve">Insolvenční řízení vedou krajské soudy jako soudy věcně příslušné v rámci </w:t>
      </w:r>
      <w:r w:rsidRPr="00A00187">
        <w:t>insolvenčních oddělení obchodních úseků soudů.</w:t>
      </w:r>
    </w:p>
    <w:p w14:paraId="056933AE" w14:textId="0CA951EB" w:rsidR="008430BD" w:rsidRPr="00A00187" w:rsidRDefault="008430BD" w:rsidP="008430BD">
      <w:pPr>
        <w:pStyle w:val="Odstavecseseznamem"/>
        <w:numPr>
          <w:ilvl w:val="0"/>
          <w:numId w:val="4"/>
        </w:numPr>
      </w:pPr>
      <w:r w:rsidRPr="00A00187">
        <w:rPr>
          <w:b/>
        </w:rPr>
        <w:t xml:space="preserve">Jmenovací etapa </w:t>
      </w:r>
      <w:r w:rsidRPr="00A00187">
        <w:t>– jinak také etapa jmenování soudců. Soudce jmenuje prezident na návrh ministra spravedlnosti dle aktuální potřeby jednotlivých soudů.</w:t>
      </w:r>
    </w:p>
    <w:p w14:paraId="2FF04D03" w14:textId="14755FAA" w:rsidR="008430BD" w:rsidRPr="00A00187" w:rsidRDefault="008430BD" w:rsidP="008430BD">
      <w:pPr>
        <w:pStyle w:val="Odstavecseseznamem"/>
        <w:numPr>
          <w:ilvl w:val="0"/>
          <w:numId w:val="4"/>
        </w:numPr>
      </w:pPr>
      <w:r w:rsidRPr="00A00187">
        <w:rPr>
          <w:b/>
        </w:rPr>
        <w:t xml:space="preserve">Kasační stížnost </w:t>
      </w:r>
      <w:r w:rsidRPr="00A00187">
        <w:t xml:space="preserve">– mimořádný opravný prostředek, jímž lze napadnout pravomocné rozhodnutí krajského soudu vydané ve správním soudnictví. Kasační stížnost je možné podat v zásadě proti každému takovému rozhodnutí, není-li přezkoumání v kasačním </w:t>
      </w:r>
      <w:r w:rsidRPr="00A00187">
        <w:lastRenderedPageBreak/>
        <w:t>řízení zákonem výslovně vyloučeno. O kasačních stížnostech rozhoduje Nejvyšší správní soud.</w:t>
      </w:r>
    </w:p>
    <w:p w14:paraId="30C74BC6" w14:textId="77777777" w:rsidR="008430BD" w:rsidRPr="00A00187" w:rsidRDefault="008430BD" w:rsidP="008430BD">
      <w:pPr>
        <w:pStyle w:val="Odstavecseseznamem"/>
        <w:numPr>
          <w:ilvl w:val="0"/>
          <w:numId w:val="4"/>
        </w:numPr>
      </w:pPr>
      <w:r w:rsidRPr="00A00187">
        <w:rPr>
          <w:b/>
        </w:rPr>
        <w:t xml:space="preserve">Krajské soudy (KS) </w:t>
      </w:r>
      <w:r w:rsidRPr="00A00187">
        <w:t>– druhý ze čtyř článků soustavy soudů ČR. Působí jich celkem osm, a to Krajský soud v Praze, v Českých Budějovicích, v Plzni, v Ústí nad Labem, v Hradci Králové, v Brně a v Ostravě a Městský soud v Praze, který vykonává působnost krajského soudu pro území hlavního města Prahy.</w:t>
      </w:r>
    </w:p>
    <w:p w14:paraId="68B2C30B" w14:textId="47B97211" w:rsidR="008430BD" w:rsidRPr="00A00187" w:rsidRDefault="008430BD" w:rsidP="008430BD">
      <w:pPr>
        <w:pStyle w:val="Odstavecseseznamem"/>
        <w:numPr>
          <w:ilvl w:val="0"/>
          <w:numId w:val="4"/>
        </w:numPr>
      </w:pPr>
      <w:r w:rsidRPr="00A00187">
        <w:rPr>
          <w:b/>
        </w:rPr>
        <w:t xml:space="preserve">Moratorium </w:t>
      </w:r>
      <w:r w:rsidRPr="00A00187">
        <w:t xml:space="preserve">– představuje poslední možnost odvrátit úpadek dlužníka před jeho zjištěním, neboť po dobu jeho trvání nelze vyhlásit úpadek dlužníka, platí však stejné účinky jako při zahájení insolvenčního řízení. O moratorium může žádat jen dlužník, který je podnikatelem. Moratorium se vyhlašuje za splnění zákonných podmínek nejdéle na dobu 3 měsíců; ve zvláštních případech může být prodlouženo </w:t>
      </w:r>
      <w:r w:rsidR="000C3B1E" w:rsidRPr="00A00187">
        <w:t>o </w:t>
      </w:r>
      <w:r w:rsidRPr="00A00187">
        <w:t xml:space="preserve">dalších třicet dnů. </w:t>
      </w:r>
      <w:r w:rsidRPr="00A00187" w:rsidDel="003549CA">
        <w:t>Smyslem moratoria je poskytnout dlužník</w:t>
      </w:r>
      <w:r w:rsidRPr="00A00187">
        <w:t>ovi</w:t>
      </w:r>
      <w:r w:rsidRPr="00A00187" w:rsidDel="003549CA">
        <w:t xml:space="preserve"> čas na vyřešení svých nesplácených závazků</w:t>
      </w:r>
      <w:r w:rsidRPr="00A00187">
        <w:t xml:space="preserve"> a </w:t>
      </w:r>
      <w:r w:rsidRPr="00A00187" w:rsidDel="003549CA">
        <w:t>pohledávek</w:t>
      </w:r>
      <w:r w:rsidRPr="00A00187">
        <w:t>, zachovat provoz podniku dlužníka a </w:t>
      </w:r>
      <w:r w:rsidRPr="00A00187" w:rsidDel="003549CA">
        <w:t>vyrovnat se</w:t>
      </w:r>
      <w:r w:rsidRPr="00A00187">
        <w:t xml:space="preserve"> s </w:t>
      </w:r>
      <w:r w:rsidRPr="00A00187" w:rsidDel="003549CA">
        <w:t xml:space="preserve">věřiteli ještě před </w:t>
      </w:r>
      <w:r w:rsidRPr="00A00187">
        <w:t>tím, než proběhne celé insolvenční</w:t>
      </w:r>
      <w:r w:rsidRPr="00A00187" w:rsidDel="003549CA">
        <w:t xml:space="preserve"> řízení.</w:t>
      </w:r>
    </w:p>
    <w:p w14:paraId="2CF16E37" w14:textId="77777777" w:rsidR="008430BD" w:rsidRPr="00A00187" w:rsidRDefault="008430BD" w:rsidP="008430BD">
      <w:pPr>
        <w:pStyle w:val="Odstavecseseznamem"/>
        <w:numPr>
          <w:ilvl w:val="0"/>
          <w:numId w:val="4"/>
        </w:numPr>
        <w:ind w:left="714" w:hanging="357"/>
      </w:pPr>
      <w:r w:rsidRPr="00A00187">
        <w:rPr>
          <w:b/>
        </w:rPr>
        <w:t xml:space="preserve">Nadřízený soud </w:t>
      </w:r>
      <w:r w:rsidRPr="00A00187">
        <w:t>– z hlediska hierarchického organizačního uspořádání soudní soustavy lze soudy obecně označovat podle jejich postavení v soustavě jako soudy vyšší a nižší a z hlediska instančních vztahů také jako soudy nadřízené (vyššího stupně) a podřízené (nižšího stupně). Vyšším soudem je soud, který v soudní soustavě zaujímá oproti jinému soudu vyšší postavení bez ohledu na to, zda nižší soud je činný v obvodu působnosti soudu vyššího. Nadřízeným soudem je soud vyšší ve vztahu k soudu nižšímu (podřízenému), který spadá do jeho obvodu působnosti. Například krajský soud je vždy nadřízeným soudem ve vztahu k okresním soudům v obvodu jeho působnosti, nikoliv však již ve vztahu k okresním soudům, které spadají do působnosti jiného krajského soudu.</w:t>
      </w:r>
    </w:p>
    <w:p w14:paraId="451DF910" w14:textId="77777777" w:rsidR="008430BD" w:rsidRPr="00A00187" w:rsidRDefault="008430BD" w:rsidP="008430BD">
      <w:pPr>
        <w:pStyle w:val="Odstavecseseznamem"/>
        <w:numPr>
          <w:ilvl w:val="0"/>
          <w:numId w:val="4"/>
        </w:numPr>
        <w:ind w:left="714" w:hanging="357"/>
      </w:pPr>
      <w:r w:rsidRPr="00A00187">
        <w:rPr>
          <w:b/>
        </w:rPr>
        <w:t xml:space="preserve">Nejvyšší soud (NS) </w:t>
      </w:r>
      <w:r w:rsidRPr="00A00187">
        <w:t>– čtvrtý článek soudní soustavy a vrcholný soudní orgán ve věcech patřících do pravomoci soudů v civilním a trestním soudnictví s výjimkou záležitostí, o nichž rozhoduje Ústavní soud a Nejvyšší správní soud.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 Sídlí v Brně.</w:t>
      </w:r>
    </w:p>
    <w:p w14:paraId="29E8C6C9" w14:textId="77777777" w:rsidR="008430BD" w:rsidRPr="00A00187" w:rsidRDefault="008430BD" w:rsidP="008430BD">
      <w:pPr>
        <w:pStyle w:val="Odstavecseseznamem"/>
        <w:numPr>
          <w:ilvl w:val="0"/>
          <w:numId w:val="4"/>
        </w:numPr>
        <w:ind w:left="714" w:hanging="357"/>
      </w:pPr>
      <w:r w:rsidRPr="00A00187">
        <w:rPr>
          <w:b/>
        </w:rPr>
        <w:t xml:space="preserve">Nejvyšší správní soud (NSS) </w:t>
      </w:r>
      <w:r w:rsidRPr="00A00187">
        <w:t>– vrcholný soudní orgán ve věcech patřících do pravomoci soudů ve správním soudnictví. Správní soudnictví v ČR spolu s NSS vykonávají dále už jen krajské soudy. Sídlí v Brně.</w:t>
      </w:r>
    </w:p>
    <w:p w14:paraId="621EDD0B" w14:textId="77777777" w:rsidR="008430BD" w:rsidRPr="00A00187" w:rsidRDefault="008430BD" w:rsidP="008430BD">
      <w:pPr>
        <w:pStyle w:val="Odstavecseseznamem"/>
        <w:numPr>
          <w:ilvl w:val="0"/>
          <w:numId w:val="4"/>
        </w:numPr>
        <w:ind w:left="714" w:hanging="357"/>
      </w:pPr>
      <w:r w:rsidRPr="00A00187">
        <w:rPr>
          <w:b/>
        </w:rPr>
        <w:t xml:space="preserve">O. z. </w:t>
      </w:r>
      <w:r w:rsidRPr="00A00187">
        <w:t xml:space="preserve">– občanský zákoník, zákon č. 89/2012 Sb., který </w:t>
      </w:r>
      <w:proofErr w:type="spellStart"/>
      <w:r w:rsidRPr="00A00187">
        <w:t>rekodifikoval</w:t>
      </w:r>
      <w:proofErr w:type="spellEnd"/>
      <w:r w:rsidRPr="00A00187">
        <w:t xml:space="preserve"> české soukromé právo a nahradil předchozí československý občanský zákoník z roku 1964. Nabyl účinnosti dnem 1. 1. 2014.</w:t>
      </w:r>
    </w:p>
    <w:p w14:paraId="5512C889" w14:textId="7A879600" w:rsidR="008430BD" w:rsidRPr="00A00187" w:rsidRDefault="008430BD" w:rsidP="008430BD">
      <w:pPr>
        <w:pStyle w:val="Odstavecseseznamem"/>
        <w:numPr>
          <w:ilvl w:val="0"/>
          <w:numId w:val="4"/>
        </w:numPr>
        <w:ind w:left="714" w:hanging="357"/>
      </w:pPr>
      <w:r w:rsidRPr="00A00187">
        <w:rPr>
          <w:b/>
        </w:rPr>
        <w:t xml:space="preserve">Obchodní </w:t>
      </w:r>
      <w:r w:rsidRPr="00A00187">
        <w:t>– (agenda, úsek) jedna ze samostatně sledovaných agend civilního soudnictví, jejíž převážnou část tvoří spory mezi podnikateli a statusové věci právnických osob včetně jejich zrušení a likvidace, jmenování a odvolávání členů jejich orgánů nebo likvidátora a přeměn</w:t>
      </w:r>
      <w:r w:rsidR="00395B5A" w:rsidRPr="00A00187">
        <w:t>y</w:t>
      </w:r>
      <w:r w:rsidRPr="00A00187">
        <w:t>. Do obchodní agendy se řadí i dvě další agendy se specificky upraveným druhem řízení. V prvním případě se jedná o insolvenci, která je vzhledem ke svému rozsahu a významu sledována zvlášť. V druhém případě jde o řízení ve věcech veřejných rejstříků právnických a fyzických osob. Tato zpráva se posledně uvedenou agendou nezabývá; údaje o ní lze získat z ostatních veřejných zdrojů justičních statistik.</w:t>
      </w:r>
    </w:p>
    <w:p w14:paraId="4CA40BEE" w14:textId="3551738C" w:rsidR="008430BD" w:rsidRPr="00A00187" w:rsidRDefault="008430BD" w:rsidP="008430BD">
      <w:pPr>
        <w:pStyle w:val="Odstavecseseznamem"/>
        <w:numPr>
          <w:ilvl w:val="0"/>
          <w:numId w:val="4"/>
        </w:numPr>
      </w:pPr>
      <w:r w:rsidRPr="00A00187">
        <w:rPr>
          <w:b/>
        </w:rPr>
        <w:lastRenderedPageBreak/>
        <w:t xml:space="preserve">Odvolací instance (agenda) </w:t>
      </w:r>
      <w:r w:rsidRPr="00A00187">
        <w:t>– také soud I</w:t>
      </w:r>
      <w:r w:rsidR="000C3B1E" w:rsidRPr="00A00187">
        <w:t>I. stupně</w:t>
      </w:r>
      <w:r w:rsidRPr="00A00187">
        <w:t xml:space="preserve"> (druhostupňová agenda). Soudní řízení bývá zpravidla dvoustupňové. Každá nová věc (spor nebo jiná právní věc) je nejdříve projednána a rozhodnuta v první instanci (viz dále). Lze-li nepravomocné rozhodnutí soudu </w:t>
      </w:r>
      <w:r w:rsidR="000C3B1E" w:rsidRPr="00A00187">
        <w:t>I. stupně</w:t>
      </w:r>
      <w:r w:rsidRPr="00A00187">
        <w:t xml:space="preserve"> napadnout opravným prostředkem, </w:t>
      </w:r>
      <w:r w:rsidR="00395B5A" w:rsidRPr="00A00187">
        <w:t xml:space="preserve">rozhoduje </w:t>
      </w:r>
      <w:r w:rsidR="00755920" w:rsidRPr="00A00187">
        <w:t>o</w:t>
      </w:r>
      <w:r w:rsidR="00755920">
        <w:t> </w:t>
      </w:r>
      <w:r w:rsidR="00395B5A" w:rsidRPr="00A00187">
        <w:t>něm</w:t>
      </w:r>
      <w:r w:rsidRPr="00A00187">
        <w:t xml:space="preserve"> bezprostředně </w:t>
      </w:r>
      <w:r w:rsidR="00395B5A" w:rsidRPr="00A00187">
        <w:t xml:space="preserve">nadřízený </w:t>
      </w:r>
      <w:r w:rsidRPr="00A00187">
        <w:t xml:space="preserve">soud </w:t>
      </w:r>
      <w:r w:rsidR="00755920" w:rsidRPr="00A00187">
        <w:t>v</w:t>
      </w:r>
      <w:r w:rsidR="00755920">
        <w:t> </w:t>
      </w:r>
      <w:r w:rsidRPr="00A00187">
        <w:t>odvolací</w:t>
      </w:r>
      <w:r w:rsidR="00395B5A" w:rsidRPr="00A00187">
        <w:t>m</w:t>
      </w:r>
      <w:r w:rsidRPr="00A00187">
        <w:t xml:space="preserve"> řízení.</w:t>
      </w:r>
    </w:p>
    <w:p w14:paraId="4C6A9356" w14:textId="49989935" w:rsidR="008430BD" w:rsidRPr="00A00187" w:rsidRDefault="008430BD" w:rsidP="008430BD">
      <w:pPr>
        <w:pStyle w:val="Odstavecseseznamem"/>
        <w:numPr>
          <w:ilvl w:val="0"/>
          <w:numId w:val="4"/>
        </w:numPr>
      </w:pPr>
      <w:r w:rsidRPr="00A00187">
        <w:rPr>
          <w:b/>
        </w:rPr>
        <w:t>Okresní soudy (OS)</w:t>
      </w:r>
      <w:r w:rsidRPr="00A00187">
        <w:t xml:space="preserve"> – první, nejnižší článek soudní soustavy. Tento článek soustavy čítá celkem 86 okresních soudů, z nichž 75 je označeno jako </w:t>
      </w:r>
      <w:r w:rsidRPr="00A00187">
        <w:rPr>
          <w:i/>
        </w:rPr>
        <w:t>okresní</w:t>
      </w:r>
      <w:r w:rsidRPr="00A00187">
        <w:t xml:space="preserve">, deset soudů na území hlavního města Prahy jako </w:t>
      </w:r>
      <w:r w:rsidRPr="00A00187">
        <w:rPr>
          <w:i/>
        </w:rPr>
        <w:t>obvodní</w:t>
      </w:r>
      <w:r w:rsidRPr="00A00187">
        <w:t xml:space="preserve"> (území hl. m. Prahy se dělí na deset soudních obvodů) a jeden jako </w:t>
      </w:r>
      <w:r w:rsidRPr="00A00187">
        <w:rPr>
          <w:i/>
        </w:rPr>
        <w:t>městský</w:t>
      </w:r>
      <w:r w:rsidRPr="00A00187">
        <w:t xml:space="preserve"> – Městský soud v Brně, který vykonává působnost okresního soudu pro území Statutárního města Brno (okres </w:t>
      </w:r>
      <w:r w:rsidR="0053190F" w:rsidRPr="00A00187">
        <w:t>Brno</w:t>
      </w:r>
      <w:r w:rsidR="0053190F" w:rsidRPr="00A00187">
        <w:noBreakHyphen/>
      </w:r>
      <w:r w:rsidRPr="00A00187">
        <w:t>město).</w:t>
      </w:r>
    </w:p>
    <w:p w14:paraId="2FA316F8" w14:textId="77777777" w:rsidR="008430BD" w:rsidRPr="00A00187" w:rsidRDefault="008430BD" w:rsidP="008430BD">
      <w:pPr>
        <w:pStyle w:val="Odstavecseseznamem"/>
        <w:numPr>
          <w:ilvl w:val="0"/>
          <w:numId w:val="4"/>
        </w:numPr>
      </w:pPr>
      <w:r w:rsidRPr="00A00187">
        <w:rPr>
          <w:b/>
        </w:rPr>
        <w:t xml:space="preserve">Opatrovnická </w:t>
      </w:r>
      <w:r w:rsidRPr="00A00187">
        <w:t xml:space="preserve">– (agenda, řízení, úsek) je jednou ze samostatných agend civilního soudnictví, kterou tvoří zejména věci týkající se svéprávnosti a opatrovnictví člověka a dále především záležitosti nezletilých dětí, poručenství a jiných forem péče o dítě. Kromě výše uvedeného se do opatrovnické agendy započítávají také věci tzv. </w:t>
      </w:r>
      <w:r w:rsidRPr="00A00187">
        <w:rPr>
          <w:i/>
        </w:rPr>
        <w:t>detenčního řízení</w:t>
      </w:r>
      <w:r w:rsidRPr="00A00187">
        <w:t>, tedy řízení ve věcech vyslovení přípustnosti převzetí nebo držení ve zdravotním ústavu (rejstřík L). Vzhledem k omezenému rozsahu detenční agendy se jí tato zpráva nezabývá.</w:t>
      </w:r>
    </w:p>
    <w:p w14:paraId="1EB501EF" w14:textId="4B957A8C" w:rsidR="008430BD" w:rsidRPr="00A00187" w:rsidRDefault="008430BD" w:rsidP="008430BD">
      <w:pPr>
        <w:pStyle w:val="Odstavecseseznamem"/>
        <w:numPr>
          <w:ilvl w:val="0"/>
          <w:numId w:val="4"/>
        </w:numPr>
      </w:pPr>
      <w:r w:rsidRPr="00A00187">
        <w:rPr>
          <w:b/>
        </w:rPr>
        <w:t xml:space="preserve">První instance (prvoinstanční agenda) </w:t>
      </w:r>
      <w:r w:rsidRPr="00A00187">
        <w:t xml:space="preserve">– také soud </w:t>
      </w:r>
      <w:r w:rsidR="000C3B1E" w:rsidRPr="00A00187">
        <w:t>I. stupně</w:t>
      </w:r>
      <w:r w:rsidRPr="00A00187">
        <w:t xml:space="preserve"> (prvostupňová agenda). Okresní soudy jsou soudy první instance vždy, není-li k tomu podle předpisů upravujících soudní řízení u</w:t>
      </w:r>
      <w:r w:rsidR="000B514E" w:rsidRPr="00A00187">
        <w:t>r</w:t>
      </w:r>
      <w:r w:rsidRPr="00A00187">
        <w:t>čen jiný článek soudní soustavy. Takovým jiným článkem jsou zpravidla krajské soudy. Existuje však velmi malý okruh věcí, kdy jako prvoinstanční soud působí soudy vrchní nebo nejvyšší (Nejvyšší soud a Nejvyšší správní soud).</w:t>
      </w:r>
    </w:p>
    <w:p w14:paraId="2117FF80" w14:textId="0C1A5BE2" w:rsidR="008430BD" w:rsidRPr="00A00187" w:rsidRDefault="008430BD" w:rsidP="008430BD">
      <w:pPr>
        <w:pStyle w:val="Odstavecseseznamem"/>
        <w:numPr>
          <w:ilvl w:val="0"/>
          <w:numId w:val="4"/>
        </w:numPr>
      </w:pPr>
      <w:r w:rsidRPr="00A00187">
        <w:rPr>
          <w:b/>
        </w:rPr>
        <w:t xml:space="preserve">Přísedící soudu </w:t>
      </w:r>
      <w:r w:rsidRPr="00A00187">
        <w:t>–</w:t>
      </w:r>
      <w:r w:rsidR="00AB2060">
        <w:t xml:space="preserve"> </w:t>
      </w:r>
      <w:r w:rsidRPr="00A00187">
        <w:t>osoby</w:t>
      </w:r>
      <w:r w:rsidR="00DF67CE" w:rsidRPr="00A00187">
        <w:t xml:space="preserve">, které jsou voleny z řad laické veřejnosti </w:t>
      </w:r>
      <w:r w:rsidR="00755920" w:rsidRPr="00A00187">
        <w:t>a</w:t>
      </w:r>
      <w:r w:rsidR="00755920">
        <w:t> </w:t>
      </w:r>
      <w:r w:rsidR="00DF67CE" w:rsidRPr="00A00187">
        <w:t>které se podílí na rozhodovací činnosti soudů.</w:t>
      </w:r>
      <w:r w:rsidRPr="00A00187">
        <w:t xml:space="preserve"> </w:t>
      </w:r>
      <w:r w:rsidR="00DF67CE" w:rsidRPr="00A00187">
        <w:t>V</w:t>
      </w:r>
      <w:r w:rsidRPr="00A00187">
        <w:t>edle předsedy</w:t>
      </w:r>
      <w:r w:rsidR="00DF67CE" w:rsidRPr="00A00187">
        <w:t>, kterým je profesionálního soudce,</w:t>
      </w:r>
      <w:r w:rsidRPr="00A00187">
        <w:t xml:space="preserve"> </w:t>
      </w:r>
      <w:r w:rsidR="00DF67CE" w:rsidRPr="00A00187">
        <w:t>jsou</w:t>
      </w:r>
      <w:r w:rsidRPr="00A00187">
        <w:t xml:space="preserve"> členy </w:t>
      </w:r>
      <w:r w:rsidR="00DF67CE" w:rsidRPr="00A00187">
        <w:t xml:space="preserve">tříčlenného </w:t>
      </w:r>
      <w:r w:rsidRPr="00A00187">
        <w:t>soudního senátu</w:t>
      </w:r>
      <w:r w:rsidR="00DF67CE" w:rsidRPr="00A00187">
        <w:t xml:space="preserve"> </w:t>
      </w:r>
      <w:r w:rsidR="00755920" w:rsidRPr="00A00187">
        <w:t>a</w:t>
      </w:r>
      <w:r w:rsidR="00755920">
        <w:t> </w:t>
      </w:r>
      <w:r w:rsidR="00DF67CE" w:rsidRPr="00A00187">
        <w:t>disponují hlasovacím právem</w:t>
      </w:r>
      <w:r w:rsidRPr="00A00187">
        <w:t xml:space="preserve">. </w:t>
      </w:r>
      <w:r w:rsidR="00DF67CE" w:rsidRPr="00A00187">
        <w:t>P</w:t>
      </w:r>
      <w:r w:rsidRPr="00A00187">
        <w:t xml:space="preserve">ři poradě </w:t>
      </w:r>
      <w:r w:rsidR="000C3B1E" w:rsidRPr="00A00187">
        <w:t>o </w:t>
      </w:r>
      <w:r w:rsidRPr="00A00187">
        <w:t xml:space="preserve">rozsudku platí rovnost hlasů </w:t>
      </w:r>
      <w:r w:rsidR="00755920" w:rsidRPr="00A00187">
        <w:t>a</w:t>
      </w:r>
      <w:r w:rsidR="00755920">
        <w:t> </w:t>
      </w:r>
      <w:r w:rsidR="00C8663B" w:rsidRPr="00A00187">
        <w:t>může tak dojít k přehlasování předsedy soudního senátu přísedícími</w:t>
      </w:r>
      <w:r w:rsidRPr="00A00187">
        <w:t xml:space="preserve"> </w:t>
      </w:r>
      <w:r w:rsidR="005D76CA" w:rsidRPr="00A00187">
        <w:t>(</w:t>
      </w:r>
      <w:r w:rsidRPr="00A00187">
        <w:t>více viz zákon č. 6/2002 Sb., o soudech, soudcích, přísedících a státní správě soudů a o změně některých dalších zákonů (zákon o soudech a soudcích), ve znění pozdějších předpisů</w:t>
      </w:r>
      <w:r w:rsidR="005D76CA" w:rsidRPr="00A00187">
        <w:t>)</w:t>
      </w:r>
      <w:r w:rsidRPr="00A00187">
        <w:t>.</w:t>
      </w:r>
    </w:p>
    <w:p w14:paraId="30B18487" w14:textId="6ECF9BE5" w:rsidR="008430BD" w:rsidRPr="00A00187" w:rsidRDefault="008430BD" w:rsidP="008430BD">
      <w:pPr>
        <w:pStyle w:val="Odstavecseseznamem"/>
        <w:numPr>
          <w:ilvl w:val="0"/>
          <w:numId w:val="4"/>
        </w:numPr>
      </w:pPr>
      <w:r w:rsidRPr="00A00187">
        <w:rPr>
          <w:b/>
        </w:rPr>
        <w:t xml:space="preserve">Rejstřík </w:t>
      </w:r>
      <w:r w:rsidRPr="00A00187">
        <w:t>– evidenční pomůcka, která podává přehled o počtu a stavu vyřizování jednotlivých věcí. Je také podkladem pro vypracování statistických výkazů o činnosti soudů a dalších statistických výstupů a zdrojem pro základní kontrolu výkonu působnosti soudů. Soudy (včetně nejvyšších) vedou celkem přibližně 120 druhů rejstříků.</w:t>
      </w:r>
    </w:p>
    <w:p w14:paraId="2535FD45" w14:textId="675EB547" w:rsidR="008430BD" w:rsidRPr="00A00187" w:rsidRDefault="008430BD" w:rsidP="008430BD">
      <w:pPr>
        <w:pStyle w:val="Odstavecseseznamem"/>
        <w:numPr>
          <w:ilvl w:val="0"/>
          <w:numId w:val="4"/>
        </w:numPr>
      </w:pPr>
      <w:r w:rsidRPr="00A00187">
        <w:rPr>
          <w:b/>
        </w:rPr>
        <w:t xml:space="preserve">Rozkazní řízení </w:t>
      </w:r>
      <w:r w:rsidRPr="00A00187">
        <w:t>– jedná se o civilní řízení ve zkrácené formě, jehož cílem je skončení věc</w:t>
      </w:r>
      <w:r w:rsidR="00C8663B" w:rsidRPr="00A00187">
        <w:t>i</w:t>
      </w:r>
      <w:r w:rsidRPr="00A00187">
        <w:t xml:space="preserve"> vydáním platebního rozkazu. V této zprávě označuje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 Platebním rozkazem se v této zprávě míní nejen běžný platební rozkaz, ale i elektronický platební rozkaz, evropský platební rozkaz a směnečný (šekový) platební rozkaz, není-li uvedeno jinak.</w:t>
      </w:r>
    </w:p>
    <w:p w14:paraId="23420BD2" w14:textId="77777777" w:rsidR="008430BD" w:rsidRPr="00A00187" w:rsidRDefault="008430BD" w:rsidP="008430BD">
      <w:pPr>
        <w:pStyle w:val="Odstavecseseznamem"/>
        <w:numPr>
          <w:ilvl w:val="0"/>
          <w:numId w:val="4"/>
        </w:numPr>
      </w:pPr>
      <w:r w:rsidRPr="00A00187">
        <w:rPr>
          <w:b/>
        </w:rPr>
        <w:t xml:space="preserve">Skutková podstata trestného činu </w:t>
      </w:r>
      <w:r w:rsidRPr="00A00187">
        <w:t>– souhrn typových znaků uvedených v trestním zákoníku, podle kterých se rozlišují jednotlivé druhy trestných činů (vražda, loupež, krádež, podvod atd.).</w:t>
      </w:r>
    </w:p>
    <w:p w14:paraId="37CC4344" w14:textId="14F29C92" w:rsidR="008430BD" w:rsidRPr="00A00187" w:rsidRDefault="008430BD" w:rsidP="008430BD">
      <w:pPr>
        <w:pStyle w:val="Odstavecseseznamem"/>
        <w:numPr>
          <w:ilvl w:val="0"/>
          <w:numId w:val="4"/>
        </w:numPr>
        <w:rPr>
          <w:b/>
        </w:rPr>
      </w:pPr>
      <w:r w:rsidRPr="00A00187">
        <w:rPr>
          <w:b/>
        </w:rPr>
        <w:t>Soudní obvod (okresního, krajského a vrchního soudu)</w:t>
      </w:r>
      <w:r w:rsidRPr="00A00187">
        <w:t xml:space="preserve"> – územní působnost jednotlivých soudů, včetně názvu a umístění sídla, stanovuje zákon č. 6/2002 Sb., </w:t>
      </w:r>
      <w:bookmarkStart w:id="1379" w:name="_Hlk103611250"/>
      <w:r w:rsidRPr="00A00187">
        <w:lastRenderedPageBreak/>
        <w:t>o soudech, soudcích, přísedících a státní správě soudů a </w:t>
      </w:r>
      <w:r w:rsidR="000C3B1E" w:rsidRPr="00A00187">
        <w:t>o </w:t>
      </w:r>
      <w:r w:rsidRPr="00A00187">
        <w:t>změně některých dalších zákonů (zákon o soudech a soudcích), ve znění pozdějších předpisů</w:t>
      </w:r>
      <w:bookmarkEnd w:id="1379"/>
      <w:r w:rsidRPr="00A00187">
        <w:t>. Obvod okresního soudu (soudní okres) je vymezen územním výčtem obcí, které jej tvoří (u obvodního soudu územím městských částí hlavního města Prahy). Obvod krajského soudu (soudní kraj) se skládá z obvod</w:t>
      </w:r>
      <w:r w:rsidR="00BE1819" w:rsidRPr="00A00187">
        <w:t>ů</w:t>
      </w:r>
      <w:r w:rsidRPr="00A00187">
        <w:t xml:space="preserve"> okresních soudů, kterým je nadřízeným soudem, a obvod vrchního soudu z obvodů krajských soudů, kterým je nadřízeným soudem.</w:t>
      </w:r>
    </w:p>
    <w:p w14:paraId="323D6896" w14:textId="77777777" w:rsidR="008430BD" w:rsidRPr="00A00187" w:rsidRDefault="008430BD" w:rsidP="008430BD">
      <w:pPr>
        <w:pStyle w:val="Odstavecseseznamem"/>
        <w:numPr>
          <w:ilvl w:val="0"/>
          <w:numId w:val="4"/>
        </w:numPr>
      </w:pPr>
      <w:r w:rsidRPr="00A00187">
        <w:rPr>
          <w:b/>
        </w:rPr>
        <w:t xml:space="preserve">Správní </w:t>
      </w:r>
      <w:r w:rsidRPr="00A00187">
        <w:t>– (agenda, řízení, úsek) – ve správním soudnictví poskytují soudy ochranu veřejným subjektivním právům fyzických i právnických osob a rozhodují i další věci, o kterých tak stanoví zákon (zejména věci volební, věci místního a krajského referenda a rozhodování o zrušení opatření obecné povahy nebo jeho částí pro rozpor se zákonem).</w:t>
      </w:r>
    </w:p>
    <w:p w14:paraId="78E21702" w14:textId="77777777" w:rsidR="008430BD" w:rsidRPr="00A00187" w:rsidRDefault="008430BD" w:rsidP="008430BD">
      <w:pPr>
        <w:pStyle w:val="Odstavecseseznamem"/>
        <w:numPr>
          <w:ilvl w:val="0"/>
          <w:numId w:val="4"/>
        </w:numPr>
      </w:pPr>
      <w:r w:rsidRPr="00A00187">
        <w:rPr>
          <w:b/>
        </w:rPr>
        <w:t xml:space="preserve">Stížnost pro porušení zákona </w:t>
      </w:r>
      <w:r w:rsidRPr="00A00187">
        <w:t>– mimořádný opravný prostředek</w:t>
      </w:r>
      <w:r w:rsidR="00BE1819" w:rsidRPr="00A00187">
        <w:t xml:space="preserve"> v trestním řízení</w:t>
      </w:r>
      <w:r w:rsidRPr="00A00187">
        <w:t xml:space="preserve">, který může podat jen ministr spravedlnosti, a to proti pravomocnému rozhodnutí soudu nebo státního zástupce, jímž byl porušen zákon nebo které bylo učiněno na podkladě vadného postupu řízení. Stížnost pro porušení zákona se podává k Nejvyššímu soudu, který o ní také rozhoduje (viz také </w:t>
      </w:r>
      <w:proofErr w:type="spellStart"/>
      <w:r w:rsidRPr="00A00187">
        <w:t>ust</w:t>
      </w:r>
      <w:proofErr w:type="spellEnd"/>
      <w:r w:rsidRPr="00A00187">
        <w:t xml:space="preserve">. § 266 a násl. </w:t>
      </w:r>
      <w:proofErr w:type="spellStart"/>
      <w:r w:rsidRPr="00A00187">
        <w:t>tr</w:t>
      </w:r>
      <w:proofErr w:type="spellEnd"/>
      <w:r w:rsidRPr="00A00187">
        <w:t>. řádu).</w:t>
      </w:r>
    </w:p>
    <w:p w14:paraId="1499A3BC" w14:textId="77777777" w:rsidR="008430BD" w:rsidRPr="00A00187" w:rsidRDefault="008430BD" w:rsidP="008430BD">
      <w:pPr>
        <w:pStyle w:val="Odstavecseseznamem"/>
        <w:numPr>
          <w:ilvl w:val="0"/>
          <w:numId w:val="4"/>
        </w:numPr>
      </w:pPr>
      <w:r w:rsidRPr="00A00187">
        <w:rPr>
          <w:b/>
        </w:rPr>
        <w:t xml:space="preserve">Systemizace a její výpočet </w:t>
      </w:r>
      <w:r w:rsidRPr="00A00187">
        <w:t xml:space="preserve">– </w:t>
      </w:r>
      <w:r w:rsidRPr="00A00187">
        <w:rPr>
          <w:lang w:eastAsia="cs-CZ"/>
        </w:rPr>
        <w:t xml:space="preserve">výpočet slouží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Vypočtená potřeba je nakonec upravena s přihlédnutím ke státnímu rozpočtu, jehož prostředky v současné době postačují pro 3 063 soudců. Samotná systemizace spočívá ve stanovení plánovaného počtu soudců pro jednotlivé kraje na základě výše popsaného výpočtu. Pro vyšší soudy je systemizace určena na základě dohody, nikoliv na základě výpočtu. Z výše uvedeného plyne, že systemizace </w:t>
      </w:r>
      <w:r w:rsidR="00BE1819" w:rsidRPr="00A00187">
        <w:rPr>
          <w:lang w:eastAsia="cs-CZ"/>
        </w:rPr>
        <w:t>primárně</w:t>
      </w:r>
      <w:r w:rsidRPr="00A00187">
        <w:rPr>
          <w:lang w:eastAsia="cs-CZ"/>
        </w:rPr>
        <w:t xml:space="preserve"> neslouží k určování celorepublikové potřeby soudců, ale k přerozdělování předem stanoveného počtu soudců mezi soudy s ohledem na relativní změny v nápadu</w:t>
      </w:r>
      <w:r w:rsidRPr="00A00187">
        <w:t>.</w:t>
      </w:r>
    </w:p>
    <w:p w14:paraId="652B2E73" w14:textId="77777777" w:rsidR="008430BD" w:rsidRPr="00A00187" w:rsidRDefault="008430BD" w:rsidP="008430BD">
      <w:pPr>
        <w:pStyle w:val="Odstavecseseznamem"/>
        <w:numPr>
          <w:ilvl w:val="0"/>
          <w:numId w:val="4"/>
        </w:numPr>
      </w:pPr>
      <w:r w:rsidRPr="00A00187">
        <w:rPr>
          <w:b/>
        </w:rPr>
        <w:t xml:space="preserve">Trestní </w:t>
      </w:r>
      <w:r w:rsidRPr="00A00187">
        <w:t>– (agenda, řízení, úsek). Hlavním těžištěm trestního řízení je náležité zjištění trestných činů a spravedlivé potrestání jejich pachatelů v souladu se zákonem.</w:t>
      </w:r>
    </w:p>
    <w:p w14:paraId="44A1D2BC" w14:textId="5BA7129E" w:rsidR="008430BD" w:rsidRPr="00A00187" w:rsidRDefault="000C3B1E" w:rsidP="008430BD">
      <w:pPr>
        <w:pStyle w:val="Odstavecseseznamem"/>
      </w:pPr>
      <w:r w:rsidRPr="00A00187">
        <w:rPr>
          <w:noProof/>
          <w:lang w:eastAsia="cs-CZ"/>
        </w:rPr>
        <w:drawing>
          <wp:anchor distT="0" distB="0" distL="114300" distR="114300" simplePos="0" relativeHeight="251659264" behindDoc="0" locked="0" layoutInCell="1" allowOverlap="1" wp14:anchorId="3E44A191" wp14:editId="169B0D53">
            <wp:simplePos x="0" y="0"/>
            <wp:positionH relativeFrom="column">
              <wp:posOffset>474041</wp:posOffset>
            </wp:positionH>
            <wp:positionV relativeFrom="paragraph">
              <wp:posOffset>986790</wp:posOffset>
            </wp:positionV>
            <wp:extent cx="4964430" cy="1518920"/>
            <wp:effectExtent l="0" t="0" r="7620" b="5080"/>
            <wp:wrapTopAndBottom/>
            <wp:docPr id="1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0BD" w:rsidRPr="00A00187">
        <w:t>Trestní řízení je zákonem upravený postup orgánů činných v trestním řízení (policejní orgány, státní zastupitelství a soudy) a dalších subjektů podílejících se na tomto postupu. Trestní řízení probíhá v několika stádiích. Rozlišujeme přípravné řízení, předběžné projednání obžaloby, hlavní líčení, odvolací řízení a vykonávací řízení (viz zjednodušené schéma níže):</w:t>
      </w:r>
    </w:p>
    <w:p w14:paraId="0F1E51CA" w14:textId="1BE92E6F" w:rsidR="008430BD" w:rsidRPr="00A00187" w:rsidRDefault="008430BD" w:rsidP="008430BD">
      <w:pPr>
        <w:pStyle w:val="Odstavecseseznamem"/>
      </w:pPr>
      <w:r w:rsidRPr="00A00187">
        <w:t xml:space="preserve">Trestní věc nemusí projít všemi stádii, zejména může být rozhodnuta již v přípravném řízení, což znamená, že hlavní líčení se nebude vůbec konat. Obdobně skončí-li věc ve </w:t>
      </w:r>
      <w:r w:rsidRPr="00A00187">
        <w:lastRenderedPageBreak/>
        <w:t>prospěch obžalovaného, není důvodu pro konání vykonávacího řízení, neboť rozsudkem nebyla uložena sankce (trest, ochranné opatření).</w:t>
      </w:r>
    </w:p>
    <w:p w14:paraId="19345D8B" w14:textId="736696C9" w:rsidR="008430BD" w:rsidRPr="00A00187" w:rsidRDefault="008430BD" w:rsidP="008430BD">
      <w:pPr>
        <w:pStyle w:val="Odstavecseseznamem"/>
      </w:pPr>
      <w:r w:rsidRPr="00A00187">
        <w:t>Soudů se především týká část trestního řízení od podání obžaloby, tedy předběžné projednání obžaloby, hlavní líčení, odvolací řízení (souhrnně označená jako řízení před soudem) a vykonávací řízení. Samozřejmě soudy na trestním úseku vyřizují i další trestní agendu (např. rozhodování soudce v přípravném řízení). Tato zpráva se ale věnuje trestním věcem spadajícím do řízení před soudem a zapisovaným do rejstříků T a </w:t>
      </w:r>
      <w:proofErr w:type="spellStart"/>
      <w:r w:rsidRPr="00A00187">
        <w:t>Tm</w:t>
      </w:r>
      <w:proofErr w:type="spellEnd"/>
      <w:r w:rsidRPr="00A00187">
        <w:t xml:space="preserve"> u prvostupňového soudu a do rejstříků To a Tmo </w:t>
      </w:r>
      <w:r w:rsidR="00755920" w:rsidRPr="00A00187">
        <w:t>u</w:t>
      </w:r>
      <w:r w:rsidR="00755920">
        <w:t> </w:t>
      </w:r>
      <w:r w:rsidRPr="00A00187">
        <w:t>odvolacího soudu.</w:t>
      </w:r>
    </w:p>
    <w:p w14:paraId="08F568F4" w14:textId="77777777" w:rsidR="008430BD" w:rsidRPr="00A00187" w:rsidRDefault="008430BD" w:rsidP="008430BD">
      <w:pPr>
        <w:pStyle w:val="Odstavecseseznamem"/>
        <w:numPr>
          <w:ilvl w:val="0"/>
          <w:numId w:val="4"/>
        </w:numPr>
      </w:pPr>
      <w:r w:rsidRPr="00A00187">
        <w:rPr>
          <w:b/>
        </w:rPr>
        <w:t xml:space="preserve">Vrchní soudy (VS) </w:t>
      </w:r>
      <w:r w:rsidRPr="00A00187">
        <w:t>– jsou třetím článkem soudní soustavy tvořeným dvěma soudy se sídlem v Praze a v Olomouci.</w:t>
      </w:r>
    </w:p>
    <w:p w14:paraId="49C808BF" w14:textId="742B7824" w:rsidR="008430BD" w:rsidRPr="00A00187" w:rsidRDefault="008430BD" w:rsidP="008430BD">
      <w:pPr>
        <w:pStyle w:val="Odstavecseseznamem"/>
        <w:numPr>
          <w:ilvl w:val="0"/>
          <w:numId w:val="4"/>
        </w:numPr>
      </w:pPr>
      <w:r w:rsidRPr="00A00187">
        <w:rPr>
          <w:b/>
        </w:rPr>
        <w:t xml:space="preserve">Zaměstnanec ve výkonu </w:t>
      </w:r>
      <w:r w:rsidRPr="00A00187">
        <w:t>– jedná se o zaměstnance soudu, který není soudcem, ale bezprostředně se podílí na vyřizování soudní agendy a výkonu soudnictví. Zaměstnance lze roztřídit do několika kategorií podle druhu práce, kterou vykonávají. Bližší popis je uveden v</w:t>
      </w:r>
      <w:r w:rsidR="000C3B1E" w:rsidRPr="00A00187">
        <w:t> </w:t>
      </w:r>
      <w:r w:rsidRPr="00A00187">
        <w:t>podkapitole</w:t>
      </w:r>
      <w:r w:rsidR="000C3B1E" w:rsidRPr="00A00187">
        <w:t> </w:t>
      </w:r>
      <w:r w:rsidRPr="00A00187">
        <w:t>2.1.2.</w:t>
      </w:r>
    </w:p>
    <w:p w14:paraId="1A045265" w14:textId="77777777" w:rsidR="008430BD" w:rsidRPr="00A00187" w:rsidRDefault="008430BD" w:rsidP="008430BD">
      <w:pPr>
        <w:pStyle w:val="Odstavecseseznamem"/>
        <w:numPr>
          <w:ilvl w:val="0"/>
          <w:numId w:val="4"/>
        </w:numPr>
      </w:pPr>
      <w:r w:rsidRPr="00A00187">
        <w:rPr>
          <w:b/>
        </w:rPr>
        <w:t xml:space="preserve">Zaměstnanec ve správě </w:t>
      </w:r>
      <w:r w:rsidRPr="00A00187">
        <w:t xml:space="preserve">– zajišťuje provoz soudu, což zahrnuje velkou škálu funkcí. Celou správu soudu řídí ředitel správy. Dalšími zaměstnanci ve správě jsou například pracovníci sekretariátu, dozorčí úředníci, účetní, ekonomové, informatici nebo řidiči. Celkem je rozlišováno </w:t>
      </w:r>
      <w:r w:rsidR="00BE1819" w:rsidRPr="00A00187">
        <w:t>přibližně</w:t>
      </w:r>
      <w:r w:rsidRPr="00A00187">
        <w:t xml:space="preserve"> 40 kategorií zaměstnanců ve správě.</w:t>
      </w:r>
    </w:p>
    <w:p w14:paraId="32D9995A" w14:textId="77777777" w:rsidR="008430BD" w:rsidRPr="00A00187" w:rsidRDefault="008430BD" w:rsidP="008430BD">
      <w:pPr>
        <w:pStyle w:val="Odstavecseseznamem"/>
        <w:numPr>
          <w:ilvl w:val="0"/>
          <w:numId w:val="4"/>
        </w:numPr>
      </w:pPr>
      <w:r w:rsidRPr="00A00187">
        <w:rPr>
          <w:b/>
        </w:rPr>
        <w:t xml:space="preserve">Zkrácené přípravné řízení </w:t>
      </w:r>
      <w:r w:rsidRPr="00A00187">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14:paraId="60DCCF0F" w14:textId="77777777" w:rsidR="008430BD" w:rsidRPr="00A00187" w:rsidRDefault="008430BD" w:rsidP="008430BD">
      <w:pPr>
        <w:spacing w:line="240" w:lineRule="auto"/>
        <w:jc w:val="left"/>
      </w:pPr>
      <w:r w:rsidRPr="00A00187">
        <w:br w:type="page"/>
      </w:r>
    </w:p>
    <w:p w14:paraId="12006997" w14:textId="77777777" w:rsidR="008430BD" w:rsidRPr="00A00187" w:rsidRDefault="008430BD" w:rsidP="008430BD">
      <w:pPr>
        <w:pStyle w:val="Nadpis2"/>
        <w:ind w:left="578" w:hanging="578"/>
        <w:rPr>
          <w:color w:val="auto"/>
        </w:rPr>
      </w:pPr>
      <w:bookmarkStart w:id="1380" w:name="_Ref482901972"/>
      <w:bookmarkStart w:id="1381" w:name="_Toc487791320"/>
      <w:bookmarkStart w:id="1382" w:name="_Toc106092838"/>
      <w:bookmarkStart w:id="1383" w:name="_Toc109801449"/>
      <w:r w:rsidRPr="00A00187">
        <w:rPr>
          <w:color w:val="auto"/>
        </w:rPr>
        <w:lastRenderedPageBreak/>
        <w:t>Příloha B – seznam zkr. soudních okresů a soudních obvodů hl. m. Prahy</w:t>
      </w:r>
      <w:bookmarkEnd w:id="1380"/>
      <w:bookmarkEnd w:id="1381"/>
      <w:bookmarkEnd w:id="1382"/>
      <w:bookmarkEnd w:id="1383"/>
    </w:p>
    <w:p w14:paraId="34DF71FD" w14:textId="77777777" w:rsidR="008430BD" w:rsidRPr="00A00187" w:rsidRDefault="008430BD" w:rsidP="008430BD"/>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AC1E67" w:rsidRPr="00A00187" w14:paraId="314081C2" w14:textId="77777777" w:rsidTr="00E077F3">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7B24D039" w14:textId="77777777" w:rsidR="008430BD" w:rsidRPr="00A00187" w:rsidRDefault="008430BD" w:rsidP="00E077F3">
            <w:pPr>
              <w:spacing w:line="240" w:lineRule="auto"/>
              <w:jc w:val="left"/>
              <w:rPr>
                <w:b/>
              </w:rPr>
            </w:pPr>
            <w:r w:rsidRPr="00A00187">
              <w:rPr>
                <w:b/>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4E550854" w14:textId="77777777" w:rsidR="008430BD" w:rsidRPr="00A00187" w:rsidRDefault="008430BD" w:rsidP="00E077F3">
            <w:pPr>
              <w:spacing w:line="240" w:lineRule="auto"/>
              <w:jc w:val="left"/>
              <w:rPr>
                <w:b/>
              </w:rPr>
            </w:pPr>
            <w:r w:rsidRPr="00A00187">
              <w:rPr>
                <w:b/>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2F2D4E77" w14:textId="77777777" w:rsidR="008430BD" w:rsidRPr="00A00187" w:rsidRDefault="008430BD" w:rsidP="00E077F3">
            <w:pPr>
              <w:spacing w:line="240" w:lineRule="auto"/>
              <w:jc w:val="left"/>
              <w:rPr>
                <w:b/>
              </w:rPr>
            </w:pPr>
            <w:r w:rsidRPr="00A00187">
              <w:rPr>
                <w:b/>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7827FDCC" w14:textId="77777777" w:rsidR="008430BD" w:rsidRPr="00A00187" w:rsidRDefault="008430BD" w:rsidP="00E077F3">
            <w:pPr>
              <w:spacing w:line="240" w:lineRule="auto"/>
              <w:jc w:val="left"/>
              <w:rPr>
                <w:b/>
              </w:rPr>
            </w:pPr>
            <w:r w:rsidRPr="00A00187">
              <w:rPr>
                <w:b/>
              </w:rPr>
              <w:t>Zkratka</w:t>
            </w:r>
          </w:p>
        </w:tc>
      </w:tr>
      <w:tr w:rsidR="00AC1E67" w:rsidRPr="00A00187" w14:paraId="49F82F64"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2BEB2B1" w14:textId="77777777" w:rsidR="008430BD" w:rsidRPr="00A00187" w:rsidRDefault="008430BD" w:rsidP="00E077F3">
            <w:pPr>
              <w:spacing w:line="240" w:lineRule="auto"/>
              <w:jc w:val="left"/>
            </w:pPr>
            <w:r w:rsidRPr="00A00187">
              <w:t>Benešov</w:t>
            </w:r>
          </w:p>
        </w:tc>
        <w:tc>
          <w:tcPr>
            <w:tcW w:w="1060" w:type="dxa"/>
            <w:tcBorders>
              <w:top w:val="nil"/>
              <w:left w:val="nil"/>
              <w:bottom w:val="single" w:sz="4" w:space="0" w:color="auto"/>
              <w:right w:val="single" w:sz="4" w:space="0" w:color="auto"/>
            </w:tcBorders>
            <w:shd w:val="clear" w:color="auto" w:fill="auto"/>
            <w:noWrap/>
            <w:vAlign w:val="bottom"/>
            <w:hideMark/>
          </w:tcPr>
          <w:p w14:paraId="38D9E128" w14:textId="77777777" w:rsidR="008430BD" w:rsidRPr="00A00187" w:rsidRDefault="008430BD" w:rsidP="00E077F3">
            <w:pPr>
              <w:spacing w:line="240" w:lineRule="auto"/>
              <w:jc w:val="center"/>
            </w:pPr>
            <w:r w:rsidRPr="00A00187">
              <w:t>BN</w:t>
            </w:r>
          </w:p>
        </w:tc>
        <w:tc>
          <w:tcPr>
            <w:tcW w:w="2320" w:type="dxa"/>
            <w:tcBorders>
              <w:top w:val="nil"/>
              <w:left w:val="nil"/>
              <w:bottom w:val="single" w:sz="4" w:space="0" w:color="auto"/>
              <w:right w:val="nil"/>
            </w:tcBorders>
            <w:shd w:val="clear" w:color="auto" w:fill="auto"/>
            <w:noWrap/>
            <w:vAlign w:val="bottom"/>
            <w:hideMark/>
          </w:tcPr>
          <w:p w14:paraId="199F7F7E" w14:textId="77777777" w:rsidR="008430BD" w:rsidRPr="00A00187" w:rsidRDefault="008430BD" w:rsidP="00E077F3">
            <w:pPr>
              <w:spacing w:line="240" w:lineRule="auto"/>
              <w:jc w:val="left"/>
            </w:pPr>
            <w:r w:rsidRPr="00A00187">
              <w:t>Pardubice</w:t>
            </w:r>
          </w:p>
        </w:tc>
        <w:tc>
          <w:tcPr>
            <w:tcW w:w="1060" w:type="dxa"/>
            <w:tcBorders>
              <w:top w:val="nil"/>
              <w:left w:val="nil"/>
              <w:bottom w:val="single" w:sz="4" w:space="0" w:color="auto"/>
              <w:right w:val="nil"/>
            </w:tcBorders>
            <w:shd w:val="clear" w:color="auto" w:fill="auto"/>
            <w:noWrap/>
            <w:vAlign w:val="bottom"/>
            <w:hideMark/>
          </w:tcPr>
          <w:p w14:paraId="16EAD4F3" w14:textId="77777777" w:rsidR="008430BD" w:rsidRPr="00A00187" w:rsidRDefault="008430BD" w:rsidP="00E077F3">
            <w:pPr>
              <w:spacing w:line="240" w:lineRule="auto"/>
              <w:jc w:val="center"/>
            </w:pPr>
            <w:r w:rsidRPr="00A00187">
              <w:t>PA</w:t>
            </w:r>
          </w:p>
        </w:tc>
      </w:tr>
      <w:tr w:rsidR="00AC1E67" w:rsidRPr="00A00187" w14:paraId="7BC44164"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13EE33F" w14:textId="77777777" w:rsidR="008430BD" w:rsidRPr="00A00187" w:rsidRDefault="008430BD" w:rsidP="00E077F3">
            <w:pPr>
              <w:spacing w:line="240" w:lineRule="auto"/>
              <w:jc w:val="left"/>
            </w:pPr>
            <w:r w:rsidRPr="00A00187">
              <w:t>Beroun</w:t>
            </w:r>
          </w:p>
        </w:tc>
        <w:tc>
          <w:tcPr>
            <w:tcW w:w="1060" w:type="dxa"/>
            <w:tcBorders>
              <w:top w:val="nil"/>
              <w:left w:val="nil"/>
              <w:bottom w:val="single" w:sz="4" w:space="0" w:color="auto"/>
              <w:right w:val="single" w:sz="4" w:space="0" w:color="auto"/>
            </w:tcBorders>
            <w:shd w:val="clear" w:color="auto" w:fill="auto"/>
            <w:noWrap/>
            <w:vAlign w:val="bottom"/>
            <w:hideMark/>
          </w:tcPr>
          <w:p w14:paraId="74A0D282" w14:textId="77777777" w:rsidR="008430BD" w:rsidRPr="00A00187" w:rsidRDefault="008430BD" w:rsidP="00E077F3">
            <w:pPr>
              <w:spacing w:line="240" w:lineRule="auto"/>
              <w:jc w:val="center"/>
            </w:pPr>
            <w:r w:rsidRPr="00A00187">
              <w:t>BE</w:t>
            </w:r>
          </w:p>
        </w:tc>
        <w:tc>
          <w:tcPr>
            <w:tcW w:w="2320" w:type="dxa"/>
            <w:tcBorders>
              <w:top w:val="nil"/>
              <w:left w:val="nil"/>
              <w:bottom w:val="single" w:sz="4" w:space="0" w:color="auto"/>
              <w:right w:val="nil"/>
            </w:tcBorders>
            <w:shd w:val="clear" w:color="auto" w:fill="auto"/>
            <w:noWrap/>
            <w:vAlign w:val="bottom"/>
            <w:hideMark/>
          </w:tcPr>
          <w:p w14:paraId="58B8B146" w14:textId="77777777" w:rsidR="008430BD" w:rsidRPr="00A00187" w:rsidRDefault="008430BD" w:rsidP="00E077F3">
            <w:pPr>
              <w:spacing w:line="240" w:lineRule="auto"/>
              <w:jc w:val="left"/>
            </w:pPr>
            <w:r w:rsidRPr="00A00187">
              <w:t>Pelhřimov</w:t>
            </w:r>
          </w:p>
        </w:tc>
        <w:tc>
          <w:tcPr>
            <w:tcW w:w="1060" w:type="dxa"/>
            <w:tcBorders>
              <w:top w:val="nil"/>
              <w:left w:val="nil"/>
              <w:bottom w:val="single" w:sz="4" w:space="0" w:color="auto"/>
              <w:right w:val="nil"/>
            </w:tcBorders>
            <w:shd w:val="clear" w:color="auto" w:fill="auto"/>
            <w:noWrap/>
            <w:vAlign w:val="bottom"/>
            <w:hideMark/>
          </w:tcPr>
          <w:p w14:paraId="4075A192" w14:textId="77777777" w:rsidR="008430BD" w:rsidRPr="00A00187" w:rsidRDefault="008430BD" w:rsidP="00E077F3">
            <w:pPr>
              <w:spacing w:line="240" w:lineRule="auto"/>
              <w:jc w:val="center"/>
            </w:pPr>
            <w:r w:rsidRPr="00A00187">
              <w:t>PE</w:t>
            </w:r>
          </w:p>
        </w:tc>
      </w:tr>
      <w:tr w:rsidR="00AC1E67" w:rsidRPr="00A00187" w14:paraId="15026DA1"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30D93FD" w14:textId="77777777" w:rsidR="008430BD" w:rsidRPr="00A00187" w:rsidRDefault="008430BD" w:rsidP="00E077F3">
            <w:pPr>
              <w:spacing w:line="240" w:lineRule="auto"/>
              <w:jc w:val="left"/>
            </w:pPr>
            <w:r w:rsidRPr="00A00187">
              <w:t>Blansko</w:t>
            </w:r>
          </w:p>
        </w:tc>
        <w:tc>
          <w:tcPr>
            <w:tcW w:w="1060" w:type="dxa"/>
            <w:tcBorders>
              <w:top w:val="nil"/>
              <w:left w:val="nil"/>
              <w:bottom w:val="single" w:sz="4" w:space="0" w:color="auto"/>
              <w:right w:val="single" w:sz="4" w:space="0" w:color="auto"/>
            </w:tcBorders>
            <w:shd w:val="clear" w:color="auto" w:fill="auto"/>
            <w:noWrap/>
            <w:vAlign w:val="bottom"/>
            <w:hideMark/>
          </w:tcPr>
          <w:p w14:paraId="2AF311BA" w14:textId="77777777" w:rsidR="008430BD" w:rsidRPr="00A00187" w:rsidRDefault="008430BD" w:rsidP="00E077F3">
            <w:pPr>
              <w:spacing w:line="240" w:lineRule="auto"/>
              <w:jc w:val="center"/>
            </w:pPr>
            <w:r w:rsidRPr="00A00187">
              <w:t>BK</w:t>
            </w:r>
          </w:p>
        </w:tc>
        <w:tc>
          <w:tcPr>
            <w:tcW w:w="2320" w:type="dxa"/>
            <w:tcBorders>
              <w:top w:val="nil"/>
              <w:left w:val="nil"/>
              <w:bottom w:val="single" w:sz="4" w:space="0" w:color="auto"/>
              <w:right w:val="nil"/>
            </w:tcBorders>
            <w:shd w:val="clear" w:color="auto" w:fill="auto"/>
            <w:noWrap/>
            <w:vAlign w:val="bottom"/>
            <w:hideMark/>
          </w:tcPr>
          <w:p w14:paraId="49FBC49E" w14:textId="77777777" w:rsidR="008430BD" w:rsidRPr="00A00187" w:rsidRDefault="008430BD" w:rsidP="00E077F3">
            <w:pPr>
              <w:spacing w:line="240" w:lineRule="auto"/>
              <w:jc w:val="left"/>
            </w:pPr>
            <w:r w:rsidRPr="00A00187">
              <w:t>Písek</w:t>
            </w:r>
          </w:p>
        </w:tc>
        <w:tc>
          <w:tcPr>
            <w:tcW w:w="1060" w:type="dxa"/>
            <w:tcBorders>
              <w:top w:val="nil"/>
              <w:left w:val="nil"/>
              <w:bottom w:val="single" w:sz="4" w:space="0" w:color="auto"/>
              <w:right w:val="nil"/>
            </w:tcBorders>
            <w:shd w:val="clear" w:color="auto" w:fill="auto"/>
            <w:noWrap/>
            <w:vAlign w:val="bottom"/>
            <w:hideMark/>
          </w:tcPr>
          <w:p w14:paraId="5AB2B624" w14:textId="77777777" w:rsidR="008430BD" w:rsidRPr="00A00187" w:rsidRDefault="008430BD" w:rsidP="00E077F3">
            <w:pPr>
              <w:spacing w:line="240" w:lineRule="auto"/>
              <w:jc w:val="center"/>
            </w:pPr>
            <w:r w:rsidRPr="00A00187">
              <w:t>PI</w:t>
            </w:r>
          </w:p>
        </w:tc>
      </w:tr>
      <w:tr w:rsidR="00AC1E67" w:rsidRPr="00A00187" w14:paraId="7096D6B2"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9347835" w14:textId="23372B5B" w:rsidR="008430BD" w:rsidRPr="00A00187" w:rsidRDefault="0053190F" w:rsidP="00E077F3">
            <w:pPr>
              <w:spacing w:line="240" w:lineRule="auto"/>
              <w:jc w:val="left"/>
            </w:pPr>
            <w:r w:rsidRPr="00A00187">
              <w:t>Brno</w:t>
            </w:r>
            <w:r w:rsidRPr="00A00187">
              <w:noBreakHyphen/>
            </w:r>
            <w:r w:rsidR="008430BD" w:rsidRPr="00A00187">
              <w:t>město</w:t>
            </w:r>
          </w:p>
        </w:tc>
        <w:tc>
          <w:tcPr>
            <w:tcW w:w="1060" w:type="dxa"/>
            <w:tcBorders>
              <w:top w:val="nil"/>
              <w:left w:val="nil"/>
              <w:bottom w:val="single" w:sz="4" w:space="0" w:color="auto"/>
              <w:right w:val="single" w:sz="4" w:space="0" w:color="auto"/>
            </w:tcBorders>
            <w:shd w:val="clear" w:color="auto" w:fill="auto"/>
            <w:noWrap/>
            <w:vAlign w:val="bottom"/>
            <w:hideMark/>
          </w:tcPr>
          <w:p w14:paraId="0CF43E02" w14:textId="77777777" w:rsidR="008430BD" w:rsidRPr="00A00187" w:rsidRDefault="008430BD" w:rsidP="00E077F3">
            <w:pPr>
              <w:spacing w:line="240" w:lineRule="auto"/>
              <w:jc w:val="center"/>
            </w:pPr>
            <w:r w:rsidRPr="00A00187">
              <w:t>BM</w:t>
            </w:r>
          </w:p>
        </w:tc>
        <w:tc>
          <w:tcPr>
            <w:tcW w:w="2320" w:type="dxa"/>
            <w:tcBorders>
              <w:top w:val="nil"/>
              <w:left w:val="nil"/>
              <w:bottom w:val="single" w:sz="4" w:space="0" w:color="auto"/>
              <w:right w:val="nil"/>
            </w:tcBorders>
            <w:shd w:val="clear" w:color="auto" w:fill="auto"/>
            <w:noWrap/>
            <w:vAlign w:val="bottom"/>
            <w:hideMark/>
          </w:tcPr>
          <w:p w14:paraId="10FB8169" w14:textId="53B83066" w:rsidR="008430BD" w:rsidRPr="00A00187" w:rsidRDefault="0053190F" w:rsidP="00E077F3">
            <w:pPr>
              <w:spacing w:line="240" w:lineRule="auto"/>
              <w:jc w:val="left"/>
            </w:pPr>
            <w:r w:rsidRPr="00A00187">
              <w:t>Plzeň</w:t>
            </w:r>
            <w:r w:rsidRPr="00A00187">
              <w:noBreakHyphen/>
            </w:r>
            <w:r w:rsidR="008430BD" w:rsidRPr="00A00187">
              <w:t>jih</w:t>
            </w:r>
          </w:p>
        </w:tc>
        <w:tc>
          <w:tcPr>
            <w:tcW w:w="1060" w:type="dxa"/>
            <w:tcBorders>
              <w:top w:val="nil"/>
              <w:left w:val="nil"/>
              <w:bottom w:val="single" w:sz="4" w:space="0" w:color="auto"/>
              <w:right w:val="nil"/>
            </w:tcBorders>
            <w:shd w:val="clear" w:color="auto" w:fill="auto"/>
            <w:noWrap/>
            <w:vAlign w:val="bottom"/>
            <w:hideMark/>
          </w:tcPr>
          <w:p w14:paraId="1BA052D8" w14:textId="77777777" w:rsidR="008430BD" w:rsidRPr="00A00187" w:rsidRDefault="008430BD" w:rsidP="00E077F3">
            <w:pPr>
              <w:spacing w:line="240" w:lineRule="auto"/>
              <w:jc w:val="center"/>
            </w:pPr>
            <w:r w:rsidRPr="00A00187">
              <w:t>PJ</w:t>
            </w:r>
          </w:p>
        </w:tc>
      </w:tr>
      <w:tr w:rsidR="00AC1E67" w:rsidRPr="00A00187" w14:paraId="0711009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5B76DA3" w14:textId="53BCCC79" w:rsidR="008430BD" w:rsidRPr="00A00187" w:rsidRDefault="0053190F" w:rsidP="00E077F3">
            <w:pPr>
              <w:spacing w:line="240" w:lineRule="auto"/>
              <w:jc w:val="left"/>
            </w:pPr>
            <w:r w:rsidRPr="00A00187">
              <w:t>Brno</w:t>
            </w:r>
            <w:r w:rsidRPr="00A00187">
              <w:noBreakHyphen/>
            </w:r>
            <w:r w:rsidR="008430BD" w:rsidRPr="00A00187">
              <w:t>venkov</w:t>
            </w:r>
          </w:p>
        </w:tc>
        <w:tc>
          <w:tcPr>
            <w:tcW w:w="1060" w:type="dxa"/>
            <w:tcBorders>
              <w:top w:val="nil"/>
              <w:left w:val="nil"/>
              <w:bottom w:val="single" w:sz="4" w:space="0" w:color="auto"/>
              <w:right w:val="single" w:sz="4" w:space="0" w:color="auto"/>
            </w:tcBorders>
            <w:shd w:val="clear" w:color="auto" w:fill="auto"/>
            <w:noWrap/>
            <w:vAlign w:val="bottom"/>
            <w:hideMark/>
          </w:tcPr>
          <w:p w14:paraId="48F5F389" w14:textId="77777777" w:rsidR="008430BD" w:rsidRPr="00A00187" w:rsidRDefault="008430BD" w:rsidP="00E077F3">
            <w:pPr>
              <w:spacing w:line="240" w:lineRule="auto"/>
              <w:jc w:val="center"/>
            </w:pPr>
            <w:r w:rsidRPr="00A00187">
              <w:t>BO</w:t>
            </w:r>
          </w:p>
        </w:tc>
        <w:tc>
          <w:tcPr>
            <w:tcW w:w="2320" w:type="dxa"/>
            <w:tcBorders>
              <w:top w:val="nil"/>
              <w:left w:val="nil"/>
              <w:bottom w:val="single" w:sz="4" w:space="0" w:color="auto"/>
              <w:right w:val="nil"/>
            </w:tcBorders>
            <w:shd w:val="clear" w:color="auto" w:fill="auto"/>
            <w:noWrap/>
            <w:vAlign w:val="bottom"/>
            <w:hideMark/>
          </w:tcPr>
          <w:p w14:paraId="1E8CA923" w14:textId="27FFD2AF" w:rsidR="008430BD" w:rsidRPr="00A00187" w:rsidRDefault="0053190F" w:rsidP="00E077F3">
            <w:pPr>
              <w:spacing w:line="240" w:lineRule="auto"/>
              <w:jc w:val="left"/>
            </w:pPr>
            <w:r w:rsidRPr="00A00187">
              <w:t>Plzeň</w:t>
            </w:r>
            <w:r w:rsidRPr="00A00187">
              <w:noBreakHyphen/>
            </w:r>
            <w:r w:rsidR="008430BD" w:rsidRPr="00A00187">
              <w:t>město</w:t>
            </w:r>
          </w:p>
        </w:tc>
        <w:tc>
          <w:tcPr>
            <w:tcW w:w="1060" w:type="dxa"/>
            <w:tcBorders>
              <w:top w:val="nil"/>
              <w:left w:val="nil"/>
              <w:bottom w:val="single" w:sz="4" w:space="0" w:color="auto"/>
              <w:right w:val="nil"/>
            </w:tcBorders>
            <w:shd w:val="clear" w:color="auto" w:fill="auto"/>
            <w:noWrap/>
            <w:vAlign w:val="bottom"/>
            <w:hideMark/>
          </w:tcPr>
          <w:p w14:paraId="15415971" w14:textId="77777777" w:rsidR="008430BD" w:rsidRPr="00A00187" w:rsidRDefault="008430BD" w:rsidP="00E077F3">
            <w:pPr>
              <w:spacing w:line="240" w:lineRule="auto"/>
              <w:jc w:val="center"/>
            </w:pPr>
            <w:r w:rsidRPr="00A00187">
              <w:t>PM</w:t>
            </w:r>
          </w:p>
        </w:tc>
      </w:tr>
      <w:tr w:rsidR="00AC1E67" w:rsidRPr="00A00187" w14:paraId="1AEFE0A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2509811" w14:textId="77777777" w:rsidR="008430BD" w:rsidRPr="00A00187" w:rsidRDefault="008430BD" w:rsidP="00E077F3">
            <w:pPr>
              <w:spacing w:line="240" w:lineRule="auto"/>
              <w:jc w:val="left"/>
            </w:pPr>
            <w:r w:rsidRPr="00A00187">
              <w:t>Bruntál</w:t>
            </w:r>
          </w:p>
        </w:tc>
        <w:tc>
          <w:tcPr>
            <w:tcW w:w="1060" w:type="dxa"/>
            <w:tcBorders>
              <w:top w:val="nil"/>
              <w:left w:val="nil"/>
              <w:bottom w:val="single" w:sz="4" w:space="0" w:color="auto"/>
              <w:right w:val="single" w:sz="4" w:space="0" w:color="auto"/>
            </w:tcBorders>
            <w:shd w:val="clear" w:color="auto" w:fill="auto"/>
            <w:noWrap/>
            <w:vAlign w:val="bottom"/>
            <w:hideMark/>
          </w:tcPr>
          <w:p w14:paraId="58E69DA4" w14:textId="77777777" w:rsidR="008430BD" w:rsidRPr="00A00187" w:rsidRDefault="008430BD" w:rsidP="00E077F3">
            <w:pPr>
              <w:spacing w:line="240" w:lineRule="auto"/>
              <w:jc w:val="center"/>
            </w:pPr>
            <w:r w:rsidRPr="00A00187">
              <w:t>BR</w:t>
            </w:r>
          </w:p>
        </w:tc>
        <w:tc>
          <w:tcPr>
            <w:tcW w:w="2320" w:type="dxa"/>
            <w:tcBorders>
              <w:top w:val="nil"/>
              <w:left w:val="nil"/>
              <w:bottom w:val="single" w:sz="4" w:space="0" w:color="auto"/>
              <w:right w:val="nil"/>
            </w:tcBorders>
            <w:shd w:val="clear" w:color="auto" w:fill="auto"/>
            <w:noWrap/>
            <w:vAlign w:val="bottom"/>
            <w:hideMark/>
          </w:tcPr>
          <w:p w14:paraId="223A71C6" w14:textId="3800E8F3" w:rsidR="008430BD" w:rsidRPr="00A00187" w:rsidRDefault="0053190F" w:rsidP="00E077F3">
            <w:pPr>
              <w:spacing w:line="240" w:lineRule="auto"/>
              <w:jc w:val="left"/>
            </w:pPr>
            <w:r w:rsidRPr="00A00187">
              <w:t>Plzeň</w:t>
            </w:r>
            <w:r w:rsidRPr="00A00187">
              <w:noBreakHyphen/>
            </w:r>
            <w:r w:rsidR="008430BD" w:rsidRPr="00A00187">
              <w:t>sever</w:t>
            </w:r>
          </w:p>
        </w:tc>
        <w:tc>
          <w:tcPr>
            <w:tcW w:w="1060" w:type="dxa"/>
            <w:tcBorders>
              <w:top w:val="nil"/>
              <w:left w:val="nil"/>
              <w:bottom w:val="single" w:sz="4" w:space="0" w:color="auto"/>
              <w:right w:val="nil"/>
            </w:tcBorders>
            <w:shd w:val="clear" w:color="auto" w:fill="auto"/>
            <w:noWrap/>
            <w:vAlign w:val="bottom"/>
            <w:hideMark/>
          </w:tcPr>
          <w:p w14:paraId="372B8090" w14:textId="77777777" w:rsidR="008430BD" w:rsidRPr="00A00187" w:rsidRDefault="008430BD" w:rsidP="00E077F3">
            <w:pPr>
              <w:spacing w:line="240" w:lineRule="auto"/>
              <w:jc w:val="center"/>
            </w:pPr>
            <w:r w:rsidRPr="00A00187">
              <w:t>PS</w:t>
            </w:r>
          </w:p>
        </w:tc>
      </w:tr>
      <w:tr w:rsidR="00AC1E67" w:rsidRPr="00A00187" w14:paraId="4C4171D7"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F8AB71D" w14:textId="77777777" w:rsidR="008430BD" w:rsidRPr="00A00187" w:rsidRDefault="008430BD" w:rsidP="00E077F3">
            <w:pPr>
              <w:spacing w:line="240" w:lineRule="auto"/>
              <w:jc w:val="left"/>
            </w:pPr>
            <w:r w:rsidRPr="00A00187">
              <w:t>Břeclav</w:t>
            </w:r>
          </w:p>
        </w:tc>
        <w:tc>
          <w:tcPr>
            <w:tcW w:w="1060" w:type="dxa"/>
            <w:tcBorders>
              <w:top w:val="nil"/>
              <w:left w:val="nil"/>
              <w:bottom w:val="single" w:sz="4" w:space="0" w:color="auto"/>
              <w:right w:val="single" w:sz="4" w:space="0" w:color="auto"/>
            </w:tcBorders>
            <w:shd w:val="clear" w:color="auto" w:fill="auto"/>
            <w:noWrap/>
            <w:vAlign w:val="bottom"/>
            <w:hideMark/>
          </w:tcPr>
          <w:p w14:paraId="079FE02E" w14:textId="77777777" w:rsidR="008430BD" w:rsidRPr="00A00187" w:rsidRDefault="008430BD" w:rsidP="00E077F3">
            <w:pPr>
              <w:spacing w:line="240" w:lineRule="auto"/>
              <w:jc w:val="center"/>
            </w:pPr>
            <w:r w:rsidRPr="00A00187">
              <w:t>BV</w:t>
            </w:r>
          </w:p>
        </w:tc>
        <w:tc>
          <w:tcPr>
            <w:tcW w:w="2320" w:type="dxa"/>
            <w:tcBorders>
              <w:top w:val="nil"/>
              <w:left w:val="nil"/>
              <w:bottom w:val="single" w:sz="4" w:space="0" w:color="auto"/>
              <w:right w:val="nil"/>
            </w:tcBorders>
            <w:shd w:val="clear" w:color="auto" w:fill="auto"/>
            <w:noWrap/>
            <w:vAlign w:val="bottom"/>
            <w:hideMark/>
          </w:tcPr>
          <w:p w14:paraId="1B67F5F1" w14:textId="77777777" w:rsidR="008430BD" w:rsidRPr="00A00187" w:rsidRDefault="008430BD" w:rsidP="00E077F3">
            <w:pPr>
              <w:spacing w:line="240" w:lineRule="auto"/>
              <w:jc w:val="left"/>
            </w:pPr>
            <w:r w:rsidRPr="00A00187">
              <w:t>Praha 1</w:t>
            </w:r>
          </w:p>
        </w:tc>
        <w:tc>
          <w:tcPr>
            <w:tcW w:w="1060" w:type="dxa"/>
            <w:tcBorders>
              <w:top w:val="nil"/>
              <w:left w:val="nil"/>
              <w:bottom w:val="single" w:sz="4" w:space="0" w:color="auto"/>
              <w:right w:val="nil"/>
            </w:tcBorders>
            <w:shd w:val="clear" w:color="auto" w:fill="auto"/>
            <w:noWrap/>
            <w:vAlign w:val="bottom"/>
            <w:hideMark/>
          </w:tcPr>
          <w:p w14:paraId="7E52DEFC" w14:textId="77777777" w:rsidR="008430BD" w:rsidRPr="00A00187" w:rsidRDefault="008430BD" w:rsidP="00E077F3">
            <w:pPr>
              <w:spacing w:line="240" w:lineRule="auto"/>
              <w:jc w:val="center"/>
            </w:pPr>
            <w:r w:rsidRPr="00A00187">
              <w:t>P 1</w:t>
            </w:r>
          </w:p>
        </w:tc>
      </w:tr>
      <w:tr w:rsidR="00AC1E67" w:rsidRPr="00A00187" w14:paraId="31D8ED05"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5B92E89" w14:textId="77777777" w:rsidR="008430BD" w:rsidRPr="00A00187" w:rsidRDefault="008430BD" w:rsidP="00E077F3">
            <w:pPr>
              <w:spacing w:line="240" w:lineRule="auto"/>
              <w:jc w:val="left"/>
            </w:pPr>
            <w:r w:rsidRPr="00A00187">
              <w:t>Česká Lípa</w:t>
            </w:r>
          </w:p>
        </w:tc>
        <w:tc>
          <w:tcPr>
            <w:tcW w:w="1060" w:type="dxa"/>
            <w:tcBorders>
              <w:top w:val="nil"/>
              <w:left w:val="nil"/>
              <w:bottom w:val="single" w:sz="4" w:space="0" w:color="auto"/>
              <w:right w:val="single" w:sz="4" w:space="0" w:color="auto"/>
            </w:tcBorders>
            <w:shd w:val="clear" w:color="auto" w:fill="auto"/>
            <w:noWrap/>
            <w:vAlign w:val="bottom"/>
            <w:hideMark/>
          </w:tcPr>
          <w:p w14:paraId="2C3AE0B0" w14:textId="77777777" w:rsidR="008430BD" w:rsidRPr="00A00187" w:rsidRDefault="008430BD" w:rsidP="00E077F3">
            <w:pPr>
              <w:spacing w:line="240" w:lineRule="auto"/>
              <w:jc w:val="center"/>
            </w:pPr>
            <w:r w:rsidRPr="00A00187">
              <w:t>CL</w:t>
            </w:r>
          </w:p>
        </w:tc>
        <w:tc>
          <w:tcPr>
            <w:tcW w:w="2320" w:type="dxa"/>
            <w:tcBorders>
              <w:top w:val="nil"/>
              <w:left w:val="nil"/>
              <w:bottom w:val="single" w:sz="4" w:space="0" w:color="auto"/>
              <w:right w:val="nil"/>
            </w:tcBorders>
            <w:shd w:val="clear" w:color="auto" w:fill="auto"/>
            <w:noWrap/>
            <w:vAlign w:val="bottom"/>
            <w:hideMark/>
          </w:tcPr>
          <w:p w14:paraId="69CA8C23"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2</w:t>
            </w:r>
          </w:p>
        </w:tc>
        <w:tc>
          <w:tcPr>
            <w:tcW w:w="1060" w:type="dxa"/>
            <w:tcBorders>
              <w:top w:val="nil"/>
              <w:left w:val="nil"/>
              <w:bottom w:val="single" w:sz="4" w:space="0" w:color="auto"/>
              <w:right w:val="nil"/>
            </w:tcBorders>
            <w:shd w:val="clear" w:color="auto" w:fill="auto"/>
            <w:noWrap/>
            <w:vAlign w:val="bottom"/>
            <w:hideMark/>
          </w:tcPr>
          <w:p w14:paraId="1A6F1081"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2</w:t>
            </w:r>
          </w:p>
        </w:tc>
      </w:tr>
      <w:tr w:rsidR="00AC1E67" w:rsidRPr="00A00187" w14:paraId="725E43B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A09AF95" w14:textId="77777777" w:rsidR="008430BD" w:rsidRPr="00A00187" w:rsidRDefault="008430BD" w:rsidP="00E077F3">
            <w:pPr>
              <w:spacing w:line="240" w:lineRule="auto"/>
              <w:jc w:val="left"/>
            </w:pPr>
            <w:r w:rsidRPr="00A00187">
              <w:t>České Budějovice</w:t>
            </w:r>
          </w:p>
        </w:tc>
        <w:tc>
          <w:tcPr>
            <w:tcW w:w="1060" w:type="dxa"/>
            <w:tcBorders>
              <w:top w:val="nil"/>
              <w:left w:val="nil"/>
              <w:bottom w:val="single" w:sz="4" w:space="0" w:color="auto"/>
              <w:right w:val="single" w:sz="4" w:space="0" w:color="auto"/>
            </w:tcBorders>
            <w:shd w:val="clear" w:color="auto" w:fill="auto"/>
            <w:noWrap/>
            <w:vAlign w:val="bottom"/>
            <w:hideMark/>
          </w:tcPr>
          <w:p w14:paraId="10A1CE02" w14:textId="77777777" w:rsidR="008430BD" w:rsidRPr="00A00187" w:rsidRDefault="008430BD" w:rsidP="00E077F3">
            <w:pPr>
              <w:spacing w:line="240" w:lineRule="auto"/>
              <w:jc w:val="center"/>
            </w:pPr>
            <w:r w:rsidRPr="00A00187">
              <w:t>CB</w:t>
            </w:r>
          </w:p>
        </w:tc>
        <w:tc>
          <w:tcPr>
            <w:tcW w:w="2320" w:type="dxa"/>
            <w:tcBorders>
              <w:top w:val="nil"/>
              <w:left w:val="nil"/>
              <w:bottom w:val="single" w:sz="4" w:space="0" w:color="auto"/>
              <w:right w:val="nil"/>
            </w:tcBorders>
            <w:shd w:val="clear" w:color="auto" w:fill="auto"/>
            <w:noWrap/>
            <w:vAlign w:val="bottom"/>
            <w:hideMark/>
          </w:tcPr>
          <w:p w14:paraId="2A68E544"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3</w:t>
            </w:r>
          </w:p>
        </w:tc>
        <w:tc>
          <w:tcPr>
            <w:tcW w:w="1060" w:type="dxa"/>
            <w:tcBorders>
              <w:top w:val="nil"/>
              <w:left w:val="nil"/>
              <w:bottom w:val="single" w:sz="4" w:space="0" w:color="auto"/>
              <w:right w:val="nil"/>
            </w:tcBorders>
            <w:shd w:val="clear" w:color="auto" w:fill="auto"/>
            <w:noWrap/>
            <w:vAlign w:val="bottom"/>
            <w:hideMark/>
          </w:tcPr>
          <w:p w14:paraId="15302092"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3</w:t>
            </w:r>
          </w:p>
        </w:tc>
      </w:tr>
      <w:tr w:rsidR="00AC1E67" w:rsidRPr="00A00187" w14:paraId="0F3EE16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5590360" w14:textId="77777777" w:rsidR="008430BD" w:rsidRPr="00A00187" w:rsidRDefault="008430BD" w:rsidP="00E077F3">
            <w:pPr>
              <w:spacing w:line="240" w:lineRule="auto"/>
              <w:jc w:val="left"/>
            </w:pPr>
            <w:r w:rsidRPr="00A00187">
              <w:t>Český Krumlov</w:t>
            </w:r>
          </w:p>
        </w:tc>
        <w:tc>
          <w:tcPr>
            <w:tcW w:w="1060" w:type="dxa"/>
            <w:tcBorders>
              <w:top w:val="nil"/>
              <w:left w:val="nil"/>
              <w:bottom w:val="single" w:sz="4" w:space="0" w:color="auto"/>
              <w:right w:val="single" w:sz="4" w:space="0" w:color="auto"/>
            </w:tcBorders>
            <w:shd w:val="clear" w:color="auto" w:fill="auto"/>
            <w:noWrap/>
            <w:vAlign w:val="bottom"/>
            <w:hideMark/>
          </w:tcPr>
          <w:p w14:paraId="62E33464" w14:textId="77777777" w:rsidR="008430BD" w:rsidRPr="00A00187" w:rsidRDefault="008430BD" w:rsidP="00E077F3">
            <w:pPr>
              <w:spacing w:line="240" w:lineRule="auto"/>
              <w:jc w:val="center"/>
            </w:pPr>
            <w:r w:rsidRPr="00A00187">
              <w:t>CK</w:t>
            </w:r>
          </w:p>
        </w:tc>
        <w:tc>
          <w:tcPr>
            <w:tcW w:w="2320" w:type="dxa"/>
            <w:tcBorders>
              <w:top w:val="nil"/>
              <w:left w:val="nil"/>
              <w:bottom w:val="single" w:sz="4" w:space="0" w:color="auto"/>
              <w:right w:val="nil"/>
            </w:tcBorders>
            <w:shd w:val="clear" w:color="auto" w:fill="auto"/>
            <w:noWrap/>
            <w:vAlign w:val="bottom"/>
            <w:hideMark/>
          </w:tcPr>
          <w:p w14:paraId="415DDB36"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4</w:t>
            </w:r>
          </w:p>
        </w:tc>
        <w:tc>
          <w:tcPr>
            <w:tcW w:w="1060" w:type="dxa"/>
            <w:tcBorders>
              <w:top w:val="nil"/>
              <w:left w:val="nil"/>
              <w:bottom w:val="single" w:sz="4" w:space="0" w:color="auto"/>
              <w:right w:val="nil"/>
            </w:tcBorders>
            <w:shd w:val="clear" w:color="auto" w:fill="auto"/>
            <w:noWrap/>
            <w:vAlign w:val="bottom"/>
            <w:hideMark/>
          </w:tcPr>
          <w:p w14:paraId="48AF7C43"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4</w:t>
            </w:r>
          </w:p>
        </w:tc>
      </w:tr>
      <w:tr w:rsidR="00AC1E67" w:rsidRPr="00A00187" w14:paraId="6994B206"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A5A9FDB" w14:textId="77777777" w:rsidR="008430BD" w:rsidRPr="00A00187" w:rsidRDefault="008430BD" w:rsidP="00E077F3">
            <w:pPr>
              <w:spacing w:line="240" w:lineRule="auto"/>
              <w:jc w:val="left"/>
            </w:pPr>
            <w:r w:rsidRPr="00A00187">
              <w:t>Děčín</w:t>
            </w:r>
          </w:p>
        </w:tc>
        <w:tc>
          <w:tcPr>
            <w:tcW w:w="1060" w:type="dxa"/>
            <w:tcBorders>
              <w:top w:val="nil"/>
              <w:left w:val="nil"/>
              <w:bottom w:val="single" w:sz="4" w:space="0" w:color="auto"/>
              <w:right w:val="single" w:sz="4" w:space="0" w:color="auto"/>
            </w:tcBorders>
            <w:shd w:val="clear" w:color="auto" w:fill="auto"/>
            <w:noWrap/>
            <w:vAlign w:val="bottom"/>
            <w:hideMark/>
          </w:tcPr>
          <w:p w14:paraId="01B39A89" w14:textId="77777777" w:rsidR="008430BD" w:rsidRPr="00A00187" w:rsidRDefault="008430BD" w:rsidP="00E077F3">
            <w:pPr>
              <w:spacing w:line="240" w:lineRule="auto"/>
              <w:jc w:val="center"/>
            </w:pPr>
            <w:r w:rsidRPr="00A00187">
              <w:t>DC</w:t>
            </w:r>
          </w:p>
        </w:tc>
        <w:tc>
          <w:tcPr>
            <w:tcW w:w="2320" w:type="dxa"/>
            <w:tcBorders>
              <w:top w:val="nil"/>
              <w:left w:val="nil"/>
              <w:bottom w:val="single" w:sz="4" w:space="0" w:color="auto"/>
              <w:right w:val="nil"/>
            </w:tcBorders>
            <w:shd w:val="clear" w:color="auto" w:fill="auto"/>
            <w:noWrap/>
            <w:vAlign w:val="bottom"/>
            <w:hideMark/>
          </w:tcPr>
          <w:p w14:paraId="623C248D"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5</w:t>
            </w:r>
          </w:p>
        </w:tc>
        <w:tc>
          <w:tcPr>
            <w:tcW w:w="1060" w:type="dxa"/>
            <w:tcBorders>
              <w:top w:val="nil"/>
              <w:left w:val="nil"/>
              <w:bottom w:val="single" w:sz="4" w:space="0" w:color="auto"/>
              <w:right w:val="nil"/>
            </w:tcBorders>
            <w:shd w:val="clear" w:color="auto" w:fill="auto"/>
            <w:noWrap/>
            <w:vAlign w:val="bottom"/>
            <w:hideMark/>
          </w:tcPr>
          <w:p w14:paraId="38532A90"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5</w:t>
            </w:r>
          </w:p>
        </w:tc>
      </w:tr>
      <w:tr w:rsidR="00AC1E67" w:rsidRPr="00A00187" w14:paraId="00E115A5"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87E769C" w14:textId="77777777" w:rsidR="008430BD" w:rsidRPr="00A00187" w:rsidRDefault="008430BD" w:rsidP="00E077F3">
            <w:pPr>
              <w:spacing w:line="240" w:lineRule="auto"/>
              <w:jc w:val="left"/>
            </w:pPr>
            <w:r w:rsidRPr="00A00187">
              <w:t>Domažlice</w:t>
            </w:r>
          </w:p>
        </w:tc>
        <w:tc>
          <w:tcPr>
            <w:tcW w:w="1060" w:type="dxa"/>
            <w:tcBorders>
              <w:top w:val="nil"/>
              <w:left w:val="nil"/>
              <w:bottom w:val="single" w:sz="4" w:space="0" w:color="auto"/>
              <w:right w:val="single" w:sz="4" w:space="0" w:color="auto"/>
            </w:tcBorders>
            <w:shd w:val="clear" w:color="auto" w:fill="auto"/>
            <w:noWrap/>
            <w:vAlign w:val="bottom"/>
            <w:hideMark/>
          </w:tcPr>
          <w:p w14:paraId="7698FDC2" w14:textId="77777777" w:rsidR="008430BD" w:rsidRPr="00A00187" w:rsidRDefault="008430BD" w:rsidP="00E077F3">
            <w:pPr>
              <w:spacing w:line="240" w:lineRule="auto"/>
              <w:jc w:val="center"/>
            </w:pPr>
            <w:r w:rsidRPr="00A00187">
              <w:t>DO</w:t>
            </w:r>
          </w:p>
        </w:tc>
        <w:tc>
          <w:tcPr>
            <w:tcW w:w="2320" w:type="dxa"/>
            <w:tcBorders>
              <w:top w:val="nil"/>
              <w:left w:val="nil"/>
              <w:bottom w:val="single" w:sz="4" w:space="0" w:color="auto"/>
              <w:right w:val="nil"/>
            </w:tcBorders>
            <w:shd w:val="clear" w:color="auto" w:fill="auto"/>
            <w:noWrap/>
            <w:vAlign w:val="bottom"/>
            <w:hideMark/>
          </w:tcPr>
          <w:p w14:paraId="664BF96E"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6</w:t>
            </w:r>
          </w:p>
        </w:tc>
        <w:tc>
          <w:tcPr>
            <w:tcW w:w="1060" w:type="dxa"/>
            <w:tcBorders>
              <w:top w:val="nil"/>
              <w:left w:val="nil"/>
              <w:bottom w:val="single" w:sz="4" w:space="0" w:color="auto"/>
              <w:right w:val="nil"/>
            </w:tcBorders>
            <w:shd w:val="clear" w:color="auto" w:fill="auto"/>
            <w:noWrap/>
            <w:vAlign w:val="bottom"/>
            <w:hideMark/>
          </w:tcPr>
          <w:p w14:paraId="0BACD7D7"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6</w:t>
            </w:r>
          </w:p>
        </w:tc>
      </w:tr>
      <w:tr w:rsidR="00AC1E67" w:rsidRPr="00A00187" w14:paraId="7D2A4A6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60819CE" w14:textId="5E7B907E" w:rsidR="008430BD" w:rsidRPr="00A00187" w:rsidRDefault="0053190F" w:rsidP="00E077F3">
            <w:pPr>
              <w:spacing w:line="240" w:lineRule="auto"/>
              <w:jc w:val="left"/>
            </w:pPr>
            <w:r w:rsidRPr="00A00187">
              <w:t>Frýdek</w:t>
            </w:r>
            <w:r w:rsidRPr="00A00187">
              <w:noBreakHyphen/>
              <w:t>Místek</w:t>
            </w:r>
          </w:p>
        </w:tc>
        <w:tc>
          <w:tcPr>
            <w:tcW w:w="1060" w:type="dxa"/>
            <w:tcBorders>
              <w:top w:val="nil"/>
              <w:left w:val="nil"/>
              <w:bottom w:val="single" w:sz="4" w:space="0" w:color="auto"/>
              <w:right w:val="single" w:sz="4" w:space="0" w:color="auto"/>
            </w:tcBorders>
            <w:shd w:val="clear" w:color="auto" w:fill="auto"/>
            <w:noWrap/>
            <w:vAlign w:val="bottom"/>
            <w:hideMark/>
          </w:tcPr>
          <w:p w14:paraId="0FD2DCE4" w14:textId="77777777" w:rsidR="008430BD" w:rsidRPr="00A00187" w:rsidRDefault="008430BD" w:rsidP="00E077F3">
            <w:pPr>
              <w:spacing w:line="240" w:lineRule="auto"/>
              <w:jc w:val="center"/>
            </w:pPr>
            <w:r w:rsidRPr="00A00187">
              <w:t>FM</w:t>
            </w:r>
          </w:p>
        </w:tc>
        <w:tc>
          <w:tcPr>
            <w:tcW w:w="2320" w:type="dxa"/>
            <w:tcBorders>
              <w:top w:val="nil"/>
              <w:left w:val="nil"/>
              <w:bottom w:val="single" w:sz="4" w:space="0" w:color="auto"/>
              <w:right w:val="nil"/>
            </w:tcBorders>
            <w:shd w:val="clear" w:color="auto" w:fill="auto"/>
            <w:noWrap/>
            <w:vAlign w:val="bottom"/>
            <w:hideMark/>
          </w:tcPr>
          <w:p w14:paraId="2770C8BB"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7</w:t>
            </w:r>
          </w:p>
        </w:tc>
        <w:tc>
          <w:tcPr>
            <w:tcW w:w="1060" w:type="dxa"/>
            <w:tcBorders>
              <w:top w:val="nil"/>
              <w:left w:val="nil"/>
              <w:bottom w:val="single" w:sz="4" w:space="0" w:color="auto"/>
              <w:right w:val="nil"/>
            </w:tcBorders>
            <w:shd w:val="clear" w:color="auto" w:fill="auto"/>
            <w:noWrap/>
            <w:vAlign w:val="bottom"/>
            <w:hideMark/>
          </w:tcPr>
          <w:p w14:paraId="2CD186BA"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7</w:t>
            </w:r>
          </w:p>
        </w:tc>
      </w:tr>
      <w:tr w:rsidR="00AC1E67" w:rsidRPr="00A00187" w14:paraId="64A1F89F"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A758ADD" w14:textId="77777777" w:rsidR="008430BD" w:rsidRPr="00A00187" w:rsidRDefault="008430BD" w:rsidP="00E077F3">
            <w:pPr>
              <w:spacing w:line="240" w:lineRule="auto"/>
              <w:jc w:val="left"/>
            </w:pPr>
            <w:r w:rsidRPr="00A00187">
              <w:t>Havlíčkův Brod</w:t>
            </w:r>
          </w:p>
        </w:tc>
        <w:tc>
          <w:tcPr>
            <w:tcW w:w="1060" w:type="dxa"/>
            <w:tcBorders>
              <w:top w:val="nil"/>
              <w:left w:val="nil"/>
              <w:bottom w:val="single" w:sz="4" w:space="0" w:color="auto"/>
              <w:right w:val="single" w:sz="4" w:space="0" w:color="auto"/>
            </w:tcBorders>
            <w:shd w:val="clear" w:color="auto" w:fill="auto"/>
            <w:noWrap/>
            <w:vAlign w:val="bottom"/>
            <w:hideMark/>
          </w:tcPr>
          <w:p w14:paraId="6A5D2FB4" w14:textId="77777777" w:rsidR="008430BD" w:rsidRPr="00A00187" w:rsidRDefault="008430BD" w:rsidP="00E077F3">
            <w:pPr>
              <w:spacing w:line="240" w:lineRule="auto"/>
              <w:jc w:val="center"/>
            </w:pPr>
            <w:r w:rsidRPr="00A00187">
              <w:t>HB</w:t>
            </w:r>
          </w:p>
        </w:tc>
        <w:tc>
          <w:tcPr>
            <w:tcW w:w="2320" w:type="dxa"/>
            <w:tcBorders>
              <w:top w:val="nil"/>
              <w:left w:val="nil"/>
              <w:bottom w:val="single" w:sz="4" w:space="0" w:color="auto"/>
              <w:right w:val="nil"/>
            </w:tcBorders>
            <w:shd w:val="clear" w:color="auto" w:fill="auto"/>
            <w:noWrap/>
            <w:vAlign w:val="bottom"/>
            <w:hideMark/>
          </w:tcPr>
          <w:p w14:paraId="13FBEA0E"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8</w:t>
            </w:r>
          </w:p>
        </w:tc>
        <w:tc>
          <w:tcPr>
            <w:tcW w:w="1060" w:type="dxa"/>
            <w:tcBorders>
              <w:top w:val="nil"/>
              <w:left w:val="nil"/>
              <w:bottom w:val="single" w:sz="4" w:space="0" w:color="auto"/>
              <w:right w:val="nil"/>
            </w:tcBorders>
            <w:shd w:val="clear" w:color="auto" w:fill="auto"/>
            <w:noWrap/>
            <w:vAlign w:val="bottom"/>
            <w:hideMark/>
          </w:tcPr>
          <w:p w14:paraId="424ED083"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8</w:t>
            </w:r>
          </w:p>
        </w:tc>
      </w:tr>
      <w:tr w:rsidR="00AC1E67" w:rsidRPr="00A00187" w14:paraId="3E45B853"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4CBCD18" w14:textId="77777777" w:rsidR="008430BD" w:rsidRPr="00A00187" w:rsidRDefault="008430BD" w:rsidP="00E077F3">
            <w:pPr>
              <w:spacing w:line="240" w:lineRule="auto"/>
              <w:jc w:val="left"/>
            </w:pPr>
            <w:r w:rsidRPr="00A00187">
              <w:t>Hodonín</w:t>
            </w:r>
          </w:p>
        </w:tc>
        <w:tc>
          <w:tcPr>
            <w:tcW w:w="1060" w:type="dxa"/>
            <w:tcBorders>
              <w:top w:val="nil"/>
              <w:left w:val="nil"/>
              <w:bottom w:val="single" w:sz="4" w:space="0" w:color="auto"/>
              <w:right w:val="single" w:sz="4" w:space="0" w:color="auto"/>
            </w:tcBorders>
            <w:shd w:val="clear" w:color="auto" w:fill="auto"/>
            <w:noWrap/>
            <w:vAlign w:val="bottom"/>
            <w:hideMark/>
          </w:tcPr>
          <w:p w14:paraId="0987E9B0" w14:textId="77777777" w:rsidR="008430BD" w:rsidRPr="00A00187" w:rsidRDefault="008430BD" w:rsidP="00E077F3">
            <w:pPr>
              <w:spacing w:line="240" w:lineRule="auto"/>
              <w:jc w:val="center"/>
            </w:pPr>
            <w:r w:rsidRPr="00A00187">
              <w:t>HO</w:t>
            </w:r>
          </w:p>
        </w:tc>
        <w:tc>
          <w:tcPr>
            <w:tcW w:w="2320" w:type="dxa"/>
            <w:tcBorders>
              <w:top w:val="nil"/>
              <w:left w:val="nil"/>
              <w:bottom w:val="single" w:sz="4" w:space="0" w:color="auto"/>
              <w:right w:val="nil"/>
            </w:tcBorders>
            <w:shd w:val="clear" w:color="auto" w:fill="auto"/>
            <w:noWrap/>
            <w:vAlign w:val="bottom"/>
            <w:hideMark/>
          </w:tcPr>
          <w:p w14:paraId="3E1CC1DB"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9</w:t>
            </w:r>
          </w:p>
        </w:tc>
        <w:tc>
          <w:tcPr>
            <w:tcW w:w="1060" w:type="dxa"/>
            <w:tcBorders>
              <w:top w:val="nil"/>
              <w:left w:val="nil"/>
              <w:bottom w:val="single" w:sz="4" w:space="0" w:color="auto"/>
              <w:right w:val="nil"/>
            </w:tcBorders>
            <w:shd w:val="clear" w:color="auto" w:fill="auto"/>
            <w:noWrap/>
            <w:vAlign w:val="bottom"/>
            <w:hideMark/>
          </w:tcPr>
          <w:p w14:paraId="7045BBE2"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9</w:t>
            </w:r>
          </w:p>
        </w:tc>
      </w:tr>
      <w:tr w:rsidR="00AC1E67" w:rsidRPr="00A00187" w14:paraId="768BF7C7"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3BD1F4C" w14:textId="77777777" w:rsidR="008430BD" w:rsidRPr="00A00187" w:rsidRDefault="008430BD" w:rsidP="00E077F3">
            <w:pPr>
              <w:spacing w:line="240" w:lineRule="auto"/>
              <w:jc w:val="left"/>
            </w:pPr>
            <w:r w:rsidRPr="00A00187">
              <w:t>Hradec Králové</w:t>
            </w:r>
          </w:p>
        </w:tc>
        <w:tc>
          <w:tcPr>
            <w:tcW w:w="1060" w:type="dxa"/>
            <w:tcBorders>
              <w:top w:val="nil"/>
              <w:left w:val="nil"/>
              <w:bottom w:val="single" w:sz="4" w:space="0" w:color="auto"/>
              <w:right w:val="single" w:sz="4" w:space="0" w:color="auto"/>
            </w:tcBorders>
            <w:shd w:val="clear" w:color="auto" w:fill="auto"/>
            <w:noWrap/>
            <w:vAlign w:val="bottom"/>
            <w:hideMark/>
          </w:tcPr>
          <w:p w14:paraId="5966639A" w14:textId="77777777" w:rsidR="008430BD" w:rsidRPr="00A00187" w:rsidRDefault="008430BD" w:rsidP="00E077F3">
            <w:pPr>
              <w:spacing w:line="240" w:lineRule="auto"/>
              <w:jc w:val="center"/>
            </w:pPr>
            <w:r w:rsidRPr="00A00187">
              <w:t>HK</w:t>
            </w:r>
          </w:p>
        </w:tc>
        <w:tc>
          <w:tcPr>
            <w:tcW w:w="2320" w:type="dxa"/>
            <w:tcBorders>
              <w:top w:val="nil"/>
              <w:left w:val="nil"/>
              <w:bottom w:val="single" w:sz="4" w:space="0" w:color="auto"/>
              <w:right w:val="nil"/>
            </w:tcBorders>
            <w:shd w:val="clear" w:color="auto" w:fill="auto"/>
            <w:noWrap/>
            <w:vAlign w:val="bottom"/>
            <w:hideMark/>
          </w:tcPr>
          <w:p w14:paraId="4807DF3D" w14:textId="77777777" w:rsidR="008430BD" w:rsidRPr="00A00187" w:rsidRDefault="008430BD" w:rsidP="00E077F3">
            <w:pPr>
              <w:spacing w:line="240" w:lineRule="auto"/>
              <w:jc w:val="left"/>
            </w:pPr>
            <w:r w:rsidRPr="00A00187">
              <w:t xml:space="preserve">Praha </w:t>
            </w:r>
            <w:r w:rsidRPr="00A00187">
              <w:rPr>
                <w:rFonts w:eastAsia="Times New Roman"/>
                <w:szCs w:val="24"/>
                <w:lang w:eastAsia="cs-CZ"/>
              </w:rPr>
              <w:t>10</w:t>
            </w:r>
          </w:p>
        </w:tc>
        <w:tc>
          <w:tcPr>
            <w:tcW w:w="1060" w:type="dxa"/>
            <w:tcBorders>
              <w:top w:val="nil"/>
              <w:left w:val="nil"/>
              <w:bottom w:val="single" w:sz="4" w:space="0" w:color="auto"/>
              <w:right w:val="nil"/>
            </w:tcBorders>
            <w:shd w:val="clear" w:color="auto" w:fill="auto"/>
            <w:noWrap/>
            <w:vAlign w:val="bottom"/>
            <w:hideMark/>
          </w:tcPr>
          <w:p w14:paraId="710C0E42" w14:textId="77777777" w:rsidR="008430BD" w:rsidRPr="00A00187" w:rsidRDefault="008430BD" w:rsidP="00E077F3">
            <w:pPr>
              <w:spacing w:line="240" w:lineRule="auto"/>
              <w:jc w:val="center"/>
            </w:pPr>
            <w:r w:rsidRPr="00A00187">
              <w:t xml:space="preserve">P </w:t>
            </w:r>
            <w:r w:rsidRPr="00A00187">
              <w:rPr>
                <w:rFonts w:eastAsia="Times New Roman"/>
                <w:szCs w:val="24"/>
                <w:lang w:eastAsia="cs-CZ"/>
              </w:rPr>
              <w:t>10</w:t>
            </w:r>
          </w:p>
        </w:tc>
      </w:tr>
      <w:tr w:rsidR="00AC1E67" w:rsidRPr="00A00187" w14:paraId="0D5B8E0D"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2AD8C98" w14:textId="77777777" w:rsidR="008430BD" w:rsidRPr="00A00187" w:rsidRDefault="008430BD" w:rsidP="00E077F3">
            <w:pPr>
              <w:spacing w:line="240" w:lineRule="auto"/>
              <w:jc w:val="left"/>
            </w:pPr>
            <w:r w:rsidRPr="00A00187">
              <w:t>Cheb</w:t>
            </w:r>
          </w:p>
        </w:tc>
        <w:tc>
          <w:tcPr>
            <w:tcW w:w="1060" w:type="dxa"/>
            <w:tcBorders>
              <w:top w:val="nil"/>
              <w:left w:val="nil"/>
              <w:bottom w:val="single" w:sz="4" w:space="0" w:color="auto"/>
              <w:right w:val="single" w:sz="4" w:space="0" w:color="auto"/>
            </w:tcBorders>
            <w:shd w:val="clear" w:color="auto" w:fill="auto"/>
            <w:noWrap/>
            <w:vAlign w:val="bottom"/>
            <w:hideMark/>
          </w:tcPr>
          <w:p w14:paraId="06F79470" w14:textId="77777777" w:rsidR="008430BD" w:rsidRPr="00A00187" w:rsidRDefault="008430BD" w:rsidP="00E077F3">
            <w:pPr>
              <w:spacing w:line="240" w:lineRule="auto"/>
              <w:jc w:val="center"/>
            </w:pPr>
            <w:r w:rsidRPr="00A00187">
              <w:t>CH</w:t>
            </w:r>
          </w:p>
        </w:tc>
        <w:tc>
          <w:tcPr>
            <w:tcW w:w="2320" w:type="dxa"/>
            <w:tcBorders>
              <w:top w:val="nil"/>
              <w:left w:val="nil"/>
              <w:bottom w:val="single" w:sz="4" w:space="0" w:color="auto"/>
              <w:right w:val="nil"/>
            </w:tcBorders>
            <w:shd w:val="clear" w:color="auto" w:fill="auto"/>
            <w:noWrap/>
            <w:vAlign w:val="bottom"/>
            <w:hideMark/>
          </w:tcPr>
          <w:p w14:paraId="630651D8" w14:textId="6F187FA6" w:rsidR="008430BD" w:rsidRPr="00A00187" w:rsidRDefault="0053190F" w:rsidP="00E077F3">
            <w:pPr>
              <w:spacing w:line="240" w:lineRule="auto"/>
              <w:jc w:val="left"/>
            </w:pPr>
            <w:r w:rsidRPr="00A00187">
              <w:t>Praha</w:t>
            </w:r>
            <w:r w:rsidRPr="00A00187">
              <w:noBreakHyphen/>
            </w:r>
            <w:r w:rsidR="008430BD" w:rsidRPr="00A00187">
              <w:t>východ</w:t>
            </w:r>
          </w:p>
        </w:tc>
        <w:tc>
          <w:tcPr>
            <w:tcW w:w="1060" w:type="dxa"/>
            <w:tcBorders>
              <w:top w:val="nil"/>
              <w:left w:val="nil"/>
              <w:bottom w:val="single" w:sz="4" w:space="0" w:color="auto"/>
              <w:right w:val="nil"/>
            </w:tcBorders>
            <w:shd w:val="clear" w:color="auto" w:fill="auto"/>
            <w:noWrap/>
            <w:vAlign w:val="bottom"/>
            <w:hideMark/>
          </w:tcPr>
          <w:p w14:paraId="047EBE6A" w14:textId="77777777" w:rsidR="008430BD" w:rsidRPr="00A00187" w:rsidRDefault="008430BD" w:rsidP="00E077F3">
            <w:pPr>
              <w:spacing w:line="240" w:lineRule="auto"/>
              <w:jc w:val="center"/>
            </w:pPr>
            <w:r w:rsidRPr="00A00187">
              <w:t>PY</w:t>
            </w:r>
          </w:p>
        </w:tc>
      </w:tr>
      <w:tr w:rsidR="00AC1E67" w:rsidRPr="00A00187" w14:paraId="68B3D0B4"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C653C47" w14:textId="77777777" w:rsidR="008430BD" w:rsidRPr="00A00187" w:rsidRDefault="008430BD" w:rsidP="00E077F3">
            <w:pPr>
              <w:spacing w:line="240" w:lineRule="auto"/>
              <w:jc w:val="left"/>
            </w:pPr>
            <w:r w:rsidRPr="00A00187">
              <w:t>Chomutov</w:t>
            </w:r>
          </w:p>
        </w:tc>
        <w:tc>
          <w:tcPr>
            <w:tcW w:w="1060" w:type="dxa"/>
            <w:tcBorders>
              <w:top w:val="nil"/>
              <w:left w:val="nil"/>
              <w:bottom w:val="single" w:sz="4" w:space="0" w:color="auto"/>
              <w:right w:val="single" w:sz="4" w:space="0" w:color="auto"/>
            </w:tcBorders>
            <w:shd w:val="clear" w:color="auto" w:fill="auto"/>
            <w:noWrap/>
            <w:vAlign w:val="bottom"/>
            <w:hideMark/>
          </w:tcPr>
          <w:p w14:paraId="22C62212" w14:textId="77777777" w:rsidR="008430BD" w:rsidRPr="00A00187" w:rsidRDefault="008430BD" w:rsidP="00E077F3">
            <w:pPr>
              <w:spacing w:line="240" w:lineRule="auto"/>
              <w:jc w:val="center"/>
            </w:pPr>
            <w:r w:rsidRPr="00A00187">
              <w:t>CV</w:t>
            </w:r>
          </w:p>
        </w:tc>
        <w:tc>
          <w:tcPr>
            <w:tcW w:w="2320" w:type="dxa"/>
            <w:tcBorders>
              <w:top w:val="nil"/>
              <w:left w:val="nil"/>
              <w:bottom w:val="single" w:sz="4" w:space="0" w:color="auto"/>
              <w:right w:val="nil"/>
            </w:tcBorders>
            <w:shd w:val="clear" w:color="auto" w:fill="auto"/>
            <w:noWrap/>
            <w:vAlign w:val="bottom"/>
            <w:hideMark/>
          </w:tcPr>
          <w:p w14:paraId="2615E1CF" w14:textId="26A31540" w:rsidR="008430BD" w:rsidRPr="00A00187" w:rsidRDefault="0053190F" w:rsidP="00E077F3">
            <w:pPr>
              <w:spacing w:line="240" w:lineRule="auto"/>
              <w:jc w:val="left"/>
            </w:pPr>
            <w:r w:rsidRPr="00A00187">
              <w:t>Praha</w:t>
            </w:r>
            <w:r w:rsidRPr="00A00187">
              <w:noBreakHyphen/>
            </w:r>
            <w:r w:rsidR="008430BD" w:rsidRPr="00A00187">
              <w:t>západ</w:t>
            </w:r>
          </w:p>
        </w:tc>
        <w:tc>
          <w:tcPr>
            <w:tcW w:w="1060" w:type="dxa"/>
            <w:tcBorders>
              <w:top w:val="nil"/>
              <w:left w:val="nil"/>
              <w:bottom w:val="single" w:sz="4" w:space="0" w:color="auto"/>
              <w:right w:val="nil"/>
            </w:tcBorders>
            <w:shd w:val="clear" w:color="auto" w:fill="auto"/>
            <w:noWrap/>
            <w:vAlign w:val="bottom"/>
            <w:hideMark/>
          </w:tcPr>
          <w:p w14:paraId="308490CD" w14:textId="77777777" w:rsidR="008430BD" w:rsidRPr="00A00187" w:rsidRDefault="008430BD" w:rsidP="00E077F3">
            <w:pPr>
              <w:spacing w:line="240" w:lineRule="auto"/>
              <w:jc w:val="center"/>
            </w:pPr>
            <w:r w:rsidRPr="00A00187">
              <w:t>PZ</w:t>
            </w:r>
          </w:p>
        </w:tc>
      </w:tr>
      <w:tr w:rsidR="00AC1E67" w:rsidRPr="00A00187" w14:paraId="1297CE0F"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55A6720" w14:textId="77777777" w:rsidR="008430BD" w:rsidRPr="00A00187" w:rsidRDefault="008430BD" w:rsidP="00E077F3">
            <w:pPr>
              <w:spacing w:line="240" w:lineRule="auto"/>
              <w:jc w:val="left"/>
            </w:pPr>
            <w:r w:rsidRPr="00A00187">
              <w:t>Chrudim</w:t>
            </w:r>
          </w:p>
        </w:tc>
        <w:tc>
          <w:tcPr>
            <w:tcW w:w="1060" w:type="dxa"/>
            <w:tcBorders>
              <w:top w:val="nil"/>
              <w:left w:val="nil"/>
              <w:bottom w:val="single" w:sz="4" w:space="0" w:color="auto"/>
              <w:right w:val="single" w:sz="4" w:space="0" w:color="auto"/>
            </w:tcBorders>
            <w:shd w:val="clear" w:color="auto" w:fill="auto"/>
            <w:noWrap/>
            <w:vAlign w:val="bottom"/>
            <w:hideMark/>
          </w:tcPr>
          <w:p w14:paraId="08331962" w14:textId="77777777" w:rsidR="008430BD" w:rsidRPr="00A00187" w:rsidRDefault="008430BD" w:rsidP="00E077F3">
            <w:pPr>
              <w:spacing w:line="240" w:lineRule="auto"/>
              <w:jc w:val="center"/>
            </w:pPr>
            <w:r w:rsidRPr="00A00187">
              <w:t>CR</w:t>
            </w:r>
          </w:p>
        </w:tc>
        <w:tc>
          <w:tcPr>
            <w:tcW w:w="2320" w:type="dxa"/>
            <w:tcBorders>
              <w:top w:val="nil"/>
              <w:left w:val="nil"/>
              <w:bottom w:val="single" w:sz="4" w:space="0" w:color="auto"/>
              <w:right w:val="nil"/>
            </w:tcBorders>
            <w:shd w:val="clear" w:color="auto" w:fill="auto"/>
            <w:noWrap/>
            <w:vAlign w:val="bottom"/>
            <w:hideMark/>
          </w:tcPr>
          <w:p w14:paraId="2B618784" w14:textId="77777777" w:rsidR="008430BD" w:rsidRPr="00A00187" w:rsidRDefault="008430BD" w:rsidP="00E077F3">
            <w:pPr>
              <w:spacing w:line="240" w:lineRule="auto"/>
              <w:jc w:val="left"/>
            </w:pPr>
            <w:r w:rsidRPr="00A00187">
              <w:t>Prachatice</w:t>
            </w:r>
          </w:p>
        </w:tc>
        <w:tc>
          <w:tcPr>
            <w:tcW w:w="1060" w:type="dxa"/>
            <w:tcBorders>
              <w:top w:val="nil"/>
              <w:left w:val="nil"/>
              <w:bottom w:val="single" w:sz="4" w:space="0" w:color="auto"/>
              <w:right w:val="nil"/>
            </w:tcBorders>
            <w:shd w:val="clear" w:color="auto" w:fill="auto"/>
            <w:noWrap/>
            <w:vAlign w:val="bottom"/>
            <w:hideMark/>
          </w:tcPr>
          <w:p w14:paraId="57988E4C" w14:textId="77777777" w:rsidR="008430BD" w:rsidRPr="00A00187" w:rsidRDefault="008430BD" w:rsidP="00E077F3">
            <w:pPr>
              <w:spacing w:line="240" w:lineRule="auto"/>
              <w:jc w:val="center"/>
            </w:pPr>
            <w:r w:rsidRPr="00A00187">
              <w:t>PT</w:t>
            </w:r>
          </w:p>
        </w:tc>
      </w:tr>
      <w:tr w:rsidR="00AC1E67" w:rsidRPr="00A00187" w14:paraId="219A5935"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4C8BDC2" w14:textId="77777777" w:rsidR="008430BD" w:rsidRPr="00A00187" w:rsidRDefault="008430BD" w:rsidP="00E077F3">
            <w:pPr>
              <w:spacing w:line="240" w:lineRule="auto"/>
              <w:jc w:val="left"/>
            </w:pPr>
            <w:r w:rsidRPr="00A00187">
              <w:t>Jablonec nad Nisou</w:t>
            </w:r>
          </w:p>
        </w:tc>
        <w:tc>
          <w:tcPr>
            <w:tcW w:w="1060" w:type="dxa"/>
            <w:tcBorders>
              <w:top w:val="nil"/>
              <w:left w:val="nil"/>
              <w:bottom w:val="single" w:sz="4" w:space="0" w:color="auto"/>
              <w:right w:val="single" w:sz="4" w:space="0" w:color="auto"/>
            </w:tcBorders>
            <w:shd w:val="clear" w:color="auto" w:fill="auto"/>
            <w:noWrap/>
            <w:vAlign w:val="bottom"/>
            <w:hideMark/>
          </w:tcPr>
          <w:p w14:paraId="0424B10B" w14:textId="77777777" w:rsidR="008430BD" w:rsidRPr="00A00187" w:rsidRDefault="008430BD" w:rsidP="00E077F3">
            <w:pPr>
              <w:spacing w:line="240" w:lineRule="auto"/>
              <w:jc w:val="center"/>
            </w:pPr>
            <w:r w:rsidRPr="00A00187">
              <w:t>JN</w:t>
            </w:r>
          </w:p>
        </w:tc>
        <w:tc>
          <w:tcPr>
            <w:tcW w:w="2320" w:type="dxa"/>
            <w:tcBorders>
              <w:top w:val="nil"/>
              <w:left w:val="nil"/>
              <w:bottom w:val="single" w:sz="4" w:space="0" w:color="auto"/>
              <w:right w:val="nil"/>
            </w:tcBorders>
            <w:shd w:val="clear" w:color="auto" w:fill="auto"/>
            <w:noWrap/>
            <w:vAlign w:val="bottom"/>
            <w:hideMark/>
          </w:tcPr>
          <w:p w14:paraId="0EA8A640" w14:textId="77777777" w:rsidR="008430BD" w:rsidRPr="00A00187" w:rsidRDefault="008430BD" w:rsidP="00E077F3">
            <w:pPr>
              <w:spacing w:line="240" w:lineRule="auto"/>
              <w:jc w:val="left"/>
            </w:pPr>
            <w:r w:rsidRPr="00A00187">
              <w:t>Prostějov</w:t>
            </w:r>
          </w:p>
        </w:tc>
        <w:tc>
          <w:tcPr>
            <w:tcW w:w="1060" w:type="dxa"/>
            <w:tcBorders>
              <w:top w:val="nil"/>
              <w:left w:val="nil"/>
              <w:bottom w:val="single" w:sz="4" w:space="0" w:color="auto"/>
              <w:right w:val="nil"/>
            </w:tcBorders>
            <w:shd w:val="clear" w:color="auto" w:fill="auto"/>
            <w:noWrap/>
            <w:vAlign w:val="bottom"/>
            <w:hideMark/>
          </w:tcPr>
          <w:p w14:paraId="76FEA204" w14:textId="77777777" w:rsidR="008430BD" w:rsidRPr="00A00187" w:rsidRDefault="008430BD" w:rsidP="00E077F3">
            <w:pPr>
              <w:spacing w:line="240" w:lineRule="auto"/>
              <w:jc w:val="center"/>
            </w:pPr>
            <w:r w:rsidRPr="00A00187">
              <w:t>PV</w:t>
            </w:r>
          </w:p>
        </w:tc>
      </w:tr>
      <w:tr w:rsidR="00AC1E67" w:rsidRPr="00A00187" w14:paraId="62B7D44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95D1381" w14:textId="77777777" w:rsidR="008430BD" w:rsidRPr="00A00187" w:rsidRDefault="008430BD" w:rsidP="00E077F3">
            <w:pPr>
              <w:spacing w:line="240" w:lineRule="auto"/>
              <w:jc w:val="left"/>
            </w:pPr>
            <w:r w:rsidRPr="00A00187">
              <w:t>Jeseník</w:t>
            </w:r>
          </w:p>
        </w:tc>
        <w:tc>
          <w:tcPr>
            <w:tcW w:w="1060" w:type="dxa"/>
            <w:tcBorders>
              <w:top w:val="nil"/>
              <w:left w:val="nil"/>
              <w:bottom w:val="single" w:sz="4" w:space="0" w:color="auto"/>
              <w:right w:val="single" w:sz="4" w:space="0" w:color="auto"/>
            </w:tcBorders>
            <w:shd w:val="clear" w:color="auto" w:fill="auto"/>
            <w:noWrap/>
            <w:vAlign w:val="bottom"/>
            <w:hideMark/>
          </w:tcPr>
          <w:p w14:paraId="42C2201E" w14:textId="77777777" w:rsidR="008430BD" w:rsidRPr="00A00187" w:rsidRDefault="008430BD" w:rsidP="00E077F3">
            <w:pPr>
              <w:spacing w:line="240" w:lineRule="auto"/>
              <w:jc w:val="center"/>
            </w:pPr>
            <w:r w:rsidRPr="00A00187">
              <w:t>JE</w:t>
            </w:r>
          </w:p>
        </w:tc>
        <w:tc>
          <w:tcPr>
            <w:tcW w:w="2320" w:type="dxa"/>
            <w:tcBorders>
              <w:top w:val="nil"/>
              <w:left w:val="nil"/>
              <w:bottom w:val="single" w:sz="4" w:space="0" w:color="auto"/>
              <w:right w:val="nil"/>
            </w:tcBorders>
            <w:shd w:val="clear" w:color="auto" w:fill="auto"/>
            <w:noWrap/>
            <w:vAlign w:val="bottom"/>
            <w:hideMark/>
          </w:tcPr>
          <w:p w14:paraId="2C56FA16" w14:textId="77777777" w:rsidR="008430BD" w:rsidRPr="00A00187" w:rsidRDefault="008430BD" w:rsidP="00E077F3">
            <w:pPr>
              <w:spacing w:line="240" w:lineRule="auto"/>
              <w:jc w:val="left"/>
            </w:pPr>
            <w:r w:rsidRPr="00A00187">
              <w:t>Přerov</w:t>
            </w:r>
          </w:p>
        </w:tc>
        <w:tc>
          <w:tcPr>
            <w:tcW w:w="1060" w:type="dxa"/>
            <w:tcBorders>
              <w:top w:val="nil"/>
              <w:left w:val="nil"/>
              <w:bottom w:val="single" w:sz="4" w:space="0" w:color="auto"/>
              <w:right w:val="nil"/>
            </w:tcBorders>
            <w:shd w:val="clear" w:color="auto" w:fill="auto"/>
            <w:noWrap/>
            <w:vAlign w:val="bottom"/>
            <w:hideMark/>
          </w:tcPr>
          <w:p w14:paraId="1FC4FA02" w14:textId="77777777" w:rsidR="008430BD" w:rsidRPr="00A00187" w:rsidRDefault="008430BD" w:rsidP="00E077F3">
            <w:pPr>
              <w:spacing w:line="240" w:lineRule="auto"/>
              <w:jc w:val="center"/>
            </w:pPr>
            <w:r w:rsidRPr="00A00187">
              <w:t>PR</w:t>
            </w:r>
          </w:p>
        </w:tc>
      </w:tr>
      <w:tr w:rsidR="00AC1E67" w:rsidRPr="00A00187" w14:paraId="3E6F109A"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415862F1" w14:textId="77777777" w:rsidR="008430BD" w:rsidRPr="00A00187" w:rsidRDefault="008430BD" w:rsidP="00E077F3">
            <w:pPr>
              <w:spacing w:line="240" w:lineRule="auto"/>
              <w:jc w:val="left"/>
            </w:pPr>
            <w:r w:rsidRPr="00A00187">
              <w:t>Jičín</w:t>
            </w:r>
          </w:p>
        </w:tc>
        <w:tc>
          <w:tcPr>
            <w:tcW w:w="1060" w:type="dxa"/>
            <w:tcBorders>
              <w:top w:val="nil"/>
              <w:left w:val="nil"/>
              <w:bottom w:val="single" w:sz="4" w:space="0" w:color="auto"/>
              <w:right w:val="single" w:sz="4" w:space="0" w:color="auto"/>
            </w:tcBorders>
            <w:shd w:val="clear" w:color="auto" w:fill="auto"/>
            <w:noWrap/>
            <w:vAlign w:val="bottom"/>
            <w:hideMark/>
          </w:tcPr>
          <w:p w14:paraId="76D890A3" w14:textId="77777777" w:rsidR="008430BD" w:rsidRPr="00A00187" w:rsidRDefault="008430BD" w:rsidP="00E077F3">
            <w:pPr>
              <w:spacing w:line="240" w:lineRule="auto"/>
              <w:jc w:val="center"/>
            </w:pPr>
            <w:r w:rsidRPr="00A00187">
              <w:t>JC</w:t>
            </w:r>
          </w:p>
        </w:tc>
        <w:tc>
          <w:tcPr>
            <w:tcW w:w="2320" w:type="dxa"/>
            <w:tcBorders>
              <w:top w:val="nil"/>
              <w:left w:val="nil"/>
              <w:bottom w:val="single" w:sz="4" w:space="0" w:color="auto"/>
              <w:right w:val="nil"/>
            </w:tcBorders>
            <w:shd w:val="clear" w:color="auto" w:fill="auto"/>
            <w:noWrap/>
            <w:vAlign w:val="bottom"/>
            <w:hideMark/>
          </w:tcPr>
          <w:p w14:paraId="6D31BC4A" w14:textId="77777777" w:rsidR="008430BD" w:rsidRPr="00A00187" w:rsidRDefault="008430BD" w:rsidP="00E077F3">
            <w:pPr>
              <w:spacing w:line="240" w:lineRule="auto"/>
              <w:jc w:val="left"/>
            </w:pPr>
            <w:r w:rsidRPr="00A00187">
              <w:t>Příbram</w:t>
            </w:r>
          </w:p>
        </w:tc>
        <w:tc>
          <w:tcPr>
            <w:tcW w:w="1060" w:type="dxa"/>
            <w:tcBorders>
              <w:top w:val="nil"/>
              <w:left w:val="nil"/>
              <w:bottom w:val="single" w:sz="4" w:space="0" w:color="auto"/>
              <w:right w:val="nil"/>
            </w:tcBorders>
            <w:shd w:val="clear" w:color="auto" w:fill="auto"/>
            <w:noWrap/>
            <w:vAlign w:val="bottom"/>
            <w:hideMark/>
          </w:tcPr>
          <w:p w14:paraId="2811657C" w14:textId="77777777" w:rsidR="008430BD" w:rsidRPr="00A00187" w:rsidRDefault="008430BD" w:rsidP="00E077F3">
            <w:pPr>
              <w:spacing w:line="240" w:lineRule="auto"/>
              <w:jc w:val="center"/>
            </w:pPr>
            <w:r w:rsidRPr="00A00187">
              <w:t>PB</w:t>
            </w:r>
          </w:p>
        </w:tc>
      </w:tr>
      <w:tr w:rsidR="00AC1E67" w:rsidRPr="00A00187" w14:paraId="6373DD3E"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45DCB385" w14:textId="77777777" w:rsidR="008430BD" w:rsidRPr="00A00187" w:rsidRDefault="008430BD" w:rsidP="00E077F3">
            <w:pPr>
              <w:spacing w:line="240" w:lineRule="auto"/>
              <w:jc w:val="left"/>
            </w:pPr>
            <w:r w:rsidRPr="00A00187">
              <w:t>Jihlava</w:t>
            </w:r>
          </w:p>
        </w:tc>
        <w:tc>
          <w:tcPr>
            <w:tcW w:w="1060" w:type="dxa"/>
            <w:tcBorders>
              <w:top w:val="nil"/>
              <w:left w:val="nil"/>
              <w:bottom w:val="single" w:sz="4" w:space="0" w:color="auto"/>
              <w:right w:val="single" w:sz="4" w:space="0" w:color="auto"/>
            </w:tcBorders>
            <w:shd w:val="clear" w:color="auto" w:fill="auto"/>
            <w:noWrap/>
            <w:vAlign w:val="bottom"/>
            <w:hideMark/>
          </w:tcPr>
          <w:p w14:paraId="3EDFCB69" w14:textId="77777777" w:rsidR="008430BD" w:rsidRPr="00A00187" w:rsidRDefault="008430BD" w:rsidP="00E077F3">
            <w:pPr>
              <w:spacing w:line="240" w:lineRule="auto"/>
              <w:jc w:val="center"/>
            </w:pPr>
            <w:r w:rsidRPr="00A00187">
              <w:t>JI</w:t>
            </w:r>
          </w:p>
        </w:tc>
        <w:tc>
          <w:tcPr>
            <w:tcW w:w="2320" w:type="dxa"/>
            <w:tcBorders>
              <w:top w:val="nil"/>
              <w:left w:val="nil"/>
              <w:bottom w:val="single" w:sz="4" w:space="0" w:color="auto"/>
              <w:right w:val="nil"/>
            </w:tcBorders>
            <w:shd w:val="clear" w:color="auto" w:fill="auto"/>
            <w:noWrap/>
            <w:vAlign w:val="bottom"/>
            <w:hideMark/>
          </w:tcPr>
          <w:p w14:paraId="2A8B49AC" w14:textId="77777777" w:rsidR="008430BD" w:rsidRPr="00A00187" w:rsidRDefault="008430BD" w:rsidP="00E077F3">
            <w:pPr>
              <w:spacing w:line="240" w:lineRule="auto"/>
              <w:jc w:val="left"/>
            </w:pPr>
            <w:r w:rsidRPr="00A00187">
              <w:t>Rakovník</w:t>
            </w:r>
          </w:p>
        </w:tc>
        <w:tc>
          <w:tcPr>
            <w:tcW w:w="1060" w:type="dxa"/>
            <w:tcBorders>
              <w:top w:val="nil"/>
              <w:left w:val="nil"/>
              <w:bottom w:val="single" w:sz="4" w:space="0" w:color="auto"/>
              <w:right w:val="nil"/>
            </w:tcBorders>
            <w:shd w:val="clear" w:color="auto" w:fill="auto"/>
            <w:noWrap/>
            <w:vAlign w:val="bottom"/>
            <w:hideMark/>
          </w:tcPr>
          <w:p w14:paraId="3C960CBF" w14:textId="77777777" w:rsidR="008430BD" w:rsidRPr="00A00187" w:rsidRDefault="008430BD" w:rsidP="00E077F3">
            <w:pPr>
              <w:spacing w:line="240" w:lineRule="auto"/>
              <w:jc w:val="center"/>
            </w:pPr>
            <w:r w:rsidRPr="00A00187">
              <w:t>RA</w:t>
            </w:r>
          </w:p>
        </w:tc>
      </w:tr>
      <w:tr w:rsidR="00AC1E67" w:rsidRPr="00A00187" w14:paraId="6A58EAB0"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EFB75E7" w14:textId="77777777" w:rsidR="008430BD" w:rsidRPr="00A00187" w:rsidRDefault="008430BD" w:rsidP="00E077F3">
            <w:pPr>
              <w:spacing w:line="240" w:lineRule="auto"/>
              <w:jc w:val="left"/>
            </w:pPr>
            <w:r w:rsidRPr="00A00187">
              <w:t>Jindřichův Hradec</w:t>
            </w:r>
          </w:p>
        </w:tc>
        <w:tc>
          <w:tcPr>
            <w:tcW w:w="1060" w:type="dxa"/>
            <w:tcBorders>
              <w:top w:val="nil"/>
              <w:left w:val="nil"/>
              <w:bottom w:val="single" w:sz="4" w:space="0" w:color="auto"/>
              <w:right w:val="single" w:sz="4" w:space="0" w:color="auto"/>
            </w:tcBorders>
            <w:shd w:val="clear" w:color="auto" w:fill="auto"/>
            <w:noWrap/>
            <w:vAlign w:val="bottom"/>
            <w:hideMark/>
          </w:tcPr>
          <w:p w14:paraId="3FE70BB7" w14:textId="77777777" w:rsidR="008430BD" w:rsidRPr="00A00187" w:rsidRDefault="008430BD" w:rsidP="00E077F3">
            <w:pPr>
              <w:spacing w:line="240" w:lineRule="auto"/>
              <w:jc w:val="center"/>
            </w:pPr>
            <w:r w:rsidRPr="00A00187">
              <w:t>JH</w:t>
            </w:r>
          </w:p>
        </w:tc>
        <w:tc>
          <w:tcPr>
            <w:tcW w:w="2320" w:type="dxa"/>
            <w:tcBorders>
              <w:top w:val="nil"/>
              <w:left w:val="nil"/>
              <w:bottom w:val="single" w:sz="4" w:space="0" w:color="auto"/>
              <w:right w:val="nil"/>
            </w:tcBorders>
            <w:shd w:val="clear" w:color="auto" w:fill="auto"/>
            <w:noWrap/>
            <w:vAlign w:val="bottom"/>
            <w:hideMark/>
          </w:tcPr>
          <w:p w14:paraId="1DB93B6E" w14:textId="77777777" w:rsidR="008430BD" w:rsidRPr="00A00187" w:rsidRDefault="008430BD" w:rsidP="00E077F3">
            <w:pPr>
              <w:spacing w:line="240" w:lineRule="auto"/>
              <w:jc w:val="left"/>
            </w:pPr>
            <w:r w:rsidRPr="00A00187">
              <w:t>Rokycany</w:t>
            </w:r>
          </w:p>
        </w:tc>
        <w:tc>
          <w:tcPr>
            <w:tcW w:w="1060" w:type="dxa"/>
            <w:tcBorders>
              <w:top w:val="nil"/>
              <w:left w:val="nil"/>
              <w:bottom w:val="single" w:sz="4" w:space="0" w:color="auto"/>
              <w:right w:val="nil"/>
            </w:tcBorders>
            <w:shd w:val="clear" w:color="auto" w:fill="auto"/>
            <w:noWrap/>
            <w:vAlign w:val="bottom"/>
            <w:hideMark/>
          </w:tcPr>
          <w:p w14:paraId="6629BD88" w14:textId="77777777" w:rsidR="008430BD" w:rsidRPr="00A00187" w:rsidRDefault="008430BD" w:rsidP="00E077F3">
            <w:pPr>
              <w:spacing w:line="240" w:lineRule="auto"/>
              <w:jc w:val="center"/>
            </w:pPr>
            <w:r w:rsidRPr="00A00187">
              <w:t>RO</w:t>
            </w:r>
          </w:p>
        </w:tc>
      </w:tr>
      <w:tr w:rsidR="00AC1E67" w:rsidRPr="00A00187" w14:paraId="7BB86B2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0304B6F" w14:textId="77777777" w:rsidR="008430BD" w:rsidRPr="00A00187" w:rsidRDefault="008430BD" w:rsidP="00E077F3">
            <w:pPr>
              <w:spacing w:line="240" w:lineRule="auto"/>
              <w:jc w:val="left"/>
            </w:pPr>
            <w:r w:rsidRPr="00A00187">
              <w:t>Karlovy Vary</w:t>
            </w:r>
          </w:p>
        </w:tc>
        <w:tc>
          <w:tcPr>
            <w:tcW w:w="1060" w:type="dxa"/>
            <w:tcBorders>
              <w:top w:val="nil"/>
              <w:left w:val="nil"/>
              <w:bottom w:val="single" w:sz="4" w:space="0" w:color="auto"/>
              <w:right w:val="single" w:sz="4" w:space="0" w:color="auto"/>
            </w:tcBorders>
            <w:shd w:val="clear" w:color="auto" w:fill="auto"/>
            <w:noWrap/>
            <w:vAlign w:val="bottom"/>
            <w:hideMark/>
          </w:tcPr>
          <w:p w14:paraId="07CAD7F1" w14:textId="77777777" w:rsidR="008430BD" w:rsidRPr="00A00187" w:rsidRDefault="008430BD" w:rsidP="00E077F3">
            <w:pPr>
              <w:spacing w:line="240" w:lineRule="auto"/>
              <w:jc w:val="center"/>
            </w:pPr>
            <w:r w:rsidRPr="00A00187">
              <w:t>KV</w:t>
            </w:r>
          </w:p>
        </w:tc>
        <w:tc>
          <w:tcPr>
            <w:tcW w:w="2320" w:type="dxa"/>
            <w:tcBorders>
              <w:top w:val="nil"/>
              <w:left w:val="nil"/>
              <w:bottom w:val="single" w:sz="4" w:space="0" w:color="auto"/>
              <w:right w:val="nil"/>
            </w:tcBorders>
            <w:shd w:val="clear" w:color="auto" w:fill="auto"/>
            <w:noWrap/>
            <w:vAlign w:val="bottom"/>
            <w:hideMark/>
          </w:tcPr>
          <w:p w14:paraId="0BCADA59" w14:textId="77777777" w:rsidR="008430BD" w:rsidRPr="00A00187" w:rsidRDefault="008430BD" w:rsidP="00E077F3">
            <w:pPr>
              <w:spacing w:line="240" w:lineRule="auto"/>
              <w:jc w:val="left"/>
            </w:pPr>
            <w:r w:rsidRPr="00A00187">
              <w:t>Rychnov nad Kněžnou</w:t>
            </w:r>
          </w:p>
        </w:tc>
        <w:tc>
          <w:tcPr>
            <w:tcW w:w="1060" w:type="dxa"/>
            <w:tcBorders>
              <w:top w:val="nil"/>
              <w:left w:val="nil"/>
              <w:bottom w:val="single" w:sz="4" w:space="0" w:color="auto"/>
              <w:right w:val="nil"/>
            </w:tcBorders>
            <w:shd w:val="clear" w:color="auto" w:fill="auto"/>
            <w:noWrap/>
            <w:vAlign w:val="bottom"/>
            <w:hideMark/>
          </w:tcPr>
          <w:p w14:paraId="002738BD" w14:textId="77777777" w:rsidR="008430BD" w:rsidRPr="00A00187" w:rsidRDefault="008430BD" w:rsidP="00E077F3">
            <w:pPr>
              <w:spacing w:line="240" w:lineRule="auto"/>
              <w:jc w:val="center"/>
            </w:pPr>
            <w:r w:rsidRPr="00A00187">
              <w:t>RK</w:t>
            </w:r>
          </w:p>
        </w:tc>
      </w:tr>
      <w:tr w:rsidR="00AC1E67" w:rsidRPr="00A00187" w14:paraId="47FDB9D2"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CF45FE2" w14:textId="77777777" w:rsidR="008430BD" w:rsidRPr="00A00187" w:rsidRDefault="008430BD" w:rsidP="00E077F3">
            <w:pPr>
              <w:spacing w:line="240" w:lineRule="auto"/>
              <w:jc w:val="left"/>
            </w:pPr>
            <w:r w:rsidRPr="00A00187">
              <w:t>Karviná</w:t>
            </w:r>
          </w:p>
        </w:tc>
        <w:tc>
          <w:tcPr>
            <w:tcW w:w="1060" w:type="dxa"/>
            <w:tcBorders>
              <w:top w:val="nil"/>
              <w:left w:val="nil"/>
              <w:bottom w:val="single" w:sz="4" w:space="0" w:color="auto"/>
              <w:right w:val="single" w:sz="4" w:space="0" w:color="auto"/>
            </w:tcBorders>
            <w:shd w:val="clear" w:color="auto" w:fill="auto"/>
            <w:noWrap/>
            <w:vAlign w:val="bottom"/>
            <w:hideMark/>
          </w:tcPr>
          <w:p w14:paraId="760F54B7" w14:textId="77777777" w:rsidR="008430BD" w:rsidRPr="00A00187" w:rsidRDefault="008430BD" w:rsidP="00E077F3">
            <w:pPr>
              <w:spacing w:line="240" w:lineRule="auto"/>
              <w:jc w:val="center"/>
            </w:pPr>
            <w:r w:rsidRPr="00A00187">
              <w:t>KA</w:t>
            </w:r>
          </w:p>
        </w:tc>
        <w:tc>
          <w:tcPr>
            <w:tcW w:w="2320" w:type="dxa"/>
            <w:tcBorders>
              <w:top w:val="nil"/>
              <w:left w:val="nil"/>
              <w:bottom w:val="single" w:sz="4" w:space="0" w:color="auto"/>
              <w:right w:val="nil"/>
            </w:tcBorders>
            <w:shd w:val="clear" w:color="auto" w:fill="auto"/>
            <w:noWrap/>
            <w:vAlign w:val="bottom"/>
            <w:hideMark/>
          </w:tcPr>
          <w:p w14:paraId="4531D4CF" w14:textId="77777777" w:rsidR="008430BD" w:rsidRPr="00A00187" w:rsidRDefault="008430BD" w:rsidP="00E077F3">
            <w:pPr>
              <w:spacing w:line="240" w:lineRule="auto"/>
              <w:jc w:val="left"/>
            </w:pPr>
            <w:r w:rsidRPr="00A00187">
              <w:t>Semily</w:t>
            </w:r>
          </w:p>
        </w:tc>
        <w:tc>
          <w:tcPr>
            <w:tcW w:w="1060" w:type="dxa"/>
            <w:tcBorders>
              <w:top w:val="nil"/>
              <w:left w:val="nil"/>
              <w:bottom w:val="single" w:sz="4" w:space="0" w:color="auto"/>
              <w:right w:val="nil"/>
            </w:tcBorders>
            <w:shd w:val="clear" w:color="auto" w:fill="auto"/>
            <w:noWrap/>
            <w:vAlign w:val="bottom"/>
            <w:hideMark/>
          </w:tcPr>
          <w:p w14:paraId="23BDEB6F" w14:textId="77777777" w:rsidR="008430BD" w:rsidRPr="00A00187" w:rsidRDefault="008430BD" w:rsidP="00E077F3">
            <w:pPr>
              <w:spacing w:line="240" w:lineRule="auto"/>
              <w:jc w:val="center"/>
            </w:pPr>
            <w:r w:rsidRPr="00A00187">
              <w:t>SM</w:t>
            </w:r>
          </w:p>
        </w:tc>
      </w:tr>
      <w:tr w:rsidR="00AC1E67" w:rsidRPr="00A00187" w14:paraId="371F4578"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BCE857A" w14:textId="77777777" w:rsidR="008430BD" w:rsidRPr="00A00187" w:rsidRDefault="008430BD" w:rsidP="00E077F3">
            <w:pPr>
              <w:spacing w:line="240" w:lineRule="auto"/>
              <w:jc w:val="left"/>
            </w:pPr>
            <w:r w:rsidRPr="00A00187">
              <w:t>Kladno</w:t>
            </w:r>
          </w:p>
        </w:tc>
        <w:tc>
          <w:tcPr>
            <w:tcW w:w="1060" w:type="dxa"/>
            <w:tcBorders>
              <w:top w:val="nil"/>
              <w:left w:val="nil"/>
              <w:bottom w:val="single" w:sz="4" w:space="0" w:color="auto"/>
              <w:right w:val="single" w:sz="4" w:space="0" w:color="auto"/>
            </w:tcBorders>
            <w:shd w:val="clear" w:color="auto" w:fill="auto"/>
            <w:noWrap/>
            <w:vAlign w:val="bottom"/>
            <w:hideMark/>
          </w:tcPr>
          <w:p w14:paraId="6CE39181" w14:textId="77777777" w:rsidR="008430BD" w:rsidRPr="00A00187" w:rsidRDefault="008430BD" w:rsidP="00E077F3">
            <w:pPr>
              <w:spacing w:line="240" w:lineRule="auto"/>
              <w:jc w:val="center"/>
            </w:pPr>
            <w:r w:rsidRPr="00A00187">
              <w:t>KL</w:t>
            </w:r>
          </w:p>
        </w:tc>
        <w:tc>
          <w:tcPr>
            <w:tcW w:w="2320" w:type="dxa"/>
            <w:tcBorders>
              <w:top w:val="nil"/>
              <w:left w:val="nil"/>
              <w:bottom w:val="single" w:sz="4" w:space="0" w:color="auto"/>
              <w:right w:val="nil"/>
            </w:tcBorders>
            <w:shd w:val="clear" w:color="auto" w:fill="auto"/>
            <w:noWrap/>
            <w:vAlign w:val="bottom"/>
            <w:hideMark/>
          </w:tcPr>
          <w:p w14:paraId="7151E930" w14:textId="77777777" w:rsidR="008430BD" w:rsidRPr="00A00187" w:rsidRDefault="008430BD" w:rsidP="00E077F3">
            <w:pPr>
              <w:spacing w:line="240" w:lineRule="auto"/>
              <w:jc w:val="left"/>
            </w:pPr>
            <w:r w:rsidRPr="00A00187">
              <w:t>Sokolov</w:t>
            </w:r>
          </w:p>
        </w:tc>
        <w:tc>
          <w:tcPr>
            <w:tcW w:w="1060" w:type="dxa"/>
            <w:tcBorders>
              <w:top w:val="nil"/>
              <w:left w:val="nil"/>
              <w:bottom w:val="single" w:sz="4" w:space="0" w:color="auto"/>
              <w:right w:val="nil"/>
            </w:tcBorders>
            <w:shd w:val="clear" w:color="auto" w:fill="auto"/>
            <w:noWrap/>
            <w:vAlign w:val="bottom"/>
            <w:hideMark/>
          </w:tcPr>
          <w:p w14:paraId="6E6BC2DB" w14:textId="77777777" w:rsidR="008430BD" w:rsidRPr="00A00187" w:rsidRDefault="008430BD" w:rsidP="00E077F3">
            <w:pPr>
              <w:spacing w:line="240" w:lineRule="auto"/>
              <w:jc w:val="center"/>
            </w:pPr>
            <w:r w:rsidRPr="00A00187">
              <w:t>SO</w:t>
            </w:r>
          </w:p>
        </w:tc>
      </w:tr>
      <w:tr w:rsidR="00AC1E67" w:rsidRPr="00A00187" w14:paraId="27952FC3"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45B8D473" w14:textId="77777777" w:rsidR="008430BD" w:rsidRPr="00A00187" w:rsidRDefault="008430BD" w:rsidP="00E077F3">
            <w:pPr>
              <w:spacing w:line="240" w:lineRule="auto"/>
              <w:jc w:val="left"/>
            </w:pPr>
            <w:r w:rsidRPr="00A00187">
              <w:t>Klatovy</w:t>
            </w:r>
          </w:p>
        </w:tc>
        <w:tc>
          <w:tcPr>
            <w:tcW w:w="1060" w:type="dxa"/>
            <w:tcBorders>
              <w:top w:val="nil"/>
              <w:left w:val="nil"/>
              <w:bottom w:val="single" w:sz="4" w:space="0" w:color="auto"/>
              <w:right w:val="single" w:sz="4" w:space="0" w:color="auto"/>
            </w:tcBorders>
            <w:shd w:val="clear" w:color="auto" w:fill="auto"/>
            <w:noWrap/>
            <w:vAlign w:val="bottom"/>
            <w:hideMark/>
          </w:tcPr>
          <w:p w14:paraId="5EBB2108" w14:textId="77777777" w:rsidR="008430BD" w:rsidRPr="00A00187" w:rsidRDefault="008430BD" w:rsidP="00E077F3">
            <w:pPr>
              <w:spacing w:line="240" w:lineRule="auto"/>
              <w:jc w:val="center"/>
            </w:pPr>
            <w:r w:rsidRPr="00A00187">
              <w:t>KT</w:t>
            </w:r>
          </w:p>
        </w:tc>
        <w:tc>
          <w:tcPr>
            <w:tcW w:w="2320" w:type="dxa"/>
            <w:tcBorders>
              <w:top w:val="nil"/>
              <w:left w:val="nil"/>
              <w:bottom w:val="single" w:sz="4" w:space="0" w:color="auto"/>
              <w:right w:val="nil"/>
            </w:tcBorders>
            <w:shd w:val="clear" w:color="auto" w:fill="auto"/>
            <w:noWrap/>
            <w:vAlign w:val="bottom"/>
            <w:hideMark/>
          </w:tcPr>
          <w:p w14:paraId="4BEF2744" w14:textId="77777777" w:rsidR="008430BD" w:rsidRPr="00A00187" w:rsidRDefault="008430BD" w:rsidP="00E077F3">
            <w:pPr>
              <w:spacing w:line="240" w:lineRule="auto"/>
              <w:jc w:val="left"/>
            </w:pPr>
            <w:r w:rsidRPr="00A00187">
              <w:t>Strakonice</w:t>
            </w:r>
          </w:p>
        </w:tc>
        <w:tc>
          <w:tcPr>
            <w:tcW w:w="1060" w:type="dxa"/>
            <w:tcBorders>
              <w:top w:val="nil"/>
              <w:left w:val="nil"/>
              <w:bottom w:val="single" w:sz="4" w:space="0" w:color="auto"/>
              <w:right w:val="nil"/>
            </w:tcBorders>
            <w:shd w:val="clear" w:color="auto" w:fill="auto"/>
            <w:noWrap/>
            <w:vAlign w:val="bottom"/>
            <w:hideMark/>
          </w:tcPr>
          <w:p w14:paraId="30C2431B" w14:textId="77777777" w:rsidR="008430BD" w:rsidRPr="00A00187" w:rsidRDefault="008430BD" w:rsidP="00E077F3">
            <w:pPr>
              <w:spacing w:line="240" w:lineRule="auto"/>
              <w:jc w:val="center"/>
            </w:pPr>
            <w:r w:rsidRPr="00A00187">
              <w:t>ST</w:t>
            </w:r>
          </w:p>
        </w:tc>
      </w:tr>
      <w:tr w:rsidR="00AC1E67" w:rsidRPr="00A00187" w14:paraId="552E0EC7"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1561439" w14:textId="77777777" w:rsidR="008430BD" w:rsidRPr="00A00187" w:rsidRDefault="008430BD" w:rsidP="00E077F3">
            <w:pPr>
              <w:spacing w:line="240" w:lineRule="auto"/>
              <w:jc w:val="left"/>
            </w:pPr>
            <w:r w:rsidRPr="00A00187">
              <w:t>Kolín</w:t>
            </w:r>
          </w:p>
        </w:tc>
        <w:tc>
          <w:tcPr>
            <w:tcW w:w="1060" w:type="dxa"/>
            <w:tcBorders>
              <w:top w:val="nil"/>
              <w:left w:val="nil"/>
              <w:bottom w:val="single" w:sz="4" w:space="0" w:color="auto"/>
              <w:right w:val="single" w:sz="4" w:space="0" w:color="auto"/>
            </w:tcBorders>
            <w:shd w:val="clear" w:color="auto" w:fill="auto"/>
            <w:noWrap/>
            <w:vAlign w:val="bottom"/>
            <w:hideMark/>
          </w:tcPr>
          <w:p w14:paraId="7E529403" w14:textId="77777777" w:rsidR="008430BD" w:rsidRPr="00A00187" w:rsidRDefault="008430BD" w:rsidP="00E077F3">
            <w:pPr>
              <w:spacing w:line="240" w:lineRule="auto"/>
              <w:jc w:val="center"/>
            </w:pPr>
            <w:r w:rsidRPr="00A00187">
              <w:t>KO</w:t>
            </w:r>
          </w:p>
        </w:tc>
        <w:tc>
          <w:tcPr>
            <w:tcW w:w="2320" w:type="dxa"/>
            <w:tcBorders>
              <w:top w:val="nil"/>
              <w:left w:val="nil"/>
              <w:bottom w:val="single" w:sz="4" w:space="0" w:color="auto"/>
              <w:right w:val="nil"/>
            </w:tcBorders>
            <w:shd w:val="clear" w:color="auto" w:fill="auto"/>
            <w:noWrap/>
            <w:vAlign w:val="bottom"/>
            <w:hideMark/>
          </w:tcPr>
          <w:p w14:paraId="410537F7" w14:textId="77777777" w:rsidR="008430BD" w:rsidRPr="00A00187" w:rsidRDefault="008430BD" w:rsidP="00E077F3">
            <w:pPr>
              <w:spacing w:line="240" w:lineRule="auto"/>
              <w:jc w:val="left"/>
            </w:pPr>
            <w:r w:rsidRPr="00A00187">
              <w:t>Svitavy</w:t>
            </w:r>
          </w:p>
        </w:tc>
        <w:tc>
          <w:tcPr>
            <w:tcW w:w="1060" w:type="dxa"/>
            <w:tcBorders>
              <w:top w:val="nil"/>
              <w:left w:val="nil"/>
              <w:bottom w:val="single" w:sz="4" w:space="0" w:color="auto"/>
              <w:right w:val="nil"/>
            </w:tcBorders>
            <w:shd w:val="clear" w:color="auto" w:fill="auto"/>
            <w:noWrap/>
            <w:vAlign w:val="bottom"/>
            <w:hideMark/>
          </w:tcPr>
          <w:p w14:paraId="0040E8C2" w14:textId="77777777" w:rsidR="008430BD" w:rsidRPr="00A00187" w:rsidRDefault="008430BD" w:rsidP="00E077F3">
            <w:pPr>
              <w:spacing w:line="240" w:lineRule="auto"/>
              <w:jc w:val="center"/>
            </w:pPr>
            <w:r w:rsidRPr="00A00187">
              <w:t>SY</w:t>
            </w:r>
          </w:p>
        </w:tc>
      </w:tr>
      <w:tr w:rsidR="00AC1E67" w:rsidRPr="00A00187" w14:paraId="10B716CD"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2F9B9E4" w14:textId="77777777" w:rsidR="008430BD" w:rsidRPr="00A00187" w:rsidRDefault="008430BD" w:rsidP="00E077F3">
            <w:pPr>
              <w:spacing w:line="240" w:lineRule="auto"/>
              <w:jc w:val="left"/>
            </w:pPr>
            <w:r w:rsidRPr="00A00187">
              <w:t>Kroměříž</w:t>
            </w:r>
          </w:p>
        </w:tc>
        <w:tc>
          <w:tcPr>
            <w:tcW w:w="1060" w:type="dxa"/>
            <w:tcBorders>
              <w:top w:val="nil"/>
              <w:left w:val="nil"/>
              <w:bottom w:val="single" w:sz="4" w:space="0" w:color="auto"/>
              <w:right w:val="single" w:sz="4" w:space="0" w:color="auto"/>
            </w:tcBorders>
            <w:shd w:val="clear" w:color="auto" w:fill="auto"/>
            <w:noWrap/>
            <w:vAlign w:val="bottom"/>
            <w:hideMark/>
          </w:tcPr>
          <w:p w14:paraId="215D40A3" w14:textId="77777777" w:rsidR="008430BD" w:rsidRPr="00A00187" w:rsidRDefault="008430BD" w:rsidP="00E077F3">
            <w:pPr>
              <w:spacing w:line="240" w:lineRule="auto"/>
              <w:jc w:val="center"/>
            </w:pPr>
            <w:r w:rsidRPr="00A00187">
              <w:t>KM</w:t>
            </w:r>
          </w:p>
        </w:tc>
        <w:tc>
          <w:tcPr>
            <w:tcW w:w="2320" w:type="dxa"/>
            <w:tcBorders>
              <w:top w:val="nil"/>
              <w:left w:val="nil"/>
              <w:bottom w:val="single" w:sz="4" w:space="0" w:color="auto"/>
              <w:right w:val="nil"/>
            </w:tcBorders>
            <w:shd w:val="clear" w:color="auto" w:fill="auto"/>
            <w:noWrap/>
            <w:vAlign w:val="bottom"/>
            <w:hideMark/>
          </w:tcPr>
          <w:p w14:paraId="11857AC5" w14:textId="77777777" w:rsidR="008430BD" w:rsidRPr="00A00187" w:rsidRDefault="008430BD" w:rsidP="00E077F3">
            <w:pPr>
              <w:spacing w:line="240" w:lineRule="auto"/>
              <w:jc w:val="left"/>
            </w:pPr>
            <w:r w:rsidRPr="00A00187">
              <w:t>Šumperk</w:t>
            </w:r>
          </w:p>
        </w:tc>
        <w:tc>
          <w:tcPr>
            <w:tcW w:w="1060" w:type="dxa"/>
            <w:tcBorders>
              <w:top w:val="nil"/>
              <w:left w:val="nil"/>
              <w:bottom w:val="single" w:sz="4" w:space="0" w:color="auto"/>
              <w:right w:val="nil"/>
            </w:tcBorders>
            <w:shd w:val="clear" w:color="auto" w:fill="auto"/>
            <w:noWrap/>
            <w:vAlign w:val="bottom"/>
            <w:hideMark/>
          </w:tcPr>
          <w:p w14:paraId="48C38AF8" w14:textId="77777777" w:rsidR="008430BD" w:rsidRPr="00A00187" w:rsidRDefault="008430BD" w:rsidP="00E077F3">
            <w:pPr>
              <w:spacing w:line="240" w:lineRule="auto"/>
              <w:jc w:val="center"/>
            </w:pPr>
            <w:r w:rsidRPr="00A00187">
              <w:t>SU</w:t>
            </w:r>
          </w:p>
        </w:tc>
      </w:tr>
      <w:tr w:rsidR="00AC1E67" w:rsidRPr="00A00187" w14:paraId="2D86CC2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AF26D9E" w14:textId="77777777" w:rsidR="008430BD" w:rsidRPr="00A00187" w:rsidRDefault="008430BD" w:rsidP="00E077F3">
            <w:pPr>
              <w:spacing w:line="240" w:lineRule="auto"/>
              <w:jc w:val="left"/>
            </w:pPr>
            <w:r w:rsidRPr="00A00187">
              <w:t>Kutná Hora</w:t>
            </w:r>
          </w:p>
        </w:tc>
        <w:tc>
          <w:tcPr>
            <w:tcW w:w="1060" w:type="dxa"/>
            <w:tcBorders>
              <w:top w:val="nil"/>
              <w:left w:val="nil"/>
              <w:bottom w:val="single" w:sz="4" w:space="0" w:color="auto"/>
              <w:right w:val="single" w:sz="4" w:space="0" w:color="auto"/>
            </w:tcBorders>
            <w:shd w:val="clear" w:color="auto" w:fill="auto"/>
            <w:noWrap/>
            <w:vAlign w:val="bottom"/>
            <w:hideMark/>
          </w:tcPr>
          <w:p w14:paraId="21643A9D" w14:textId="77777777" w:rsidR="008430BD" w:rsidRPr="00A00187" w:rsidRDefault="008430BD" w:rsidP="00E077F3">
            <w:pPr>
              <w:spacing w:line="240" w:lineRule="auto"/>
              <w:jc w:val="center"/>
            </w:pPr>
            <w:r w:rsidRPr="00A00187">
              <w:t>KH</w:t>
            </w:r>
          </w:p>
        </w:tc>
        <w:tc>
          <w:tcPr>
            <w:tcW w:w="2320" w:type="dxa"/>
            <w:tcBorders>
              <w:top w:val="nil"/>
              <w:left w:val="nil"/>
              <w:bottom w:val="single" w:sz="4" w:space="0" w:color="auto"/>
              <w:right w:val="nil"/>
            </w:tcBorders>
            <w:shd w:val="clear" w:color="auto" w:fill="auto"/>
            <w:noWrap/>
            <w:vAlign w:val="bottom"/>
            <w:hideMark/>
          </w:tcPr>
          <w:p w14:paraId="1D296850" w14:textId="77777777" w:rsidR="008430BD" w:rsidRPr="00A00187" w:rsidRDefault="008430BD" w:rsidP="00E077F3">
            <w:pPr>
              <w:spacing w:line="240" w:lineRule="auto"/>
              <w:jc w:val="left"/>
            </w:pPr>
            <w:r w:rsidRPr="00A00187">
              <w:t>Tábor</w:t>
            </w:r>
          </w:p>
        </w:tc>
        <w:tc>
          <w:tcPr>
            <w:tcW w:w="1060" w:type="dxa"/>
            <w:tcBorders>
              <w:top w:val="nil"/>
              <w:left w:val="nil"/>
              <w:bottom w:val="single" w:sz="4" w:space="0" w:color="auto"/>
              <w:right w:val="nil"/>
            </w:tcBorders>
            <w:shd w:val="clear" w:color="auto" w:fill="auto"/>
            <w:noWrap/>
            <w:vAlign w:val="bottom"/>
            <w:hideMark/>
          </w:tcPr>
          <w:p w14:paraId="58937F48" w14:textId="77777777" w:rsidR="008430BD" w:rsidRPr="00A00187" w:rsidRDefault="008430BD" w:rsidP="00E077F3">
            <w:pPr>
              <w:spacing w:line="240" w:lineRule="auto"/>
              <w:jc w:val="center"/>
            </w:pPr>
            <w:r w:rsidRPr="00A00187">
              <w:t>TA</w:t>
            </w:r>
          </w:p>
        </w:tc>
      </w:tr>
      <w:tr w:rsidR="00AC1E67" w:rsidRPr="00A00187" w14:paraId="01277BA1"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7534D63" w14:textId="77777777" w:rsidR="008430BD" w:rsidRPr="00A00187" w:rsidRDefault="008430BD" w:rsidP="00E077F3">
            <w:pPr>
              <w:spacing w:line="240" w:lineRule="auto"/>
              <w:jc w:val="left"/>
            </w:pPr>
            <w:r w:rsidRPr="00A00187">
              <w:t>Liberec</w:t>
            </w:r>
          </w:p>
        </w:tc>
        <w:tc>
          <w:tcPr>
            <w:tcW w:w="1060" w:type="dxa"/>
            <w:tcBorders>
              <w:top w:val="nil"/>
              <w:left w:val="nil"/>
              <w:bottom w:val="single" w:sz="4" w:space="0" w:color="auto"/>
              <w:right w:val="single" w:sz="4" w:space="0" w:color="auto"/>
            </w:tcBorders>
            <w:shd w:val="clear" w:color="auto" w:fill="auto"/>
            <w:noWrap/>
            <w:vAlign w:val="bottom"/>
            <w:hideMark/>
          </w:tcPr>
          <w:p w14:paraId="41CC988B" w14:textId="77777777" w:rsidR="008430BD" w:rsidRPr="00A00187" w:rsidRDefault="008430BD" w:rsidP="00E077F3">
            <w:pPr>
              <w:spacing w:line="240" w:lineRule="auto"/>
              <w:jc w:val="center"/>
            </w:pPr>
            <w:r w:rsidRPr="00A00187">
              <w:t>LB</w:t>
            </w:r>
          </w:p>
        </w:tc>
        <w:tc>
          <w:tcPr>
            <w:tcW w:w="2320" w:type="dxa"/>
            <w:tcBorders>
              <w:top w:val="nil"/>
              <w:left w:val="nil"/>
              <w:bottom w:val="single" w:sz="4" w:space="0" w:color="auto"/>
              <w:right w:val="nil"/>
            </w:tcBorders>
            <w:shd w:val="clear" w:color="auto" w:fill="auto"/>
            <w:noWrap/>
            <w:vAlign w:val="bottom"/>
            <w:hideMark/>
          </w:tcPr>
          <w:p w14:paraId="6104F492" w14:textId="77777777" w:rsidR="008430BD" w:rsidRPr="00A00187" w:rsidRDefault="008430BD" w:rsidP="00E077F3">
            <w:pPr>
              <w:spacing w:line="240" w:lineRule="auto"/>
              <w:jc w:val="left"/>
            </w:pPr>
            <w:r w:rsidRPr="00A00187">
              <w:t>Tachov</w:t>
            </w:r>
          </w:p>
        </w:tc>
        <w:tc>
          <w:tcPr>
            <w:tcW w:w="1060" w:type="dxa"/>
            <w:tcBorders>
              <w:top w:val="nil"/>
              <w:left w:val="nil"/>
              <w:bottom w:val="single" w:sz="4" w:space="0" w:color="auto"/>
              <w:right w:val="nil"/>
            </w:tcBorders>
            <w:shd w:val="clear" w:color="auto" w:fill="auto"/>
            <w:noWrap/>
            <w:vAlign w:val="bottom"/>
            <w:hideMark/>
          </w:tcPr>
          <w:p w14:paraId="16276A58" w14:textId="77777777" w:rsidR="008430BD" w:rsidRPr="00A00187" w:rsidRDefault="008430BD" w:rsidP="00E077F3">
            <w:pPr>
              <w:spacing w:line="240" w:lineRule="auto"/>
              <w:jc w:val="center"/>
            </w:pPr>
            <w:r w:rsidRPr="00A00187">
              <w:t>TC</w:t>
            </w:r>
          </w:p>
        </w:tc>
      </w:tr>
      <w:tr w:rsidR="00AC1E67" w:rsidRPr="00A00187" w14:paraId="61233D1F"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2BE71CE" w14:textId="77777777" w:rsidR="008430BD" w:rsidRPr="00A00187" w:rsidRDefault="008430BD" w:rsidP="00E077F3">
            <w:pPr>
              <w:spacing w:line="240" w:lineRule="auto"/>
              <w:jc w:val="left"/>
            </w:pPr>
            <w:r w:rsidRPr="00A00187">
              <w:t>Litoměřice</w:t>
            </w:r>
          </w:p>
        </w:tc>
        <w:tc>
          <w:tcPr>
            <w:tcW w:w="1060" w:type="dxa"/>
            <w:tcBorders>
              <w:top w:val="nil"/>
              <w:left w:val="nil"/>
              <w:bottom w:val="single" w:sz="4" w:space="0" w:color="auto"/>
              <w:right w:val="single" w:sz="4" w:space="0" w:color="auto"/>
            </w:tcBorders>
            <w:shd w:val="clear" w:color="auto" w:fill="auto"/>
            <w:noWrap/>
            <w:vAlign w:val="bottom"/>
            <w:hideMark/>
          </w:tcPr>
          <w:p w14:paraId="3F20CD05" w14:textId="77777777" w:rsidR="008430BD" w:rsidRPr="00A00187" w:rsidRDefault="008430BD" w:rsidP="00E077F3">
            <w:pPr>
              <w:spacing w:line="240" w:lineRule="auto"/>
              <w:jc w:val="center"/>
            </w:pPr>
            <w:r w:rsidRPr="00A00187">
              <w:t>LT</w:t>
            </w:r>
          </w:p>
        </w:tc>
        <w:tc>
          <w:tcPr>
            <w:tcW w:w="2320" w:type="dxa"/>
            <w:tcBorders>
              <w:top w:val="nil"/>
              <w:left w:val="nil"/>
              <w:bottom w:val="single" w:sz="4" w:space="0" w:color="auto"/>
              <w:right w:val="nil"/>
            </w:tcBorders>
            <w:shd w:val="clear" w:color="auto" w:fill="auto"/>
            <w:noWrap/>
            <w:vAlign w:val="bottom"/>
            <w:hideMark/>
          </w:tcPr>
          <w:p w14:paraId="68660E4F" w14:textId="77777777" w:rsidR="008430BD" w:rsidRPr="00A00187" w:rsidRDefault="008430BD" w:rsidP="00E077F3">
            <w:pPr>
              <w:spacing w:line="240" w:lineRule="auto"/>
              <w:jc w:val="left"/>
            </w:pPr>
            <w:r w:rsidRPr="00A00187">
              <w:t>Teplice</w:t>
            </w:r>
          </w:p>
        </w:tc>
        <w:tc>
          <w:tcPr>
            <w:tcW w:w="1060" w:type="dxa"/>
            <w:tcBorders>
              <w:top w:val="nil"/>
              <w:left w:val="nil"/>
              <w:bottom w:val="single" w:sz="4" w:space="0" w:color="auto"/>
              <w:right w:val="nil"/>
            </w:tcBorders>
            <w:shd w:val="clear" w:color="auto" w:fill="auto"/>
            <w:noWrap/>
            <w:vAlign w:val="bottom"/>
            <w:hideMark/>
          </w:tcPr>
          <w:p w14:paraId="2E3FD035" w14:textId="77777777" w:rsidR="008430BD" w:rsidRPr="00A00187" w:rsidRDefault="008430BD" w:rsidP="00E077F3">
            <w:pPr>
              <w:spacing w:line="240" w:lineRule="auto"/>
              <w:jc w:val="center"/>
            </w:pPr>
            <w:r w:rsidRPr="00A00187">
              <w:t>TP</w:t>
            </w:r>
          </w:p>
        </w:tc>
      </w:tr>
      <w:tr w:rsidR="00AC1E67" w:rsidRPr="00A00187" w14:paraId="24845FA6"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FECAD20" w14:textId="77777777" w:rsidR="008430BD" w:rsidRPr="00A00187" w:rsidRDefault="008430BD" w:rsidP="00E077F3">
            <w:pPr>
              <w:spacing w:line="240" w:lineRule="auto"/>
              <w:jc w:val="left"/>
            </w:pPr>
            <w:r w:rsidRPr="00A00187">
              <w:t>Louny</w:t>
            </w:r>
          </w:p>
        </w:tc>
        <w:tc>
          <w:tcPr>
            <w:tcW w:w="1060" w:type="dxa"/>
            <w:tcBorders>
              <w:top w:val="nil"/>
              <w:left w:val="nil"/>
              <w:bottom w:val="single" w:sz="4" w:space="0" w:color="auto"/>
              <w:right w:val="single" w:sz="4" w:space="0" w:color="auto"/>
            </w:tcBorders>
            <w:shd w:val="clear" w:color="auto" w:fill="auto"/>
            <w:noWrap/>
            <w:vAlign w:val="bottom"/>
            <w:hideMark/>
          </w:tcPr>
          <w:p w14:paraId="55BA5674" w14:textId="77777777" w:rsidR="008430BD" w:rsidRPr="00A00187" w:rsidRDefault="008430BD" w:rsidP="00E077F3">
            <w:pPr>
              <w:spacing w:line="240" w:lineRule="auto"/>
              <w:jc w:val="center"/>
            </w:pPr>
            <w:r w:rsidRPr="00A00187">
              <w:t>LN</w:t>
            </w:r>
          </w:p>
        </w:tc>
        <w:tc>
          <w:tcPr>
            <w:tcW w:w="2320" w:type="dxa"/>
            <w:tcBorders>
              <w:top w:val="nil"/>
              <w:left w:val="nil"/>
              <w:bottom w:val="single" w:sz="4" w:space="0" w:color="auto"/>
              <w:right w:val="nil"/>
            </w:tcBorders>
            <w:shd w:val="clear" w:color="auto" w:fill="auto"/>
            <w:noWrap/>
            <w:vAlign w:val="bottom"/>
            <w:hideMark/>
          </w:tcPr>
          <w:p w14:paraId="689371F6" w14:textId="77777777" w:rsidR="008430BD" w:rsidRPr="00A00187" w:rsidRDefault="008430BD" w:rsidP="00E077F3">
            <w:pPr>
              <w:spacing w:line="240" w:lineRule="auto"/>
              <w:jc w:val="left"/>
            </w:pPr>
            <w:r w:rsidRPr="00A00187">
              <w:t>Trutnov</w:t>
            </w:r>
          </w:p>
        </w:tc>
        <w:tc>
          <w:tcPr>
            <w:tcW w:w="1060" w:type="dxa"/>
            <w:tcBorders>
              <w:top w:val="nil"/>
              <w:left w:val="nil"/>
              <w:bottom w:val="single" w:sz="4" w:space="0" w:color="auto"/>
              <w:right w:val="nil"/>
            </w:tcBorders>
            <w:shd w:val="clear" w:color="auto" w:fill="auto"/>
            <w:noWrap/>
            <w:vAlign w:val="bottom"/>
            <w:hideMark/>
          </w:tcPr>
          <w:p w14:paraId="7B87D1B1" w14:textId="77777777" w:rsidR="008430BD" w:rsidRPr="00A00187" w:rsidRDefault="008430BD" w:rsidP="00E077F3">
            <w:pPr>
              <w:spacing w:line="240" w:lineRule="auto"/>
              <w:jc w:val="center"/>
            </w:pPr>
            <w:r w:rsidRPr="00A00187">
              <w:t>TU</w:t>
            </w:r>
          </w:p>
        </w:tc>
      </w:tr>
      <w:tr w:rsidR="00AC1E67" w:rsidRPr="00A00187" w14:paraId="4EE20BF6"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5562FF6" w14:textId="77777777" w:rsidR="008430BD" w:rsidRPr="00A00187" w:rsidRDefault="008430BD" w:rsidP="00E077F3">
            <w:pPr>
              <w:spacing w:line="240" w:lineRule="auto"/>
              <w:jc w:val="left"/>
            </w:pPr>
            <w:r w:rsidRPr="00A00187">
              <w:t>Mělník</w:t>
            </w:r>
          </w:p>
        </w:tc>
        <w:tc>
          <w:tcPr>
            <w:tcW w:w="1060" w:type="dxa"/>
            <w:tcBorders>
              <w:top w:val="nil"/>
              <w:left w:val="nil"/>
              <w:bottom w:val="single" w:sz="4" w:space="0" w:color="auto"/>
              <w:right w:val="single" w:sz="4" w:space="0" w:color="auto"/>
            </w:tcBorders>
            <w:shd w:val="clear" w:color="auto" w:fill="auto"/>
            <w:noWrap/>
            <w:vAlign w:val="bottom"/>
            <w:hideMark/>
          </w:tcPr>
          <w:p w14:paraId="567A9CE0" w14:textId="77777777" w:rsidR="008430BD" w:rsidRPr="00A00187" w:rsidRDefault="008430BD" w:rsidP="00E077F3">
            <w:pPr>
              <w:spacing w:line="240" w:lineRule="auto"/>
              <w:jc w:val="center"/>
            </w:pPr>
            <w:r w:rsidRPr="00A00187">
              <w:t>ME</w:t>
            </w:r>
          </w:p>
        </w:tc>
        <w:tc>
          <w:tcPr>
            <w:tcW w:w="2320" w:type="dxa"/>
            <w:tcBorders>
              <w:top w:val="nil"/>
              <w:left w:val="nil"/>
              <w:bottom w:val="single" w:sz="4" w:space="0" w:color="auto"/>
              <w:right w:val="nil"/>
            </w:tcBorders>
            <w:shd w:val="clear" w:color="auto" w:fill="auto"/>
            <w:noWrap/>
            <w:vAlign w:val="bottom"/>
            <w:hideMark/>
          </w:tcPr>
          <w:p w14:paraId="38E1132B" w14:textId="77777777" w:rsidR="008430BD" w:rsidRPr="00A00187" w:rsidRDefault="008430BD" w:rsidP="00E077F3">
            <w:pPr>
              <w:spacing w:line="240" w:lineRule="auto"/>
              <w:jc w:val="left"/>
            </w:pPr>
            <w:r w:rsidRPr="00A00187">
              <w:t>Třebíč</w:t>
            </w:r>
          </w:p>
        </w:tc>
        <w:tc>
          <w:tcPr>
            <w:tcW w:w="1060" w:type="dxa"/>
            <w:tcBorders>
              <w:top w:val="nil"/>
              <w:left w:val="nil"/>
              <w:bottom w:val="single" w:sz="4" w:space="0" w:color="auto"/>
              <w:right w:val="nil"/>
            </w:tcBorders>
            <w:shd w:val="clear" w:color="auto" w:fill="auto"/>
            <w:noWrap/>
            <w:vAlign w:val="bottom"/>
            <w:hideMark/>
          </w:tcPr>
          <w:p w14:paraId="2DA931A3" w14:textId="77777777" w:rsidR="008430BD" w:rsidRPr="00A00187" w:rsidRDefault="008430BD" w:rsidP="00E077F3">
            <w:pPr>
              <w:spacing w:line="240" w:lineRule="auto"/>
              <w:jc w:val="center"/>
            </w:pPr>
            <w:r w:rsidRPr="00A00187">
              <w:t>TR</w:t>
            </w:r>
          </w:p>
        </w:tc>
      </w:tr>
      <w:tr w:rsidR="00AC1E67" w:rsidRPr="00A00187" w14:paraId="0FC29413"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0F1BCB9" w14:textId="77777777" w:rsidR="008430BD" w:rsidRPr="00A00187" w:rsidRDefault="008430BD" w:rsidP="00E077F3">
            <w:pPr>
              <w:spacing w:line="240" w:lineRule="auto"/>
              <w:jc w:val="left"/>
            </w:pPr>
            <w:r w:rsidRPr="00A00187">
              <w:t>Mladá Boleslav</w:t>
            </w:r>
          </w:p>
        </w:tc>
        <w:tc>
          <w:tcPr>
            <w:tcW w:w="1060" w:type="dxa"/>
            <w:tcBorders>
              <w:top w:val="nil"/>
              <w:left w:val="nil"/>
              <w:bottom w:val="single" w:sz="4" w:space="0" w:color="auto"/>
              <w:right w:val="single" w:sz="4" w:space="0" w:color="auto"/>
            </w:tcBorders>
            <w:shd w:val="clear" w:color="auto" w:fill="auto"/>
            <w:noWrap/>
            <w:vAlign w:val="bottom"/>
            <w:hideMark/>
          </w:tcPr>
          <w:p w14:paraId="64E1F5AC" w14:textId="77777777" w:rsidR="008430BD" w:rsidRPr="00A00187" w:rsidRDefault="008430BD" w:rsidP="00E077F3">
            <w:pPr>
              <w:spacing w:line="240" w:lineRule="auto"/>
              <w:jc w:val="center"/>
            </w:pPr>
            <w:r w:rsidRPr="00A00187">
              <w:t>MB</w:t>
            </w:r>
          </w:p>
        </w:tc>
        <w:tc>
          <w:tcPr>
            <w:tcW w:w="2320" w:type="dxa"/>
            <w:tcBorders>
              <w:top w:val="nil"/>
              <w:left w:val="nil"/>
              <w:bottom w:val="single" w:sz="4" w:space="0" w:color="auto"/>
              <w:right w:val="nil"/>
            </w:tcBorders>
            <w:shd w:val="clear" w:color="auto" w:fill="auto"/>
            <w:noWrap/>
            <w:vAlign w:val="bottom"/>
            <w:hideMark/>
          </w:tcPr>
          <w:p w14:paraId="4B9AB9F9" w14:textId="77777777" w:rsidR="008430BD" w:rsidRPr="00A00187" w:rsidRDefault="008430BD" w:rsidP="00E077F3">
            <w:pPr>
              <w:spacing w:line="240" w:lineRule="auto"/>
              <w:jc w:val="left"/>
            </w:pPr>
            <w:r w:rsidRPr="00A00187">
              <w:t>Uherské Hradiště</w:t>
            </w:r>
          </w:p>
        </w:tc>
        <w:tc>
          <w:tcPr>
            <w:tcW w:w="1060" w:type="dxa"/>
            <w:tcBorders>
              <w:top w:val="nil"/>
              <w:left w:val="nil"/>
              <w:bottom w:val="single" w:sz="4" w:space="0" w:color="auto"/>
              <w:right w:val="nil"/>
            </w:tcBorders>
            <w:shd w:val="clear" w:color="auto" w:fill="auto"/>
            <w:noWrap/>
            <w:vAlign w:val="bottom"/>
            <w:hideMark/>
          </w:tcPr>
          <w:p w14:paraId="09DD7448" w14:textId="77777777" w:rsidR="008430BD" w:rsidRPr="00A00187" w:rsidRDefault="008430BD" w:rsidP="00E077F3">
            <w:pPr>
              <w:spacing w:line="240" w:lineRule="auto"/>
              <w:jc w:val="center"/>
            </w:pPr>
            <w:r w:rsidRPr="00A00187">
              <w:t>UH</w:t>
            </w:r>
          </w:p>
        </w:tc>
      </w:tr>
      <w:tr w:rsidR="00AC1E67" w:rsidRPr="00A00187" w14:paraId="310D41E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6B74CEF" w14:textId="77777777" w:rsidR="008430BD" w:rsidRPr="00A00187" w:rsidRDefault="008430BD" w:rsidP="00E077F3">
            <w:pPr>
              <w:spacing w:line="240" w:lineRule="auto"/>
              <w:jc w:val="left"/>
            </w:pPr>
            <w:r w:rsidRPr="00A00187">
              <w:t>Most</w:t>
            </w:r>
          </w:p>
        </w:tc>
        <w:tc>
          <w:tcPr>
            <w:tcW w:w="1060" w:type="dxa"/>
            <w:tcBorders>
              <w:top w:val="nil"/>
              <w:left w:val="nil"/>
              <w:bottom w:val="single" w:sz="4" w:space="0" w:color="auto"/>
              <w:right w:val="single" w:sz="4" w:space="0" w:color="auto"/>
            </w:tcBorders>
            <w:shd w:val="clear" w:color="auto" w:fill="auto"/>
            <w:noWrap/>
            <w:vAlign w:val="bottom"/>
            <w:hideMark/>
          </w:tcPr>
          <w:p w14:paraId="310F30DC" w14:textId="77777777" w:rsidR="008430BD" w:rsidRPr="00A00187" w:rsidRDefault="008430BD" w:rsidP="00E077F3">
            <w:pPr>
              <w:spacing w:line="240" w:lineRule="auto"/>
              <w:jc w:val="center"/>
            </w:pPr>
            <w:r w:rsidRPr="00A00187">
              <w:t>MO</w:t>
            </w:r>
          </w:p>
        </w:tc>
        <w:tc>
          <w:tcPr>
            <w:tcW w:w="2320" w:type="dxa"/>
            <w:tcBorders>
              <w:top w:val="nil"/>
              <w:left w:val="nil"/>
              <w:bottom w:val="single" w:sz="4" w:space="0" w:color="auto"/>
              <w:right w:val="nil"/>
            </w:tcBorders>
            <w:shd w:val="clear" w:color="auto" w:fill="auto"/>
            <w:noWrap/>
            <w:vAlign w:val="bottom"/>
            <w:hideMark/>
          </w:tcPr>
          <w:p w14:paraId="2ED23F11" w14:textId="77777777" w:rsidR="008430BD" w:rsidRPr="00A00187" w:rsidRDefault="008430BD" w:rsidP="00E077F3">
            <w:pPr>
              <w:spacing w:line="240" w:lineRule="auto"/>
              <w:jc w:val="left"/>
            </w:pPr>
            <w:r w:rsidRPr="00A00187">
              <w:t>Ústí nad Labem</w:t>
            </w:r>
          </w:p>
        </w:tc>
        <w:tc>
          <w:tcPr>
            <w:tcW w:w="1060" w:type="dxa"/>
            <w:tcBorders>
              <w:top w:val="nil"/>
              <w:left w:val="nil"/>
              <w:bottom w:val="single" w:sz="4" w:space="0" w:color="auto"/>
              <w:right w:val="nil"/>
            </w:tcBorders>
            <w:shd w:val="clear" w:color="auto" w:fill="auto"/>
            <w:noWrap/>
            <w:vAlign w:val="bottom"/>
            <w:hideMark/>
          </w:tcPr>
          <w:p w14:paraId="52CA2C2B" w14:textId="77777777" w:rsidR="008430BD" w:rsidRPr="00A00187" w:rsidRDefault="008430BD" w:rsidP="00E077F3">
            <w:pPr>
              <w:spacing w:line="240" w:lineRule="auto"/>
              <w:jc w:val="center"/>
            </w:pPr>
            <w:r w:rsidRPr="00A00187">
              <w:t>UL</w:t>
            </w:r>
          </w:p>
        </w:tc>
      </w:tr>
      <w:tr w:rsidR="00AC1E67" w:rsidRPr="00A00187" w14:paraId="21C66E2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4A6951B" w14:textId="77777777" w:rsidR="008430BD" w:rsidRPr="00A00187" w:rsidRDefault="008430BD" w:rsidP="00E077F3">
            <w:pPr>
              <w:spacing w:line="240" w:lineRule="auto"/>
              <w:jc w:val="left"/>
            </w:pPr>
            <w:r w:rsidRPr="00A00187">
              <w:t>Náchod</w:t>
            </w:r>
          </w:p>
        </w:tc>
        <w:tc>
          <w:tcPr>
            <w:tcW w:w="1060" w:type="dxa"/>
            <w:tcBorders>
              <w:top w:val="nil"/>
              <w:left w:val="nil"/>
              <w:bottom w:val="single" w:sz="4" w:space="0" w:color="auto"/>
              <w:right w:val="single" w:sz="4" w:space="0" w:color="auto"/>
            </w:tcBorders>
            <w:shd w:val="clear" w:color="auto" w:fill="auto"/>
            <w:noWrap/>
            <w:vAlign w:val="bottom"/>
            <w:hideMark/>
          </w:tcPr>
          <w:p w14:paraId="65B32A9C" w14:textId="77777777" w:rsidR="008430BD" w:rsidRPr="00A00187" w:rsidRDefault="008430BD" w:rsidP="00E077F3">
            <w:pPr>
              <w:spacing w:line="240" w:lineRule="auto"/>
              <w:jc w:val="center"/>
            </w:pPr>
            <w:r w:rsidRPr="00A00187">
              <w:t>NA</w:t>
            </w:r>
          </w:p>
        </w:tc>
        <w:tc>
          <w:tcPr>
            <w:tcW w:w="2320" w:type="dxa"/>
            <w:tcBorders>
              <w:top w:val="nil"/>
              <w:left w:val="nil"/>
              <w:bottom w:val="single" w:sz="4" w:space="0" w:color="auto"/>
              <w:right w:val="nil"/>
            </w:tcBorders>
            <w:shd w:val="clear" w:color="auto" w:fill="auto"/>
            <w:noWrap/>
            <w:vAlign w:val="bottom"/>
            <w:hideMark/>
          </w:tcPr>
          <w:p w14:paraId="2576A1E7" w14:textId="77777777" w:rsidR="008430BD" w:rsidRPr="00A00187" w:rsidRDefault="008430BD" w:rsidP="00E077F3">
            <w:pPr>
              <w:spacing w:line="240" w:lineRule="auto"/>
              <w:jc w:val="left"/>
            </w:pPr>
            <w:r w:rsidRPr="00A00187">
              <w:t>Ústí nad Orlicí</w:t>
            </w:r>
          </w:p>
        </w:tc>
        <w:tc>
          <w:tcPr>
            <w:tcW w:w="1060" w:type="dxa"/>
            <w:tcBorders>
              <w:top w:val="nil"/>
              <w:left w:val="nil"/>
              <w:bottom w:val="single" w:sz="4" w:space="0" w:color="auto"/>
              <w:right w:val="nil"/>
            </w:tcBorders>
            <w:shd w:val="clear" w:color="auto" w:fill="auto"/>
            <w:noWrap/>
            <w:vAlign w:val="bottom"/>
            <w:hideMark/>
          </w:tcPr>
          <w:p w14:paraId="532DDEBA" w14:textId="77777777" w:rsidR="008430BD" w:rsidRPr="00A00187" w:rsidRDefault="008430BD" w:rsidP="00E077F3">
            <w:pPr>
              <w:spacing w:line="240" w:lineRule="auto"/>
              <w:jc w:val="center"/>
            </w:pPr>
            <w:r w:rsidRPr="00A00187">
              <w:t>UO</w:t>
            </w:r>
          </w:p>
        </w:tc>
      </w:tr>
      <w:tr w:rsidR="00AC1E67" w:rsidRPr="00A00187" w14:paraId="0922E1C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47D5757" w14:textId="77777777" w:rsidR="008430BD" w:rsidRPr="00A00187" w:rsidRDefault="008430BD" w:rsidP="00E077F3">
            <w:pPr>
              <w:spacing w:line="240" w:lineRule="auto"/>
              <w:jc w:val="left"/>
            </w:pPr>
            <w:r w:rsidRPr="00A00187">
              <w:t>Nový Jičín</w:t>
            </w:r>
          </w:p>
        </w:tc>
        <w:tc>
          <w:tcPr>
            <w:tcW w:w="1060" w:type="dxa"/>
            <w:tcBorders>
              <w:top w:val="nil"/>
              <w:left w:val="nil"/>
              <w:bottom w:val="single" w:sz="4" w:space="0" w:color="auto"/>
              <w:right w:val="single" w:sz="4" w:space="0" w:color="auto"/>
            </w:tcBorders>
            <w:shd w:val="clear" w:color="auto" w:fill="auto"/>
            <w:noWrap/>
            <w:vAlign w:val="bottom"/>
            <w:hideMark/>
          </w:tcPr>
          <w:p w14:paraId="678C77C6" w14:textId="77777777" w:rsidR="008430BD" w:rsidRPr="00A00187" w:rsidRDefault="008430BD" w:rsidP="00E077F3">
            <w:pPr>
              <w:spacing w:line="240" w:lineRule="auto"/>
              <w:jc w:val="center"/>
            </w:pPr>
            <w:r w:rsidRPr="00A00187">
              <w:t>NJ</w:t>
            </w:r>
          </w:p>
        </w:tc>
        <w:tc>
          <w:tcPr>
            <w:tcW w:w="2320" w:type="dxa"/>
            <w:tcBorders>
              <w:top w:val="nil"/>
              <w:left w:val="nil"/>
              <w:bottom w:val="single" w:sz="4" w:space="0" w:color="auto"/>
              <w:right w:val="nil"/>
            </w:tcBorders>
            <w:shd w:val="clear" w:color="auto" w:fill="auto"/>
            <w:noWrap/>
            <w:vAlign w:val="bottom"/>
            <w:hideMark/>
          </w:tcPr>
          <w:p w14:paraId="12DBD899" w14:textId="77777777" w:rsidR="008430BD" w:rsidRPr="00A00187" w:rsidRDefault="008430BD" w:rsidP="00E077F3">
            <w:pPr>
              <w:spacing w:line="240" w:lineRule="auto"/>
              <w:jc w:val="left"/>
            </w:pPr>
            <w:r w:rsidRPr="00A00187">
              <w:t>Vsetín</w:t>
            </w:r>
          </w:p>
        </w:tc>
        <w:tc>
          <w:tcPr>
            <w:tcW w:w="1060" w:type="dxa"/>
            <w:tcBorders>
              <w:top w:val="nil"/>
              <w:left w:val="nil"/>
              <w:bottom w:val="single" w:sz="4" w:space="0" w:color="auto"/>
              <w:right w:val="nil"/>
            </w:tcBorders>
            <w:shd w:val="clear" w:color="auto" w:fill="auto"/>
            <w:noWrap/>
            <w:vAlign w:val="bottom"/>
            <w:hideMark/>
          </w:tcPr>
          <w:p w14:paraId="17112E1E" w14:textId="77777777" w:rsidR="008430BD" w:rsidRPr="00A00187" w:rsidRDefault="008430BD" w:rsidP="00E077F3">
            <w:pPr>
              <w:spacing w:line="240" w:lineRule="auto"/>
              <w:jc w:val="center"/>
            </w:pPr>
            <w:r w:rsidRPr="00A00187">
              <w:t>VS</w:t>
            </w:r>
          </w:p>
        </w:tc>
      </w:tr>
      <w:tr w:rsidR="00AC1E67" w:rsidRPr="00A00187" w14:paraId="636C961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A3C87EE" w14:textId="77777777" w:rsidR="008430BD" w:rsidRPr="00A00187" w:rsidRDefault="008430BD" w:rsidP="00E077F3">
            <w:pPr>
              <w:spacing w:line="240" w:lineRule="auto"/>
              <w:jc w:val="left"/>
            </w:pPr>
            <w:r w:rsidRPr="00A00187">
              <w:t>Nymburk</w:t>
            </w:r>
          </w:p>
        </w:tc>
        <w:tc>
          <w:tcPr>
            <w:tcW w:w="1060" w:type="dxa"/>
            <w:tcBorders>
              <w:top w:val="nil"/>
              <w:left w:val="nil"/>
              <w:bottom w:val="single" w:sz="4" w:space="0" w:color="auto"/>
              <w:right w:val="single" w:sz="4" w:space="0" w:color="auto"/>
            </w:tcBorders>
            <w:shd w:val="clear" w:color="auto" w:fill="auto"/>
            <w:noWrap/>
            <w:vAlign w:val="bottom"/>
            <w:hideMark/>
          </w:tcPr>
          <w:p w14:paraId="1F3779DF" w14:textId="77777777" w:rsidR="008430BD" w:rsidRPr="00A00187" w:rsidRDefault="008430BD" w:rsidP="00E077F3">
            <w:pPr>
              <w:spacing w:line="240" w:lineRule="auto"/>
              <w:jc w:val="center"/>
            </w:pPr>
            <w:r w:rsidRPr="00A00187">
              <w:t>NB</w:t>
            </w:r>
          </w:p>
        </w:tc>
        <w:tc>
          <w:tcPr>
            <w:tcW w:w="2320" w:type="dxa"/>
            <w:tcBorders>
              <w:top w:val="nil"/>
              <w:left w:val="nil"/>
              <w:bottom w:val="single" w:sz="4" w:space="0" w:color="auto"/>
              <w:right w:val="nil"/>
            </w:tcBorders>
            <w:shd w:val="clear" w:color="auto" w:fill="auto"/>
            <w:noWrap/>
            <w:vAlign w:val="bottom"/>
            <w:hideMark/>
          </w:tcPr>
          <w:p w14:paraId="2E4B33A2" w14:textId="77777777" w:rsidR="008430BD" w:rsidRPr="00A00187" w:rsidRDefault="008430BD" w:rsidP="00E077F3">
            <w:pPr>
              <w:spacing w:line="240" w:lineRule="auto"/>
              <w:jc w:val="left"/>
            </w:pPr>
            <w:r w:rsidRPr="00A00187">
              <w:t>Vyškov</w:t>
            </w:r>
          </w:p>
        </w:tc>
        <w:tc>
          <w:tcPr>
            <w:tcW w:w="1060" w:type="dxa"/>
            <w:tcBorders>
              <w:top w:val="nil"/>
              <w:left w:val="nil"/>
              <w:bottom w:val="single" w:sz="4" w:space="0" w:color="auto"/>
              <w:right w:val="nil"/>
            </w:tcBorders>
            <w:shd w:val="clear" w:color="auto" w:fill="auto"/>
            <w:noWrap/>
            <w:vAlign w:val="bottom"/>
            <w:hideMark/>
          </w:tcPr>
          <w:p w14:paraId="16089C9B" w14:textId="77777777" w:rsidR="008430BD" w:rsidRPr="00A00187" w:rsidRDefault="008430BD" w:rsidP="00E077F3">
            <w:pPr>
              <w:spacing w:line="240" w:lineRule="auto"/>
              <w:jc w:val="center"/>
            </w:pPr>
            <w:r w:rsidRPr="00A00187">
              <w:t>VY</w:t>
            </w:r>
          </w:p>
        </w:tc>
      </w:tr>
      <w:tr w:rsidR="00AC1E67" w:rsidRPr="00A00187" w14:paraId="5DE121A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7C7AC07" w14:textId="77777777" w:rsidR="008430BD" w:rsidRPr="00A00187" w:rsidRDefault="008430BD" w:rsidP="00E077F3">
            <w:pPr>
              <w:spacing w:line="240" w:lineRule="auto"/>
              <w:jc w:val="left"/>
            </w:pPr>
            <w:r w:rsidRPr="00A00187">
              <w:t>Olomouc</w:t>
            </w:r>
          </w:p>
        </w:tc>
        <w:tc>
          <w:tcPr>
            <w:tcW w:w="1060" w:type="dxa"/>
            <w:tcBorders>
              <w:top w:val="nil"/>
              <w:left w:val="nil"/>
              <w:bottom w:val="single" w:sz="4" w:space="0" w:color="auto"/>
              <w:right w:val="single" w:sz="4" w:space="0" w:color="auto"/>
            </w:tcBorders>
            <w:shd w:val="clear" w:color="auto" w:fill="auto"/>
            <w:noWrap/>
            <w:vAlign w:val="bottom"/>
            <w:hideMark/>
          </w:tcPr>
          <w:p w14:paraId="221F6C0D" w14:textId="77777777" w:rsidR="008430BD" w:rsidRPr="00A00187" w:rsidRDefault="008430BD" w:rsidP="00E077F3">
            <w:pPr>
              <w:spacing w:line="240" w:lineRule="auto"/>
              <w:jc w:val="center"/>
            </w:pPr>
            <w:r w:rsidRPr="00A00187">
              <w:t>OC</w:t>
            </w:r>
          </w:p>
        </w:tc>
        <w:tc>
          <w:tcPr>
            <w:tcW w:w="2320" w:type="dxa"/>
            <w:tcBorders>
              <w:top w:val="nil"/>
              <w:left w:val="nil"/>
              <w:bottom w:val="single" w:sz="4" w:space="0" w:color="auto"/>
              <w:right w:val="nil"/>
            </w:tcBorders>
            <w:shd w:val="clear" w:color="auto" w:fill="auto"/>
            <w:noWrap/>
            <w:vAlign w:val="bottom"/>
            <w:hideMark/>
          </w:tcPr>
          <w:p w14:paraId="2A80EA98" w14:textId="77777777" w:rsidR="008430BD" w:rsidRPr="00A00187" w:rsidRDefault="008430BD" w:rsidP="00E077F3">
            <w:pPr>
              <w:spacing w:line="240" w:lineRule="auto"/>
              <w:jc w:val="left"/>
            </w:pPr>
            <w:r w:rsidRPr="00A00187">
              <w:t>Zlín</w:t>
            </w:r>
          </w:p>
        </w:tc>
        <w:tc>
          <w:tcPr>
            <w:tcW w:w="1060" w:type="dxa"/>
            <w:tcBorders>
              <w:top w:val="nil"/>
              <w:left w:val="nil"/>
              <w:bottom w:val="single" w:sz="4" w:space="0" w:color="auto"/>
              <w:right w:val="nil"/>
            </w:tcBorders>
            <w:shd w:val="clear" w:color="auto" w:fill="auto"/>
            <w:noWrap/>
            <w:vAlign w:val="bottom"/>
            <w:hideMark/>
          </w:tcPr>
          <w:p w14:paraId="2EB481B7" w14:textId="77777777" w:rsidR="008430BD" w:rsidRPr="00A00187" w:rsidRDefault="008430BD" w:rsidP="00E077F3">
            <w:pPr>
              <w:spacing w:line="240" w:lineRule="auto"/>
              <w:jc w:val="center"/>
            </w:pPr>
            <w:r w:rsidRPr="00A00187">
              <w:t>ZL</w:t>
            </w:r>
          </w:p>
        </w:tc>
      </w:tr>
      <w:tr w:rsidR="00AC1E67" w:rsidRPr="00A00187" w14:paraId="37AC1FFA"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0D5954F" w14:textId="77777777" w:rsidR="008430BD" w:rsidRPr="00A00187" w:rsidRDefault="008430BD" w:rsidP="00E077F3">
            <w:pPr>
              <w:spacing w:line="240" w:lineRule="auto"/>
              <w:jc w:val="left"/>
            </w:pPr>
            <w:r w:rsidRPr="00A00187">
              <w:t>Opava</w:t>
            </w:r>
          </w:p>
        </w:tc>
        <w:tc>
          <w:tcPr>
            <w:tcW w:w="1060" w:type="dxa"/>
            <w:tcBorders>
              <w:top w:val="nil"/>
              <w:left w:val="nil"/>
              <w:bottom w:val="single" w:sz="4" w:space="0" w:color="auto"/>
              <w:right w:val="single" w:sz="4" w:space="0" w:color="auto"/>
            </w:tcBorders>
            <w:shd w:val="clear" w:color="auto" w:fill="auto"/>
            <w:noWrap/>
            <w:vAlign w:val="bottom"/>
            <w:hideMark/>
          </w:tcPr>
          <w:p w14:paraId="3CCDB8AA" w14:textId="77777777" w:rsidR="008430BD" w:rsidRPr="00A00187" w:rsidRDefault="008430BD" w:rsidP="00E077F3">
            <w:pPr>
              <w:spacing w:line="240" w:lineRule="auto"/>
              <w:jc w:val="center"/>
            </w:pPr>
            <w:r w:rsidRPr="00A00187">
              <w:t>OP</w:t>
            </w:r>
          </w:p>
        </w:tc>
        <w:tc>
          <w:tcPr>
            <w:tcW w:w="2320" w:type="dxa"/>
            <w:tcBorders>
              <w:top w:val="nil"/>
              <w:left w:val="nil"/>
              <w:bottom w:val="single" w:sz="4" w:space="0" w:color="auto"/>
              <w:right w:val="nil"/>
            </w:tcBorders>
            <w:shd w:val="clear" w:color="auto" w:fill="auto"/>
            <w:noWrap/>
            <w:vAlign w:val="bottom"/>
            <w:hideMark/>
          </w:tcPr>
          <w:p w14:paraId="3B3217BE" w14:textId="77777777" w:rsidR="008430BD" w:rsidRPr="00A00187" w:rsidRDefault="008430BD" w:rsidP="00E077F3">
            <w:pPr>
              <w:spacing w:line="240" w:lineRule="auto"/>
              <w:jc w:val="left"/>
            </w:pPr>
            <w:r w:rsidRPr="00A00187">
              <w:t>Znojmo</w:t>
            </w:r>
          </w:p>
        </w:tc>
        <w:tc>
          <w:tcPr>
            <w:tcW w:w="1060" w:type="dxa"/>
            <w:tcBorders>
              <w:top w:val="nil"/>
              <w:left w:val="nil"/>
              <w:bottom w:val="single" w:sz="4" w:space="0" w:color="auto"/>
              <w:right w:val="nil"/>
            </w:tcBorders>
            <w:shd w:val="clear" w:color="auto" w:fill="auto"/>
            <w:noWrap/>
            <w:vAlign w:val="bottom"/>
            <w:hideMark/>
          </w:tcPr>
          <w:p w14:paraId="0BC5A087" w14:textId="77777777" w:rsidR="008430BD" w:rsidRPr="00A00187" w:rsidRDefault="008430BD" w:rsidP="00E077F3">
            <w:pPr>
              <w:spacing w:line="240" w:lineRule="auto"/>
              <w:jc w:val="center"/>
            </w:pPr>
            <w:r w:rsidRPr="00A00187">
              <w:t>ZN</w:t>
            </w:r>
          </w:p>
        </w:tc>
      </w:tr>
      <w:tr w:rsidR="00AC1E67" w:rsidRPr="00A00187" w14:paraId="4AC7F755" w14:textId="77777777" w:rsidTr="00E077F3">
        <w:trPr>
          <w:trHeight w:val="285"/>
          <w:jc w:val="center"/>
        </w:trPr>
        <w:tc>
          <w:tcPr>
            <w:tcW w:w="2320" w:type="dxa"/>
            <w:tcBorders>
              <w:top w:val="nil"/>
              <w:left w:val="nil"/>
              <w:bottom w:val="double" w:sz="6" w:space="0" w:color="auto"/>
              <w:right w:val="nil"/>
            </w:tcBorders>
            <w:shd w:val="clear" w:color="auto" w:fill="auto"/>
            <w:noWrap/>
            <w:vAlign w:val="bottom"/>
            <w:hideMark/>
          </w:tcPr>
          <w:p w14:paraId="615397DB" w14:textId="77777777" w:rsidR="008430BD" w:rsidRPr="00A00187" w:rsidRDefault="008430BD" w:rsidP="00E077F3">
            <w:pPr>
              <w:spacing w:line="240" w:lineRule="auto"/>
              <w:jc w:val="left"/>
            </w:pPr>
            <w:r w:rsidRPr="00A00187">
              <w:t>Ostrava</w:t>
            </w:r>
          </w:p>
        </w:tc>
        <w:tc>
          <w:tcPr>
            <w:tcW w:w="1060" w:type="dxa"/>
            <w:tcBorders>
              <w:top w:val="nil"/>
              <w:left w:val="nil"/>
              <w:bottom w:val="double" w:sz="6" w:space="0" w:color="auto"/>
              <w:right w:val="single" w:sz="4" w:space="0" w:color="auto"/>
            </w:tcBorders>
            <w:shd w:val="clear" w:color="auto" w:fill="auto"/>
            <w:noWrap/>
            <w:vAlign w:val="bottom"/>
            <w:hideMark/>
          </w:tcPr>
          <w:p w14:paraId="5EF584D3" w14:textId="77777777" w:rsidR="008430BD" w:rsidRPr="00A00187" w:rsidRDefault="008430BD" w:rsidP="00E077F3">
            <w:pPr>
              <w:spacing w:line="240" w:lineRule="auto"/>
              <w:jc w:val="center"/>
            </w:pPr>
            <w:r w:rsidRPr="00A00187">
              <w:t>OS</w:t>
            </w:r>
          </w:p>
        </w:tc>
        <w:tc>
          <w:tcPr>
            <w:tcW w:w="2320" w:type="dxa"/>
            <w:tcBorders>
              <w:top w:val="nil"/>
              <w:left w:val="nil"/>
              <w:bottom w:val="double" w:sz="6" w:space="0" w:color="auto"/>
              <w:right w:val="nil"/>
            </w:tcBorders>
            <w:shd w:val="clear" w:color="auto" w:fill="auto"/>
            <w:noWrap/>
            <w:vAlign w:val="bottom"/>
            <w:hideMark/>
          </w:tcPr>
          <w:p w14:paraId="0BF56B72" w14:textId="77777777" w:rsidR="008430BD" w:rsidRPr="00A00187" w:rsidRDefault="008430BD" w:rsidP="00E077F3">
            <w:pPr>
              <w:spacing w:line="240" w:lineRule="auto"/>
              <w:jc w:val="left"/>
            </w:pPr>
            <w:r w:rsidRPr="00A00187">
              <w:t>Žďár nad Sázavou</w:t>
            </w:r>
          </w:p>
        </w:tc>
        <w:tc>
          <w:tcPr>
            <w:tcW w:w="1060" w:type="dxa"/>
            <w:tcBorders>
              <w:top w:val="nil"/>
              <w:left w:val="nil"/>
              <w:bottom w:val="double" w:sz="6" w:space="0" w:color="auto"/>
              <w:right w:val="nil"/>
            </w:tcBorders>
            <w:shd w:val="clear" w:color="auto" w:fill="auto"/>
            <w:noWrap/>
            <w:vAlign w:val="bottom"/>
            <w:hideMark/>
          </w:tcPr>
          <w:p w14:paraId="6127B141" w14:textId="77777777" w:rsidR="008430BD" w:rsidRPr="00A00187" w:rsidRDefault="008430BD" w:rsidP="00E077F3">
            <w:pPr>
              <w:spacing w:line="240" w:lineRule="auto"/>
              <w:jc w:val="center"/>
            </w:pPr>
            <w:r w:rsidRPr="00A00187">
              <w:t>ZR</w:t>
            </w:r>
          </w:p>
        </w:tc>
      </w:tr>
    </w:tbl>
    <w:p w14:paraId="74686738" w14:textId="77777777" w:rsidR="008430BD" w:rsidRPr="00A00187" w:rsidRDefault="008430BD" w:rsidP="008430BD">
      <w:pPr>
        <w:pStyle w:val="Nadpis2"/>
        <w:ind w:left="578" w:hanging="578"/>
        <w:rPr>
          <w:color w:val="auto"/>
        </w:rPr>
      </w:pPr>
      <w:bookmarkStart w:id="1384" w:name="_Toc487791321"/>
      <w:bookmarkStart w:id="1385" w:name="_Toc106092839"/>
      <w:bookmarkStart w:id="1386" w:name="_Toc109801450"/>
      <w:r w:rsidRPr="00A00187">
        <w:rPr>
          <w:color w:val="auto"/>
        </w:rPr>
        <w:lastRenderedPageBreak/>
        <w:t>Příloha C – seznam vybraných rejstříků soudů</w:t>
      </w:r>
      <w:bookmarkEnd w:id="1384"/>
      <w:bookmarkEnd w:id="1385"/>
      <w:bookmarkEnd w:id="1386"/>
    </w:p>
    <w:p w14:paraId="644CCC66" w14:textId="77777777" w:rsidR="008430BD" w:rsidRPr="00A00187" w:rsidRDefault="008430BD" w:rsidP="008430BD"/>
    <w:tbl>
      <w:tblPr>
        <w:tblW w:w="9100" w:type="dxa"/>
        <w:tblInd w:w="55" w:type="dxa"/>
        <w:tblCellMar>
          <w:left w:w="70" w:type="dxa"/>
          <w:right w:w="70" w:type="dxa"/>
        </w:tblCellMar>
        <w:tblLook w:val="04A0" w:firstRow="1" w:lastRow="0" w:firstColumn="1" w:lastColumn="0" w:noHBand="0" w:noVBand="1"/>
      </w:tblPr>
      <w:tblGrid>
        <w:gridCol w:w="960"/>
        <w:gridCol w:w="8140"/>
      </w:tblGrid>
      <w:tr w:rsidR="00AC1E67" w:rsidRPr="00A00187" w14:paraId="51F7EAB5" w14:textId="77777777" w:rsidTr="00E077F3">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714A4509" w14:textId="77777777" w:rsidR="008430BD" w:rsidRPr="00A00187" w:rsidRDefault="008430BD" w:rsidP="00E077F3">
            <w:pPr>
              <w:spacing w:line="240" w:lineRule="auto"/>
              <w:jc w:val="left"/>
              <w:rPr>
                <w:rFonts w:eastAsia="Times New Roman"/>
                <w:b/>
                <w:bCs/>
                <w:szCs w:val="24"/>
                <w:lang w:eastAsia="cs-CZ"/>
              </w:rPr>
            </w:pPr>
            <w:bookmarkStart w:id="1387" w:name="_Toc487791322"/>
            <w:r w:rsidRPr="00A00187">
              <w:rPr>
                <w:rFonts w:eastAsia="Times New Roman"/>
                <w:b/>
                <w:bCs/>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49475E42" w14:textId="77777777" w:rsidR="008430BD" w:rsidRPr="00A00187" w:rsidRDefault="008430BD" w:rsidP="00E077F3">
            <w:pPr>
              <w:spacing w:line="240" w:lineRule="auto"/>
              <w:jc w:val="left"/>
              <w:rPr>
                <w:rFonts w:eastAsia="Times New Roman"/>
                <w:b/>
                <w:bCs/>
                <w:szCs w:val="24"/>
                <w:lang w:eastAsia="cs-CZ"/>
              </w:rPr>
            </w:pPr>
            <w:r w:rsidRPr="00A00187">
              <w:rPr>
                <w:rFonts w:eastAsia="Times New Roman"/>
                <w:b/>
                <w:bCs/>
                <w:szCs w:val="24"/>
                <w:lang w:eastAsia="cs-CZ"/>
              </w:rPr>
              <w:t>Popis</w:t>
            </w:r>
          </w:p>
        </w:tc>
      </w:tr>
      <w:tr w:rsidR="00AC1E67" w:rsidRPr="00A00187" w14:paraId="5AAFC9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EF40EB3"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A (KS)</w:t>
            </w:r>
          </w:p>
        </w:tc>
        <w:tc>
          <w:tcPr>
            <w:tcW w:w="8140" w:type="dxa"/>
            <w:tcBorders>
              <w:top w:val="nil"/>
              <w:left w:val="nil"/>
              <w:bottom w:val="single" w:sz="4" w:space="0" w:color="auto"/>
              <w:right w:val="nil"/>
            </w:tcBorders>
            <w:shd w:val="clear" w:color="auto" w:fill="auto"/>
            <w:vAlign w:val="center"/>
            <w:hideMark/>
          </w:tcPr>
          <w:p w14:paraId="63E4C6E9"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Ostatní návrhy ve věcech správního soudnictví (od roku 2010)</w:t>
            </w:r>
          </w:p>
        </w:tc>
      </w:tr>
      <w:tr w:rsidR="00AC1E67" w:rsidRPr="00A00187" w14:paraId="392C25D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4CBC947"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38F564E3"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Převzatá agenda z vrchních soudů (dříve)</w:t>
            </w:r>
          </w:p>
        </w:tc>
      </w:tr>
      <w:tr w:rsidR="00AC1E67" w:rsidRPr="00A00187" w14:paraId="7625258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DB58179"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Ad</w:t>
            </w:r>
          </w:p>
        </w:tc>
        <w:tc>
          <w:tcPr>
            <w:tcW w:w="8140" w:type="dxa"/>
            <w:tcBorders>
              <w:top w:val="nil"/>
              <w:left w:val="nil"/>
              <w:bottom w:val="single" w:sz="4" w:space="0" w:color="auto"/>
              <w:right w:val="nil"/>
            </w:tcBorders>
            <w:shd w:val="clear" w:color="auto" w:fill="auto"/>
            <w:vAlign w:val="center"/>
            <w:hideMark/>
          </w:tcPr>
          <w:p w14:paraId="6734F844"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Správní žaloby ve věcech sociální a důchodové správy (od roku 2010)</w:t>
            </w:r>
          </w:p>
        </w:tc>
      </w:tr>
      <w:tr w:rsidR="00AC1E67" w:rsidRPr="00A00187" w14:paraId="2866C8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DFB00"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Ads</w:t>
            </w:r>
            <w:proofErr w:type="spellEnd"/>
          </w:p>
        </w:tc>
        <w:tc>
          <w:tcPr>
            <w:tcW w:w="8140" w:type="dxa"/>
            <w:tcBorders>
              <w:top w:val="nil"/>
              <w:left w:val="nil"/>
              <w:bottom w:val="single" w:sz="4" w:space="0" w:color="auto"/>
              <w:right w:val="nil"/>
            </w:tcBorders>
            <w:shd w:val="clear" w:color="auto" w:fill="auto"/>
            <w:vAlign w:val="center"/>
            <w:hideMark/>
          </w:tcPr>
          <w:p w14:paraId="3B32D6C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ve věcech sociální a důchodové správy</w:t>
            </w:r>
          </w:p>
        </w:tc>
      </w:tr>
      <w:tr w:rsidR="00AC1E67" w:rsidRPr="00A00187" w14:paraId="603B0CB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9E9B9"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Af</w:t>
            </w:r>
            <w:proofErr w:type="spellEnd"/>
          </w:p>
        </w:tc>
        <w:tc>
          <w:tcPr>
            <w:tcW w:w="8140" w:type="dxa"/>
            <w:tcBorders>
              <w:top w:val="nil"/>
              <w:left w:val="nil"/>
              <w:bottom w:val="single" w:sz="4" w:space="0" w:color="auto"/>
              <w:right w:val="nil"/>
            </w:tcBorders>
            <w:shd w:val="clear" w:color="auto" w:fill="auto"/>
            <w:vAlign w:val="center"/>
            <w:hideMark/>
          </w:tcPr>
          <w:p w14:paraId="1F28185B"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Správní žaloby ve věcech finanční správy (od roku 2010)</w:t>
            </w:r>
          </w:p>
        </w:tc>
      </w:tr>
      <w:tr w:rsidR="00AC1E67" w:rsidRPr="00A00187" w14:paraId="72730768"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5464728B"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Afs</w:t>
            </w:r>
            <w:proofErr w:type="spellEnd"/>
          </w:p>
        </w:tc>
        <w:tc>
          <w:tcPr>
            <w:tcW w:w="8140" w:type="dxa"/>
            <w:tcBorders>
              <w:top w:val="nil"/>
              <w:left w:val="nil"/>
              <w:bottom w:val="single" w:sz="4" w:space="0" w:color="auto"/>
              <w:right w:val="nil"/>
            </w:tcBorders>
            <w:shd w:val="clear" w:color="auto" w:fill="auto"/>
            <w:vAlign w:val="center"/>
            <w:hideMark/>
          </w:tcPr>
          <w:p w14:paraId="2C8B2E11"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ve věcech finanční správy</w:t>
            </w:r>
          </w:p>
        </w:tc>
      </w:tr>
      <w:tr w:rsidR="00AC1E67" w:rsidRPr="00A00187" w14:paraId="3CA49FC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1F01AB1"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Ans</w:t>
            </w:r>
            <w:proofErr w:type="spellEnd"/>
          </w:p>
        </w:tc>
        <w:tc>
          <w:tcPr>
            <w:tcW w:w="8140" w:type="dxa"/>
            <w:tcBorders>
              <w:top w:val="nil"/>
              <w:left w:val="nil"/>
              <w:bottom w:val="single" w:sz="4" w:space="0" w:color="auto"/>
              <w:right w:val="nil"/>
            </w:tcBorders>
            <w:shd w:val="clear" w:color="auto" w:fill="auto"/>
            <w:vAlign w:val="center"/>
            <w:hideMark/>
          </w:tcPr>
          <w:p w14:paraId="333CC028"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ve věcech ochrany proti nečinnosti správního orgánu (dříve)</w:t>
            </w:r>
          </w:p>
        </w:tc>
      </w:tr>
      <w:tr w:rsidR="00AC1E67" w:rsidRPr="00A00187" w14:paraId="6D3E7187"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292D962"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Aos</w:t>
            </w:r>
            <w:proofErr w:type="spellEnd"/>
          </w:p>
        </w:tc>
        <w:tc>
          <w:tcPr>
            <w:tcW w:w="8140" w:type="dxa"/>
            <w:tcBorders>
              <w:top w:val="nil"/>
              <w:left w:val="nil"/>
              <w:bottom w:val="single" w:sz="4" w:space="0" w:color="auto"/>
              <w:right w:val="nil"/>
            </w:tcBorders>
            <w:shd w:val="clear" w:color="auto" w:fill="auto"/>
            <w:vAlign w:val="center"/>
            <w:hideMark/>
          </w:tcPr>
          <w:p w14:paraId="26AA45A4"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ve věcech opatření obecné povahy (dříve)</w:t>
            </w:r>
          </w:p>
        </w:tc>
      </w:tr>
      <w:tr w:rsidR="00AC1E67" w:rsidRPr="00A00187" w14:paraId="4A1A288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F9636CA"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Aps</w:t>
            </w:r>
            <w:proofErr w:type="spellEnd"/>
          </w:p>
        </w:tc>
        <w:tc>
          <w:tcPr>
            <w:tcW w:w="8140" w:type="dxa"/>
            <w:tcBorders>
              <w:top w:val="nil"/>
              <w:left w:val="nil"/>
              <w:bottom w:val="single" w:sz="4" w:space="0" w:color="auto"/>
              <w:right w:val="nil"/>
            </w:tcBorders>
            <w:shd w:val="clear" w:color="auto" w:fill="auto"/>
            <w:vAlign w:val="center"/>
            <w:hideMark/>
          </w:tcPr>
          <w:p w14:paraId="10C0A8D8"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ve věcech ochrany před nezákonným zásahem, pokynem nebo donucením správního orgánu (dříve)</w:t>
            </w:r>
          </w:p>
        </w:tc>
      </w:tr>
      <w:tr w:rsidR="00AC1E67" w:rsidRPr="00A00187" w14:paraId="6A8BE4D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892B15D"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Ars</w:t>
            </w:r>
            <w:proofErr w:type="spellEnd"/>
          </w:p>
        </w:tc>
        <w:tc>
          <w:tcPr>
            <w:tcW w:w="8140" w:type="dxa"/>
            <w:tcBorders>
              <w:top w:val="nil"/>
              <w:left w:val="nil"/>
              <w:bottom w:val="single" w:sz="4" w:space="0" w:color="auto"/>
              <w:right w:val="nil"/>
            </w:tcBorders>
            <w:shd w:val="clear" w:color="auto" w:fill="auto"/>
            <w:vAlign w:val="center"/>
            <w:hideMark/>
          </w:tcPr>
          <w:p w14:paraId="5EAB3E8F"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ve věcech krajského a místního referenda, ve věcech dohledu nad hospodařením politických stran a hnutí a ve věcech dohledu nad financováním volebních kampaní politických stran a hnutí</w:t>
            </w:r>
          </w:p>
        </w:tc>
      </w:tr>
      <w:tr w:rsidR="00AC1E67" w:rsidRPr="00A00187" w14:paraId="30FC8F0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D7E83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As</w:t>
            </w:r>
          </w:p>
        </w:tc>
        <w:tc>
          <w:tcPr>
            <w:tcW w:w="8140" w:type="dxa"/>
            <w:tcBorders>
              <w:top w:val="nil"/>
              <w:left w:val="nil"/>
              <w:bottom w:val="single" w:sz="4" w:space="0" w:color="auto"/>
              <w:right w:val="nil"/>
            </w:tcBorders>
            <w:shd w:val="clear" w:color="auto" w:fill="auto"/>
            <w:vAlign w:val="center"/>
            <w:hideMark/>
          </w:tcPr>
          <w:p w14:paraId="5CF4A8CC"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 ostatních věcech</w:t>
            </w:r>
          </w:p>
        </w:tc>
      </w:tr>
      <w:tr w:rsidR="00AC1E67" w:rsidRPr="00A00187" w14:paraId="219770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406B443"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Az</w:t>
            </w:r>
            <w:proofErr w:type="spellEnd"/>
          </w:p>
        </w:tc>
        <w:tc>
          <w:tcPr>
            <w:tcW w:w="8140" w:type="dxa"/>
            <w:tcBorders>
              <w:top w:val="nil"/>
              <w:left w:val="nil"/>
              <w:bottom w:val="single" w:sz="4" w:space="0" w:color="auto"/>
              <w:right w:val="nil"/>
            </w:tcBorders>
            <w:shd w:val="clear" w:color="auto" w:fill="auto"/>
            <w:vAlign w:val="center"/>
            <w:hideMark/>
          </w:tcPr>
          <w:p w14:paraId="703E5032"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Správní žaloby ve věcech mezinárodní ochrany</w:t>
            </w:r>
          </w:p>
        </w:tc>
      </w:tr>
      <w:tr w:rsidR="00AC1E67" w:rsidRPr="00A00187" w14:paraId="72782C9F"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9C5715E"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Azs</w:t>
            </w:r>
            <w:proofErr w:type="spellEnd"/>
          </w:p>
        </w:tc>
        <w:tc>
          <w:tcPr>
            <w:tcW w:w="8140" w:type="dxa"/>
            <w:tcBorders>
              <w:top w:val="nil"/>
              <w:left w:val="nil"/>
              <w:bottom w:val="single" w:sz="4" w:space="0" w:color="auto"/>
              <w:right w:val="nil"/>
            </w:tcBorders>
            <w:shd w:val="clear" w:color="auto" w:fill="auto"/>
            <w:vAlign w:val="center"/>
            <w:hideMark/>
          </w:tcPr>
          <w:p w14:paraId="369AFA11"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o kasačních stížnostech ve věcech mezinárodní ochrany a zákona o pobytu cizinců</w:t>
            </w:r>
          </w:p>
        </w:tc>
      </w:tr>
      <w:tr w:rsidR="00AC1E67" w:rsidRPr="00A00187" w14:paraId="644B94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754D6C9"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C</w:t>
            </w:r>
          </w:p>
        </w:tc>
        <w:tc>
          <w:tcPr>
            <w:tcW w:w="8140" w:type="dxa"/>
            <w:tcBorders>
              <w:top w:val="nil"/>
              <w:left w:val="nil"/>
              <w:bottom w:val="single" w:sz="4" w:space="0" w:color="auto"/>
              <w:right w:val="nil"/>
            </w:tcBorders>
            <w:shd w:val="clear" w:color="auto" w:fill="auto"/>
            <w:vAlign w:val="center"/>
            <w:hideMark/>
          </w:tcPr>
          <w:p w14:paraId="5CC09CC8"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Občanskoprávní věci</w:t>
            </w:r>
          </w:p>
        </w:tc>
      </w:tr>
      <w:tr w:rsidR="00AC1E67" w:rsidRPr="00A00187" w14:paraId="4A1757E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29099A8"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Ca</w:t>
            </w:r>
          </w:p>
        </w:tc>
        <w:tc>
          <w:tcPr>
            <w:tcW w:w="8140" w:type="dxa"/>
            <w:tcBorders>
              <w:top w:val="nil"/>
              <w:left w:val="nil"/>
              <w:bottom w:val="single" w:sz="4" w:space="0" w:color="auto"/>
              <w:right w:val="nil"/>
            </w:tcBorders>
            <w:shd w:val="clear" w:color="auto" w:fill="auto"/>
            <w:vAlign w:val="center"/>
            <w:hideMark/>
          </w:tcPr>
          <w:p w14:paraId="4063A756"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Ostatní návrhy ve věcech správního soudnictví (před rokem 2010)</w:t>
            </w:r>
          </w:p>
        </w:tc>
      </w:tr>
      <w:tr w:rsidR="00AC1E67" w:rsidRPr="00A00187" w14:paraId="0EDE004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C93DB3B"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Cad</w:t>
            </w:r>
            <w:proofErr w:type="spellEnd"/>
          </w:p>
        </w:tc>
        <w:tc>
          <w:tcPr>
            <w:tcW w:w="8140" w:type="dxa"/>
            <w:tcBorders>
              <w:top w:val="nil"/>
              <w:left w:val="nil"/>
              <w:bottom w:val="single" w:sz="4" w:space="0" w:color="auto"/>
              <w:right w:val="nil"/>
            </w:tcBorders>
            <w:shd w:val="clear" w:color="auto" w:fill="auto"/>
            <w:vAlign w:val="center"/>
            <w:hideMark/>
          </w:tcPr>
          <w:p w14:paraId="4F4E6DF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Správní žaloby ve věcech sociální a důchodové správy (před rokem 2010)</w:t>
            </w:r>
          </w:p>
        </w:tc>
      </w:tr>
      <w:tr w:rsidR="00AC1E67" w:rsidRPr="00A00187" w14:paraId="6560713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5BDE302"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Cdo</w:t>
            </w:r>
            <w:proofErr w:type="spellEnd"/>
          </w:p>
        </w:tc>
        <w:tc>
          <w:tcPr>
            <w:tcW w:w="8140" w:type="dxa"/>
            <w:tcBorders>
              <w:top w:val="nil"/>
              <w:left w:val="nil"/>
              <w:bottom w:val="single" w:sz="4" w:space="0" w:color="auto"/>
              <w:right w:val="nil"/>
            </w:tcBorders>
            <w:shd w:val="clear" w:color="auto" w:fill="auto"/>
            <w:vAlign w:val="center"/>
            <w:hideMark/>
          </w:tcPr>
          <w:p w14:paraId="10BAB28C"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Dovolání proti rozhodnutím odvolacích soudů ve věcech občanskoprávních a obchodních</w:t>
            </w:r>
          </w:p>
        </w:tc>
      </w:tr>
      <w:tr w:rsidR="00AC1E67" w:rsidRPr="00A00187" w14:paraId="33EC28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FE401F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Cm</w:t>
            </w:r>
          </w:p>
        </w:tc>
        <w:tc>
          <w:tcPr>
            <w:tcW w:w="8140" w:type="dxa"/>
            <w:tcBorders>
              <w:top w:val="nil"/>
              <w:left w:val="nil"/>
              <w:bottom w:val="single" w:sz="4" w:space="0" w:color="auto"/>
              <w:right w:val="nil"/>
            </w:tcBorders>
            <w:shd w:val="clear" w:color="auto" w:fill="auto"/>
            <w:vAlign w:val="center"/>
            <w:hideMark/>
          </w:tcPr>
          <w:p w14:paraId="292CBA19"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Obchodní věci</w:t>
            </w:r>
          </w:p>
        </w:tc>
      </w:tr>
      <w:tr w:rsidR="00AC1E67" w:rsidRPr="00A00187" w14:paraId="6598BBE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5DE556B"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Cmo</w:t>
            </w:r>
            <w:proofErr w:type="spellEnd"/>
          </w:p>
        </w:tc>
        <w:tc>
          <w:tcPr>
            <w:tcW w:w="8140" w:type="dxa"/>
            <w:tcBorders>
              <w:top w:val="nil"/>
              <w:left w:val="nil"/>
              <w:bottom w:val="single" w:sz="4" w:space="0" w:color="auto"/>
              <w:right w:val="nil"/>
            </w:tcBorders>
            <w:shd w:val="clear" w:color="auto" w:fill="auto"/>
            <w:vAlign w:val="center"/>
            <w:hideMark/>
          </w:tcPr>
          <w:p w14:paraId="3D7FA990"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Odvolací civilní agenda v obchodních věcech</w:t>
            </w:r>
          </w:p>
        </w:tc>
      </w:tr>
      <w:tr w:rsidR="00AC1E67" w:rsidRPr="00A00187" w14:paraId="15DBB48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F6E38EF"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Co</w:t>
            </w:r>
          </w:p>
        </w:tc>
        <w:tc>
          <w:tcPr>
            <w:tcW w:w="8140" w:type="dxa"/>
            <w:tcBorders>
              <w:top w:val="nil"/>
              <w:left w:val="nil"/>
              <w:bottom w:val="single" w:sz="4" w:space="0" w:color="auto"/>
              <w:right w:val="nil"/>
            </w:tcBorders>
            <w:shd w:val="clear" w:color="auto" w:fill="auto"/>
            <w:vAlign w:val="center"/>
            <w:hideMark/>
          </w:tcPr>
          <w:p w14:paraId="328AE764"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Odvolací civilní agenda</w:t>
            </w:r>
          </w:p>
        </w:tc>
      </w:tr>
      <w:tr w:rsidR="00AC1E67" w:rsidRPr="00A00187" w14:paraId="7F71A7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8A89627"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66950F1D"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Převedené věci z rejstříku EPR – občanskoprávní věci</w:t>
            </w:r>
          </w:p>
        </w:tc>
      </w:tr>
      <w:tr w:rsidR="00AC1E67" w:rsidRPr="00A00187" w14:paraId="39E5BB1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6272271"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666132C6"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Návrhy na vydání elektronického platebního rozkazu (před rejstříkem EPR)</w:t>
            </w:r>
          </w:p>
        </w:tc>
      </w:tr>
      <w:tr w:rsidR="00AC1E67" w:rsidRPr="00A00187" w14:paraId="765DE11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D46F6B6"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ECm</w:t>
            </w:r>
            <w:proofErr w:type="spellEnd"/>
          </w:p>
        </w:tc>
        <w:tc>
          <w:tcPr>
            <w:tcW w:w="8140" w:type="dxa"/>
            <w:tcBorders>
              <w:top w:val="nil"/>
              <w:left w:val="nil"/>
              <w:bottom w:val="single" w:sz="4" w:space="0" w:color="auto"/>
              <w:right w:val="nil"/>
            </w:tcBorders>
            <w:shd w:val="clear" w:color="auto" w:fill="auto"/>
            <w:vAlign w:val="center"/>
            <w:hideMark/>
          </w:tcPr>
          <w:p w14:paraId="6673750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Převedené věci z rejstříku EPR – obchodní věci</w:t>
            </w:r>
          </w:p>
        </w:tc>
      </w:tr>
      <w:tr w:rsidR="00AC1E67" w:rsidRPr="00A00187" w14:paraId="58AD59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901A40"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EPR</w:t>
            </w:r>
          </w:p>
        </w:tc>
        <w:tc>
          <w:tcPr>
            <w:tcW w:w="8140" w:type="dxa"/>
            <w:tcBorders>
              <w:top w:val="nil"/>
              <w:left w:val="nil"/>
              <w:bottom w:val="single" w:sz="4" w:space="0" w:color="auto"/>
              <w:right w:val="nil"/>
            </w:tcBorders>
            <w:shd w:val="clear" w:color="auto" w:fill="auto"/>
            <w:vAlign w:val="center"/>
            <w:hideMark/>
          </w:tcPr>
          <w:p w14:paraId="554BD168"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Návrhy na vydání elektronického platebního rozkazu</w:t>
            </w:r>
          </w:p>
        </w:tc>
      </w:tr>
      <w:tr w:rsidR="00AC1E67" w:rsidRPr="00A00187" w14:paraId="45C06A6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D5136BD"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EVC</w:t>
            </w:r>
          </w:p>
        </w:tc>
        <w:tc>
          <w:tcPr>
            <w:tcW w:w="8140" w:type="dxa"/>
            <w:tcBorders>
              <w:top w:val="nil"/>
              <w:left w:val="nil"/>
              <w:bottom w:val="single" w:sz="4" w:space="0" w:color="auto"/>
              <w:right w:val="nil"/>
            </w:tcBorders>
            <w:shd w:val="clear" w:color="auto" w:fill="auto"/>
            <w:vAlign w:val="center"/>
            <w:hideMark/>
          </w:tcPr>
          <w:p w14:paraId="7FADB331"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Návrhy na vydání evropského platebního rozkazu</w:t>
            </w:r>
          </w:p>
        </w:tc>
      </w:tr>
      <w:tr w:rsidR="00AC1E67" w:rsidRPr="00A00187" w14:paraId="3A90E75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BE6775"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EVCm</w:t>
            </w:r>
            <w:proofErr w:type="spellEnd"/>
          </w:p>
        </w:tc>
        <w:tc>
          <w:tcPr>
            <w:tcW w:w="8140" w:type="dxa"/>
            <w:tcBorders>
              <w:top w:val="nil"/>
              <w:left w:val="nil"/>
              <w:bottom w:val="single" w:sz="4" w:space="0" w:color="auto"/>
              <w:right w:val="nil"/>
            </w:tcBorders>
            <w:shd w:val="clear" w:color="auto" w:fill="auto"/>
            <w:vAlign w:val="center"/>
            <w:hideMark/>
          </w:tcPr>
          <w:p w14:paraId="0093A0E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Návrhy na vydání evropského platebního rozkazu v obchodních věcech</w:t>
            </w:r>
          </w:p>
        </w:tc>
      </w:tr>
      <w:tr w:rsidR="00AC1E67" w:rsidRPr="00A00187" w14:paraId="02DEB95C" w14:textId="77777777" w:rsidTr="00E077F3">
        <w:trPr>
          <w:trHeight w:val="340"/>
        </w:trPr>
        <w:tc>
          <w:tcPr>
            <w:tcW w:w="960" w:type="dxa"/>
            <w:tcBorders>
              <w:top w:val="nil"/>
              <w:left w:val="nil"/>
              <w:bottom w:val="single" w:sz="4" w:space="0" w:color="auto"/>
              <w:right w:val="nil"/>
            </w:tcBorders>
            <w:shd w:val="clear" w:color="auto" w:fill="auto"/>
            <w:vAlign w:val="center"/>
          </w:tcPr>
          <w:p w14:paraId="64078CCD"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ICdo</w:t>
            </w:r>
            <w:proofErr w:type="spellEnd"/>
          </w:p>
        </w:tc>
        <w:tc>
          <w:tcPr>
            <w:tcW w:w="8140" w:type="dxa"/>
            <w:tcBorders>
              <w:top w:val="nil"/>
              <w:left w:val="nil"/>
              <w:bottom w:val="single" w:sz="4" w:space="0" w:color="auto"/>
              <w:right w:val="nil"/>
            </w:tcBorders>
            <w:shd w:val="clear" w:color="auto" w:fill="auto"/>
            <w:vAlign w:val="center"/>
          </w:tcPr>
          <w:p w14:paraId="10B174E9"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Věci předložené Nejvyššímu soudu k rozhodnutí pro incidenční spory vyvolané v průběhu insolvenčního řízení</w:t>
            </w:r>
          </w:p>
        </w:tc>
      </w:tr>
      <w:tr w:rsidR="00AC1E67" w:rsidRPr="00A00187" w14:paraId="5DDBAD7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579A011"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ICm</w:t>
            </w:r>
            <w:proofErr w:type="spellEnd"/>
          </w:p>
        </w:tc>
        <w:tc>
          <w:tcPr>
            <w:tcW w:w="8140" w:type="dxa"/>
            <w:tcBorders>
              <w:top w:val="nil"/>
              <w:left w:val="nil"/>
              <w:bottom w:val="single" w:sz="4" w:space="0" w:color="auto"/>
              <w:right w:val="nil"/>
            </w:tcBorders>
            <w:shd w:val="clear" w:color="auto" w:fill="auto"/>
            <w:vAlign w:val="center"/>
            <w:hideMark/>
          </w:tcPr>
          <w:p w14:paraId="15FE7503"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Incidenční spory</w:t>
            </w:r>
          </w:p>
        </w:tc>
      </w:tr>
      <w:tr w:rsidR="00AC1E67" w:rsidRPr="00A00187" w14:paraId="3370897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F9B4D21"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INS</w:t>
            </w:r>
          </w:p>
        </w:tc>
        <w:tc>
          <w:tcPr>
            <w:tcW w:w="8140" w:type="dxa"/>
            <w:tcBorders>
              <w:top w:val="nil"/>
              <w:left w:val="nil"/>
              <w:bottom w:val="single" w:sz="4" w:space="0" w:color="auto"/>
              <w:right w:val="nil"/>
            </w:tcBorders>
            <w:shd w:val="clear" w:color="auto" w:fill="auto"/>
            <w:vAlign w:val="center"/>
            <w:hideMark/>
          </w:tcPr>
          <w:p w14:paraId="13EAD816"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Insolvenční řízení</w:t>
            </w:r>
          </w:p>
        </w:tc>
      </w:tr>
      <w:tr w:rsidR="00AC1E67" w:rsidRPr="00A00187" w14:paraId="642881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F55E939"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Kss</w:t>
            </w:r>
            <w:proofErr w:type="spellEnd"/>
          </w:p>
        </w:tc>
        <w:tc>
          <w:tcPr>
            <w:tcW w:w="8140" w:type="dxa"/>
            <w:tcBorders>
              <w:top w:val="nil"/>
              <w:left w:val="nil"/>
              <w:bottom w:val="single" w:sz="4" w:space="0" w:color="auto"/>
              <w:right w:val="nil"/>
            </w:tcBorders>
            <w:shd w:val="clear" w:color="auto" w:fill="auto"/>
            <w:vAlign w:val="center"/>
            <w:hideMark/>
          </w:tcPr>
          <w:p w14:paraId="1DE137DB"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Řízení ve věcech soudců</w:t>
            </w:r>
          </w:p>
        </w:tc>
      </w:tr>
      <w:tr w:rsidR="00AC1E67" w:rsidRPr="00A00187" w14:paraId="2AF8A83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03E81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L</w:t>
            </w:r>
          </w:p>
        </w:tc>
        <w:tc>
          <w:tcPr>
            <w:tcW w:w="8140" w:type="dxa"/>
            <w:tcBorders>
              <w:top w:val="nil"/>
              <w:left w:val="nil"/>
              <w:bottom w:val="single" w:sz="4" w:space="0" w:color="auto"/>
              <w:right w:val="nil"/>
            </w:tcBorders>
            <w:shd w:val="clear" w:color="auto" w:fill="auto"/>
            <w:vAlign w:val="center"/>
            <w:hideMark/>
          </w:tcPr>
          <w:p w14:paraId="0DEBD28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Detenční řízení</w:t>
            </w:r>
          </w:p>
        </w:tc>
      </w:tr>
      <w:tr w:rsidR="00AC1E67" w:rsidRPr="00A00187" w14:paraId="3F7CDAB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05B02AB"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NSČR</w:t>
            </w:r>
          </w:p>
        </w:tc>
        <w:tc>
          <w:tcPr>
            <w:tcW w:w="8140" w:type="dxa"/>
            <w:tcBorders>
              <w:top w:val="nil"/>
              <w:left w:val="nil"/>
              <w:bottom w:val="single" w:sz="4" w:space="0" w:color="auto"/>
              <w:right w:val="nil"/>
            </w:tcBorders>
            <w:shd w:val="clear" w:color="auto" w:fill="auto"/>
            <w:vAlign w:val="center"/>
            <w:hideMark/>
          </w:tcPr>
          <w:p w14:paraId="5E82156D"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Věci předložené Nejvyššímu soudu k rozhodnutí v insolvenčním řízení</w:t>
            </w:r>
          </w:p>
        </w:tc>
      </w:tr>
      <w:tr w:rsidR="00AC1E67" w:rsidRPr="00A00187" w14:paraId="5F65169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3E0689E"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lastRenderedPageBreak/>
              <w:t>Odo</w:t>
            </w:r>
          </w:p>
        </w:tc>
        <w:tc>
          <w:tcPr>
            <w:tcW w:w="8140" w:type="dxa"/>
            <w:tcBorders>
              <w:top w:val="nil"/>
              <w:left w:val="nil"/>
              <w:bottom w:val="single" w:sz="4" w:space="0" w:color="auto"/>
              <w:right w:val="nil"/>
            </w:tcBorders>
            <w:shd w:val="clear" w:color="auto" w:fill="auto"/>
            <w:vAlign w:val="center"/>
            <w:hideMark/>
          </w:tcPr>
          <w:p w14:paraId="431A34B7"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Dovolání proti rozhodnutím odvolacích soudů ve věcech obchodních (dříve)</w:t>
            </w:r>
          </w:p>
        </w:tc>
      </w:tr>
      <w:tr w:rsidR="00AC1E67" w:rsidRPr="00A00187" w14:paraId="1266B9E1"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4215F79"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P a </w:t>
            </w:r>
            <w:proofErr w:type="spellStart"/>
            <w:r w:rsidRPr="00A00187">
              <w:rPr>
                <w:rFonts w:eastAsia="Times New Roman"/>
                <w:szCs w:val="24"/>
                <w:lang w:eastAsia="cs-CZ"/>
              </w:rPr>
              <w:t>Nc</w:t>
            </w:r>
            <w:proofErr w:type="spellEnd"/>
          </w:p>
        </w:tc>
        <w:tc>
          <w:tcPr>
            <w:tcW w:w="8140" w:type="dxa"/>
            <w:tcBorders>
              <w:top w:val="nil"/>
              <w:left w:val="nil"/>
              <w:bottom w:val="single" w:sz="4" w:space="0" w:color="auto"/>
              <w:right w:val="nil"/>
            </w:tcBorders>
            <w:shd w:val="clear" w:color="auto" w:fill="auto"/>
            <w:vAlign w:val="center"/>
            <w:hideMark/>
          </w:tcPr>
          <w:p w14:paraId="4F588803"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Opatrovnické řízení</w:t>
            </w:r>
          </w:p>
        </w:tc>
      </w:tr>
      <w:tr w:rsidR="00AC1E67" w:rsidRPr="00A00187" w14:paraId="115F61A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9F5979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T</w:t>
            </w:r>
          </w:p>
        </w:tc>
        <w:tc>
          <w:tcPr>
            <w:tcW w:w="8140" w:type="dxa"/>
            <w:tcBorders>
              <w:top w:val="nil"/>
              <w:left w:val="nil"/>
              <w:bottom w:val="single" w:sz="4" w:space="0" w:color="auto"/>
              <w:right w:val="nil"/>
            </w:tcBorders>
            <w:shd w:val="clear" w:color="auto" w:fill="auto"/>
            <w:vAlign w:val="center"/>
            <w:hideMark/>
          </w:tcPr>
          <w:p w14:paraId="2DC59E87"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Trestní věci</w:t>
            </w:r>
          </w:p>
        </w:tc>
      </w:tr>
      <w:tr w:rsidR="00AC1E67" w:rsidRPr="00A00187" w14:paraId="4DDB9D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314D5C"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Tdo</w:t>
            </w:r>
            <w:proofErr w:type="spellEnd"/>
          </w:p>
        </w:tc>
        <w:tc>
          <w:tcPr>
            <w:tcW w:w="8140" w:type="dxa"/>
            <w:tcBorders>
              <w:top w:val="nil"/>
              <w:left w:val="nil"/>
              <w:bottom w:val="single" w:sz="4" w:space="0" w:color="auto"/>
              <w:right w:val="nil"/>
            </w:tcBorders>
            <w:shd w:val="clear" w:color="auto" w:fill="auto"/>
            <w:vAlign w:val="center"/>
            <w:hideMark/>
          </w:tcPr>
          <w:p w14:paraId="65717D2A"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Dovolání proti rozhodnutím soudů druhého stupně ve věcech trestních</w:t>
            </w:r>
          </w:p>
        </w:tc>
      </w:tr>
      <w:tr w:rsidR="00AC1E67" w:rsidRPr="00A00187" w14:paraId="5B16B4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D3D0BDA"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Tm</w:t>
            </w:r>
            <w:proofErr w:type="spellEnd"/>
          </w:p>
        </w:tc>
        <w:tc>
          <w:tcPr>
            <w:tcW w:w="8140" w:type="dxa"/>
            <w:tcBorders>
              <w:top w:val="nil"/>
              <w:left w:val="nil"/>
              <w:bottom w:val="single" w:sz="4" w:space="0" w:color="auto"/>
              <w:right w:val="nil"/>
            </w:tcBorders>
            <w:shd w:val="clear" w:color="auto" w:fill="auto"/>
            <w:vAlign w:val="center"/>
            <w:hideMark/>
          </w:tcPr>
          <w:p w14:paraId="29FC9CC3"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Trestní věci mládeže</w:t>
            </w:r>
          </w:p>
        </w:tc>
      </w:tr>
      <w:tr w:rsidR="00AC1E67" w:rsidRPr="00A00187" w14:paraId="6CDDA90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1113CBC"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Tmo</w:t>
            </w:r>
          </w:p>
        </w:tc>
        <w:tc>
          <w:tcPr>
            <w:tcW w:w="8140" w:type="dxa"/>
            <w:tcBorders>
              <w:top w:val="nil"/>
              <w:left w:val="nil"/>
              <w:bottom w:val="single" w:sz="4" w:space="0" w:color="auto"/>
              <w:right w:val="nil"/>
            </w:tcBorders>
            <w:shd w:val="clear" w:color="auto" w:fill="auto"/>
            <w:vAlign w:val="center"/>
            <w:hideMark/>
          </w:tcPr>
          <w:p w14:paraId="5D53A494"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Trestní agenda odvolací – mladiství</w:t>
            </w:r>
          </w:p>
        </w:tc>
      </w:tr>
      <w:tr w:rsidR="00AC1E67" w:rsidRPr="00A00187" w14:paraId="6B3251C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EA9E3D6"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To</w:t>
            </w:r>
          </w:p>
        </w:tc>
        <w:tc>
          <w:tcPr>
            <w:tcW w:w="8140" w:type="dxa"/>
            <w:tcBorders>
              <w:top w:val="nil"/>
              <w:left w:val="nil"/>
              <w:bottom w:val="single" w:sz="4" w:space="0" w:color="auto"/>
              <w:right w:val="nil"/>
            </w:tcBorders>
            <w:shd w:val="clear" w:color="auto" w:fill="auto"/>
            <w:vAlign w:val="center"/>
            <w:hideMark/>
          </w:tcPr>
          <w:p w14:paraId="26963314"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Trestní agenda odvolací</w:t>
            </w:r>
          </w:p>
        </w:tc>
      </w:tr>
      <w:tr w:rsidR="008430BD" w:rsidRPr="00A00187" w14:paraId="4D923D45" w14:textId="77777777" w:rsidTr="00E077F3">
        <w:trPr>
          <w:trHeight w:val="340"/>
        </w:trPr>
        <w:tc>
          <w:tcPr>
            <w:tcW w:w="960" w:type="dxa"/>
            <w:tcBorders>
              <w:top w:val="nil"/>
              <w:left w:val="nil"/>
              <w:bottom w:val="double" w:sz="6" w:space="0" w:color="auto"/>
              <w:right w:val="nil"/>
            </w:tcBorders>
            <w:shd w:val="clear" w:color="auto" w:fill="auto"/>
            <w:vAlign w:val="center"/>
            <w:hideMark/>
          </w:tcPr>
          <w:p w14:paraId="0478B630" w14:textId="77777777" w:rsidR="008430BD" w:rsidRPr="00A00187" w:rsidRDefault="008430BD" w:rsidP="00E077F3">
            <w:pPr>
              <w:spacing w:before="14" w:after="14" w:line="240" w:lineRule="auto"/>
              <w:jc w:val="left"/>
              <w:rPr>
                <w:rFonts w:eastAsia="Times New Roman"/>
                <w:szCs w:val="24"/>
                <w:lang w:eastAsia="cs-CZ"/>
              </w:rPr>
            </w:pPr>
            <w:proofErr w:type="spellStart"/>
            <w:r w:rsidRPr="00A00187">
              <w:rPr>
                <w:rFonts w:eastAsia="Times New Roman"/>
                <w:szCs w:val="24"/>
                <w:lang w:eastAsia="cs-CZ"/>
              </w:rPr>
              <w:t>Tz</w:t>
            </w:r>
            <w:proofErr w:type="spellEnd"/>
          </w:p>
        </w:tc>
        <w:tc>
          <w:tcPr>
            <w:tcW w:w="8140" w:type="dxa"/>
            <w:tcBorders>
              <w:top w:val="nil"/>
              <w:left w:val="nil"/>
              <w:bottom w:val="double" w:sz="6" w:space="0" w:color="auto"/>
              <w:right w:val="nil"/>
            </w:tcBorders>
            <w:shd w:val="clear" w:color="auto" w:fill="auto"/>
            <w:vAlign w:val="center"/>
            <w:hideMark/>
          </w:tcPr>
          <w:p w14:paraId="25F1F009" w14:textId="77777777" w:rsidR="008430BD" w:rsidRPr="00A00187" w:rsidRDefault="008430BD" w:rsidP="00E077F3">
            <w:pPr>
              <w:spacing w:before="14" w:after="14" w:line="240" w:lineRule="auto"/>
              <w:jc w:val="left"/>
              <w:rPr>
                <w:rFonts w:eastAsia="Times New Roman"/>
                <w:szCs w:val="24"/>
                <w:lang w:eastAsia="cs-CZ"/>
              </w:rPr>
            </w:pPr>
            <w:r w:rsidRPr="00A00187">
              <w:rPr>
                <w:rFonts w:eastAsia="Times New Roman"/>
                <w:szCs w:val="24"/>
                <w:lang w:eastAsia="cs-CZ"/>
              </w:rPr>
              <w:t>Stížnosti pro porušení zákona</w:t>
            </w:r>
          </w:p>
        </w:tc>
      </w:tr>
    </w:tbl>
    <w:p w14:paraId="7E455C26" w14:textId="77777777" w:rsidR="008430BD" w:rsidRPr="00A00187" w:rsidRDefault="008430BD" w:rsidP="008430BD"/>
    <w:bookmarkEnd w:id="1387"/>
    <w:p w14:paraId="45ED2713" w14:textId="77777777" w:rsidR="008430BD" w:rsidRPr="00A00187" w:rsidRDefault="008430BD" w:rsidP="008430BD">
      <w:pPr>
        <w:spacing w:line="240" w:lineRule="auto"/>
        <w:rPr>
          <w:rFonts w:eastAsia="Times New Roman"/>
          <w:b/>
          <w:bCs/>
          <w:iCs/>
          <w:sz w:val="28"/>
          <w:szCs w:val="28"/>
        </w:rPr>
      </w:pPr>
      <w:r w:rsidRPr="00A00187">
        <w:br w:type="page"/>
      </w:r>
    </w:p>
    <w:p w14:paraId="3600D4C0" w14:textId="77777777" w:rsidR="008430BD" w:rsidRPr="00A00187" w:rsidRDefault="008430BD" w:rsidP="008430BD">
      <w:pPr>
        <w:pStyle w:val="Nadpis2"/>
        <w:ind w:left="578" w:hanging="578"/>
        <w:rPr>
          <w:color w:val="auto"/>
        </w:rPr>
      </w:pPr>
      <w:bookmarkStart w:id="1388" w:name="_Toc106092840"/>
      <w:bookmarkStart w:id="1389" w:name="_Toc109801451"/>
      <w:r w:rsidRPr="00A00187">
        <w:rPr>
          <w:color w:val="auto"/>
        </w:rPr>
        <w:lastRenderedPageBreak/>
        <w:t>Příloha D – přehledové listy s daty soudů</w:t>
      </w:r>
      <w:bookmarkEnd w:id="1388"/>
      <w:bookmarkEnd w:id="1389"/>
    </w:p>
    <w:p w14:paraId="58EEA337" w14:textId="08254324" w:rsidR="008430BD" w:rsidRPr="00A00187" w:rsidRDefault="008430BD" w:rsidP="008430BD">
      <w:pPr>
        <w:spacing w:line="240" w:lineRule="auto"/>
        <w:jc w:val="left"/>
      </w:pPr>
    </w:p>
    <w:p w14:paraId="6947BBAD" w14:textId="77777777" w:rsidR="0064349A" w:rsidRDefault="00D10DCC" w:rsidP="008430BD">
      <w:pPr>
        <w:spacing w:line="240" w:lineRule="auto"/>
        <w:jc w:val="left"/>
      </w:pPr>
      <w:r>
        <w:object w:dxaOrig="1539" w:dyaOrig="997" w14:anchorId="136B1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7.25pt;height:49.5pt" o:ole="">
            <v:imagedata r:id="rId174" o:title=""/>
          </v:shape>
          <o:OLEObject Type="Embed" ProgID="Excel.SheetMacroEnabled.12" ShapeID="_x0000_i1037" DrawAspect="Icon" ObjectID="_1720415083" r:id="rId175"/>
        </w:object>
      </w:r>
    </w:p>
    <w:p w14:paraId="314267FB" w14:textId="7E53A0AB" w:rsidR="008430BD" w:rsidRPr="00A00187" w:rsidRDefault="008430BD" w:rsidP="008430BD">
      <w:pPr>
        <w:spacing w:line="240" w:lineRule="auto"/>
        <w:jc w:val="left"/>
        <w:rPr>
          <w:rFonts w:eastAsia="Times New Roman"/>
          <w:b/>
          <w:bCs/>
          <w:iCs/>
          <w:sz w:val="28"/>
          <w:szCs w:val="28"/>
        </w:rPr>
      </w:pPr>
      <w:r w:rsidRPr="00A00187">
        <w:br w:type="page"/>
      </w:r>
    </w:p>
    <w:p w14:paraId="5B9BD489" w14:textId="77777777" w:rsidR="008430BD" w:rsidRPr="00A00187" w:rsidRDefault="008430BD" w:rsidP="008430BD">
      <w:pPr>
        <w:pStyle w:val="Nadpis2"/>
        <w:rPr>
          <w:color w:val="auto"/>
        </w:rPr>
      </w:pPr>
      <w:bookmarkStart w:id="1390" w:name="_Toc515871322"/>
      <w:bookmarkStart w:id="1391" w:name="_Toc106092841"/>
      <w:bookmarkStart w:id="1392" w:name="_Toc109801452"/>
      <w:r w:rsidRPr="00A00187">
        <w:rPr>
          <w:color w:val="auto"/>
        </w:rPr>
        <w:lastRenderedPageBreak/>
        <w:t>Příloha E – detailnější popis DEA</w:t>
      </w:r>
      <w:bookmarkEnd w:id="1390"/>
      <w:bookmarkEnd w:id="1391"/>
      <w:bookmarkEnd w:id="1392"/>
    </w:p>
    <w:p w14:paraId="04356922" w14:textId="77777777" w:rsidR="008430BD" w:rsidRPr="00A00187" w:rsidRDefault="008430BD" w:rsidP="008430BD">
      <w:pPr>
        <w:pStyle w:val="OdstavecASR"/>
      </w:pPr>
      <w:r w:rsidRPr="00A00187">
        <w:t>Metoda je zde stručně popsána, popis však nezabíhá do větších detailů, jako je odvození použitých rovnic nebo podrobné vysvětlení všech pojmů. V případě většího zájmu odkazujeme na odbornou literaturu, jejíž stručný seznam uvádíme na konci této přílohy.</w:t>
      </w:r>
    </w:p>
    <w:p w14:paraId="100EFD45" w14:textId="6C36694F" w:rsidR="008430BD" w:rsidRPr="00A00187" w:rsidRDefault="008430BD" w:rsidP="008430BD">
      <w:pPr>
        <w:pStyle w:val="OdstavecASR"/>
      </w:pPr>
      <w:r w:rsidRPr="00A00187">
        <w:t xml:space="preserve">V první části stručně vysvětlujeme teoretické základy a shrnujeme vybranou literaturu, ve které byla DEA aplikována na soudnictví. V druhé části popisujeme, jak konkrétně byla DEA použita na české soudy (tj. specifikace modelu). Výsledky jsou uvedeny v podkapitole </w:t>
      </w:r>
      <w:r w:rsidRPr="00A00187">
        <w:fldChar w:fldCharType="begin"/>
      </w:r>
      <w:r w:rsidRPr="00A00187">
        <w:instrText xml:space="preserve"> REF _Ref43838090 \n \h </w:instrText>
      </w:r>
      <w:r w:rsidRPr="00A00187">
        <w:fldChar w:fldCharType="separate"/>
      </w:r>
      <w:r w:rsidR="00DE6B5E">
        <w:t>2.6.1</w:t>
      </w:r>
      <w:r w:rsidRPr="00A00187">
        <w:fldChar w:fldCharType="end"/>
      </w:r>
      <w:r w:rsidRPr="00A00187">
        <w:t>.</w:t>
      </w:r>
    </w:p>
    <w:p w14:paraId="2A16F139" w14:textId="77777777" w:rsidR="008430BD" w:rsidRPr="00A00187" w:rsidRDefault="008430BD" w:rsidP="008430BD">
      <w:pPr>
        <w:pStyle w:val="Nadpis3"/>
        <w:rPr>
          <w:color w:val="auto"/>
        </w:rPr>
      </w:pPr>
      <w:bookmarkStart w:id="1393" w:name="_Toc487791323"/>
      <w:bookmarkStart w:id="1394" w:name="_Toc515871323"/>
      <w:bookmarkStart w:id="1395" w:name="_Toc106092842"/>
      <w:bookmarkStart w:id="1396" w:name="_Toc109801453"/>
      <w:r w:rsidRPr="00A00187">
        <w:rPr>
          <w:color w:val="auto"/>
        </w:rPr>
        <w:t>Teorie a literatura</w:t>
      </w:r>
      <w:bookmarkEnd w:id="1393"/>
      <w:bookmarkEnd w:id="1394"/>
      <w:bookmarkEnd w:id="1395"/>
      <w:bookmarkEnd w:id="1396"/>
    </w:p>
    <w:p w14:paraId="4D30D12D" w14:textId="77777777" w:rsidR="008430BD" w:rsidRPr="00A00187" w:rsidRDefault="008430BD" w:rsidP="008430BD">
      <w:pPr>
        <w:pStyle w:val="OdstavecASR"/>
      </w:pPr>
      <w:r w:rsidRPr="00A00187">
        <w:t>DEA je neparametrická metoda lineárního programování. Lineární programování je metoda, která se snaží dosáhnout nejlepšího výstupu (např. minimálních nákladů) v matematickém modelu, jehož požadavky jsou reprezentovány lineárními vztahy. Jinak řečeno</w:t>
      </w:r>
      <w:r w:rsidR="004B53FA" w:rsidRPr="00A00187">
        <w:t>,</w:t>
      </w:r>
      <w:r w:rsidRPr="00A00187">
        <w:t xml:space="preserve"> hledá maximum (minimum) dané funkce za daných podmínek.</w:t>
      </w:r>
    </w:p>
    <w:p w14:paraId="64D59166" w14:textId="77777777" w:rsidR="008430BD" w:rsidRPr="00A00187" w:rsidRDefault="008430BD" w:rsidP="008430BD">
      <w:pPr>
        <w:pStyle w:val="OdstavecASR"/>
      </w:pPr>
      <w:r w:rsidRPr="00A00187">
        <w:t xml:space="preserve">DEA je využívána k analýze technické efektivnosti tzv. DMU (z anglického </w:t>
      </w:r>
      <w:proofErr w:type="spellStart"/>
      <w:r w:rsidRPr="00A00187">
        <w:t>Decision</w:t>
      </w:r>
      <w:proofErr w:type="spellEnd"/>
      <w:r w:rsidRPr="00A00187">
        <w:t xml:space="preserve"> </w:t>
      </w:r>
      <w:proofErr w:type="spellStart"/>
      <w:r w:rsidRPr="00A00187">
        <w:t>Making</w:t>
      </w:r>
      <w:proofErr w:type="spellEnd"/>
      <w:r w:rsidRPr="00A00187">
        <w:t xml:space="preserve"> </w:t>
      </w:r>
      <w:proofErr w:type="spellStart"/>
      <w:r w:rsidRPr="00A00187">
        <w:t>Units</w:t>
      </w:r>
      <w:proofErr w:type="spellEnd"/>
      <w:r w:rsidRPr="00A00187">
        <w:t>, rozhodovací jednotky). Porovnává mezi sebou rozhodovací jednotky, které vytváří podobný produkt, využívají podobné vstupy a spadají pod jednu organizaci. Jedná se například o několik továren spadajících pod jednu společnost nebo právě o soudy. V našem případě tedy analyzujeme technickou efektivnost 86 okresních soudů (DMU) v ČR.</w:t>
      </w:r>
    </w:p>
    <w:p w14:paraId="7037DF07" w14:textId="6E3E5B75" w:rsidR="008430BD" w:rsidRPr="00A00187" w:rsidRDefault="008430BD" w:rsidP="008430BD">
      <w:pPr>
        <w:pStyle w:val="OdstavecASR"/>
      </w:pPr>
      <w:r w:rsidRPr="00A00187">
        <w:t>Hlavním výstupem DEA je skóre efektivnosti (</w:t>
      </w:r>
      <w:proofErr w:type="spellStart"/>
      <w:r w:rsidRPr="00A00187">
        <w:t>theta</w:t>
      </w:r>
      <w:proofErr w:type="spellEnd"/>
      <w:r w:rsidRPr="00A00187">
        <w:t>) od 0 do 1. Skóre 1 značí, že DMU je efektivní. Čím nižší je vyprodukované skóre, tím si soud počíná méně efektivně. Například skóre 0,6 značí, že soud si počíná efektivně jen z 60</w:t>
      </w:r>
      <w:r w:rsidR="00CB570A">
        <w:t> %</w:t>
      </w:r>
      <w:r w:rsidRPr="00A00187">
        <w:t>, tedy že s danými vstupy produkuje pouze 60</w:t>
      </w:r>
      <w:r w:rsidR="00CB570A">
        <w:t> %</w:t>
      </w:r>
      <w:r w:rsidRPr="00A00187">
        <w:t xml:space="preserve"> možných výstupů nebo, že za daných vstupů je možné výstupy navýšit o (</w:t>
      </w:r>
      <w:proofErr w:type="gramStart"/>
      <w:r w:rsidRPr="00A00187">
        <w:t>100 – 60</w:t>
      </w:r>
      <w:proofErr w:type="gramEnd"/>
      <w:r w:rsidRPr="00A00187">
        <w:t>) = 40</w:t>
      </w:r>
      <w:r w:rsidR="00CB570A">
        <w:t> %</w:t>
      </w:r>
      <w:r w:rsidRPr="00A00187">
        <w:t>. Konkrétní interpretace závisí na druhu modelu (viz dále).</w:t>
      </w:r>
    </w:p>
    <w:p w14:paraId="2A73FBBE" w14:textId="77777777" w:rsidR="008430BD" w:rsidRPr="00A00187" w:rsidRDefault="008430BD" w:rsidP="008430BD">
      <w:pPr>
        <w:pStyle w:val="OdstavecASR"/>
      </w:pPr>
      <w:r w:rsidRPr="00A00187">
        <w:t xml:space="preserve">Základy konceptu technické efektivnosti, ze kterého DEA vychází a který je popsán níže, položil v roce 1957 M. J. </w:t>
      </w:r>
      <w:proofErr w:type="spellStart"/>
      <w:r w:rsidRPr="00A00187">
        <w:t>Farell</w:t>
      </w:r>
      <w:proofErr w:type="spellEnd"/>
      <w:r w:rsidRPr="00A00187">
        <w:t xml:space="preserve">. Na základech tohoto konceptu pak vytvořili </w:t>
      </w:r>
      <w:proofErr w:type="spellStart"/>
      <w:r w:rsidRPr="00A00187">
        <w:t>Charnes</w:t>
      </w:r>
      <w:proofErr w:type="spellEnd"/>
      <w:r w:rsidRPr="00A00187">
        <w:t>, Cooper a </w:t>
      </w:r>
      <w:proofErr w:type="spellStart"/>
      <w:r w:rsidRPr="00A00187">
        <w:t>Rhodes</w:t>
      </w:r>
      <w:proofErr w:type="spellEnd"/>
      <w:r w:rsidRPr="00A00187">
        <w:t xml:space="preserve"> (1978) model DEA s konstantními výnosy z rozsahu (CRS). Jedná se o tzv. CCR model. Předpoklad konstantních výnosů z rozsahu později uvolnili </w:t>
      </w:r>
      <w:proofErr w:type="spellStart"/>
      <w:r w:rsidRPr="00A00187">
        <w:t>Banker</w:t>
      </w:r>
      <w:proofErr w:type="spellEnd"/>
      <w:r w:rsidRPr="00A00187">
        <w:t xml:space="preserve">, </w:t>
      </w:r>
      <w:proofErr w:type="spellStart"/>
      <w:r w:rsidRPr="00A00187">
        <w:t>Charnes</w:t>
      </w:r>
      <w:proofErr w:type="spellEnd"/>
      <w:r w:rsidRPr="00A00187">
        <w:t xml:space="preserve"> a Cooper (1984). Jejich model již pracuje s různými výnosy z rozsahu (VRS). Jedná se o tzv. BCC model.</w:t>
      </w:r>
    </w:p>
    <w:p w14:paraId="3E8D6697" w14:textId="6154AD24" w:rsidR="008430BD" w:rsidRPr="00A00187" w:rsidRDefault="008430BD" w:rsidP="008430BD">
      <w:pPr>
        <w:pStyle w:val="OdstavecASR"/>
      </w:pPr>
      <w:r w:rsidRPr="00A00187">
        <w:t>Výnosy z rozsahu jsou ekonomický</w:t>
      </w:r>
      <w:r w:rsidR="0063583C" w:rsidRPr="00A00187">
        <w:t>m</w:t>
      </w:r>
      <w:r w:rsidRPr="00A00187">
        <w:t xml:space="preserve"> poj</w:t>
      </w:r>
      <w:r w:rsidR="0063583C" w:rsidRPr="00A00187">
        <w:t>mem</w:t>
      </w:r>
      <w:r w:rsidRPr="00A00187">
        <w:t>, který udává, jak se mění výstupy při proporcionální změně všech vstupů. Výnosy z rozsahu lze dělit takto:</w:t>
      </w:r>
    </w:p>
    <w:p w14:paraId="51A57C08" w14:textId="2FA7F777" w:rsidR="008430BD" w:rsidRPr="00A00187" w:rsidRDefault="008430BD" w:rsidP="008430BD">
      <w:pPr>
        <w:pStyle w:val="OdstavecASR"/>
        <w:numPr>
          <w:ilvl w:val="0"/>
          <w:numId w:val="6"/>
        </w:numPr>
      </w:pPr>
      <w:r w:rsidRPr="00A00187">
        <w:t>Klesající výnosy z rozsahu (DRS): zvýšení všech vstupů o 1</w:t>
      </w:r>
      <w:r w:rsidR="00CB570A">
        <w:t> %</w:t>
      </w:r>
      <w:r w:rsidRPr="00A00187">
        <w:t> vede ke zvýšení výstupů o méně než 1</w:t>
      </w:r>
      <w:r w:rsidR="00CB570A">
        <w:t> %</w:t>
      </w:r>
      <w:r w:rsidRPr="00A00187">
        <w:t>.</w:t>
      </w:r>
    </w:p>
    <w:p w14:paraId="54941C31" w14:textId="085D10FF" w:rsidR="008430BD" w:rsidRPr="00A00187" w:rsidRDefault="008430BD" w:rsidP="008430BD">
      <w:pPr>
        <w:pStyle w:val="OdstavecASR"/>
        <w:numPr>
          <w:ilvl w:val="0"/>
          <w:numId w:val="6"/>
        </w:numPr>
      </w:pPr>
      <w:r w:rsidRPr="00A00187">
        <w:t>Konstantní výnosy z rozsahu (CRS). V tom případě je velikost zkoumané DMU ideální. Zvýšení všech vstupů o 1</w:t>
      </w:r>
      <w:r w:rsidR="00CB570A">
        <w:t> %</w:t>
      </w:r>
      <w:r w:rsidRPr="00A00187">
        <w:t> vede ke zvýšení výstupů přesně o 1</w:t>
      </w:r>
      <w:r w:rsidR="00CB570A">
        <w:t> %</w:t>
      </w:r>
      <w:r w:rsidRPr="00A00187">
        <w:t>.</w:t>
      </w:r>
    </w:p>
    <w:p w14:paraId="510A631C" w14:textId="6FC2A0AC" w:rsidR="008430BD" w:rsidRPr="00A00187" w:rsidRDefault="008430BD" w:rsidP="008430BD">
      <w:pPr>
        <w:pStyle w:val="OdstavecASR"/>
        <w:numPr>
          <w:ilvl w:val="0"/>
          <w:numId w:val="6"/>
        </w:numPr>
      </w:pPr>
      <w:r w:rsidRPr="00A00187">
        <w:t>Rostoucí výnosy z rozsahu (IRS): zvýšení všech vstupů o 1</w:t>
      </w:r>
      <w:r w:rsidR="00CB570A">
        <w:t> %</w:t>
      </w:r>
      <w:r w:rsidRPr="00A00187">
        <w:t> vede ke zvýšení výstupů o více než 1</w:t>
      </w:r>
      <w:r w:rsidR="00CB570A">
        <w:t> %</w:t>
      </w:r>
      <w:r w:rsidRPr="00A00187">
        <w:t>.</w:t>
      </w:r>
    </w:p>
    <w:p w14:paraId="168904D0" w14:textId="77777777" w:rsidR="008430BD" w:rsidRPr="00A00187" w:rsidRDefault="008430BD" w:rsidP="008430BD">
      <w:pPr>
        <w:pStyle w:val="OdstavecASR"/>
      </w:pPr>
      <w:r w:rsidRPr="00A00187">
        <w:t xml:space="preserve">Z hlediska této zprávy je podstatné to, co z konceptu výnosů z rozsahu plyne. </w:t>
      </w:r>
      <w:proofErr w:type="spellStart"/>
      <w:r w:rsidRPr="00A00187">
        <w:t>Charnes</w:t>
      </w:r>
      <w:proofErr w:type="spellEnd"/>
      <w:r w:rsidRPr="00A00187">
        <w:t>, Cooper a </w:t>
      </w:r>
      <w:proofErr w:type="spellStart"/>
      <w:r w:rsidRPr="00A00187">
        <w:t>Rhodes</w:t>
      </w:r>
      <w:proofErr w:type="spellEnd"/>
      <w:r w:rsidRPr="00A00187">
        <w:t xml:space="preserve"> (1978) předpokládají CRS, tedy předpokládají, že DMU je ideálně veliká. Neefektivnost ve výrobě tedy nemůže plynout z nevhodné velikosti DMU. Naopak </w:t>
      </w:r>
      <w:proofErr w:type="spellStart"/>
      <w:r w:rsidRPr="00A00187">
        <w:t>Banker</w:t>
      </w:r>
      <w:proofErr w:type="spellEnd"/>
      <w:r w:rsidRPr="00A00187">
        <w:t xml:space="preserve">, </w:t>
      </w:r>
      <w:proofErr w:type="spellStart"/>
      <w:r w:rsidRPr="00A00187">
        <w:t>Charnes</w:t>
      </w:r>
      <w:proofErr w:type="spellEnd"/>
      <w:r w:rsidRPr="00A00187">
        <w:t xml:space="preserve"> a Cooper (1984) předpokládají VRS, což znamená, že soudy mohou být neefektivní i kvůli tomu, že jsou příliš velké nebo malé.</w:t>
      </w:r>
    </w:p>
    <w:p w14:paraId="218A58A9" w14:textId="77777777" w:rsidR="008430BD" w:rsidRPr="00A00187" w:rsidRDefault="008430BD" w:rsidP="008430BD">
      <w:pPr>
        <w:pStyle w:val="OdstavecASR"/>
      </w:pPr>
      <w:r w:rsidRPr="00A00187">
        <w:lastRenderedPageBreak/>
        <w:t xml:space="preserve">Dále můžeme DEA dělit na </w:t>
      </w:r>
      <w:proofErr w:type="spellStart"/>
      <w:r w:rsidRPr="00A00187">
        <w:t>vstupově</w:t>
      </w:r>
      <w:proofErr w:type="spellEnd"/>
      <w:r w:rsidRPr="00A00187">
        <w:t xml:space="preserve"> orientovanou (z anglického input-</w:t>
      </w:r>
      <w:proofErr w:type="spellStart"/>
      <w:r w:rsidRPr="00A00187">
        <w:t>oriented</w:t>
      </w:r>
      <w:proofErr w:type="spellEnd"/>
      <w:r w:rsidRPr="00A00187">
        <w:t>) a výstupově orientovanou (z anglického output-</w:t>
      </w:r>
      <w:proofErr w:type="spellStart"/>
      <w:r w:rsidRPr="00A00187">
        <w:t>oriented</w:t>
      </w:r>
      <w:proofErr w:type="spellEnd"/>
      <w:r w:rsidRPr="00A00187">
        <w:t xml:space="preserve">). </w:t>
      </w:r>
      <w:proofErr w:type="spellStart"/>
      <w:r w:rsidRPr="00A00187">
        <w:t>Vstupově</w:t>
      </w:r>
      <w:proofErr w:type="spellEnd"/>
      <w:r w:rsidRPr="00A00187">
        <w:t xml:space="preserve"> orientovaná DEA zkoumá, o kolik by soud mohl snížit své vstupy, aniž by se změnila velikost výstupů, pokud by soud fungoval efektivně. Výstupově orientovaná DEA zkoumá, o kolik by soud mohl zvýšit své výstupy, aniž by se změnila velikost vstupů, pokud by soud fungoval efektivně.</w:t>
      </w:r>
    </w:p>
    <w:p w14:paraId="53780E9B" w14:textId="77777777" w:rsidR="008430BD" w:rsidRPr="00A00187" w:rsidRDefault="008430BD" w:rsidP="008430BD">
      <w:pPr>
        <w:pStyle w:val="Nadpis4"/>
      </w:pPr>
      <w:r w:rsidRPr="00A00187">
        <w:t>Koncept technické neefektivnosti</w:t>
      </w:r>
    </w:p>
    <w:p w14:paraId="3FD52787" w14:textId="77777777" w:rsidR="008430BD" w:rsidRPr="00A00187" w:rsidRDefault="008430BD" w:rsidP="008430BD">
      <w:pPr>
        <w:pStyle w:val="OdstavecASR"/>
      </w:pPr>
      <w:r w:rsidRPr="00A00187">
        <w:t xml:space="preserve">Technicky efektivní DMU můžeme definovat jako DMU, která produkuje maximální možný výstup z daných vstupů nebo daný výstup z minimálního množství vstupů. Koncept měření technické neefektivnosti, jak ho definoval </w:t>
      </w:r>
      <w:proofErr w:type="spellStart"/>
      <w:r w:rsidRPr="00A00187">
        <w:t>Farrell</w:t>
      </w:r>
      <w:proofErr w:type="spellEnd"/>
      <w:r w:rsidRPr="00A00187">
        <w:t>, a tedy i koncept DEA, je nejlépe pochopitelný z příkladu na grafu 111.</w:t>
      </w:r>
    </w:p>
    <w:p w14:paraId="6F5A2A00" w14:textId="406FC530" w:rsidR="008430BD" w:rsidRPr="00A00187" w:rsidRDefault="008430BD" w:rsidP="008430BD">
      <w:pPr>
        <w:pStyle w:val="Podnadpis"/>
        <w:rPr>
          <w:color w:val="auto"/>
        </w:rPr>
      </w:pPr>
      <w:bookmarkStart w:id="1397" w:name="_Toc485734497"/>
      <w:bookmarkStart w:id="1398" w:name="_Toc487792813"/>
      <w:bookmarkStart w:id="1399" w:name="_Toc515871434"/>
      <w:bookmarkStart w:id="1400" w:name="_Toc106106760"/>
      <w:bookmarkStart w:id="1401" w:name="_Toc109802084"/>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126</w:t>
      </w:r>
      <w:r w:rsidRPr="00A00187">
        <w:rPr>
          <w:noProof/>
          <w:color w:val="auto"/>
        </w:rPr>
        <w:fldChar w:fldCharType="end"/>
      </w:r>
      <w:r w:rsidRPr="00A00187">
        <w:rPr>
          <w:color w:val="auto"/>
        </w:rPr>
        <w:t>: Koncept technické efektivnosti</w:t>
      </w:r>
      <w:bookmarkEnd w:id="1397"/>
      <w:bookmarkEnd w:id="1398"/>
      <w:bookmarkEnd w:id="1399"/>
      <w:bookmarkEnd w:id="1400"/>
      <w:bookmarkEnd w:id="1401"/>
    </w:p>
    <w:p w14:paraId="710A3889" w14:textId="77777777" w:rsidR="008430BD" w:rsidRPr="00A00187" w:rsidRDefault="008430BD" w:rsidP="008430BD">
      <w:r w:rsidRPr="00A00187">
        <w:rPr>
          <w:noProof/>
          <w:lang w:eastAsia="cs-CZ"/>
        </w:rPr>
        <w:drawing>
          <wp:inline distT="0" distB="0" distL="0" distR="0" wp14:anchorId="439926F5" wp14:editId="657858D9">
            <wp:extent cx="5438775" cy="3628851"/>
            <wp:effectExtent l="0" t="0" r="0" b="0"/>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43487" cy="3631995"/>
                    </a:xfrm>
                    <a:prstGeom prst="rect">
                      <a:avLst/>
                    </a:prstGeom>
                    <a:noFill/>
                    <a:ln>
                      <a:noFill/>
                    </a:ln>
                  </pic:spPr>
                </pic:pic>
              </a:graphicData>
            </a:graphic>
          </wp:inline>
        </w:drawing>
      </w:r>
    </w:p>
    <w:p w14:paraId="3027C766" w14:textId="77777777" w:rsidR="008430BD" w:rsidRPr="00A00187" w:rsidRDefault="008430BD" w:rsidP="008430BD">
      <w:pPr>
        <w:spacing w:line="360" w:lineRule="auto"/>
        <w:rPr>
          <w:sz w:val="20"/>
        </w:rPr>
      </w:pPr>
      <w:r w:rsidRPr="00A00187">
        <w:rPr>
          <w:sz w:val="20"/>
        </w:rPr>
        <w:t>Zdroj: Y. Ji, C. Lee (2010), str. 269</w:t>
      </w:r>
      <w:r w:rsidRPr="00A00187">
        <w:t>.</w:t>
      </w:r>
    </w:p>
    <w:p w14:paraId="01194FA0" w14:textId="77777777" w:rsidR="008430BD" w:rsidRPr="00A00187" w:rsidRDefault="008430BD" w:rsidP="008430BD">
      <w:pPr>
        <w:pStyle w:val="OdstavecASR"/>
      </w:pPr>
      <w:r w:rsidRPr="00A00187">
        <w:rPr>
          <w:rStyle w:val="OdstavecASRChar"/>
        </w:rPr>
        <w:t>Na ose </w:t>
      </w:r>
      <w:r w:rsidRPr="00A00187">
        <w:rPr>
          <w:rStyle w:val="OdstavecASRChar"/>
          <w:i/>
        </w:rPr>
        <w:t>Y</w:t>
      </w:r>
      <w:r w:rsidRPr="00A00187">
        <w:rPr>
          <w:rStyle w:val="OdstavecASRChar"/>
        </w:rPr>
        <w:t xml:space="preserve"> je množství vyprodukovaného výstupu, na ose </w:t>
      </w:r>
      <w:r w:rsidRPr="00A00187">
        <w:rPr>
          <w:rStyle w:val="OdstavecASRChar"/>
          <w:i/>
        </w:rPr>
        <w:t>X</w:t>
      </w:r>
      <w:r w:rsidRPr="00A00187">
        <w:rPr>
          <w:rStyle w:val="OdstavecASRChar"/>
        </w:rPr>
        <w:t xml:space="preserve"> je vložené množství vstupu. Na příkladu na grafu je zaneseno pět DMU. DMU C leží na tzv. efektivní hranici</w:t>
      </w:r>
      <w:r w:rsidRPr="00A00187">
        <w:t xml:space="preserve"> CRS (CRS </w:t>
      </w:r>
      <w:proofErr w:type="spellStart"/>
      <w:r w:rsidRPr="00A00187">
        <w:t>frontier</w:t>
      </w:r>
      <w:proofErr w:type="spellEnd"/>
      <w:r w:rsidRPr="00A00187">
        <w:t>). Tato hranice udává nejlepší možnou kombinaci vstupů a výstupů za předpokladu CRS. CCR model ji tedy vyhodnotí jako zcela efektivní (</w:t>
      </w:r>
      <w:proofErr w:type="spellStart"/>
      <w:r w:rsidRPr="00A00187">
        <w:t>theta</w:t>
      </w:r>
      <w:proofErr w:type="spellEnd"/>
      <w:r w:rsidRPr="00A00187">
        <w:t xml:space="preserve"> = 1). Jednotky A, C a E leží na efektivní hranici VRS (křivka označená jako VRS </w:t>
      </w:r>
      <w:proofErr w:type="spellStart"/>
      <w:r w:rsidRPr="00A00187">
        <w:t>frontier</w:t>
      </w:r>
      <w:proofErr w:type="spellEnd"/>
      <w:r w:rsidRPr="00A00187">
        <w:t>). BCC model je tedy vyhodnotí jako zcela efektivní. Dále je na grafu zobrazena „</w:t>
      </w:r>
      <w:proofErr w:type="spellStart"/>
      <w:r w:rsidRPr="00A00187">
        <w:t>efektivnostní</w:t>
      </w:r>
      <w:proofErr w:type="spellEnd"/>
      <w:r w:rsidRPr="00A00187">
        <w:t xml:space="preserve"> hranice“ NIRS (nerostoucí výnosy z rozsahu), která ale v rámci této analýzy není potřebná.</w:t>
      </w:r>
    </w:p>
    <w:p w14:paraId="4310701C" w14:textId="77777777" w:rsidR="008430BD" w:rsidRPr="00A00187" w:rsidRDefault="008430BD" w:rsidP="008430BD">
      <w:pPr>
        <w:pStyle w:val="OdstavecASR"/>
      </w:pPr>
      <w:r w:rsidRPr="00A00187">
        <w:t>Na efektivní hranici VRS lze také velmi dobře demonstrovat výnosy z rozsahu. Od bodu A do bodu C vykazuje křivka rostoucí výnosy z rozsahu (sklon k ose </w:t>
      </w:r>
      <w:r w:rsidRPr="00A00187">
        <w:rPr>
          <w:i/>
        </w:rPr>
        <w:t>X</w:t>
      </w:r>
      <w:r w:rsidRPr="00A00187">
        <w:t xml:space="preserve"> je vysoký, výstup tedy roste rychleji než vstup). Od bodu C dál vykazuje křivka klesající výnosy z rozsahu (sklon k ose </w:t>
      </w:r>
      <w:r w:rsidRPr="00A00187">
        <w:rPr>
          <w:i/>
        </w:rPr>
        <w:t>X</w:t>
      </w:r>
      <w:r w:rsidRPr="00A00187">
        <w:t xml:space="preserve"> je malý, výstup tedy roste pomaleji než vstup). Pouze bod C vykazuje CRS – je to průsečík efektivních hranic VRS a CRS. Například DMU B je neefektivní. Její přesnou míru efektivnosti (tedy </w:t>
      </w:r>
      <w:proofErr w:type="spellStart"/>
      <w:r w:rsidRPr="00A00187">
        <w:t>theta</w:t>
      </w:r>
      <w:proofErr w:type="spellEnd"/>
      <w:r w:rsidRPr="00A00187">
        <w:t xml:space="preserve">) lze </w:t>
      </w:r>
      <w:r w:rsidRPr="00A00187">
        <w:lastRenderedPageBreak/>
        <w:t xml:space="preserve">snadno určit. V případě </w:t>
      </w:r>
      <w:proofErr w:type="spellStart"/>
      <w:r w:rsidRPr="00A00187">
        <w:t>vstupově</w:t>
      </w:r>
      <w:proofErr w:type="spellEnd"/>
      <w:r w:rsidRPr="00A00187">
        <w:t xml:space="preserve"> orientovaného CCR modelu to je poměr vzdáleností na grafu (B</w:t>
      </w:r>
      <w:r w:rsidRPr="00A00187">
        <w:rPr>
          <w:vertAlign w:val="subscript"/>
        </w:rPr>
        <w:t>0</w:t>
      </w:r>
      <w:r w:rsidRPr="00A00187">
        <w:t>B</w:t>
      </w:r>
      <w:r w:rsidRPr="00A00187">
        <w:rPr>
          <w:vertAlign w:val="subscript"/>
        </w:rPr>
        <w:t>1</w:t>
      </w:r>
      <w:r w:rsidRPr="00A00187">
        <w:t>) / (B</w:t>
      </w:r>
      <w:r w:rsidRPr="00A00187">
        <w:rPr>
          <w:vertAlign w:val="subscript"/>
        </w:rPr>
        <w:t>0</w:t>
      </w:r>
      <w:r w:rsidRPr="00A00187">
        <w:t xml:space="preserve">B). V případě </w:t>
      </w:r>
      <w:proofErr w:type="spellStart"/>
      <w:r w:rsidRPr="00A00187">
        <w:t>vstupově</w:t>
      </w:r>
      <w:proofErr w:type="spellEnd"/>
      <w:r w:rsidRPr="00A00187">
        <w:t xml:space="preserve"> orientovaného BCC modelu je efektivnost určena poměrem vzdáleností (B</w:t>
      </w:r>
      <w:r w:rsidRPr="00A00187">
        <w:rPr>
          <w:vertAlign w:val="subscript"/>
        </w:rPr>
        <w:t>0</w:t>
      </w:r>
      <w:r w:rsidRPr="00A00187">
        <w:t>B</w:t>
      </w:r>
      <w:r w:rsidRPr="00A00187">
        <w:rPr>
          <w:vertAlign w:val="subscript"/>
        </w:rPr>
        <w:t>2</w:t>
      </w:r>
      <w:r w:rsidRPr="00A00187">
        <w:t>) / (B</w:t>
      </w:r>
      <w:r w:rsidRPr="00A00187">
        <w:rPr>
          <w:vertAlign w:val="subscript"/>
        </w:rPr>
        <w:t>0</w:t>
      </w:r>
      <w:r w:rsidRPr="00A00187">
        <w:t>B). Z toho plyne, že je možné rozdělit neefektivnost na dvě složky: čistá technická neefektivnost (vzdálenost B</w:t>
      </w:r>
      <w:r w:rsidRPr="00A00187">
        <w:rPr>
          <w:vertAlign w:val="subscript"/>
        </w:rPr>
        <w:t>2</w:t>
      </w:r>
      <w:r w:rsidRPr="00A00187">
        <w:t>B) a neefektivnost způsobená nevhodnou velikostí (vzdálenost B</w:t>
      </w:r>
      <w:r w:rsidRPr="00A00187">
        <w:rPr>
          <w:vertAlign w:val="subscript"/>
        </w:rPr>
        <w:t>1</w:t>
      </w:r>
      <w:r w:rsidRPr="00A00187">
        <w:t>B</w:t>
      </w:r>
      <w:r w:rsidRPr="00A00187">
        <w:rPr>
          <w:vertAlign w:val="subscript"/>
        </w:rPr>
        <w:t>2</w:t>
      </w:r>
      <w:r w:rsidRPr="00A00187">
        <w:t>).</w:t>
      </w:r>
    </w:p>
    <w:p w14:paraId="68A9CAD9" w14:textId="77777777" w:rsidR="008430BD" w:rsidRPr="00A00187" w:rsidRDefault="008430BD" w:rsidP="008430BD">
      <w:pPr>
        <w:pStyle w:val="OdstavecASR"/>
      </w:pPr>
      <w:r w:rsidRPr="00A00187">
        <w:t>Všechny míry efektivnosti získané pomocí výstupově orientované DEA jsou v příkladu na grafu stejné, a to (B</w:t>
      </w:r>
      <w:r w:rsidRPr="00A00187">
        <w:rPr>
          <w:vertAlign w:val="subscript"/>
        </w:rPr>
        <w:t>3</w:t>
      </w:r>
      <w:r w:rsidRPr="00A00187">
        <w:t>B) / (BC) – neefektivnost je způsobena tedy samotnou DMU, ale ne její velikostí.</w:t>
      </w:r>
    </w:p>
    <w:p w14:paraId="54D7C29E" w14:textId="77777777" w:rsidR="008430BD" w:rsidRPr="00A00187" w:rsidRDefault="008430BD" w:rsidP="008430BD">
      <w:pPr>
        <w:pStyle w:val="Nadpis4"/>
      </w:pPr>
      <w:r w:rsidRPr="00A00187">
        <w:t>Neefektivnost a přídatné proměnné</w:t>
      </w:r>
    </w:p>
    <w:p w14:paraId="745214CA" w14:textId="77777777" w:rsidR="008430BD" w:rsidRPr="00A00187" w:rsidRDefault="008430BD" w:rsidP="008430BD">
      <w:pPr>
        <w:pStyle w:val="OdstavecASR"/>
      </w:pPr>
      <w:r w:rsidRPr="00A00187">
        <w:t xml:space="preserve">Dalším důležitým konceptem v rámci DEA jsou tzv. přídatné proměnné (anglicky </w:t>
      </w:r>
      <w:proofErr w:type="spellStart"/>
      <w:r w:rsidRPr="00A00187">
        <w:t>slack</w:t>
      </w:r>
      <w:proofErr w:type="spellEnd"/>
      <w:r w:rsidRPr="00A00187">
        <w:t xml:space="preserve"> </w:t>
      </w:r>
      <w:proofErr w:type="spellStart"/>
      <w:r w:rsidRPr="00A00187">
        <w:t>variables</w:t>
      </w:r>
      <w:proofErr w:type="spellEnd"/>
      <w:r w:rsidRPr="00A00187">
        <w:t>). Na grafu 112 je opět zobrazena hranice efektivnosti, ale jiným způsobem. Je zobrazena pro dva vstupy a jeden výstup. Na osách je vždy zanesen poměr (množství vstupu) / (množství výstupu). DMU A až F leží „na hranici efektivnosti“, DMU G a H jsou neefektivní. Jejich technickou efektivnost lze vypočítat podobně jako na grafu 111 – tedy 0G</w:t>
      </w:r>
      <w:r w:rsidRPr="00A00187">
        <w:rPr>
          <w:vertAlign w:val="subscript"/>
        </w:rPr>
        <w:t>1</w:t>
      </w:r>
      <w:r w:rsidRPr="00A00187">
        <w:t>/0G a 0H</w:t>
      </w:r>
      <w:r w:rsidRPr="00A00187">
        <w:rPr>
          <w:vertAlign w:val="subscript"/>
        </w:rPr>
        <w:t>1</w:t>
      </w:r>
      <w:r w:rsidRPr="00A00187">
        <w:t>/0H. Bod G</w:t>
      </w:r>
      <w:r w:rsidRPr="00A00187">
        <w:rPr>
          <w:vertAlign w:val="subscript"/>
        </w:rPr>
        <w:t>1</w:t>
      </w:r>
      <w:r w:rsidRPr="00A00187">
        <w:t xml:space="preserve"> je tzv. </w:t>
      </w:r>
      <w:proofErr w:type="spellStart"/>
      <w:r w:rsidRPr="00A00187">
        <w:t>Farrell</w:t>
      </w:r>
      <w:proofErr w:type="spellEnd"/>
      <w:r w:rsidRPr="00A00187">
        <w:t xml:space="preserve"> efektivní. Ale u DMU G je ještě dále možné snížit množství vstupu 2, a to o vzdálenost CG</w:t>
      </w:r>
      <w:r w:rsidRPr="00A00187">
        <w:rPr>
          <w:vertAlign w:val="subscript"/>
        </w:rPr>
        <w:t>1</w:t>
      </w:r>
      <w:r w:rsidRPr="00A00187">
        <w:t>. Právě tato neefektivnost je tzv. „</w:t>
      </w:r>
      <w:proofErr w:type="spellStart"/>
      <w:r w:rsidRPr="00A00187">
        <w:t>slack</w:t>
      </w:r>
      <w:proofErr w:type="spellEnd"/>
      <w:r w:rsidRPr="00A00187">
        <w:t>“. DMU C se pak stává tzv. „referenční DMU“ pro DMU G. Bod C je tzv. „</w:t>
      </w:r>
      <w:proofErr w:type="spellStart"/>
      <w:r w:rsidRPr="00A00187">
        <w:t>Pareto</w:t>
      </w:r>
      <w:proofErr w:type="spellEnd"/>
      <w:r w:rsidRPr="00A00187">
        <w:t>–</w:t>
      </w:r>
      <w:proofErr w:type="spellStart"/>
      <w:r w:rsidRPr="00A00187">
        <w:t>Koopman</w:t>
      </w:r>
      <w:proofErr w:type="spellEnd"/>
      <w:r w:rsidRPr="00A00187">
        <w:t xml:space="preserve"> efektivní“. Přídatné proměnné tedy udávají, o kolik jednotek je třeba snížit vybraný vstup (nebo zvýšit vybraný výstup), aby se DMU stala efektivní. Neefektivní jednotka totiž oproti efektivní referenční jednotce používá příliš velké množství daného vstupu nebo produkuje příliš malé množství daného výstupu.</w:t>
      </w:r>
    </w:p>
    <w:p w14:paraId="0BF49115" w14:textId="02B94268" w:rsidR="008430BD" w:rsidRPr="00A00187" w:rsidRDefault="008430BD" w:rsidP="008430BD">
      <w:pPr>
        <w:pStyle w:val="Podnadpis"/>
        <w:rPr>
          <w:color w:val="auto"/>
        </w:rPr>
      </w:pPr>
      <w:bookmarkStart w:id="1402" w:name="_Toc485734498"/>
      <w:bookmarkStart w:id="1403" w:name="_Toc487792814"/>
      <w:bookmarkStart w:id="1404" w:name="_Toc515871435"/>
      <w:bookmarkStart w:id="1405" w:name="_Toc106106761"/>
      <w:bookmarkStart w:id="1406" w:name="_Toc109802085"/>
      <w:r w:rsidRPr="00A00187">
        <w:rPr>
          <w:color w:val="auto"/>
        </w:rPr>
        <w:t xml:space="preserve">Graf </w:t>
      </w:r>
      <w:r w:rsidRPr="00A00187">
        <w:rPr>
          <w:noProof/>
          <w:color w:val="auto"/>
        </w:rPr>
        <w:fldChar w:fldCharType="begin"/>
      </w:r>
      <w:r w:rsidRPr="00A00187">
        <w:rPr>
          <w:noProof/>
          <w:color w:val="auto"/>
        </w:rPr>
        <w:instrText xml:space="preserve"> SEQ Graf \* ARABIC </w:instrText>
      </w:r>
      <w:r w:rsidRPr="00A00187">
        <w:rPr>
          <w:noProof/>
          <w:color w:val="auto"/>
        </w:rPr>
        <w:fldChar w:fldCharType="separate"/>
      </w:r>
      <w:r w:rsidR="00DE6B5E">
        <w:rPr>
          <w:noProof/>
          <w:color w:val="auto"/>
        </w:rPr>
        <w:t>127</w:t>
      </w:r>
      <w:r w:rsidRPr="00A00187">
        <w:rPr>
          <w:noProof/>
          <w:color w:val="auto"/>
        </w:rPr>
        <w:fldChar w:fldCharType="end"/>
      </w:r>
      <w:r w:rsidRPr="00A00187">
        <w:rPr>
          <w:color w:val="auto"/>
        </w:rPr>
        <w:t>: Koncept technické efektivnosti a přídatné proměnné</w:t>
      </w:r>
      <w:bookmarkEnd w:id="1402"/>
      <w:bookmarkEnd w:id="1403"/>
      <w:bookmarkEnd w:id="1404"/>
      <w:bookmarkEnd w:id="1405"/>
      <w:bookmarkEnd w:id="1406"/>
    </w:p>
    <w:p w14:paraId="406E844F" w14:textId="77777777" w:rsidR="008430BD" w:rsidRPr="00A00187" w:rsidRDefault="008430BD" w:rsidP="008430BD">
      <w:pPr>
        <w:spacing w:line="360" w:lineRule="auto"/>
      </w:pPr>
      <w:r w:rsidRPr="00A00187">
        <w:rPr>
          <w:noProof/>
          <w:lang w:eastAsia="cs-CZ"/>
        </w:rPr>
        <w:drawing>
          <wp:inline distT="0" distB="0" distL="0" distR="0" wp14:anchorId="54F5607C" wp14:editId="64836536">
            <wp:extent cx="5482783" cy="3714750"/>
            <wp:effectExtent l="0" t="0" r="381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82783" cy="3714750"/>
                    </a:xfrm>
                    <a:prstGeom prst="rect">
                      <a:avLst/>
                    </a:prstGeom>
                    <a:noFill/>
                    <a:ln>
                      <a:noFill/>
                    </a:ln>
                  </pic:spPr>
                </pic:pic>
              </a:graphicData>
            </a:graphic>
          </wp:inline>
        </w:drawing>
      </w:r>
    </w:p>
    <w:p w14:paraId="6AD68E95" w14:textId="77777777" w:rsidR="008430BD" w:rsidRPr="00A00187" w:rsidRDefault="008430BD" w:rsidP="008430BD">
      <w:pPr>
        <w:spacing w:line="360" w:lineRule="auto"/>
        <w:rPr>
          <w:sz w:val="20"/>
        </w:rPr>
      </w:pPr>
      <w:r w:rsidRPr="00A00187">
        <w:rPr>
          <w:sz w:val="20"/>
        </w:rPr>
        <w:t>Zdroj: Y. Ji, C. Lee (2010), str. 269.</w:t>
      </w:r>
    </w:p>
    <w:p w14:paraId="4428D9B2" w14:textId="77777777" w:rsidR="008430BD" w:rsidRPr="00A00187" w:rsidRDefault="008430BD" w:rsidP="008430BD">
      <w:pPr>
        <w:pStyle w:val="Nadpis4"/>
      </w:pPr>
      <w:r w:rsidRPr="00A00187">
        <w:lastRenderedPageBreak/>
        <w:t>Matematická specifikace modelu</w:t>
      </w:r>
    </w:p>
    <w:p w14:paraId="6E346D55" w14:textId="77777777" w:rsidR="008430BD" w:rsidRPr="00A00187" w:rsidRDefault="008430BD" w:rsidP="008430BD">
      <w:pPr>
        <w:pStyle w:val="OdstavecASR"/>
      </w:pPr>
      <w:r w:rsidRPr="00A00187">
        <w:t xml:space="preserve">Celý koncept DEA a technické efektivnosti popsaný v textu výše je samozřejmě specifikován také formálně – matematicky. DEA s CRS je specifikována následovně (například </w:t>
      </w:r>
      <w:proofErr w:type="spellStart"/>
      <w:r w:rsidRPr="00A00187">
        <w:t>Nissi</w:t>
      </w:r>
      <w:proofErr w:type="spellEnd"/>
      <w:r w:rsidRPr="00A00187">
        <w:t xml:space="preserve"> a </w:t>
      </w:r>
      <w:proofErr w:type="spellStart"/>
      <w:r w:rsidRPr="00A00187">
        <w:t>Rapposelli</w:t>
      </w:r>
      <w:proofErr w:type="spellEnd"/>
      <w:r w:rsidRPr="00A00187">
        <w:t>, 2011).</w:t>
      </w:r>
    </w:p>
    <w:p w14:paraId="6C5356C1" w14:textId="77777777" w:rsidR="008430BD" w:rsidRPr="00A00187" w:rsidRDefault="008430BD" w:rsidP="008430BD">
      <w:pPr>
        <w:pStyle w:val="OdstavecASR"/>
      </w:pPr>
      <w:r w:rsidRPr="00A00187">
        <w:t xml:space="preserve">Přepokládejme, že máme </w:t>
      </w:r>
      <w:r w:rsidRPr="00A00187">
        <w:rPr>
          <w:i/>
        </w:rPr>
        <w:t>n </w:t>
      </w:r>
      <w:r w:rsidRPr="00A00187">
        <w:t xml:space="preserve">DMU, které spotřebovávají různé množství </w:t>
      </w:r>
      <w:r w:rsidRPr="00A00187">
        <w:rPr>
          <w:i/>
        </w:rPr>
        <w:t>m </w:t>
      </w:r>
      <w:r w:rsidRPr="00A00187">
        <w:t xml:space="preserve">vstupů, aby vyprodukovaly </w:t>
      </w:r>
      <w:proofErr w:type="gramStart"/>
      <w:r w:rsidRPr="00A00187">
        <w:rPr>
          <w:i/>
        </w:rPr>
        <w:t>s</w:t>
      </w:r>
      <w:proofErr w:type="gramEnd"/>
      <w:r w:rsidRPr="00A00187">
        <w:t xml:space="preserve"> výstupů. Označme množství vstupu i (i = </w:t>
      </w:r>
      <w:proofErr w:type="gramStart"/>
      <w:r w:rsidRPr="00A00187">
        <w:t>1,…</w:t>
      </w:r>
      <w:proofErr w:type="gramEnd"/>
      <w:r w:rsidRPr="00A00187">
        <w:t xml:space="preserve">m) jako </w:t>
      </w:r>
      <w:proofErr w:type="spellStart"/>
      <w:r w:rsidRPr="00A00187">
        <w:rPr>
          <w:i/>
        </w:rPr>
        <w:t>x</w:t>
      </w:r>
      <w:r w:rsidRPr="00A00187">
        <w:rPr>
          <w:i/>
          <w:vertAlign w:val="subscript"/>
        </w:rPr>
        <w:t>ij</w:t>
      </w:r>
      <w:proofErr w:type="spellEnd"/>
      <w:r w:rsidRPr="00A00187">
        <w:rPr>
          <w:i/>
        </w:rPr>
        <w:t xml:space="preserve"> a </w:t>
      </w:r>
      <w:r w:rsidRPr="00A00187">
        <w:t xml:space="preserve">množství výstupu </w:t>
      </w:r>
      <w:r w:rsidRPr="00A00187">
        <w:rPr>
          <w:i/>
        </w:rPr>
        <w:t>r </w:t>
      </w:r>
      <w:r w:rsidRPr="00A00187">
        <w:t xml:space="preserve">(r = 1,…s) jako </w:t>
      </w:r>
      <w:proofErr w:type="spellStart"/>
      <w:r w:rsidRPr="00A00187">
        <w:rPr>
          <w:i/>
        </w:rPr>
        <w:t>y</w:t>
      </w:r>
      <w:r w:rsidRPr="00A00187">
        <w:rPr>
          <w:i/>
          <w:vertAlign w:val="subscript"/>
        </w:rPr>
        <w:t>ij</w:t>
      </w:r>
      <w:proofErr w:type="spellEnd"/>
      <w:r w:rsidRPr="00A00187">
        <w:t xml:space="preserve">. Cílem metody je změřit relativní efektivnost jedné DMU </w:t>
      </w:r>
      <w:r w:rsidRPr="00A00187">
        <w:rPr>
          <w:i/>
        </w:rPr>
        <w:t>j</w:t>
      </w:r>
      <w:r w:rsidRPr="00A00187">
        <w:rPr>
          <w:i/>
          <w:vertAlign w:val="subscript"/>
        </w:rPr>
        <w:t>0</w:t>
      </w:r>
      <w:r w:rsidRPr="00A00187">
        <w:rPr>
          <w:vertAlign w:val="subscript"/>
        </w:rPr>
        <w:t xml:space="preserve"> </w:t>
      </w:r>
      <w:r w:rsidRPr="00A00187">
        <w:t xml:space="preserve">vzhledem k nejlepšímu možnému výkonu. Efektivnost </w:t>
      </w:r>
      <w:r w:rsidRPr="00A00187">
        <w:rPr>
          <w:i/>
        </w:rPr>
        <w:t>j</w:t>
      </w:r>
      <w:r w:rsidRPr="00A00187">
        <w:rPr>
          <w:i/>
          <w:vertAlign w:val="subscript"/>
        </w:rPr>
        <w:t>0</w:t>
      </w:r>
      <w:r w:rsidRPr="00A00187">
        <w:t xml:space="preserve"> je definována jako poměr vážené sumy vstupů k vážené sumě výstupů. Váhy nejsou dány a priori, ale jsou vypočteny tak, aby maximalizovaly efektivnost dané </w:t>
      </w:r>
      <w:r w:rsidRPr="00A00187">
        <w:rPr>
          <w:i/>
        </w:rPr>
        <w:t>j</w:t>
      </w:r>
      <w:r w:rsidRPr="00A00187">
        <w:rPr>
          <w:i/>
          <w:vertAlign w:val="subscript"/>
        </w:rPr>
        <w:t>0</w:t>
      </w:r>
      <w:r w:rsidRPr="00A00187">
        <w:t>. Efektivnost tedy lze vypočítat tak, že se maximalizuje poměr vstupů a výstupů, kdy váhy jsou neznámé, a to za podmínky, že tento poměr nesmí přesáhnout 1 u jakékoliv jednotky:</w:t>
      </w:r>
    </w:p>
    <w:p w14:paraId="54341423" w14:textId="77777777" w:rsidR="008430BD" w:rsidRPr="00A00187" w:rsidRDefault="008430BD" w:rsidP="008430BD">
      <w:pPr>
        <w:pStyle w:val="OdstavecASR"/>
      </w:pPr>
      <w:r w:rsidRPr="00A00187">
        <w:rPr>
          <w:sz w:val="32"/>
          <w:szCs w:val="32"/>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r>
          <w:rPr>
            <w:rFonts w:ascii="Cambria Math" w:hAnsi="Cambria Math"/>
            <w:szCs w:val="24"/>
          </w:rPr>
          <m:t xml:space="preserve">= </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rj0</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ij0</m:t>
                    </m:r>
                  </m:sub>
                </m:sSub>
              </m:e>
            </m:nary>
          </m:den>
        </m:f>
      </m:oMath>
      <w:r w:rsidRPr="00A00187">
        <w:rPr>
          <w:sz w:val="28"/>
          <w:szCs w:val="28"/>
        </w:rPr>
        <w:tab/>
      </w:r>
      <w:r w:rsidRPr="00A00187">
        <w:rPr>
          <w:sz w:val="28"/>
          <w:szCs w:val="28"/>
        </w:rPr>
        <w:tab/>
      </w:r>
      <w:r w:rsidRPr="00A00187">
        <w:rPr>
          <w:sz w:val="28"/>
          <w:szCs w:val="28"/>
        </w:rPr>
        <w:tab/>
      </w:r>
      <w:r w:rsidRPr="00A00187">
        <w:rPr>
          <w:sz w:val="28"/>
          <w:szCs w:val="28"/>
        </w:rPr>
        <w:tab/>
      </w:r>
      <w:r w:rsidRPr="00A00187">
        <w:rPr>
          <w:sz w:val="28"/>
          <w:szCs w:val="28"/>
        </w:rPr>
        <w:tab/>
      </w:r>
      <w:r w:rsidRPr="00A00187">
        <w:rPr>
          <w:sz w:val="28"/>
          <w:szCs w:val="28"/>
        </w:rPr>
        <w:tab/>
      </w:r>
      <w:r w:rsidRPr="00A00187">
        <w:rPr>
          <w:sz w:val="28"/>
          <w:szCs w:val="28"/>
        </w:rPr>
        <w:tab/>
      </w:r>
      <w:r w:rsidRPr="00A00187">
        <w:rPr>
          <w:sz w:val="28"/>
          <w:szCs w:val="28"/>
        </w:rPr>
        <w:tab/>
      </w:r>
      <w:r w:rsidRPr="00A00187">
        <w:rPr>
          <w:sz w:val="28"/>
          <w:szCs w:val="28"/>
        </w:rPr>
        <w:tab/>
      </w:r>
      <w:r w:rsidRPr="00A00187">
        <w:rPr>
          <w:szCs w:val="24"/>
        </w:rPr>
        <w:t>(1)</w:t>
      </w:r>
    </w:p>
    <w:p w14:paraId="6CF55D73" w14:textId="77777777" w:rsidR="008430BD" w:rsidRPr="00A00187" w:rsidRDefault="008430BD" w:rsidP="008430BD">
      <w:pPr>
        <w:pStyle w:val="OdstavecASR"/>
      </w:pPr>
      <w:r w:rsidRPr="00A00187">
        <w:t xml:space="preserve">s.t. </w:t>
      </w:r>
      <w:r w:rsidRPr="00A00187">
        <w:rPr>
          <w:szCs w:val="24"/>
        </w:rPr>
        <w:t xml:space="preserve"> </w:t>
      </w:r>
      <m:oMath>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e>
            </m:nary>
          </m:den>
        </m:f>
        <m:r>
          <w:rPr>
            <w:rFonts w:ascii="Cambria Math" w:hAnsi="Cambria Math"/>
            <w:szCs w:val="24"/>
          </w:rPr>
          <m:t xml:space="preserve"> ≤1    j=1,…,n  </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r>
          <w:rPr>
            <w:rFonts w:ascii="Cambria Math" w:hAnsi="Cambria Math"/>
            <w:szCs w:val="24"/>
          </w:rPr>
          <m:t>≥0  ∀ r,i</m:t>
        </m:r>
      </m:oMath>
      <w:r w:rsidRPr="00A00187">
        <w:rPr>
          <w:sz w:val="28"/>
          <w:szCs w:val="28"/>
        </w:rPr>
        <w:tab/>
      </w:r>
      <w:r w:rsidRPr="00A00187">
        <w:rPr>
          <w:sz w:val="28"/>
          <w:szCs w:val="28"/>
        </w:rPr>
        <w:tab/>
      </w:r>
      <w:r w:rsidRPr="00A00187">
        <w:rPr>
          <w:sz w:val="28"/>
          <w:szCs w:val="28"/>
        </w:rPr>
        <w:tab/>
      </w:r>
      <w:r w:rsidRPr="00A00187">
        <w:rPr>
          <w:sz w:val="28"/>
          <w:szCs w:val="28"/>
        </w:rPr>
        <w:tab/>
      </w:r>
      <w:r w:rsidRPr="00A00187">
        <w:rPr>
          <w:sz w:val="28"/>
          <w:szCs w:val="28"/>
        </w:rPr>
        <w:tab/>
      </w:r>
      <w:r w:rsidRPr="00A00187">
        <w:rPr>
          <w:szCs w:val="24"/>
        </w:rPr>
        <w:t>(2)</w:t>
      </w:r>
    </w:p>
    <w:p w14:paraId="1C0F03B5" w14:textId="77777777" w:rsidR="008430BD" w:rsidRPr="00A00187" w:rsidRDefault="008430BD" w:rsidP="008430BD">
      <w:pPr>
        <w:pStyle w:val="OdstavecASR"/>
      </w:pPr>
      <w:r w:rsidRPr="00A00187">
        <w:t xml:space="preserve">kde </w:t>
      </w:r>
      <w:proofErr w:type="spellStart"/>
      <w:r w:rsidRPr="00A00187">
        <w:rPr>
          <w:i/>
        </w:rPr>
        <w:t>u</w:t>
      </w:r>
      <w:r w:rsidRPr="00A00187">
        <w:rPr>
          <w:i/>
          <w:vertAlign w:val="subscript"/>
        </w:rPr>
        <w:t>r</w:t>
      </w:r>
      <w:proofErr w:type="spellEnd"/>
      <w:r w:rsidRPr="00A00187">
        <w:t xml:space="preserve"> a </w:t>
      </w:r>
      <w:proofErr w:type="spellStart"/>
      <w:r w:rsidRPr="00A00187">
        <w:rPr>
          <w:i/>
        </w:rPr>
        <w:t>v</w:t>
      </w:r>
      <w:r w:rsidRPr="00A00187">
        <w:rPr>
          <w:i/>
          <w:vertAlign w:val="subscript"/>
        </w:rPr>
        <w:t>i</w:t>
      </w:r>
      <w:proofErr w:type="spellEnd"/>
      <w:r w:rsidRPr="00A00187">
        <w:t xml:space="preserve"> jsou váhy pro </w:t>
      </w:r>
      <w:r w:rsidRPr="00A00187">
        <w:rPr>
          <w:i/>
        </w:rPr>
        <w:t>r-</w:t>
      </w:r>
      <w:proofErr w:type="spellStart"/>
      <w:r w:rsidRPr="00A00187">
        <w:t>tý</w:t>
      </w:r>
      <w:proofErr w:type="spellEnd"/>
      <w:r w:rsidRPr="00A00187">
        <w:t xml:space="preserve"> výstup nebo </w:t>
      </w:r>
      <w:r w:rsidRPr="00A00187">
        <w:rPr>
          <w:i/>
        </w:rPr>
        <w:t>i-</w:t>
      </w:r>
      <w:proofErr w:type="spellStart"/>
      <w:r w:rsidRPr="00A00187">
        <w:t>tý</w:t>
      </w:r>
      <w:proofErr w:type="spellEnd"/>
      <w:r w:rsidRPr="00A00187">
        <w:t xml:space="preserve"> vstup. Tento model musí být vyřešen </w:t>
      </w:r>
      <w:proofErr w:type="spellStart"/>
      <w:r w:rsidRPr="00A00187">
        <w:rPr>
          <w:i/>
        </w:rPr>
        <w:t>n</w:t>
      </w:r>
      <w:r w:rsidRPr="00A00187">
        <w:t>krát</w:t>
      </w:r>
      <w:proofErr w:type="spellEnd"/>
      <w:r w:rsidRPr="00A00187">
        <w:t xml:space="preserve"> – tedy pro každou DMU. V tomto případě 86krát.</w:t>
      </w:r>
    </w:p>
    <w:p w14:paraId="070E0535" w14:textId="77777777" w:rsidR="008430BD" w:rsidRPr="00A00187" w:rsidRDefault="008430BD" w:rsidP="008430BD">
      <w:pPr>
        <w:pStyle w:val="OdstavecASR"/>
      </w:pPr>
      <w:proofErr w:type="spellStart"/>
      <w:r w:rsidRPr="00A00187">
        <w:t>Banker</w:t>
      </w:r>
      <w:proofErr w:type="spellEnd"/>
      <w:r w:rsidRPr="00A00187">
        <w:t xml:space="preserve">, </w:t>
      </w:r>
      <w:proofErr w:type="spellStart"/>
      <w:r w:rsidRPr="00A00187">
        <w:t>Charnes</w:t>
      </w:r>
      <w:proofErr w:type="spellEnd"/>
      <w:r w:rsidRPr="00A00187">
        <w:t xml:space="preserve"> a Cooper (1984) rozšířili model o možnost různých výnosů z rozsahu. Toho dosáhli tím, že přidali podmínku </w:t>
      </w:r>
      <w:proofErr w:type="spellStart"/>
      <w:r w:rsidRPr="00A00187">
        <w:t>konvexivity</w:t>
      </w:r>
      <w:proofErr w:type="spellEnd"/>
      <w:r w:rsidRPr="00A00187">
        <w:t xml:space="preserve"> pro oblast výrobních možností:</w:t>
      </w:r>
    </w:p>
    <w:p w14:paraId="3FEA7C8C" w14:textId="77777777" w:rsidR="008430BD" w:rsidRPr="00A00187" w:rsidRDefault="00F66798" w:rsidP="008430BD">
      <w:pPr>
        <w:pStyle w:val="OdstavecASR"/>
        <w:rPr>
          <w:szCs w:val="24"/>
        </w:rPr>
      </w:pPr>
      <m:oMathPara>
        <m:oMathParaPr>
          <m:jc m:val="left"/>
        </m:oMathParaPr>
        <m:oMath>
          <m:nary>
            <m:naryPr>
              <m:chr m:val="∑"/>
              <m:limLoc m:val="undOvr"/>
              <m:ctrlPr>
                <w:rPr>
                  <w:rFonts w:ascii="Cambria Math" w:hAnsi="Cambria Math"/>
                  <w:i/>
                  <w:szCs w:val="24"/>
                </w:rPr>
              </m:ctrlPr>
            </m:naryPr>
            <m:sub>
              <m:r>
                <w:rPr>
                  <w:rFonts w:ascii="Cambria Math" w:hAnsi="Cambria Math"/>
                  <w:szCs w:val="24"/>
                </w:rPr>
                <m:t>j=1</m:t>
              </m:r>
            </m:sub>
            <m:sup>
              <m:r>
                <w:rPr>
                  <w:rFonts w:ascii="Cambria Math" w:hAnsi="Cambria Math"/>
                  <w:szCs w:val="24"/>
                </w:rPr>
                <m:t>n</m:t>
              </m:r>
            </m:sup>
            <m:e>
              <m:sSub>
                <m:sSubPr>
                  <m:ctrlPr>
                    <w:rPr>
                      <w:rFonts w:ascii="Cambria Math" w:hAnsi="Cambria Math"/>
                      <w:i/>
                      <w:szCs w:val="24"/>
                    </w:rPr>
                  </m:ctrlPr>
                </m:sSubPr>
                <m:e>
                  <m:r>
                    <w:rPr>
                      <w:rFonts w:ascii="Cambria Math" w:hAnsi="Cambria Math"/>
                      <w:szCs w:val="24"/>
                    </w:rPr>
                    <m:t xml:space="preserve"> λ</m:t>
                  </m:r>
                </m:e>
                <m:sub>
                  <m:r>
                    <w:rPr>
                      <w:rFonts w:ascii="Cambria Math" w:hAnsi="Cambria Math"/>
                      <w:szCs w:val="24"/>
                    </w:rPr>
                    <m:t>j</m:t>
                  </m:r>
                </m:sub>
              </m:sSub>
            </m:e>
          </m:nary>
          <m:r>
            <w:rPr>
              <w:rFonts w:ascii="Cambria Math" w:hAnsi="Cambria Math"/>
              <w:szCs w:val="24"/>
            </w:rPr>
            <m:t>=1</m:t>
          </m:r>
        </m:oMath>
      </m:oMathPara>
    </w:p>
    <w:p w14:paraId="21B8ECD7" w14:textId="77777777" w:rsidR="008430BD" w:rsidRPr="00A00187" w:rsidRDefault="008430BD" w:rsidP="008430BD">
      <w:pPr>
        <w:pStyle w:val="Nadpis4"/>
        <w:rPr>
          <w:sz w:val="28"/>
          <w:szCs w:val="28"/>
        </w:rPr>
      </w:pPr>
      <w:r w:rsidRPr="00A00187">
        <w:t>Aplikace DEA v oblasti soudnictví</w:t>
      </w:r>
    </w:p>
    <w:p w14:paraId="4E62AFBF" w14:textId="77777777" w:rsidR="008430BD" w:rsidRPr="00A00187" w:rsidRDefault="008430BD" w:rsidP="008430BD">
      <w:r w:rsidRPr="00A00187">
        <w:t xml:space="preserve">DEA není v oblasti soudnictví aplikována příliš často, několik prací na toto téma však existuje. Poprvé DEA aplikovali v oblasti soudnictví </w:t>
      </w:r>
      <w:proofErr w:type="spellStart"/>
      <w:r w:rsidRPr="00A00187">
        <w:t>Lewin</w:t>
      </w:r>
      <w:proofErr w:type="spellEnd"/>
      <w:r w:rsidRPr="00A00187">
        <w:t xml:space="preserve">, </w:t>
      </w:r>
      <w:proofErr w:type="spellStart"/>
      <w:r w:rsidRPr="00A00187">
        <w:t>Morey</w:t>
      </w:r>
      <w:proofErr w:type="spellEnd"/>
      <w:r w:rsidRPr="00A00187">
        <w:t xml:space="preserve"> a </w:t>
      </w:r>
      <w:proofErr w:type="spellStart"/>
      <w:r w:rsidRPr="00A00187">
        <w:t>Cook</w:t>
      </w:r>
      <w:proofErr w:type="spellEnd"/>
      <w:r w:rsidRPr="00A00187">
        <w:t xml:space="preserve"> (1982), kteří zkoumali efektivnost vrchních trestních soudů v Severní Karolíně v roce 1976. </w:t>
      </w:r>
      <w:proofErr w:type="spellStart"/>
      <w:r w:rsidRPr="00A00187">
        <w:t>Kittelsen</w:t>
      </w:r>
      <w:proofErr w:type="spellEnd"/>
      <w:r w:rsidRPr="00A00187">
        <w:t xml:space="preserve"> a </w:t>
      </w:r>
      <w:proofErr w:type="spellStart"/>
      <w:r w:rsidRPr="00A00187">
        <w:t>Forsund</w:t>
      </w:r>
      <w:proofErr w:type="spellEnd"/>
      <w:r w:rsidRPr="00A00187">
        <w:t xml:space="preserve"> (1992) zkoumali norské soudy v letech 1983–1986. </w:t>
      </w:r>
      <w:proofErr w:type="spellStart"/>
      <w:r w:rsidRPr="00A00187">
        <w:t>Pedraja-Chaparro</w:t>
      </w:r>
      <w:proofErr w:type="spellEnd"/>
      <w:r w:rsidRPr="00A00187">
        <w:t xml:space="preserve"> a </w:t>
      </w:r>
      <w:proofErr w:type="spellStart"/>
      <w:r w:rsidRPr="00A00187">
        <w:t>Salinas-Jimenéz</w:t>
      </w:r>
      <w:proofErr w:type="spellEnd"/>
      <w:r w:rsidRPr="00A00187">
        <w:t xml:space="preserve"> (1996) analyzují soudy ve Španělsku. DEA využil také Schneider (2005, odvolací soudy pro pracovní právo v Německu). Relativně nedávno, v roce 2011, bylo DEA aplikováno v Brazílii (státní soudy), v Egyptě (soudy první instance) či Itálii (odvolací soudy).</w:t>
      </w:r>
    </w:p>
    <w:p w14:paraId="3AFD22B4" w14:textId="77777777" w:rsidR="008430BD" w:rsidRPr="00A00187" w:rsidRDefault="008430BD" w:rsidP="008430BD"/>
    <w:p w14:paraId="1C2937F2" w14:textId="77777777" w:rsidR="008430BD" w:rsidRPr="00A00187" w:rsidRDefault="008430BD" w:rsidP="008430BD">
      <w:pPr>
        <w:pStyle w:val="OdstavecASR"/>
      </w:pPr>
      <w:r w:rsidRPr="00A00187">
        <w:t>Vstupy a výstupy DEA jsou ve všech těchto pracích velmi podobné. Jako vstupy se většinou používají nápad, počet nedodělků na začátku roku, počet soudců a dalšího personálu. Jako výstup se používá výhradně počet vyřízených věcí. Některé práce dělí vyřízené věcí do kategorií nebo jako zvláštní výstup berou počet věcí vyřízených do určitého počtu dní.</w:t>
      </w:r>
    </w:p>
    <w:p w14:paraId="74540F9C" w14:textId="77777777" w:rsidR="008430BD" w:rsidRPr="00A00187" w:rsidRDefault="008430BD" w:rsidP="008430BD">
      <w:pPr>
        <w:pStyle w:val="Nadpis3"/>
        <w:rPr>
          <w:color w:val="auto"/>
        </w:rPr>
      </w:pPr>
      <w:bookmarkStart w:id="1407" w:name="_Toc487791324"/>
      <w:bookmarkStart w:id="1408" w:name="_Toc515871324"/>
      <w:bookmarkStart w:id="1409" w:name="_Toc106092843"/>
      <w:bookmarkStart w:id="1410" w:name="_Toc109801454"/>
      <w:r w:rsidRPr="00A00187">
        <w:rPr>
          <w:color w:val="auto"/>
        </w:rPr>
        <w:t>Metodika, specifikace modelu</w:t>
      </w:r>
      <w:bookmarkEnd w:id="1407"/>
      <w:bookmarkEnd w:id="1408"/>
      <w:bookmarkEnd w:id="1409"/>
      <w:bookmarkEnd w:id="1410"/>
    </w:p>
    <w:p w14:paraId="57E7C590" w14:textId="77777777" w:rsidR="008430BD" w:rsidRPr="00A00187" w:rsidRDefault="008430BD" w:rsidP="008430BD">
      <w:pPr>
        <w:pStyle w:val="OdstavecASR"/>
      </w:pPr>
      <w:r w:rsidRPr="00A00187">
        <w:t>V teoretické části byly popsány teoretické základy DEA, její varianty a základní literatura, která se DEA zabývá nebo ji aplikuje. V této části je popsána konkrétní aplikace DEA při hodnocení českých soudů. Jako vstupy jsou použity následující proměnné</w:t>
      </w:r>
      <w:r w:rsidRPr="00A00187">
        <w:rPr>
          <w:b/>
        </w:rPr>
        <w:t xml:space="preserve">: počet soudců </w:t>
      </w:r>
      <w:r w:rsidRPr="00A00187">
        <w:rPr>
          <w:bCs/>
        </w:rPr>
        <w:t>(díky novým datům byl počet soudců zpřesněn)</w:t>
      </w:r>
      <w:r w:rsidRPr="00A00187">
        <w:t xml:space="preserve">, </w:t>
      </w:r>
      <w:r w:rsidRPr="00A00187">
        <w:rPr>
          <w:b/>
        </w:rPr>
        <w:t>počet referentů</w:t>
      </w:r>
      <w:r w:rsidRPr="00A00187">
        <w:t xml:space="preserve"> (VSÚ + asistenti + soudní tajemníci) a </w:t>
      </w:r>
      <w:r w:rsidRPr="00A00187">
        <w:rPr>
          <w:b/>
        </w:rPr>
        <w:t xml:space="preserve">počet dalšího </w:t>
      </w:r>
      <w:r w:rsidRPr="00A00187">
        <w:rPr>
          <w:b/>
        </w:rPr>
        <w:lastRenderedPageBreak/>
        <w:t xml:space="preserve">personálu ve výkonu </w:t>
      </w:r>
      <w:r w:rsidRPr="00A00187">
        <w:t>(vedoucí kanceláře + protokolující úředníci + zapisovatelky) a </w:t>
      </w:r>
      <w:r w:rsidRPr="00A00187">
        <w:rPr>
          <w:b/>
        </w:rPr>
        <w:t xml:space="preserve">vážená případová zátěž </w:t>
      </w:r>
      <w:r w:rsidRPr="00A00187">
        <w:t xml:space="preserve">(nevyřízené věci na začátku roku + počet příchozích věcí). Jako výstup byl použit </w:t>
      </w:r>
      <w:r w:rsidRPr="00A00187">
        <w:rPr>
          <w:b/>
        </w:rPr>
        <w:t>vážený počet vyřízených věcí</w:t>
      </w:r>
      <w:r w:rsidRPr="00A00187">
        <w:t>. Na rozdíl od ostatních kapitol jsou tedy zapojeny všechny agendy. Využita je výstupově orientovaná DEA. Tato metoda se soustředí na maximalizaci výstupů za využití konstantních vstupů. V empirické literatuře v oblasti justice je obecně více využívána tato orientace DEA. Soudy totiž mají kontrolu nad vyřízenými věcmi (výstupy), ale ne nad nápadem (jeden ze vstupů). Veškerá uváděná data jsou za rok 2017.</w:t>
      </w:r>
    </w:p>
    <w:p w14:paraId="719302BF" w14:textId="431678F6" w:rsidR="008430BD" w:rsidRPr="00A00187" w:rsidRDefault="008430BD" w:rsidP="008430BD">
      <w:pPr>
        <w:pStyle w:val="OdstavecASR"/>
      </w:pPr>
      <w:r w:rsidRPr="00A00187">
        <w:t xml:space="preserve">Případy byly váženy pomocí </w:t>
      </w:r>
      <w:r w:rsidR="0034011B" w:rsidRPr="00A00187">
        <w:t>tzv. měřítek systemizace</w:t>
      </w:r>
      <w:r w:rsidRPr="00A00187">
        <w:t xml:space="preserve">. </w:t>
      </w:r>
      <w:r w:rsidR="0034011B" w:rsidRPr="00A00187">
        <w:t>N</w:t>
      </w:r>
      <w:r w:rsidRPr="00A00187">
        <w:t xml:space="preserve">apříklad případ z agendy C váhu 1 a případ z agendy EXE váhu 308/ 2200 </w:t>
      </w:r>
      <w:r w:rsidRPr="00A00187">
        <w:rPr>
          <w:rFonts w:ascii="Cambria Math" w:hAnsi="Cambria Math" w:cs="Cambria Math"/>
        </w:rPr>
        <w:t>≐</w:t>
      </w:r>
      <w:r w:rsidRPr="00A00187">
        <w:t xml:space="preserve"> 0,14</w:t>
      </w:r>
      <w:r w:rsidR="0034011B" w:rsidRPr="00A00187">
        <w:t xml:space="preserve">. </w:t>
      </w:r>
      <w:r w:rsidRPr="00A00187">
        <w:t xml:space="preserve">Pro účely této zprávy byla použita následující specifikace DEA: </w:t>
      </w:r>
      <w:r w:rsidRPr="00A00187">
        <w:rPr>
          <w:b/>
        </w:rPr>
        <w:t>modely CCR i BCC, dvoufázová, výstupově orientovaná</w:t>
      </w:r>
      <w:r w:rsidRPr="00A00187">
        <w:t>. Analýza tedy zkoumá, o </w:t>
      </w:r>
      <w:r w:rsidRPr="00A00187">
        <w:rPr>
          <w:b/>
        </w:rPr>
        <w:t>kolik by soud mohl zvýšit své výstupy, aniž by se změnila velikost vstupů</w:t>
      </w:r>
      <w:r w:rsidRPr="00A00187">
        <w:t>, pokud by soud fungoval efektivně. Také zkoumá, zda je velikost soudu ideální či nikoliv.</w:t>
      </w:r>
    </w:p>
    <w:p w14:paraId="2FDD46A2" w14:textId="77777777" w:rsidR="008430BD" w:rsidRPr="00A00187" w:rsidRDefault="008430BD" w:rsidP="008430BD">
      <w:pPr>
        <w:spacing w:line="240" w:lineRule="auto"/>
        <w:jc w:val="left"/>
        <w:rPr>
          <w:rFonts w:eastAsia="Times New Roman"/>
          <w:b/>
          <w:bCs/>
          <w:iCs/>
          <w:sz w:val="28"/>
          <w:szCs w:val="28"/>
        </w:rPr>
      </w:pPr>
      <w:r w:rsidRPr="00A00187">
        <w:br w:type="page"/>
      </w:r>
    </w:p>
    <w:p w14:paraId="56EB8865" w14:textId="77777777" w:rsidR="008430BD" w:rsidRPr="00A00187" w:rsidRDefault="008430BD" w:rsidP="008430BD">
      <w:pPr>
        <w:pStyle w:val="Nadpis3"/>
        <w:pageBreakBefore/>
        <w:rPr>
          <w:color w:val="auto"/>
        </w:rPr>
      </w:pPr>
      <w:bookmarkStart w:id="1411" w:name="_Toc487791325"/>
      <w:bookmarkStart w:id="1412" w:name="_Toc515871325"/>
      <w:bookmarkStart w:id="1413" w:name="_Toc106092844"/>
      <w:bookmarkStart w:id="1414" w:name="_Toc109801455"/>
      <w:r w:rsidRPr="00A00187">
        <w:rPr>
          <w:color w:val="auto"/>
        </w:rPr>
        <w:lastRenderedPageBreak/>
        <w:t>Seznam literatury (DEA)</w:t>
      </w:r>
      <w:bookmarkEnd w:id="1411"/>
      <w:bookmarkEnd w:id="1412"/>
      <w:bookmarkEnd w:id="1413"/>
      <w:bookmarkEnd w:id="1414"/>
    </w:p>
    <w:p w14:paraId="3868FA9E" w14:textId="77777777" w:rsidR="00CB570A" w:rsidRDefault="002A593A" w:rsidP="008430BD">
      <w:pPr>
        <w:pStyle w:val="OdstavecASR"/>
        <w:rPr>
          <w:lang w:val="en-US"/>
        </w:rPr>
      </w:pPr>
      <w:r w:rsidRPr="00A00187">
        <w:rPr>
          <w:lang w:val="en-US"/>
        </w:rPr>
        <w:t xml:space="preserve">BANKER, Rajiv D.; CHARNES, Abraham; COOPER, William Wager. Some models for estimating technical and scale inefficiencies in data envelopment analysis. </w:t>
      </w:r>
      <w:r w:rsidRPr="00A00187">
        <w:rPr>
          <w:i/>
          <w:iCs/>
          <w:lang w:val="en-US"/>
        </w:rPr>
        <w:t>Management science</w:t>
      </w:r>
      <w:r w:rsidRPr="00A00187">
        <w:rPr>
          <w:lang w:val="en-US"/>
        </w:rPr>
        <w:t>, 1984, 30.9: 1078-1092.</w:t>
      </w:r>
    </w:p>
    <w:p w14:paraId="35EFF8FC" w14:textId="77777777" w:rsidR="00CB570A" w:rsidRDefault="002A593A" w:rsidP="008430BD">
      <w:pPr>
        <w:pStyle w:val="OdstavecASR"/>
        <w:rPr>
          <w:lang w:val="en-US"/>
        </w:rPr>
      </w:pPr>
      <w:r w:rsidRPr="00A00187">
        <w:rPr>
          <w:lang w:val="en-US"/>
        </w:rPr>
        <w:t xml:space="preserve">CHARNES, Abraham; COOPER, William W.; RHODES, Edwardo. Measuring the efficiency of </w:t>
      </w:r>
      <w:proofErr w:type="gramStart"/>
      <w:r w:rsidRPr="00A00187">
        <w:rPr>
          <w:lang w:val="en-US"/>
        </w:rPr>
        <w:t>decision making</w:t>
      </w:r>
      <w:proofErr w:type="gramEnd"/>
      <w:r w:rsidRPr="00A00187">
        <w:rPr>
          <w:lang w:val="en-US"/>
        </w:rPr>
        <w:t xml:space="preserve"> units. </w:t>
      </w:r>
      <w:r w:rsidRPr="00A00187">
        <w:rPr>
          <w:i/>
          <w:iCs/>
          <w:lang w:val="en-US"/>
        </w:rPr>
        <w:t>European journal of operational research</w:t>
      </w:r>
      <w:r w:rsidRPr="00A00187">
        <w:rPr>
          <w:lang w:val="en-US"/>
        </w:rPr>
        <w:t>, 1978, 2.6: 429-444.</w:t>
      </w:r>
    </w:p>
    <w:p w14:paraId="0C3FDDC7" w14:textId="77777777" w:rsidR="00CB570A" w:rsidRDefault="002D0406" w:rsidP="008430BD">
      <w:pPr>
        <w:pStyle w:val="OdstavecASR"/>
        <w:rPr>
          <w:lang w:val="en-US"/>
        </w:rPr>
      </w:pPr>
      <w:r w:rsidRPr="00A00187">
        <w:rPr>
          <w:lang w:val="en-US"/>
        </w:rPr>
        <w:t xml:space="preserve">ELBIALY, Nora; GARCIA-RUBIO, Miguel A. Assessing judicial efficiency of Egyptian first instance courts: A DEA analysis. </w:t>
      </w:r>
      <w:r w:rsidRPr="00A00187">
        <w:rPr>
          <w:i/>
          <w:iCs/>
          <w:lang w:val="en-US"/>
        </w:rPr>
        <w:t>MAGKS joint discussion paper series in economics</w:t>
      </w:r>
      <w:r w:rsidRPr="00A00187">
        <w:rPr>
          <w:lang w:val="en-US"/>
        </w:rPr>
        <w:t>, 2011.</w:t>
      </w:r>
    </w:p>
    <w:p w14:paraId="70746F90" w14:textId="77777777" w:rsidR="00CB570A" w:rsidRDefault="00B908EB" w:rsidP="008430BD">
      <w:pPr>
        <w:pStyle w:val="OdstavecASR"/>
        <w:rPr>
          <w:lang w:val="en-US"/>
        </w:rPr>
      </w:pPr>
      <w:r w:rsidRPr="00A00187">
        <w:rPr>
          <w:lang w:val="en-US"/>
        </w:rPr>
        <w:t xml:space="preserve">FARRELL, Michael James. The measurement of productive efficiency. </w:t>
      </w:r>
      <w:r w:rsidRPr="00A00187">
        <w:rPr>
          <w:i/>
          <w:iCs/>
          <w:lang w:val="en-US"/>
        </w:rPr>
        <w:t>Journal of the Royal Statistical Society: Series A (General</w:t>
      </w:r>
      <w:r w:rsidRPr="00A00187">
        <w:rPr>
          <w:lang w:val="en-US"/>
        </w:rPr>
        <w:t>), 1957, 120.3: 253-281.</w:t>
      </w:r>
    </w:p>
    <w:p w14:paraId="2A9389E0" w14:textId="77777777" w:rsidR="00CB570A" w:rsidRDefault="00700721" w:rsidP="008430BD">
      <w:pPr>
        <w:pStyle w:val="OdstavecASR"/>
        <w:rPr>
          <w:lang w:val="en-US"/>
        </w:rPr>
      </w:pPr>
      <w:r w:rsidRPr="00A00187">
        <w:rPr>
          <w:lang w:val="en-US"/>
        </w:rPr>
        <w:t xml:space="preserve">JI, Yong-bae; LEE, </w:t>
      </w:r>
      <w:proofErr w:type="spellStart"/>
      <w:r w:rsidRPr="00A00187">
        <w:rPr>
          <w:lang w:val="en-US"/>
        </w:rPr>
        <w:t>Choonjoo</w:t>
      </w:r>
      <w:proofErr w:type="spellEnd"/>
      <w:r w:rsidRPr="00A00187">
        <w:rPr>
          <w:lang w:val="en-US"/>
        </w:rPr>
        <w:t xml:space="preserve">. Data envelopment analysis. </w:t>
      </w:r>
      <w:r w:rsidRPr="00A00187">
        <w:rPr>
          <w:i/>
          <w:iCs/>
          <w:lang w:val="en-US"/>
        </w:rPr>
        <w:t>The Stata Journal</w:t>
      </w:r>
      <w:r w:rsidRPr="00A00187">
        <w:rPr>
          <w:lang w:val="en-US"/>
        </w:rPr>
        <w:t>, 2010, 10.2: 267-280.</w:t>
      </w:r>
    </w:p>
    <w:p w14:paraId="6CBEC2F5" w14:textId="77777777" w:rsidR="00CB570A" w:rsidRDefault="00700721" w:rsidP="008430BD">
      <w:pPr>
        <w:pStyle w:val="OdstavecASR"/>
        <w:rPr>
          <w:lang w:val="en-US"/>
        </w:rPr>
      </w:pPr>
      <w:r w:rsidRPr="00A00187">
        <w:rPr>
          <w:lang w:val="en-US"/>
        </w:rPr>
        <w:t xml:space="preserve">KITTELSEN, </w:t>
      </w:r>
      <w:proofErr w:type="spellStart"/>
      <w:r w:rsidRPr="00A00187">
        <w:rPr>
          <w:lang w:val="en-US"/>
        </w:rPr>
        <w:t>Sverre</w:t>
      </w:r>
      <w:proofErr w:type="spellEnd"/>
      <w:r w:rsidRPr="00A00187">
        <w:rPr>
          <w:lang w:val="en-US"/>
        </w:rPr>
        <w:t xml:space="preserve"> AC; FØRSUND, Finn R. Efficiency analysis of Norwegian district courts. </w:t>
      </w:r>
      <w:r w:rsidRPr="00A00187">
        <w:rPr>
          <w:i/>
          <w:iCs/>
          <w:lang w:val="en-US"/>
        </w:rPr>
        <w:t>Journal of Productivity Analysis</w:t>
      </w:r>
      <w:r w:rsidRPr="00A00187">
        <w:rPr>
          <w:lang w:val="en-US"/>
        </w:rPr>
        <w:t>, 1992, 3.3: 277-306.</w:t>
      </w:r>
    </w:p>
    <w:p w14:paraId="4E607D44" w14:textId="77777777" w:rsidR="00CB570A" w:rsidRDefault="00700721" w:rsidP="008430BD">
      <w:pPr>
        <w:pStyle w:val="OdstavecASR"/>
        <w:rPr>
          <w:lang w:val="en-US"/>
        </w:rPr>
      </w:pPr>
      <w:r w:rsidRPr="00A00187">
        <w:rPr>
          <w:lang w:val="en-US"/>
        </w:rPr>
        <w:t xml:space="preserve">LEWIN, Arie Y.; MOREY, Richard C.; COOK, Thomas J. Evaluating the administrative efficiency of courts. </w:t>
      </w:r>
      <w:r w:rsidRPr="00A00187">
        <w:rPr>
          <w:i/>
          <w:iCs/>
          <w:lang w:val="en-US"/>
        </w:rPr>
        <w:t>Omega</w:t>
      </w:r>
      <w:r w:rsidRPr="00A00187">
        <w:rPr>
          <w:lang w:val="en-US"/>
        </w:rPr>
        <w:t>, 1982, 10.4: 401-411.</w:t>
      </w:r>
    </w:p>
    <w:p w14:paraId="5A0F62F6" w14:textId="6D4A16FB" w:rsidR="00146A3B" w:rsidRPr="00A00187" w:rsidRDefault="00146A3B" w:rsidP="008430BD">
      <w:pPr>
        <w:pStyle w:val="OdstavecASR"/>
        <w:rPr>
          <w:lang w:val="en-US"/>
        </w:rPr>
      </w:pPr>
      <w:r w:rsidRPr="00A00187">
        <w:rPr>
          <w:lang w:val="en-US"/>
        </w:rPr>
        <w:t xml:space="preserve">NISSI, Eugenia; RAPPOSELLI, Agnese. A data envelopment analysis of Italian courts efficiency. </w:t>
      </w:r>
      <w:proofErr w:type="spellStart"/>
      <w:r w:rsidRPr="00A00187">
        <w:rPr>
          <w:i/>
          <w:iCs/>
          <w:lang w:val="en-US"/>
        </w:rPr>
        <w:t>Statistica</w:t>
      </w:r>
      <w:proofErr w:type="spellEnd"/>
      <w:r w:rsidRPr="00A00187">
        <w:rPr>
          <w:i/>
          <w:iCs/>
          <w:lang w:val="en-US"/>
        </w:rPr>
        <w:t xml:space="preserve"> </w:t>
      </w:r>
      <w:proofErr w:type="spellStart"/>
      <w:r w:rsidRPr="00A00187">
        <w:rPr>
          <w:i/>
          <w:iCs/>
          <w:lang w:val="en-US"/>
        </w:rPr>
        <w:t>Applicata</w:t>
      </w:r>
      <w:proofErr w:type="spellEnd"/>
      <w:r w:rsidRPr="00A00187">
        <w:rPr>
          <w:i/>
          <w:iCs/>
          <w:lang w:val="en-US"/>
        </w:rPr>
        <w:t>-Italian Journal of Applied Statistics</w:t>
      </w:r>
      <w:r w:rsidRPr="00A00187">
        <w:rPr>
          <w:lang w:val="en-US"/>
        </w:rPr>
        <w:t>, 2010, 22.2: 199-210.</w:t>
      </w:r>
    </w:p>
    <w:p w14:paraId="65B43C6D" w14:textId="77777777" w:rsidR="00CB570A" w:rsidRDefault="001A0CEC" w:rsidP="008430BD">
      <w:pPr>
        <w:pStyle w:val="OdstavecASR"/>
        <w:rPr>
          <w:lang w:val="en-US"/>
        </w:rPr>
      </w:pPr>
      <w:r w:rsidRPr="00A00187">
        <w:rPr>
          <w:lang w:val="en-US"/>
        </w:rPr>
        <w:t xml:space="preserve">PEDRAJA-CHAPARRO, Francisco; SALINAS-JIMENEZ, Javier. An assessment of the efficiency of Spanish Courts using DEA. </w:t>
      </w:r>
      <w:r w:rsidRPr="00A00187">
        <w:rPr>
          <w:i/>
          <w:iCs/>
          <w:lang w:val="en-US"/>
        </w:rPr>
        <w:t>Applied economics</w:t>
      </w:r>
      <w:r w:rsidRPr="00A00187">
        <w:rPr>
          <w:lang w:val="en-US"/>
        </w:rPr>
        <w:t>, 1996, 28.11: 1391-1403.</w:t>
      </w:r>
    </w:p>
    <w:p w14:paraId="7C521D63" w14:textId="77777777" w:rsidR="00CB570A" w:rsidRDefault="009F47F2" w:rsidP="008430BD">
      <w:pPr>
        <w:pStyle w:val="OdstavecASR"/>
        <w:rPr>
          <w:lang w:val="en-US"/>
        </w:rPr>
      </w:pPr>
      <w:r w:rsidRPr="00A00187">
        <w:rPr>
          <w:lang w:val="en-US"/>
        </w:rPr>
        <w:t xml:space="preserve">SCHNEIDER, Martin R. Judicial career incentives and court performance: an empirical study of the German </w:t>
      </w:r>
      <w:proofErr w:type="spellStart"/>
      <w:r w:rsidRPr="00A00187">
        <w:rPr>
          <w:lang w:val="en-US"/>
        </w:rPr>
        <w:t>labour</w:t>
      </w:r>
      <w:proofErr w:type="spellEnd"/>
      <w:r w:rsidRPr="00A00187">
        <w:rPr>
          <w:lang w:val="en-US"/>
        </w:rPr>
        <w:t xml:space="preserve"> courts of appeal. </w:t>
      </w:r>
      <w:r w:rsidRPr="00A00187">
        <w:rPr>
          <w:i/>
          <w:iCs/>
          <w:lang w:val="en-US"/>
        </w:rPr>
        <w:t>European Journal of Law and Economics</w:t>
      </w:r>
      <w:r w:rsidRPr="00A00187">
        <w:rPr>
          <w:lang w:val="en-US"/>
        </w:rPr>
        <w:t>, 2005, 20.2: 127-144.</w:t>
      </w:r>
    </w:p>
    <w:p w14:paraId="0C2F8B35" w14:textId="4E7F14E9" w:rsidR="008430BD" w:rsidRPr="00A00187" w:rsidRDefault="00703FB6" w:rsidP="008430BD">
      <w:r w:rsidRPr="00A00187">
        <w:rPr>
          <w:lang w:val="en-US"/>
        </w:rPr>
        <w:t xml:space="preserve">YEUNG, Luciana L.; AZEVEDO, Paulo F. Measuring efficiency of Brazilian courts with data envelopment analysis (DEA). </w:t>
      </w:r>
      <w:r w:rsidRPr="00A00187">
        <w:rPr>
          <w:i/>
          <w:iCs/>
          <w:lang w:val="en-US"/>
        </w:rPr>
        <w:t>IMA Journal of Management Mathematics</w:t>
      </w:r>
      <w:r w:rsidRPr="00A00187">
        <w:rPr>
          <w:lang w:val="en-US"/>
        </w:rPr>
        <w:t>, 2011, 22.4: 343-356.</w:t>
      </w:r>
    </w:p>
    <w:p w14:paraId="16FC18CB" w14:textId="77777777" w:rsidR="008430BD" w:rsidRPr="00A00187" w:rsidRDefault="008430BD" w:rsidP="008430BD"/>
    <w:p w14:paraId="604FE17C" w14:textId="77777777" w:rsidR="008430BD" w:rsidRPr="00A00187" w:rsidRDefault="008430BD" w:rsidP="008430BD"/>
    <w:p w14:paraId="738A45A9" w14:textId="77777777" w:rsidR="008430BD" w:rsidRPr="00A00187" w:rsidRDefault="008430BD" w:rsidP="008430BD">
      <w:pPr>
        <w:autoSpaceDE w:val="0"/>
        <w:autoSpaceDN w:val="0"/>
        <w:adjustRightInd w:val="0"/>
        <w:spacing w:line="240" w:lineRule="auto"/>
        <w:jc w:val="left"/>
        <w:rPr>
          <w:rFonts w:cs="OfficinaSansItcTOT-Bold"/>
          <w:b/>
          <w:bCs/>
          <w:sz w:val="18"/>
          <w:szCs w:val="19"/>
          <w:lang w:eastAsia="cs-CZ"/>
        </w:rPr>
        <w:sectPr w:rsidR="008430BD" w:rsidRPr="00A00187" w:rsidSect="009A7A9D">
          <w:footerReference w:type="default" r:id="rId178"/>
          <w:type w:val="continuous"/>
          <w:pgSz w:w="11906" w:h="16838" w:code="9"/>
          <w:pgMar w:top="1418" w:right="1418" w:bottom="1418" w:left="1418" w:header="709" w:footer="709" w:gutter="0"/>
          <w:cols w:space="708"/>
          <w:titlePg/>
          <w:docGrid w:linePitch="360"/>
        </w:sectPr>
      </w:pPr>
    </w:p>
    <w:p w14:paraId="1A9F48A7" w14:textId="77777777" w:rsidR="008430BD" w:rsidRPr="00A00187" w:rsidRDefault="008430BD" w:rsidP="008430BD">
      <w:pPr>
        <w:autoSpaceDE w:val="0"/>
        <w:autoSpaceDN w:val="0"/>
        <w:adjustRightInd w:val="0"/>
        <w:spacing w:line="240" w:lineRule="auto"/>
        <w:jc w:val="left"/>
        <w:rPr>
          <w:rFonts w:cs="OfficinaSansItcTOT-Bold"/>
          <w:b/>
          <w:bCs/>
          <w:sz w:val="18"/>
          <w:szCs w:val="19"/>
          <w:lang w:eastAsia="cs-CZ"/>
        </w:rPr>
      </w:pPr>
      <w:r w:rsidRPr="00A00187">
        <w:rPr>
          <w:noProof/>
          <w:lang w:eastAsia="cs-CZ"/>
        </w:rPr>
        <w:lastRenderedPageBreak/>
        <w:drawing>
          <wp:inline distT="0" distB="0" distL="0" distR="0" wp14:anchorId="1FCEC59A" wp14:editId="5A7F5785">
            <wp:extent cx="1214755" cy="1057910"/>
            <wp:effectExtent l="0" t="0" r="0" b="0"/>
            <wp:docPr id="107" name="Obráze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14:paraId="6BB2E3A4"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48D3F487"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0658B2E4"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13D3921F"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6997911"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8C657CB"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2C22DFB0"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0EC2DB7"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0FA2A9F6"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6E5F0C18"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4F5FEABB"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2DBCE512"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42ACB4E9"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6A53285"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A901D64"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45C44F95"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172DE132"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624FB60"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63CC8543"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821510E"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12F4745"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DCE2351"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282DC101"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E521063"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2D4B9BAE"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48A02379"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427DBAD0"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6C749FF1"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128CD59"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255A9F48"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209D5FBB"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06E42DA"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1078EB2"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09FA12EA"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9B46316"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84A3927"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27F782A"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F31CBC7"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463A068"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6D0D8D38"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BEF9C93"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256775C"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A2DFAF5"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10170A1"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3F4AB26C"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2FAB9C39"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6594F904"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1F220524"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772C0520"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6ECD8EAA" w14:textId="77777777" w:rsidR="008430BD" w:rsidRPr="00A00187" w:rsidRDefault="008430BD" w:rsidP="008430BD">
      <w:pPr>
        <w:autoSpaceDE w:val="0"/>
        <w:autoSpaceDN w:val="0"/>
        <w:adjustRightInd w:val="0"/>
        <w:spacing w:line="240" w:lineRule="auto"/>
        <w:jc w:val="center"/>
        <w:rPr>
          <w:rFonts w:cs="OfficinaSansItcTOT-Bold"/>
          <w:b/>
          <w:bCs/>
          <w:sz w:val="18"/>
          <w:szCs w:val="19"/>
          <w:lang w:eastAsia="cs-CZ"/>
        </w:rPr>
      </w:pPr>
    </w:p>
    <w:p w14:paraId="5EE6FB47" w14:textId="77777777" w:rsidR="008430BD" w:rsidRPr="00A00187" w:rsidRDefault="008430BD" w:rsidP="008430BD">
      <w:pPr>
        <w:autoSpaceDE w:val="0"/>
        <w:autoSpaceDN w:val="0"/>
        <w:adjustRightInd w:val="0"/>
        <w:spacing w:line="240" w:lineRule="auto"/>
        <w:jc w:val="center"/>
        <w:rPr>
          <w:rFonts w:cs="OfficinaSansItcTOT-Bold"/>
          <w:bCs/>
          <w:sz w:val="18"/>
          <w:szCs w:val="19"/>
          <w:lang w:eastAsia="cs-CZ"/>
        </w:rPr>
      </w:pPr>
      <w:r w:rsidRPr="00A00187">
        <w:rPr>
          <w:rFonts w:cs="OfficinaSansItcTOT-Bold"/>
          <w:bCs/>
          <w:sz w:val="18"/>
          <w:szCs w:val="19"/>
          <w:lang w:eastAsia="cs-CZ"/>
        </w:rPr>
        <w:t>Ministerstvo spravedlnosti</w:t>
      </w:r>
    </w:p>
    <w:p w14:paraId="5E42C5CE" w14:textId="77777777" w:rsidR="008430BD" w:rsidRPr="00A00187" w:rsidRDefault="008430BD" w:rsidP="008430BD">
      <w:pPr>
        <w:autoSpaceDE w:val="0"/>
        <w:autoSpaceDN w:val="0"/>
        <w:adjustRightInd w:val="0"/>
        <w:spacing w:line="240" w:lineRule="auto"/>
        <w:jc w:val="center"/>
        <w:rPr>
          <w:rFonts w:cs="OfficinaSansItcTOT-Book"/>
          <w:sz w:val="18"/>
          <w:szCs w:val="19"/>
          <w:lang w:eastAsia="cs-CZ"/>
        </w:rPr>
      </w:pPr>
      <w:r w:rsidRPr="00A00187">
        <w:rPr>
          <w:rFonts w:cs="OfficinaSansItcTOT-Book"/>
          <w:sz w:val="18"/>
          <w:szCs w:val="19"/>
          <w:lang w:eastAsia="cs-CZ"/>
        </w:rPr>
        <w:t>Vyšehradská 16</w:t>
      </w:r>
    </w:p>
    <w:p w14:paraId="42AB6912" w14:textId="77777777" w:rsidR="008430BD" w:rsidRPr="00A00187" w:rsidRDefault="008430BD" w:rsidP="008430BD">
      <w:pPr>
        <w:autoSpaceDE w:val="0"/>
        <w:autoSpaceDN w:val="0"/>
        <w:adjustRightInd w:val="0"/>
        <w:spacing w:line="240" w:lineRule="auto"/>
        <w:jc w:val="center"/>
        <w:rPr>
          <w:rFonts w:cs="OfficinaSansItcTOT-Book"/>
          <w:sz w:val="18"/>
          <w:szCs w:val="19"/>
          <w:lang w:eastAsia="cs-CZ"/>
        </w:rPr>
      </w:pPr>
      <w:r w:rsidRPr="00A00187">
        <w:rPr>
          <w:rFonts w:cs="OfficinaSansItcTOT-Book"/>
          <w:sz w:val="18"/>
          <w:szCs w:val="19"/>
          <w:lang w:eastAsia="cs-CZ"/>
        </w:rPr>
        <w:t>128 </w:t>
      </w:r>
      <w:proofErr w:type="gramStart"/>
      <w:r w:rsidRPr="00A00187">
        <w:rPr>
          <w:rFonts w:cs="OfficinaSansItcTOT-Book"/>
          <w:sz w:val="18"/>
          <w:szCs w:val="19"/>
          <w:lang w:eastAsia="cs-CZ"/>
        </w:rPr>
        <w:t>10  Praha</w:t>
      </w:r>
      <w:proofErr w:type="gramEnd"/>
      <w:r w:rsidRPr="00A00187">
        <w:rPr>
          <w:rFonts w:cs="OfficinaSansItcTOT-Book"/>
          <w:sz w:val="18"/>
          <w:szCs w:val="19"/>
          <w:lang w:eastAsia="cs-CZ"/>
        </w:rPr>
        <w:t> 2</w:t>
      </w:r>
    </w:p>
    <w:p w14:paraId="35E6F9D3" w14:textId="1946C195" w:rsidR="00B07E76" w:rsidRPr="00A00187" w:rsidRDefault="008430BD" w:rsidP="008430BD">
      <w:pPr>
        <w:autoSpaceDE w:val="0"/>
        <w:autoSpaceDN w:val="0"/>
        <w:adjustRightInd w:val="0"/>
        <w:spacing w:line="240" w:lineRule="auto"/>
        <w:jc w:val="center"/>
        <w:rPr>
          <w:rFonts w:cs="OfficinaSansItcTOT-Book"/>
          <w:sz w:val="18"/>
          <w:szCs w:val="19"/>
          <w:lang w:eastAsia="cs-CZ"/>
        </w:rPr>
      </w:pPr>
      <w:r w:rsidRPr="00A00187">
        <w:rPr>
          <w:rFonts w:cs="OfficinaSansItcTOT-Book"/>
          <w:sz w:val="18"/>
          <w:szCs w:val="19"/>
          <w:lang w:eastAsia="cs-CZ"/>
        </w:rPr>
        <w:t xml:space="preserve">e-mail: </w:t>
      </w:r>
      <w:hyperlink r:id="rId179" w:history="1">
        <w:r w:rsidR="00CB570A" w:rsidRPr="001F715A">
          <w:rPr>
            <w:rStyle w:val="Hypertextovodkaz"/>
            <w:rFonts w:cs="OfficinaSansItcTOT-Book"/>
            <w:sz w:val="18"/>
            <w:szCs w:val="19"/>
            <w:lang w:eastAsia="cs-CZ"/>
          </w:rPr>
          <w:t>posta@msp.justice.cz</w:t>
        </w:r>
      </w:hyperlink>
    </w:p>
    <w:p w14:paraId="2F381B22" w14:textId="02C21648" w:rsidR="00B07E76" w:rsidRPr="00AC1E67" w:rsidRDefault="00F66798" w:rsidP="008430BD">
      <w:pPr>
        <w:jc w:val="center"/>
        <w:rPr>
          <w:rFonts w:cs="OfficinaSansItcTOT-Book"/>
          <w:sz w:val="18"/>
          <w:szCs w:val="19"/>
          <w:lang w:eastAsia="cs-CZ"/>
        </w:rPr>
      </w:pPr>
      <w:hyperlink r:id="rId180" w:history="1">
        <w:r w:rsidR="00CB570A" w:rsidRPr="001F715A">
          <w:rPr>
            <w:rStyle w:val="Hypertextovodkaz"/>
            <w:rFonts w:cs="OfficinaSansItcTOT-Book"/>
            <w:sz w:val="18"/>
            <w:szCs w:val="19"/>
            <w:lang w:eastAsia="cs-CZ"/>
          </w:rPr>
          <w:t>www.justice.cz</w:t>
        </w:r>
      </w:hyperlink>
    </w:p>
    <w:p w14:paraId="600297D5" w14:textId="77777777" w:rsidR="00D77934" w:rsidRPr="00AC1E67" w:rsidRDefault="00D77934"/>
    <w:sectPr w:rsidR="00D77934" w:rsidRPr="00AC1E67" w:rsidSect="00E077F3">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22212" w14:textId="77777777" w:rsidR="00F30920" w:rsidRDefault="00F30920" w:rsidP="008430BD">
      <w:pPr>
        <w:spacing w:line="240" w:lineRule="auto"/>
      </w:pPr>
      <w:r>
        <w:separator/>
      </w:r>
    </w:p>
  </w:endnote>
  <w:endnote w:type="continuationSeparator" w:id="0">
    <w:p w14:paraId="7961C3DE" w14:textId="77777777" w:rsidR="00F30920" w:rsidRDefault="00F30920" w:rsidP="008430BD">
      <w:pPr>
        <w:spacing w:line="240" w:lineRule="auto"/>
      </w:pPr>
      <w:r>
        <w:continuationSeparator/>
      </w:r>
    </w:p>
  </w:endnote>
  <w:endnote w:type="continuationNotice" w:id="1">
    <w:p w14:paraId="5020D3B3" w14:textId="77777777" w:rsidR="00F30920" w:rsidRDefault="00F309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 Next LT Pro Condensed">
    <w:altName w:val="Arial Narrow"/>
    <w:charset w:val="EE"/>
    <w:family w:val="swiss"/>
    <w:pitch w:val="variable"/>
    <w:sig w:usb0="00000001" w:usb1="5000205B" w:usb2="00000000" w:usb3="00000000" w:csb0="0000009B"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5D16" w14:textId="3057F033" w:rsidR="00EF6AE2" w:rsidRDefault="005608B5" w:rsidP="00B76DEB">
    <w:pPr>
      <w:pStyle w:val="Zpat"/>
      <w:jc w:val="center"/>
    </w:pPr>
    <w:r>
      <w:fldChar w:fldCharType="begin"/>
    </w:r>
    <w:r>
      <w:instrText>PAGE   \* MERGEFORMAT</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F19D" w14:textId="77777777" w:rsidR="00D96A4C" w:rsidRDefault="00D96A4C" w:rsidP="00E077F3">
    <w:pPr>
      <w:pStyle w:val="Zpat"/>
      <w:jc w:val="center"/>
    </w:pPr>
    <w:r>
      <w:fldChar w:fldCharType="begin"/>
    </w:r>
    <w:r>
      <w:instrText>PAGE   \* MERGEFORMAT</w:instrText>
    </w:r>
    <w:r>
      <w:fldChar w:fldCharType="separate"/>
    </w:r>
    <w:r>
      <w:rPr>
        <w:noProof/>
      </w:rPr>
      <w:t>3</w:t>
    </w:r>
    <w:r>
      <w:fldChar w:fldCharType="end"/>
    </w:r>
  </w:p>
  <w:p w14:paraId="589D027A" w14:textId="77777777" w:rsidR="00D96A4C" w:rsidRDefault="00D96A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D931" w14:textId="73351114" w:rsidR="008A1918" w:rsidRDefault="008A1918" w:rsidP="00E077F3">
    <w:pPr>
      <w:pStyle w:val="Zpat"/>
      <w:jc w:val="center"/>
    </w:pPr>
    <w:r>
      <w:fldChar w:fldCharType="begin"/>
    </w:r>
    <w:r>
      <w:instrText>PAGE   \* MERGEFORMAT</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E88AF" w14:textId="77777777" w:rsidR="00F30920" w:rsidRDefault="00F30920" w:rsidP="008430BD">
      <w:pPr>
        <w:spacing w:line="240" w:lineRule="auto"/>
      </w:pPr>
      <w:r>
        <w:separator/>
      </w:r>
    </w:p>
  </w:footnote>
  <w:footnote w:type="continuationSeparator" w:id="0">
    <w:p w14:paraId="27402E5C" w14:textId="77777777" w:rsidR="00F30920" w:rsidRDefault="00F30920" w:rsidP="008430BD">
      <w:pPr>
        <w:spacing w:line="240" w:lineRule="auto"/>
      </w:pPr>
      <w:r>
        <w:continuationSeparator/>
      </w:r>
    </w:p>
  </w:footnote>
  <w:footnote w:type="continuationNotice" w:id="1">
    <w:p w14:paraId="6B8CE550" w14:textId="77777777" w:rsidR="00F30920" w:rsidRDefault="00F30920">
      <w:pPr>
        <w:spacing w:line="240" w:lineRule="auto"/>
      </w:pPr>
    </w:p>
  </w:footnote>
  <w:footnote w:id="2">
    <w:p w14:paraId="635DF0F1" w14:textId="77777777" w:rsidR="008A1918" w:rsidRPr="001229BC" w:rsidRDefault="008A1918" w:rsidP="008430BD">
      <w:pPr>
        <w:pStyle w:val="Textpoznpodarou"/>
      </w:pPr>
      <w:r w:rsidRPr="001229BC">
        <w:rPr>
          <w:rStyle w:val="Znakapoznpodarou"/>
        </w:rPr>
        <w:footnoteRef/>
      </w:r>
      <w:r w:rsidRPr="001229BC">
        <w:t xml:space="preserve"> Justiční statistická ročenka na rozdíl od této zprávy obsahuje pouze kompilaci automaticky generovaných sestav bez dalšího komentáře či grafického znázornění dat.</w:t>
      </w:r>
    </w:p>
  </w:footnote>
  <w:footnote w:id="3">
    <w:p w14:paraId="25F14164" w14:textId="77777777" w:rsidR="008A1918" w:rsidRPr="001229BC" w:rsidRDefault="008A1918" w:rsidP="008430BD">
      <w:pPr>
        <w:pStyle w:val="Textpoznpodarou"/>
      </w:pPr>
      <w:r w:rsidRPr="001229BC">
        <w:rPr>
          <w:rStyle w:val="Znakapoznpodarou"/>
        </w:rPr>
        <w:footnoteRef/>
      </w:r>
      <w:r w:rsidRPr="001229BC">
        <w:t xml:space="preserve"> </w:t>
      </w:r>
      <w:hyperlink r:id="rId1" w:history="1">
        <w:r w:rsidRPr="00726585">
          <w:rPr>
            <w:rStyle w:val="Hypertextovodkaz"/>
          </w:rPr>
          <w:t>https://www.justice.cz/web/msp/statisticke-udaje-z-oblasti-justice</w:t>
        </w:r>
      </w:hyperlink>
      <w:r w:rsidRPr="001229BC">
        <w:t>.</w:t>
      </w:r>
    </w:p>
  </w:footnote>
  <w:footnote w:id="4">
    <w:p w14:paraId="2BB94329" w14:textId="0E4CC120" w:rsidR="005A4C85" w:rsidRPr="001229BC" w:rsidRDefault="005A4C85" w:rsidP="005A4C85">
      <w:pPr>
        <w:pStyle w:val="Textpoznpodarou"/>
      </w:pPr>
      <w:r w:rsidRPr="001229BC">
        <w:rPr>
          <w:rStyle w:val="Znakapoznpodarou"/>
        </w:rPr>
        <w:footnoteRef/>
      </w:r>
      <w:r w:rsidRPr="001229BC">
        <w:t xml:space="preserve"> Například v Německu jsou věci, v nichž přerušení řízení přesáhne délku šesti měsíců, ve statistikách soudů vykazovány jako rozhodnuté, protože pokud soudce po více než 6</w:t>
      </w:r>
      <w:r w:rsidR="00F7322A">
        <w:t> </w:t>
      </w:r>
      <w:r w:rsidRPr="001229BC">
        <w:t xml:space="preserve">měsících začne na </w:t>
      </w:r>
      <w:r>
        <w:t xml:space="preserve">věci </w:t>
      </w:r>
      <w:r w:rsidRPr="001229BC">
        <w:t>znovu pracovat, jeho pracovní zatížení je srovnatelné s prací na kterémkoli novém případě.</w:t>
      </w:r>
    </w:p>
  </w:footnote>
  <w:footnote w:id="5">
    <w:p w14:paraId="629293DA" w14:textId="2C62A042" w:rsidR="00712481" w:rsidRDefault="00712481" w:rsidP="00712481">
      <w:pPr>
        <w:pStyle w:val="Textpoznpodarou"/>
      </w:pPr>
      <w:r>
        <w:rPr>
          <w:rStyle w:val="Znakapoznpodarou"/>
        </w:rPr>
        <w:footnoteRef/>
      </w:r>
      <w:r>
        <w:t xml:space="preserve"> Kvůli způsobu získávání dat je skutečný počet úvazků k 1.</w:t>
      </w:r>
      <w:r w:rsidR="00F7322A">
        <w:t> </w:t>
      </w:r>
      <w:r>
        <w:t>1.</w:t>
      </w:r>
      <w:r w:rsidR="00F7322A">
        <w:t> </w:t>
      </w:r>
      <w:r>
        <w:t>202</w:t>
      </w:r>
      <w:r w:rsidR="007C3687">
        <w:t>2</w:t>
      </w:r>
      <w:r w:rsidR="000E0C47">
        <w:t>.</w:t>
      </w:r>
    </w:p>
  </w:footnote>
  <w:footnote w:id="6">
    <w:p w14:paraId="01EE0366" w14:textId="77777777" w:rsidR="00947E16" w:rsidRDefault="00947E16" w:rsidP="00947E16">
      <w:pPr>
        <w:pStyle w:val="Textpoznpodarou"/>
      </w:pPr>
      <w:r>
        <w:rPr>
          <w:rStyle w:val="Znakapoznpodarou"/>
        </w:rPr>
        <w:footnoteRef/>
      </w:r>
      <w:r>
        <w:t xml:space="preserve"> Komise pro efektivitu justice Rady Evropy.</w:t>
      </w:r>
    </w:p>
  </w:footnote>
  <w:footnote w:id="7">
    <w:p w14:paraId="705ADC86" w14:textId="77777777" w:rsidR="0079693A" w:rsidRPr="001229BC" w:rsidRDefault="0079693A" w:rsidP="0079693A">
      <w:pPr>
        <w:pStyle w:val="Textpoznpodarou"/>
      </w:pPr>
      <w:r w:rsidRPr="001229BC">
        <w:rPr>
          <w:rStyle w:val="Znakapoznpodarou"/>
        </w:rPr>
        <w:footnoteRef/>
      </w:r>
      <w:r w:rsidRPr="001229BC">
        <w:t xml:space="preserve"> Toto srovnání lze velmi dobře provést, i když ve statistikách nespadá počet převedených věcí pod počet věcí vyřízených. Princip je zde stejný jako u nápadu a u vyřízených věcí</w:t>
      </w:r>
      <w:r>
        <w:t xml:space="preserve">, tedy </w:t>
      </w:r>
      <w:r w:rsidRPr="001229BC">
        <w:t>nejedná se o skupinu totožných věcí.</w:t>
      </w:r>
    </w:p>
  </w:footnote>
  <w:footnote w:id="8">
    <w:p w14:paraId="1F5FF282" w14:textId="77777777" w:rsidR="00F10457" w:rsidRDefault="00F10457" w:rsidP="00F10457">
      <w:pPr>
        <w:pStyle w:val="Textpoznpodarou"/>
      </w:pPr>
      <w:r>
        <w:rPr>
          <w:rStyle w:val="Znakapoznpodarou"/>
        </w:rPr>
        <w:footnoteRef/>
      </w:r>
      <w:r>
        <w:t xml:space="preserve"> Viz ekonomická analýza zločinu, se kterou přišel držitel Nobelovy ceny Gary </w:t>
      </w:r>
      <w:proofErr w:type="spellStart"/>
      <w:r>
        <w:t>Becker</w:t>
      </w:r>
      <w:proofErr w:type="spellEnd"/>
      <w:r>
        <w:t xml:space="preserve"> článkem „</w:t>
      </w:r>
      <w:proofErr w:type="spellStart"/>
      <w:r w:rsidRPr="00431668">
        <w:t>Crime</w:t>
      </w:r>
      <w:proofErr w:type="spellEnd"/>
      <w:r w:rsidRPr="00431668">
        <w:t xml:space="preserve"> and </w:t>
      </w:r>
      <w:proofErr w:type="spellStart"/>
      <w:r w:rsidRPr="00431668">
        <w:t>Punishment</w:t>
      </w:r>
      <w:proofErr w:type="spellEnd"/>
      <w:r w:rsidRPr="00431668">
        <w:t xml:space="preserve">: An </w:t>
      </w:r>
      <w:proofErr w:type="spellStart"/>
      <w:r w:rsidRPr="00431668">
        <w:t>Economic</w:t>
      </w:r>
      <w:proofErr w:type="spellEnd"/>
      <w:r w:rsidRPr="00431668">
        <w:t xml:space="preserve"> </w:t>
      </w:r>
      <w:proofErr w:type="spellStart"/>
      <w:r w:rsidRPr="00431668">
        <w:t>Approach</w:t>
      </w:r>
      <w:proofErr w:type="spellEnd"/>
      <w:r>
        <w:t>“ z roku 1968.</w:t>
      </w:r>
    </w:p>
  </w:footnote>
  <w:footnote w:id="9">
    <w:p w14:paraId="76D5BEB1" w14:textId="21345D60" w:rsidR="004B61EF" w:rsidRPr="001229BC" w:rsidRDefault="004B61EF" w:rsidP="004B61EF">
      <w:pPr>
        <w:pStyle w:val="Textpoznpodarou"/>
      </w:pPr>
      <w:r w:rsidRPr="001229BC">
        <w:rPr>
          <w:rStyle w:val="Znakapoznpodarou"/>
        </w:rPr>
        <w:footnoteRef/>
      </w:r>
      <w:r w:rsidRPr="001229BC">
        <w:t xml:space="preserve"> Ukládá-li soud peněžitý trest, stanoví pro případ, že by ve stanovené lhůtě nebyl vykonán, náhradní trest odnětí svobody (</w:t>
      </w:r>
      <w:proofErr w:type="spellStart"/>
      <w:r w:rsidRPr="001229BC">
        <w:t>ust</w:t>
      </w:r>
      <w:proofErr w:type="spellEnd"/>
      <w:r w:rsidRPr="001229BC">
        <w:t>. § 69 odst.</w:t>
      </w:r>
      <w:r w:rsidR="00F7322A">
        <w:t> </w:t>
      </w:r>
      <w:r w:rsidRPr="001229BC">
        <w:t>1 trestního zákoníku</w:t>
      </w:r>
      <w:r>
        <w:t xml:space="preserve"> ve znění do 30.</w:t>
      </w:r>
      <w:r w:rsidR="00F7322A">
        <w:t> </w:t>
      </w:r>
      <w:r>
        <w:t>9.</w:t>
      </w:r>
      <w:r w:rsidR="00F7322A">
        <w:t> </w:t>
      </w:r>
      <w:r>
        <w:t>2020</w:t>
      </w:r>
      <w:r w:rsidRPr="001229BC">
        <w:t>).</w:t>
      </w:r>
    </w:p>
  </w:footnote>
  <w:footnote w:id="10">
    <w:p w14:paraId="7AD07E87" w14:textId="159DAC30" w:rsidR="0071552D" w:rsidRDefault="0071552D">
      <w:pPr>
        <w:pStyle w:val="Textpoznpodarou"/>
      </w:pPr>
      <w:r>
        <w:rPr>
          <w:rStyle w:val="Znakapoznpodarou"/>
        </w:rPr>
        <w:footnoteRef/>
      </w:r>
      <w:r>
        <w:t xml:space="preserve"> Tento termín je pouhou zkratkou pro situaci, kdy je určováno výživné dítěte, která má platit matka dítěte.</w:t>
      </w:r>
    </w:p>
  </w:footnote>
  <w:footnote w:id="11">
    <w:p w14:paraId="1D625C25" w14:textId="3E3F5A07" w:rsidR="0071552D" w:rsidRDefault="0071552D">
      <w:pPr>
        <w:pStyle w:val="Textpoznpodarou"/>
      </w:pPr>
      <w:r>
        <w:rPr>
          <w:rStyle w:val="Znakapoznpodarou"/>
        </w:rPr>
        <w:footnoteRef/>
      </w:r>
      <w:r>
        <w:t xml:space="preserve"> Viz předchozí, u mužů.</w:t>
      </w:r>
    </w:p>
  </w:footnote>
  <w:footnote w:id="12">
    <w:p w14:paraId="05EE42C2" w14:textId="0C18C51A" w:rsidR="007016F2" w:rsidRDefault="007016F2">
      <w:pPr>
        <w:pStyle w:val="Textpoznpodarou"/>
      </w:pPr>
      <w:r>
        <w:rPr>
          <w:rStyle w:val="Znakapoznpodarou"/>
        </w:rPr>
        <w:footnoteRef/>
      </w:r>
      <w:r>
        <w:t xml:space="preserve"> Obecně existuje mnoho druhů různých podpůrných opatření, ať již ukotvených legislativně či jinak. Pouze část pak upravuje občanský zákoník a jen menší část je sledována statisticky.</w:t>
      </w:r>
    </w:p>
  </w:footnote>
  <w:footnote w:id="13">
    <w:p w14:paraId="4C02AFA8" w14:textId="0F167DC7" w:rsidR="009B2FE0" w:rsidRDefault="009B2FE0">
      <w:pPr>
        <w:pStyle w:val="Textpoznpodarou"/>
      </w:pPr>
      <w:r w:rsidRPr="004362DC">
        <w:rPr>
          <w:rStyle w:val="Znakapoznpodarou"/>
        </w:rPr>
        <w:footnoteRef/>
      </w:r>
      <w:r w:rsidRPr="004362DC">
        <w:t xml:space="preserve"> Délky řízení (včetně odvolacího) jsou standardně zjišťovány ze statistických listů. </w:t>
      </w:r>
      <w:r w:rsidR="004362DC" w:rsidRPr="004362DC">
        <w:t xml:space="preserve">Statistický list pro insolvenční řízení disponuje potřebnými údaji </w:t>
      </w:r>
      <w:r w:rsidR="004362DC">
        <w:t xml:space="preserve">až </w:t>
      </w:r>
      <w:r w:rsidR="004362DC" w:rsidRPr="004362DC">
        <w:t>od roku 2020, a tudíž dosud nevznikla dostatečná časová řada pro relevantní analýzu.</w:t>
      </w:r>
    </w:p>
  </w:footnote>
  <w:footnote w:id="14">
    <w:p w14:paraId="392B1633" w14:textId="2D4E2221" w:rsidR="00FB42E4" w:rsidRDefault="00FB42E4">
      <w:pPr>
        <w:pStyle w:val="Textpoznpodarou"/>
      </w:pPr>
      <w:r>
        <w:rPr>
          <w:rStyle w:val="Znakapoznpodarou"/>
        </w:rPr>
        <w:footnoteRef/>
      </w:r>
      <w:r>
        <w:t xml:space="preserve"> Ministerstvo spravedlnosti zatím nemá k dispozici dostatečně podrobná data o počtu soudců</w:t>
      </w:r>
      <w:r w:rsidR="005B0E0D">
        <w:t>.</w:t>
      </w:r>
    </w:p>
  </w:footnote>
  <w:footnote w:id="15">
    <w:p w14:paraId="621E5286" w14:textId="4E120D08" w:rsidR="00D62476" w:rsidRDefault="00D62476">
      <w:pPr>
        <w:pStyle w:val="Textpoznpodarou"/>
      </w:pPr>
      <w:r>
        <w:rPr>
          <w:rStyle w:val="Znakapoznpodarou"/>
        </w:rPr>
        <w:footnoteRef/>
      </w:r>
      <w:r>
        <w:t xml:space="preserve"> </w:t>
      </w:r>
      <w:r w:rsidRPr="00D62476">
        <w:t xml:space="preserve">Seskupení právně samostatných </w:t>
      </w:r>
      <w:r>
        <w:t xml:space="preserve">společností </w:t>
      </w:r>
      <w:r w:rsidRPr="00D62476">
        <w:t>podřízených jednomu vedení. Vzniká buď na základě kapitálové účasti, nebo na smluvním základě</w:t>
      </w:r>
      <w:r>
        <w:t xml:space="preserve"> (viz </w:t>
      </w:r>
      <w:r w:rsidR="00EE345A">
        <w:t xml:space="preserve">též </w:t>
      </w:r>
      <w:proofErr w:type="spellStart"/>
      <w:r>
        <w:t>ust</w:t>
      </w:r>
      <w:proofErr w:type="spellEnd"/>
      <w:r>
        <w:t>. §</w:t>
      </w:r>
      <w:r w:rsidR="00EE345A">
        <w:t xml:space="preserve"> 79 a násl. zák. č. 90/2012 Sb., o </w:t>
      </w:r>
      <w:r w:rsidR="00EE345A" w:rsidRPr="00EE345A">
        <w:t>obchodních spole</w:t>
      </w:r>
      <w:r w:rsidR="00EE345A">
        <w:t>č</w:t>
      </w:r>
      <w:r w:rsidR="00EE345A" w:rsidRPr="00EE345A">
        <w:t>nostech a družstvech</w:t>
      </w:r>
      <w:r w:rsidR="00EE345A">
        <w:t>)</w:t>
      </w:r>
      <w:r w:rsidRPr="00D62476">
        <w:t>.</w:t>
      </w:r>
    </w:p>
  </w:footnote>
  <w:footnote w:id="16">
    <w:p w14:paraId="197A599A" w14:textId="344198A0" w:rsidR="008263E4" w:rsidRDefault="008263E4">
      <w:pPr>
        <w:pStyle w:val="Textpoznpodarou"/>
      </w:pPr>
      <w:r>
        <w:rPr>
          <w:rStyle w:val="Znakapoznpodarou"/>
        </w:rPr>
        <w:footnoteRef/>
      </w:r>
      <w:r>
        <w:t xml:space="preserve"> Jednalo se např. o úpadek cirka 50 dlužníků tvořící koncern.</w:t>
      </w:r>
    </w:p>
  </w:footnote>
  <w:footnote w:id="17">
    <w:p w14:paraId="6A324E31" w14:textId="77777777" w:rsidR="00B06833" w:rsidRDefault="00B06833" w:rsidP="00B06833">
      <w:pPr>
        <w:pStyle w:val="Textpoznpodarou"/>
      </w:pPr>
      <w:r>
        <w:rPr>
          <w:rStyle w:val="Znakapoznpodarou"/>
        </w:rPr>
        <w:footnoteRef/>
      </w:r>
      <w:r>
        <w:t xml:space="preserve"> § 14 zákona č. 6/2002 Sb., o soudech, soudcích, přísedících a státní správě soudů a o změně některých dalších zákonů (zákon o soudech a soudcích), ve znění pozdějších předpisů.</w:t>
      </w:r>
    </w:p>
  </w:footnote>
  <w:footnote w:id="18">
    <w:p w14:paraId="26EE8D7C" w14:textId="77777777" w:rsidR="00B06833" w:rsidRDefault="00B06833" w:rsidP="00B06833">
      <w:pPr>
        <w:pStyle w:val="Textpoznpodarou"/>
      </w:pPr>
      <w:r>
        <w:rPr>
          <w:rStyle w:val="Znakapoznpodarou"/>
        </w:rPr>
        <w:footnoteRef/>
      </w:r>
      <w:r>
        <w:t xml:space="preserve"> Ročenky Nejvyššího soudu jsou k dispozici na jeho </w:t>
      </w:r>
      <w:r w:rsidR="00D304BC">
        <w:t>webových</w:t>
      </w:r>
      <w:r w:rsidR="00F94945">
        <w:t xml:space="preserve"> </w:t>
      </w:r>
      <w:r>
        <w:t>stránkách</w:t>
      </w:r>
    </w:p>
  </w:footnote>
  <w:footnote w:id="19">
    <w:p w14:paraId="5F59FC87" w14:textId="3D9E23D3" w:rsidR="006D2318" w:rsidRDefault="006D2318" w:rsidP="006D2318">
      <w:pPr>
        <w:pStyle w:val="Textpoznpodarou"/>
      </w:pPr>
      <w:r>
        <w:rPr>
          <w:rStyle w:val="Znakapoznpodarou"/>
        </w:rPr>
        <w:footnoteRef/>
      </w:r>
      <w:r>
        <w:t xml:space="preserve"> Soudce občanskoprávního a obchodního kolegia lze najít </w:t>
      </w:r>
      <w:hyperlink r:id="rId2" w:history="1">
        <w:r>
          <w:rPr>
            <w:rStyle w:val="Hypertextovodkaz"/>
          </w:rPr>
          <w:t>zde</w:t>
        </w:r>
      </w:hyperlink>
      <w:r>
        <w:rPr>
          <w:rStyle w:val="Hypertextovodkaz"/>
        </w:rPr>
        <w:t>;</w:t>
      </w:r>
      <w:r>
        <w:t xml:space="preserve"> soudci trestního kolegia jsou vyjmenováni </w:t>
      </w:r>
      <w:hyperlink r:id="rId3" w:history="1">
        <w:r>
          <w:rPr>
            <w:rStyle w:val="Hypertextovodkaz"/>
          </w:rPr>
          <w:t>zde</w:t>
        </w:r>
      </w:hyperlink>
      <w:r>
        <w:t>. Navštíveno dne 11.</w:t>
      </w:r>
      <w:r w:rsidR="00F7322A">
        <w:t> </w:t>
      </w:r>
      <w:r>
        <w:t>4.</w:t>
      </w:r>
      <w:r w:rsidR="00F7322A">
        <w:t> </w:t>
      </w:r>
      <w:r>
        <w:t>2022.</w:t>
      </w:r>
    </w:p>
  </w:footnote>
  <w:footnote w:id="20">
    <w:p w14:paraId="33BAA3F9" w14:textId="4EC437DD" w:rsidR="00FC1329" w:rsidRDefault="00FC1329" w:rsidP="00FC1329">
      <w:pPr>
        <w:pStyle w:val="Textpoznpodarou"/>
      </w:pPr>
      <w:r w:rsidRPr="005C6C65">
        <w:rPr>
          <w:rStyle w:val="Znakapoznpodarou"/>
        </w:rPr>
        <w:footnoteRef/>
      </w:r>
      <w:r w:rsidRPr="005C6C65">
        <w:t xml:space="preserve"> Viz stanovisko </w:t>
      </w:r>
      <w:r w:rsidR="00480E29" w:rsidRPr="005C6C65">
        <w:t xml:space="preserve">ministryně spravedlnosti </w:t>
      </w:r>
      <w:r w:rsidRPr="005C6C65">
        <w:t>k podnětům k podání stížnosti pro porušení zákona v souvislosti s</w:t>
      </w:r>
      <w:r w:rsidR="00F7322A">
        <w:t> </w:t>
      </w:r>
      <w:r w:rsidRPr="005C6C65">
        <w:t>uloženými tresty za vybrané trestné činy spáchané za nouzového stavu státu (pandemie COVID-19</w:t>
      </w:r>
      <w:r w:rsidR="00F94945" w:rsidRPr="005C6C65">
        <w:t>).</w:t>
      </w:r>
      <w:r w:rsidRPr="005C6C65">
        <w:t>)</w:t>
      </w:r>
      <w:r w:rsidR="00480E29" w:rsidRPr="005C6C65">
        <w:t xml:space="preserve"> z 29.</w:t>
      </w:r>
      <w:r w:rsidR="00F7322A">
        <w:t> </w:t>
      </w:r>
      <w:r w:rsidR="00480E29" w:rsidRPr="005C6C65">
        <w:t>7.</w:t>
      </w:r>
      <w:r w:rsidR="00F7322A">
        <w:t> </w:t>
      </w:r>
      <w:r w:rsidR="00480E29" w:rsidRPr="005C6C65">
        <w:t>2021</w:t>
      </w:r>
      <w:r w:rsidRPr="005C6C65">
        <w:t xml:space="preserve">. V plném znění je dohledatelné </w:t>
      </w:r>
      <w:hyperlink r:id="rId4" w:history="1">
        <w:r w:rsidRPr="005C6C65">
          <w:rPr>
            <w:rStyle w:val="Hypertextovodkaz"/>
          </w:rPr>
          <w:t>zde</w:t>
        </w:r>
      </w:hyperlink>
      <w:r w:rsidRPr="005C6C65">
        <w:t>, navštíveno 11.</w:t>
      </w:r>
      <w:r w:rsidR="00F7322A">
        <w:t> </w:t>
      </w:r>
      <w:r w:rsidRPr="005C6C65">
        <w:t>4.</w:t>
      </w:r>
      <w:r w:rsidR="00F7322A">
        <w:t> </w:t>
      </w:r>
      <w:r w:rsidRPr="005C6C65">
        <w:t>2022.</w:t>
      </w:r>
    </w:p>
  </w:footnote>
  <w:footnote w:id="21">
    <w:p w14:paraId="0DC76792" w14:textId="567EA2FB" w:rsidR="00C80217" w:rsidRDefault="00C80217">
      <w:pPr>
        <w:pStyle w:val="Textpoznpodarou"/>
      </w:pPr>
      <w:r>
        <w:rPr>
          <w:rStyle w:val="Znakapoznpodarou"/>
        </w:rPr>
        <w:footnoteRef/>
      </w:r>
      <w:r>
        <w:t xml:space="preserve"> Zde je třeba poznamenat, že v zahraničí jsou bagatelní spory často řešeny jinými orgány a nemusí se tak promítat do těchto statistik.</w:t>
      </w:r>
    </w:p>
  </w:footnote>
  <w:footnote w:id="22">
    <w:p w14:paraId="6F9A322D" w14:textId="77777777" w:rsidR="008A1918" w:rsidRPr="001229BC" w:rsidRDefault="008A1918" w:rsidP="008430BD">
      <w:pPr>
        <w:pStyle w:val="Textpoznpodarou"/>
      </w:pPr>
      <w:r w:rsidRPr="001229BC">
        <w:rPr>
          <w:rStyle w:val="Znakapoznpodarou"/>
        </w:rPr>
        <w:footnoteRef/>
      </w:r>
      <w:r w:rsidRPr="001229BC">
        <w:t xml:space="preserve"> Komise pro efektivitu justice Rady Evropy.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5F0"/>
    <w:multiLevelType w:val="hybridMultilevel"/>
    <w:tmpl w:val="30381C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0D56A9"/>
    <w:multiLevelType w:val="hybridMultilevel"/>
    <w:tmpl w:val="BA2CDE8E"/>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4" w15:restartNumberingAfterBreak="0">
    <w:nsid w:val="07A74FF2"/>
    <w:multiLevelType w:val="hybridMultilevel"/>
    <w:tmpl w:val="8384DC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426CA2"/>
    <w:multiLevelType w:val="hybridMultilevel"/>
    <w:tmpl w:val="F57400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61641F"/>
    <w:multiLevelType w:val="hybridMultilevel"/>
    <w:tmpl w:val="882A55B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02B7FCD"/>
    <w:multiLevelType w:val="hybridMultilevel"/>
    <w:tmpl w:val="68307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594BE6"/>
    <w:multiLevelType w:val="hybridMultilevel"/>
    <w:tmpl w:val="110C72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2" w15:restartNumberingAfterBreak="0">
    <w:nsid w:val="25BC5F5D"/>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5E3348B"/>
    <w:multiLevelType w:val="hybridMultilevel"/>
    <w:tmpl w:val="D15C6D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6802DBF"/>
    <w:multiLevelType w:val="hybridMultilevel"/>
    <w:tmpl w:val="63505BD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292659A1"/>
    <w:multiLevelType w:val="hybridMultilevel"/>
    <w:tmpl w:val="5A782F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564BF3"/>
    <w:multiLevelType w:val="hybridMultilevel"/>
    <w:tmpl w:val="F0F811E4"/>
    <w:lvl w:ilvl="0" w:tplc="8B48E3B4">
      <w:start w:val="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C942ED"/>
    <w:multiLevelType w:val="hybridMultilevel"/>
    <w:tmpl w:val="A6463ABC"/>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8" w15:restartNumberingAfterBreak="0">
    <w:nsid w:val="32ED59D1"/>
    <w:multiLevelType w:val="hybridMultilevel"/>
    <w:tmpl w:val="F08CAB98"/>
    <w:lvl w:ilvl="0" w:tplc="04050001">
      <w:start w:val="1"/>
      <w:numFmt w:val="bullet"/>
      <w:lvlText w:val=""/>
      <w:lvlJc w:val="left"/>
      <w:pPr>
        <w:ind w:left="774" w:hanging="360"/>
      </w:pPr>
      <w:rPr>
        <w:rFonts w:ascii="Symbol" w:hAnsi="Symbol" w:cs="Symbol" w:hint="default"/>
      </w:rPr>
    </w:lvl>
    <w:lvl w:ilvl="1" w:tplc="04050003">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cs="Wingdings" w:hint="default"/>
      </w:rPr>
    </w:lvl>
    <w:lvl w:ilvl="3" w:tplc="04050001" w:tentative="1">
      <w:start w:val="1"/>
      <w:numFmt w:val="bullet"/>
      <w:lvlText w:val=""/>
      <w:lvlJc w:val="left"/>
      <w:pPr>
        <w:ind w:left="2934" w:hanging="360"/>
      </w:pPr>
      <w:rPr>
        <w:rFonts w:ascii="Symbol" w:hAnsi="Symbol" w:cs="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cs="Wingdings" w:hint="default"/>
      </w:rPr>
    </w:lvl>
    <w:lvl w:ilvl="6" w:tplc="04050001" w:tentative="1">
      <w:start w:val="1"/>
      <w:numFmt w:val="bullet"/>
      <w:lvlText w:val=""/>
      <w:lvlJc w:val="left"/>
      <w:pPr>
        <w:ind w:left="5094" w:hanging="360"/>
      </w:pPr>
      <w:rPr>
        <w:rFonts w:ascii="Symbol" w:hAnsi="Symbol" w:cs="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cs="Wingdings" w:hint="default"/>
      </w:rPr>
    </w:lvl>
  </w:abstractNum>
  <w:abstractNum w:abstractNumId="19" w15:restartNumberingAfterBreak="0">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9A62B1"/>
    <w:multiLevelType w:val="hybridMultilevel"/>
    <w:tmpl w:val="BCDCD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4D2234"/>
    <w:multiLevelType w:val="hybridMultilevel"/>
    <w:tmpl w:val="C2829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886D61"/>
    <w:multiLevelType w:val="hybridMultilevel"/>
    <w:tmpl w:val="0320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313BD6"/>
    <w:multiLevelType w:val="hybridMultilevel"/>
    <w:tmpl w:val="A546E696"/>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6" w15:restartNumberingAfterBreak="0">
    <w:nsid w:val="54226612"/>
    <w:multiLevelType w:val="hybridMultilevel"/>
    <w:tmpl w:val="2E62D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45174E3"/>
    <w:multiLevelType w:val="hybridMultilevel"/>
    <w:tmpl w:val="ECD2E564"/>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8" w15:restartNumberingAfterBreak="0">
    <w:nsid w:val="5D6A635A"/>
    <w:multiLevelType w:val="hybridMultilevel"/>
    <w:tmpl w:val="8C6A1F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2AE0192"/>
    <w:multiLevelType w:val="hybridMultilevel"/>
    <w:tmpl w:val="BF0488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D11E2E"/>
    <w:multiLevelType w:val="hybridMultilevel"/>
    <w:tmpl w:val="FDD8F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9B33FEE"/>
    <w:multiLevelType w:val="hybridMultilevel"/>
    <w:tmpl w:val="AC6C5F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E9368B"/>
    <w:multiLevelType w:val="hybridMultilevel"/>
    <w:tmpl w:val="6FA8DA8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C262A9C"/>
    <w:multiLevelType w:val="hybridMultilevel"/>
    <w:tmpl w:val="AD287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C7609B0"/>
    <w:multiLevelType w:val="hybridMultilevel"/>
    <w:tmpl w:val="B0CCF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137B7F"/>
    <w:multiLevelType w:val="hybridMultilevel"/>
    <w:tmpl w:val="F862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F041A08"/>
    <w:multiLevelType w:val="hybridMultilevel"/>
    <w:tmpl w:val="C4C2FA3E"/>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num w:numId="1">
    <w:abstractNumId w:val="12"/>
  </w:num>
  <w:num w:numId="2">
    <w:abstractNumId w:val="23"/>
  </w:num>
  <w:num w:numId="3">
    <w:abstractNumId w:val="0"/>
  </w:num>
  <w:num w:numId="4">
    <w:abstractNumId w:val="5"/>
  </w:num>
  <w:num w:numId="5">
    <w:abstractNumId w:val="32"/>
  </w:num>
  <w:num w:numId="6">
    <w:abstractNumId w:val="38"/>
  </w:num>
  <w:num w:numId="7">
    <w:abstractNumId w:val="35"/>
  </w:num>
  <w:num w:numId="8">
    <w:abstractNumId w:val="9"/>
  </w:num>
  <w:num w:numId="9">
    <w:abstractNumId w:val="10"/>
  </w:num>
  <w:num w:numId="10">
    <w:abstractNumId w:val="19"/>
  </w:num>
  <w:num w:numId="11">
    <w:abstractNumId w:val="2"/>
  </w:num>
  <w:num w:numId="12">
    <w:abstractNumId w:val="24"/>
  </w:num>
  <w:num w:numId="13">
    <w:abstractNumId w:val="11"/>
  </w:num>
  <w:num w:numId="14">
    <w:abstractNumId w:val="20"/>
  </w:num>
  <w:num w:numId="15">
    <w:abstractNumId w:val="1"/>
  </w:num>
  <w:num w:numId="16">
    <w:abstractNumId w:val="13"/>
  </w:num>
  <w:num w:numId="17">
    <w:abstractNumId w:val="22"/>
  </w:num>
  <w:num w:numId="18">
    <w:abstractNumId w:val="6"/>
  </w:num>
  <w:num w:numId="19">
    <w:abstractNumId w:val="34"/>
  </w:num>
  <w:num w:numId="20">
    <w:abstractNumId w:val="29"/>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8"/>
  </w:num>
  <w:num w:numId="24">
    <w:abstractNumId w:val="36"/>
  </w:num>
  <w:num w:numId="25">
    <w:abstractNumId w:val="28"/>
  </w:num>
  <w:num w:numId="26">
    <w:abstractNumId w:val="27"/>
  </w:num>
  <w:num w:numId="27">
    <w:abstractNumId w:val="25"/>
  </w:num>
  <w:num w:numId="28">
    <w:abstractNumId w:val="39"/>
  </w:num>
  <w:num w:numId="29">
    <w:abstractNumId w:val="16"/>
  </w:num>
  <w:num w:numId="30">
    <w:abstractNumId w:val="33"/>
  </w:num>
  <w:num w:numId="31">
    <w:abstractNumId w:val="30"/>
  </w:num>
  <w:num w:numId="32">
    <w:abstractNumId w:val="37"/>
  </w:num>
  <w:num w:numId="33">
    <w:abstractNumId w:val="7"/>
  </w:num>
  <w:num w:numId="34">
    <w:abstractNumId w:val="31"/>
  </w:num>
  <w:num w:numId="35">
    <w:abstractNumId w:val="15"/>
  </w:num>
  <w:num w:numId="36">
    <w:abstractNumId w:val="17"/>
  </w:num>
  <w:num w:numId="37">
    <w:abstractNumId w:val="3"/>
  </w:num>
  <w:num w:numId="38">
    <w:abstractNumId w:val="8"/>
  </w:num>
  <w:num w:numId="39">
    <w:abstractNumId w:val="21"/>
  </w:num>
  <w:num w:numId="40">
    <w:abstractNumId w:val="14"/>
  </w:num>
  <w:num w:numId="41">
    <w:abstractNumId w:val="14"/>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BD"/>
    <w:rsid w:val="00001787"/>
    <w:rsid w:val="00001A5F"/>
    <w:rsid w:val="00003FDE"/>
    <w:rsid w:val="000046FE"/>
    <w:rsid w:val="00004B5D"/>
    <w:rsid w:val="00004E88"/>
    <w:rsid w:val="00005434"/>
    <w:rsid w:val="00006824"/>
    <w:rsid w:val="00006A2F"/>
    <w:rsid w:val="00006A92"/>
    <w:rsid w:val="00007029"/>
    <w:rsid w:val="00011FE2"/>
    <w:rsid w:val="0001221D"/>
    <w:rsid w:val="000130E3"/>
    <w:rsid w:val="000139E3"/>
    <w:rsid w:val="00013CB4"/>
    <w:rsid w:val="00014F1F"/>
    <w:rsid w:val="00016107"/>
    <w:rsid w:val="00017E45"/>
    <w:rsid w:val="00017F47"/>
    <w:rsid w:val="00021FDD"/>
    <w:rsid w:val="00023512"/>
    <w:rsid w:val="0002512C"/>
    <w:rsid w:val="00025E28"/>
    <w:rsid w:val="000267E2"/>
    <w:rsid w:val="00027839"/>
    <w:rsid w:val="0003012E"/>
    <w:rsid w:val="00030140"/>
    <w:rsid w:val="0003032A"/>
    <w:rsid w:val="000306D3"/>
    <w:rsid w:val="00030DC4"/>
    <w:rsid w:val="0003134F"/>
    <w:rsid w:val="00031B7B"/>
    <w:rsid w:val="00032FD9"/>
    <w:rsid w:val="00033563"/>
    <w:rsid w:val="00034468"/>
    <w:rsid w:val="000378D2"/>
    <w:rsid w:val="000413C4"/>
    <w:rsid w:val="000418AF"/>
    <w:rsid w:val="0004407D"/>
    <w:rsid w:val="000462DA"/>
    <w:rsid w:val="00046BCA"/>
    <w:rsid w:val="00047CBD"/>
    <w:rsid w:val="00050FD5"/>
    <w:rsid w:val="000511EF"/>
    <w:rsid w:val="0005126D"/>
    <w:rsid w:val="00051736"/>
    <w:rsid w:val="00053AF0"/>
    <w:rsid w:val="00054887"/>
    <w:rsid w:val="00060216"/>
    <w:rsid w:val="00060472"/>
    <w:rsid w:val="00060F97"/>
    <w:rsid w:val="000624D9"/>
    <w:rsid w:val="000646E1"/>
    <w:rsid w:val="0006596A"/>
    <w:rsid w:val="00066CFA"/>
    <w:rsid w:val="000700B6"/>
    <w:rsid w:val="00071631"/>
    <w:rsid w:val="00071A56"/>
    <w:rsid w:val="00072D67"/>
    <w:rsid w:val="000749BB"/>
    <w:rsid w:val="0007585E"/>
    <w:rsid w:val="00076009"/>
    <w:rsid w:val="00076410"/>
    <w:rsid w:val="000777CE"/>
    <w:rsid w:val="00081D57"/>
    <w:rsid w:val="00082738"/>
    <w:rsid w:val="00082D00"/>
    <w:rsid w:val="00083096"/>
    <w:rsid w:val="000849D0"/>
    <w:rsid w:val="00086753"/>
    <w:rsid w:val="00090729"/>
    <w:rsid w:val="00090CF1"/>
    <w:rsid w:val="00092117"/>
    <w:rsid w:val="00094ADF"/>
    <w:rsid w:val="000A04FF"/>
    <w:rsid w:val="000A3088"/>
    <w:rsid w:val="000A48FC"/>
    <w:rsid w:val="000A6DFA"/>
    <w:rsid w:val="000A7271"/>
    <w:rsid w:val="000A7ACF"/>
    <w:rsid w:val="000B22E1"/>
    <w:rsid w:val="000B274A"/>
    <w:rsid w:val="000B514E"/>
    <w:rsid w:val="000C109B"/>
    <w:rsid w:val="000C1A67"/>
    <w:rsid w:val="000C3B1E"/>
    <w:rsid w:val="000C3E4E"/>
    <w:rsid w:val="000C430A"/>
    <w:rsid w:val="000C43B6"/>
    <w:rsid w:val="000C6701"/>
    <w:rsid w:val="000C734E"/>
    <w:rsid w:val="000D386B"/>
    <w:rsid w:val="000D40D2"/>
    <w:rsid w:val="000D42A8"/>
    <w:rsid w:val="000D4B2A"/>
    <w:rsid w:val="000D4CD2"/>
    <w:rsid w:val="000D5984"/>
    <w:rsid w:val="000D6FB7"/>
    <w:rsid w:val="000E0C47"/>
    <w:rsid w:val="000E16A3"/>
    <w:rsid w:val="000E194C"/>
    <w:rsid w:val="000E1CAF"/>
    <w:rsid w:val="000E1EB9"/>
    <w:rsid w:val="000E2347"/>
    <w:rsid w:val="000E25BA"/>
    <w:rsid w:val="000E3507"/>
    <w:rsid w:val="000E5882"/>
    <w:rsid w:val="000E5976"/>
    <w:rsid w:val="000E6310"/>
    <w:rsid w:val="000E6C74"/>
    <w:rsid w:val="000F01F4"/>
    <w:rsid w:val="000F06FD"/>
    <w:rsid w:val="000F0C35"/>
    <w:rsid w:val="000F1418"/>
    <w:rsid w:val="000F1C6A"/>
    <w:rsid w:val="000F7713"/>
    <w:rsid w:val="000F78E8"/>
    <w:rsid w:val="00101914"/>
    <w:rsid w:val="00103628"/>
    <w:rsid w:val="00103791"/>
    <w:rsid w:val="00104E7A"/>
    <w:rsid w:val="00106159"/>
    <w:rsid w:val="00106459"/>
    <w:rsid w:val="0010718D"/>
    <w:rsid w:val="0010762C"/>
    <w:rsid w:val="00107682"/>
    <w:rsid w:val="00110EBC"/>
    <w:rsid w:val="00111D33"/>
    <w:rsid w:val="001126B0"/>
    <w:rsid w:val="0011486F"/>
    <w:rsid w:val="00117B74"/>
    <w:rsid w:val="001200BB"/>
    <w:rsid w:val="00120348"/>
    <w:rsid w:val="00120A38"/>
    <w:rsid w:val="00121DC9"/>
    <w:rsid w:val="00123051"/>
    <w:rsid w:val="0012339A"/>
    <w:rsid w:val="00124276"/>
    <w:rsid w:val="001251F4"/>
    <w:rsid w:val="00125245"/>
    <w:rsid w:val="00125857"/>
    <w:rsid w:val="00130B8E"/>
    <w:rsid w:val="001316F4"/>
    <w:rsid w:val="001325E4"/>
    <w:rsid w:val="0013473D"/>
    <w:rsid w:val="00135992"/>
    <w:rsid w:val="00135A4F"/>
    <w:rsid w:val="00136049"/>
    <w:rsid w:val="00137A0B"/>
    <w:rsid w:val="00137AD5"/>
    <w:rsid w:val="0014150C"/>
    <w:rsid w:val="00141AFD"/>
    <w:rsid w:val="00142084"/>
    <w:rsid w:val="00143AC8"/>
    <w:rsid w:val="0014607E"/>
    <w:rsid w:val="00146A3B"/>
    <w:rsid w:val="00151B3D"/>
    <w:rsid w:val="00151EFF"/>
    <w:rsid w:val="001532AF"/>
    <w:rsid w:val="001539FF"/>
    <w:rsid w:val="00154E64"/>
    <w:rsid w:val="00157663"/>
    <w:rsid w:val="001606AD"/>
    <w:rsid w:val="001629FF"/>
    <w:rsid w:val="00162A92"/>
    <w:rsid w:val="00163D10"/>
    <w:rsid w:val="00166133"/>
    <w:rsid w:val="00166F0B"/>
    <w:rsid w:val="00166F3D"/>
    <w:rsid w:val="00167F87"/>
    <w:rsid w:val="00170F61"/>
    <w:rsid w:val="00170FE7"/>
    <w:rsid w:val="00172E36"/>
    <w:rsid w:val="001730EA"/>
    <w:rsid w:val="0017366A"/>
    <w:rsid w:val="00176E83"/>
    <w:rsid w:val="00177D82"/>
    <w:rsid w:val="00180488"/>
    <w:rsid w:val="001807C5"/>
    <w:rsid w:val="00182CE2"/>
    <w:rsid w:val="00183E52"/>
    <w:rsid w:val="001858DD"/>
    <w:rsid w:val="0019021B"/>
    <w:rsid w:val="001912C7"/>
    <w:rsid w:val="00191A46"/>
    <w:rsid w:val="00193009"/>
    <w:rsid w:val="00193FA5"/>
    <w:rsid w:val="0019514C"/>
    <w:rsid w:val="0019594A"/>
    <w:rsid w:val="00195F31"/>
    <w:rsid w:val="00196151"/>
    <w:rsid w:val="001962CF"/>
    <w:rsid w:val="001A0CEC"/>
    <w:rsid w:val="001A1EFE"/>
    <w:rsid w:val="001A4ECC"/>
    <w:rsid w:val="001A527D"/>
    <w:rsid w:val="001B0B44"/>
    <w:rsid w:val="001B0DDF"/>
    <w:rsid w:val="001B209F"/>
    <w:rsid w:val="001B3252"/>
    <w:rsid w:val="001B5E6A"/>
    <w:rsid w:val="001B6812"/>
    <w:rsid w:val="001B7DD2"/>
    <w:rsid w:val="001C0095"/>
    <w:rsid w:val="001C0643"/>
    <w:rsid w:val="001C17D7"/>
    <w:rsid w:val="001C3EC8"/>
    <w:rsid w:val="001C744A"/>
    <w:rsid w:val="001C7A7A"/>
    <w:rsid w:val="001C7C42"/>
    <w:rsid w:val="001D1AC0"/>
    <w:rsid w:val="001D43DF"/>
    <w:rsid w:val="001D542F"/>
    <w:rsid w:val="001D6467"/>
    <w:rsid w:val="001D7210"/>
    <w:rsid w:val="001D723D"/>
    <w:rsid w:val="001D7559"/>
    <w:rsid w:val="001D7D46"/>
    <w:rsid w:val="001D7DF5"/>
    <w:rsid w:val="001E0D57"/>
    <w:rsid w:val="001E10B5"/>
    <w:rsid w:val="001E16FD"/>
    <w:rsid w:val="001E3723"/>
    <w:rsid w:val="001E4577"/>
    <w:rsid w:val="001E6618"/>
    <w:rsid w:val="001E6AFB"/>
    <w:rsid w:val="001E788A"/>
    <w:rsid w:val="001F0A0A"/>
    <w:rsid w:val="001F1977"/>
    <w:rsid w:val="001F42E2"/>
    <w:rsid w:val="001F5E5B"/>
    <w:rsid w:val="001F642C"/>
    <w:rsid w:val="001F7A18"/>
    <w:rsid w:val="0020007E"/>
    <w:rsid w:val="00200F14"/>
    <w:rsid w:val="0020159F"/>
    <w:rsid w:val="0020161B"/>
    <w:rsid w:val="00201CB0"/>
    <w:rsid w:val="00202836"/>
    <w:rsid w:val="0020439B"/>
    <w:rsid w:val="00206222"/>
    <w:rsid w:val="0020731E"/>
    <w:rsid w:val="00207659"/>
    <w:rsid w:val="00212921"/>
    <w:rsid w:val="00213A42"/>
    <w:rsid w:val="00215718"/>
    <w:rsid w:val="0021600A"/>
    <w:rsid w:val="002208A8"/>
    <w:rsid w:val="0022214F"/>
    <w:rsid w:val="0022299E"/>
    <w:rsid w:val="00223626"/>
    <w:rsid w:val="00223FBF"/>
    <w:rsid w:val="00225127"/>
    <w:rsid w:val="00225795"/>
    <w:rsid w:val="002261D1"/>
    <w:rsid w:val="00227C2A"/>
    <w:rsid w:val="00230055"/>
    <w:rsid w:val="00230552"/>
    <w:rsid w:val="002333E0"/>
    <w:rsid w:val="002358A7"/>
    <w:rsid w:val="00235E07"/>
    <w:rsid w:val="00236876"/>
    <w:rsid w:val="002379EA"/>
    <w:rsid w:val="002410D5"/>
    <w:rsid w:val="00241E23"/>
    <w:rsid w:val="00241E8D"/>
    <w:rsid w:val="002434D5"/>
    <w:rsid w:val="00244BE5"/>
    <w:rsid w:val="00244D5B"/>
    <w:rsid w:val="00245596"/>
    <w:rsid w:val="002455D1"/>
    <w:rsid w:val="00245969"/>
    <w:rsid w:val="00246A41"/>
    <w:rsid w:val="00247A0E"/>
    <w:rsid w:val="002503BF"/>
    <w:rsid w:val="00254954"/>
    <w:rsid w:val="00254CAE"/>
    <w:rsid w:val="0025530E"/>
    <w:rsid w:val="002556E7"/>
    <w:rsid w:val="00256272"/>
    <w:rsid w:val="00256CBF"/>
    <w:rsid w:val="00256D21"/>
    <w:rsid w:val="0026203B"/>
    <w:rsid w:val="002665DC"/>
    <w:rsid w:val="00267DC2"/>
    <w:rsid w:val="002706AC"/>
    <w:rsid w:val="0027234A"/>
    <w:rsid w:val="00272649"/>
    <w:rsid w:val="00272669"/>
    <w:rsid w:val="00273568"/>
    <w:rsid w:val="00273971"/>
    <w:rsid w:val="002742E7"/>
    <w:rsid w:val="002754E0"/>
    <w:rsid w:val="002757C5"/>
    <w:rsid w:val="00280F81"/>
    <w:rsid w:val="00281AA3"/>
    <w:rsid w:val="00285A83"/>
    <w:rsid w:val="00285CDF"/>
    <w:rsid w:val="002876D2"/>
    <w:rsid w:val="00291B4A"/>
    <w:rsid w:val="00292D5B"/>
    <w:rsid w:val="00293D07"/>
    <w:rsid w:val="00294CAA"/>
    <w:rsid w:val="002950C5"/>
    <w:rsid w:val="00296758"/>
    <w:rsid w:val="00297BEC"/>
    <w:rsid w:val="00297DFB"/>
    <w:rsid w:val="00297F5A"/>
    <w:rsid w:val="002A2AA3"/>
    <w:rsid w:val="002A2C14"/>
    <w:rsid w:val="002A36BC"/>
    <w:rsid w:val="002A3A2C"/>
    <w:rsid w:val="002A449E"/>
    <w:rsid w:val="002A4AC8"/>
    <w:rsid w:val="002A593A"/>
    <w:rsid w:val="002A7D5F"/>
    <w:rsid w:val="002B119F"/>
    <w:rsid w:val="002B1F1A"/>
    <w:rsid w:val="002B75F7"/>
    <w:rsid w:val="002C060C"/>
    <w:rsid w:val="002C1984"/>
    <w:rsid w:val="002C2FDE"/>
    <w:rsid w:val="002C3AE7"/>
    <w:rsid w:val="002C6A7A"/>
    <w:rsid w:val="002C74EE"/>
    <w:rsid w:val="002D0406"/>
    <w:rsid w:val="002D066A"/>
    <w:rsid w:val="002D3FA6"/>
    <w:rsid w:val="002D4214"/>
    <w:rsid w:val="002D6287"/>
    <w:rsid w:val="002D7898"/>
    <w:rsid w:val="002E3620"/>
    <w:rsid w:val="002E4D0F"/>
    <w:rsid w:val="002E5B88"/>
    <w:rsid w:val="002E5CAE"/>
    <w:rsid w:val="002E6246"/>
    <w:rsid w:val="002E70DB"/>
    <w:rsid w:val="002F00AD"/>
    <w:rsid w:val="002F041F"/>
    <w:rsid w:val="002F1882"/>
    <w:rsid w:val="002F5880"/>
    <w:rsid w:val="002F68E3"/>
    <w:rsid w:val="003006A7"/>
    <w:rsid w:val="00302145"/>
    <w:rsid w:val="003024F1"/>
    <w:rsid w:val="003036DE"/>
    <w:rsid w:val="00303E36"/>
    <w:rsid w:val="003055E3"/>
    <w:rsid w:val="003063D8"/>
    <w:rsid w:val="003073A8"/>
    <w:rsid w:val="00310D82"/>
    <w:rsid w:val="00311BB6"/>
    <w:rsid w:val="00311CE3"/>
    <w:rsid w:val="00312CAC"/>
    <w:rsid w:val="00313848"/>
    <w:rsid w:val="00313903"/>
    <w:rsid w:val="00313DFB"/>
    <w:rsid w:val="0031404D"/>
    <w:rsid w:val="0031438E"/>
    <w:rsid w:val="00314BD2"/>
    <w:rsid w:val="00314DB5"/>
    <w:rsid w:val="00314F7F"/>
    <w:rsid w:val="00315058"/>
    <w:rsid w:val="00315CAB"/>
    <w:rsid w:val="00317406"/>
    <w:rsid w:val="00320597"/>
    <w:rsid w:val="00320D67"/>
    <w:rsid w:val="00323A5B"/>
    <w:rsid w:val="003265A1"/>
    <w:rsid w:val="003269D4"/>
    <w:rsid w:val="00327D79"/>
    <w:rsid w:val="0033181C"/>
    <w:rsid w:val="003319F3"/>
    <w:rsid w:val="00333079"/>
    <w:rsid w:val="003349FF"/>
    <w:rsid w:val="00335E36"/>
    <w:rsid w:val="003362DD"/>
    <w:rsid w:val="00337E3C"/>
    <w:rsid w:val="00337F37"/>
    <w:rsid w:val="0034011B"/>
    <w:rsid w:val="003426BF"/>
    <w:rsid w:val="00342715"/>
    <w:rsid w:val="00342CAB"/>
    <w:rsid w:val="00342E4F"/>
    <w:rsid w:val="0034342C"/>
    <w:rsid w:val="00343754"/>
    <w:rsid w:val="003513F6"/>
    <w:rsid w:val="00355BBF"/>
    <w:rsid w:val="00357A51"/>
    <w:rsid w:val="00357C62"/>
    <w:rsid w:val="00357E89"/>
    <w:rsid w:val="00362859"/>
    <w:rsid w:val="00364308"/>
    <w:rsid w:val="00365A8A"/>
    <w:rsid w:val="003664AD"/>
    <w:rsid w:val="00370EDB"/>
    <w:rsid w:val="00371009"/>
    <w:rsid w:val="0037153D"/>
    <w:rsid w:val="00373B8F"/>
    <w:rsid w:val="00375A7B"/>
    <w:rsid w:val="003760E8"/>
    <w:rsid w:val="003807EB"/>
    <w:rsid w:val="003809B3"/>
    <w:rsid w:val="00380E45"/>
    <w:rsid w:val="003811B0"/>
    <w:rsid w:val="00381863"/>
    <w:rsid w:val="00381A53"/>
    <w:rsid w:val="0038209A"/>
    <w:rsid w:val="00383BF1"/>
    <w:rsid w:val="003845F0"/>
    <w:rsid w:val="0038473E"/>
    <w:rsid w:val="00384EAA"/>
    <w:rsid w:val="0038784D"/>
    <w:rsid w:val="003915D4"/>
    <w:rsid w:val="00392D9F"/>
    <w:rsid w:val="00395B5A"/>
    <w:rsid w:val="003965B1"/>
    <w:rsid w:val="00396CDF"/>
    <w:rsid w:val="0039704C"/>
    <w:rsid w:val="003A0E7C"/>
    <w:rsid w:val="003A1C09"/>
    <w:rsid w:val="003A22F1"/>
    <w:rsid w:val="003A2AD4"/>
    <w:rsid w:val="003A2C95"/>
    <w:rsid w:val="003A30C3"/>
    <w:rsid w:val="003A54FB"/>
    <w:rsid w:val="003A55F0"/>
    <w:rsid w:val="003A7737"/>
    <w:rsid w:val="003A7987"/>
    <w:rsid w:val="003B24D9"/>
    <w:rsid w:val="003B28B2"/>
    <w:rsid w:val="003B2A38"/>
    <w:rsid w:val="003B4A57"/>
    <w:rsid w:val="003B4C95"/>
    <w:rsid w:val="003B5D13"/>
    <w:rsid w:val="003B6107"/>
    <w:rsid w:val="003B7BFB"/>
    <w:rsid w:val="003C0CE5"/>
    <w:rsid w:val="003C0D4E"/>
    <w:rsid w:val="003C18B1"/>
    <w:rsid w:val="003C39D9"/>
    <w:rsid w:val="003C3F9C"/>
    <w:rsid w:val="003C562C"/>
    <w:rsid w:val="003C5AE1"/>
    <w:rsid w:val="003C7B73"/>
    <w:rsid w:val="003D1CD8"/>
    <w:rsid w:val="003D247C"/>
    <w:rsid w:val="003D28A6"/>
    <w:rsid w:val="003D4FBA"/>
    <w:rsid w:val="003D618D"/>
    <w:rsid w:val="003D7D4F"/>
    <w:rsid w:val="003E0093"/>
    <w:rsid w:val="003E05B5"/>
    <w:rsid w:val="003E071D"/>
    <w:rsid w:val="003E0ABD"/>
    <w:rsid w:val="003E21EC"/>
    <w:rsid w:val="003E37DD"/>
    <w:rsid w:val="003E5F48"/>
    <w:rsid w:val="003E6318"/>
    <w:rsid w:val="003F181B"/>
    <w:rsid w:val="003F1DB2"/>
    <w:rsid w:val="003F24F0"/>
    <w:rsid w:val="003F3EDB"/>
    <w:rsid w:val="003F40F2"/>
    <w:rsid w:val="003F4624"/>
    <w:rsid w:val="003F55DA"/>
    <w:rsid w:val="003F7C54"/>
    <w:rsid w:val="00401B58"/>
    <w:rsid w:val="00401C2F"/>
    <w:rsid w:val="0040357C"/>
    <w:rsid w:val="0040392D"/>
    <w:rsid w:val="00404263"/>
    <w:rsid w:val="00404353"/>
    <w:rsid w:val="00405450"/>
    <w:rsid w:val="00406DE2"/>
    <w:rsid w:val="00406F1D"/>
    <w:rsid w:val="00410E81"/>
    <w:rsid w:val="00411146"/>
    <w:rsid w:val="00411A9F"/>
    <w:rsid w:val="00413900"/>
    <w:rsid w:val="00414003"/>
    <w:rsid w:val="004146EF"/>
    <w:rsid w:val="0041481E"/>
    <w:rsid w:val="0041482F"/>
    <w:rsid w:val="00414DD9"/>
    <w:rsid w:val="0041615B"/>
    <w:rsid w:val="004232A1"/>
    <w:rsid w:val="004236A7"/>
    <w:rsid w:val="00424C1A"/>
    <w:rsid w:val="00424E3E"/>
    <w:rsid w:val="00425338"/>
    <w:rsid w:val="00427A5D"/>
    <w:rsid w:val="00431442"/>
    <w:rsid w:val="00431668"/>
    <w:rsid w:val="0043362C"/>
    <w:rsid w:val="004337E8"/>
    <w:rsid w:val="00433953"/>
    <w:rsid w:val="00433D13"/>
    <w:rsid w:val="00433EC5"/>
    <w:rsid w:val="004340B7"/>
    <w:rsid w:val="0043419B"/>
    <w:rsid w:val="004362DC"/>
    <w:rsid w:val="00436CB2"/>
    <w:rsid w:val="00436E62"/>
    <w:rsid w:val="0043773D"/>
    <w:rsid w:val="00440175"/>
    <w:rsid w:val="004401F4"/>
    <w:rsid w:val="00442890"/>
    <w:rsid w:val="00443B45"/>
    <w:rsid w:val="00443F7D"/>
    <w:rsid w:val="004463C5"/>
    <w:rsid w:val="0044656F"/>
    <w:rsid w:val="0045091D"/>
    <w:rsid w:val="004518D4"/>
    <w:rsid w:val="00452DBB"/>
    <w:rsid w:val="00453BB0"/>
    <w:rsid w:val="00453C90"/>
    <w:rsid w:val="00454168"/>
    <w:rsid w:val="0045545A"/>
    <w:rsid w:val="0045606E"/>
    <w:rsid w:val="004561FE"/>
    <w:rsid w:val="004572ED"/>
    <w:rsid w:val="00457BED"/>
    <w:rsid w:val="00457E56"/>
    <w:rsid w:val="00460BA4"/>
    <w:rsid w:val="00461DBC"/>
    <w:rsid w:val="0046351F"/>
    <w:rsid w:val="00463601"/>
    <w:rsid w:val="00463FB7"/>
    <w:rsid w:val="004663A1"/>
    <w:rsid w:val="00466E7F"/>
    <w:rsid w:val="00470F82"/>
    <w:rsid w:val="00471095"/>
    <w:rsid w:val="004732B9"/>
    <w:rsid w:val="00474243"/>
    <w:rsid w:val="004744E7"/>
    <w:rsid w:val="004751F0"/>
    <w:rsid w:val="00476744"/>
    <w:rsid w:val="004779CA"/>
    <w:rsid w:val="00477A05"/>
    <w:rsid w:val="00477D21"/>
    <w:rsid w:val="004802C7"/>
    <w:rsid w:val="004803BA"/>
    <w:rsid w:val="00480E29"/>
    <w:rsid w:val="004825A5"/>
    <w:rsid w:val="004825B0"/>
    <w:rsid w:val="00483046"/>
    <w:rsid w:val="004838ED"/>
    <w:rsid w:val="00491453"/>
    <w:rsid w:val="0049164D"/>
    <w:rsid w:val="00491B79"/>
    <w:rsid w:val="004A05FF"/>
    <w:rsid w:val="004A094F"/>
    <w:rsid w:val="004A0CF5"/>
    <w:rsid w:val="004A13C7"/>
    <w:rsid w:val="004A27AD"/>
    <w:rsid w:val="004A29E4"/>
    <w:rsid w:val="004A35A3"/>
    <w:rsid w:val="004A35BE"/>
    <w:rsid w:val="004A3A6C"/>
    <w:rsid w:val="004A4F54"/>
    <w:rsid w:val="004A5203"/>
    <w:rsid w:val="004A6376"/>
    <w:rsid w:val="004A67D2"/>
    <w:rsid w:val="004A6ADA"/>
    <w:rsid w:val="004A77F4"/>
    <w:rsid w:val="004B25E5"/>
    <w:rsid w:val="004B39C3"/>
    <w:rsid w:val="004B46C6"/>
    <w:rsid w:val="004B4CEB"/>
    <w:rsid w:val="004B5080"/>
    <w:rsid w:val="004B5361"/>
    <w:rsid w:val="004B53FA"/>
    <w:rsid w:val="004B57EC"/>
    <w:rsid w:val="004B61EF"/>
    <w:rsid w:val="004B6579"/>
    <w:rsid w:val="004B69FD"/>
    <w:rsid w:val="004B6C44"/>
    <w:rsid w:val="004C1F51"/>
    <w:rsid w:val="004C2EAA"/>
    <w:rsid w:val="004C6ACB"/>
    <w:rsid w:val="004C7E0D"/>
    <w:rsid w:val="004D00E2"/>
    <w:rsid w:val="004D1190"/>
    <w:rsid w:val="004D295C"/>
    <w:rsid w:val="004D5039"/>
    <w:rsid w:val="004D5851"/>
    <w:rsid w:val="004D5AB5"/>
    <w:rsid w:val="004D6E82"/>
    <w:rsid w:val="004D6F5D"/>
    <w:rsid w:val="004D7222"/>
    <w:rsid w:val="004D7239"/>
    <w:rsid w:val="004E04AD"/>
    <w:rsid w:val="004E4F1C"/>
    <w:rsid w:val="004E7159"/>
    <w:rsid w:val="004F061D"/>
    <w:rsid w:val="004F1B6D"/>
    <w:rsid w:val="004F20B6"/>
    <w:rsid w:val="004F2497"/>
    <w:rsid w:val="004F2E3F"/>
    <w:rsid w:val="004F4260"/>
    <w:rsid w:val="004F4D01"/>
    <w:rsid w:val="004F7507"/>
    <w:rsid w:val="004F7609"/>
    <w:rsid w:val="004F768E"/>
    <w:rsid w:val="004F7A46"/>
    <w:rsid w:val="00501D08"/>
    <w:rsid w:val="00502B2D"/>
    <w:rsid w:val="005036E8"/>
    <w:rsid w:val="0050380E"/>
    <w:rsid w:val="00505617"/>
    <w:rsid w:val="00505E06"/>
    <w:rsid w:val="00506709"/>
    <w:rsid w:val="005068BB"/>
    <w:rsid w:val="00506BD3"/>
    <w:rsid w:val="00507D7A"/>
    <w:rsid w:val="00510EDF"/>
    <w:rsid w:val="00511671"/>
    <w:rsid w:val="00511C0E"/>
    <w:rsid w:val="0051225E"/>
    <w:rsid w:val="005127A6"/>
    <w:rsid w:val="00513803"/>
    <w:rsid w:val="0051437F"/>
    <w:rsid w:val="00515A7E"/>
    <w:rsid w:val="00516609"/>
    <w:rsid w:val="00516B7E"/>
    <w:rsid w:val="005176A0"/>
    <w:rsid w:val="005206E3"/>
    <w:rsid w:val="005218CB"/>
    <w:rsid w:val="00521CC1"/>
    <w:rsid w:val="00524541"/>
    <w:rsid w:val="00524AD4"/>
    <w:rsid w:val="0052609E"/>
    <w:rsid w:val="0052721A"/>
    <w:rsid w:val="00527829"/>
    <w:rsid w:val="00527C2C"/>
    <w:rsid w:val="0053190F"/>
    <w:rsid w:val="00532306"/>
    <w:rsid w:val="005324FE"/>
    <w:rsid w:val="00532B0A"/>
    <w:rsid w:val="0053638C"/>
    <w:rsid w:val="00541D63"/>
    <w:rsid w:val="00541EA8"/>
    <w:rsid w:val="00542A48"/>
    <w:rsid w:val="00543A54"/>
    <w:rsid w:val="00545EFC"/>
    <w:rsid w:val="00550E28"/>
    <w:rsid w:val="00551212"/>
    <w:rsid w:val="00551334"/>
    <w:rsid w:val="0055295C"/>
    <w:rsid w:val="005530B4"/>
    <w:rsid w:val="0055340F"/>
    <w:rsid w:val="0055411C"/>
    <w:rsid w:val="00555BA2"/>
    <w:rsid w:val="00556CB4"/>
    <w:rsid w:val="00560594"/>
    <w:rsid w:val="005608B5"/>
    <w:rsid w:val="005616EA"/>
    <w:rsid w:val="00563800"/>
    <w:rsid w:val="005640A8"/>
    <w:rsid w:val="00564A4E"/>
    <w:rsid w:val="00565991"/>
    <w:rsid w:val="005677B0"/>
    <w:rsid w:val="005709BE"/>
    <w:rsid w:val="005715D5"/>
    <w:rsid w:val="00574944"/>
    <w:rsid w:val="00575511"/>
    <w:rsid w:val="00575A29"/>
    <w:rsid w:val="00577F29"/>
    <w:rsid w:val="0058033C"/>
    <w:rsid w:val="00580D75"/>
    <w:rsid w:val="00580D7E"/>
    <w:rsid w:val="0058114B"/>
    <w:rsid w:val="00581A45"/>
    <w:rsid w:val="00582F7F"/>
    <w:rsid w:val="0058665E"/>
    <w:rsid w:val="00587423"/>
    <w:rsid w:val="00587530"/>
    <w:rsid w:val="00587BEF"/>
    <w:rsid w:val="005900CD"/>
    <w:rsid w:val="00592B64"/>
    <w:rsid w:val="00592BDB"/>
    <w:rsid w:val="0059443E"/>
    <w:rsid w:val="0059564F"/>
    <w:rsid w:val="00596893"/>
    <w:rsid w:val="0059769B"/>
    <w:rsid w:val="00597775"/>
    <w:rsid w:val="005978D5"/>
    <w:rsid w:val="005A1F05"/>
    <w:rsid w:val="005A2A3B"/>
    <w:rsid w:val="005A4C1A"/>
    <w:rsid w:val="005A4C85"/>
    <w:rsid w:val="005A6B68"/>
    <w:rsid w:val="005A734C"/>
    <w:rsid w:val="005A77B7"/>
    <w:rsid w:val="005B06DB"/>
    <w:rsid w:val="005B0E0D"/>
    <w:rsid w:val="005B3015"/>
    <w:rsid w:val="005B3A69"/>
    <w:rsid w:val="005C0724"/>
    <w:rsid w:val="005C2115"/>
    <w:rsid w:val="005C364D"/>
    <w:rsid w:val="005C543F"/>
    <w:rsid w:val="005C6C65"/>
    <w:rsid w:val="005C702B"/>
    <w:rsid w:val="005D0DF5"/>
    <w:rsid w:val="005D149D"/>
    <w:rsid w:val="005D2009"/>
    <w:rsid w:val="005D25EE"/>
    <w:rsid w:val="005D4246"/>
    <w:rsid w:val="005D4528"/>
    <w:rsid w:val="005D76CA"/>
    <w:rsid w:val="005E0CB8"/>
    <w:rsid w:val="005E2056"/>
    <w:rsid w:val="005E4CE6"/>
    <w:rsid w:val="005E4D19"/>
    <w:rsid w:val="005E5CE1"/>
    <w:rsid w:val="005E729B"/>
    <w:rsid w:val="005E76D8"/>
    <w:rsid w:val="005E7DFE"/>
    <w:rsid w:val="005F2F77"/>
    <w:rsid w:val="005F411A"/>
    <w:rsid w:val="005F6368"/>
    <w:rsid w:val="006002DA"/>
    <w:rsid w:val="00602009"/>
    <w:rsid w:val="006039FA"/>
    <w:rsid w:val="0060457B"/>
    <w:rsid w:val="00605265"/>
    <w:rsid w:val="00605B24"/>
    <w:rsid w:val="006067A2"/>
    <w:rsid w:val="006074C8"/>
    <w:rsid w:val="00607E1B"/>
    <w:rsid w:val="00611807"/>
    <w:rsid w:val="006118EE"/>
    <w:rsid w:val="0061249A"/>
    <w:rsid w:val="00612CFD"/>
    <w:rsid w:val="0061691A"/>
    <w:rsid w:val="00616977"/>
    <w:rsid w:val="00617BA7"/>
    <w:rsid w:val="00620CA8"/>
    <w:rsid w:val="0062147A"/>
    <w:rsid w:val="0062258B"/>
    <w:rsid w:val="00622B28"/>
    <w:rsid w:val="006235E7"/>
    <w:rsid w:val="0062531F"/>
    <w:rsid w:val="0062540D"/>
    <w:rsid w:val="0062580E"/>
    <w:rsid w:val="00625C59"/>
    <w:rsid w:val="006275B0"/>
    <w:rsid w:val="00631BE7"/>
    <w:rsid w:val="00632D5F"/>
    <w:rsid w:val="006337AB"/>
    <w:rsid w:val="0063449F"/>
    <w:rsid w:val="00634572"/>
    <w:rsid w:val="00634B99"/>
    <w:rsid w:val="00635160"/>
    <w:rsid w:val="0063583C"/>
    <w:rsid w:val="00636B67"/>
    <w:rsid w:val="00637E12"/>
    <w:rsid w:val="00641DB9"/>
    <w:rsid w:val="00642369"/>
    <w:rsid w:val="0064349A"/>
    <w:rsid w:val="00643D94"/>
    <w:rsid w:val="00644A46"/>
    <w:rsid w:val="0064729C"/>
    <w:rsid w:val="00647F65"/>
    <w:rsid w:val="006507D1"/>
    <w:rsid w:val="006520CE"/>
    <w:rsid w:val="0065661C"/>
    <w:rsid w:val="00656D15"/>
    <w:rsid w:val="006579E3"/>
    <w:rsid w:val="0066200B"/>
    <w:rsid w:val="00662320"/>
    <w:rsid w:val="00663949"/>
    <w:rsid w:val="00666713"/>
    <w:rsid w:val="00666C8D"/>
    <w:rsid w:val="006678CD"/>
    <w:rsid w:val="00667CDB"/>
    <w:rsid w:val="00670A2F"/>
    <w:rsid w:val="00671911"/>
    <w:rsid w:val="00672803"/>
    <w:rsid w:val="00676215"/>
    <w:rsid w:val="00676B37"/>
    <w:rsid w:val="00677C65"/>
    <w:rsid w:val="00680C64"/>
    <w:rsid w:val="00681527"/>
    <w:rsid w:val="006817FD"/>
    <w:rsid w:val="00681C3C"/>
    <w:rsid w:val="0068379C"/>
    <w:rsid w:val="00683C04"/>
    <w:rsid w:val="00683C28"/>
    <w:rsid w:val="00684AE7"/>
    <w:rsid w:val="006858AF"/>
    <w:rsid w:val="00685EA3"/>
    <w:rsid w:val="006871EE"/>
    <w:rsid w:val="00687253"/>
    <w:rsid w:val="0069024C"/>
    <w:rsid w:val="00690834"/>
    <w:rsid w:val="0069250E"/>
    <w:rsid w:val="00692E2E"/>
    <w:rsid w:val="00693782"/>
    <w:rsid w:val="0069564D"/>
    <w:rsid w:val="00695950"/>
    <w:rsid w:val="00697801"/>
    <w:rsid w:val="006A145D"/>
    <w:rsid w:val="006A27BF"/>
    <w:rsid w:val="006A6E06"/>
    <w:rsid w:val="006A7060"/>
    <w:rsid w:val="006A7153"/>
    <w:rsid w:val="006A7CFD"/>
    <w:rsid w:val="006B03E2"/>
    <w:rsid w:val="006B1225"/>
    <w:rsid w:val="006B2206"/>
    <w:rsid w:val="006B2738"/>
    <w:rsid w:val="006B461E"/>
    <w:rsid w:val="006B6005"/>
    <w:rsid w:val="006B68DF"/>
    <w:rsid w:val="006B75F1"/>
    <w:rsid w:val="006C0333"/>
    <w:rsid w:val="006C0F4A"/>
    <w:rsid w:val="006C17E6"/>
    <w:rsid w:val="006C1DC1"/>
    <w:rsid w:val="006C3539"/>
    <w:rsid w:val="006C4CFA"/>
    <w:rsid w:val="006C4F97"/>
    <w:rsid w:val="006C56B8"/>
    <w:rsid w:val="006C6380"/>
    <w:rsid w:val="006C730E"/>
    <w:rsid w:val="006D07D7"/>
    <w:rsid w:val="006D125E"/>
    <w:rsid w:val="006D191D"/>
    <w:rsid w:val="006D2318"/>
    <w:rsid w:val="006D3EB5"/>
    <w:rsid w:val="006D3F5F"/>
    <w:rsid w:val="006D468B"/>
    <w:rsid w:val="006D51E7"/>
    <w:rsid w:val="006D79E9"/>
    <w:rsid w:val="006E0900"/>
    <w:rsid w:val="006E0B5F"/>
    <w:rsid w:val="006E0D37"/>
    <w:rsid w:val="006E1925"/>
    <w:rsid w:val="006E207E"/>
    <w:rsid w:val="006E235D"/>
    <w:rsid w:val="006E2675"/>
    <w:rsid w:val="006E2835"/>
    <w:rsid w:val="006E29AA"/>
    <w:rsid w:val="006E4855"/>
    <w:rsid w:val="006E5589"/>
    <w:rsid w:val="006E65A3"/>
    <w:rsid w:val="006E6655"/>
    <w:rsid w:val="006F01DD"/>
    <w:rsid w:val="006F25B8"/>
    <w:rsid w:val="006F2691"/>
    <w:rsid w:val="006F2A4E"/>
    <w:rsid w:val="006F33AE"/>
    <w:rsid w:val="006F739C"/>
    <w:rsid w:val="006F75E8"/>
    <w:rsid w:val="00700721"/>
    <w:rsid w:val="00700844"/>
    <w:rsid w:val="007016F2"/>
    <w:rsid w:val="0070314E"/>
    <w:rsid w:val="00703FB6"/>
    <w:rsid w:val="0070468F"/>
    <w:rsid w:val="0070648B"/>
    <w:rsid w:val="00710272"/>
    <w:rsid w:val="00711696"/>
    <w:rsid w:val="00711884"/>
    <w:rsid w:val="00711F83"/>
    <w:rsid w:val="00712481"/>
    <w:rsid w:val="007126AD"/>
    <w:rsid w:val="00713C2E"/>
    <w:rsid w:val="00713FE7"/>
    <w:rsid w:val="0071487E"/>
    <w:rsid w:val="007148E1"/>
    <w:rsid w:val="00714BF4"/>
    <w:rsid w:val="0071552D"/>
    <w:rsid w:val="0071700D"/>
    <w:rsid w:val="00720E02"/>
    <w:rsid w:val="007225CE"/>
    <w:rsid w:val="00723A75"/>
    <w:rsid w:val="00723A9D"/>
    <w:rsid w:val="00724777"/>
    <w:rsid w:val="00726EC3"/>
    <w:rsid w:val="00727313"/>
    <w:rsid w:val="00727B96"/>
    <w:rsid w:val="00730931"/>
    <w:rsid w:val="007314AB"/>
    <w:rsid w:val="007331E4"/>
    <w:rsid w:val="00733A9C"/>
    <w:rsid w:val="00733B4C"/>
    <w:rsid w:val="007342F8"/>
    <w:rsid w:val="0073465F"/>
    <w:rsid w:val="0073547D"/>
    <w:rsid w:val="00736610"/>
    <w:rsid w:val="00736FB7"/>
    <w:rsid w:val="00737678"/>
    <w:rsid w:val="0074062D"/>
    <w:rsid w:val="00741BFE"/>
    <w:rsid w:val="00743DF0"/>
    <w:rsid w:val="00744273"/>
    <w:rsid w:val="007474D8"/>
    <w:rsid w:val="0074771F"/>
    <w:rsid w:val="007504E8"/>
    <w:rsid w:val="00751A31"/>
    <w:rsid w:val="007520E2"/>
    <w:rsid w:val="007529B9"/>
    <w:rsid w:val="007537AE"/>
    <w:rsid w:val="00754059"/>
    <w:rsid w:val="00754A2E"/>
    <w:rsid w:val="00755920"/>
    <w:rsid w:val="00756944"/>
    <w:rsid w:val="00757157"/>
    <w:rsid w:val="0075779C"/>
    <w:rsid w:val="00757B3F"/>
    <w:rsid w:val="00760465"/>
    <w:rsid w:val="00761703"/>
    <w:rsid w:val="0076243F"/>
    <w:rsid w:val="007637E6"/>
    <w:rsid w:val="0076519D"/>
    <w:rsid w:val="00765EC1"/>
    <w:rsid w:val="007667F4"/>
    <w:rsid w:val="00767413"/>
    <w:rsid w:val="00770300"/>
    <w:rsid w:val="007735B0"/>
    <w:rsid w:val="00773989"/>
    <w:rsid w:val="00775006"/>
    <w:rsid w:val="007752C6"/>
    <w:rsid w:val="00775CD4"/>
    <w:rsid w:val="00775F2D"/>
    <w:rsid w:val="00780DCC"/>
    <w:rsid w:val="0078153C"/>
    <w:rsid w:val="00781E6B"/>
    <w:rsid w:val="00782AF3"/>
    <w:rsid w:val="00782F55"/>
    <w:rsid w:val="007830CA"/>
    <w:rsid w:val="00784802"/>
    <w:rsid w:val="007879E7"/>
    <w:rsid w:val="007909B9"/>
    <w:rsid w:val="00790AD0"/>
    <w:rsid w:val="007912BB"/>
    <w:rsid w:val="007925D5"/>
    <w:rsid w:val="00795CC5"/>
    <w:rsid w:val="007960D0"/>
    <w:rsid w:val="00796542"/>
    <w:rsid w:val="0079693A"/>
    <w:rsid w:val="007A1371"/>
    <w:rsid w:val="007A185E"/>
    <w:rsid w:val="007A4D7A"/>
    <w:rsid w:val="007A5FD6"/>
    <w:rsid w:val="007A6864"/>
    <w:rsid w:val="007A6CA5"/>
    <w:rsid w:val="007A78EE"/>
    <w:rsid w:val="007B001B"/>
    <w:rsid w:val="007B1586"/>
    <w:rsid w:val="007B7106"/>
    <w:rsid w:val="007B750F"/>
    <w:rsid w:val="007C047D"/>
    <w:rsid w:val="007C05E5"/>
    <w:rsid w:val="007C3687"/>
    <w:rsid w:val="007C4537"/>
    <w:rsid w:val="007C47AB"/>
    <w:rsid w:val="007C7D28"/>
    <w:rsid w:val="007D0235"/>
    <w:rsid w:val="007D15D4"/>
    <w:rsid w:val="007D2152"/>
    <w:rsid w:val="007D6240"/>
    <w:rsid w:val="007D74DC"/>
    <w:rsid w:val="007E0880"/>
    <w:rsid w:val="007E099D"/>
    <w:rsid w:val="007E514D"/>
    <w:rsid w:val="007F030F"/>
    <w:rsid w:val="007F0C41"/>
    <w:rsid w:val="007F17AB"/>
    <w:rsid w:val="007F228A"/>
    <w:rsid w:val="007F3752"/>
    <w:rsid w:val="007F5182"/>
    <w:rsid w:val="007F5484"/>
    <w:rsid w:val="007F5A59"/>
    <w:rsid w:val="007F65D1"/>
    <w:rsid w:val="007F68D0"/>
    <w:rsid w:val="007F73C9"/>
    <w:rsid w:val="00802EB1"/>
    <w:rsid w:val="0080347F"/>
    <w:rsid w:val="008035FC"/>
    <w:rsid w:val="00803C24"/>
    <w:rsid w:val="00803C9B"/>
    <w:rsid w:val="00805CF1"/>
    <w:rsid w:val="00806CD7"/>
    <w:rsid w:val="00812413"/>
    <w:rsid w:val="0081242E"/>
    <w:rsid w:val="008137A0"/>
    <w:rsid w:val="00813A1D"/>
    <w:rsid w:val="00813B69"/>
    <w:rsid w:val="00814225"/>
    <w:rsid w:val="00814D3D"/>
    <w:rsid w:val="008168D5"/>
    <w:rsid w:val="008223E0"/>
    <w:rsid w:val="00822CE6"/>
    <w:rsid w:val="008237B0"/>
    <w:rsid w:val="00823A64"/>
    <w:rsid w:val="00824DEB"/>
    <w:rsid w:val="00826107"/>
    <w:rsid w:val="008263E4"/>
    <w:rsid w:val="00826A20"/>
    <w:rsid w:val="0083094E"/>
    <w:rsid w:val="008309E4"/>
    <w:rsid w:val="00831CC2"/>
    <w:rsid w:val="00831D1C"/>
    <w:rsid w:val="00831D4D"/>
    <w:rsid w:val="008324D3"/>
    <w:rsid w:val="0083447C"/>
    <w:rsid w:val="0083488C"/>
    <w:rsid w:val="00834DD8"/>
    <w:rsid w:val="00835384"/>
    <w:rsid w:val="00836492"/>
    <w:rsid w:val="0083756A"/>
    <w:rsid w:val="00841296"/>
    <w:rsid w:val="008425B4"/>
    <w:rsid w:val="008430BD"/>
    <w:rsid w:val="00845336"/>
    <w:rsid w:val="0084543E"/>
    <w:rsid w:val="008457EB"/>
    <w:rsid w:val="008457FE"/>
    <w:rsid w:val="008460A0"/>
    <w:rsid w:val="00846351"/>
    <w:rsid w:val="00850194"/>
    <w:rsid w:val="00853151"/>
    <w:rsid w:val="00853C04"/>
    <w:rsid w:val="00854DD1"/>
    <w:rsid w:val="00855D78"/>
    <w:rsid w:val="00855DAF"/>
    <w:rsid w:val="00856C68"/>
    <w:rsid w:val="00857304"/>
    <w:rsid w:val="00857873"/>
    <w:rsid w:val="00857C01"/>
    <w:rsid w:val="00861CD0"/>
    <w:rsid w:val="00862740"/>
    <w:rsid w:val="00864D6B"/>
    <w:rsid w:val="00865640"/>
    <w:rsid w:val="008660DF"/>
    <w:rsid w:val="00866AF9"/>
    <w:rsid w:val="0086784E"/>
    <w:rsid w:val="008731BA"/>
    <w:rsid w:val="008742F2"/>
    <w:rsid w:val="00875416"/>
    <w:rsid w:val="008759E7"/>
    <w:rsid w:val="00875BC6"/>
    <w:rsid w:val="00882534"/>
    <w:rsid w:val="008832BE"/>
    <w:rsid w:val="00883D33"/>
    <w:rsid w:val="00883D80"/>
    <w:rsid w:val="008847CC"/>
    <w:rsid w:val="00886F3C"/>
    <w:rsid w:val="00887087"/>
    <w:rsid w:val="00891C42"/>
    <w:rsid w:val="0089209F"/>
    <w:rsid w:val="00892226"/>
    <w:rsid w:val="00892F10"/>
    <w:rsid w:val="0089399D"/>
    <w:rsid w:val="00893F63"/>
    <w:rsid w:val="0089497B"/>
    <w:rsid w:val="00894BDD"/>
    <w:rsid w:val="00894D51"/>
    <w:rsid w:val="008951CC"/>
    <w:rsid w:val="00895695"/>
    <w:rsid w:val="00896ADA"/>
    <w:rsid w:val="008A0AA4"/>
    <w:rsid w:val="008A1918"/>
    <w:rsid w:val="008A1BCC"/>
    <w:rsid w:val="008A3019"/>
    <w:rsid w:val="008A3367"/>
    <w:rsid w:val="008A3D38"/>
    <w:rsid w:val="008A45ED"/>
    <w:rsid w:val="008A4941"/>
    <w:rsid w:val="008A4B76"/>
    <w:rsid w:val="008A4DEC"/>
    <w:rsid w:val="008A5067"/>
    <w:rsid w:val="008A64A1"/>
    <w:rsid w:val="008A712C"/>
    <w:rsid w:val="008B2CA5"/>
    <w:rsid w:val="008B552B"/>
    <w:rsid w:val="008B6181"/>
    <w:rsid w:val="008B6CF2"/>
    <w:rsid w:val="008B7C50"/>
    <w:rsid w:val="008C17F9"/>
    <w:rsid w:val="008C19A5"/>
    <w:rsid w:val="008C4871"/>
    <w:rsid w:val="008C49CE"/>
    <w:rsid w:val="008C54E3"/>
    <w:rsid w:val="008C587F"/>
    <w:rsid w:val="008C5D8B"/>
    <w:rsid w:val="008C6279"/>
    <w:rsid w:val="008C6EE5"/>
    <w:rsid w:val="008D1CEB"/>
    <w:rsid w:val="008D2485"/>
    <w:rsid w:val="008D350C"/>
    <w:rsid w:val="008D3DD4"/>
    <w:rsid w:val="008D5E6E"/>
    <w:rsid w:val="008D70D9"/>
    <w:rsid w:val="008E36CF"/>
    <w:rsid w:val="008E6BB4"/>
    <w:rsid w:val="008E733C"/>
    <w:rsid w:val="008E7EA9"/>
    <w:rsid w:val="008E7EBD"/>
    <w:rsid w:val="008F0727"/>
    <w:rsid w:val="008F1D63"/>
    <w:rsid w:val="008F1DE8"/>
    <w:rsid w:val="008F2BCF"/>
    <w:rsid w:val="008F2E3D"/>
    <w:rsid w:val="008F3399"/>
    <w:rsid w:val="008F3602"/>
    <w:rsid w:val="008F3B3F"/>
    <w:rsid w:val="008F4500"/>
    <w:rsid w:val="008F4EB5"/>
    <w:rsid w:val="008F5421"/>
    <w:rsid w:val="008F5D20"/>
    <w:rsid w:val="008F6DD3"/>
    <w:rsid w:val="008F78D5"/>
    <w:rsid w:val="00900089"/>
    <w:rsid w:val="00900C23"/>
    <w:rsid w:val="00900DA0"/>
    <w:rsid w:val="00900E05"/>
    <w:rsid w:val="009011A2"/>
    <w:rsid w:val="009015BC"/>
    <w:rsid w:val="00901FD3"/>
    <w:rsid w:val="009022A2"/>
    <w:rsid w:val="00902931"/>
    <w:rsid w:val="0090353E"/>
    <w:rsid w:val="00903BAA"/>
    <w:rsid w:val="00903F30"/>
    <w:rsid w:val="009046C8"/>
    <w:rsid w:val="00904E11"/>
    <w:rsid w:val="0090629B"/>
    <w:rsid w:val="009064CE"/>
    <w:rsid w:val="009072D4"/>
    <w:rsid w:val="00907D3D"/>
    <w:rsid w:val="0091168A"/>
    <w:rsid w:val="00912CF9"/>
    <w:rsid w:val="00913758"/>
    <w:rsid w:val="00913976"/>
    <w:rsid w:val="00915837"/>
    <w:rsid w:val="00915FCA"/>
    <w:rsid w:val="00917211"/>
    <w:rsid w:val="00921CDF"/>
    <w:rsid w:val="00923693"/>
    <w:rsid w:val="00924A96"/>
    <w:rsid w:val="00924FF0"/>
    <w:rsid w:val="00925830"/>
    <w:rsid w:val="00925BD9"/>
    <w:rsid w:val="00926F80"/>
    <w:rsid w:val="00930695"/>
    <w:rsid w:val="009315F0"/>
    <w:rsid w:val="00931912"/>
    <w:rsid w:val="0093371F"/>
    <w:rsid w:val="00936E98"/>
    <w:rsid w:val="0094053F"/>
    <w:rsid w:val="00942668"/>
    <w:rsid w:val="009428CC"/>
    <w:rsid w:val="00943F16"/>
    <w:rsid w:val="00944075"/>
    <w:rsid w:val="009443E0"/>
    <w:rsid w:val="00944930"/>
    <w:rsid w:val="0094543A"/>
    <w:rsid w:val="0094714C"/>
    <w:rsid w:val="009473D7"/>
    <w:rsid w:val="00947E16"/>
    <w:rsid w:val="0095165C"/>
    <w:rsid w:val="009516B8"/>
    <w:rsid w:val="0095171B"/>
    <w:rsid w:val="00951AD7"/>
    <w:rsid w:val="00951BE8"/>
    <w:rsid w:val="009531BD"/>
    <w:rsid w:val="0095452F"/>
    <w:rsid w:val="00954F64"/>
    <w:rsid w:val="0095520A"/>
    <w:rsid w:val="00955737"/>
    <w:rsid w:val="009560BA"/>
    <w:rsid w:val="0096130B"/>
    <w:rsid w:val="009616F6"/>
    <w:rsid w:val="00962202"/>
    <w:rsid w:val="00962A05"/>
    <w:rsid w:val="00963326"/>
    <w:rsid w:val="00963EB1"/>
    <w:rsid w:val="0096559D"/>
    <w:rsid w:val="00965AA0"/>
    <w:rsid w:val="0096626A"/>
    <w:rsid w:val="009667CB"/>
    <w:rsid w:val="009716CA"/>
    <w:rsid w:val="009717FA"/>
    <w:rsid w:val="00971C8E"/>
    <w:rsid w:val="009726D1"/>
    <w:rsid w:val="00975A8F"/>
    <w:rsid w:val="00975DDC"/>
    <w:rsid w:val="00980521"/>
    <w:rsid w:val="0098198A"/>
    <w:rsid w:val="0098266B"/>
    <w:rsid w:val="00982A1A"/>
    <w:rsid w:val="009839B7"/>
    <w:rsid w:val="00984A00"/>
    <w:rsid w:val="009854FA"/>
    <w:rsid w:val="009855A4"/>
    <w:rsid w:val="009868CF"/>
    <w:rsid w:val="00986FC3"/>
    <w:rsid w:val="009872FD"/>
    <w:rsid w:val="009874C2"/>
    <w:rsid w:val="00990178"/>
    <w:rsid w:val="009915AF"/>
    <w:rsid w:val="009917DD"/>
    <w:rsid w:val="00991849"/>
    <w:rsid w:val="00995864"/>
    <w:rsid w:val="00995CB0"/>
    <w:rsid w:val="009967BD"/>
    <w:rsid w:val="009A00BC"/>
    <w:rsid w:val="009A1303"/>
    <w:rsid w:val="009A343F"/>
    <w:rsid w:val="009A4D62"/>
    <w:rsid w:val="009A5883"/>
    <w:rsid w:val="009A6550"/>
    <w:rsid w:val="009A6919"/>
    <w:rsid w:val="009A7A9D"/>
    <w:rsid w:val="009B0983"/>
    <w:rsid w:val="009B23C3"/>
    <w:rsid w:val="009B2945"/>
    <w:rsid w:val="009B2D8D"/>
    <w:rsid w:val="009B2FE0"/>
    <w:rsid w:val="009B3D6B"/>
    <w:rsid w:val="009B5BCA"/>
    <w:rsid w:val="009B7025"/>
    <w:rsid w:val="009B77E0"/>
    <w:rsid w:val="009C0A48"/>
    <w:rsid w:val="009C118C"/>
    <w:rsid w:val="009C1790"/>
    <w:rsid w:val="009C3280"/>
    <w:rsid w:val="009C4047"/>
    <w:rsid w:val="009C4095"/>
    <w:rsid w:val="009C4FF1"/>
    <w:rsid w:val="009C5156"/>
    <w:rsid w:val="009C575D"/>
    <w:rsid w:val="009C656D"/>
    <w:rsid w:val="009D02C3"/>
    <w:rsid w:val="009D057B"/>
    <w:rsid w:val="009D188E"/>
    <w:rsid w:val="009D18EA"/>
    <w:rsid w:val="009D2DB9"/>
    <w:rsid w:val="009D3E54"/>
    <w:rsid w:val="009D4EA7"/>
    <w:rsid w:val="009D5311"/>
    <w:rsid w:val="009D6DBE"/>
    <w:rsid w:val="009E27BB"/>
    <w:rsid w:val="009E2FB6"/>
    <w:rsid w:val="009E371B"/>
    <w:rsid w:val="009E4F53"/>
    <w:rsid w:val="009E53AF"/>
    <w:rsid w:val="009E7D89"/>
    <w:rsid w:val="009F135A"/>
    <w:rsid w:val="009F1FC1"/>
    <w:rsid w:val="009F3884"/>
    <w:rsid w:val="009F47F2"/>
    <w:rsid w:val="009F5268"/>
    <w:rsid w:val="009F6F12"/>
    <w:rsid w:val="009F78A1"/>
    <w:rsid w:val="00A00187"/>
    <w:rsid w:val="00A004DB"/>
    <w:rsid w:val="00A03A45"/>
    <w:rsid w:val="00A05289"/>
    <w:rsid w:val="00A07272"/>
    <w:rsid w:val="00A1099F"/>
    <w:rsid w:val="00A11E7A"/>
    <w:rsid w:val="00A166EF"/>
    <w:rsid w:val="00A21CB5"/>
    <w:rsid w:val="00A22275"/>
    <w:rsid w:val="00A223E5"/>
    <w:rsid w:val="00A2507D"/>
    <w:rsid w:val="00A30688"/>
    <w:rsid w:val="00A31EE7"/>
    <w:rsid w:val="00A40200"/>
    <w:rsid w:val="00A42749"/>
    <w:rsid w:val="00A42E45"/>
    <w:rsid w:val="00A46239"/>
    <w:rsid w:val="00A47A03"/>
    <w:rsid w:val="00A51AC2"/>
    <w:rsid w:val="00A525B5"/>
    <w:rsid w:val="00A52A8A"/>
    <w:rsid w:val="00A53233"/>
    <w:rsid w:val="00A5488F"/>
    <w:rsid w:val="00A5499F"/>
    <w:rsid w:val="00A57C95"/>
    <w:rsid w:val="00A57DAC"/>
    <w:rsid w:val="00A61627"/>
    <w:rsid w:val="00A620BA"/>
    <w:rsid w:val="00A627FC"/>
    <w:rsid w:val="00A63D7E"/>
    <w:rsid w:val="00A6449A"/>
    <w:rsid w:val="00A659ED"/>
    <w:rsid w:val="00A668DE"/>
    <w:rsid w:val="00A712CC"/>
    <w:rsid w:val="00A719F3"/>
    <w:rsid w:val="00A73075"/>
    <w:rsid w:val="00A73C47"/>
    <w:rsid w:val="00A74487"/>
    <w:rsid w:val="00A744E8"/>
    <w:rsid w:val="00A7463D"/>
    <w:rsid w:val="00A74F26"/>
    <w:rsid w:val="00A758CC"/>
    <w:rsid w:val="00A7590D"/>
    <w:rsid w:val="00A77F0A"/>
    <w:rsid w:val="00A803B0"/>
    <w:rsid w:val="00A81D3B"/>
    <w:rsid w:val="00A829CD"/>
    <w:rsid w:val="00A8348B"/>
    <w:rsid w:val="00A8458E"/>
    <w:rsid w:val="00A879E5"/>
    <w:rsid w:val="00A904C2"/>
    <w:rsid w:val="00A9064E"/>
    <w:rsid w:val="00A915F4"/>
    <w:rsid w:val="00A930C8"/>
    <w:rsid w:val="00A95417"/>
    <w:rsid w:val="00A95475"/>
    <w:rsid w:val="00A958C0"/>
    <w:rsid w:val="00A95999"/>
    <w:rsid w:val="00A95D17"/>
    <w:rsid w:val="00AA072B"/>
    <w:rsid w:val="00AA1D5D"/>
    <w:rsid w:val="00AA1D8A"/>
    <w:rsid w:val="00AA1DD7"/>
    <w:rsid w:val="00AA2188"/>
    <w:rsid w:val="00AA2C2E"/>
    <w:rsid w:val="00AA52A0"/>
    <w:rsid w:val="00AA5DB9"/>
    <w:rsid w:val="00AA6138"/>
    <w:rsid w:val="00AA7D3C"/>
    <w:rsid w:val="00AB0880"/>
    <w:rsid w:val="00AB1640"/>
    <w:rsid w:val="00AB1780"/>
    <w:rsid w:val="00AB2060"/>
    <w:rsid w:val="00AB223A"/>
    <w:rsid w:val="00AB2AFC"/>
    <w:rsid w:val="00AB2DBC"/>
    <w:rsid w:val="00AB3D22"/>
    <w:rsid w:val="00AB3F1F"/>
    <w:rsid w:val="00AB4638"/>
    <w:rsid w:val="00AB5B6B"/>
    <w:rsid w:val="00AB68E0"/>
    <w:rsid w:val="00AB708D"/>
    <w:rsid w:val="00AC0467"/>
    <w:rsid w:val="00AC1C18"/>
    <w:rsid w:val="00AC1E67"/>
    <w:rsid w:val="00AC2D1E"/>
    <w:rsid w:val="00AC2EFA"/>
    <w:rsid w:val="00AC332A"/>
    <w:rsid w:val="00AC343A"/>
    <w:rsid w:val="00AC36B1"/>
    <w:rsid w:val="00AD270B"/>
    <w:rsid w:val="00AD2E58"/>
    <w:rsid w:val="00AD2F93"/>
    <w:rsid w:val="00AD49D9"/>
    <w:rsid w:val="00AD4B3D"/>
    <w:rsid w:val="00AD7D48"/>
    <w:rsid w:val="00AE0C76"/>
    <w:rsid w:val="00AE1F39"/>
    <w:rsid w:val="00AE1FE2"/>
    <w:rsid w:val="00AE2E56"/>
    <w:rsid w:val="00AE33E4"/>
    <w:rsid w:val="00AE67EE"/>
    <w:rsid w:val="00AE6D79"/>
    <w:rsid w:val="00AE75FD"/>
    <w:rsid w:val="00AF05C4"/>
    <w:rsid w:val="00AF223E"/>
    <w:rsid w:val="00AF260E"/>
    <w:rsid w:val="00AF3A79"/>
    <w:rsid w:val="00AF4C7E"/>
    <w:rsid w:val="00AF512D"/>
    <w:rsid w:val="00AF629D"/>
    <w:rsid w:val="00AF68FB"/>
    <w:rsid w:val="00AF6A68"/>
    <w:rsid w:val="00B00586"/>
    <w:rsid w:val="00B00894"/>
    <w:rsid w:val="00B00DE0"/>
    <w:rsid w:val="00B01395"/>
    <w:rsid w:val="00B01E6E"/>
    <w:rsid w:val="00B032F5"/>
    <w:rsid w:val="00B0398D"/>
    <w:rsid w:val="00B06833"/>
    <w:rsid w:val="00B0753A"/>
    <w:rsid w:val="00B07E76"/>
    <w:rsid w:val="00B1265A"/>
    <w:rsid w:val="00B1399F"/>
    <w:rsid w:val="00B13BF6"/>
    <w:rsid w:val="00B15CE8"/>
    <w:rsid w:val="00B16519"/>
    <w:rsid w:val="00B17516"/>
    <w:rsid w:val="00B21624"/>
    <w:rsid w:val="00B2427B"/>
    <w:rsid w:val="00B247B7"/>
    <w:rsid w:val="00B33F79"/>
    <w:rsid w:val="00B34696"/>
    <w:rsid w:val="00B361CD"/>
    <w:rsid w:val="00B3720D"/>
    <w:rsid w:val="00B40A84"/>
    <w:rsid w:val="00B41B0A"/>
    <w:rsid w:val="00B4248B"/>
    <w:rsid w:val="00B42DC6"/>
    <w:rsid w:val="00B43F18"/>
    <w:rsid w:val="00B44261"/>
    <w:rsid w:val="00B450F6"/>
    <w:rsid w:val="00B46251"/>
    <w:rsid w:val="00B473AC"/>
    <w:rsid w:val="00B5162D"/>
    <w:rsid w:val="00B51EE6"/>
    <w:rsid w:val="00B531C8"/>
    <w:rsid w:val="00B541AE"/>
    <w:rsid w:val="00B5770F"/>
    <w:rsid w:val="00B6020E"/>
    <w:rsid w:val="00B611CD"/>
    <w:rsid w:val="00B618F7"/>
    <w:rsid w:val="00B61A5A"/>
    <w:rsid w:val="00B6265C"/>
    <w:rsid w:val="00B6463A"/>
    <w:rsid w:val="00B6617A"/>
    <w:rsid w:val="00B66B52"/>
    <w:rsid w:val="00B67582"/>
    <w:rsid w:val="00B71937"/>
    <w:rsid w:val="00B72E56"/>
    <w:rsid w:val="00B72F3D"/>
    <w:rsid w:val="00B730B3"/>
    <w:rsid w:val="00B73CB6"/>
    <w:rsid w:val="00B74E34"/>
    <w:rsid w:val="00B76403"/>
    <w:rsid w:val="00B76DEB"/>
    <w:rsid w:val="00B76E3A"/>
    <w:rsid w:val="00B77100"/>
    <w:rsid w:val="00B777B5"/>
    <w:rsid w:val="00B837B6"/>
    <w:rsid w:val="00B8399C"/>
    <w:rsid w:val="00B83AE9"/>
    <w:rsid w:val="00B8488E"/>
    <w:rsid w:val="00B861E6"/>
    <w:rsid w:val="00B86885"/>
    <w:rsid w:val="00B87E8D"/>
    <w:rsid w:val="00B908EB"/>
    <w:rsid w:val="00B924C6"/>
    <w:rsid w:val="00B927BD"/>
    <w:rsid w:val="00B95B5F"/>
    <w:rsid w:val="00B96FD9"/>
    <w:rsid w:val="00BA059B"/>
    <w:rsid w:val="00BA0A64"/>
    <w:rsid w:val="00BA1658"/>
    <w:rsid w:val="00BA298F"/>
    <w:rsid w:val="00BA2EAB"/>
    <w:rsid w:val="00BA4974"/>
    <w:rsid w:val="00BA500E"/>
    <w:rsid w:val="00BA517D"/>
    <w:rsid w:val="00BA69C7"/>
    <w:rsid w:val="00BB191A"/>
    <w:rsid w:val="00BB2632"/>
    <w:rsid w:val="00BB3A3D"/>
    <w:rsid w:val="00BB3FB5"/>
    <w:rsid w:val="00BB5B7C"/>
    <w:rsid w:val="00BB719A"/>
    <w:rsid w:val="00BC1A79"/>
    <w:rsid w:val="00BC21A8"/>
    <w:rsid w:val="00BC3480"/>
    <w:rsid w:val="00BC449D"/>
    <w:rsid w:val="00BC6221"/>
    <w:rsid w:val="00BC6D1B"/>
    <w:rsid w:val="00BD029F"/>
    <w:rsid w:val="00BD2574"/>
    <w:rsid w:val="00BD3127"/>
    <w:rsid w:val="00BD58A7"/>
    <w:rsid w:val="00BE1819"/>
    <w:rsid w:val="00BE2AE2"/>
    <w:rsid w:val="00BE34F3"/>
    <w:rsid w:val="00BE458D"/>
    <w:rsid w:val="00BE72AD"/>
    <w:rsid w:val="00BF116D"/>
    <w:rsid w:val="00BF1674"/>
    <w:rsid w:val="00BF26CA"/>
    <w:rsid w:val="00BF4CBC"/>
    <w:rsid w:val="00BF774D"/>
    <w:rsid w:val="00C00B1D"/>
    <w:rsid w:val="00C00B7C"/>
    <w:rsid w:val="00C00BFD"/>
    <w:rsid w:val="00C02CB6"/>
    <w:rsid w:val="00C0453B"/>
    <w:rsid w:val="00C04873"/>
    <w:rsid w:val="00C04A68"/>
    <w:rsid w:val="00C04DF8"/>
    <w:rsid w:val="00C05A11"/>
    <w:rsid w:val="00C05FC6"/>
    <w:rsid w:val="00C06E9C"/>
    <w:rsid w:val="00C0776D"/>
    <w:rsid w:val="00C11095"/>
    <w:rsid w:val="00C122B5"/>
    <w:rsid w:val="00C12858"/>
    <w:rsid w:val="00C14DD0"/>
    <w:rsid w:val="00C1691E"/>
    <w:rsid w:val="00C16EAA"/>
    <w:rsid w:val="00C16EE8"/>
    <w:rsid w:val="00C175FA"/>
    <w:rsid w:val="00C20568"/>
    <w:rsid w:val="00C2133B"/>
    <w:rsid w:val="00C22C9A"/>
    <w:rsid w:val="00C23C40"/>
    <w:rsid w:val="00C24D12"/>
    <w:rsid w:val="00C253C9"/>
    <w:rsid w:val="00C259CE"/>
    <w:rsid w:val="00C26BD4"/>
    <w:rsid w:val="00C30040"/>
    <w:rsid w:val="00C30BBE"/>
    <w:rsid w:val="00C30FE4"/>
    <w:rsid w:val="00C323EA"/>
    <w:rsid w:val="00C342C0"/>
    <w:rsid w:val="00C34A53"/>
    <w:rsid w:val="00C34EB8"/>
    <w:rsid w:val="00C37BF1"/>
    <w:rsid w:val="00C41993"/>
    <w:rsid w:val="00C43631"/>
    <w:rsid w:val="00C45634"/>
    <w:rsid w:val="00C46C7B"/>
    <w:rsid w:val="00C47577"/>
    <w:rsid w:val="00C47ABD"/>
    <w:rsid w:val="00C50856"/>
    <w:rsid w:val="00C52C43"/>
    <w:rsid w:val="00C60A6A"/>
    <w:rsid w:val="00C61F5B"/>
    <w:rsid w:val="00C6219F"/>
    <w:rsid w:val="00C6282F"/>
    <w:rsid w:val="00C65173"/>
    <w:rsid w:val="00C655FC"/>
    <w:rsid w:val="00C6577B"/>
    <w:rsid w:val="00C65C2B"/>
    <w:rsid w:val="00C65FFF"/>
    <w:rsid w:val="00C661F2"/>
    <w:rsid w:val="00C66F16"/>
    <w:rsid w:val="00C705A4"/>
    <w:rsid w:val="00C70B21"/>
    <w:rsid w:val="00C72A43"/>
    <w:rsid w:val="00C74A49"/>
    <w:rsid w:val="00C76DA4"/>
    <w:rsid w:val="00C80217"/>
    <w:rsid w:val="00C81088"/>
    <w:rsid w:val="00C824E1"/>
    <w:rsid w:val="00C82A14"/>
    <w:rsid w:val="00C85906"/>
    <w:rsid w:val="00C85C3D"/>
    <w:rsid w:val="00C8663B"/>
    <w:rsid w:val="00C876C3"/>
    <w:rsid w:val="00C9225E"/>
    <w:rsid w:val="00C92C8D"/>
    <w:rsid w:val="00C94501"/>
    <w:rsid w:val="00C94897"/>
    <w:rsid w:val="00C95E91"/>
    <w:rsid w:val="00C96AD9"/>
    <w:rsid w:val="00C96F1B"/>
    <w:rsid w:val="00C9718A"/>
    <w:rsid w:val="00CA1775"/>
    <w:rsid w:val="00CA3549"/>
    <w:rsid w:val="00CA4EF9"/>
    <w:rsid w:val="00CA7A07"/>
    <w:rsid w:val="00CA7D8F"/>
    <w:rsid w:val="00CB0193"/>
    <w:rsid w:val="00CB059A"/>
    <w:rsid w:val="00CB08BD"/>
    <w:rsid w:val="00CB0F0F"/>
    <w:rsid w:val="00CB1836"/>
    <w:rsid w:val="00CB2477"/>
    <w:rsid w:val="00CB441C"/>
    <w:rsid w:val="00CB4C1B"/>
    <w:rsid w:val="00CB518F"/>
    <w:rsid w:val="00CB570A"/>
    <w:rsid w:val="00CB5A79"/>
    <w:rsid w:val="00CB73FC"/>
    <w:rsid w:val="00CB7F6C"/>
    <w:rsid w:val="00CC0D66"/>
    <w:rsid w:val="00CC25AA"/>
    <w:rsid w:val="00CC2701"/>
    <w:rsid w:val="00CD0B05"/>
    <w:rsid w:val="00CD18A8"/>
    <w:rsid w:val="00CD1DAC"/>
    <w:rsid w:val="00CD2266"/>
    <w:rsid w:val="00CD38B4"/>
    <w:rsid w:val="00CD48EB"/>
    <w:rsid w:val="00CD68C8"/>
    <w:rsid w:val="00CE0286"/>
    <w:rsid w:val="00CE0768"/>
    <w:rsid w:val="00CE1582"/>
    <w:rsid w:val="00CE1D1E"/>
    <w:rsid w:val="00CE3970"/>
    <w:rsid w:val="00CE4315"/>
    <w:rsid w:val="00CE43B7"/>
    <w:rsid w:val="00CE634B"/>
    <w:rsid w:val="00CE6640"/>
    <w:rsid w:val="00CF0E62"/>
    <w:rsid w:val="00CF1B50"/>
    <w:rsid w:val="00CF2E3F"/>
    <w:rsid w:val="00CF30C0"/>
    <w:rsid w:val="00CF3BC4"/>
    <w:rsid w:val="00D00E91"/>
    <w:rsid w:val="00D0131D"/>
    <w:rsid w:val="00D02143"/>
    <w:rsid w:val="00D04670"/>
    <w:rsid w:val="00D0486B"/>
    <w:rsid w:val="00D04BDE"/>
    <w:rsid w:val="00D0645F"/>
    <w:rsid w:val="00D06BC8"/>
    <w:rsid w:val="00D07008"/>
    <w:rsid w:val="00D07816"/>
    <w:rsid w:val="00D10DCC"/>
    <w:rsid w:val="00D110C7"/>
    <w:rsid w:val="00D11682"/>
    <w:rsid w:val="00D11CFD"/>
    <w:rsid w:val="00D1290D"/>
    <w:rsid w:val="00D12AC6"/>
    <w:rsid w:val="00D15C10"/>
    <w:rsid w:val="00D16BF4"/>
    <w:rsid w:val="00D16DB5"/>
    <w:rsid w:val="00D178EF"/>
    <w:rsid w:val="00D20A91"/>
    <w:rsid w:val="00D2172D"/>
    <w:rsid w:val="00D21F1D"/>
    <w:rsid w:val="00D225E3"/>
    <w:rsid w:val="00D23084"/>
    <w:rsid w:val="00D25ABD"/>
    <w:rsid w:val="00D26798"/>
    <w:rsid w:val="00D27D0F"/>
    <w:rsid w:val="00D304BC"/>
    <w:rsid w:val="00D34E8D"/>
    <w:rsid w:val="00D35A82"/>
    <w:rsid w:val="00D406F2"/>
    <w:rsid w:val="00D412A6"/>
    <w:rsid w:val="00D43142"/>
    <w:rsid w:val="00D43E3D"/>
    <w:rsid w:val="00D449AF"/>
    <w:rsid w:val="00D45476"/>
    <w:rsid w:val="00D45684"/>
    <w:rsid w:val="00D52D86"/>
    <w:rsid w:val="00D536DB"/>
    <w:rsid w:val="00D536F8"/>
    <w:rsid w:val="00D546AD"/>
    <w:rsid w:val="00D5568C"/>
    <w:rsid w:val="00D5640F"/>
    <w:rsid w:val="00D565A6"/>
    <w:rsid w:val="00D611C5"/>
    <w:rsid w:val="00D6141D"/>
    <w:rsid w:val="00D62476"/>
    <w:rsid w:val="00D6313E"/>
    <w:rsid w:val="00D66122"/>
    <w:rsid w:val="00D66947"/>
    <w:rsid w:val="00D71BDB"/>
    <w:rsid w:val="00D71CE7"/>
    <w:rsid w:val="00D720E8"/>
    <w:rsid w:val="00D72A1B"/>
    <w:rsid w:val="00D734C7"/>
    <w:rsid w:val="00D73543"/>
    <w:rsid w:val="00D75392"/>
    <w:rsid w:val="00D76EFC"/>
    <w:rsid w:val="00D77934"/>
    <w:rsid w:val="00D81A9C"/>
    <w:rsid w:val="00D82ACB"/>
    <w:rsid w:val="00D8425E"/>
    <w:rsid w:val="00D8701B"/>
    <w:rsid w:val="00D871C0"/>
    <w:rsid w:val="00D94199"/>
    <w:rsid w:val="00D9559B"/>
    <w:rsid w:val="00D964DD"/>
    <w:rsid w:val="00D9699D"/>
    <w:rsid w:val="00D96A4C"/>
    <w:rsid w:val="00D96C97"/>
    <w:rsid w:val="00D96E87"/>
    <w:rsid w:val="00D97C00"/>
    <w:rsid w:val="00DA07CA"/>
    <w:rsid w:val="00DA0AC9"/>
    <w:rsid w:val="00DA1058"/>
    <w:rsid w:val="00DA16EC"/>
    <w:rsid w:val="00DA200F"/>
    <w:rsid w:val="00DA32AF"/>
    <w:rsid w:val="00DA5EBE"/>
    <w:rsid w:val="00DA7118"/>
    <w:rsid w:val="00DB0E80"/>
    <w:rsid w:val="00DB1395"/>
    <w:rsid w:val="00DB1BF7"/>
    <w:rsid w:val="00DB1D3B"/>
    <w:rsid w:val="00DB200B"/>
    <w:rsid w:val="00DB2668"/>
    <w:rsid w:val="00DB2AA8"/>
    <w:rsid w:val="00DB2AF4"/>
    <w:rsid w:val="00DB34BC"/>
    <w:rsid w:val="00DB37B3"/>
    <w:rsid w:val="00DB4895"/>
    <w:rsid w:val="00DB61CD"/>
    <w:rsid w:val="00DB7553"/>
    <w:rsid w:val="00DC2377"/>
    <w:rsid w:val="00DC2464"/>
    <w:rsid w:val="00DC2E13"/>
    <w:rsid w:val="00DC6657"/>
    <w:rsid w:val="00DC6E86"/>
    <w:rsid w:val="00DC7EA7"/>
    <w:rsid w:val="00DD0A0A"/>
    <w:rsid w:val="00DD2BC1"/>
    <w:rsid w:val="00DD37BE"/>
    <w:rsid w:val="00DD42DE"/>
    <w:rsid w:val="00DD5070"/>
    <w:rsid w:val="00DD5731"/>
    <w:rsid w:val="00DD65CC"/>
    <w:rsid w:val="00DD6ED9"/>
    <w:rsid w:val="00DD7B42"/>
    <w:rsid w:val="00DD7D1C"/>
    <w:rsid w:val="00DE02E8"/>
    <w:rsid w:val="00DE12E8"/>
    <w:rsid w:val="00DE1933"/>
    <w:rsid w:val="00DE269E"/>
    <w:rsid w:val="00DE368C"/>
    <w:rsid w:val="00DE55B0"/>
    <w:rsid w:val="00DE65BE"/>
    <w:rsid w:val="00DE6B5E"/>
    <w:rsid w:val="00DE6DD1"/>
    <w:rsid w:val="00DE6EAC"/>
    <w:rsid w:val="00DF0FDB"/>
    <w:rsid w:val="00DF153C"/>
    <w:rsid w:val="00DF20E6"/>
    <w:rsid w:val="00DF2F65"/>
    <w:rsid w:val="00DF4353"/>
    <w:rsid w:val="00DF67CE"/>
    <w:rsid w:val="00DF7621"/>
    <w:rsid w:val="00E00743"/>
    <w:rsid w:val="00E009EA"/>
    <w:rsid w:val="00E0107C"/>
    <w:rsid w:val="00E02349"/>
    <w:rsid w:val="00E032DD"/>
    <w:rsid w:val="00E062CD"/>
    <w:rsid w:val="00E067F9"/>
    <w:rsid w:val="00E077F3"/>
    <w:rsid w:val="00E07D75"/>
    <w:rsid w:val="00E10CA4"/>
    <w:rsid w:val="00E129AC"/>
    <w:rsid w:val="00E129AF"/>
    <w:rsid w:val="00E1317C"/>
    <w:rsid w:val="00E14A31"/>
    <w:rsid w:val="00E15C18"/>
    <w:rsid w:val="00E15D58"/>
    <w:rsid w:val="00E16F97"/>
    <w:rsid w:val="00E17096"/>
    <w:rsid w:val="00E205CE"/>
    <w:rsid w:val="00E211EC"/>
    <w:rsid w:val="00E212D0"/>
    <w:rsid w:val="00E22F4F"/>
    <w:rsid w:val="00E23A55"/>
    <w:rsid w:val="00E263AE"/>
    <w:rsid w:val="00E26C17"/>
    <w:rsid w:val="00E302C6"/>
    <w:rsid w:val="00E31590"/>
    <w:rsid w:val="00E31EFC"/>
    <w:rsid w:val="00E3369D"/>
    <w:rsid w:val="00E336B6"/>
    <w:rsid w:val="00E347FB"/>
    <w:rsid w:val="00E3527F"/>
    <w:rsid w:val="00E40645"/>
    <w:rsid w:val="00E414C9"/>
    <w:rsid w:val="00E43FA2"/>
    <w:rsid w:val="00E4524A"/>
    <w:rsid w:val="00E502D0"/>
    <w:rsid w:val="00E502D3"/>
    <w:rsid w:val="00E5030B"/>
    <w:rsid w:val="00E51CE3"/>
    <w:rsid w:val="00E5483B"/>
    <w:rsid w:val="00E54E54"/>
    <w:rsid w:val="00E5501A"/>
    <w:rsid w:val="00E571F8"/>
    <w:rsid w:val="00E60CAE"/>
    <w:rsid w:val="00E61CCE"/>
    <w:rsid w:val="00E62966"/>
    <w:rsid w:val="00E647E4"/>
    <w:rsid w:val="00E706B0"/>
    <w:rsid w:val="00E711C1"/>
    <w:rsid w:val="00E71696"/>
    <w:rsid w:val="00E71E92"/>
    <w:rsid w:val="00E7259A"/>
    <w:rsid w:val="00E74BB3"/>
    <w:rsid w:val="00E74BF4"/>
    <w:rsid w:val="00E761D4"/>
    <w:rsid w:val="00E77DF1"/>
    <w:rsid w:val="00E8109E"/>
    <w:rsid w:val="00E81D7B"/>
    <w:rsid w:val="00E82CE3"/>
    <w:rsid w:val="00E836C1"/>
    <w:rsid w:val="00E844A3"/>
    <w:rsid w:val="00E85891"/>
    <w:rsid w:val="00E85AF4"/>
    <w:rsid w:val="00E85C8C"/>
    <w:rsid w:val="00E91E62"/>
    <w:rsid w:val="00E9351C"/>
    <w:rsid w:val="00E93C1B"/>
    <w:rsid w:val="00E945C8"/>
    <w:rsid w:val="00E974EA"/>
    <w:rsid w:val="00E97D9D"/>
    <w:rsid w:val="00EA15BE"/>
    <w:rsid w:val="00EA39EE"/>
    <w:rsid w:val="00EA455C"/>
    <w:rsid w:val="00EA7E27"/>
    <w:rsid w:val="00EB0900"/>
    <w:rsid w:val="00EB1138"/>
    <w:rsid w:val="00EB18C9"/>
    <w:rsid w:val="00EB28C2"/>
    <w:rsid w:val="00EB4326"/>
    <w:rsid w:val="00EB4920"/>
    <w:rsid w:val="00EB4A5B"/>
    <w:rsid w:val="00EB50A6"/>
    <w:rsid w:val="00EB75CA"/>
    <w:rsid w:val="00EC1C31"/>
    <w:rsid w:val="00EC299B"/>
    <w:rsid w:val="00EC29F9"/>
    <w:rsid w:val="00EC3536"/>
    <w:rsid w:val="00EC3B1E"/>
    <w:rsid w:val="00EC3F62"/>
    <w:rsid w:val="00EC44A7"/>
    <w:rsid w:val="00EC51E8"/>
    <w:rsid w:val="00EC5937"/>
    <w:rsid w:val="00EC7F3D"/>
    <w:rsid w:val="00ED104F"/>
    <w:rsid w:val="00ED10A3"/>
    <w:rsid w:val="00ED1DBA"/>
    <w:rsid w:val="00ED2B50"/>
    <w:rsid w:val="00ED318B"/>
    <w:rsid w:val="00ED3662"/>
    <w:rsid w:val="00ED6972"/>
    <w:rsid w:val="00ED7EF1"/>
    <w:rsid w:val="00EE0FAE"/>
    <w:rsid w:val="00EE14BF"/>
    <w:rsid w:val="00EE21B3"/>
    <w:rsid w:val="00EE345A"/>
    <w:rsid w:val="00EE3791"/>
    <w:rsid w:val="00EE6092"/>
    <w:rsid w:val="00EE6348"/>
    <w:rsid w:val="00EE781C"/>
    <w:rsid w:val="00EF2C15"/>
    <w:rsid w:val="00EF31E1"/>
    <w:rsid w:val="00EF4217"/>
    <w:rsid w:val="00EF5050"/>
    <w:rsid w:val="00EF5CFB"/>
    <w:rsid w:val="00EF6AE2"/>
    <w:rsid w:val="00F0024F"/>
    <w:rsid w:val="00F012F4"/>
    <w:rsid w:val="00F039EB"/>
    <w:rsid w:val="00F03DFF"/>
    <w:rsid w:val="00F049F4"/>
    <w:rsid w:val="00F0670D"/>
    <w:rsid w:val="00F10457"/>
    <w:rsid w:val="00F11F5C"/>
    <w:rsid w:val="00F12AA8"/>
    <w:rsid w:val="00F1432C"/>
    <w:rsid w:val="00F16692"/>
    <w:rsid w:val="00F16F4D"/>
    <w:rsid w:val="00F17DBD"/>
    <w:rsid w:val="00F2160F"/>
    <w:rsid w:val="00F21788"/>
    <w:rsid w:val="00F21FB3"/>
    <w:rsid w:val="00F220A5"/>
    <w:rsid w:val="00F2278E"/>
    <w:rsid w:val="00F24FA7"/>
    <w:rsid w:val="00F2767F"/>
    <w:rsid w:val="00F30920"/>
    <w:rsid w:val="00F3120B"/>
    <w:rsid w:val="00F3155B"/>
    <w:rsid w:val="00F330F6"/>
    <w:rsid w:val="00F3385B"/>
    <w:rsid w:val="00F34B96"/>
    <w:rsid w:val="00F35BB2"/>
    <w:rsid w:val="00F36AF7"/>
    <w:rsid w:val="00F41AA8"/>
    <w:rsid w:val="00F44D0B"/>
    <w:rsid w:val="00F46F10"/>
    <w:rsid w:val="00F47260"/>
    <w:rsid w:val="00F47516"/>
    <w:rsid w:val="00F500B0"/>
    <w:rsid w:val="00F50B14"/>
    <w:rsid w:val="00F521C6"/>
    <w:rsid w:val="00F5336C"/>
    <w:rsid w:val="00F533F0"/>
    <w:rsid w:val="00F53660"/>
    <w:rsid w:val="00F5472D"/>
    <w:rsid w:val="00F553A0"/>
    <w:rsid w:val="00F55D6B"/>
    <w:rsid w:val="00F5698F"/>
    <w:rsid w:val="00F56CE3"/>
    <w:rsid w:val="00F57E0F"/>
    <w:rsid w:val="00F60122"/>
    <w:rsid w:val="00F60F0F"/>
    <w:rsid w:val="00F63689"/>
    <w:rsid w:val="00F637BB"/>
    <w:rsid w:val="00F642CB"/>
    <w:rsid w:val="00F64D11"/>
    <w:rsid w:val="00F663D9"/>
    <w:rsid w:val="00F66798"/>
    <w:rsid w:val="00F66F3C"/>
    <w:rsid w:val="00F67E01"/>
    <w:rsid w:val="00F7096E"/>
    <w:rsid w:val="00F71CF1"/>
    <w:rsid w:val="00F7322A"/>
    <w:rsid w:val="00F732C0"/>
    <w:rsid w:val="00F74645"/>
    <w:rsid w:val="00F76987"/>
    <w:rsid w:val="00F774BA"/>
    <w:rsid w:val="00F7754F"/>
    <w:rsid w:val="00F77DED"/>
    <w:rsid w:val="00F800FE"/>
    <w:rsid w:val="00F80860"/>
    <w:rsid w:val="00F80AE7"/>
    <w:rsid w:val="00F80C58"/>
    <w:rsid w:val="00F84A5D"/>
    <w:rsid w:val="00F86B11"/>
    <w:rsid w:val="00F87496"/>
    <w:rsid w:val="00F91613"/>
    <w:rsid w:val="00F9164F"/>
    <w:rsid w:val="00F94945"/>
    <w:rsid w:val="00F9725C"/>
    <w:rsid w:val="00FA2C06"/>
    <w:rsid w:val="00FA2F47"/>
    <w:rsid w:val="00FA391A"/>
    <w:rsid w:val="00FA4AAE"/>
    <w:rsid w:val="00FA4B75"/>
    <w:rsid w:val="00FA6397"/>
    <w:rsid w:val="00FA6498"/>
    <w:rsid w:val="00FA7D36"/>
    <w:rsid w:val="00FA7F02"/>
    <w:rsid w:val="00FB0FAC"/>
    <w:rsid w:val="00FB26D6"/>
    <w:rsid w:val="00FB27ED"/>
    <w:rsid w:val="00FB351B"/>
    <w:rsid w:val="00FB42E4"/>
    <w:rsid w:val="00FB58E9"/>
    <w:rsid w:val="00FB5CF5"/>
    <w:rsid w:val="00FB63FB"/>
    <w:rsid w:val="00FB79BD"/>
    <w:rsid w:val="00FC1329"/>
    <w:rsid w:val="00FC13CD"/>
    <w:rsid w:val="00FC1534"/>
    <w:rsid w:val="00FC165D"/>
    <w:rsid w:val="00FC2DB4"/>
    <w:rsid w:val="00FC3498"/>
    <w:rsid w:val="00FC3D32"/>
    <w:rsid w:val="00FC4D80"/>
    <w:rsid w:val="00FC5032"/>
    <w:rsid w:val="00FC53D6"/>
    <w:rsid w:val="00FC5756"/>
    <w:rsid w:val="00FC5925"/>
    <w:rsid w:val="00FC62A4"/>
    <w:rsid w:val="00FC6CC1"/>
    <w:rsid w:val="00FD078F"/>
    <w:rsid w:val="00FD197B"/>
    <w:rsid w:val="00FD46D5"/>
    <w:rsid w:val="00FD5B9D"/>
    <w:rsid w:val="00FD6C98"/>
    <w:rsid w:val="00FE22D8"/>
    <w:rsid w:val="00FE253E"/>
    <w:rsid w:val="00FE367A"/>
    <w:rsid w:val="00FE4326"/>
    <w:rsid w:val="00FE43FA"/>
    <w:rsid w:val="00FE48B9"/>
    <w:rsid w:val="00FE6151"/>
    <w:rsid w:val="00FE71AA"/>
    <w:rsid w:val="00FF0624"/>
    <w:rsid w:val="00FF0EF6"/>
    <w:rsid w:val="00FF1A24"/>
    <w:rsid w:val="00FF265D"/>
    <w:rsid w:val="00FF2FE9"/>
    <w:rsid w:val="00FF5673"/>
    <w:rsid w:val="00FF5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066C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520A"/>
    <w:pPr>
      <w:spacing w:after="0" w:line="276" w:lineRule="auto"/>
      <w:jc w:val="both"/>
    </w:pPr>
    <w:rPr>
      <w:rFonts w:ascii="Garamond" w:eastAsia="Calibri" w:hAnsi="Garamond" w:cs="Times New Roman"/>
      <w:sz w:val="24"/>
    </w:rPr>
  </w:style>
  <w:style w:type="paragraph" w:styleId="Nadpis1">
    <w:name w:val="heading 1"/>
    <w:basedOn w:val="Normln"/>
    <w:next w:val="Normln"/>
    <w:link w:val="Nadpis1Char"/>
    <w:uiPriority w:val="9"/>
    <w:qFormat/>
    <w:rsid w:val="00930695"/>
    <w:pPr>
      <w:keepNext/>
      <w:keepLines/>
      <w:spacing w:before="240"/>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894D51"/>
    <w:pPr>
      <w:keepNext/>
      <w:keepLines/>
      <w:spacing w:before="40"/>
      <w:outlineLvl w:val="1"/>
    </w:pPr>
    <w:rPr>
      <w:rFonts w:eastAsiaTheme="majorEastAsia" w:cstheme="majorBidi"/>
      <w:b/>
      <w:color w:val="000000" w:themeColor="text1"/>
      <w:sz w:val="28"/>
      <w:szCs w:val="26"/>
    </w:rPr>
  </w:style>
  <w:style w:type="paragraph" w:styleId="Nadpis3">
    <w:name w:val="heading 3"/>
    <w:basedOn w:val="Normln"/>
    <w:next w:val="Normln"/>
    <w:link w:val="Nadpis3Char"/>
    <w:uiPriority w:val="9"/>
    <w:unhideWhenUsed/>
    <w:qFormat/>
    <w:rsid w:val="008430BD"/>
    <w:pPr>
      <w:keepNext/>
      <w:keepLines/>
      <w:spacing w:before="200"/>
      <w:ind w:left="720" w:hanging="720"/>
      <w:outlineLvl w:val="2"/>
    </w:pPr>
    <w:rPr>
      <w:rFonts w:eastAsia="Times New Roman"/>
      <w:b/>
      <w:bCs/>
      <w:color w:val="000000"/>
    </w:rPr>
  </w:style>
  <w:style w:type="paragraph" w:styleId="Nadpis4">
    <w:name w:val="heading 4"/>
    <w:basedOn w:val="Normln"/>
    <w:next w:val="Normln"/>
    <w:link w:val="Nadpis4Char"/>
    <w:uiPriority w:val="9"/>
    <w:unhideWhenUsed/>
    <w:qFormat/>
    <w:rsid w:val="008430BD"/>
    <w:pPr>
      <w:keepNext/>
      <w:keepLines/>
      <w:spacing w:before="200"/>
      <w:ind w:left="864" w:hanging="864"/>
      <w:outlineLvl w:val="3"/>
    </w:pPr>
    <w:rPr>
      <w:rFonts w:eastAsia="Times New Roman"/>
      <w:b/>
      <w:bCs/>
      <w:iCs/>
    </w:rPr>
  </w:style>
  <w:style w:type="paragraph" w:styleId="Nadpis5">
    <w:name w:val="heading 5"/>
    <w:basedOn w:val="Normln"/>
    <w:next w:val="Normln"/>
    <w:link w:val="Nadpis5Char"/>
    <w:uiPriority w:val="9"/>
    <w:semiHidden/>
    <w:unhideWhenUsed/>
    <w:qFormat/>
    <w:rsid w:val="008430BD"/>
    <w:pPr>
      <w:keepNext/>
      <w:keepLines/>
      <w:spacing w:before="200"/>
      <w:ind w:left="1008" w:hanging="1008"/>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8430BD"/>
    <w:pPr>
      <w:keepNext/>
      <w:keepLines/>
      <w:spacing w:before="200"/>
      <w:ind w:left="1152" w:hanging="1152"/>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8430BD"/>
    <w:pPr>
      <w:keepNext/>
      <w:keepLines/>
      <w:spacing w:before="200"/>
      <w:ind w:left="1296" w:hanging="1296"/>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8430BD"/>
    <w:pPr>
      <w:keepNext/>
      <w:keepLines/>
      <w:spacing w:before="200"/>
      <w:ind w:left="1440" w:hanging="144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8430BD"/>
    <w:pPr>
      <w:keepNext/>
      <w:keepLines/>
      <w:spacing w:before="200"/>
      <w:ind w:left="1584" w:hanging="1584"/>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30695"/>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894D51"/>
    <w:rPr>
      <w:rFonts w:ascii="Times New Roman" w:eastAsiaTheme="majorEastAsia" w:hAnsi="Times New Roman" w:cstheme="majorBidi"/>
      <w:b/>
      <w:color w:val="000000" w:themeColor="text1"/>
      <w:sz w:val="28"/>
      <w:szCs w:val="26"/>
    </w:rPr>
  </w:style>
  <w:style w:type="character" w:customStyle="1" w:styleId="Nadpis3Char">
    <w:name w:val="Nadpis 3 Char"/>
    <w:basedOn w:val="Standardnpsmoodstavce"/>
    <w:link w:val="Nadpis3"/>
    <w:uiPriority w:val="9"/>
    <w:rsid w:val="008430BD"/>
    <w:rPr>
      <w:rFonts w:ascii="Garamond" w:eastAsia="Times New Roman" w:hAnsi="Garamond" w:cs="Times New Roman"/>
      <w:b/>
      <w:bCs/>
      <w:color w:val="000000"/>
      <w:sz w:val="24"/>
    </w:rPr>
  </w:style>
  <w:style w:type="character" w:customStyle="1" w:styleId="Nadpis4Char">
    <w:name w:val="Nadpis 4 Char"/>
    <w:basedOn w:val="Standardnpsmoodstavce"/>
    <w:link w:val="Nadpis4"/>
    <w:uiPriority w:val="9"/>
    <w:rsid w:val="008430BD"/>
    <w:rPr>
      <w:rFonts w:ascii="Garamond" w:eastAsia="Times New Roman" w:hAnsi="Garamond" w:cs="Times New Roman"/>
      <w:b/>
      <w:bCs/>
      <w:iCs/>
      <w:sz w:val="24"/>
    </w:rPr>
  </w:style>
  <w:style w:type="character" w:customStyle="1" w:styleId="Nadpis5Char">
    <w:name w:val="Nadpis 5 Char"/>
    <w:basedOn w:val="Standardnpsmoodstavce"/>
    <w:link w:val="Nadpis5"/>
    <w:uiPriority w:val="9"/>
    <w:semiHidden/>
    <w:rsid w:val="008430BD"/>
    <w:rPr>
      <w:rFonts w:ascii="Cambria" w:eastAsia="Times New Roman" w:hAnsi="Cambria" w:cs="Times New Roman"/>
      <w:color w:val="243F60"/>
      <w:sz w:val="24"/>
    </w:rPr>
  </w:style>
  <w:style w:type="character" w:customStyle="1" w:styleId="Nadpis6Char">
    <w:name w:val="Nadpis 6 Char"/>
    <w:basedOn w:val="Standardnpsmoodstavce"/>
    <w:link w:val="Nadpis6"/>
    <w:uiPriority w:val="9"/>
    <w:semiHidden/>
    <w:rsid w:val="008430BD"/>
    <w:rPr>
      <w:rFonts w:ascii="Cambria" w:eastAsia="Times New Roman" w:hAnsi="Cambria" w:cs="Times New Roman"/>
      <w:i/>
      <w:iCs/>
      <w:color w:val="243F60"/>
      <w:sz w:val="24"/>
    </w:rPr>
  </w:style>
  <w:style w:type="character" w:customStyle="1" w:styleId="Nadpis7Char">
    <w:name w:val="Nadpis 7 Char"/>
    <w:basedOn w:val="Standardnpsmoodstavce"/>
    <w:link w:val="Nadpis7"/>
    <w:uiPriority w:val="9"/>
    <w:semiHidden/>
    <w:rsid w:val="008430BD"/>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8430BD"/>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8430BD"/>
    <w:rPr>
      <w:rFonts w:ascii="Cambria" w:eastAsia="Times New Roman" w:hAnsi="Cambria" w:cs="Times New Roman"/>
      <w:i/>
      <w:iCs/>
      <w:color w:val="404040"/>
      <w:sz w:val="20"/>
      <w:szCs w:val="20"/>
    </w:rPr>
  </w:style>
  <w:style w:type="paragraph" w:styleId="Nadpisobsahu">
    <w:name w:val="TOC Heading"/>
    <w:basedOn w:val="Nadpis1"/>
    <w:next w:val="Normln"/>
    <w:uiPriority w:val="39"/>
    <w:unhideWhenUsed/>
    <w:qFormat/>
    <w:rsid w:val="008430BD"/>
    <w:pPr>
      <w:pageBreakBefore/>
      <w:outlineLvl w:val="9"/>
    </w:pPr>
    <w:rPr>
      <w:rFonts w:ascii="Cambria" w:eastAsia="Times New Roman" w:hAnsi="Cambria" w:cs="Times New Roman"/>
      <w:b w:val="0"/>
      <w:bCs/>
      <w:color w:val="365F91"/>
      <w:szCs w:val="28"/>
      <w:lang w:eastAsia="cs-CZ"/>
    </w:rPr>
  </w:style>
  <w:style w:type="paragraph" w:styleId="Obsah1">
    <w:name w:val="toc 1"/>
    <w:basedOn w:val="Normln"/>
    <w:next w:val="Normln"/>
    <w:autoRedefine/>
    <w:uiPriority w:val="39"/>
    <w:unhideWhenUsed/>
    <w:rsid w:val="008430BD"/>
    <w:pPr>
      <w:tabs>
        <w:tab w:val="right" w:leader="dot" w:pos="9060"/>
      </w:tabs>
    </w:pPr>
  </w:style>
  <w:style w:type="character" w:styleId="Hypertextovodkaz">
    <w:name w:val="Hyperlink"/>
    <w:uiPriority w:val="99"/>
    <w:unhideWhenUsed/>
    <w:rsid w:val="008430BD"/>
    <w:rPr>
      <w:color w:val="0000FF"/>
      <w:u w:val="single"/>
    </w:rPr>
  </w:style>
  <w:style w:type="paragraph" w:styleId="Obsah2">
    <w:name w:val="toc 2"/>
    <w:basedOn w:val="Normln"/>
    <w:next w:val="Normln"/>
    <w:autoRedefine/>
    <w:uiPriority w:val="39"/>
    <w:unhideWhenUsed/>
    <w:rsid w:val="000E0C47"/>
    <w:pPr>
      <w:tabs>
        <w:tab w:val="left" w:pos="880"/>
        <w:tab w:val="right" w:leader="dot" w:pos="9062"/>
      </w:tabs>
      <w:ind w:left="238"/>
    </w:pPr>
    <w:rPr>
      <w:noProof/>
    </w:rPr>
  </w:style>
  <w:style w:type="paragraph" w:styleId="Obsah3">
    <w:name w:val="toc 3"/>
    <w:basedOn w:val="Normln"/>
    <w:next w:val="Normln"/>
    <w:autoRedefine/>
    <w:uiPriority w:val="39"/>
    <w:unhideWhenUsed/>
    <w:rsid w:val="008430BD"/>
    <w:pPr>
      <w:tabs>
        <w:tab w:val="left" w:pos="1320"/>
        <w:tab w:val="right" w:leader="dot" w:pos="9062"/>
      </w:tabs>
      <w:ind w:left="482"/>
    </w:pPr>
  </w:style>
  <w:style w:type="paragraph" w:styleId="Zhlav">
    <w:name w:val="header"/>
    <w:basedOn w:val="Normln"/>
    <w:link w:val="ZhlavChar"/>
    <w:uiPriority w:val="99"/>
    <w:unhideWhenUsed/>
    <w:rsid w:val="008430BD"/>
    <w:pPr>
      <w:tabs>
        <w:tab w:val="center" w:pos="4536"/>
        <w:tab w:val="right" w:pos="9072"/>
      </w:tabs>
      <w:spacing w:line="240" w:lineRule="auto"/>
    </w:pPr>
  </w:style>
  <w:style w:type="character" w:customStyle="1" w:styleId="ZhlavChar">
    <w:name w:val="Záhlaví Char"/>
    <w:basedOn w:val="Standardnpsmoodstavce"/>
    <w:link w:val="Zhlav"/>
    <w:uiPriority w:val="99"/>
    <w:rsid w:val="008430BD"/>
    <w:rPr>
      <w:rFonts w:ascii="Garamond" w:eastAsia="Calibri" w:hAnsi="Garamond" w:cs="Times New Roman"/>
      <w:sz w:val="24"/>
    </w:rPr>
  </w:style>
  <w:style w:type="paragraph" w:styleId="Zpat">
    <w:name w:val="footer"/>
    <w:basedOn w:val="Normln"/>
    <w:link w:val="ZpatChar"/>
    <w:uiPriority w:val="99"/>
    <w:unhideWhenUsed/>
    <w:rsid w:val="008430BD"/>
    <w:pPr>
      <w:tabs>
        <w:tab w:val="center" w:pos="4536"/>
        <w:tab w:val="right" w:pos="9072"/>
      </w:tabs>
      <w:spacing w:line="240" w:lineRule="auto"/>
    </w:pPr>
  </w:style>
  <w:style w:type="character" w:customStyle="1" w:styleId="ZpatChar">
    <w:name w:val="Zápatí Char"/>
    <w:basedOn w:val="Standardnpsmoodstavce"/>
    <w:link w:val="Zpat"/>
    <w:uiPriority w:val="99"/>
    <w:rsid w:val="008430BD"/>
    <w:rPr>
      <w:rFonts w:ascii="Garamond" w:eastAsia="Calibri" w:hAnsi="Garamond" w:cs="Times New Roman"/>
      <w:sz w:val="24"/>
    </w:rPr>
  </w:style>
  <w:style w:type="paragraph" w:styleId="Textbubliny">
    <w:name w:val="Balloon Text"/>
    <w:basedOn w:val="Normln"/>
    <w:link w:val="TextbublinyChar"/>
    <w:uiPriority w:val="99"/>
    <w:semiHidden/>
    <w:unhideWhenUsed/>
    <w:rsid w:val="008430B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30BD"/>
    <w:rPr>
      <w:rFonts w:ascii="Tahoma" w:eastAsia="Calibri" w:hAnsi="Tahoma" w:cs="Tahoma"/>
      <w:sz w:val="16"/>
      <w:szCs w:val="16"/>
    </w:rPr>
  </w:style>
  <w:style w:type="paragraph" w:styleId="Odstavecseseznamem">
    <w:name w:val="List Paragraph"/>
    <w:basedOn w:val="Normln"/>
    <w:uiPriority w:val="34"/>
    <w:qFormat/>
    <w:rsid w:val="008430BD"/>
    <w:pPr>
      <w:ind w:left="720"/>
      <w:contextualSpacing/>
    </w:pPr>
  </w:style>
  <w:style w:type="paragraph" w:styleId="Titulek">
    <w:name w:val="caption"/>
    <w:basedOn w:val="Normln"/>
    <w:next w:val="Normln"/>
    <w:uiPriority w:val="35"/>
    <w:unhideWhenUsed/>
    <w:qFormat/>
    <w:rsid w:val="008430BD"/>
    <w:pPr>
      <w:spacing w:line="240" w:lineRule="auto"/>
    </w:pPr>
    <w:rPr>
      <w:b/>
      <w:bCs/>
      <w:color w:val="4F81BD"/>
      <w:sz w:val="18"/>
      <w:szCs w:val="18"/>
    </w:rPr>
  </w:style>
  <w:style w:type="paragraph" w:styleId="Podnadpis">
    <w:name w:val="Subtitle"/>
    <w:aliases w:val="Grafy a tabulky"/>
    <w:basedOn w:val="Normln"/>
    <w:next w:val="Normln"/>
    <w:link w:val="PodnadpisChar"/>
    <w:uiPriority w:val="11"/>
    <w:qFormat/>
    <w:rsid w:val="008430BD"/>
    <w:pPr>
      <w:keepNext/>
      <w:numPr>
        <w:ilvl w:val="1"/>
      </w:numPr>
      <w:spacing w:before="120" w:line="240" w:lineRule="auto"/>
      <w:jc w:val="left"/>
    </w:pPr>
    <w:rPr>
      <w:rFonts w:eastAsia="Times New Roman"/>
      <w:b/>
      <w:iCs/>
      <w:color w:val="000000"/>
      <w:spacing w:val="15"/>
      <w:szCs w:val="24"/>
    </w:rPr>
  </w:style>
  <w:style w:type="character" w:customStyle="1" w:styleId="PodnadpisChar">
    <w:name w:val="Podnadpis Char"/>
    <w:aliases w:val="Grafy a tabulky Char"/>
    <w:basedOn w:val="Standardnpsmoodstavce"/>
    <w:link w:val="Podnadpis"/>
    <w:uiPriority w:val="11"/>
    <w:rsid w:val="008430BD"/>
    <w:rPr>
      <w:rFonts w:ascii="Garamond" w:eastAsia="Times New Roman" w:hAnsi="Garamond" w:cs="Times New Roman"/>
      <w:b/>
      <w:iCs/>
      <w:color w:val="000000"/>
      <w:spacing w:val="15"/>
      <w:sz w:val="24"/>
      <w:szCs w:val="24"/>
    </w:rPr>
  </w:style>
  <w:style w:type="paragraph" w:styleId="Seznamobrzk">
    <w:name w:val="table of figures"/>
    <w:basedOn w:val="Normln"/>
    <w:next w:val="Normln"/>
    <w:uiPriority w:val="99"/>
    <w:unhideWhenUsed/>
    <w:rsid w:val="008430BD"/>
  </w:style>
  <w:style w:type="paragraph" w:styleId="Bezmezer">
    <w:name w:val="No Spacing"/>
    <w:uiPriority w:val="1"/>
    <w:qFormat/>
    <w:rsid w:val="008430BD"/>
    <w:pPr>
      <w:spacing w:after="0" w:line="240" w:lineRule="auto"/>
    </w:pPr>
    <w:rPr>
      <w:rFonts w:ascii="Times New Roman" w:eastAsia="Calibri" w:hAnsi="Times New Roman" w:cs="Times New Roman"/>
      <w:sz w:val="24"/>
    </w:rPr>
  </w:style>
  <w:style w:type="paragraph" w:styleId="Textpoznpodarou">
    <w:name w:val="footnote text"/>
    <w:basedOn w:val="Normln"/>
    <w:link w:val="TextpoznpodarouChar"/>
    <w:uiPriority w:val="99"/>
    <w:semiHidden/>
    <w:unhideWhenUsed/>
    <w:rsid w:val="008430BD"/>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8430BD"/>
    <w:rPr>
      <w:rFonts w:ascii="Garamond" w:eastAsia="Calibri" w:hAnsi="Garamond" w:cs="Times New Roman"/>
      <w:sz w:val="20"/>
      <w:szCs w:val="20"/>
    </w:rPr>
  </w:style>
  <w:style w:type="character" w:styleId="Znakapoznpodarou">
    <w:name w:val="footnote reference"/>
    <w:uiPriority w:val="99"/>
    <w:semiHidden/>
    <w:unhideWhenUsed/>
    <w:rsid w:val="008430BD"/>
    <w:rPr>
      <w:vertAlign w:val="superscript"/>
    </w:rPr>
  </w:style>
  <w:style w:type="paragraph" w:styleId="Nzev">
    <w:name w:val="Title"/>
    <w:basedOn w:val="Normln"/>
    <w:next w:val="Normln"/>
    <w:link w:val="NzevChar"/>
    <w:uiPriority w:val="10"/>
    <w:qFormat/>
    <w:rsid w:val="008430B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10"/>
    <w:rsid w:val="008430BD"/>
    <w:rPr>
      <w:rFonts w:ascii="Cambria" w:eastAsia="Times New Roman" w:hAnsi="Cambria" w:cs="Times New Roman"/>
      <w:color w:val="17365D"/>
      <w:spacing w:val="5"/>
      <w:kern w:val="28"/>
      <w:sz w:val="52"/>
      <w:szCs w:val="52"/>
    </w:rPr>
  </w:style>
  <w:style w:type="character" w:styleId="Odkaznakoment">
    <w:name w:val="annotation reference"/>
    <w:uiPriority w:val="99"/>
    <w:semiHidden/>
    <w:unhideWhenUsed/>
    <w:rsid w:val="008430BD"/>
    <w:rPr>
      <w:sz w:val="16"/>
      <w:szCs w:val="16"/>
    </w:rPr>
  </w:style>
  <w:style w:type="paragraph" w:styleId="Textkomente">
    <w:name w:val="annotation text"/>
    <w:basedOn w:val="Normln"/>
    <w:link w:val="TextkomenteChar"/>
    <w:uiPriority w:val="99"/>
    <w:unhideWhenUsed/>
    <w:rsid w:val="008430BD"/>
    <w:pPr>
      <w:spacing w:line="240" w:lineRule="auto"/>
    </w:pPr>
    <w:rPr>
      <w:sz w:val="20"/>
      <w:szCs w:val="20"/>
    </w:rPr>
  </w:style>
  <w:style w:type="character" w:customStyle="1" w:styleId="TextkomenteChar">
    <w:name w:val="Text komentáře Char"/>
    <w:basedOn w:val="Standardnpsmoodstavce"/>
    <w:link w:val="Textkomente"/>
    <w:uiPriority w:val="99"/>
    <w:rsid w:val="008430BD"/>
    <w:rPr>
      <w:rFonts w:ascii="Garamond" w:eastAsia="Calibri" w:hAnsi="Garamond" w:cs="Times New Roman"/>
      <w:sz w:val="20"/>
      <w:szCs w:val="20"/>
    </w:rPr>
  </w:style>
  <w:style w:type="paragraph" w:styleId="Pedmtkomente">
    <w:name w:val="annotation subject"/>
    <w:basedOn w:val="Textkomente"/>
    <w:next w:val="Textkomente"/>
    <w:link w:val="PedmtkomenteChar"/>
    <w:uiPriority w:val="99"/>
    <w:semiHidden/>
    <w:unhideWhenUsed/>
    <w:rsid w:val="008430BD"/>
    <w:rPr>
      <w:b/>
      <w:bCs/>
    </w:rPr>
  </w:style>
  <w:style w:type="character" w:customStyle="1" w:styleId="PedmtkomenteChar">
    <w:name w:val="Předmět komentáře Char"/>
    <w:basedOn w:val="TextkomenteChar"/>
    <w:link w:val="Pedmtkomente"/>
    <w:uiPriority w:val="99"/>
    <w:semiHidden/>
    <w:rsid w:val="008430BD"/>
    <w:rPr>
      <w:rFonts w:ascii="Garamond" w:eastAsia="Calibri" w:hAnsi="Garamond" w:cs="Times New Roman"/>
      <w:b/>
      <w:bCs/>
      <w:sz w:val="20"/>
      <w:szCs w:val="20"/>
    </w:rPr>
  </w:style>
  <w:style w:type="paragraph" w:customStyle="1" w:styleId="OdstavecASR">
    <w:name w:val="Odstavec ASR"/>
    <w:basedOn w:val="Normln"/>
    <w:link w:val="OdstavecASRChar"/>
    <w:qFormat/>
    <w:rsid w:val="008430BD"/>
    <w:pPr>
      <w:spacing w:before="60" w:after="120"/>
    </w:pPr>
  </w:style>
  <w:style w:type="character" w:customStyle="1" w:styleId="OdstavecASRChar">
    <w:name w:val="Odstavec ASR Char"/>
    <w:link w:val="OdstavecASR"/>
    <w:rsid w:val="008430BD"/>
    <w:rPr>
      <w:rFonts w:ascii="Garamond" w:eastAsia="Calibri" w:hAnsi="Garamond" w:cs="Times New Roman"/>
      <w:sz w:val="24"/>
    </w:rPr>
  </w:style>
  <w:style w:type="paragraph" w:styleId="Obsah4">
    <w:name w:val="toc 4"/>
    <w:basedOn w:val="Normln"/>
    <w:next w:val="Normln"/>
    <w:autoRedefine/>
    <w:uiPriority w:val="39"/>
    <w:unhideWhenUsed/>
    <w:rsid w:val="008430BD"/>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8430BD"/>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8430BD"/>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8430BD"/>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8430BD"/>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8430BD"/>
    <w:pPr>
      <w:spacing w:after="100"/>
      <w:ind w:left="1760"/>
      <w:jc w:val="left"/>
    </w:pPr>
    <w:rPr>
      <w:rFonts w:ascii="Calibri" w:eastAsia="Times New Roman" w:hAnsi="Calibri"/>
      <w:sz w:val="22"/>
      <w:lang w:eastAsia="cs-CZ"/>
    </w:rPr>
  </w:style>
  <w:style w:type="paragraph" w:styleId="Revize">
    <w:name w:val="Revision"/>
    <w:hidden/>
    <w:uiPriority w:val="99"/>
    <w:semiHidden/>
    <w:rsid w:val="008430BD"/>
    <w:pPr>
      <w:spacing w:after="0" w:line="240" w:lineRule="auto"/>
    </w:pPr>
    <w:rPr>
      <w:rFonts w:ascii="Times New Roman" w:eastAsia="Calibri" w:hAnsi="Times New Roman" w:cs="Times New Roman"/>
      <w:sz w:val="24"/>
    </w:rPr>
  </w:style>
  <w:style w:type="character" w:styleId="Sledovanodkaz">
    <w:name w:val="FollowedHyperlink"/>
    <w:uiPriority w:val="99"/>
    <w:semiHidden/>
    <w:unhideWhenUsed/>
    <w:rsid w:val="008430BD"/>
    <w:rPr>
      <w:color w:val="800080"/>
      <w:u w:val="single"/>
    </w:rPr>
  </w:style>
  <w:style w:type="paragraph" w:styleId="Rozloendokumentu">
    <w:name w:val="Document Map"/>
    <w:basedOn w:val="Normln"/>
    <w:link w:val="RozloendokumentuChar"/>
    <w:uiPriority w:val="99"/>
    <w:semiHidden/>
    <w:unhideWhenUsed/>
    <w:rsid w:val="008430BD"/>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430BD"/>
    <w:rPr>
      <w:rFonts w:ascii="Tahoma" w:eastAsia="Calibri" w:hAnsi="Tahoma" w:cs="Tahoma"/>
      <w:sz w:val="16"/>
      <w:szCs w:val="16"/>
    </w:rPr>
  </w:style>
  <w:style w:type="paragraph" w:styleId="Prosttext">
    <w:name w:val="Plain Text"/>
    <w:basedOn w:val="Normln"/>
    <w:link w:val="ProsttextChar"/>
    <w:uiPriority w:val="99"/>
    <w:semiHidden/>
    <w:unhideWhenUsed/>
    <w:rsid w:val="008430BD"/>
    <w:pPr>
      <w:spacing w:line="240" w:lineRule="auto"/>
      <w:jc w:val="left"/>
    </w:pPr>
    <w:rPr>
      <w:rFonts w:ascii="Calibri" w:hAnsi="Calibri" w:cs="Consolas"/>
      <w:sz w:val="22"/>
      <w:szCs w:val="21"/>
    </w:rPr>
  </w:style>
  <w:style w:type="character" w:customStyle="1" w:styleId="ProsttextChar">
    <w:name w:val="Prostý text Char"/>
    <w:basedOn w:val="Standardnpsmoodstavce"/>
    <w:link w:val="Prosttext"/>
    <w:uiPriority w:val="99"/>
    <w:semiHidden/>
    <w:rsid w:val="008430BD"/>
    <w:rPr>
      <w:rFonts w:ascii="Calibri" w:eastAsia="Calibri" w:hAnsi="Calibri" w:cs="Consolas"/>
      <w:szCs w:val="21"/>
    </w:rPr>
  </w:style>
  <w:style w:type="paragraph" w:styleId="Textvysvtlivek">
    <w:name w:val="endnote text"/>
    <w:basedOn w:val="Normln"/>
    <w:link w:val="TextvysvtlivekChar"/>
    <w:uiPriority w:val="99"/>
    <w:semiHidden/>
    <w:unhideWhenUsed/>
    <w:rsid w:val="008430B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8430BD"/>
    <w:rPr>
      <w:rFonts w:ascii="Garamond" w:eastAsia="Calibri" w:hAnsi="Garamond" w:cs="Times New Roman"/>
      <w:sz w:val="20"/>
      <w:szCs w:val="20"/>
    </w:rPr>
  </w:style>
  <w:style w:type="character" w:styleId="Odkaznavysvtlivky">
    <w:name w:val="endnote reference"/>
    <w:uiPriority w:val="99"/>
    <w:semiHidden/>
    <w:unhideWhenUsed/>
    <w:rsid w:val="008430BD"/>
    <w:rPr>
      <w:vertAlign w:val="superscript"/>
    </w:rPr>
  </w:style>
  <w:style w:type="character" w:styleId="Odkazjemn">
    <w:name w:val="Subtle Reference"/>
    <w:basedOn w:val="Standardnpsmoodstavce"/>
    <w:uiPriority w:val="31"/>
    <w:qFormat/>
    <w:rsid w:val="008430BD"/>
    <w:rPr>
      <w:smallCaps/>
      <w:color w:val="5A5A5A" w:themeColor="text1" w:themeTint="A5"/>
    </w:rPr>
  </w:style>
  <w:style w:type="character" w:customStyle="1" w:styleId="Nevyeenzmnka1">
    <w:name w:val="Nevyřešená zmínka1"/>
    <w:basedOn w:val="Standardnpsmoodstavce"/>
    <w:uiPriority w:val="99"/>
    <w:semiHidden/>
    <w:unhideWhenUsed/>
    <w:rsid w:val="008430BD"/>
    <w:rPr>
      <w:color w:val="605E5C"/>
      <w:shd w:val="clear" w:color="auto" w:fill="E1DFDD"/>
    </w:rPr>
  </w:style>
  <w:style w:type="character" w:customStyle="1" w:styleId="Nevyeenzmnka2">
    <w:name w:val="Nevyřešená zmínka2"/>
    <w:basedOn w:val="Standardnpsmoodstavce"/>
    <w:uiPriority w:val="99"/>
    <w:semiHidden/>
    <w:unhideWhenUsed/>
    <w:rsid w:val="008430BD"/>
    <w:rPr>
      <w:color w:val="605E5C"/>
      <w:shd w:val="clear" w:color="auto" w:fill="E1DFDD"/>
    </w:rPr>
  </w:style>
  <w:style w:type="character" w:styleId="Zstupntext">
    <w:name w:val="Placeholder Text"/>
    <w:basedOn w:val="Standardnpsmoodstavce"/>
    <w:uiPriority w:val="99"/>
    <w:semiHidden/>
    <w:rsid w:val="008430BD"/>
    <w:rPr>
      <w:color w:val="808080"/>
    </w:rPr>
  </w:style>
  <w:style w:type="character" w:customStyle="1" w:styleId="Nevyeenzmnka3">
    <w:name w:val="Nevyřešená zmínka3"/>
    <w:basedOn w:val="Standardnpsmoodstavce"/>
    <w:uiPriority w:val="99"/>
    <w:semiHidden/>
    <w:unhideWhenUsed/>
    <w:rsid w:val="008430BD"/>
    <w:rPr>
      <w:color w:val="605E5C"/>
      <w:shd w:val="clear" w:color="auto" w:fill="E1DFDD"/>
    </w:rPr>
  </w:style>
  <w:style w:type="character" w:customStyle="1" w:styleId="Nevyeenzmnka4">
    <w:name w:val="Nevyřešená zmínka4"/>
    <w:basedOn w:val="Standardnpsmoodstavce"/>
    <w:uiPriority w:val="99"/>
    <w:semiHidden/>
    <w:unhideWhenUsed/>
    <w:rsid w:val="008430BD"/>
    <w:rPr>
      <w:color w:val="605E5C"/>
      <w:shd w:val="clear" w:color="auto" w:fill="E1DFDD"/>
    </w:rPr>
  </w:style>
  <w:style w:type="character" w:customStyle="1" w:styleId="Nevyeenzmnka5">
    <w:name w:val="Nevyřešená zmínka5"/>
    <w:basedOn w:val="Standardnpsmoodstavce"/>
    <w:uiPriority w:val="99"/>
    <w:semiHidden/>
    <w:unhideWhenUsed/>
    <w:rsid w:val="008430BD"/>
    <w:rPr>
      <w:color w:val="605E5C"/>
      <w:shd w:val="clear" w:color="auto" w:fill="E1DFDD"/>
    </w:rPr>
  </w:style>
  <w:style w:type="character" w:styleId="Nevyeenzmnka">
    <w:name w:val="Unresolved Mention"/>
    <w:basedOn w:val="Standardnpsmoodstavce"/>
    <w:uiPriority w:val="99"/>
    <w:semiHidden/>
    <w:unhideWhenUsed/>
    <w:rsid w:val="00EC44A7"/>
    <w:rPr>
      <w:color w:val="605E5C"/>
      <w:shd w:val="clear" w:color="auto" w:fill="E1DFDD"/>
    </w:rPr>
  </w:style>
  <w:style w:type="character" w:customStyle="1" w:styleId="Nevyeenzmnka6">
    <w:name w:val="Nevyřešená zmínka6"/>
    <w:basedOn w:val="Standardnpsmoodstavce"/>
    <w:uiPriority w:val="99"/>
    <w:semiHidden/>
    <w:unhideWhenUsed/>
    <w:rsid w:val="00B76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640">
      <w:bodyDiv w:val="1"/>
      <w:marLeft w:val="0"/>
      <w:marRight w:val="0"/>
      <w:marTop w:val="0"/>
      <w:marBottom w:val="0"/>
      <w:divBdr>
        <w:top w:val="none" w:sz="0" w:space="0" w:color="auto"/>
        <w:left w:val="none" w:sz="0" w:space="0" w:color="auto"/>
        <w:bottom w:val="none" w:sz="0" w:space="0" w:color="auto"/>
        <w:right w:val="none" w:sz="0" w:space="0" w:color="auto"/>
      </w:divBdr>
    </w:div>
    <w:div w:id="1126545">
      <w:bodyDiv w:val="1"/>
      <w:marLeft w:val="0"/>
      <w:marRight w:val="0"/>
      <w:marTop w:val="0"/>
      <w:marBottom w:val="0"/>
      <w:divBdr>
        <w:top w:val="none" w:sz="0" w:space="0" w:color="auto"/>
        <w:left w:val="none" w:sz="0" w:space="0" w:color="auto"/>
        <w:bottom w:val="none" w:sz="0" w:space="0" w:color="auto"/>
        <w:right w:val="none" w:sz="0" w:space="0" w:color="auto"/>
      </w:divBdr>
    </w:div>
    <w:div w:id="1468846">
      <w:bodyDiv w:val="1"/>
      <w:marLeft w:val="0"/>
      <w:marRight w:val="0"/>
      <w:marTop w:val="0"/>
      <w:marBottom w:val="0"/>
      <w:divBdr>
        <w:top w:val="none" w:sz="0" w:space="0" w:color="auto"/>
        <w:left w:val="none" w:sz="0" w:space="0" w:color="auto"/>
        <w:bottom w:val="none" w:sz="0" w:space="0" w:color="auto"/>
        <w:right w:val="none" w:sz="0" w:space="0" w:color="auto"/>
      </w:divBdr>
    </w:div>
    <w:div w:id="13268235">
      <w:bodyDiv w:val="1"/>
      <w:marLeft w:val="0"/>
      <w:marRight w:val="0"/>
      <w:marTop w:val="0"/>
      <w:marBottom w:val="0"/>
      <w:divBdr>
        <w:top w:val="none" w:sz="0" w:space="0" w:color="auto"/>
        <w:left w:val="none" w:sz="0" w:space="0" w:color="auto"/>
        <w:bottom w:val="none" w:sz="0" w:space="0" w:color="auto"/>
        <w:right w:val="none" w:sz="0" w:space="0" w:color="auto"/>
      </w:divBdr>
    </w:div>
    <w:div w:id="28730201">
      <w:bodyDiv w:val="1"/>
      <w:marLeft w:val="0"/>
      <w:marRight w:val="0"/>
      <w:marTop w:val="0"/>
      <w:marBottom w:val="0"/>
      <w:divBdr>
        <w:top w:val="none" w:sz="0" w:space="0" w:color="auto"/>
        <w:left w:val="none" w:sz="0" w:space="0" w:color="auto"/>
        <w:bottom w:val="none" w:sz="0" w:space="0" w:color="auto"/>
        <w:right w:val="none" w:sz="0" w:space="0" w:color="auto"/>
      </w:divBdr>
    </w:div>
    <w:div w:id="100035629">
      <w:bodyDiv w:val="1"/>
      <w:marLeft w:val="0"/>
      <w:marRight w:val="0"/>
      <w:marTop w:val="0"/>
      <w:marBottom w:val="0"/>
      <w:divBdr>
        <w:top w:val="none" w:sz="0" w:space="0" w:color="auto"/>
        <w:left w:val="none" w:sz="0" w:space="0" w:color="auto"/>
        <w:bottom w:val="none" w:sz="0" w:space="0" w:color="auto"/>
        <w:right w:val="none" w:sz="0" w:space="0" w:color="auto"/>
      </w:divBdr>
    </w:div>
    <w:div w:id="100758516">
      <w:bodyDiv w:val="1"/>
      <w:marLeft w:val="0"/>
      <w:marRight w:val="0"/>
      <w:marTop w:val="0"/>
      <w:marBottom w:val="0"/>
      <w:divBdr>
        <w:top w:val="none" w:sz="0" w:space="0" w:color="auto"/>
        <w:left w:val="none" w:sz="0" w:space="0" w:color="auto"/>
        <w:bottom w:val="none" w:sz="0" w:space="0" w:color="auto"/>
        <w:right w:val="none" w:sz="0" w:space="0" w:color="auto"/>
      </w:divBdr>
    </w:div>
    <w:div w:id="116920350">
      <w:bodyDiv w:val="1"/>
      <w:marLeft w:val="0"/>
      <w:marRight w:val="0"/>
      <w:marTop w:val="0"/>
      <w:marBottom w:val="0"/>
      <w:divBdr>
        <w:top w:val="none" w:sz="0" w:space="0" w:color="auto"/>
        <w:left w:val="none" w:sz="0" w:space="0" w:color="auto"/>
        <w:bottom w:val="none" w:sz="0" w:space="0" w:color="auto"/>
        <w:right w:val="none" w:sz="0" w:space="0" w:color="auto"/>
      </w:divBdr>
    </w:div>
    <w:div w:id="119232718">
      <w:bodyDiv w:val="1"/>
      <w:marLeft w:val="0"/>
      <w:marRight w:val="0"/>
      <w:marTop w:val="0"/>
      <w:marBottom w:val="0"/>
      <w:divBdr>
        <w:top w:val="none" w:sz="0" w:space="0" w:color="auto"/>
        <w:left w:val="none" w:sz="0" w:space="0" w:color="auto"/>
        <w:bottom w:val="none" w:sz="0" w:space="0" w:color="auto"/>
        <w:right w:val="none" w:sz="0" w:space="0" w:color="auto"/>
      </w:divBdr>
    </w:div>
    <w:div w:id="137693433">
      <w:bodyDiv w:val="1"/>
      <w:marLeft w:val="0"/>
      <w:marRight w:val="0"/>
      <w:marTop w:val="0"/>
      <w:marBottom w:val="0"/>
      <w:divBdr>
        <w:top w:val="none" w:sz="0" w:space="0" w:color="auto"/>
        <w:left w:val="none" w:sz="0" w:space="0" w:color="auto"/>
        <w:bottom w:val="none" w:sz="0" w:space="0" w:color="auto"/>
        <w:right w:val="none" w:sz="0" w:space="0" w:color="auto"/>
      </w:divBdr>
    </w:div>
    <w:div w:id="146744910">
      <w:bodyDiv w:val="1"/>
      <w:marLeft w:val="0"/>
      <w:marRight w:val="0"/>
      <w:marTop w:val="0"/>
      <w:marBottom w:val="0"/>
      <w:divBdr>
        <w:top w:val="none" w:sz="0" w:space="0" w:color="auto"/>
        <w:left w:val="none" w:sz="0" w:space="0" w:color="auto"/>
        <w:bottom w:val="none" w:sz="0" w:space="0" w:color="auto"/>
        <w:right w:val="none" w:sz="0" w:space="0" w:color="auto"/>
      </w:divBdr>
    </w:div>
    <w:div w:id="157617729">
      <w:bodyDiv w:val="1"/>
      <w:marLeft w:val="0"/>
      <w:marRight w:val="0"/>
      <w:marTop w:val="0"/>
      <w:marBottom w:val="0"/>
      <w:divBdr>
        <w:top w:val="none" w:sz="0" w:space="0" w:color="auto"/>
        <w:left w:val="none" w:sz="0" w:space="0" w:color="auto"/>
        <w:bottom w:val="none" w:sz="0" w:space="0" w:color="auto"/>
        <w:right w:val="none" w:sz="0" w:space="0" w:color="auto"/>
      </w:divBdr>
    </w:div>
    <w:div w:id="182785725">
      <w:bodyDiv w:val="1"/>
      <w:marLeft w:val="0"/>
      <w:marRight w:val="0"/>
      <w:marTop w:val="0"/>
      <w:marBottom w:val="0"/>
      <w:divBdr>
        <w:top w:val="none" w:sz="0" w:space="0" w:color="auto"/>
        <w:left w:val="none" w:sz="0" w:space="0" w:color="auto"/>
        <w:bottom w:val="none" w:sz="0" w:space="0" w:color="auto"/>
        <w:right w:val="none" w:sz="0" w:space="0" w:color="auto"/>
      </w:divBdr>
    </w:div>
    <w:div w:id="187761475">
      <w:bodyDiv w:val="1"/>
      <w:marLeft w:val="0"/>
      <w:marRight w:val="0"/>
      <w:marTop w:val="0"/>
      <w:marBottom w:val="0"/>
      <w:divBdr>
        <w:top w:val="none" w:sz="0" w:space="0" w:color="auto"/>
        <w:left w:val="none" w:sz="0" w:space="0" w:color="auto"/>
        <w:bottom w:val="none" w:sz="0" w:space="0" w:color="auto"/>
        <w:right w:val="none" w:sz="0" w:space="0" w:color="auto"/>
      </w:divBdr>
    </w:div>
    <w:div w:id="236786691">
      <w:bodyDiv w:val="1"/>
      <w:marLeft w:val="0"/>
      <w:marRight w:val="0"/>
      <w:marTop w:val="0"/>
      <w:marBottom w:val="0"/>
      <w:divBdr>
        <w:top w:val="none" w:sz="0" w:space="0" w:color="auto"/>
        <w:left w:val="none" w:sz="0" w:space="0" w:color="auto"/>
        <w:bottom w:val="none" w:sz="0" w:space="0" w:color="auto"/>
        <w:right w:val="none" w:sz="0" w:space="0" w:color="auto"/>
      </w:divBdr>
    </w:div>
    <w:div w:id="245265949">
      <w:bodyDiv w:val="1"/>
      <w:marLeft w:val="0"/>
      <w:marRight w:val="0"/>
      <w:marTop w:val="0"/>
      <w:marBottom w:val="0"/>
      <w:divBdr>
        <w:top w:val="none" w:sz="0" w:space="0" w:color="auto"/>
        <w:left w:val="none" w:sz="0" w:space="0" w:color="auto"/>
        <w:bottom w:val="none" w:sz="0" w:space="0" w:color="auto"/>
        <w:right w:val="none" w:sz="0" w:space="0" w:color="auto"/>
      </w:divBdr>
    </w:div>
    <w:div w:id="252200807">
      <w:bodyDiv w:val="1"/>
      <w:marLeft w:val="0"/>
      <w:marRight w:val="0"/>
      <w:marTop w:val="0"/>
      <w:marBottom w:val="0"/>
      <w:divBdr>
        <w:top w:val="none" w:sz="0" w:space="0" w:color="auto"/>
        <w:left w:val="none" w:sz="0" w:space="0" w:color="auto"/>
        <w:bottom w:val="none" w:sz="0" w:space="0" w:color="auto"/>
        <w:right w:val="none" w:sz="0" w:space="0" w:color="auto"/>
      </w:divBdr>
    </w:div>
    <w:div w:id="322658465">
      <w:bodyDiv w:val="1"/>
      <w:marLeft w:val="0"/>
      <w:marRight w:val="0"/>
      <w:marTop w:val="0"/>
      <w:marBottom w:val="0"/>
      <w:divBdr>
        <w:top w:val="none" w:sz="0" w:space="0" w:color="auto"/>
        <w:left w:val="none" w:sz="0" w:space="0" w:color="auto"/>
        <w:bottom w:val="none" w:sz="0" w:space="0" w:color="auto"/>
        <w:right w:val="none" w:sz="0" w:space="0" w:color="auto"/>
      </w:divBdr>
    </w:div>
    <w:div w:id="326133371">
      <w:bodyDiv w:val="1"/>
      <w:marLeft w:val="0"/>
      <w:marRight w:val="0"/>
      <w:marTop w:val="0"/>
      <w:marBottom w:val="0"/>
      <w:divBdr>
        <w:top w:val="none" w:sz="0" w:space="0" w:color="auto"/>
        <w:left w:val="none" w:sz="0" w:space="0" w:color="auto"/>
        <w:bottom w:val="none" w:sz="0" w:space="0" w:color="auto"/>
        <w:right w:val="none" w:sz="0" w:space="0" w:color="auto"/>
      </w:divBdr>
    </w:div>
    <w:div w:id="330958998">
      <w:bodyDiv w:val="1"/>
      <w:marLeft w:val="0"/>
      <w:marRight w:val="0"/>
      <w:marTop w:val="0"/>
      <w:marBottom w:val="0"/>
      <w:divBdr>
        <w:top w:val="none" w:sz="0" w:space="0" w:color="auto"/>
        <w:left w:val="none" w:sz="0" w:space="0" w:color="auto"/>
        <w:bottom w:val="none" w:sz="0" w:space="0" w:color="auto"/>
        <w:right w:val="none" w:sz="0" w:space="0" w:color="auto"/>
      </w:divBdr>
    </w:div>
    <w:div w:id="356319434">
      <w:bodyDiv w:val="1"/>
      <w:marLeft w:val="0"/>
      <w:marRight w:val="0"/>
      <w:marTop w:val="0"/>
      <w:marBottom w:val="0"/>
      <w:divBdr>
        <w:top w:val="none" w:sz="0" w:space="0" w:color="auto"/>
        <w:left w:val="none" w:sz="0" w:space="0" w:color="auto"/>
        <w:bottom w:val="none" w:sz="0" w:space="0" w:color="auto"/>
        <w:right w:val="none" w:sz="0" w:space="0" w:color="auto"/>
      </w:divBdr>
    </w:div>
    <w:div w:id="372850210">
      <w:bodyDiv w:val="1"/>
      <w:marLeft w:val="0"/>
      <w:marRight w:val="0"/>
      <w:marTop w:val="0"/>
      <w:marBottom w:val="0"/>
      <w:divBdr>
        <w:top w:val="none" w:sz="0" w:space="0" w:color="auto"/>
        <w:left w:val="none" w:sz="0" w:space="0" w:color="auto"/>
        <w:bottom w:val="none" w:sz="0" w:space="0" w:color="auto"/>
        <w:right w:val="none" w:sz="0" w:space="0" w:color="auto"/>
      </w:divBdr>
    </w:div>
    <w:div w:id="380323068">
      <w:bodyDiv w:val="1"/>
      <w:marLeft w:val="0"/>
      <w:marRight w:val="0"/>
      <w:marTop w:val="0"/>
      <w:marBottom w:val="0"/>
      <w:divBdr>
        <w:top w:val="none" w:sz="0" w:space="0" w:color="auto"/>
        <w:left w:val="none" w:sz="0" w:space="0" w:color="auto"/>
        <w:bottom w:val="none" w:sz="0" w:space="0" w:color="auto"/>
        <w:right w:val="none" w:sz="0" w:space="0" w:color="auto"/>
      </w:divBdr>
    </w:div>
    <w:div w:id="390544199">
      <w:bodyDiv w:val="1"/>
      <w:marLeft w:val="0"/>
      <w:marRight w:val="0"/>
      <w:marTop w:val="0"/>
      <w:marBottom w:val="0"/>
      <w:divBdr>
        <w:top w:val="none" w:sz="0" w:space="0" w:color="auto"/>
        <w:left w:val="none" w:sz="0" w:space="0" w:color="auto"/>
        <w:bottom w:val="none" w:sz="0" w:space="0" w:color="auto"/>
        <w:right w:val="none" w:sz="0" w:space="0" w:color="auto"/>
      </w:divBdr>
    </w:div>
    <w:div w:id="398747886">
      <w:bodyDiv w:val="1"/>
      <w:marLeft w:val="0"/>
      <w:marRight w:val="0"/>
      <w:marTop w:val="0"/>
      <w:marBottom w:val="0"/>
      <w:divBdr>
        <w:top w:val="none" w:sz="0" w:space="0" w:color="auto"/>
        <w:left w:val="none" w:sz="0" w:space="0" w:color="auto"/>
        <w:bottom w:val="none" w:sz="0" w:space="0" w:color="auto"/>
        <w:right w:val="none" w:sz="0" w:space="0" w:color="auto"/>
      </w:divBdr>
    </w:div>
    <w:div w:id="408964128">
      <w:bodyDiv w:val="1"/>
      <w:marLeft w:val="0"/>
      <w:marRight w:val="0"/>
      <w:marTop w:val="0"/>
      <w:marBottom w:val="0"/>
      <w:divBdr>
        <w:top w:val="none" w:sz="0" w:space="0" w:color="auto"/>
        <w:left w:val="none" w:sz="0" w:space="0" w:color="auto"/>
        <w:bottom w:val="none" w:sz="0" w:space="0" w:color="auto"/>
        <w:right w:val="none" w:sz="0" w:space="0" w:color="auto"/>
      </w:divBdr>
    </w:div>
    <w:div w:id="413433395">
      <w:bodyDiv w:val="1"/>
      <w:marLeft w:val="0"/>
      <w:marRight w:val="0"/>
      <w:marTop w:val="0"/>
      <w:marBottom w:val="0"/>
      <w:divBdr>
        <w:top w:val="none" w:sz="0" w:space="0" w:color="auto"/>
        <w:left w:val="none" w:sz="0" w:space="0" w:color="auto"/>
        <w:bottom w:val="none" w:sz="0" w:space="0" w:color="auto"/>
        <w:right w:val="none" w:sz="0" w:space="0" w:color="auto"/>
      </w:divBdr>
    </w:div>
    <w:div w:id="441345716">
      <w:bodyDiv w:val="1"/>
      <w:marLeft w:val="0"/>
      <w:marRight w:val="0"/>
      <w:marTop w:val="0"/>
      <w:marBottom w:val="0"/>
      <w:divBdr>
        <w:top w:val="none" w:sz="0" w:space="0" w:color="auto"/>
        <w:left w:val="none" w:sz="0" w:space="0" w:color="auto"/>
        <w:bottom w:val="none" w:sz="0" w:space="0" w:color="auto"/>
        <w:right w:val="none" w:sz="0" w:space="0" w:color="auto"/>
      </w:divBdr>
    </w:div>
    <w:div w:id="452408745">
      <w:bodyDiv w:val="1"/>
      <w:marLeft w:val="0"/>
      <w:marRight w:val="0"/>
      <w:marTop w:val="0"/>
      <w:marBottom w:val="0"/>
      <w:divBdr>
        <w:top w:val="none" w:sz="0" w:space="0" w:color="auto"/>
        <w:left w:val="none" w:sz="0" w:space="0" w:color="auto"/>
        <w:bottom w:val="none" w:sz="0" w:space="0" w:color="auto"/>
        <w:right w:val="none" w:sz="0" w:space="0" w:color="auto"/>
      </w:divBdr>
    </w:div>
    <w:div w:id="454300222">
      <w:bodyDiv w:val="1"/>
      <w:marLeft w:val="0"/>
      <w:marRight w:val="0"/>
      <w:marTop w:val="0"/>
      <w:marBottom w:val="0"/>
      <w:divBdr>
        <w:top w:val="none" w:sz="0" w:space="0" w:color="auto"/>
        <w:left w:val="none" w:sz="0" w:space="0" w:color="auto"/>
        <w:bottom w:val="none" w:sz="0" w:space="0" w:color="auto"/>
        <w:right w:val="none" w:sz="0" w:space="0" w:color="auto"/>
      </w:divBdr>
    </w:div>
    <w:div w:id="482818712">
      <w:bodyDiv w:val="1"/>
      <w:marLeft w:val="0"/>
      <w:marRight w:val="0"/>
      <w:marTop w:val="0"/>
      <w:marBottom w:val="0"/>
      <w:divBdr>
        <w:top w:val="none" w:sz="0" w:space="0" w:color="auto"/>
        <w:left w:val="none" w:sz="0" w:space="0" w:color="auto"/>
        <w:bottom w:val="none" w:sz="0" w:space="0" w:color="auto"/>
        <w:right w:val="none" w:sz="0" w:space="0" w:color="auto"/>
      </w:divBdr>
    </w:div>
    <w:div w:id="515460964">
      <w:bodyDiv w:val="1"/>
      <w:marLeft w:val="0"/>
      <w:marRight w:val="0"/>
      <w:marTop w:val="0"/>
      <w:marBottom w:val="0"/>
      <w:divBdr>
        <w:top w:val="none" w:sz="0" w:space="0" w:color="auto"/>
        <w:left w:val="none" w:sz="0" w:space="0" w:color="auto"/>
        <w:bottom w:val="none" w:sz="0" w:space="0" w:color="auto"/>
        <w:right w:val="none" w:sz="0" w:space="0" w:color="auto"/>
      </w:divBdr>
    </w:div>
    <w:div w:id="525020402">
      <w:bodyDiv w:val="1"/>
      <w:marLeft w:val="0"/>
      <w:marRight w:val="0"/>
      <w:marTop w:val="0"/>
      <w:marBottom w:val="0"/>
      <w:divBdr>
        <w:top w:val="none" w:sz="0" w:space="0" w:color="auto"/>
        <w:left w:val="none" w:sz="0" w:space="0" w:color="auto"/>
        <w:bottom w:val="none" w:sz="0" w:space="0" w:color="auto"/>
        <w:right w:val="none" w:sz="0" w:space="0" w:color="auto"/>
      </w:divBdr>
      <w:divsChild>
        <w:div w:id="36592946">
          <w:marLeft w:val="0"/>
          <w:marRight w:val="0"/>
          <w:marTop w:val="0"/>
          <w:marBottom w:val="0"/>
          <w:divBdr>
            <w:top w:val="none" w:sz="0" w:space="0" w:color="auto"/>
            <w:left w:val="none" w:sz="0" w:space="0" w:color="auto"/>
            <w:bottom w:val="none" w:sz="0" w:space="0" w:color="auto"/>
            <w:right w:val="none" w:sz="0" w:space="0" w:color="auto"/>
          </w:divBdr>
          <w:divsChild>
            <w:div w:id="14987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59994">
      <w:bodyDiv w:val="1"/>
      <w:marLeft w:val="0"/>
      <w:marRight w:val="0"/>
      <w:marTop w:val="0"/>
      <w:marBottom w:val="0"/>
      <w:divBdr>
        <w:top w:val="none" w:sz="0" w:space="0" w:color="auto"/>
        <w:left w:val="none" w:sz="0" w:space="0" w:color="auto"/>
        <w:bottom w:val="none" w:sz="0" w:space="0" w:color="auto"/>
        <w:right w:val="none" w:sz="0" w:space="0" w:color="auto"/>
      </w:divBdr>
    </w:div>
    <w:div w:id="536549885">
      <w:bodyDiv w:val="1"/>
      <w:marLeft w:val="0"/>
      <w:marRight w:val="0"/>
      <w:marTop w:val="0"/>
      <w:marBottom w:val="0"/>
      <w:divBdr>
        <w:top w:val="none" w:sz="0" w:space="0" w:color="auto"/>
        <w:left w:val="none" w:sz="0" w:space="0" w:color="auto"/>
        <w:bottom w:val="none" w:sz="0" w:space="0" w:color="auto"/>
        <w:right w:val="none" w:sz="0" w:space="0" w:color="auto"/>
      </w:divBdr>
    </w:div>
    <w:div w:id="553009701">
      <w:bodyDiv w:val="1"/>
      <w:marLeft w:val="0"/>
      <w:marRight w:val="0"/>
      <w:marTop w:val="0"/>
      <w:marBottom w:val="0"/>
      <w:divBdr>
        <w:top w:val="none" w:sz="0" w:space="0" w:color="auto"/>
        <w:left w:val="none" w:sz="0" w:space="0" w:color="auto"/>
        <w:bottom w:val="none" w:sz="0" w:space="0" w:color="auto"/>
        <w:right w:val="none" w:sz="0" w:space="0" w:color="auto"/>
      </w:divBdr>
    </w:div>
    <w:div w:id="599606073">
      <w:bodyDiv w:val="1"/>
      <w:marLeft w:val="0"/>
      <w:marRight w:val="0"/>
      <w:marTop w:val="0"/>
      <w:marBottom w:val="0"/>
      <w:divBdr>
        <w:top w:val="none" w:sz="0" w:space="0" w:color="auto"/>
        <w:left w:val="none" w:sz="0" w:space="0" w:color="auto"/>
        <w:bottom w:val="none" w:sz="0" w:space="0" w:color="auto"/>
        <w:right w:val="none" w:sz="0" w:space="0" w:color="auto"/>
      </w:divBdr>
    </w:div>
    <w:div w:id="630282448">
      <w:bodyDiv w:val="1"/>
      <w:marLeft w:val="0"/>
      <w:marRight w:val="0"/>
      <w:marTop w:val="0"/>
      <w:marBottom w:val="0"/>
      <w:divBdr>
        <w:top w:val="none" w:sz="0" w:space="0" w:color="auto"/>
        <w:left w:val="none" w:sz="0" w:space="0" w:color="auto"/>
        <w:bottom w:val="none" w:sz="0" w:space="0" w:color="auto"/>
        <w:right w:val="none" w:sz="0" w:space="0" w:color="auto"/>
      </w:divBdr>
    </w:div>
    <w:div w:id="641926460">
      <w:bodyDiv w:val="1"/>
      <w:marLeft w:val="0"/>
      <w:marRight w:val="0"/>
      <w:marTop w:val="0"/>
      <w:marBottom w:val="0"/>
      <w:divBdr>
        <w:top w:val="none" w:sz="0" w:space="0" w:color="auto"/>
        <w:left w:val="none" w:sz="0" w:space="0" w:color="auto"/>
        <w:bottom w:val="none" w:sz="0" w:space="0" w:color="auto"/>
        <w:right w:val="none" w:sz="0" w:space="0" w:color="auto"/>
      </w:divBdr>
    </w:div>
    <w:div w:id="647436771">
      <w:bodyDiv w:val="1"/>
      <w:marLeft w:val="0"/>
      <w:marRight w:val="0"/>
      <w:marTop w:val="0"/>
      <w:marBottom w:val="0"/>
      <w:divBdr>
        <w:top w:val="none" w:sz="0" w:space="0" w:color="auto"/>
        <w:left w:val="none" w:sz="0" w:space="0" w:color="auto"/>
        <w:bottom w:val="none" w:sz="0" w:space="0" w:color="auto"/>
        <w:right w:val="none" w:sz="0" w:space="0" w:color="auto"/>
      </w:divBdr>
    </w:div>
    <w:div w:id="663363600">
      <w:bodyDiv w:val="1"/>
      <w:marLeft w:val="0"/>
      <w:marRight w:val="0"/>
      <w:marTop w:val="0"/>
      <w:marBottom w:val="0"/>
      <w:divBdr>
        <w:top w:val="none" w:sz="0" w:space="0" w:color="auto"/>
        <w:left w:val="none" w:sz="0" w:space="0" w:color="auto"/>
        <w:bottom w:val="none" w:sz="0" w:space="0" w:color="auto"/>
        <w:right w:val="none" w:sz="0" w:space="0" w:color="auto"/>
      </w:divBdr>
    </w:div>
    <w:div w:id="676738738">
      <w:bodyDiv w:val="1"/>
      <w:marLeft w:val="0"/>
      <w:marRight w:val="0"/>
      <w:marTop w:val="0"/>
      <w:marBottom w:val="0"/>
      <w:divBdr>
        <w:top w:val="none" w:sz="0" w:space="0" w:color="auto"/>
        <w:left w:val="none" w:sz="0" w:space="0" w:color="auto"/>
        <w:bottom w:val="none" w:sz="0" w:space="0" w:color="auto"/>
        <w:right w:val="none" w:sz="0" w:space="0" w:color="auto"/>
      </w:divBdr>
    </w:div>
    <w:div w:id="691224607">
      <w:bodyDiv w:val="1"/>
      <w:marLeft w:val="0"/>
      <w:marRight w:val="0"/>
      <w:marTop w:val="0"/>
      <w:marBottom w:val="0"/>
      <w:divBdr>
        <w:top w:val="none" w:sz="0" w:space="0" w:color="auto"/>
        <w:left w:val="none" w:sz="0" w:space="0" w:color="auto"/>
        <w:bottom w:val="none" w:sz="0" w:space="0" w:color="auto"/>
        <w:right w:val="none" w:sz="0" w:space="0" w:color="auto"/>
      </w:divBdr>
    </w:div>
    <w:div w:id="693574937">
      <w:bodyDiv w:val="1"/>
      <w:marLeft w:val="0"/>
      <w:marRight w:val="0"/>
      <w:marTop w:val="0"/>
      <w:marBottom w:val="0"/>
      <w:divBdr>
        <w:top w:val="none" w:sz="0" w:space="0" w:color="auto"/>
        <w:left w:val="none" w:sz="0" w:space="0" w:color="auto"/>
        <w:bottom w:val="none" w:sz="0" w:space="0" w:color="auto"/>
        <w:right w:val="none" w:sz="0" w:space="0" w:color="auto"/>
      </w:divBdr>
    </w:div>
    <w:div w:id="700546756">
      <w:bodyDiv w:val="1"/>
      <w:marLeft w:val="0"/>
      <w:marRight w:val="0"/>
      <w:marTop w:val="0"/>
      <w:marBottom w:val="0"/>
      <w:divBdr>
        <w:top w:val="none" w:sz="0" w:space="0" w:color="auto"/>
        <w:left w:val="none" w:sz="0" w:space="0" w:color="auto"/>
        <w:bottom w:val="none" w:sz="0" w:space="0" w:color="auto"/>
        <w:right w:val="none" w:sz="0" w:space="0" w:color="auto"/>
      </w:divBdr>
    </w:div>
    <w:div w:id="712195016">
      <w:bodyDiv w:val="1"/>
      <w:marLeft w:val="0"/>
      <w:marRight w:val="0"/>
      <w:marTop w:val="0"/>
      <w:marBottom w:val="0"/>
      <w:divBdr>
        <w:top w:val="none" w:sz="0" w:space="0" w:color="auto"/>
        <w:left w:val="none" w:sz="0" w:space="0" w:color="auto"/>
        <w:bottom w:val="none" w:sz="0" w:space="0" w:color="auto"/>
        <w:right w:val="none" w:sz="0" w:space="0" w:color="auto"/>
      </w:divBdr>
    </w:div>
    <w:div w:id="715742952">
      <w:bodyDiv w:val="1"/>
      <w:marLeft w:val="0"/>
      <w:marRight w:val="0"/>
      <w:marTop w:val="0"/>
      <w:marBottom w:val="0"/>
      <w:divBdr>
        <w:top w:val="none" w:sz="0" w:space="0" w:color="auto"/>
        <w:left w:val="none" w:sz="0" w:space="0" w:color="auto"/>
        <w:bottom w:val="none" w:sz="0" w:space="0" w:color="auto"/>
        <w:right w:val="none" w:sz="0" w:space="0" w:color="auto"/>
      </w:divBdr>
    </w:div>
    <w:div w:id="723675016">
      <w:bodyDiv w:val="1"/>
      <w:marLeft w:val="0"/>
      <w:marRight w:val="0"/>
      <w:marTop w:val="0"/>
      <w:marBottom w:val="0"/>
      <w:divBdr>
        <w:top w:val="none" w:sz="0" w:space="0" w:color="auto"/>
        <w:left w:val="none" w:sz="0" w:space="0" w:color="auto"/>
        <w:bottom w:val="none" w:sz="0" w:space="0" w:color="auto"/>
        <w:right w:val="none" w:sz="0" w:space="0" w:color="auto"/>
      </w:divBdr>
    </w:div>
    <w:div w:id="767848268">
      <w:bodyDiv w:val="1"/>
      <w:marLeft w:val="0"/>
      <w:marRight w:val="0"/>
      <w:marTop w:val="0"/>
      <w:marBottom w:val="0"/>
      <w:divBdr>
        <w:top w:val="none" w:sz="0" w:space="0" w:color="auto"/>
        <w:left w:val="none" w:sz="0" w:space="0" w:color="auto"/>
        <w:bottom w:val="none" w:sz="0" w:space="0" w:color="auto"/>
        <w:right w:val="none" w:sz="0" w:space="0" w:color="auto"/>
      </w:divBdr>
    </w:div>
    <w:div w:id="778064539">
      <w:bodyDiv w:val="1"/>
      <w:marLeft w:val="0"/>
      <w:marRight w:val="0"/>
      <w:marTop w:val="0"/>
      <w:marBottom w:val="0"/>
      <w:divBdr>
        <w:top w:val="none" w:sz="0" w:space="0" w:color="auto"/>
        <w:left w:val="none" w:sz="0" w:space="0" w:color="auto"/>
        <w:bottom w:val="none" w:sz="0" w:space="0" w:color="auto"/>
        <w:right w:val="none" w:sz="0" w:space="0" w:color="auto"/>
      </w:divBdr>
    </w:div>
    <w:div w:id="789980175">
      <w:bodyDiv w:val="1"/>
      <w:marLeft w:val="0"/>
      <w:marRight w:val="0"/>
      <w:marTop w:val="0"/>
      <w:marBottom w:val="0"/>
      <w:divBdr>
        <w:top w:val="none" w:sz="0" w:space="0" w:color="auto"/>
        <w:left w:val="none" w:sz="0" w:space="0" w:color="auto"/>
        <w:bottom w:val="none" w:sz="0" w:space="0" w:color="auto"/>
        <w:right w:val="none" w:sz="0" w:space="0" w:color="auto"/>
      </w:divBdr>
    </w:div>
    <w:div w:id="796534129">
      <w:bodyDiv w:val="1"/>
      <w:marLeft w:val="0"/>
      <w:marRight w:val="0"/>
      <w:marTop w:val="0"/>
      <w:marBottom w:val="0"/>
      <w:divBdr>
        <w:top w:val="none" w:sz="0" w:space="0" w:color="auto"/>
        <w:left w:val="none" w:sz="0" w:space="0" w:color="auto"/>
        <w:bottom w:val="none" w:sz="0" w:space="0" w:color="auto"/>
        <w:right w:val="none" w:sz="0" w:space="0" w:color="auto"/>
      </w:divBdr>
    </w:div>
    <w:div w:id="815681805">
      <w:bodyDiv w:val="1"/>
      <w:marLeft w:val="0"/>
      <w:marRight w:val="0"/>
      <w:marTop w:val="0"/>
      <w:marBottom w:val="0"/>
      <w:divBdr>
        <w:top w:val="none" w:sz="0" w:space="0" w:color="auto"/>
        <w:left w:val="none" w:sz="0" w:space="0" w:color="auto"/>
        <w:bottom w:val="none" w:sz="0" w:space="0" w:color="auto"/>
        <w:right w:val="none" w:sz="0" w:space="0" w:color="auto"/>
      </w:divBdr>
    </w:div>
    <w:div w:id="832798178">
      <w:bodyDiv w:val="1"/>
      <w:marLeft w:val="0"/>
      <w:marRight w:val="0"/>
      <w:marTop w:val="0"/>
      <w:marBottom w:val="0"/>
      <w:divBdr>
        <w:top w:val="none" w:sz="0" w:space="0" w:color="auto"/>
        <w:left w:val="none" w:sz="0" w:space="0" w:color="auto"/>
        <w:bottom w:val="none" w:sz="0" w:space="0" w:color="auto"/>
        <w:right w:val="none" w:sz="0" w:space="0" w:color="auto"/>
      </w:divBdr>
    </w:div>
    <w:div w:id="886646247">
      <w:bodyDiv w:val="1"/>
      <w:marLeft w:val="0"/>
      <w:marRight w:val="0"/>
      <w:marTop w:val="0"/>
      <w:marBottom w:val="0"/>
      <w:divBdr>
        <w:top w:val="none" w:sz="0" w:space="0" w:color="auto"/>
        <w:left w:val="none" w:sz="0" w:space="0" w:color="auto"/>
        <w:bottom w:val="none" w:sz="0" w:space="0" w:color="auto"/>
        <w:right w:val="none" w:sz="0" w:space="0" w:color="auto"/>
      </w:divBdr>
    </w:div>
    <w:div w:id="916286478">
      <w:bodyDiv w:val="1"/>
      <w:marLeft w:val="0"/>
      <w:marRight w:val="0"/>
      <w:marTop w:val="0"/>
      <w:marBottom w:val="0"/>
      <w:divBdr>
        <w:top w:val="none" w:sz="0" w:space="0" w:color="auto"/>
        <w:left w:val="none" w:sz="0" w:space="0" w:color="auto"/>
        <w:bottom w:val="none" w:sz="0" w:space="0" w:color="auto"/>
        <w:right w:val="none" w:sz="0" w:space="0" w:color="auto"/>
      </w:divBdr>
    </w:div>
    <w:div w:id="920259184">
      <w:bodyDiv w:val="1"/>
      <w:marLeft w:val="0"/>
      <w:marRight w:val="0"/>
      <w:marTop w:val="0"/>
      <w:marBottom w:val="0"/>
      <w:divBdr>
        <w:top w:val="none" w:sz="0" w:space="0" w:color="auto"/>
        <w:left w:val="none" w:sz="0" w:space="0" w:color="auto"/>
        <w:bottom w:val="none" w:sz="0" w:space="0" w:color="auto"/>
        <w:right w:val="none" w:sz="0" w:space="0" w:color="auto"/>
      </w:divBdr>
    </w:div>
    <w:div w:id="920531775">
      <w:bodyDiv w:val="1"/>
      <w:marLeft w:val="0"/>
      <w:marRight w:val="0"/>
      <w:marTop w:val="0"/>
      <w:marBottom w:val="0"/>
      <w:divBdr>
        <w:top w:val="none" w:sz="0" w:space="0" w:color="auto"/>
        <w:left w:val="none" w:sz="0" w:space="0" w:color="auto"/>
        <w:bottom w:val="none" w:sz="0" w:space="0" w:color="auto"/>
        <w:right w:val="none" w:sz="0" w:space="0" w:color="auto"/>
      </w:divBdr>
    </w:div>
    <w:div w:id="949165650">
      <w:bodyDiv w:val="1"/>
      <w:marLeft w:val="0"/>
      <w:marRight w:val="0"/>
      <w:marTop w:val="0"/>
      <w:marBottom w:val="0"/>
      <w:divBdr>
        <w:top w:val="none" w:sz="0" w:space="0" w:color="auto"/>
        <w:left w:val="none" w:sz="0" w:space="0" w:color="auto"/>
        <w:bottom w:val="none" w:sz="0" w:space="0" w:color="auto"/>
        <w:right w:val="none" w:sz="0" w:space="0" w:color="auto"/>
      </w:divBdr>
    </w:div>
    <w:div w:id="958727667">
      <w:bodyDiv w:val="1"/>
      <w:marLeft w:val="0"/>
      <w:marRight w:val="0"/>
      <w:marTop w:val="0"/>
      <w:marBottom w:val="0"/>
      <w:divBdr>
        <w:top w:val="none" w:sz="0" w:space="0" w:color="auto"/>
        <w:left w:val="none" w:sz="0" w:space="0" w:color="auto"/>
        <w:bottom w:val="none" w:sz="0" w:space="0" w:color="auto"/>
        <w:right w:val="none" w:sz="0" w:space="0" w:color="auto"/>
      </w:divBdr>
    </w:div>
    <w:div w:id="962619771">
      <w:bodyDiv w:val="1"/>
      <w:marLeft w:val="0"/>
      <w:marRight w:val="0"/>
      <w:marTop w:val="0"/>
      <w:marBottom w:val="0"/>
      <w:divBdr>
        <w:top w:val="none" w:sz="0" w:space="0" w:color="auto"/>
        <w:left w:val="none" w:sz="0" w:space="0" w:color="auto"/>
        <w:bottom w:val="none" w:sz="0" w:space="0" w:color="auto"/>
        <w:right w:val="none" w:sz="0" w:space="0" w:color="auto"/>
      </w:divBdr>
    </w:div>
    <w:div w:id="993485724">
      <w:bodyDiv w:val="1"/>
      <w:marLeft w:val="0"/>
      <w:marRight w:val="0"/>
      <w:marTop w:val="0"/>
      <w:marBottom w:val="0"/>
      <w:divBdr>
        <w:top w:val="none" w:sz="0" w:space="0" w:color="auto"/>
        <w:left w:val="none" w:sz="0" w:space="0" w:color="auto"/>
        <w:bottom w:val="none" w:sz="0" w:space="0" w:color="auto"/>
        <w:right w:val="none" w:sz="0" w:space="0" w:color="auto"/>
      </w:divBdr>
    </w:div>
    <w:div w:id="996491753">
      <w:bodyDiv w:val="1"/>
      <w:marLeft w:val="0"/>
      <w:marRight w:val="0"/>
      <w:marTop w:val="0"/>
      <w:marBottom w:val="0"/>
      <w:divBdr>
        <w:top w:val="none" w:sz="0" w:space="0" w:color="auto"/>
        <w:left w:val="none" w:sz="0" w:space="0" w:color="auto"/>
        <w:bottom w:val="none" w:sz="0" w:space="0" w:color="auto"/>
        <w:right w:val="none" w:sz="0" w:space="0" w:color="auto"/>
      </w:divBdr>
    </w:div>
    <w:div w:id="1029993928">
      <w:bodyDiv w:val="1"/>
      <w:marLeft w:val="0"/>
      <w:marRight w:val="0"/>
      <w:marTop w:val="0"/>
      <w:marBottom w:val="0"/>
      <w:divBdr>
        <w:top w:val="none" w:sz="0" w:space="0" w:color="auto"/>
        <w:left w:val="none" w:sz="0" w:space="0" w:color="auto"/>
        <w:bottom w:val="none" w:sz="0" w:space="0" w:color="auto"/>
        <w:right w:val="none" w:sz="0" w:space="0" w:color="auto"/>
      </w:divBdr>
    </w:div>
    <w:div w:id="1032000277">
      <w:bodyDiv w:val="1"/>
      <w:marLeft w:val="0"/>
      <w:marRight w:val="0"/>
      <w:marTop w:val="0"/>
      <w:marBottom w:val="0"/>
      <w:divBdr>
        <w:top w:val="none" w:sz="0" w:space="0" w:color="auto"/>
        <w:left w:val="none" w:sz="0" w:space="0" w:color="auto"/>
        <w:bottom w:val="none" w:sz="0" w:space="0" w:color="auto"/>
        <w:right w:val="none" w:sz="0" w:space="0" w:color="auto"/>
      </w:divBdr>
    </w:div>
    <w:div w:id="1034504114">
      <w:bodyDiv w:val="1"/>
      <w:marLeft w:val="0"/>
      <w:marRight w:val="0"/>
      <w:marTop w:val="0"/>
      <w:marBottom w:val="0"/>
      <w:divBdr>
        <w:top w:val="none" w:sz="0" w:space="0" w:color="auto"/>
        <w:left w:val="none" w:sz="0" w:space="0" w:color="auto"/>
        <w:bottom w:val="none" w:sz="0" w:space="0" w:color="auto"/>
        <w:right w:val="none" w:sz="0" w:space="0" w:color="auto"/>
      </w:divBdr>
    </w:div>
    <w:div w:id="1036155823">
      <w:bodyDiv w:val="1"/>
      <w:marLeft w:val="0"/>
      <w:marRight w:val="0"/>
      <w:marTop w:val="0"/>
      <w:marBottom w:val="0"/>
      <w:divBdr>
        <w:top w:val="none" w:sz="0" w:space="0" w:color="auto"/>
        <w:left w:val="none" w:sz="0" w:space="0" w:color="auto"/>
        <w:bottom w:val="none" w:sz="0" w:space="0" w:color="auto"/>
        <w:right w:val="none" w:sz="0" w:space="0" w:color="auto"/>
      </w:divBdr>
    </w:div>
    <w:div w:id="1038699279">
      <w:bodyDiv w:val="1"/>
      <w:marLeft w:val="0"/>
      <w:marRight w:val="0"/>
      <w:marTop w:val="0"/>
      <w:marBottom w:val="0"/>
      <w:divBdr>
        <w:top w:val="none" w:sz="0" w:space="0" w:color="auto"/>
        <w:left w:val="none" w:sz="0" w:space="0" w:color="auto"/>
        <w:bottom w:val="none" w:sz="0" w:space="0" w:color="auto"/>
        <w:right w:val="none" w:sz="0" w:space="0" w:color="auto"/>
      </w:divBdr>
    </w:div>
    <w:div w:id="1042823599">
      <w:bodyDiv w:val="1"/>
      <w:marLeft w:val="0"/>
      <w:marRight w:val="0"/>
      <w:marTop w:val="0"/>
      <w:marBottom w:val="0"/>
      <w:divBdr>
        <w:top w:val="none" w:sz="0" w:space="0" w:color="auto"/>
        <w:left w:val="none" w:sz="0" w:space="0" w:color="auto"/>
        <w:bottom w:val="none" w:sz="0" w:space="0" w:color="auto"/>
        <w:right w:val="none" w:sz="0" w:space="0" w:color="auto"/>
      </w:divBdr>
    </w:div>
    <w:div w:id="1079013200">
      <w:bodyDiv w:val="1"/>
      <w:marLeft w:val="0"/>
      <w:marRight w:val="0"/>
      <w:marTop w:val="0"/>
      <w:marBottom w:val="0"/>
      <w:divBdr>
        <w:top w:val="none" w:sz="0" w:space="0" w:color="auto"/>
        <w:left w:val="none" w:sz="0" w:space="0" w:color="auto"/>
        <w:bottom w:val="none" w:sz="0" w:space="0" w:color="auto"/>
        <w:right w:val="none" w:sz="0" w:space="0" w:color="auto"/>
      </w:divBdr>
    </w:div>
    <w:div w:id="1101417266">
      <w:bodyDiv w:val="1"/>
      <w:marLeft w:val="0"/>
      <w:marRight w:val="0"/>
      <w:marTop w:val="0"/>
      <w:marBottom w:val="0"/>
      <w:divBdr>
        <w:top w:val="none" w:sz="0" w:space="0" w:color="auto"/>
        <w:left w:val="none" w:sz="0" w:space="0" w:color="auto"/>
        <w:bottom w:val="none" w:sz="0" w:space="0" w:color="auto"/>
        <w:right w:val="none" w:sz="0" w:space="0" w:color="auto"/>
      </w:divBdr>
    </w:div>
    <w:div w:id="1116019147">
      <w:bodyDiv w:val="1"/>
      <w:marLeft w:val="0"/>
      <w:marRight w:val="0"/>
      <w:marTop w:val="0"/>
      <w:marBottom w:val="0"/>
      <w:divBdr>
        <w:top w:val="none" w:sz="0" w:space="0" w:color="auto"/>
        <w:left w:val="none" w:sz="0" w:space="0" w:color="auto"/>
        <w:bottom w:val="none" w:sz="0" w:space="0" w:color="auto"/>
        <w:right w:val="none" w:sz="0" w:space="0" w:color="auto"/>
      </w:divBdr>
    </w:div>
    <w:div w:id="1169255277">
      <w:bodyDiv w:val="1"/>
      <w:marLeft w:val="0"/>
      <w:marRight w:val="0"/>
      <w:marTop w:val="0"/>
      <w:marBottom w:val="0"/>
      <w:divBdr>
        <w:top w:val="none" w:sz="0" w:space="0" w:color="auto"/>
        <w:left w:val="none" w:sz="0" w:space="0" w:color="auto"/>
        <w:bottom w:val="none" w:sz="0" w:space="0" w:color="auto"/>
        <w:right w:val="none" w:sz="0" w:space="0" w:color="auto"/>
      </w:divBdr>
    </w:div>
    <w:div w:id="1174763909">
      <w:bodyDiv w:val="1"/>
      <w:marLeft w:val="0"/>
      <w:marRight w:val="0"/>
      <w:marTop w:val="0"/>
      <w:marBottom w:val="0"/>
      <w:divBdr>
        <w:top w:val="none" w:sz="0" w:space="0" w:color="auto"/>
        <w:left w:val="none" w:sz="0" w:space="0" w:color="auto"/>
        <w:bottom w:val="none" w:sz="0" w:space="0" w:color="auto"/>
        <w:right w:val="none" w:sz="0" w:space="0" w:color="auto"/>
      </w:divBdr>
    </w:div>
    <w:div w:id="1198855864">
      <w:bodyDiv w:val="1"/>
      <w:marLeft w:val="0"/>
      <w:marRight w:val="0"/>
      <w:marTop w:val="0"/>
      <w:marBottom w:val="0"/>
      <w:divBdr>
        <w:top w:val="none" w:sz="0" w:space="0" w:color="auto"/>
        <w:left w:val="none" w:sz="0" w:space="0" w:color="auto"/>
        <w:bottom w:val="none" w:sz="0" w:space="0" w:color="auto"/>
        <w:right w:val="none" w:sz="0" w:space="0" w:color="auto"/>
      </w:divBdr>
    </w:div>
    <w:div w:id="1221215340">
      <w:bodyDiv w:val="1"/>
      <w:marLeft w:val="0"/>
      <w:marRight w:val="0"/>
      <w:marTop w:val="0"/>
      <w:marBottom w:val="0"/>
      <w:divBdr>
        <w:top w:val="none" w:sz="0" w:space="0" w:color="auto"/>
        <w:left w:val="none" w:sz="0" w:space="0" w:color="auto"/>
        <w:bottom w:val="none" w:sz="0" w:space="0" w:color="auto"/>
        <w:right w:val="none" w:sz="0" w:space="0" w:color="auto"/>
      </w:divBdr>
    </w:div>
    <w:div w:id="1227033641">
      <w:bodyDiv w:val="1"/>
      <w:marLeft w:val="0"/>
      <w:marRight w:val="0"/>
      <w:marTop w:val="0"/>
      <w:marBottom w:val="0"/>
      <w:divBdr>
        <w:top w:val="none" w:sz="0" w:space="0" w:color="auto"/>
        <w:left w:val="none" w:sz="0" w:space="0" w:color="auto"/>
        <w:bottom w:val="none" w:sz="0" w:space="0" w:color="auto"/>
        <w:right w:val="none" w:sz="0" w:space="0" w:color="auto"/>
      </w:divBdr>
    </w:div>
    <w:div w:id="1241939218">
      <w:bodyDiv w:val="1"/>
      <w:marLeft w:val="0"/>
      <w:marRight w:val="0"/>
      <w:marTop w:val="0"/>
      <w:marBottom w:val="0"/>
      <w:divBdr>
        <w:top w:val="none" w:sz="0" w:space="0" w:color="auto"/>
        <w:left w:val="none" w:sz="0" w:space="0" w:color="auto"/>
        <w:bottom w:val="none" w:sz="0" w:space="0" w:color="auto"/>
        <w:right w:val="none" w:sz="0" w:space="0" w:color="auto"/>
      </w:divBdr>
    </w:div>
    <w:div w:id="1277519543">
      <w:bodyDiv w:val="1"/>
      <w:marLeft w:val="0"/>
      <w:marRight w:val="0"/>
      <w:marTop w:val="0"/>
      <w:marBottom w:val="0"/>
      <w:divBdr>
        <w:top w:val="none" w:sz="0" w:space="0" w:color="auto"/>
        <w:left w:val="none" w:sz="0" w:space="0" w:color="auto"/>
        <w:bottom w:val="none" w:sz="0" w:space="0" w:color="auto"/>
        <w:right w:val="none" w:sz="0" w:space="0" w:color="auto"/>
      </w:divBdr>
    </w:div>
    <w:div w:id="1308196476">
      <w:bodyDiv w:val="1"/>
      <w:marLeft w:val="0"/>
      <w:marRight w:val="0"/>
      <w:marTop w:val="0"/>
      <w:marBottom w:val="0"/>
      <w:divBdr>
        <w:top w:val="none" w:sz="0" w:space="0" w:color="auto"/>
        <w:left w:val="none" w:sz="0" w:space="0" w:color="auto"/>
        <w:bottom w:val="none" w:sz="0" w:space="0" w:color="auto"/>
        <w:right w:val="none" w:sz="0" w:space="0" w:color="auto"/>
      </w:divBdr>
    </w:div>
    <w:div w:id="1310750942">
      <w:bodyDiv w:val="1"/>
      <w:marLeft w:val="0"/>
      <w:marRight w:val="0"/>
      <w:marTop w:val="0"/>
      <w:marBottom w:val="0"/>
      <w:divBdr>
        <w:top w:val="none" w:sz="0" w:space="0" w:color="auto"/>
        <w:left w:val="none" w:sz="0" w:space="0" w:color="auto"/>
        <w:bottom w:val="none" w:sz="0" w:space="0" w:color="auto"/>
        <w:right w:val="none" w:sz="0" w:space="0" w:color="auto"/>
      </w:divBdr>
    </w:div>
    <w:div w:id="1330600453">
      <w:bodyDiv w:val="1"/>
      <w:marLeft w:val="0"/>
      <w:marRight w:val="0"/>
      <w:marTop w:val="0"/>
      <w:marBottom w:val="0"/>
      <w:divBdr>
        <w:top w:val="none" w:sz="0" w:space="0" w:color="auto"/>
        <w:left w:val="none" w:sz="0" w:space="0" w:color="auto"/>
        <w:bottom w:val="none" w:sz="0" w:space="0" w:color="auto"/>
        <w:right w:val="none" w:sz="0" w:space="0" w:color="auto"/>
      </w:divBdr>
    </w:div>
    <w:div w:id="1336811269">
      <w:bodyDiv w:val="1"/>
      <w:marLeft w:val="0"/>
      <w:marRight w:val="0"/>
      <w:marTop w:val="0"/>
      <w:marBottom w:val="0"/>
      <w:divBdr>
        <w:top w:val="none" w:sz="0" w:space="0" w:color="auto"/>
        <w:left w:val="none" w:sz="0" w:space="0" w:color="auto"/>
        <w:bottom w:val="none" w:sz="0" w:space="0" w:color="auto"/>
        <w:right w:val="none" w:sz="0" w:space="0" w:color="auto"/>
      </w:divBdr>
    </w:div>
    <w:div w:id="1342469296">
      <w:bodyDiv w:val="1"/>
      <w:marLeft w:val="0"/>
      <w:marRight w:val="0"/>
      <w:marTop w:val="0"/>
      <w:marBottom w:val="0"/>
      <w:divBdr>
        <w:top w:val="none" w:sz="0" w:space="0" w:color="auto"/>
        <w:left w:val="none" w:sz="0" w:space="0" w:color="auto"/>
        <w:bottom w:val="none" w:sz="0" w:space="0" w:color="auto"/>
        <w:right w:val="none" w:sz="0" w:space="0" w:color="auto"/>
      </w:divBdr>
    </w:div>
    <w:div w:id="1347289907">
      <w:bodyDiv w:val="1"/>
      <w:marLeft w:val="0"/>
      <w:marRight w:val="0"/>
      <w:marTop w:val="0"/>
      <w:marBottom w:val="0"/>
      <w:divBdr>
        <w:top w:val="none" w:sz="0" w:space="0" w:color="auto"/>
        <w:left w:val="none" w:sz="0" w:space="0" w:color="auto"/>
        <w:bottom w:val="none" w:sz="0" w:space="0" w:color="auto"/>
        <w:right w:val="none" w:sz="0" w:space="0" w:color="auto"/>
      </w:divBdr>
    </w:div>
    <w:div w:id="1361005332">
      <w:bodyDiv w:val="1"/>
      <w:marLeft w:val="0"/>
      <w:marRight w:val="0"/>
      <w:marTop w:val="0"/>
      <w:marBottom w:val="0"/>
      <w:divBdr>
        <w:top w:val="none" w:sz="0" w:space="0" w:color="auto"/>
        <w:left w:val="none" w:sz="0" w:space="0" w:color="auto"/>
        <w:bottom w:val="none" w:sz="0" w:space="0" w:color="auto"/>
        <w:right w:val="none" w:sz="0" w:space="0" w:color="auto"/>
      </w:divBdr>
    </w:div>
    <w:div w:id="1411731589">
      <w:bodyDiv w:val="1"/>
      <w:marLeft w:val="0"/>
      <w:marRight w:val="0"/>
      <w:marTop w:val="0"/>
      <w:marBottom w:val="0"/>
      <w:divBdr>
        <w:top w:val="none" w:sz="0" w:space="0" w:color="auto"/>
        <w:left w:val="none" w:sz="0" w:space="0" w:color="auto"/>
        <w:bottom w:val="none" w:sz="0" w:space="0" w:color="auto"/>
        <w:right w:val="none" w:sz="0" w:space="0" w:color="auto"/>
      </w:divBdr>
    </w:div>
    <w:div w:id="1414158194">
      <w:bodyDiv w:val="1"/>
      <w:marLeft w:val="0"/>
      <w:marRight w:val="0"/>
      <w:marTop w:val="0"/>
      <w:marBottom w:val="0"/>
      <w:divBdr>
        <w:top w:val="none" w:sz="0" w:space="0" w:color="auto"/>
        <w:left w:val="none" w:sz="0" w:space="0" w:color="auto"/>
        <w:bottom w:val="none" w:sz="0" w:space="0" w:color="auto"/>
        <w:right w:val="none" w:sz="0" w:space="0" w:color="auto"/>
      </w:divBdr>
    </w:div>
    <w:div w:id="1417241509">
      <w:bodyDiv w:val="1"/>
      <w:marLeft w:val="0"/>
      <w:marRight w:val="0"/>
      <w:marTop w:val="0"/>
      <w:marBottom w:val="0"/>
      <w:divBdr>
        <w:top w:val="none" w:sz="0" w:space="0" w:color="auto"/>
        <w:left w:val="none" w:sz="0" w:space="0" w:color="auto"/>
        <w:bottom w:val="none" w:sz="0" w:space="0" w:color="auto"/>
        <w:right w:val="none" w:sz="0" w:space="0" w:color="auto"/>
      </w:divBdr>
    </w:div>
    <w:div w:id="1423381016">
      <w:bodyDiv w:val="1"/>
      <w:marLeft w:val="0"/>
      <w:marRight w:val="0"/>
      <w:marTop w:val="0"/>
      <w:marBottom w:val="0"/>
      <w:divBdr>
        <w:top w:val="none" w:sz="0" w:space="0" w:color="auto"/>
        <w:left w:val="none" w:sz="0" w:space="0" w:color="auto"/>
        <w:bottom w:val="none" w:sz="0" w:space="0" w:color="auto"/>
        <w:right w:val="none" w:sz="0" w:space="0" w:color="auto"/>
      </w:divBdr>
    </w:div>
    <w:div w:id="1424182269">
      <w:bodyDiv w:val="1"/>
      <w:marLeft w:val="0"/>
      <w:marRight w:val="0"/>
      <w:marTop w:val="0"/>
      <w:marBottom w:val="0"/>
      <w:divBdr>
        <w:top w:val="none" w:sz="0" w:space="0" w:color="auto"/>
        <w:left w:val="none" w:sz="0" w:space="0" w:color="auto"/>
        <w:bottom w:val="none" w:sz="0" w:space="0" w:color="auto"/>
        <w:right w:val="none" w:sz="0" w:space="0" w:color="auto"/>
      </w:divBdr>
    </w:div>
    <w:div w:id="1429544834">
      <w:bodyDiv w:val="1"/>
      <w:marLeft w:val="0"/>
      <w:marRight w:val="0"/>
      <w:marTop w:val="0"/>
      <w:marBottom w:val="0"/>
      <w:divBdr>
        <w:top w:val="none" w:sz="0" w:space="0" w:color="auto"/>
        <w:left w:val="none" w:sz="0" w:space="0" w:color="auto"/>
        <w:bottom w:val="none" w:sz="0" w:space="0" w:color="auto"/>
        <w:right w:val="none" w:sz="0" w:space="0" w:color="auto"/>
      </w:divBdr>
    </w:div>
    <w:div w:id="1455296161">
      <w:bodyDiv w:val="1"/>
      <w:marLeft w:val="0"/>
      <w:marRight w:val="0"/>
      <w:marTop w:val="0"/>
      <w:marBottom w:val="0"/>
      <w:divBdr>
        <w:top w:val="none" w:sz="0" w:space="0" w:color="auto"/>
        <w:left w:val="none" w:sz="0" w:space="0" w:color="auto"/>
        <w:bottom w:val="none" w:sz="0" w:space="0" w:color="auto"/>
        <w:right w:val="none" w:sz="0" w:space="0" w:color="auto"/>
      </w:divBdr>
    </w:div>
    <w:div w:id="1466854488">
      <w:bodyDiv w:val="1"/>
      <w:marLeft w:val="0"/>
      <w:marRight w:val="0"/>
      <w:marTop w:val="0"/>
      <w:marBottom w:val="0"/>
      <w:divBdr>
        <w:top w:val="none" w:sz="0" w:space="0" w:color="auto"/>
        <w:left w:val="none" w:sz="0" w:space="0" w:color="auto"/>
        <w:bottom w:val="none" w:sz="0" w:space="0" w:color="auto"/>
        <w:right w:val="none" w:sz="0" w:space="0" w:color="auto"/>
      </w:divBdr>
    </w:div>
    <w:div w:id="1470630886">
      <w:bodyDiv w:val="1"/>
      <w:marLeft w:val="0"/>
      <w:marRight w:val="0"/>
      <w:marTop w:val="0"/>
      <w:marBottom w:val="0"/>
      <w:divBdr>
        <w:top w:val="none" w:sz="0" w:space="0" w:color="auto"/>
        <w:left w:val="none" w:sz="0" w:space="0" w:color="auto"/>
        <w:bottom w:val="none" w:sz="0" w:space="0" w:color="auto"/>
        <w:right w:val="none" w:sz="0" w:space="0" w:color="auto"/>
      </w:divBdr>
    </w:div>
    <w:div w:id="1476489253">
      <w:bodyDiv w:val="1"/>
      <w:marLeft w:val="0"/>
      <w:marRight w:val="0"/>
      <w:marTop w:val="0"/>
      <w:marBottom w:val="0"/>
      <w:divBdr>
        <w:top w:val="none" w:sz="0" w:space="0" w:color="auto"/>
        <w:left w:val="none" w:sz="0" w:space="0" w:color="auto"/>
        <w:bottom w:val="none" w:sz="0" w:space="0" w:color="auto"/>
        <w:right w:val="none" w:sz="0" w:space="0" w:color="auto"/>
      </w:divBdr>
    </w:div>
    <w:div w:id="1509440105">
      <w:bodyDiv w:val="1"/>
      <w:marLeft w:val="0"/>
      <w:marRight w:val="0"/>
      <w:marTop w:val="0"/>
      <w:marBottom w:val="0"/>
      <w:divBdr>
        <w:top w:val="none" w:sz="0" w:space="0" w:color="auto"/>
        <w:left w:val="none" w:sz="0" w:space="0" w:color="auto"/>
        <w:bottom w:val="none" w:sz="0" w:space="0" w:color="auto"/>
        <w:right w:val="none" w:sz="0" w:space="0" w:color="auto"/>
      </w:divBdr>
    </w:div>
    <w:div w:id="1514219583">
      <w:bodyDiv w:val="1"/>
      <w:marLeft w:val="0"/>
      <w:marRight w:val="0"/>
      <w:marTop w:val="0"/>
      <w:marBottom w:val="0"/>
      <w:divBdr>
        <w:top w:val="none" w:sz="0" w:space="0" w:color="auto"/>
        <w:left w:val="none" w:sz="0" w:space="0" w:color="auto"/>
        <w:bottom w:val="none" w:sz="0" w:space="0" w:color="auto"/>
        <w:right w:val="none" w:sz="0" w:space="0" w:color="auto"/>
      </w:divBdr>
    </w:div>
    <w:div w:id="1546335797">
      <w:bodyDiv w:val="1"/>
      <w:marLeft w:val="0"/>
      <w:marRight w:val="0"/>
      <w:marTop w:val="0"/>
      <w:marBottom w:val="0"/>
      <w:divBdr>
        <w:top w:val="none" w:sz="0" w:space="0" w:color="auto"/>
        <w:left w:val="none" w:sz="0" w:space="0" w:color="auto"/>
        <w:bottom w:val="none" w:sz="0" w:space="0" w:color="auto"/>
        <w:right w:val="none" w:sz="0" w:space="0" w:color="auto"/>
      </w:divBdr>
    </w:div>
    <w:div w:id="1564868725">
      <w:bodyDiv w:val="1"/>
      <w:marLeft w:val="0"/>
      <w:marRight w:val="0"/>
      <w:marTop w:val="0"/>
      <w:marBottom w:val="0"/>
      <w:divBdr>
        <w:top w:val="none" w:sz="0" w:space="0" w:color="auto"/>
        <w:left w:val="none" w:sz="0" w:space="0" w:color="auto"/>
        <w:bottom w:val="none" w:sz="0" w:space="0" w:color="auto"/>
        <w:right w:val="none" w:sz="0" w:space="0" w:color="auto"/>
      </w:divBdr>
    </w:div>
    <w:div w:id="1584416192">
      <w:bodyDiv w:val="1"/>
      <w:marLeft w:val="0"/>
      <w:marRight w:val="0"/>
      <w:marTop w:val="0"/>
      <w:marBottom w:val="0"/>
      <w:divBdr>
        <w:top w:val="none" w:sz="0" w:space="0" w:color="auto"/>
        <w:left w:val="none" w:sz="0" w:space="0" w:color="auto"/>
        <w:bottom w:val="none" w:sz="0" w:space="0" w:color="auto"/>
        <w:right w:val="none" w:sz="0" w:space="0" w:color="auto"/>
      </w:divBdr>
    </w:div>
    <w:div w:id="1595161244">
      <w:bodyDiv w:val="1"/>
      <w:marLeft w:val="0"/>
      <w:marRight w:val="0"/>
      <w:marTop w:val="0"/>
      <w:marBottom w:val="0"/>
      <w:divBdr>
        <w:top w:val="none" w:sz="0" w:space="0" w:color="auto"/>
        <w:left w:val="none" w:sz="0" w:space="0" w:color="auto"/>
        <w:bottom w:val="none" w:sz="0" w:space="0" w:color="auto"/>
        <w:right w:val="none" w:sz="0" w:space="0" w:color="auto"/>
      </w:divBdr>
    </w:div>
    <w:div w:id="1601988428">
      <w:bodyDiv w:val="1"/>
      <w:marLeft w:val="0"/>
      <w:marRight w:val="0"/>
      <w:marTop w:val="0"/>
      <w:marBottom w:val="0"/>
      <w:divBdr>
        <w:top w:val="none" w:sz="0" w:space="0" w:color="auto"/>
        <w:left w:val="none" w:sz="0" w:space="0" w:color="auto"/>
        <w:bottom w:val="none" w:sz="0" w:space="0" w:color="auto"/>
        <w:right w:val="none" w:sz="0" w:space="0" w:color="auto"/>
      </w:divBdr>
    </w:div>
    <w:div w:id="1602108654">
      <w:bodyDiv w:val="1"/>
      <w:marLeft w:val="0"/>
      <w:marRight w:val="0"/>
      <w:marTop w:val="0"/>
      <w:marBottom w:val="0"/>
      <w:divBdr>
        <w:top w:val="none" w:sz="0" w:space="0" w:color="auto"/>
        <w:left w:val="none" w:sz="0" w:space="0" w:color="auto"/>
        <w:bottom w:val="none" w:sz="0" w:space="0" w:color="auto"/>
        <w:right w:val="none" w:sz="0" w:space="0" w:color="auto"/>
      </w:divBdr>
    </w:div>
    <w:div w:id="1607420570">
      <w:bodyDiv w:val="1"/>
      <w:marLeft w:val="0"/>
      <w:marRight w:val="0"/>
      <w:marTop w:val="0"/>
      <w:marBottom w:val="0"/>
      <w:divBdr>
        <w:top w:val="none" w:sz="0" w:space="0" w:color="auto"/>
        <w:left w:val="none" w:sz="0" w:space="0" w:color="auto"/>
        <w:bottom w:val="none" w:sz="0" w:space="0" w:color="auto"/>
        <w:right w:val="none" w:sz="0" w:space="0" w:color="auto"/>
      </w:divBdr>
    </w:div>
    <w:div w:id="1620335125">
      <w:bodyDiv w:val="1"/>
      <w:marLeft w:val="0"/>
      <w:marRight w:val="0"/>
      <w:marTop w:val="0"/>
      <w:marBottom w:val="0"/>
      <w:divBdr>
        <w:top w:val="none" w:sz="0" w:space="0" w:color="auto"/>
        <w:left w:val="none" w:sz="0" w:space="0" w:color="auto"/>
        <w:bottom w:val="none" w:sz="0" w:space="0" w:color="auto"/>
        <w:right w:val="none" w:sz="0" w:space="0" w:color="auto"/>
      </w:divBdr>
    </w:div>
    <w:div w:id="1624340741">
      <w:bodyDiv w:val="1"/>
      <w:marLeft w:val="0"/>
      <w:marRight w:val="0"/>
      <w:marTop w:val="0"/>
      <w:marBottom w:val="0"/>
      <w:divBdr>
        <w:top w:val="none" w:sz="0" w:space="0" w:color="auto"/>
        <w:left w:val="none" w:sz="0" w:space="0" w:color="auto"/>
        <w:bottom w:val="none" w:sz="0" w:space="0" w:color="auto"/>
        <w:right w:val="none" w:sz="0" w:space="0" w:color="auto"/>
      </w:divBdr>
    </w:div>
    <w:div w:id="1648709006">
      <w:bodyDiv w:val="1"/>
      <w:marLeft w:val="0"/>
      <w:marRight w:val="0"/>
      <w:marTop w:val="0"/>
      <w:marBottom w:val="0"/>
      <w:divBdr>
        <w:top w:val="none" w:sz="0" w:space="0" w:color="auto"/>
        <w:left w:val="none" w:sz="0" w:space="0" w:color="auto"/>
        <w:bottom w:val="none" w:sz="0" w:space="0" w:color="auto"/>
        <w:right w:val="none" w:sz="0" w:space="0" w:color="auto"/>
      </w:divBdr>
    </w:div>
    <w:div w:id="1654261703">
      <w:bodyDiv w:val="1"/>
      <w:marLeft w:val="0"/>
      <w:marRight w:val="0"/>
      <w:marTop w:val="0"/>
      <w:marBottom w:val="0"/>
      <w:divBdr>
        <w:top w:val="none" w:sz="0" w:space="0" w:color="auto"/>
        <w:left w:val="none" w:sz="0" w:space="0" w:color="auto"/>
        <w:bottom w:val="none" w:sz="0" w:space="0" w:color="auto"/>
        <w:right w:val="none" w:sz="0" w:space="0" w:color="auto"/>
      </w:divBdr>
    </w:div>
    <w:div w:id="1665737380">
      <w:bodyDiv w:val="1"/>
      <w:marLeft w:val="0"/>
      <w:marRight w:val="0"/>
      <w:marTop w:val="0"/>
      <w:marBottom w:val="0"/>
      <w:divBdr>
        <w:top w:val="none" w:sz="0" w:space="0" w:color="auto"/>
        <w:left w:val="none" w:sz="0" w:space="0" w:color="auto"/>
        <w:bottom w:val="none" w:sz="0" w:space="0" w:color="auto"/>
        <w:right w:val="none" w:sz="0" w:space="0" w:color="auto"/>
      </w:divBdr>
    </w:div>
    <w:div w:id="1712152621">
      <w:bodyDiv w:val="1"/>
      <w:marLeft w:val="0"/>
      <w:marRight w:val="0"/>
      <w:marTop w:val="0"/>
      <w:marBottom w:val="0"/>
      <w:divBdr>
        <w:top w:val="none" w:sz="0" w:space="0" w:color="auto"/>
        <w:left w:val="none" w:sz="0" w:space="0" w:color="auto"/>
        <w:bottom w:val="none" w:sz="0" w:space="0" w:color="auto"/>
        <w:right w:val="none" w:sz="0" w:space="0" w:color="auto"/>
      </w:divBdr>
    </w:div>
    <w:div w:id="1716275551">
      <w:bodyDiv w:val="1"/>
      <w:marLeft w:val="0"/>
      <w:marRight w:val="0"/>
      <w:marTop w:val="0"/>
      <w:marBottom w:val="0"/>
      <w:divBdr>
        <w:top w:val="none" w:sz="0" w:space="0" w:color="auto"/>
        <w:left w:val="none" w:sz="0" w:space="0" w:color="auto"/>
        <w:bottom w:val="none" w:sz="0" w:space="0" w:color="auto"/>
        <w:right w:val="none" w:sz="0" w:space="0" w:color="auto"/>
      </w:divBdr>
    </w:div>
    <w:div w:id="1718040661">
      <w:bodyDiv w:val="1"/>
      <w:marLeft w:val="0"/>
      <w:marRight w:val="0"/>
      <w:marTop w:val="0"/>
      <w:marBottom w:val="0"/>
      <w:divBdr>
        <w:top w:val="none" w:sz="0" w:space="0" w:color="auto"/>
        <w:left w:val="none" w:sz="0" w:space="0" w:color="auto"/>
        <w:bottom w:val="none" w:sz="0" w:space="0" w:color="auto"/>
        <w:right w:val="none" w:sz="0" w:space="0" w:color="auto"/>
      </w:divBdr>
    </w:div>
    <w:div w:id="1726369822">
      <w:bodyDiv w:val="1"/>
      <w:marLeft w:val="0"/>
      <w:marRight w:val="0"/>
      <w:marTop w:val="0"/>
      <w:marBottom w:val="0"/>
      <w:divBdr>
        <w:top w:val="none" w:sz="0" w:space="0" w:color="auto"/>
        <w:left w:val="none" w:sz="0" w:space="0" w:color="auto"/>
        <w:bottom w:val="none" w:sz="0" w:space="0" w:color="auto"/>
        <w:right w:val="none" w:sz="0" w:space="0" w:color="auto"/>
      </w:divBdr>
    </w:div>
    <w:div w:id="1729917311">
      <w:bodyDiv w:val="1"/>
      <w:marLeft w:val="0"/>
      <w:marRight w:val="0"/>
      <w:marTop w:val="0"/>
      <w:marBottom w:val="0"/>
      <w:divBdr>
        <w:top w:val="none" w:sz="0" w:space="0" w:color="auto"/>
        <w:left w:val="none" w:sz="0" w:space="0" w:color="auto"/>
        <w:bottom w:val="none" w:sz="0" w:space="0" w:color="auto"/>
        <w:right w:val="none" w:sz="0" w:space="0" w:color="auto"/>
      </w:divBdr>
    </w:div>
    <w:div w:id="1760710205">
      <w:bodyDiv w:val="1"/>
      <w:marLeft w:val="0"/>
      <w:marRight w:val="0"/>
      <w:marTop w:val="0"/>
      <w:marBottom w:val="0"/>
      <w:divBdr>
        <w:top w:val="none" w:sz="0" w:space="0" w:color="auto"/>
        <w:left w:val="none" w:sz="0" w:space="0" w:color="auto"/>
        <w:bottom w:val="none" w:sz="0" w:space="0" w:color="auto"/>
        <w:right w:val="none" w:sz="0" w:space="0" w:color="auto"/>
      </w:divBdr>
    </w:div>
    <w:div w:id="1767656018">
      <w:bodyDiv w:val="1"/>
      <w:marLeft w:val="0"/>
      <w:marRight w:val="0"/>
      <w:marTop w:val="0"/>
      <w:marBottom w:val="0"/>
      <w:divBdr>
        <w:top w:val="none" w:sz="0" w:space="0" w:color="auto"/>
        <w:left w:val="none" w:sz="0" w:space="0" w:color="auto"/>
        <w:bottom w:val="none" w:sz="0" w:space="0" w:color="auto"/>
        <w:right w:val="none" w:sz="0" w:space="0" w:color="auto"/>
      </w:divBdr>
    </w:div>
    <w:div w:id="1781342219">
      <w:bodyDiv w:val="1"/>
      <w:marLeft w:val="0"/>
      <w:marRight w:val="0"/>
      <w:marTop w:val="0"/>
      <w:marBottom w:val="0"/>
      <w:divBdr>
        <w:top w:val="none" w:sz="0" w:space="0" w:color="auto"/>
        <w:left w:val="none" w:sz="0" w:space="0" w:color="auto"/>
        <w:bottom w:val="none" w:sz="0" w:space="0" w:color="auto"/>
        <w:right w:val="none" w:sz="0" w:space="0" w:color="auto"/>
      </w:divBdr>
    </w:div>
    <w:div w:id="1802768241">
      <w:bodyDiv w:val="1"/>
      <w:marLeft w:val="0"/>
      <w:marRight w:val="0"/>
      <w:marTop w:val="0"/>
      <w:marBottom w:val="0"/>
      <w:divBdr>
        <w:top w:val="none" w:sz="0" w:space="0" w:color="auto"/>
        <w:left w:val="none" w:sz="0" w:space="0" w:color="auto"/>
        <w:bottom w:val="none" w:sz="0" w:space="0" w:color="auto"/>
        <w:right w:val="none" w:sz="0" w:space="0" w:color="auto"/>
      </w:divBdr>
    </w:div>
    <w:div w:id="1809200239">
      <w:bodyDiv w:val="1"/>
      <w:marLeft w:val="0"/>
      <w:marRight w:val="0"/>
      <w:marTop w:val="0"/>
      <w:marBottom w:val="0"/>
      <w:divBdr>
        <w:top w:val="none" w:sz="0" w:space="0" w:color="auto"/>
        <w:left w:val="none" w:sz="0" w:space="0" w:color="auto"/>
        <w:bottom w:val="none" w:sz="0" w:space="0" w:color="auto"/>
        <w:right w:val="none" w:sz="0" w:space="0" w:color="auto"/>
      </w:divBdr>
    </w:div>
    <w:div w:id="1845127260">
      <w:bodyDiv w:val="1"/>
      <w:marLeft w:val="0"/>
      <w:marRight w:val="0"/>
      <w:marTop w:val="0"/>
      <w:marBottom w:val="0"/>
      <w:divBdr>
        <w:top w:val="none" w:sz="0" w:space="0" w:color="auto"/>
        <w:left w:val="none" w:sz="0" w:space="0" w:color="auto"/>
        <w:bottom w:val="none" w:sz="0" w:space="0" w:color="auto"/>
        <w:right w:val="none" w:sz="0" w:space="0" w:color="auto"/>
      </w:divBdr>
    </w:div>
    <w:div w:id="1858692052">
      <w:bodyDiv w:val="1"/>
      <w:marLeft w:val="0"/>
      <w:marRight w:val="0"/>
      <w:marTop w:val="0"/>
      <w:marBottom w:val="0"/>
      <w:divBdr>
        <w:top w:val="none" w:sz="0" w:space="0" w:color="auto"/>
        <w:left w:val="none" w:sz="0" w:space="0" w:color="auto"/>
        <w:bottom w:val="none" w:sz="0" w:space="0" w:color="auto"/>
        <w:right w:val="none" w:sz="0" w:space="0" w:color="auto"/>
      </w:divBdr>
    </w:div>
    <w:div w:id="1870951704">
      <w:bodyDiv w:val="1"/>
      <w:marLeft w:val="0"/>
      <w:marRight w:val="0"/>
      <w:marTop w:val="0"/>
      <w:marBottom w:val="0"/>
      <w:divBdr>
        <w:top w:val="none" w:sz="0" w:space="0" w:color="auto"/>
        <w:left w:val="none" w:sz="0" w:space="0" w:color="auto"/>
        <w:bottom w:val="none" w:sz="0" w:space="0" w:color="auto"/>
        <w:right w:val="none" w:sz="0" w:space="0" w:color="auto"/>
      </w:divBdr>
    </w:div>
    <w:div w:id="1890455462">
      <w:bodyDiv w:val="1"/>
      <w:marLeft w:val="0"/>
      <w:marRight w:val="0"/>
      <w:marTop w:val="0"/>
      <w:marBottom w:val="0"/>
      <w:divBdr>
        <w:top w:val="none" w:sz="0" w:space="0" w:color="auto"/>
        <w:left w:val="none" w:sz="0" w:space="0" w:color="auto"/>
        <w:bottom w:val="none" w:sz="0" w:space="0" w:color="auto"/>
        <w:right w:val="none" w:sz="0" w:space="0" w:color="auto"/>
      </w:divBdr>
    </w:div>
    <w:div w:id="1892112204">
      <w:bodyDiv w:val="1"/>
      <w:marLeft w:val="0"/>
      <w:marRight w:val="0"/>
      <w:marTop w:val="0"/>
      <w:marBottom w:val="0"/>
      <w:divBdr>
        <w:top w:val="none" w:sz="0" w:space="0" w:color="auto"/>
        <w:left w:val="none" w:sz="0" w:space="0" w:color="auto"/>
        <w:bottom w:val="none" w:sz="0" w:space="0" w:color="auto"/>
        <w:right w:val="none" w:sz="0" w:space="0" w:color="auto"/>
      </w:divBdr>
    </w:div>
    <w:div w:id="1900434508">
      <w:bodyDiv w:val="1"/>
      <w:marLeft w:val="0"/>
      <w:marRight w:val="0"/>
      <w:marTop w:val="0"/>
      <w:marBottom w:val="0"/>
      <w:divBdr>
        <w:top w:val="none" w:sz="0" w:space="0" w:color="auto"/>
        <w:left w:val="none" w:sz="0" w:space="0" w:color="auto"/>
        <w:bottom w:val="none" w:sz="0" w:space="0" w:color="auto"/>
        <w:right w:val="none" w:sz="0" w:space="0" w:color="auto"/>
      </w:divBdr>
    </w:div>
    <w:div w:id="1919633238">
      <w:bodyDiv w:val="1"/>
      <w:marLeft w:val="0"/>
      <w:marRight w:val="0"/>
      <w:marTop w:val="0"/>
      <w:marBottom w:val="0"/>
      <w:divBdr>
        <w:top w:val="none" w:sz="0" w:space="0" w:color="auto"/>
        <w:left w:val="none" w:sz="0" w:space="0" w:color="auto"/>
        <w:bottom w:val="none" w:sz="0" w:space="0" w:color="auto"/>
        <w:right w:val="none" w:sz="0" w:space="0" w:color="auto"/>
      </w:divBdr>
    </w:div>
    <w:div w:id="1919751492">
      <w:bodyDiv w:val="1"/>
      <w:marLeft w:val="0"/>
      <w:marRight w:val="0"/>
      <w:marTop w:val="0"/>
      <w:marBottom w:val="0"/>
      <w:divBdr>
        <w:top w:val="none" w:sz="0" w:space="0" w:color="auto"/>
        <w:left w:val="none" w:sz="0" w:space="0" w:color="auto"/>
        <w:bottom w:val="none" w:sz="0" w:space="0" w:color="auto"/>
        <w:right w:val="none" w:sz="0" w:space="0" w:color="auto"/>
      </w:divBdr>
    </w:div>
    <w:div w:id="1922330290">
      <w:bodyDiv w:val="1"/>
      <w:marLeft w:val="0"/>
      <w:marRight w:val="0"/>
      <w:marTop w:val="0"/>
      <w:marBottom w:val="0"/>
      <w:divBdr>
        <w:top w:val="none" w:sz="0" w:space="0" w:color="auto"/>
        <w:left w:val="none" w:sz="0" w:space="0" w:color="auto"/>
        <w:bottom w:val="none" w:sz="0" w:space="0" w:color="auto"/>
        <w:right w:val="none" w:sz="0" w:space="0" w:color="auto"/>
      </w:divBdr>
    </w:div>
    <w:div w:id="1927839424">
      <w:bodyDiv w:val="1"/>
      <w:marLeft w:val="0"/>
      <w:marRight w:val="0"/>
      <w:marTop w:val="0"/>
      <w:marBottom w:val="0"/>
      <w:divBdr>
        <w:top w:val="none" w:sz="0" w:space="0" w:color="auto"/>
        <w:left w:val="none" w:sz="0" w:space="0" w:color="auto"/>
        <w:bottom w:val="none" w:sz="0" w:space="0" w:color="auto"/>
        <w:right w:val="none" w:sz="0" w:space="0" w:color="auto"/>
      </w:divBdr>
    </w:div>
    <w:div w:id="1928418322">
      <w:bodyDiv w:val="1"/>
      <w:marLeft w:val="0"/>
      <w:marRight w:val="0"/>
      <w:marTop w:val="0"/>
      <w:marBottom w:val="0"/>
      <w:divBdr>
        <w:top w:val="none" w:sz="0" w:space="0" w:color="auto"/>
        <w:left w:val="none" w:sz="0" w:space="0" w:color="auto"/>
        <w:bottom w:val="none" w:sz="0" w:space="0" w:color="auto"/>
        <w:right w:val="none" w:sz="0" w:space="0" w:color="auto"/>
      </w:divBdr>
    </w:div>
    <w:div w:id="1967858309">
      <w:bodyDiv w:val="1"/>
      <w:marLeft w:val="0"/>
      <w:marRight w:val="0"/>
      <w:marTop w:val="0"/>
      <w:marBottom w:val="0"/>
      <w:divBdr>
        <w:top w:val="none" w:sz="0" w:space="0" w:color="auto"/>
        <w:left w:val="none" w:sz="0" w:space="0" w:color="auto"/>
        <w:bottom w:val="none" w:sz="0" w:space="0" w:color="auto"/>
        <w:right w:val="none" w:sz="0" w:space="0" w:color="auto"/>
      </w:divBdr>
    </w:div>
    <w:div w:id="1969698516">
      <w:bodyDiv w:val="1"/>
      <w:marLeft w:val="0"/>
      <w:marRight w:val="0"/>
      <w:marTop w:val="0"/>
      <w:marBottom w:val="0"/>
      <w:divBdr>
        <w:top w:val="none" w:sz="0" w:space="0" w:color="auto"/>
        <w:left w:val="none" w:sz="0" w:space="0" w:color="auto"/>
        <w:bottom w:val="none" w:sz="0" w:space="0" w:color="auto"/>
        <w:right w:val="none" w:sz="0" w:space="0" w:color="auto"/>
      </w:divBdr>
    </w:div>
    <w:div w:id="1979601602">
      <w:bodyDiv w:val="1"/>
      <w:marLeft w:val="0"/>
      <w:marRight w:val="0"/>
      <w:marTop w:val="0"/>
      <w:marBottom w:val="0"/>
      <w:divBdr>
        <w:top w:val="none" w:sz="0" w:space="0" w:color="auto"/>
        <w:left w:val="none" w:sz="0" w:space="0" w:color="auto"/>
        <w:bottom w:val="none" w:sz="0" w:space="0" w:color="auto"/>
        <w:right w:val="none" w:sz="0" w:space="0" w:color="auto"/>
      </w:divBdr>
    </w:div>
    <w:div w:id="1982691876">
      <w:bodyDiv w:val="1"/>
      <w:marLeft w:val="0"/>
      <w:marRight w:val="0"/>
      <w:marTop w:val="0"/>
      <w:marBottom w:val="0"/>
      <w:divBdr>
        <w:top w:val="none" w:sz="0" w:space="0" w:color="auto"/>
        <w:left w:val="none" w:sz="0" w:space="0" w:color="auto"/>
        <w:bottom w:val="none" w:sz="0" w:space="0" w:color="auto"/>
        <w:right w:val="none" w:sz="0" w:space="0" w:color="auto"/>
      </w:divBdr>
    </w:div>
    <w:div w:id="1986397786">
      <w:bodyDiv w:val="1"/>
      <w:marLeft w:val="0"/>
      <w:marRight w:val="0"/>
      <w:marTop w:val="0"/>
      <w:marBottom w:val="0"/>
      <w:divBdr>
        <w:top w:val="none" w:sz="0" w:space="0" w:color="auto"/>
        <w:left w:val="none" w:sz="0" w:space="0" w:color="auto"/>
        <w:bottom w:val="none" w:sz="0" w:space="0" w:color="auto"/>
        <w:right w:val="none" w:sz="0" w:space="0" w:color="auto"/>
      </w:divBdr>
    </w:div>
    <w:div w:id="1999069056">
      <w:bodyDiv w:val="1"/>
      <w:marLeft w:val="0"/>
      <w:marRight w:val="0"/>
      <w:marTop w:val="0"/>
      <w:marBottom w:val="0"/>
      <w:divBdr>
        <w:top w:val="none" w:sz="0" w:space="0" w:color="auto"/>
        <w:left w:val="none" w:sz="0" w:space="0" w:color="auto"/>
        <w:bottom w:val="none" w:sz="0" w:space="0" w:color="auto"/>
        <w:right w:val="none" w:sz="0" w:space="0" w:color="auto"/>
      </w:divBdr>
    </w:div>
    <w:div w:id="2007394624">
      <w:bodyDiv w:val="1"/>
      <w:marLeft w:val="0"/>
      <w:marRight w:val="0"/>
      <w:marTop w:val="0"/>
      <w:marBottom w:val="0"/>
      <w:divBdr>
        <w:top w:val="none" w:sz="0" w:space="0" w:color="auto"/>
        <w:left w:val="none" w:sz="0" w:space="0" w:color="auto"/>
        <w:bottom w:val="none" w:sz="0" w:space="0" w:color="auto"/>
        <w:right w:val="none" w:sz="0" w:space="0" w:color="auto"/>
      </w:divBdr>
    </w:div>
    <w:div w:id="2020083945">
      <w:bodyDiv w:val="1"/>
      <w:marLeft w:val="0"/>
      <w:marRight w:val="0"/>
      <w:marTop w:val="0"/>
      <w:marBottom w:val="0"/>
      <w:divBdr>
        <w:top w:val="none" w:sz="0" w:space="0" w:color="auto"/>
        <w:left w:val="none" w:sz="0" w:space="0" w:color="auto"/>
        <w:bottom w:val="none" w:sz="0" w:space="0" w:color="auto"/>
        <w:right w:val="none" w:sz="0" w:space="0" w:color="auto"/>
      </w:divBdr>
    </w:div>
    <w:div w:id="2033262472">
      <w:bodyDiv w:val="1"/>
      <w:marLeft w:val="0"/>
      <w:marRight w:val="0"/>
      <w:marTop w:val="0"/>
      <w:marBottom w:val="0"/>
      <w:divBdr>
        <w:top w:val="none" w:sz="0" w:space="0" w:color="auto"/>
        <w:left w:val="none" w:sz="0" w:space="0" w:color="auto"/>
        <w:bottom w:val="none" w:sz="0" w:space="0" w:color="auto"/>
        <w:right w:val="none" w:sz="0" w:space="0" w:color="auto"/>
      </w:divBdr>
    </w:div>
    <w:div w:id="2049599805">
      <w:bodyDiv w:val="1"/>
      <w:marLeft w:val="0"/>
      <w:marRight w:val="0"/>
      <w:marTop w:val="0"/>
      <w:marBottom w:val="0"/>
      <w:divBdr>
        <w:top w:val="none" w:sz="0" w:space="0" w:color="auto"/>
        <w:left w:val="none" w:sz="0" w:space="0" w:color="auto"/>
        <w:bottom w:val="none" w:sz="0" w:space="0" w:color="auto"/>
        <w:right w:val="none" w:sz="0" w:space="0" w:color="auto"/>
      </w:divBdr>
    </w:div>
    <w:div w:id="2050252592">
      <w:bodyDiv w:val="1"/>
      <w:marLeft w:val="0"/>
      <w:marRight w:val="0"/>
      <w:marTop w:val="0"/>
      <w:marBottom w:val="0"/>
      <w:divBdr>
        <w:top w:val="none" w:sz="0" w:space="0" w:color="auto"/>
        <w:left w:val="none" w:sz="0" w:space="0" w:color="auto"/>
        <w:bottom w:val="none" w:sz="0" w:space="0" w:color="auto"/>
        <w:right w:val="none" w:sz="0" w:space="0" w:color="auto"/>
      </w:divBdr>
    </w:div>
    <w:div w:id="2084797460">
      <w:bodyDiv w:val="1"/>
      <w:marLeft w:val="0"/>
      <w:marRight w:val="0"/>
      <w:marTop w:val="0"/>
      <w:marBottom w:val="0"/>
      <w:divBdr>
        <w:top w:val="none" w:sz="0" w:space="0" w:color="auto"/>
        <w:left w:val="none" w:sz="0" w:space="0" w:color="auto"/>
        <w:bottom w:val="none" w:sz="0" w:space="0" w:color="auto"/>
        <w:right w:val="none" w:sz="0" w:space="0" w:color="auto"/>
      </w:divBdr>
    </w:div>
    <w:div w:id="2084833980">
      <w:bodyDiv w:val="1"/>
      <w:marLeft w:val="0"/>
      <w:marRight w:val="0"/>
      <w:marTop w:val="0"/>
      <w:marBottom w:val="0"/>
      <w:divBdr>
        <w:top w:val="none" w:sz="0" w:space="0" w:color="auto"/>
        <w:left w:val="none" w:sz="0" w:space="0" w:color="auto"/>
        <w:bottom w:val="none" w:sz="0" w:space="0" w:color="auto"/>
        <w:right w:val="none" w:sz="0" w:space="0" w:color="auto"/>
      </w:divBdr>
    </w:div>
    <w:div w:id="2085908477">
      <w:bodyDiv w:val="1"/>
      <w:marLeft w:val="0"/>
      <w:marRight w:val="0"/>
      <w:marTop w:val="0"/>
      <w:marBottom w:val="0"/>
      <w:divBdr>
        <w:top w:val="none" w:sz="0" w:space="0" w:color="auto"/>
        <w:left w:val="none" w:sz="0" w:space="0" w:color="auto"/>
        <w:bottom w:val="none" w:sz="0" w:space="0" w:color="auto"/>
        <w:right w:val="none" w:sz="0" w:space="0" w:color="auto"/>
      </w:divBdr>
    </w:div>
    <w:div w:id="2086098705">
      <w:bodyDiv w:val="1"/>
      <w:marLeft w:val="0"/>
      <w:marRight w:val="0"/>
      <w:marTop w:val="0"/>
      <w:marBottom w:val="0"/>
      <w:divBdr>
        <w:top w:val="none" w:sz="0" w:space="0" w:color="auto"/>
        <w:left w:val="none" w:sz="0" w:space="0" w:color="auto"/>
        <w:bottom w:val="none" w:sz="0" w:space="0" w:color="auto"/>
        <w:right w:val="none" w:sz="0" w:space="0" w:color="auto"/>
      </w:divBdr>
    </w:div>
    <w:div w:id="2095660936">
      <w:bodyDiv w:val="1"/>
      <w:marLeft w:val="0"/>
      <w:marRight w:val="0"/>
      <w:marTop w:val="0"/>
      <w:marBottom w:val="0"/>
      <w:divBdr>
        <w:top w:val="none" w:sz="0" w:space="0" w:color="auto"/>
        <w:left w:val="none" w:sz="0" w:space="0" w:color="auto"/>
        <w:bottom w:val="none" w:sz="0" w:space="0" w:color="auto"/>
        <w:right w:val="none" w:sz="0" w:space="0" w:color="auto"/>
      </w:divBdr>
    </w:div>
    <w:div w:id="2102067252">
      <w:bodyDiv w:val="1"/>
      <w:marLeft w:val="0"/>
      <w:marRight w:val="0"/>
      <w:marTop w:val="0"/>
      <w:marBottom w:val="0"/>
      <w:divBdr>
        <w:top w:val="none" w:sz="0" w:space="0" w:color="auto"/>
        <w:left w:val="none" w:sz="0" w:space="0" w:color="auto"/>
        <w:bottom w:val="none" w:sz="0" w:space="0" w:color="auto"/>
        <w:right w:val="none" w:sz="0" w:space="0" w:color="auto"/>
      </w:divBdr>
    </w:div>
    <w:div w:id="2107849458">
      <w:bodyDiv w:val="1"/>
      <w:marLeft w:val="0"/>
      <w:marRight w:val="0"/>
      <w:marTop w:val="0"/>
      <w:marBottom w:val="0"/>
      <w:divBdr>
        <w:top w:val="none" w:sz="0" w:space="0" w:color="auto"/>
        <w:left w:val="none" w:sz="0" w:space="0" w:color="auto"/>
        <w:bottom w:val="none" w:sz="0" w:space="0" w:color="auto"/>
        <w:right w:val="none" w:sz="0" w:space="0" w:color="auto"/>
      </w:divBdr>
    </w:div>
    <w:div w:id="2120680073">
      <w:bodyDiv w:val="1"/>
      <w:marLeft w:val="0"/>
      <w:marRight w:val="0"/>
      <w:marTop w:val="0"/>
      <w:marBottom w:val="0"/>
      <w:divBdr>
        <w:top w:val="none" w:sz="0" w:space="0" w:color="auto"/>
        <w:left w:val="none" w:sz="0" w:space="0" w:color="auto"/>
        <w:bottom w:val="none" w:sz="0" w:space="0" w:color="auto"/>
        <w:right w:val="none" w:sz="0" w:space="0" w:color="auto"/>
      </w:divBdr>
    </w:div>
    <w:div w:id="21414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55.emf"/><Relationship Id="rId84" Type="http://schemas.openxmlformats.org/officeDocument/2006/relationships/image" Target="media/image76.emf"/><Relationship Id="rId138" Type="http://schemas.openxmlformats.org/officeDocument/2006/relationships/image" Target="media/image130.emf"/><Relationship Id="rId159" Type="http://schemas.openxmlformats.org/officeDocument/2006/relationships/hyperlink" Target="https://eur-lex.europa.eu/legal-content/CS/TXT/?qid=1634640118533&amp;uri=CELEX%3A52021DC0389" TargetMode="External"/><Relationship Id="rId170" Type="http://schemas.openxmlformats.org/officeDocument/2006/relationships/image" Target="media/image154.emf"/><Relationship Id="rId107" Type="http://schemas.openxmlformats.org/officeDocument/2006/relationships/image" Target="media/image99.emf"/><Relationship Id="rId11" Type="http://schemas.openxmlformats.org/officeDocument/2006/relationships/image" Target="media/image3.png"/><Relationship Id="rId32" Type="http://schemas.openxmlformats.org/officeDocument/2006/relationships/image" Target="media/image24.emf"/><Relationship Id="rId53" Type="http://schemas.openxmlformats.org/officeDocument/2006/relationships/image" Target="media/image45.emf"/><Relationship Id="rId74" Type="http://schemas.openxmlformats.org/officeDocument/2006/relationships/image" Target="media/image66.emf"/><Relationship Id="rId128" Type="http://schemas.openxmlformats.org/officeDocument/2006/relationships/image" Target="media/image120.emf"/><Relationship Id="rId149" Type="http://schemas.openxmlformats.org/officeDocument/2006/relationships/image" Target="media/image139.png"/><Relationship Id="rId5" Type="http://schemas.openxmlformats.org/officeDocument/2006/relationships/webSettings" Target="webSettings.xml"/><Relationship Id="rId95" Type="http://schemas.openxmlformats.org/officeDocument/2006/relationships/image" Target="media/image87.emf"/><Relationship Id="rId160" Type="http://schemas.openxmlformats.org/officeDocument/2006/relationships/image" Target="media/image148.png"/><Relationship Id="rId181" Type="http://schemas.openxmlformats.org/officeDocument/2006/relationships/fontTable" Target="fontTable.xml"/><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image" Target="media/image56.emf"/><Relationship Id="rId118" Type="http://schemas.openxmlformats.org/officeDocument/2006/relationships/image" Target="media/image110.emf"/><Relationship Id="rId139" Type="http://schemas.openxmlformats.org/officeDocument/2006/relationships/image" Target="media/image131.emf"/><Relationship Id="rId85" Type="http://schemas.openxmlformats.org/officeDocument/2006/relationships/image" Target="media/image77.emf"/><Relationship Id="rId150" Type="http://schemas.openxmlformats.org/officeDocument/2006/relationships/image" Target="media/image140.png"/><Relationship Id="rId171" Type="http://schemas.openxmlformats.org/officeDocument/2006/relationships/hyperlink" Target="https://www.coe.int/en/web/cepej/home" TargetMode="External"/><Relationship Id="rId12" Type="http://schemas.openxmlformats.org/officeDocument/2006/relationships/image" Target="media/image4.emf"/><Relationship Id="rId33" Type="http://schemas.openxmlformats.org/officeDocument/2006/relationships/image" Target="media/image25.emf"/><Relationship Id="rId108" Type="http://schemas.openxmlformats.org/officeDocument/2006/relationships/image" Target="media/image100.emf"/><Relationship Id="rId129" Type="http://schemas.openxmlformats.org/officeDocument/2006/relationships/image" Target="media/image121.emf"/><Relationship Id="rId54" Type="http://schemas.openxmlformats.org/officeDocument/2006/relationships/image" Target="media/image46.emf"/><Relationship Id="rId75" Type="http://schemas.openxmlformats.org/officeDocument/2006/relationships/image" Target="media/image67.emf"/><Relationship Id="rId96" Type="http://schemas.openxmlformats.org/officeDocument/2006/relationships/image" Target="media/image88.emf"/><Relationship Id="rId140" Type="http://schemas.openxmlformats.org/officeDocument/2006/relationships/image" Target="media/image132.emf"/><Relationship Id="rId161" Type="http://schemas.openxmlformats.org/officeDocument/2006/relationships/image" Target="media/image149.svg"/><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image" Target="media/image15.emf"/><Relationship Id="rId119" Type="http://schemas.openxmlformats.org/officeDocument/2006/relationships/image" Target="media/image111.emf"/><Relationship Id="rId44" Type="http://schemas.openxmlformats.org/officeDocument/2006/relationships/image" Target="media/image36.emf"/><Relationship Id="rId60" Type="http://schemas.openxmlformats.org/officeDocument/2006/relationships/image" Target="media/image52.emf"/><Relationship Id="rId65" Type="http://schemas.openxmlformats.org/officeDocument/2006/relationships/image" Target="media/image57.emf"/><Relationship Id="rId81" Type="http://schemas.openxmlformats.org/officeDocument/2006/relationships/image" Target="media/image73.emf"/><Relationship Id="rId86" Type="http://schemas.openxmlformats.org/officeDocument/2006/relationships/image" Target="media/image78.emf"/><Relationship Id="rId130" Type="http://schemas.openxmlformats.org/officeDocument/2006/relationships/image" Target="media/image122.emf"/><Relationship Id="rId135" Type="http://schemas.openxmlformats.org/officeDocument/2006/relationships/image" Target="media/image127.emf"/><Relationship Id="rId151" Type="http://schemas.openxmlformats.org/officeDocument/2006/relationships/hyperlink" Target="https://public.tableau.com/app/profile/cepej/viz/CEPEJ-Genderequalityv2020_1_0EN/GenderEquality" TargetMode="External"/><Relationship Id="rId156" Type="http://schemas.openxmlformats.org/officeDocument/2006/relationships/image" Target="media/image145.png"/><Relationship Id="rId177" Type="http://schemas.openxmlformats.org/officeDocument/2006/relationships/image" Target="media/image158.emf"/><Relationship Id="rId172" Type="http://schemas.openxmlformats.org/officeDocument/2006/relationships/hyperlink" Target="http://cslav.justice.cz/InfoData/uvod.html" TargetMode="Externa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emf"/><Relationship Id="rId120" Type="http://schemas.openxmlformats.org/officeDocument/2006/relationships/image" Target="media/image112.emf"/><Relationship Id="rId125" Type="http://schemas.openxmlformats.org/officeDocument/2006/relationships/image" Target="media/image117.emf"/><Relationship Id="rId141" Type="http://schemas.openxmlformats.org/officeDocument/2006/relationships/image" Target="media/image133.emf"/><Relationship Id="rId146" Type="http://schemas.openxmlformats.org/officeDocument/2006/relationships/footer" Target="footer2.xml"/><Relationship Id="rId167" Type="http://schemas.openxmlformats.org/officeDocument/2006/relationships/image" Target="media/image153.svg"/><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162" Type="http://schemas.openxmlformats.org/officeDocument/2006/relationships/hyperlink" Target="https://ec.europa.eu/eurostat/databrowser/view/CRIM_CRT_CASE__custom_1737282/default/table?lang=en" TargetMode="External"/><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8.emf"/><Relationship Id="rId157" Type="http://schemas.openxmlformats.org/officeDocument/2006/relationships/image" Target="media/image146.png"/><Relationship Id="rId178" Type="http://schemas.openxmlformats.org/officeDocument/2006/relationships/footer" Target="footer3.xml"/><Relationship Id="rId61" Type="http://schemas.openxmlformats.org/officeDocument/2006/relationships/image" Target="media/image53.emf"/><Relationship Id="rId82" Type="http://schemas.openxmlformats.org/officeDocument/2006/relationships/image" Target="media/image74.emf"/><Relationship Id="rId152" Type="http://schemas.openxmlformats.org/officeDocument/2006/relationships/image" Target="media/image141.png"/><Relationship Id="rId173" Type="http://schemas.openxmlformats.org/officeDocument/2006/relationships/image" Target="media/image155.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image" Target="media/image137.emf"/><Relationship Id="rId168" Type="http://schemas.openxmlformats.org/officeDocument/2006/relationships/hyperlink" Target="https://dataunodc.un.org/data/crime/Persons%20convicted" TargetMode="Externa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image" Target="media/image134.emf"/><Relationship Id="rId163" Type="http://schemas.openxmlformats.org/officeDocument/2006/relationships/image" Target="media/image150.png"/><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9.emf"/><Relationship Id="rId116" Type="http://schemas.openxmlformats.org/officeDocument/2006/relationships/image" Target="media/image108.emf"/><Relationship Id="rId137" Type="http://schemas.openxmlformats.org/officeDocument/2006/relationships/image" Target="media/image129.emf"/><Relationship Id="rId158" Type="http://schemas.openxmlformats.org/officeDocument/2006/relationships/image" Target="media/image147.png"/><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emf"/><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image" Target="media/image103.emf"/><Relationship Id="rId132" Type="http://schemas.openxmlformats.org/officeDocument/2006/relationships/image" Target="media/image124.emf"/><Relationship Id="rId153" Type="http://schemas.openxmlformats.org/officeDocument/2006/relationships/image" Target="media/image142.emf"/><Relationship Id="rId174" Type="http://schemas.openxmlformats.org/officeDocument/2006/relationships/image" Target="media/image156.emf"/><Relationship Id="rId179" Type="http://schemas.openxmlformats.org/officeDocument/2006/relationships/hyperlink" Target="mailto:posta@msp.justice.cz" TargetMode="External"/><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image" Target="media/image49.emf"/><Relationship Id="rId106" Type="http://schemas.openxmlformats.org/officeDocument/2006/relationships/image" Target="media/image98.emf"/><Relationship Id="rId127" Type="http://schemas.openxmlformats.org/officeDocument/2006/relationships/image" Target="media/image119.emf"/><Relationship Id="rId10" Type="http://schemas.openxmlformats.org/officeDocument/2006/relationships/hyperlink" Target="https://cslav.justice.cz/InfoData/uvod.html" TargetMode="External"/><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image" Target="media/image114.emf"/><Relationship Id="rId143" Type="http://schemas.openxmlformats.org/officeDocument/2006/relationships/image" Target="media/image135.emf"/><Relationship Id="rId148" Type="http://schemas.openxmlformats.org/officeDocument/2006/relationships/image" Target="media/image138.png"/><Relationship Id="rId164" Type="http://schemas.openxmlformats.org/officeDocument/2006/relationships/image" Target="media/image151.svg"/><Relationship Id="rId169" Type="http://schemas.openxmlformats.org/officeDocument/2006/relationships/hyperlink" Target="https://www.stat.fi/til/syyttr/index_en.html"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www.justice.cz" TargetMode="External"/><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60.emf"/><Relationship Id="rId89" Type="http://schemas.openxmlformats.org/officeDocument/2006/relationships/image" Target="media/image81.emf"/><Relationship Id="rId112" Type="http://schemas.openxmlformats.org/officeDocument/2006/relationships/image" Target="media/image104.emf"/><Relationship Id="rId133" Type="http://schemas.openxmlformats.org/officeDocument/2006/relationships/image" Target="media/image125.emf"/><Relationship Id="rId154" Type="http://schemas.openxmlformats.org/officeDocument/2006/relationships/image" Target="media/image143.emf"/><Relationship Id="rId175" Type="http://schemas.openxmlformats.org/officeDocument/2006/relationships/package" Target="embeddings/Microsoft_Excel_Macro-Enabled_Worksheet.xlsm"/><Relationship Id="rId16" Type="http://schemas.openxmlformats.org/officeDocument/2006/relationships/image" Target="media/image8.emf"/><Relationship Id="rId37" Type="http://schemas.openxmlformats.org/officeDocument/2006/relationships/image" Target="media/image29.emf"/><Relationship Id="rId58" Type="http://schemas.openxmlformats.org/officeDocument/2006/relationships/image" Target="media/image50.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emf"/><Relationship Id="rId144" Type="http://schemas.openxmlformats.org/officeDocument/2006/relationships/image" Target="media/image136.emf"/><Relationship Id="rId90" Type="http://schemas.openxmlformats.org/officeDocument/2006/relationships/image" Target="media/image82.emf"/><Relationship Id="rId165" Type="http://schemas.openxmlformats.org/officeDocument/2006/relationships/hyperlink" Target="https://ec.europa.eu/eurostat/databrowser/view/CRIM_CRT_CASE__custom_1737282/default/table?lang=en" TargetMode="External"/><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61.emf"/><Relationship Id="rId113" Type="http://schemas.openxmlformats.org/officeDocument/2006/relationships/image" Target="media/image105.emf"/><Relationship Id="rId134" Type="http://schemas.openxmlformats.org/officeDocument/2006/relationships/image" Target="media/image126.emf"/><Relationship Id="rId80" Type="http://schemas.openxmlformats.org/officeDocument/2006/relationships/image" Target="media/image72.emf"/><Relationship Id="rId155" Type="http://schemas.openxmlformats.org/officeDocument/2006/relationships/image" Target="media/image144.emf"/><Relationship Id="rId176" Type="http://schemas.openxmlformats.org/officeDocument/2006/relationships/image" Target="media/image157.emf"/><Relationship Id="rId17" Type="http://schemas.openxmlformats.org/officeDocument/2006/relationships/image" Target="media/image9.emf"/><Relationship Id="rId38" Type="http://schemas.openxmlformats.org/officeDocument/2006/relationships/image" Target="media/image30.emf"/><Relationship Id="rId59" Type="http://schemas.openxmlformats.org/officeDocument/2006/relationships/image" Target="media/image51.emf"/><Relationship Id="rId103" Type="http://schemas.openxmlformats.org/officeDocument/2006/relationships/image" Target="media/image95.emf"/><Relationship Id="rId124" Type="http://schemas.openxmlformats.org/officeDocument/2006/relationships/image" Target="media/image116.emf"/><Relationship Id="rId70" Type="http://schemas.openxmlformats.org/officeDocument/2006/relationships/image" Target="media/image62.emf"/><Relationship Id="rId91" Type="http://schemas.openxmlformats.org/officeDocument/2006/relationships/image" Target="media/image83.emf"/><Relationship Id="rId145" Type="http://schemas.openxmlformats.org/officeDocument/2006/relationships/footer" Target="footer1.xml"/><Relationship Id="rId166" Type="http://schemas.openxmlformats.org/officeDocument/2006/relationships/image" Target="media/image152.png"/><Relationship Id="rId1" Type="http://schemas.openxmlformats.org/officeDocument/2006/relationships/customXml" Target="../customXml/item1.xml"/><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6.emf"/></Relationships>
</file>

<file path=word/_rels/footnotes.xml.rels><?xml version="1.0" encoding="UTF-8" standalone="yes"?>
<Relationships xmlns="http://schemas.openxmlformats.org/package/2006/relationships"><Relationship Id="rId3" Type="http://schemas.openxmlformats.org/officeDocument/2006/relationships/hyperlink" Target="http://www.nsoud.cz/Judikatura/ns_web.nsf/web/ONejvyssimsoudu~Trestnikolegium~Soudci_TK~?openDocument&amp;lng=CZ" TargetMode="External"/><Relationship Id="rId2" Type="http://schemas.openxmlformats.org/officeDocument/2006/relationships/hyperlink" Target="http://www.nsoud.cz/Judikatura/ns_web.nsf/web/ONejvyssimsoudu~Obcanskopravniaobchodnikolegium~Soudci_OOK~?openDocument&amp;lng=CZ" TargetMode="External"/><Relationship Id="rId1" Type="http://schemas.openxmlformats.org/officeDocument/2006/relationships/hyperlink" Target="https://www.justice.cz/web/msp/statisticke-udaje-z-oblasti-justice" TargetMode="External"/><Relationship Id="rId4" Type="http://schemas.openxmlformats.org/officeDocument/2006/relationships/hyperlink" Target="https://justice.cz/documents/12681/715672/Obecn%C3%A9+stanovisko+SPZ+%28nouzov%C3%BD+stav%29.pdf/ddb830a0-1737-457e-8f07-26479a99de6c"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EE2FB-594A-424F-BD68-929D4EA1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220</Pages>
  <Words>64284</Words>
  <Characters>322068</Characters>
  <Application>Microsoft Office Word</Application>
  <DocSecurity>0</DocSecurity>
  <Lines>11105</Lines>
  <Paragraphs>8220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2022-07-27T06:18:00Z</dcterms:created>
  <dcterms:modified xsi:type="dcterms:W3CDTF">2022-07-27T06:18:00Z</dcterms:modified>
</cp:coreProperties>
</file>