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36CC" w14:textId="77777777" w:rsidR="007926EE" w:rsidRPr="0093617D" w:rsidRDefault="007926EE" w:rsidP="00195A4B">
      <w:pPr>
        <w:spacing w:before="120" w:after="0" w:line="240" w:lineRule="auto"/>
        <w:jc w:val="right"/>
        <w:rPr>
          <w:rFonts w:ascii="Times New Roman" w:hAnsi="Times New Roman" w:cs="Times New Roman"/>
          <w:sz w:val="24"/>
          <w:szCs w:val="24"/>
        </w:rPr>
      </w:pPr>
      <w:r w:rsidRPr="0093617D">
        <w:rPr>
          <w:rFonts w:ascii="Times New Roman" w:hAnsi="Times New Roman" w:cs="Times New Roman"/>
          <w:sz w:val="24"/>
          <w:szCs w:val="24"/>
        </w:rPr>
        <w:t>IV.</w:t>
      </w:r>
    </w:p>
    <w:p w14:paraId="12610F92" w14:textId="77777777" w:rsidR="007926EE" w:rsidRPr="0093617D" w:rsidRDefault="007926EE" w:rsidP="00195A4B">
      <w:pPr>
        <w:spacing w:before="120" w:after="0" w:line="240" w:lineRule="auto"/>
        <w:jc w:val="center"/>
        <w:rPr>
          <w:rFonts w:ascii="Times New Roman" w:hAnsi="Times New Roman" w:cs="Times New Roman"/>
          <w:b/>
          <w:sz w:val="24"/>
          <w:szCs w:val="24"/>
        </w:rPr>
      </w:pPr>
      <w:r w:rsidRPr="0093617D">
        <w:rPr>
          <w:rFonts w:ascii="Times New Roman" w:hAnsi="Times New Roman" w:cs="Times New Roman"/>
          <w:b/>
          <w:sz w:val="24"/>
          <w:szCs w:val="24"/>
        </w:rPr>
        <w:t>DŮVODOVÁ ZPRÁVA</w:t>
      </w:r>
    </w:p>
    <w:p w14:paraId="309F1740" w14:textId="77777777" w:rsidR="007926EE" w:rsidRPr="0093617D" w:rsidRDefault="007926EE" w:rsidP="00195A4B">
      <w:pPr>
        <w:spacing w:before="120" w:after="0" w:line="240" w:lineRule="auto"/>
        <w:jc w:val="center"/>
        <w:rPr>
          <w:rFonts w:ascii="Times New Roman" w:hAnsi="Times New Roman" w:cs="Times New Roman"/>
          <w:b/>
          <w:sz w:val="24"/>
          <w:szCs w:val="24"/>
        </w:rPr>
      </w:pPr>
      <w:r w:rsidRPr="0093617D">
        <w:rPr>
          <w:rFonts w:ascii="Times New Roman" w:hAnsi="Times New Roman" w:cs="Times New Roman"/>
          <w:b/>
          <w:sz w:val="24"/>
          <w:szCs w:val="24"/>
        </w:rPr>
        <w:t>Obecná část</w:t>
      </w:r>
    </w:p>
    <w:p w14:paraId="624BC977" w14:textId="77777777" w:rsidR="007926EE" w:rsidRPr="0093617D" w:rsidRDefault="007926EE" w:rsidP="00195A4B">
      <w:pPr>
        <w:spacing w:before="120" w:after="0" w:line="240" w:lineRule="auto"/>
        <w:jc w:val="both"/>
        <w:rPr>
          <w:rFonts w:ascii="Times New Roman" w:hAnsi="Times New Roman" w:cs="Times New Roman"/>
          <w:b/>
          <w:sz w:val="24"/>
          <w:szCs w:val="24"/>
        </w:rPr>
      </w:pPr>
    </w:p>
    <w:p w14:paraId="107CC48F" w14:textId="77777777" w:rsidR="007926EE" w:rsidRPr="0093617D" w:rsidRDefault="007926EE" w:rsidP="00195A4B">
      <w:pPr>
        <w:spacing w:before="120" w:after="0" w:line="240" w:lineRule="auto"/>
        <w:jc w:val="both"/>
        <w:rPr>
          <w:rFonts w:ascii="Times New Roman" w:hAnsi="Times New Roman" w:cs="Times New Roman"/>
          <w:b/>
          <w:sz w:val="24"/>
          <w:szCs w:val="24"/>
        </w:rPr>
      </w:pPr>
      <w:r w:rsidRPr="0093617D">
        <w:rPr>
          <w:rFonts w:ascii="Times New Roman" w:hAnsi="Times New Roman" w:cs="Times New Roman"/>
          <w:b/>
          <w:sz w:val="24"/>
          <w:szCs w:val="24"/>
        </w:rPr>
        <w:t>Hodnocení dopadů regulace (RIA)</w:t>
      </w:r>
    </w:p>
    <w:p w14:paraId="1D8D4BC3" w14:textId="77777777" w:rsidR="00EF09BF" w:rsidRDefault="00EF09BF" w:rsidP="00EF09BF">
      <w:pPr>
        <w:widowControl w:val="0"/>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Předseda Legislativní rady vlády svým dopisem ze dne 25. 4. 2019 č.</w:t>
      </w:r>
      <w:r w:rsidR="0037070F">
        <w:rPr>
          <w:rFonts w:ascii="Times New Roman" w:hAnsi="Times New Roman" w:cs="Times New Roman"/>
          <w:sz w:val="24"/>
          <w:szCs w:val="24"/>
        </w:rPr>
        <w:t xml:space="preserve"> </w:t>
      </w:r>
      <w:r>
        <w:rPr>
          <w:rFonts w:ascii="Times New Roman" w:hAnsi="Times New Roman" w:cs="Times New Roman"/>
          <w:sz w:val="24"/>
          <w:szCs w:val="24"/>
        </w:rPr>
        <w:t>j. 14623/2019-UVCR rozhodl o tom, že h</w:t>
      </w:r>
      <w:r w:rsidRPr="0093617D">
        <w:rPr>
          <w:rFonts w:ascii="Times New Roman" w:hAnsi="Times New Roman" w:cs="Times New Roman"/>
          <w:sz w:val="24"/>
          <w:szCs w:val="24"/>
        </w:rPr>
        <w:t xml:space="preserve">odnocení dopadů regulace </w:t>
      </w:r>
      <w:r>
        <w:rPr>
          <w:rFonts w:ascii="Times New Roman" w:hAnsi="Times New Roman" w:cs="Times New Roman"/>
          <w:sz w:val="24"/>
          <w:szCs w:val="24"/>
        </w:rPr>
        <w:t xml:space="preserve">nebude </w:t>
      </w:r>
      <w:r w:rsidRPr="0093617D">
        <w:rPr>
          <w:rFonts w:ascii="Times New Roman" w:hAnsi="Times New Roman" w:cs="Times New Roman"/>
          <w:sz w:val="24"/>
          <w:szCs w:val="24"/>
        </w:rPr>
        <w:t>u tohoto návrhu zákona prováděno</w:t>
      </w:r>
      <w:r>
        <w:rPr>
          <w:rFonts w:ascii="Times New Roman" w:hAnsi="Times New Roman" w:cs="Times New Roman"/>
          <w:sz w:val="24"/>
          <w:szCs w:val="24"/>
        </w:rPr>
        <w:t>.</w:t>
      </w:r>
    </w:p>
    <w:p w14:paraId="50A038F4" w14:textId="77777777" w:rsidR="00EF09BF" w:rsidRDefault="00EF09BF" w:rsidP="00195A4B">
      <w:pPr>
        <w:spacing w:before="120" w:after="0" w:line="240" w:lineRule="auto"/>
        <w:jc w:val="both"/>
        <w:rPr>
          <w:rFonts w:ascii="Times New Roman" w:hAnsi="Times New Roman" w:cs="Times New Roman"/>
          <w:sz w:val="24"/>
          <w:szCs w:val="24"/>
        </w:rPr>
      </w:pPr>
    </w:p>
    <w:p w14:paraId="2DB5BC90" w14:textId="77777777" w:rsidR="007926EE" w:rsidRPr="0093617D" w:rsidRDefault="007926EE" w:rsidP="00195A4B">
      <w:pPr>
        <w:spacing w:before="120" w:after="0" w:line="240" w:lineRule="auto"/>
        <w:jc w:val="both"/>
        <w:rPr>
          <w:rFonts w:ascii="Times New Roman" w:hAnsi="Times New Roman" w:cs="Times New Roman"/>
          <w:b/>
          <w:sz w:val="24"/>
          <w:szCs w:val="24"/>
        </w:rPr>
      </w:pPr>
      <w:r w:rsidRPr="0093617D">
        <w:rPr>
          <w:rFonts w:ascii="Times New Roman" w:hAnsi="Times New Roman" w:cs="Times New Roman"/>
          <w:b/>
          <w:sz w:val="24"/>
          <w:szCs w:val="24"/>
        </w:rPr>
        <w:t>Zhodnocení platného právního stavu, odůvodnění hlavních principů navrhované právní úpravy a vysvětlení nezbytnosti navrhované právní úpravy v jejím celku</w:t>
      </w:r>
    </w:p>
    <w:p w14:paraId="300FA493" w14:textId="77777777" w:rsidR="00EF09BF" w:rsidRPr="00DC75DF" w:rsidRDefault="00EF09BF" w:rsidP="00EF09BF">
      <w:pPr>
        <w:spacing w:before="120" w:after="0" w:line="240" w:lineRule="auto"/>
        <w:jc w:val="both"/>
        <w:rPr>
          <w:rFonts w:ascii="Times New Roman" w:hAnsi="Times New Roman"/>
          <w:b/>
          <w:sz w:val="24"/>
          <w:szCs w:val="24"/>
        </w:rPr>
      </w:pPr>
      <w:r w:rsidRPr="00DC75DF">
        <w:rPr>
          <w:rFonts w:ascii="Times New Roman" w:hAnsi="Times New Roman"/>
          <w:sz w:val="24"/>
          <w:szCs w:val="24"/>
        </w:rPr>
        <w:t>Přijetím nového trestního zákoníku došlo v právní úpravě trestních sankcí k výrazným změnám, přičemž zákonodárce předpokládal, že se tyto změny projeví pozitivním směrem v uplatňované sankční politice, a to především snížením aplikace krátkodobých nepodmíněných trestů odnětí svobody a snížením počtu vězněných osob.</w:t>
      </w:r>
      <w:r w:rsidRPr="00DC75DF">
        <w:rPr>
          <w:rFonts w:ascii="Times New Roman" w:hAnsi="Times New Roman"/>
          <w:b/>
          <w:sz w:val="24"/>
          <w:szCs w:val="24"/>
        </w:rPr>
        <w:t xml:space="preserve"> </w:t>
      </w:r>
    </w:p>
    <w:p w14:paraId="63296115" w14:textId="77777777" w:rsidR="00EF09BF" w:rsidRPr="00DC75DF" w:rsidRDefault="00EF09BF" w:rsidP="00EF09BF">
      <w:pPr>
        <w:spacing w:before="120" w:after="0" w:line="240" w:lineRule="auto"/>
        <w:jc w:val="both"/>
        <w:rPr>
          <w:rFonts w:ascii="Times New Roman" w:hAnsi="Times New Roman"/>
          <w:sz w:val="24"/>
          <w:szCs w:val="24"/>
        </w:rPr>
      </w:pPr>
      <w:r w:rsidRPr="00DC75DF">
        <w:rPr>
          <w:rFonts w:ascii="Times New Roman" w:hAnsi="Times New Roman"/>
          <w:sz w:val="24"/>
          <w:szCs w:val="24"/>
        </w:rPr>
        <w:t xml:space="preserve">U trestných činů, u kterých to jejich povaha umožňuje, by měly být zásadně ukládány jiné tresty než trest odnětí svobody, ledaže by s přihlédnutím k </w:t>
      </w:r>
      <w:r>
        <w:rPr>
          <w:rFonts w:ascii="Times New Roman" w:hAnsi="Times New Roman"/>
          <w:sz w:val="24"/>
          <w:szCs w:val="24"/>
        </w:rPr>
        <w:t>osobním, rodinným, majetkovým a </w:t>
      </w:r>
      <w:r w:rsidRPr="00DC75DF">
        <w:rPr>
          <w:rFonts w:ascii="Times New Roman" w:hAnsi="Times New Roman"/>
          <w:sz w:val="24"/>
          <w:szCs w:val="24"/>
        </w:rPr>
        <w:t>jiným poměrům pachatele</w:t>
      </w:r>
      <w:r>
        <w:rPr>
          <w:rFonts w:ascii="Times New Roman" w:hAnsi="Times New Roman"/>
          <w:sz w:val="24"/>
          <w:szCs w:val="24"/>
        </w:rPr>
        <w:t>,</w:t>
      </w:r>
      <w:r w:rsidRPr="00DC75DF">
        <w:rPr>
          <w:rFonts w:ascii="Times New Roman" w:hAnsi="Times New Roman"/>
          <w:sz w:val="24"/>
          <w:szCs w:val="24"/>
        </w:rPr>
        <w:t xml:space="preserve"> jeho dosavadnímu způsobu života a možnostem nápravy uložení alternativního trestu zjevně nevedlo k tomu, aby pachatel vedl řádný život.</w:t>
      </w:r>
    </w:p>
    <w:p w14:paraId="457E5FFC" w14:textId="77777777" w:rsidR="00EF09BF" w:rsidRDefault="00EF09BF" w:rsidP="00EF09BF">
      <w:pPr>
        <w:spacing w:before="120" w:after="0" w:line="240" w:lineRule="auto"/>
        <w:jc w:val="both"/>
        <w:rPr>
          <w:rFonts w:ascii="Times New Roman" w:hAnsi="Times New Roman"/>
          <w:sz w:val="24"/>
          <w:szCs w:val="24"/>
        </w:rPr>
      </w:pPr>
      <w:r w:rsidRPr="00DC75DF">
        <w:rPr>
          <w:rFonts w:ascii="Times New Roman" w:hAnsi="Times New Roman"/>
          <w:sz w:val="24"/>
          <w:szCs w:val="24"/>
        </w:rPr>
        <w:t xml:space="preserve">Bohužel jak praxe ukazuje, toto očekávání se nenaplnilo a trest odnětí svobody (ať už ve své nepodmíněné formě, tak </w:t>
      </w:r>
      <w:r>
        <w:rPr>
          <w:rFonts w:ascii="Times New Roman" w:hAnsi="Times New Roman"/>
          <w:sz w:val="24"/>
          <w:szCs w:val="24"/>
        </w:rPr>
        <w:t xml:space="preserve">jako </w:t>
      </w:r>
      <w:r w:rsidRPr="00DC75DF">
        <w:rPr>
          <w:rFonts w:ascii="Times New Roman" w:hAnsi="Times New Roman"/>
          <w:sz w:val="24"/>
          <w:szCs w:val="24"/>
        </w:rPr>
        <w:t xml:space="preserve">trest, jehož výkon je podmíněně odložen) je v soudní praxi </w:t>
      </w:r>
      <w:r>
        <w:rPr>
          <w:rFonts w:ascii="Times New Roman" w:hAnsi="Times New Roman"/>
          <w:sz w:val="24"/>
          <w:szCs w:val="24"/>
        </w:rPr>
        <w:t>i</w:t>
      </w:r>
      <w:r w:rsidR="00562777">
        <w:rPr>
          <w:rFonts w:ascii="Times New Roman" w:hAnsi="Times New Roman"/>
          <w:sz w:val="24"/>
          <w:szCs w:val="24"/>
        </w:rPr>
        <w:t> </w:t>
      </w:r>
      <w:r>
        <w:rPr>
          <w:rFonts w:ascii="Times New Roman" w:hAnsi="Times New Roman"/>
          <w:sz w:val="24"/>
          <w:szCs w:val="24"/>
        </w:rPr>
        <w:t xml:space="preserve">nadále </w:t>
      </w:r>
      <w:r w:rsidRPr="00DC75DF">
        <w:rPr>
          <w:rFonts w:ascii="Times New Roman" w:hAnsi="Times New Roman"/>
          <w:sz w:val="24"/>
          <w:szCs w:val="24"/>
        </w:rPr>
        <w:t>ukládán ve většině případů.</w:t>
      </w:r>
      <w:r>
        <w:rPr>
          <w:rFonts w:ascii="Times New Roman" w:hAnsi="Times New Roman"/>
          <w:sz w:val="24"/>
          <w:szCs w:val="24"/>
        </w:rPr>
        <w:t xml:space="preserve"> </w:t>
      </w:r>
      <w:r w:rsidRPr="00DC75DF">
        <w:rPr>
          <w:rFonts w:ascii="Times New Roman" w:hAnsi="Times New Roman"/>
          <w:sz w:val="24"/>
          <w:szCs w:val="24"/>
        </w:rPr>
        <w:t>Naopak peněžitý trest, který může být pokládán za</w:t>
      </w:r>
      <w:r w:rsidR="00562777">
        <w:rPr>
          <w:rFonts w:ascii="Times New Roman" w:hAnsi="Times New Roman"/>
          <w:sz w:val="24"/>
          <w:szCs w:val="24"/>
        </w:rPr>
        <w:t> </w:t>
      </w:r>
      <w:r w:rsidRPr="00DC75DF">
        <w:rPr>
          <w:rFonts w:ascii="Times New Roman" w:hAnsi="Times New Roman"/>
          <w:sz w:val="24"/>
          <w:szCs w:val="24"/>
        </w:rPr>
        <w:t xml:space="preserve">vhodný trest u řady trestných činů nižší společenské škodlivosti, je </w:t>
      </w:r>
      <w:r>
        <w:rPr>
          <w:rFonts w:ascii="Times New Roman" w:hAnsi="Times New Roman"/>
          <w:sz w:val="24"/>
          <w:szCs w:val="24"/>
        </w:rPr>
        <w:t xml:space="preserve">ukládán </w:t>
      </w:r>
      <w:r w:rsidRPr="00DC75DF">
        <w:rPr>
          <w:rFonts w:ascii="Times New Roman" w:hAnsi="Times New Roman"/>
          <w:sz w:val="24"/>
          <w:szCs w:val="24"/>
        </w:rPr>
        <w:t>v </w:t>
      </w:r>
      <w:r>
        <w:rPr>
          <w:rFonts w:ascii="Times New Roman" w:hAnsi="Times New Roman"/>
          <w:sz w:val="24"/>
          <w:szCs w:val="24"/>
        </w:rPr>
        <w:t>nedostatečném</w:t>
      </w:r>
      <w:r w:rsidRPr="00DC75DF">
        <w:rPr>
          <w:rFonts w:ascii="Times New Roman" w:hAnsi="Times New Roman"/>
          <w:sz w:val="24"/>
          <w:szCs w:val="24"/>
        </w:rPr>
        <w:t xml:space="preserve"> množství</w:t>
      </w:r>
      <w:r>
        <w:rPr>
          <w:rFonts w:ascii="Times New Roman" w:hAnsi="Times New Roman"/>
          <w:sz w:val="24"/>
          <w:szCs w:val="24"/>
        </w:rPr>
        <w:t xml:space="preserve"> a není tak využito potenciálu, který tento druh trestu skýtá. Peněžitý </w:t>
      </w:r>
      <w:r w:rsidRPr="00DC75DF">
        <w:rPr>
          <w:rFonts w:ascii="Times New Roman" w:hAnsi="Times New Roman"/>
          <w:sz w:val="24"/>
          <w:szCs w:val="24"/>
        </w:rPr>
        <w:t>trest tvoří v zásadě jen nevýznamný podíl na trestech ukládaných pachatelům trestných činů a není an</w:t>
      </w:r>
      <w:r>
        <w:rPr>
          <w:rFonts w:ascii="Times New Roman" w:hAnsi="Times New Roman"/>
          <w:sz w:val="24"/>
          <w:szCs w:val="24"/>
        </w:rPr>
        <w:t>i nejvýznamnější alternativou k </w:t>
      </w:r>
      <w:r w:rsidRPr="00DC75DF">
        <w:rPr>
          <w:rFonts w:ascii="Times New Roman" w:hAnsi="Times New Roman"/>
          <w:sz w:val="24"/>
          <w:szCs w:val="24"/>
        </w:rPr>
        <w:t>nepodmíněnému trestu odnětí svobody, kdy tuto pozici zaujímá zejména podmíněné odsouzení k trestu odnětí svobody.</w:t>
      </w:r>
    </w:p>
    <w:p w14:paraId="1C351BF8" w14:textId="77777777" w:rsidR="00562777" w:rsidRDefault="000C464B" w:rsidP="000C464B">
      <w:pPr>
        <w:spacing w:before="120" w:after="0" w:line="240" w:lineRule="auto"/>
        <w:jc w:val="both"/>
        <w:rPr>
          <w:rFonts w:ascii="Times New Roman" w:hAnsi="Times New Roman"/>
          <w:sz w:val="24"/>
          <w:szCs w:val="24"/>
        </w:rPr>
      </w:pPr>
      <w:r>
        <w:rPr>
          <w:rFonts w:ascii="Times New Roman" w:hAnsi="Times New Roman"/>
          <w:sz w:val="24"/>
          <w:szCs w:val="24"/>
        </w:rPr>
        <w:t xml:space="preserve">V reakci na tuto skutečnost vláda již předložila návrh zákona, který </w:t>
      </w:r>
      <w:r w:rsidRPr="00DC75DF">
        <w:rPr>
          <w:rFonts w:ascii="Times New Roman" w:hAnsi="Times New Roman"/>
          <w:sz w:val="24"/>
          <w:szCs w:val="24"/>
        </w:rPr>
        <w:t xml:space="preserve">na základě vyhodnocení poznatků praxe </w:t>
      </w:r>
      <w:r w:rsidR="00562777">
        <w:rPr>
          <w:rFonts w:ascii="Times New Roman" w:hAnsi="Times New Roman"/>
          <w:sz w:val="24"/>
          <w:szCs w:val="24"/>
        </w:rPr>
        <w:t xml:space="preserve">přišel </w:t>
      </w:r>
      <w:r>
        <w:rPr>
          <w:rFonts w:ascii="Times New Roman" w:hAnsi="Times New Roman"/>
          <w:sz w:val="24"/>
          <w:szCs w:val="24"/>
        </w:rPr>
        <w:t xml:space="preserve">s </w:t>
      </w:r>
      <w:r w:rsidRPr="00DC75DF">
        <w:rPr>
          <w:rFonts w:ascii="Times New Roman" w:hAnsi="Times New Roman"/>
          <w:sz w:val="24"/>
          <w:szCs w:val="24"/>
        </w:rPr>
        <w:t>takov</w:t>
      </w:r>
      <w:r>
        <w:rPr>
          <w:rFonts w:ascii="Times New Roman" w:hAnsi="Times New Roman"/>
          <w:sz w:val="24"/>
          <w:szCs w:val="24"/>
        </w:rPr>
        <w:t>ými</w:t>
      </w:r>
      <w:r w:rsidRPr="00DC75DF">
        <w:rPr>
          <w:rFonts w:ascii="Times New Roman" w:hAnsi="Times New Roman"/>
          <w:sz w:val="24"/>
          <w:szCs w:val="24"/>
        </w:rPr>
        <w:t xml:space="preserve"> legislativní</w:t>
      </w:r>
      <w:r>
        <w:rPr>
          <w:rFonts w:ascii="Times New Roman" w:hAnsi="Times New Roman"/>
          <w:sz w:val="24"/>
          <w:szCs w:val="24"/>
        </w:rPr>
        <w:t>mi</w:t>
      </w:r>
      <w:r w:rsidRPr="00DC75DF">
        <w:rPr>
          <w:rFonts w:ascii="Times New Roman" w:hAnsi="Times New Roman"/>
          <w:sz w:val="24"/>
          <w:szCs w:val="24"/>
        </w:rPr>
        <w:t xml:space="preserve"> opatření</w:t>
      </w:r>
      <w:r>
        <w:rPr>
          <w:rFonts w:ascii="Times New Roman" w:hAnsi="Times New Roman"/>
          <w:sz w:val="24"/>
          <w:szCs w:val="24"/>
        </w:rPr>
        <w:t>mi</w:t>
      </w:r>
      <w:r w:rsidRPr="00DC75DF">
        <w:rPr>
          <w:rFonts w:ascii="Times New Roman" w:hAnsi="Times New Roman"/>
          <w:sz w:val="24"/>
          <w:szCs w:val="24"/>
        </w:rPr>
        <w:t>, která zvýší počet ukládaných peněžitých trestů, a to ať již jako trestů samostatných či ukládaných vedle jiného trestu</w:t>
      </w:r>
      <w:r>
        <w:rPr>
          <w:rFonts w:ascii="Times New Roman" w:hAnsi="Times New Roman"/>
          <w:sz w:val="24"/>
          <w:szCs w:val="24"/>
        </w:rPr>
        <w:t xml:space="preserve"> (tento návrh je projednáván </w:t>
      </w:r>
      <w:r w:rsidR="00562777">
        <w:rPr>
          <w:rFonts w:ascii="Times New Roman" w:hAnsi="Times New Roman"/>
          <w:sz w:val="24"/>
          <w:szCs w:val="24"/>
        </w:rPr>
        <w:t>P</w:t>
      </w:r>
      <w:r>
        <w:rPr>
          <w:rFonts w:ascii="Times New Roman" w:hAnsi="Times New Roman"/>
          <w:sz w:val="24"/>
          <w:szCs w:val="24"/>
        </w:rPr>
        <w:t>oslaneckou sněmovnou jako sněmovní tisk 453)</w:t>
      </w:r>
      <w:r w:rsidRPr="00DC75DF">
        <w:rPr>
          <w:rFonts w:ascii="Times New Roman" w:hAnsi="Times New Roman"/>
          <w:sz w:val="24"/>
          <w:szCs w:val="24"/>
        </w:rPr>
        <w:t xml:space="preserve">. </w:t>
      </w:r>
    </w:p>
    <w:p w14:paraId="3C7EAF44" w14:textId="77777777" w:rsidR="000C464B" w:rsidRPr="00DC75DF" w:rsidRDefault="00562777" w:rsidP="000C464B">
      <w:pPr>
        <w:spacing w:before="120" w:after="0" w:line="240" w:lineRule="auto"/>
        <w:jc w:val="both"/>
        <w:rPr>
          <w:rFonts w:ascii="Times New Roman" w:hAnsi="Times New Roman"/>
          <w:sz w:val="24"/>
          <w:szCs w:val="24"/>
        </w:rPr>
      </w:pPr>
      <w:r>
        <w:rPr>
          <w:rFonts w:ascii="Times New Roman" w:hAnsi="Times New Roman"/>
          <w:sz w:val="24"/>
          <w:szCs w:val="24"/>
        </w:rPr>
        <w:t xml:space="preserve">Předkládaný návrh na tuto předchozí aktivitu navazuje a doplňuje ji.  </w:t>
      </w:r>
    </w:p>
    <w:p w14:paraId="6316AA0E" w14:textId="77777777" w:rsidR="00562777" w:rsidRDefault="002D2131" w:rsidP="0070557A">
      <w:pPr>
        <w:spacing w:before="120" w:after="0" w:line="240" w:lineRule="auto"/>
        <w:jc w:val="both"/>
        <w:rPr>
          <w:rFonts w:ascii="Times New Roman" w:hAnsi="Times New Roman"/>
          <w:sz w:val="24"/>
          <w:szCs w:val="24"/>
        </w:rPr>
      </w:pPr>
      <w:r>
        <w:rPr>
          <w:rFonts w:ascii="Times New Roman" w:hAnsi="Times New Roman"/>
          <w:sz w:val="24"/>
          <w:szCs w:val="24"/>
        </w:rPr>
        <w:t>Cílem předkládaného návrhu zákona je</w:t>
      </w:r>
      <w:r w:rsidR="006159EE">
        <w:rPr>
          <w:rFonts w:ascii="Times New Roman" w:hAnsi="Times New Roman"/>
          <w:sz w:val="24"/>
          <w:szCs w:val="24"/>
        </w:rPr>
        <w:t xml:space="preserve"> zvýšit efektivitu </w:t>
      </w:r>
      <w:r w:rsidR="00EF09BF">
        <w:rPr>
          <w:rFonts w:ascii="Times New Roman" w:hAnsi="Times New Roman"/>
          <w:sz w:val="24"/>
          <w:szCs w:val="24"/>
        </w:rPr>
        <w:t xml:space="preserve">vymáhání </w:t>
      </w:r>
      <w:r w:rsidR="006159EE">
        <w:rPr>
          <w:rFonts w:ascii="Times New Roman" w:hAnsi="Times New Roman"/>
          <w:sz w:val="24"/>
          <w:szCs w:val="24"/>
        </w:rPr>
        <w:t>justičních pohledávek</w:t>
      </w:r>
      <w:r w:rsidR="00BD5C29">
        <w:rPr>
          <w:rFonts w:ascii="Times New Roman" w:hAnsi="Times New Roman"/>
          <w:sz w:val="24"/>
          <w:szCs w:val="24"/>
        </w:rPr>
        <w:t>, </w:t>
      </w:r>
      <w:r w:rsidR="00562777">
        <w:rPr>
          <w:rFonts w:ascii="Times New Roman" w:hAnsi="Times New Roman"/>
          <w:sz w:val="24"/>
          <w:szCs w:val="24"/>
        </w:rPr>
        <w:t>jejichž správa placení se řídí daňovým řádem, kdy má dojít ke z</w:t>
      </w:r>
      <w:r w:rsidR="00562777" w:rsidRPr="00DC75DF">
        <w:rPr>
          <w:rFonts w:ascii="Times New Roman" w:hAnsi="Times New Roman"/>
          <w:sz w:val="24"/>
          <w:szCs w:val="24"/>
        </w:rPr>
        <w:t>měně orgánu příslušného k</w:t>
      </w:r>
      <w:r w:rsidR="00562777">
        <w:rPr>
          <w:rFonts w:ascii="Times New Roman" w:hAnsi="Times New Roman"/>
          <w:sz w:val="24"/>
          <w:szCs w:val="24"/>
        </w:rPr>
        <w:t> </w:t>
      </w:r>
      <w:r w:rsidR="00562777" w:rsidRPr="00DC75DF">
        <w:rPr>
          <w:rFonts w:ascii="Times New Roman" w:hAnsi="Times New Roman"/>
          <w:sz w:val="24"/>
          <w:szCs w:val="24"/>
        </w:rPr>
        <w:t>je</w:t>
      </w:r>
      <w:r w:rsidR="00562777">
        <w:rPr>
          <w:rFonts w:ascii="Times New Roman" w:hAnsi="Times New Roman"/>
          <w:sz w:val="24"/>
          <w:szCs w:val="24"/>
        </w:rPr>
        <w:t xml:space="preserve">jich </w:t>
      </w:r>
      <w:r w:rsidR="00562777" w:rsidRPr="00DC75DF">
        <w:rPr>
          <w:rFonts w:ascii="Times New Roman" w:hAnsi="Times New Roman"/>
          <w:sz w:val="24"/>
          <w:szCs w:val="24"/>
        </w:rPr>
        <w:t>vymáhání</w:t>
      </w:r>
      <w:r w:rsidR="00562777">
        <w:rPr>
          <w:rFonts w:ascii="Times New Roman" w:hAnsi="Times New Roman"/>
          <w:sz w:val="24"/>
          <w:szCs w:val="24"/>
        </w:rPr>
        <w:t xml:space="preserve">. Napříště by tyto pohledávky </w:t>
      </w:r>
      <w:r w:rsidR="00562777" w:rsidRPr="00DC75DF">
        <w:rPr>
          <w:rFonts w:ascii="Times New Roman" w:hAnsi="Times New Roman"/>
          <w:sz w:val="24"/>
          <w:szCs w:val="24"/>
        </w:rPr>
        <w:t xml:space="preserve">neměly vymáhat jednotlivé soudy (v současné době vymáhá peněžité tresty </w:t>
      </w:r>
      <w:r w:rsidR="00562777">
        <w:rPr>
          <w:rFonts w:ascii="Times New Roman" w:hAnsi="Times New Roman"/>
          <w:sz w:val="24"/>
          <w:szCs w:val="24"/>
        </w:rPr>
        <w:t>všech 86 okresních a 8 </w:t>
      </w:r>
      <w:r w:rsidR="00562777" w:rsidRPr="00DC75DF">
        <w:rPr>
          <w:rFonts w:ascii="Times New Roman" w:hAnsi="Times New Roman"/>
          <w:sz w:val="24"/>
          <w:szCs w:val="24"/>
        </w:rPr>
        <w:t>kraj</w:t>
      </w:r>
      <w:r w:rsidR="00BD5C29">
        <w:rPr>
          <w:rFonts w:ascii="Times New Roman" w:hAnsi="Times New Roman"/>
          <w:sz w:val="24"/>
          <w:szCs w:val="24"/>
        </w:rPr>
        <w:t>ských soudů, pokud jej uložily, </w:t>
      </w:r>
      <w:r w:rsidR="00562777" w:rsidRPr="00DC75DF">
        <w:rPr>
          <w:rFonts w:ascii="Times New Roman" w:hAnsi="Times New Roman"/>
          <w:sz w:val="24"/>
          <w:szCs w:val="24"/>
        </w:rPr>
        <w:t>prostřednictvím svých zaměstnanců nebo prostřednictvím exekutorů), ale navrhuje se využít možnosti předvídané daňovým řádem, a</w:t>
      </w:r>
      <w:r w:rsidR="00562777">
        <w:rPr>
          <w:rFonts w:ascii="Times New Roman" w:hAnsi="Times New Roman"/>
          <w:sz w:val="24"/>
          <w:szCs w:val="24"/>
        </w:rPr>
        <w:t> </w:t>
      </w:r>
      <w:r w:rsidR="00562777" w:rsidRPr="00DC75DF">
        <w:rPr>
          <w:rFonts w:ascii="Times New Roman" w:hAnsi="Times New Roman"/>
          <w:sz w:val="24"/>
          <w:szCs w:val="24"/>
        </w:rPr>
        <w:t xml:space="preserve">tuto agendu svěřit Celní správě v rámci dělené správy, čímž dojde k žádoucí </w:t>
      </w:r>
      <w:r w:rsidR="00562777">
        <w:rPr>
          <w:rFonts w:ascii="Times New Roman" w:hAnsi="Times New Roman"/>
          <w:sz w:val="24"/>
          <w:szCs w:val="24"/>
        </w:rPr>
        <w:t>kumulaci všech pohledávek u </w:t>
      </w:r>
      <w:r w:rsidR="00562777" w:rsidRPr="00DC75DF">
        <w:rPr>
          <w:rFonts w:ascii="Times New Roman" w:hAnsi="Times New Roman"/>
          <w:sz w:val="24"/>
          <w:szCs w:val="24"/>
        </w:rPr>
        <w:t>jednoho vymáhajícího orgánu (resp.</w:t>
      </w:r>
      <w:r w:rsidR="005B1645">
        <w:rPr>
          <w:rFonts w:ascii="Times New Roman" w:hAnsi="Times New Roman"/>
          <w:sz w:val="24"/>
          <w:szCs w:val="24"/>
        </w:rPr>
        <w:t> </w:t>
      </w:r>
      <w:r w:rsidR="00562777" w:rsidRPr="00DC75DF">
        <w:rPr>
          <w:rFonts w:ascii="Times New Roman" w:hAnsi="Times New Roman"/>
          <w:sz w:val="24"/>
          <w:szCs w:val="24"/>
        </w:rPr>
        <w:t>na</w:t>
      </w:r>
      <w:r w:rsidR="005B1645">
        <w:rPr>
          <w:rFonts w:ascii="Times New Roman" w:hAnsi="Times New Roman"/>
          <w:sz w:val="24"/>
          <w:szCs w:val="24"/>
        </w:rPr>
        <w:t> </w:t>
      </w:r>
      <w:r w:rsidR="00562777" w:rsidRPr="00DC75DF">
        <w:rPr>
          <w:rFonts w:ascii="Times New Roman" w:hAnsi="Times New Roman"/>
          <w:sz w:val="24"/>
          <w:szCs w:val="24"/>
        </w:rPr>
        <w:t>jednotlivých celních úřadech).</w:t>
      </w:r>
      <w:r w:rsidR="00562777" w:rsidRPr="00A10606">
        <w:rPr>
          <w:rFonts w:ascii="Times New Roman" w:eastAsia="Times New Roman" w:hAnsi="Times New Roman"/>
          <w:bCs/>
          <w:sz w:val="24"/>
          <w:szCs w:val="24"/>
        </w:rPr>
        <w:t xml:space="preserve"> </w:t>
      </w:r>
    </w:p>
    <w:p w14:paraId="7786B991" w14:textId="77777777" w:rsidR="00176BD9" w:rsidRPr="00AF2358" w:rsidRDefault="00176BD9" w:rsidP="00195A4B">
      <w:pPr>
        <w:pStyle w:val="Nadpis4"/>
        <w:spacing w:before="120" w:beforeAutospacing="0" w:after="0" w:afterAutospacing="0"/>
        <w:jc w:val="both"/>
        <w:rPr>
          <w:b w:val="0"/>
        </w:rPr>
      </w:pPr>
      <w:bookmarkStart w:id="0" w:name="_Hlk24992148"/>
      <w:r w:rsidRPr="00AF2358">
        <w:rPr>
          <w:b w:val="0"/>
        </w:rPr>
        <w:t xml:space="preserve">V současném systému vymáhání justičních pohledávek vymáhají soudy, státní zastupitelství a Vězeňská služba jako správci daně podle daňového řádu justiční pohledávky, jejichž správa placení podléhá daňovému řádu. Těmito justičními pohledávkami, při jejichž správě placení se postupuje podle daňového řádu, jsou pořádkové pokuty (uložené podle občanského soudního řádu, soudního řádu správního, trestního řádu, podle zákona o řízení ve věcech </w:t>
      </w:r>
      <w:r w:rsidRPr="00AF2358">
        <w:rPr>
          <w:b w:val="0"/>
        </w:rPr>
        <w:lastRenderedPageBreak/>
        <w:t>soudců, státních zástupců a soudních exekutorů a podle zá</w:t>
      </w:r>
      <w:r w:rsidR="002D2131">
        <w:rPr>
          <w:b w:val="0"/>
        </w:rPr>
        <w:t>kona o státním zastupitelství), </w:t>
      </w:r>
      <w:r w:rsidRPr="00AF2358">
        <w:rPr>
          <w:b w:val="0"/>
        </w:rPr>
        <w:t>některé náklady civilního řízení a soudního řízen</w:t>
      </w:r>
      <w:r w:rsidR="002D2131">
        <w:rPr>
          <w:b w:val="0"/>
        </w:rPr>
        <w:t>í správního, které platil stát, </w:t>
      </w:r>
      <w:r w:rsidRPr="00AF2358">
        <w:rPr>
          <w:b w:val="0"/>
        </w:rPr>
        <w:t xml:space="preserve">soudní poplatky, náklady trestního řízení, </w:t>
      </w:r>
      <w:r w:rsidR="00ED1642">
        <w:rPr>
          <w:b w:val="0"/>
        </w:rPr>
        <w:t xml:space="preserve">včetně nákladů za ustanovené obhájce, </w:t>
      </w:r>
      <w:r w:rsidRPr="00AF2358">
        <w:rPr>
          <w:b w:val="0"/>
        </w:rPr>
        <w:t>náklady mezinárodní justiční spo</w:t>
      </w:r>
      <w:r w:rsidR="00DF1B01">
        <w:rPr>
          <w:b w:val="0"/>
        </w:rPr>
        <w:t>lupráce ve</w:t>
      </w:r>
      <w:r w:rsidR="005B1645">
        <w:rPr>
          <w:b w:val="0"/>
        </w:rPr>
        <w:t> </w:t>
      </w:r>
      <w:r w:rsidR="00DF1B01">
        <w:rPr>
          <w:b w:val="0"/>
        </w:rPr>
        <w:t>věcech trestních a </w:t>
      </w:r>
      <w:r w:rsidRPr="00AF2358">
        <w:rPr>
          <w:b w:val="0"/>
        </w:rPr>
        <w:t>některé další pohledávky podle zákona o mezinárodní justiční spolupráci ve věcech trestních</w:t>
      </w:r>
      <w:r w:rsidR="00086E02">
        <w:rPr>
          <w:b w:val="0"/>
        </w:rPr>
        <w:t xml:space="preserve"> (dále jen „ZMJS“)</w:t>
      </w:r>
      <w:r w:rsidRPr="00AF2358">
        <w:rPr>
          <w:b w:val="0"/>
        </w:rPr>
        <w:t xml:space="preserve">, peněžité </w:t>
      </w:r>
      <w:r w:rsidR="002D2131">
        <w:rPr>
          <w:b w:val="0"/>
        </w:rPr>
        <w:t>tresty, náklady spojené s </w:t>
      </w:r>
      <w:r w:rsidRPr="00AF2358">
        <w:rPr>
          <w:b w:val="0"/>
        </w:rPr>
        <w:t>výkonem vazby a</w:t>
      </w:r>
      <w:r w:rsidR="005B1645">
        <w:rPr>
          <w:b w:val="0"/>
        </w:rPr>
        <w:t> </w:t>
      </w:r>
      <w:r w:rsidRPr="00AF2358">
        <w:rPr>
          <w:b w:val="0"/>
        </w:rPr>
        <w:t>s</w:t>
      </w:r>
      <w:r w:rsidR="005B1645">
        <w:rPr>
          <w:b w:val="0"/>
        </w:rPr>
        <w:t> </w:t>
      </w:r>
      <w:r w:rsidRPr="00AF2358">
        <w:rPr>
          <w:b w:val="0"/>
        </w:rPr>
        <w:t>výkonem trestu odnětí svobody a náklady daňové exekuce.</w:t>
      </w:r>
    </w:p>
    <w:p w14:paraId="0689F1C1" w14:textId="77777777" w:rsidR="00176BD9" w:rsidRPr="00AF2358" w:rsidRDefault="00176BD9" w:rsidP="00195A4B">
      <w:pPr>
        <w:pStyle w:val="Nadpis4"/>
        <w:spacing w:before="120" w:beforeAutospacing="0" w:after="0" w:afterAutospacing="0"/>
        <w:jc w:val="both"/>
        <w:rPr>
          <w:b w:val="0"/>
        </w:rPr>
      </w:pPr>
      <w:r w:rsidRPr="00AF2358">
        <w:rPr>
          <w:b w:val="0"/>
        </w:rPr>
        <w:t>V praxi se uvedené pohledávky vymáhají v režimu daňového řádu přímo soudy, státními zastupitelstvími a Vězeňskou službou nebo prostřednictvím soudního exekutora. Daňové justiční pohledávky tak vymáhají jednotlivé soudy, resp. státní zastupitelství a Vězeňská služba svými zaměstnanci, v některých případech pak využí</w:t>
      </w:r>
      <w:r w:rsidR="002D2131">
        <w:rPr>
          <w:b w:val="0"/>
        </w:rPr>
        <w:t>vají služeb soudního exekutora, </w:t>
      </w:r>
      <w:r w:rsidRPr="00AF2358">
        <w:rPr>
          <w:b w:val="0"/>
        </w:rPr>
        <w:t xml:space="preserve">který byl vybrán ve výběrovém řízení. Vymáhání zmíněných pohledávek je proto značně roztříštěno mezi jednotlivé složky resortu justice a současně zde panuje nejednotnost </w:t>
      </w:r>
      <w:r w:rsidR="00DF1B01">
        <w:rPr>
          <w:b w:val="0"/>
        </w:rPr>
        <w:t>v </w:t>
      </w:r>
      <w:r w:rsidRPr="00AF2358">
        <w:rPr>
          <w:b w:val="0"/>
        </w:rPr>
        <w:t>přístupu (vymáhání vlastními zaměstnanci nebo prostřednictvím soudního exekutora).</w:t>
      </w:r>
    </w:p>
    <w:p w14:paraId="750C392D" w14:textId="77777777" w:rsidR="00176BD9" w:rsidRPr="00AF2358" w:rsidRDefault="00176BD9" w:rsidP="00195A4B">
      <w:pPr>
        <w:pStyle w:val="Nadpis4"/>
        <w:spacing w:before="120" w:beforeAutospacing="0" w:after="0" w:afterAutospacing="0"/>
        <w:jc w:val="both"/>
        <w:rPr>
          <w:b w:val="0"/>
        </w:rPr>
      </w:pPr>
      <w:r w:rsidRPr="00AF2358">
        <w:rPr>
          <w:b w:val="0"/>
        </w:rPr>
        <w:t>Konkrétně má smlouvu se soudním exekutorem uzavřen</w:t>
      </w:r>
      <w:r w:rsidR="00AB16C9">
        <w:rPr>
          <w:b w:val="0"/>
        </w:rPr>
        <w:t>o</w:t>
      </w:r>
      <w:r w:rsidRPr="00AF2358">
        <w:rPr>
          <w:b w:val="0"/>
        </w:rPr>
        <w:t>u 83 soudů a dalších organizačních složek státu. Naproti tomu 42 soudů a dalších organizačních složek státu si justiční pohledávky i nadále vymáhá samo prostřednictvím vlastních zaměstnanců. V rámci celé České republiky tak panuje zřejmá nejednotnost v otázce vymáhání. Shodný přístup nelze dokonce vysledovat ani v jednotlivých krajích (zejména v hlavním městě Praze, Plzeňském kraji a Zlínském kraji, rovněž v Ústeckém a Středočeském kraji) nebo u krajských soudů (7</w:t>
      </w:r>
      <w:r w:rsidR="00DF1B01">
        <w:rPr>
          <w:b w:val="0"/>
        </w:rPr>
        <w:t> </w:t>
      </w:r>
      <w:r w:rsidRPr="00AF2358">
        <w:rPr>
          <w:b w:val="0"/>
        </w:rPr>
        <w:t>krajských soudů využívá služeb soudního exekutora, jeden nikoliv). Dalším problémem je rovněž nedostatečná kvalifikace vymáhajících zaměstnanců, kteří jsou zařazeni do 8. platové třídy, ačkoli podle daňového řádu činí často poměrně složité úkony (celkem se agendě vymáhání daňových pohledávek v resortu Ministerstva spravedlnosti věnuje 221 osob).</w:t>
      </w:r>
    </w:p>
    <w:p w14:paraId="70FA58CC" w14:textId="77777777" w:rsidR="00176BD9" w:rsidRPr="00AF2358" w:rsidRDefault="00176BD9" w:rsidP="00195A4B">
      <w:pPr>
        <w:pStyle w:val="Nadpis4"/>
        <w:spacing w:before="120" w:beforeAutospacing="0" w:after="0" w:afterAutospacing="0"/>
        <w:jc w:val="both"/>
        <w:rPr>
          <w:b w:val="0"/>
        </w:rPr>
      </w:pPr>
      <w:r w:rsidRPr="00AF2358">
        <w:rPr>
          <w:b w:val="0"/>
        </w:rPr>
        <w:t>Skutečnost, že pohledávky nejsou vymáhány centrálně jedním orgánem, vede k horší předvídatelnosti procesního postupu orgánů vymáhající</w:t>
      </w:r>
      <w:r w:rsidR="00AB16C9">
        <w:rPr>
          <w:b w:val="0"/>
        </w:rPr>
        <w:t>ch</w:t>
      </w:r>
      <w:r w:rsidRPr="00AF2358">
        <w:rPr>
          <w:b w:val="0"/>
        </w:rPr>
        <w:t xml:space="preserve"> justiční pohledávky, k jeho nejednotnosti a též ke značné neefektivitě při vymáhán</w:t>
      </w:r>
      <w:r w:rsidR="00DF1B01">
        <w:rPr>
          <w:b w:val="0"/>
        </w:rPr>
        <w:t>í, k níž by jinak docházelo při </w:t>
      </w:r>
      <w:r w:rsidRPr="00AF2358">
        <w:rPr>
          <w:b w:val="0"/>
        </w:rPr>
        <w:t>kumulaci všech pohledávek u jednoho vymáha</w:t>
      </w:r>
      <w:r w:rsidR="00AB16C9">
        <w:rPr>
          <w:b w:val="0"/>
        </w:rPr>
        <w:t>jí</w:t>
      </w:r>
      <w:r w:rsidRPr="00AF2358">
        <w:rPr>
          <w:b w:val="0"/>
        </w:rPr>
        <w:t>cího orgánu. Tato skutečnost má bezesporu negativní vliv jak na objem neuhrazených pohledá</w:t>
      </w:r>
      <w:r w:rsidR="00885234" w:rsidRPr="00AF2358">
        <w:rPr>
          <w:b w:val="0"/>
        </w:rPr>
        <w:t>vek, tak i na samotné dlužníky. S</w:t>
      </w:r>
      <w:r w:rsidRPr="00AF2358">
        <w:rPr>
          <w:b w:val="0"/>
        </w:rPr>
        <w:t>pecifikem resortu justice je, že dlužníci mají řadu pohledávek za jednotlivými složkami justice – např. pohledávky z</w:t>
      </w:r>
      <w:r w:rsidR="00885234" w:rsidRPr="00AF2358">
        <w:rPr>
          <w:b w:val="0"/>
        </w:rPr>
        <w:t xml:space="preserve"> trestního řízení spočívající </w:t>
      </w:r>
      <w:r w:rsidR="00AB16C9">
        <w:rPr>
          <w:b w:val="0"/>
        </w:rPr>
        <w:t>v</w:t>
      </w:r>
      <w:r w:rsidR="00885234" w:rsidRPr="00AF2358">
        <w:rPr>
          <w:b w:val="0"/>
        </w:rPr>
        <w:t xml:space="preserve"> náhradě odměny ustanoveného obhájce vůči soudu, pohledávky na náklady spojené s výkonem trestu pak vůči jednotlivým věznicím, ve kterých trest odsouzený vykonával apod. – všechny tyto složky vymáhají pohledávky za tímto dlužníkem samostatně, bez vzájemné součinnosti, což je bezesporu neefektivní (nedochází ke sdílení informací) a pro dlužníka i </w:t>
      </w:r>
      <w:r w:rsidR="0063432D" w:rsidRPr="00AF2358">
        <w:rPr>
          <w:b w:val="0"/>
        </w:rPr>
        <w:t>zatěžující.</w:t>
      </w:r>
      <w:r w:rsidR="00846CB3" w:rsidRPr="00AF2358">
        <w:rPr>
          <w:b w:val="0"/>
        </w:rPr>
        <w:t xml:space="preserve"> V případě, kdy je pohledávka vymáhána cestou soudního exekutora, se pak k tomu přidává i otázka jeho odměny. </w:t>
      </w:r>
      <w:r w:rsidR="00B96214" w:rsidRPr="00E54F6D">
        <w:rPr>
          <w:b w:val="0"/>
        </w:rPr>
        <w:t>Na základě platných právních předpisů je totiž pro dlužníka větší zátěží z hlediska placení nákladů exekuce, pokud je jeho pohledávka vymá</w:t>
      </w:r>
      <w:r w:rsidR="002D2131">
        <w:rPr>
          <w:b w:val="0"/>
        </w:rPr>
        <w:t>hána cestou soudního exekutora, </w:t>
      </w:r>
      <w:r w:rsidR="00B96214" w:rsidRPr="00E54F6D">
        <w:rPr>
          <w:b w:val="0"/>
        </w:rPr>
        <w:t xml:space="preserve">nežli je tomu v případě exekuce </w:t>
      </w:r>
      <w:r w:rsidR="00B96214" w:rsidRPr="00B11E15">
        <w:rPr>
          <w:b w:val="0"/>
        </w:rPr>
        <w:t>prováděné zaměstnanci soudu</w:t>
      </w:r>
      <w:r w:rsidR="00B96214" w:rsidRPr="00E54F6D">
        <w:rPr>
          <w:b w:val="0"/>
        </w:rPr>
        <w:t>.</w:t>
      </w:r>
    </w:p>
    <w:p w14:paraId="4F2D8837" w14:textId="77777777" w:rsidR="00176BD9" w:rsidRPr="00AF2358" w:rsidRDefault="00176BD9" w:rsidP="00195A4B">
      <w:pPr>
        <w:pStyle w:val="Nadpis4"/>
        <w:spacing w:before="120" w:beforeAutospacing="0" w:after="0" w:afterAutospacing="0"/>
        <w:jc w:val="both"/>
        <w:rPr>
          <w:b w:val="0"/>
        </w:rPr>
      </w:pPr>
      <w:r w:rsidRPr="00AF2358">
        <w:rPr>
          <w:b w:val="0"/>
        </w:rPr>
        <w:t>Nedostatkem či spíše důsledkem stávajícího systému je negativní trend týkající se neuhrazených justičních pohledávek, když procento neuhrazených justičních pohledávek vykazuje setrvalý nárůst.</w:t>
      </w:r>
      <w:r w:rsidR="009C2B36">
        <w:rPr>
          <w:b w:val="0"/>
        </w:rPr>
        <w:t xml:space="preserve"> </w:t>
      </w:r>
    </w:p>
    <w:bookmarkEnd w:id="0"/>
    <w:p w14:paraId="20CF746F" w14:textId="77777777" w:rsidR="00AF2358" w:rsidRPr="00AF2358" w:rsidRDefault="00AF2358" w:rsidP="00195A4B">
      <w:pPr>
        <w:spacing w:before="120" w:after="0" w:line="240" w:lineRule="auto"/>
        <w:jc w:val="both"/>
        <w:rPr>
          <w:rFonts w:ascii="Times New Roman" w:eastAsia="Times New Roman" w:hAnsi="Times New Roman" w:cs="Times New Roman"/>
          <w:bCs/>
          <w:sz w:val="24"/>
          <w:szCs w:val="24"/>
          <w:lang w:eastAsia="cs-CZ"/>
        </w:rPr>
      </w:pPr>
      <w:r w:rsidRPr="00AF2358">
        <w:rPr>
          <w:rFonts w:ascii="Times New Roman" w:eastAsia="Times New Roman" w:hAnsi="Times New Roman" w:cs="Times New Roman"/>
          <w:bCs/>
          <w:sz w:val="24"/>
          <w:szCs w:val="24"/>
          <w:lang w:eastAsia="cs-CZ"/>
        </w:rPr>
        <w:t>K 31. 12. 201</w:t>
      </w:r>
      <w:r w:rsidR="000C3F37">
        <w:rPr>
          <w:rFonts w:ascii="Times New Roman" w:eastAsia="Times New Roman" w:hAnsi="Times New Roman" w:cs="Times New Roman"/>
          <w:bCs/>
          <w:sz w:val="24"/>
          <w:szCs w:val="24"/>
          <w:lang w:eastAsia="cs-CZ"/>
        </w:rPr>
        <w:t>8</w:t>
      </w:r>
      <w:r w:rsidRPr="00AF2358">
        <w:rPr>
          <w:rFonts w:ascii="Times New Roman" w:eastAsia="Times New Roman" w:hAnsi="Times New Roman" w:cs="Times New Roman"/>
          <w:bCs/>
          <w:sz w:val="24"/>
          <w:szCs w:val="24"/>
          <w:lang w:eastAsia="cs-CZ"/>
        </w:rPr>
        <w:t xml:space="preserve"> představovaly neuhrazené aktivní pohledávky, evidované všemi </w:t>
      </w:r>
      <w:r w:rsidRPr="006943E4">
        <w:rPr>
          <w:rFonts w:ascii="Times New Roman" w:eastAsia="Times New Roman" w:hAnsi="Times New Roman" w:cs="Times New Roman"/>
          <w:bCs/>
          <w:sz w:val="24"/>
          <w:szCs w:val="24"/>
          <w:lang w:eastAsia="cs-CZ"/>
        </w:rPr>
        <w:t>soudy</w:t>
      </w:r>
      <w:r w:rsidRPr="00AF2358">
        <w:rPr>
          <w:rFonts w:ascii="Times New Roman" w:eastAsia="Times New Roman" w:hAnsi="Times New Roman" w:cs="Times New Roman"/>
          <w:bCs/>
          <w:sz w:val="24"/>
          <w:szCs w:val="24"/>
          <w:lang w:eastAsia="cs-CZ"/>
        </w:rPr>
        <w:t xml:space="preserve"> Č</w:t>
      </w:r>
      <w:r w:rsidR="00DF1B01">
        <w:rPr>
          <w:rFonts w:ascii="Times New Roman" w:eastAsia="Times New Roman" w:hAnsi="Times New Roman" w:cs="Times New Roman"/>
          <w:bCs/>
          <w:sz w:val="24"/>
          <w:szCs w:val="24"/>
          <w:lang w:eastAsia="cs-CZ"/>
        </w:rPr>
        <w:t>eské republiky</w:t>
      </w:r>
      <w:r w:rsidRPr="00AF2358">
        <w:rPr>
          <w:rFonts w:ascii="Times New Roman" w:eastAsia="Times New Roman" w:hAnsi="Times New Roman" w:cs="Times New Roman"/>
          <w:bCs/>
          <w:sz w:val="24"/>
          <w:szCs w:val="24"/>
          <w:lang w:eastAsia="cs-CZ"/>
        </w:rPr>
        <w:t>, částku </w:t>
      </w:r>
      <w:r w:rsidRPr="00AF2358">
        <w:rPr>
          <w:rFonts w:ascii="Times New Roman" w:eastAsia="Times New Roman" w:hAnsi="Times New Roman" w:cs="Times New Roman"/>
          <w:b/>
          <w:bCs/>
          <w:sz w:val="24"/>
          <w:szCs w:val="24"/>
          <w:lang w:eastAsia="cs-CZ"/>
        </w:rPr>
        <w:t>5 </w:t>
      </w:r>
      <w:r w:rsidR="000C3F37">
        <w:rPr>
          <w:rFonts w:ascii="Times New Roman" w:eastAsia="Times New Roman" w:hAnsi="Times New Roman" w:cs="Times New Roman"/>
          <w:b/>
          <w:bCs/>
          <w:sz w:val="24"/>
          <w:szCs w:val="24"/>
          <w:lang w:eastAsia="cs-CZ"/>
        </w:rPr>
        <w:t>906,4</w:t>
      </w:r>
      <w:r w:rsidRPr="00AF2358">
        <w:rPr>
          <w:rFonts w:ascii="Times New Roman" w:eastAsia="Times New Roman" w:hAnsi="Times New Roman" w:cs="Times New Roman"/>
          <w:b/>
          <w:bCs/>
          <w:sz w:val="24"/>
          <w:szCs w:val="24"/>
          <w:lang w:eastAsia="cs-CZ"/>
        </w:rPr>
        <w:t> mil. Kč</w:t>
      </w:r>
      <w:r w:rsidRPr="00AF2358">
        <w:rPr>
          <w:rFonts w:ascii="Times New Roman" w:eastAsia="Times New Roman" w:hAnsi="Times New Roman" w:cs="Times New Roman"/>
          <w:bCs/>
          <w:sz w:val="24"/>
          <w:szCs w:val="24"/>
          <w:lang w:eastAsia="cs-CZ"/>
        </w:rPr>
        <w:t>. Vedle toho jsou na podrozvahových účtech evidovány ještě nedoplatky tzv. pasivních pohledávek, u kterých bylo upuštěno od vymáhání (nedaňové pohledávky) nebo byly odepsány pro nedobytnost (daňové p</w:t>
      </w:r>
      <w:r w:rsidR="00DF1B01">
        <w:rPr>
          <w:rFonts w:ascii="Times New Roman" w:eastAsia="Times New Roman" w:hAnsi="Times New Roman" w:cs="Times New Roman"/>
          <w:bCs/>
          <w:sz w:val="24"/>
          <w:szCs w:val="24"/>
          <w:lang w:eastAsia="cs-CZ"/>
        </w:rPr>
        <w:t xml:space="preserve">ohledávky), a to v částce </w:t>
      </w:r>
      <w:r w:rsidR="000C3F37">
        <w:rPr>
          <w:rFonts w:ascii="Times New Roman" w:eastAsia="Times New Roman" w:hAnsi="Times New Roman" w:cs="Times New Roman"/>
          <w:bCs/>
          <w:sz w:val="24"/>
          <w:szCs w:val="24"/>
          <w:lang w:eastAsia="cs-CZ"/>
        </w:rPr>
        <w:t>931</w:t>
      </w:r>
      <w:r w:rsidR="00DF1B01">
        <w:rPr>
          <w:rFonts w:ascii="Times New Roman" w:eastAsia="Times New Roman" w:hAnsi="Times New Roman" w:cs="Times New Roman"/>
          <w:bCs/>
          <w:sz w:val="24"/>
          <w:szCs w:val="24"/>
          <w:lang w:eastAsia="cs-CZ"/>
        </w:rPr>
        <w:t>,</w:t>
      </w:r>
      <w:r w:rsidR="000C3F37">
        <w:rPr>
          <w:rFonts w:ascii="Times New Roman" w:eastAsia="Times New Roman" w:hAnsi="Times New Roman" w:cs="Times New Roman"/>
          <w:bCs/>
          <w:sz w:val="24"/>
          <w:szCs w:val="24"/>
          <w:lang w:eastAsia="cs-CZ"/>
        </w:rPr>
        <w:t>0</w:t>
      </w:r>
      <w:r w:rsidR="00DF1B01">
        <w:rPr>
          <w:rFonts w:ascii="Times New Roman" w:eastAsia="Times New Roman" w:hAnsi="Times New Roman" w:cs="Times New Roman"/>
          <w:bCs/>
          <w:sz w:val="24"/>
          <w:szCs w:val="24"/>
          <w:lang w:eastAsia="cs-CZ"/>
        </w:rPr>
        <w:t> </w:t>
      </w:r>
      <w:r w:rsidRPr="00AF2358">
        <w:rPr>
          <w:rFonts w:ascii="Times New Roman" w:eastAsia="Times New Roman" w:hAnsi="Times New Roman" w:cs="Times New Roman"/>
          <w:bCs/>
          <w:sz w:val="24"/>
          <w:szCs w:val="24"/>
          <w:lang w:eastAsia="cs-CZ"/>
        </w:rPr>
        <w:t>mil. Kč.</w:t>
      </w:r>
    </w:p>
    <w:p w14:paraId="19A6A540" w14:textId="77777777" w:rsidR="00984FC8" w:rsidRDefault="00984FC8" w:rsidP="00195A4B">
      <w:pPr>
        <w:spacing w:before="120" w:after="120" w:line="240" w:lineRule="auto"/>
        <w:jc w:val="both"/>
        <w:rPr>
          <w:rFonts w:ascii="Times New Roman" w:eastAsia="Times New Roman" w:hAnsi="Times New Roman" w:cs="Times New Roman"/>
          <w:bCs/>
          <w:sz w:val="24"/>
          <w:szCs w:val="24"/>
          <w:lang w:eastAsia="cs-CZ"/>
        </w:rPr>
      </w:pPr>
    </w:p>
    <w:p w14:paraId="51B2809E" w14:textId="3EE606FB" w:rsidR="00AF2358" w:rsidRDefault="00AF2358" w:rsidP="00195A4B">
      <w:pPr>
        <w:spacing w:before="120" w:after="120" w:line="240" w:lineRule="auto"/>
        <w:jc w:val="both"/>
        <w:rPr>
          <w:rFonts w:ascii="Times New Roman" w:eastAsia="Times New Roman" w:hAnsi="Times New Roman" w:cs="Times New Roman"/>
          <w:bCs/>
          <w:sz w:val="24"/>
          <w:szCs w:val="24"/>
          <w:lang w:eastAsia="cs-CZ"/>
        </w:rPr>
      </w:pPr>
      <w:r w:rsidRPr="00AF2358">
        <w:rPr>
          <w:rFonts w:ascii="Times New Roman" w:eastAsia="Times New Roman" w:hAnsi="Times New Roman" w:cs="Times New Roman"/>
          <w:bCs/>
          <w:sz w:val="24"/>
          <w:szCs w:val="24"/>
          <w:lang w:eastAsia="cs-CZ"/>
        </w:rPr>
        <w:lastRenderedPageBreak/>
        <w:t>Struktura neuhrazených pohledávek je následující:</w:t>
      </w:r>
    </w:p>
    <w:tbl>
      <w:tblPr>
        <w:tblStyle w:val="Mkatabulky"/>
        <w:tblW w:w="0" w:type="auto"/>
        <w:tblLook w:val="04A0" w:firstRow="1" w:lastRow="0" w:firstColumn="1" w:lastColumn="0" w:noHBand="0" w:noVBand="1"/>
      </w:tblPr>
      <w:tblGrid>
        <w:gridCol w:w="2265"/>
        <w:gridCol w:w="2265"/>
        <w:gridCol w:w="2266"/>
        <w:gridCol w:w="2384"/>
      </w:tblGrid>
      <w:tr w:rsidR="000C3F37" w:rsidRPr="000C3F37" w14:paraId="0D18CB53" w14:textId="77777777" w:rsidTr="000C3F37">
        <w:tc>
          <w:tcPr>
            <w:tcW w:w="2265" w:type="dxa"/>
            <w:vMerge w:val="restart"/>
            <w:tcBorders>
              <w:top w:val="thickThinMediumGap" w:sz="12" w:space="0" w:color="333333"/>
              <w:left w:val="thickThinMediumGap" w:sz="12" w:space="0" w:color="333333"/>
            </w:tcBorders>
            <w:shd w:val="clear" w:color="auto" w:fill="D9E2F3" w:themeFill="accent5" w:themeFillTint="33"/>
          </w:tcPr>
          <w:p w14:paraId="47FD1360"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  Neuhrazené pohledávky </w:t>
            </w:r>
          </w:p>
          <w:p w14:paraId="52DD2BE1"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(aktivní)</w:t>
            </w:r>
          </w:p>
        </w:tc>
        <w:tc>
          <w:tcPr>
            <w:tcW w:w="2265" w:type="dxa"/>
            <w:tcBorders>
              <w:top w:val="thickThinMediumGap" w:sz="12" w:space="0" w:color="333333"/>
            </w:tcBorders>
          </w:tcPr>
          <w:p w14:paraId="09E9470F"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daňové pohledávky </w:t>
            </w:r>
          </w:p>
        </w:tc>
        <w:tc>
          <w:tcPr>
            <w:tcW w:w="2266" w:type="dxa"/>
            <w:tcBorders>
              <w:top w:val="thickThinMediumGap" w:sz="12" w:space="0" w:color="333333"/>
            </w:tcBorders>
          </w:tcPr>
          <w:p w14:paraId="5557C8A4"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5 876,8 mil. Kč </w:t>
            </w:r>
          </w:p>
        </w:tc>
        <w:tc>
          <w:tcPr>
            <w:tcW w:w="2384" w:type="dxa"/>
            <w:tcBorders>
              <w:top w:val="thickThinMediumGap" w:sz="12" w:space="0" w:color="333333"/>
              <w:right w:val="thickThinMediumGap" w:sz="12" w:space="0" w:color="333333"/>
            </w:tcBorders>
          </w:tcPr>
          <w:p w14:paraId="23B90C47"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99,5 %</w:t>
            </w:r>
          </w:p>
        </w:tc>
      </w:tr>
      <w:tr w:rsidR="000C3F37" w:rsidRPr="000C3F37" w14:paraId="47007CDA" w14:textId="77777777" w:rsidTr="000C3F37">
        <w:tc>
          <w:tcPr>
            <w:tcW w:w="2265" w:type="dxa"/>
            <w:vMerge/>
            <w:tcBorders>
              <w:left w:val="thickThinMediumGap" w:sz="12" w:space="0" w:color="333333"/>
            </w:tcBorders>
            <w:shd w:val="clear" w:color="auto" w:fill="D9E2F3" w:themeFill="accent5" w:themeFillTint="33"/>
          </w:tcPr>
          <w:p w14:paraId="0B3CE63A"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p>
        </w:tc>
        <w:tc>
          <w:tcPr>
            <w:tcW w:w="2265" w:type="dxa"/>
          </w:tcPr>
          <w:p w14:paraId="3A5905F4"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nedaňové pohledávky  </w:t>
            </w:r>
          </w:p>
        </w:tc>
        <w:tc>
          <w:tcPr>
            <w:tcW w:w="2266" w:type="dxa"/>
          </w:tcPr>
          <w:p w14:paraId="0446350A"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29,6 mil. Kč </w:t>
            </w:r>
          </w:p>
        </w:tc>
        <w:tc>
          <w:tcPr>
            <w:tcW w:w="2384" w:type="dxa"/>
            <w:tcBorders>
              <w:right w:val="thickThinMediumGap" w:sz="12" w:space="0" w:color="333333"/>
            </w:tcBorders>
          </w:tcPr>
          <w:p w14:paraId="146D7A7B"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 0,5 %</w:t>
            </w:r>
          </w:p>
        </w:tc>
      </w:tr>
      <w:tr w:rsidR="000C3F37" w:rsidRPr="000C3F37" w14:paraId="07905601" w14:textId="77777777" w:rsidTr="000C3F37">
        <w:tc>
          <w:tcPr>
            <w:tcW w:w="2265" w:type="dxa"/>
            <w:vMerge/>
            <w:tcBorders>
              <w:left w:val="thickThinMediumGap" w:sz="12" w:space="0" w:color="333333"/>
              <w:bottom w:val="single" w:sz="12" w:space="0" w:color="auto"/>
            </w:tcBorders>
            <w:shd w:val="clear" w:color="auto" w:fill="D9E2F3" w:themeFill="accent5" w:themeFillTint="33"/>
          </w:tcPr>
          <w:p w14:paraId="78C28B90"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p>
        </w:tc>
        <w:tc>
          <w:tcPr>
            <w:tcW w:w="2265" w:type="dxa"/>
            <w:tcBorders>
              <w:bottom w:val="single" w:sz="12" w:space="0" w:color="auto"/>
            </w:tcBorders>
          </w:tcPr>
          <w:p w14:paraId="5A710162"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celkem </w:t>
            </w:r>
          </w:p>
        </w:tc>
        <w:tc>
          <w:tcPr>
            <w:tcW w:w="2266" w:type="dxa"/>
            <w:tcBorders>
              <w:bottom w:val="single" w:sz="12" w:space="0" w:color="auto"/>
            </w:tcBorders>
          </w:tcPr>
          <w:p w14:paraId="3C4EDFFF"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5 906,4 mil. Kč </w:t>
            </w:r>
          </w:p>
        </w:tc>
        <w:tc>
          <w:tcPr>
            <w:tcW w:w="2384" w:type="dxa"/>
            <w:tcBorders>
              <w:bottom w:val="single" w:sz="12" w:space="0" w:color="auto"/>
              <w:right w:val="thickThinMediumGap" w:sz="12" w:space="0" w:color="333333"/>
            </w:tcBorders>
          </w:tcPr>
          <w:p w14:paraId="38F419D8"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100 %</w:t>
            </w:r>
          </w:p>
        </w:tc>
      </w:tr>
      <w:tr w:rsidR="000C3F37" w:rsidRPr="000C3F37" w14:paraId="0D37FF58" w14:textId="77777777" w:rsidTr="000C3F37">
        <w:tc>
          <w:tcPr>
            <w:tcW w:w="2265" w:type="dxa"/>
            <w:vMerge w:val="restart"/>
            <w:tcBorders>
              <w:top w:val="single" w:sz="12" w:space="0" w:color="auto"/>
              <w:left w:val="thickThinMediumGap" w:sz="12" w:space="0" w:color="333333"/>
              <w:bottom w:val="single" w:sz="18" w:space="0" w:color="auto"/>
            </w:tcBorders>
            <w:shd w:val="clear" w:color="auto" w:fill="D9E2F3" w:themeFill="accent5" w:themeFillTint="33"/>
          </w:tcPr>
          <w:p w14:paraId="4740125E"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Neuhrazené pohledávky</w:t>
            </w:r>
          </w:p>
          <w:p w14:paraId="000D8E39"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(pasivní)</w:t>
            </w:r>
          </w:p>
        </w:tc>
        <w:tc>
          <w:tcPr>
            <w:tcW w:w="2265" w:type="dxa"/>
            <w:tcBorders>
              <w:top w:val="single" w:sz="12" w:space="0" w:color="auto"/>
            </w:tcBorders>
          </w:tcPr>
          <w:p w14:paraId="2315CDAB"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daňové pohledávky </w:t>
            </w:r>
          </w:p>
        </w:tc>
        <w:tc>
          <w:tcPr>
            <w:tcW w:w="2266" w:type="dxa"/>
            <w:tcBorders>
              <w:top w:val="single" w:sz="12" w:space="0" w:color="auto"/>
            </w:tcBorders>
          </w:tcPr>
          <w:p w14:paraId="167FCC00"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928,9 mil. Kč </w:t>
            </w:r>
          </w:p>
        </w:tc>
        <w:tc>
          <w:tcPr>
            <w:tcW w:w="2384" w:type="dxa"/>
            <w:tcBorders>
              <w:top w:val="single" w:sz="12" w:space="0" w:color="auto"/>
              <w:right w:val="thickThinMediumGap" w:sz="12" w:space="0" w:color="333333"/>
            </w:tcBorders>
          </w:tcPr>
          <w:p w14:paraId="3FC1E9ED"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99,7 %</w:t>
            </w:r>
          </w:p>
        </w:tc>
      </w:tr>
      <w:tr w:rsidR="000C3F37" w:rsidRPr="000C3F37" w14:paraId="185261B0" w14:textId="77777777" w:rsidTr="000C3F37">
        <w:tc>
          <w:tcPr>
            <w:tcW w:w="2265" w:type="dxa"/>
            <w:vMerge/>
            <w:tcBorders>
              <w:left w:val="thickThinMediumGap" w:sz="12" w:space="0" w:color="333333"/>
              <w:bottom w:val="single" w:sz="18" w:space="0" w:color="auto"/>
            </w:tcBorders>
            <w:shd w:val="clear" w:color="auto" w:fill="D9E2F3" w:themeFill="accent5" w:themeFillTint="33"/>
          </w:tcPr>
          <w:p w14:paraId="384B8911"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p>
        </w:tc>
        <w:tc>
          <w:tcPr>
            <w:tcW w:w="2265" w:type="dxa"/>
            <w:tcBorders>
              <w:bottom w:val="single" w:sz="4" w:space="0" w:color="auto"/>
            </w:tcBorders>
          </w:tcPr>
          <w:p w14:paraId="44D6308F"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nedaňové pohledávky  </w:t>
            </w:r>
          </w:p>
        </w:tc>
        <w:tc>
          <w:tcPr>
            <w:tcW w:w="2266" w:type="dxa"/>
            <w:tcBorders>
              <w:bottom w:val="single" w:sz="4" w:space="0" w:color="auto"/>
            </w:tcBorders>
          </w:tcPr>
          <w:p w14:paraId="6811C08D"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2,1 mil. Kč </w:t>
            </w:r>
          </w:p>
        </w:tc>
        <w:tc>
          <w:tcPr>
            <w:tcW w:w="2384" w:type="dxa"/>
            <w:tcBorders>
              <w:bottom w:val="single" w:sz="4" w:space="0" w:color="auto"/>
              <w:right w:val="thickThinMediumGap" w:sz="12" w:space="0" w:color="333333"/>
            </w:tcBorders>
          </w:tcPr>
          <w:p w14:paraId="0C14E2ED"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0,3%</w:t>
            </w:r>
          </w:p>
        </w:tc>
      </w:tr>
      <w:tr w:rsidR="000C3F37" w:rsidRPr="000C3F37" w14:paraId="68459EFA" w14:textId="77777777" w:rsidTr="000C3F37">
        <w:tc>
          <w:tcPr>
            <w:tcW w:w="2265" w:type="dxa"/>
            <w:vMerge/>
            <w:tcBorders>
              <w:left w:val="thickThinMediumGap" w:sz="12" w:space="0" w:color="333333"/>
              <w:bottom w:val="thickThinMediumGap" w:sz="12" w:space="0" w:color="333333"/>
            </w:tcBorders>
            <w:shd w:val="clear" w:color="auto" w:fill="D9E2F3" w:themeFill="accent5" w:themeFillTint="33"/>
          </w:tcPr>
          <w:p w14:paraId="2B7A4A45"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p>
        </w:tc>
        <w:tc>
          <w:tcPr>
            <w:tcW w:w="2265" w:type="dxa"/>
            <w:tcBorders>
              <w:bottom w:val="thickThinMediumGap" w:sz="12" w:space="0" w:color="333333"/>
            </w:tcBorders>
          </w:tcPr>
          <w:p w14:paraId="0D800ECA"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celkem </w:t>
            </w:r>
          </w:p>
        </w:tc>
        <w:tc>
          <w:tcPr>
            <w:tcW w:w="2266" w:type="dxa"/>
            <w:tcBorders>
              <w:bottom w:val="thickThinMediumGap" w:sz="12" w:space="0" w:color="333333"/>
            </w:tcBorders>
          </w:tcPr>
          <w:p w14:paraId="04C40712"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 xml:space="preserve">931,0 mil. Kč </w:t>
            </w:r>
          </w:p>
        </w:tc>
        <w:tc>
          <w:tcPr>
            <w:tcW w:w="2384" w:type="dxa"/>
            <w:tcBorders>
              <w:bottom w:val="thickThinMediumGap" w:sz="12" w:space="0" w:color="333333"/>
              <w:right w:val="thickThinMediumGap" w:sz="12" w:space="0" w:color="333333"/>
            </w:tcBorders>
          </w:tcPr>
          <w:p w14:paraId="6F4FED0B" w14:textId="77777777" w:rsidR="000C3F37" w:rsidRPr="0037070F" w:rsidRDefault="000C3F37" w:rsidP="000C3F37">
            <w:pPr>
              <w:spacing w:before="120" w:after="120"/>
              <w:jc w:val="both"/>
              <w:rPr>
                <w:rFonts w:ascii="Times New Roman" w:eastAsia="Times New Roman" w:hAnsi="Times New Roman" w:cs="Times New Roman"/>
                <w:bCs/>
                <w:sz w:val="20"/>
                <w:szCs w:val="20"/>
                <w:lang w:eastAsia="cs-CZ"/>
              </w:rPr>
            </w:pPr>
            <w:r w:rsidRPr="0037070F">
              <w:rPr>
                <w:rFonts w:ascii="Times New Roman" w:eastAsia="Times New Roman" w:hAnsi="Times New Roman" w:cs="Times New Roman"/>
                <w:bCs/>
                <w:sz w:val="20"/>
                <w:szCs w:val="20"/>
                <w:lang w:eastAsia="cs-CZ"/>
              </w:rPr>
              <w:t>100%</w:t>
            </w:r>
          </w:p>
        </w:tc>
      </w:tr>
    </w:tbl>
    <w:p w14:paraId="51F0D0E2" w14:textId="3C2C5C76" w:rsidR="006F6860" w:rsidRDefault="00CE0CD5" w:rsidP="00195A4B">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 níže uvedeného přehledu je zřejmé, že nejpalčivější je situace v oblasti vymáhání pohledávek spojených s výkonem trestního soudnictví</w:t>
      </w:r>
      <w:r w:rsidR="0037070F">
        <w:rPr>
          <w:rFonts w:ascii="Times New Roman" w:eastAsia="Times New Roman" w:hAnsi="Times New Roman" w:cs="Times New Roman"/>
          <w:bCs/>
          <w:sz w:val="24"/>
          <w:szCs w:val="24"/>
          <w:lang w:eastAsia="cs-CZ"/>
        </w:rPr>
        <w:t>. N</w:t>
      </w:r>
      <w:r>
        <w:rPr>
          <w:rFonts w:ascii="Times New Roman" w:eastAsia="Times New Roman" w:hAnsi="Times New Roman" w:cs="Times New Roman"/>
          <w:bCs/>
          <w:sz w:val="24"/>
          <w:szCs w:val="24"/>
          <w:lang w:eastAsia="cs-CZ"/>
        </w:rPr>
        <w:t>áklady trestního řízení, náklady za ustanovené advokáty</w:t>
      </w:r>
      <w:r w:rsidR="0037070F">
        <w:rPr>
          <w:rFonts w:ascii="Times New Roman" w:eastAsia="Times New Roman" w:hAnsi="Times New Roman" w:cs="Times New Roman"/>
          <w:bCs/>
          <w:sz w:val="24"/>
          <w:szCs w:val="24"/>
          <w:lang w:eastAsia="cs-CZ"/>
        </w:rPr>
        <w:t xml:space="preserve"> a</w:t>
      </w:r>
      <w:r>
        <w:rPr>
          <w:rFonts w:ascii="Times New Roman" w:eastAsia="Times New Roman" w:hAnsi="Times New Roman" w:cs="Times New Roman"/>
          <w:bCs/>
          <w:sz w:val="24"/>
          <w:szCs w:val="24"/>
          <w:lang w:eastAsia="cs-CZ"/>
        </w:rPr>
        <w:t xml:space="preserve"> peněžité tresty </w:t>
      </w:r>
      <w:r w:rsidR="0037070F">
        <w:rPr>
          <w:rFonts w:ascii="Times New Roman" w:eastAsia="Times New Roman" w:hAnsi="Times New Roman" w:cs="Times New Roman"/>
          <w:bCs/>
          <w:sz w:val="24"/>
          <w:szCs w:val="24"/>
          <w:lang w:eastAsia="cs-CZ"/>
        </w:rPr>
        <w:t>(</w:t>
      </w:r>
      <w:r>
        <w:rPr>
          <w:rFonts w:ascii="Times New Roman" w:eastAsia="Times New Roman" w:hAnsi="Times New Roman" w:cs="Times New Roman"/>
          <w:bCs/>
          <w:sz w:val="24"/>
          <w:szCs w:val="24"/>
          <w:lang w:eastAsia="cs-CZ"/>
        </w:rPr>
        <w:t>včetně peněžitých trestů a pokut</w:t>
      </w:r>
      <w:r w:rsidR="00B96214">
        <w:rPr>
          <w:rFonts w:ascii="Times New Roman" w:eastAsia="Times New Roman" w:hAnsi="Times New Roman" w:cs="Times New Roman"/>
          <w:bCs/>
          <w:sz w:val="24"/>
          <w:szCs w:val="24"/>
          <w:lang w:eastAsia="cs-CZ"/>
        </w:rPr>
        <w:t xml:space="preserve"> uložených jinými státy, u kterých bylo rozhodnuto o jejich uznání a výkonu</w:t>
      </w:r>
      <w:r>
        <w:rPr>
          <w:rFonts w:ascii="Times New Roman" w:eastAsia="Times New Roman" w:hAnsi="Times New Roman" w:cs="Times New Roman"/>
          <w:bCs/>
          <w:sz w:val="24"/>
          <w:szCs w:val="24"/>
          <w:lang w:eastAsia="cs-CZ"/>
        </w:rPr>
        <w:t>)</w:t>
      </w:r>
      <w:r w:rsidR="0037070F">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se podílejí na objemu neuhrazených justičních pohledávek z</w:t>
      </w:r>
      <w:r w:rsidR="000E64E6">
        <w:rPr>
          <w:rFonts w:ascii="Times New Roman" w:eastAsia="Times New Roman" w:hAnsi="Times New Roman" w:cs="Times New Roman"/>
          <w:bCs/>
          <w:sz w:val="24"/>
          <w:szCs w:val="24"/>
          <w:lang w:eastAsia="cs-CZ"/>
        </w:rPr>
        <w:t> </w:t>
      </w:r>
      <w:r>
        <w:rPr>
          <w:rFonts w:ascii="Times New Roman" w:eastAsia="Times New Roman" w:hAnsi="Times New Roman" w:cs="Times New Roman"/>
          <w:bCs/>
          <w:sz w:val="24"/>
          <w:szCs w:val="24"/>
          <w:lang w:eastAsia="cs-CZ"/>
        </w:rPr>
        <w:t>85</w:t>
      </w:r>
      <w:r w:rsidR="000E64E6">
        <w:rPr>
          <w:rFonts w:ascii="Times New Roman" w:eastAsia="Times New Roman" w:hAnsi="Times New Roman" w:cs="Times New Roman"/>
          <w:bCs/>
          <w:sz w:val="24"/>
          <w:szCs w:val="24"/>
          <w:lang w:eastAsia="cs-CZ"/>
        </w:rPr>
        <w:t>,</w:t>
      </w:r>
      <w:r w:rsidR="00BE4964">
        <w:rPr>
          <w:rFonts w:ascii="Times New Roman" w:eastAsia="Times New Roman" w:hAnsi="Times New Roman" w:cs="Times New Roman"/>
          <w:bCs/>
          <w:sz w:val="24"/>
          <w:szCs w:val="24"/>
          <w:lang w:eastAsia="cs-CZ"/>
        </w:rPr>
        <w:t>4</w:t>
      </w:r>
      <w:r>
        <w:rPr>
          <w:rFonts w:ascii="Times New Roman" w:eastAsia="Times New Roman" w:hAnsi="Times New Roman" w:cs="Times New Roman"/>
          <w:bCs/>
          <w:sz w:val="24"/>
          <w:szCs w:val="24"/>
          <w:lang w:eastAsia="cs-CZ"/>
        </w:rPr>
        <w:t xml:space="preserve"> %.</w:t>
      </w:r>
      <w:r w:rsidR="00710F6C">
        <w:rPr>
          <w:rFonts w:ascii="Times New Roman" w:eastAsia="Times New Roman" w:hAnsi="Times New Roman" w:cs="Times New Roman"/>
          <w:bCs/>
          <w:sz w:val="24"/>
          <w:szCs w:val="24"/>
          <w:lang w:eastAsia="cs-CZ"/>
        </w:rPr>
        <w:t xml:space="preserve"> Soudní poplatky a náklady civilního řízení se podíl</w:t>
      </w:r>
      <w:r w:rsidR="00AB16C9">
        <w:rPr>
          <w:rFonts w:ascii="Times New Roman" w:eastAsia="Times New Roman" w:hAnsi="Times New Roman" w:cs="Times New Roman"/>
          <w:bCs/>
          <w:sz w:val="24"/>
          <w:szCs w:val="24"/>
          <w:lang w:eastAsia="cs-CZ"/>
        </w:rPr>
        <w:t>ej</w:t>
      </w:r>
      <w:r w:rsidR="00710F6C">
        <w:rPr>
          <w:rFonts w:ascii="Times New Roman" w:eastAsia="Times New Roman" w:hAnsi="Times New Roman" w:cs="Times New Roman"/>
          <w:bCs/>
          <w:sz w:val="24"/>
          <w:szCs w:val="24"/>
          <w:lang w:eastAsia="cs-CZ"/>
        </w:rPr>
        <w:t xml:space="preserve">í na objemu neuhrazených pohledávek „pouze“ z 11,7 %. </w:t>
      </w:r>
    </w:p>
    <w:p w14:paraId="0CE3F2B0" w14:textId="12B2C786" w:rsidR="00984FC8" w:rsidRDefault="00984FC8" w:rsidP="00984FC8">
      <w:pPr>
        <w:spacing w:before="120" w:after="120" w:line="240" w:lineRule="auto"/>
        <w:jc w:val="both"/>
        <w:rPr>
          <w:rFonts w:ascii="Times New Roman" w:eastAsia="Times New Roman" w:hAnsi="Times New Roman" w:cs="Times New Roman"/>
          <w:bCs/>
          <w:sz w:val="24"/>
          <w:szCs w:val="24"/>
          <w:lang w:eastAsia="cs-CZ"/>
        </w:rPr>
      </w:pPr>
      <w:r w:rsidRPr="00CE0CD5">
        <w:rPr>
          <w:rFonts w:ascii="Times New Roman" w:eastAsia="Times New Roman" w:hAnsi="Times New Roman" w:cs="Times New Roman"/>
          <w:bCs/>
          <w:sz w:val="24"/>
          <w:szCs w:val="24"/>
          <w:lang w:eastAsia="cs-CZ"/>
        </w:rPr>
        <w:t>Přehled o neuhrazených pohledávkách dle jejich jednotlivých druhů</w:t>
      </w:r>
      <w:r>
        <w:rPr>
          <w:rFonts w:ascii="Times New Roman" w:eastAsia="Times New Roman" w:hAnsi="Times New Roman" w:cs="Times New Roman"/>
          <w:bCs/>
          <w:sz w:val="24"/>
          <w:szCs w:val="24"/>
          <w:lang w:eastAsia="cs-CZ"/>
        </w:rPr>
        <w:t>:</w:t>
      </w:r>
    </w:p>
    <w:tbl>
      <w:tblPr>
        <w:tblpPr w:leftFromText="141" w:rightFromText="141" w:vertAnchor="text" w:horzAnchor="margin" w:tblpY="374"/>
        <w:tblW w:w="9142"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276"/>
        <w:gridCol w:w="850"/>
      </w:tblGrid>
      <w:tr w:rsidR="00984FC8" w:rsidRPr="00CE0CD5" w14:paraId="119BA9F0" w14:textId="77777777" w:rsidTr="00984FC8">
        <w:trPr>
          <w:trHeight w:val="368"/>
        </w:trPr>
        <w:tc>
          <w:tcPr>
            <w:tcW w:w="7016" w:type="dxa"/>
            <w:tcBorders>
              <w:left w:val="nil"/>
              <w:bottom w:val="thinThickSmallGap" w:sz="12" w:space="0" w:color="auto"/>
              <w:right w:val="thinThickMediumGap" w:sz="12" w:space="0" w:color="333333"/>
            </w:tcBorders>
          </w:tcPr>
          <w:p w14:paraId="32EE03D5" w14:textId="77777777" w:rsidR="00984FC8" w:rsidRPr="00CE0CD5" w:rsidRDefault="00984FC8" w:rsidP="00984FC8">
            <w:pPr>
              <w:spacing w:before="120" w:after="120" w:line="240" w:lineRule="auto"/>
              <w:jc w:val="both"/>
              <w:rPr>
                <w:rFonts w:ascii="Times New Roman" w:eastAsia="Times New Roman" w:hAnsi="Times New Roman" w:cs="Times New Roman"/>
                <w:bCs/>
                <w:sz w:val="24"/>
                <w:szCs w:val="24"/>
                <w:lang w:eastAsia="cs-CZ"/>
              </w:rPr>
            </w:pPr>
          </w:p>
        </w:tc>
        <w:tc>
          <w:tcPr>
            <w:tcW w:w="1276" w:type="dxa"/>
            <w:tcBorders>
              <w:top w:val="thinThickMediumGap" w:sz="12" w:space="0" w:color="333333"/>
              <w:left w:val="thinThickMediumGap" w:sz="12" w:space="0" w:color="333333"/>
            </w:tcBorders>
          </w:tcPr>
          <w:p w14:paraId="7015DB77"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lang w:eastAsia="cs-CZ"/>
              </w:rPr>
            </w:pPr>
            <w:r w:rsidRPr="00DE234F">
              <w:rPr>
                <w:rFonts w:ascii="Times New Roman" w:eastAsia="Times New Roman" w:hAnsi="Times New Roman" w:cs="Times New Roman"/>
                <w:bCs/>
                <w:sz w:val="20"/>
                <w:szCs w:val="20"/>
                <w:lang w:eastAsia="cs-CZ"/>
              </w:rPr>
              <w:t>mil. Kč</w:t>
            </w:r>
          </w:p>
        </w:tc>
        <w:tc>
          <w:tcPr>
            <w:tcW w:w="850" w:type="dxa"/>
            <w:tcBorders>
              <w:top w:val="thinThickMediumGap" w:sz="12" w:space="0" w:color="333333"/>
              <w:right w:val="thickThinMediumGap" w:sz="12" w:space="0" w:color="333333"/>
            </w:tcBorders>
          </w:tcPr>
          <w:p w14:paraId="11916350"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lang w:eastAsia="cs-CZ"/>
              </w:rPr>
            </w:pPr>
            <w:r w:rsidRPr="00DE234F">
              <w:rPr>
                <w:rFonts w:ascii="Times New Roman" w:eastAsia="Times New Roman" w:hAnsi="Times New Roman" w:cs="Times New Roman"/>
                <w:bCs/>
                <w:sz w:val="20"/>
                <w:szCs w:val="20"/>
                <w:lang w:eastAsia="cs-CZ"/>
              </w:rPr>
              <w:t>v %</w:t>
            </w:r>
          </w:p>
        </w:tc>
      </w:tr>
      <w:tr w:rsidR="00984FC8" w:rsidRPr="00CE0CD5" w14:paraId="1B2B882C" w14:textId="77777777" w:rsidTr="00984FC8">
        <w:trPr>
          <w:trHeight w:val="283"/>
        </w:trPr>
        <w:tc>
          <w:tcPr>
            <w:tcW w:w="7016" w:type="dxa"/>
            <w:tcBorders>
              <w:top w:val="thinThickSmallGap" w:sz="12" w:space="0" w:color="auto"/>
              <w:left w:val="thinThickSmallGap" w:sz="12" w:space="0" w:color="auto"/>
              <w:right w:val="double" w:sz="6" w:space="0" w:color="auto"/>
            </w:tcBorders>
            <w:shd w:val="clear" w:color="auto" w:fill="FBE4D5" w:themeFill="accent2" w:themeFillTint="33"/>
            <w:vAlign w:val="center"/>
          </w:tcPr>
          <w:p w14:paraId="1BD326AB" w14:textId="77777777" w:rsidR="00984FC8" w:rsidRPr="00DE234F" w:rsidRDefault="00984FC8" w:rsidP="00984FC8">
            <w:pPr>
              <w:spacing w:before="120" w:after="120" w:line="240" w:lineRule="auto"/>
              <w:jc w:val="both"/>
              <w:rPr>
                <w:rFonts w:ascii="Times New Roman" w:eastAsia="Times New Roman" w:hAnsi="Times New Roman" w:cs="Times New Roman"/>
                <w:bCs/>
                <w:sz w:val="20"/>
                <w:szCs w:val="20"/>
                <w:lang w:eastAsia="cs-CZ"/>
              </w:rPr>
            </w:pPr>
            <w:r w:rsidRPr="00DE234F">
              <w:rPr>
                <w:rFonts w:ascii="Times New Roman" w:eastAsia="Times New Roman" w:hAnsi="Times New Roman" w:cs="Times New Roman"/>
                <w:bCs/>
                <w:sz w:val="20"/>
                <w:szCs w:val="20"/>
                <w:lang w:eastAsia="cs-CZ"/>
              </w:rPr>
              <w:t>1 Soudní poplatky</w:t>
            </w:r>
          </w:p>
        </w:tc>
        <w:tc>
          <w:tcPr>
            <w:tcW w:w="1276" w:type="dxa"/>
            <w:tcBorders>
              <w:top w:val="single" w:sz="4" w:space="0" w:color="auto"/>
              <w:left w:val="double" w:sz="6" w:space="0" w:color="auto"/>
            </w:tcBorders>
            <w:shd w:val="clear" w:color="auto" w:fill="FBE4D5" w:themeFill="accent2" w:themeFillTint="33"/>
            <w:vAlign w:val="center"/>
          </w:tcPr>
          <w:p w14:paraId="0E7F36BB"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564,0</w:t>
            </w:r>
          </w:p>
        </w:tc>
        <w:tc>
          <w:tcPr>
            <w:tcW w:w="850" w:type="dxa"/>
            <w:tcBorders>
              <w:top w:val="single" w:sz="4" w:space="0" w:color="auto"/>
              <w:right w:val="thickThinMediumGap" w:sz="12" w:space="0" w:color="333333"/>
            </w:tcBorders>
            <w:shd w:val="clear" w:color="auto" w:fill="FBE4D5" w:themeFill="accent2" w:themeFillTint="33"/>
            <w:vAlign w:val="bottom"/>
          </w:tcPr>
          <w:p w14:paraId="416357C9"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9,6</w:t>
            </w:r>
          </w:p>
        </w:tc>
      </w:tr>
      <w:tr w:rsidR="00984FC8" w:rsidRPr="00CA5D74" w14:paraId="56E52B9D" w14:textId="77777777" w:rsidTr="00984FC8">
        <w:trPr>
          <w:trHeight w:val="283"/>
        </w:trPr>
        <w:tc>
          <w:tcPr>
            <w:tcW w:w="7016" w:type="dxa"/>
            <w:tcBorders>
              <w:top w:val="single" w:sz="4" w:space="0" w:color="auto"/>
              <w:left w:val="thinThickSmallGap" w:sz="12" w:space="0" w:color="auto"/>
              <w:right w:val="double" w:sz="6" w:space="0" w:color="auto"/>
            </w:tcBorders>
            <w:vAlign w:val="center"/>
          </w:tcPr>
          <w:p w14:paraId="7013C4C4"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2 Exekuční náklady</w:t>
            </w:r>
          </w:p>
        </w:tc>
        <w:tc>
          <w:tcPr>
            <w:tcW w:w="1276" w:type="dxa"/>
            <w:tcBorders>
              <w:top w:val="single" w:sz="4" w:space="0" w:color="auto"/>
              <w:left w:val="double" w:sz="6" w:space="0" w:color="auto"/>
            </w:tcBorders>
            <w:vAlign w:val="center"/>
          </w:tcPr>
          <w:p w14:paraId="417089AA"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22,5</w:t>
            </w:r>
          </w:p>
        </w:tc>
        <w:tc>
          <w:tcPr>
            <w:tcW w:w="850" w:type="dxa"/>
            <w:tcBorders>
              <w:top w:val="single" w:sz="4" w:space="0" w:color="auto"/>
              <w:right w:val="thickThinMediumGap" w:sz="12" w:space="0" w:color="333333"/>
            </w:tcBorders>
            <w:vAlign w:val="bottom"/>
          </w:tcPr>
          <w:p w14:paraId="155E1F58"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w:t>
            </w:r>
            <w:r>
              <w:rPr>
                <w:rFonts w:ascii="Times New Roman" w:eastAsia="Times New Roman" w:hAnsi="Times New Roman" w:cs="Times New Roman"/>
                <w:bCs/>
                <w:sz w:val="20"/>
                <w:szCs w:val="20"/>
              </w:rPr>
              <w:t>4</w:t>
            </w:r>
          </w:p>
        </w:tc>
      </w:tr>
      <w:tr w:rsidR="00984FC8" w:rsidRPr="00CA5D74" w14:paraId="447A9C3B" w14:textId="77777777" w:rsidTr="00984FC8">
        <w:trPr>
          <w:trHeight w:val="283"/>
        </w:trPr>
        <w:tc>
          <w:tcPr>
            <w:tcW w:w="7016" w:type="dxa"/>
            <w:tcBorders>
              <w:top w:val="single" w:sz="4" w:space="0" w:color="auto"/>
              <w:left w:val="thinThickSmallGap" w:sz="12" w:space="0" w:color="auto"/>
              <w:right w:val="double" w:sz="6" w:space="0" w:color="auto"/>
            </w:tcBorders>
            <w:shd w:val="clear" w:color="auto" w:fill="FBE4D5" w:themeFill="accent2" w:themeFillTint="33"/>
            <w:vAlign w:val="center"/>
          </w:tcPr>
          <w:p w14:paraId="30C70C2A"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3 Náhrady za ustanovené advokáty</w:t>
            </w:r>
          </w:p>
        </w:tc>
        <w:tc>
          <w:tcPr>
            <w:tcW w:w="1276" w:type="dxa"/>
            <w:tcBorders>
              <w:top w:val="single" w:sz="4" w:space="0" w:color="auto"/>
              <w:left w:val="double" w:sz="6" w:space="0" w:color="auto"/>
            </w:tcBorders>
            <w:shd w:val="clear" w:color="auto" w:fill="FBE4D5" w:themeFill="accent2" w:themeFillTint="33"/>
            <w:vAlign w:val="center"/>
          </w:tcPr>
          <w:p w14:paraId="5F2A70D6"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2 </w:t>
            </w:r>
            <w:r>
              <w:rPr>
                <w:rFonts w:ascii="Times New Roman" w:eastAsia="Times New Roman" w:hAnsi="Times New Roman" w:cs="Times New Roman"/>
                <w:bCs/>
                <w:sz w:val="20"/>
                <w:szCs w:val="20"/>
              </w:rPr>
              <w:t>802,6</w:t>
            </w:r>
          </w:p>
        </w:tc>
        <w:tc>
          <w:tcPr>
            <w:tcW w:w="850" w:type="dxa"/>
            <w:tcBorders>
              <w:top w:val="single" w:sz="4" w:space="0" w:color="auto"/>
              <w:right w:val="thickThinMediumGap" w:sz="12" w:space="0" w:color="333333"/>
            </w:tcBorders>
            <w:shd w:val="clear" w:color="auto" w:fill="FBE4D5" w:themeFill="accent2" w:themeFillTint="33"/>
            <w:vAlign w:val="bottom"/>
          </w:tcPr>
          <w:p w14:paraId="7A37A9D0"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7,7</w:t>
            </w:r>
          </w:p>
        </w:tc>
      </w:tr>
      <w:tr w:rsidR="00984FC8" w:rsidRPr="00CA5D74" w14:paraId="2944122C" w14:textId="77777777" w:rsidTr="00984FC8">
        <w:trPr>
          <w:trHeight w:val="283"/>
        </w:trPr>
        <w:tc>
          <w:tcPr>
            <w:tcW w:w="7016" w:type="dxa"/>
            <w:tcBorders>
              <w:top w:val="single" w:sz="4" w:space="0" w:color="auto"/>
              <w:left w:val="thinThickSmallGap" w:sz="12" w:space="0" w:color="auto"/>
              <w:right w:val="double" w:sz="6" w:space="0" w:color="auto"/>
            </w:tcBorders>
            <w:shd w:val="clear" w:color="auto" w:fill="FBE4D5" w:themeFill="accent2" w:themeFillTint="33"/>
            <w:vAlign w:val="center"/>
          </w:tcPr>
          <w:p w14:paraId="2EC84D17"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4 Náklady trestního řízení</w:t>
            </w:r>
          </w:p>
        </w:tc>
        <w:tc>
          <w:tcPr>
            <w:tcW w:w="1276" w:type="dxa"/>
            <w:tcBorders>
              <w:top w:val="single" w:sz="4" w:space="0" w:color="auto"/>
              <w:left w:val="double" w:sz="6" w:space="0" w:color="auto"/>
            </w:tcBorders>
            <w:shd w:val="clear" w:color="auto" w:fill="FBE4D5" w:themeFill="accent2" w:themeFillTint="33"/>
            <w:vAlign w:val="center"/>
          </w:tcPr>
          <w:p w14:paraId="55423409"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1 </w:t>
            </w:r>
            <w:r>
              <w:rPr>
                <w:rFonts w:ascii="Times New Roman" w:eastAsia="Times New Roman" w:hAnsi="Times New Roman" w:cs="Times New Roman"/>
                <w:bCs/>
                <w:sz w:val="20"/>
                <w:szCs w:val="20"/>
              </w:rPr>
              <w:t>763,4</w:t>
            </w:r>
          </w:p>
        </w:tc>
        <w:tc>
          <w:tcPr>
            <w:tcW w:w="850" w:type="dxa"/>
            <w:tcBorders>
              <w:top w:val="single" w:sz="4" w:space="0" w:color="auto"/>
              <w:right w:val="thickThinMediumGap" w:sz="12" w:space="0" w:color="333333"/>
            </w:tcBorders>
            <w:shd w:val="clear" w:color="auto" w:fill="FBE4D5" w:themeFill="accent2" w:themeFillTint="33"/>
            <w:vAlign w:val="bottom"/>
          </w:tcPr>
          <w:p w14:paraId="67D31E73"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30,</w:t>
            </w:r>
            <w:r>
              <w:rPr>
                <w:rFonts w:ascii="Times New Roman" w:eastAsia="Times New Roman" w:hAnsi="Times New Roman" w:cs="Times New Roman"/>
                <w:bCs/>
                <w:sz w:val="20"/>
                <w:szCs w:val="20"/>
              </w:rPr>
              <w:t>0</w:t>
            </w:r>
          </w:p>
        </w:tc>
      </w:tr>
      <w:tr w:rsidR="00984FC8" w:rsidRPr="00CA5D74" w14:paraId="08EE86C3" w14:textId="77777777" w:rsidTr="00984FC8">
        <w:trPr>
          <w:trHeight w:val="283"/>
        </w:trPr>
        <w:tc>
          <w:tcPr>
            <w:tcW w:w="7016" w:type="dxa"/>
            <w:tcBorders>
              <w:top w:val="single" w:sz="4" w:space="0" w:color="auto"/>
              <w:left w:val="thinThickSmallGap" w:sz="12" w:space="0" w:color="auto"/>
              <w:right w:val="double" w:sz="6" w:space="0" w:color="auto"/>
            </w:tcBorders>
            <w:vAlign w:val="center"/>
          </w:tcPr>
          <w:p w14:paraId="3379E725"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 xml:space="preserve">5 Pořádkové pokuty (dle § 247 DŘ) </w:t>
            </w:r>
          </w:p>
        </w:tc>
        <w:tc>
          <w:tcPr>
            <w:tcW w:w="1276" w:type="dxa"/>
            <w:tcBorders>
              <w:top w:val="single" w:sz="4" w:space="0" w:color="auto"/>
              <w:left w:val="double" w:sz="6" w:space="0" w:color="auto"/>
            </w:tcBorders>
            <w:vAlign w:val="center"/>
          </w:tcPr>
          <w:p w14:paraId="66A54304"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5</w:t>
            </w:r>
          </w:p>
        </w:tc>
        <w:tc>
          <w:tcPr>
            <w:tcW w:w="850" w:type="dxa"/>
            <w:tcBorders>
              <w:top w:val="single" w:sz="4" w:space="0" w:color="auto"/>
              <w:right w:val="thickThinMediumGap" w:sz="12" w:space="0" w:color="333333"/>
            </w:tcBorders>
            <w:vAlign w:val="bottom"/>
          </w:tcPr>
          <w:p w14:paraId="6D08E2B7"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r>
      <w:tr w:rsidR="00984FC8" w:rsidRPr="00CA5D74" w14:paraId="7F4183EF" w14:textId="77777777" w:rsidTr="00984FC8">
        <w:trPr>
          <w:trHeight w:val="283"/>
        </w:trPr>
        <w:tc>
          <w:tcPr>
            <w:tcW w:w="7016" w:type="dxa"/>
            <w:tcBorders>
              <w:top w:val="single" w:sz="4" w:space="0" w:color="auto"/>
              <w:left w:val="thinThickSmallGap" w:sz="12" w:space="0" w:color="auto"/>
              <w:right w:val="double" w:sz="6" w:space="0" w:color="auto"/>
            </w:tcBorders>
            <w:vAlign w:val="center"/>
          </w:tcPr>
          <w:p w14:paraId="41B4991E"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6 Pokuty do 31. 12. 2011</w:t>
            </w:r>
          </w:p>
        </w:tc>
        <w:tc>
          <w:tcPr>
            <w:tcW w:w="1276" w:type="dxa"/>
            <w:tcBorders>
              <w:top w:val="single" w:sz="4" w:space="0" w:color="auto"/>
              <w:left w:val="double" w:sz="6" w:space="0" w:color="auto"/>
            </w:tcBorders>
            <w:vAlign w:val="center"/>
          </w:tcPr>
          <w:p w14:paraId="4862E92B"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38</w:t>
            </w:r>
            <w:r w:rsidRPr="00DE234F">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6</w:t>
            </w:r>
          </w:p>
        </w:tc>
        <w:tc>
          <w:tcPr>
            <w:tcW w:w="850" w:type="dxa"/>
            <w:tcBorders>
              <w:top w:val="single" w:sz="4" w:space="0" w:color="auto"/>
              <w:right w:val="thickThinMediumGap" w:sz="12" w:space="0" w:color="333333"/>
            </w:tcBorders>
            <w:vAlign w:val="bottom"/>
          </w:tcPr>
          <w:p w14:paraId="1597E539"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0,7</w:t>
            </w:r>
          </w:p>
        </w:tc>
      </w:tr>
      <w:tr w:rsidR="00984FC8" w:rsidRPr="00CA5D74" w14:paraId="582B702C" w14:textId="77777777" w:rsidTr="00984FC8">
        <w:trPr>
          <w:trHeight w:val="283"/>
        </w:trPr>
        <w:tc>
          <w:tcPr>
            <w:tcW w:w="7016" w:type="dxa"/>
            <w:tcBorders>
              <w:top w:val="single" w:sz="4" w:space="0" w:color="auto"/>
              <w:left w:val="thinThickSmallGap" w:sz="12" w:space="0" w:color="auto"/>
              <w:right w:val="double" w:sz="6" w:space="0" w:color="auto"/>
            </w:tcBorders>
            <w:vAlign w:val="center"/>
          </w:tcPr>
          <w:p w14:paraId="0F6F6BED"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7 Pokuty z civilního řízení</w:t>
            </w:r>
          </w:p>
        </w:tc>
        <w:tc>
          <w:tcPr>
            <w:tcW w:w="1276" w:type="dxa"/>
            <w:tcBorders>
              <w:top w:val="single" w:sz="4" w:space="0" w:color="auto"/>
              <w:left w:val="double" w:sz="6" w:space="0" w:color="auto"/>
            </w:tcBorders>
            <w:vAlign w:val="center"/>
          </w:tcPr>
          <w:p w14:paraId="408C1F91"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84,9</w:t>
            </w:r>
          </w:p>
        </w:tc>
        <w:tc>
          <w:tcPr>
            <w:tcW w:w="850" w:type="dxa"/>
            <w:tcBorders>
              <w:top w:val="single" w:sz="4" w:space="0" w:color="auto"/>
              <w:right w:val="thickThinMediumGap" w:sz="12" w:space="0" w:color="333333"/>
            </w:tcBorders>
            <w:vAlign w:val="bottom"/>
          </w:tcPr>
          <w:p w14:paraId="5AA3C78E"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4</w:t>
            </w:r>
          </w:p>
        </w:tc>
      </w:tr>
      <w:tr w:rsidR="00984FC8" w:rsidRPr="00CA5D74" w14:paraId="5BF1BF22"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vAlign w:val="center"/>
          </w:tcPr>
          <w:p w14:paraId="157B1CCE"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8 Pokuty z trestního řízení</w:t>
            </w:r>
          </w:p>
        </w:tc>
        <w:tc>
          <w:tcPr>
            <w:tcW w:w="1276" w:type="dxa"/>
            <w:tcBorders>
              <w:top w:val="single" w:sz="4" w:space="0" w:color="auto"/>
              <w:left w:val="double" w:sz="6" w:space="0" w:color="auto"/>
              <w:bottom w:val="single" w:sz="4" w:space="0" w:color="auto"/>
            </w:tcBorders>
            <w:vAlign w:val="center"/>
          </w:tcPr>
          <w:p w14:paraId="2F0CD5FE"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w:t>
            </w:r>
          </w:p>
        </w:tc>
        <w:tc>
          <w:tcPr>
            <w:tcW w:w="850" w:type="dxa"/>
            <w:tcBorders>
              <w:top w:val="single" w:sz="4" w:space="0" w:color="auto"/>
              <w:bottom w:val="single" w:sz="4" w:space="0" w:color="auto"/>
              <w:right w:val="thickThinMediumGap" w:sz="12" w:space="0" w:color="333333"/>
            </w:tcBorders>
            <w:vAlign w:val="bottom"/>
          </w:tcPr>
          <w:p w14:paraId="1A7A2BDF"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0,2</w:t>
            </w:r>
          </w:p>
        </w:tc>
      </w:tr>
      <w:tr w:rsidR="00984FC8" w:rsidRPr="00CA5D74" w14:paraId="2BDFCEDE"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shd w:val="clear" w:color="auto" w:fill="FBE4D5" w:themeFill="accent2" w:themeFillTint="33"/>
            <w:vAlign w:val="center"/>
          </w:tcPr>
          <w:p w14:paraId="643E733C"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9 Peněžité tresty</w:t>
            </w:r>
            <w:r>
              <w:rPr>
                <w:rFonts w:ascii="Times New Roman" w:eastAsia="Times New Roman" w:hAnsi="Times New Roman" w:cs="Times New Roman"/>
                <w:bCs/>
                <w:sz w:val="20"/>
                <w:szCs w:val="20"/>
              </w:rPr>
              <w:t xml:space="preserve"> dle právní úpravy od 1. 1. 2010</w:t>
            </w:r>
          </w:p>
        </w:tc>
        <w:tc>
          <w:tcPr>
            <w:tcW w:w="1276" w:type="dxa"/>
            <w:tcBorders>
              <w:top w:val="single" w:sz="4" w:space="0" w:color="auto"/>
              <w:left w:val="double" w:sz="6" w:space="0" w:color="auto"/>
              <w:bottom w:val="single" w:sz="4" w:space="0" w:color="auto"/>
            </w:tcBorders>
            <w:shd w:val="clear" w:color="auto" w:fill="FBE4D5" w:themeFill="accent2" w:themeFillTint="33"/>
            <w:vAlign w:val="center"/>
          </w:tcPr>
          <w:p w14:paraId="4AD7B69D"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434</w:t>
            </w:r>
            <w:r w:rsidRPr="00DE234F">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8</w:t>
            </w:r>
          </w:p>
        </w:tc>
        <w:tc>
          <w:tcPr>
            <w:tcW w:w="850" w:type="dxa"/>
            <w:tcBorders>
              <w:top w:val="single" w:sz="4" w:space="0" w:color="auto"/>
              <w:bottom w:val="single" w:sz="4" w:space="0" w:color="auto"/>
              <w:right w:val="thickThinMediumGap" w:sz="12" w:space="0" w:color="333333"/>
            </w:tcBorders>
            <w:shd w:val="clear" w:color="auto" w:fill="FBE4D5" w:themeFill="accent2" w:themeFillTint="33"/>
            <w:vAlign w:val="bottom"/>
          </w:tcPr>
          <w:p w14:paraId="50857B80"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7,4</w:t>
            </w:r>
          </w:p>
        </w:tc>
      </w:tr>
      <w:tr w:rsidR="00984FC8" w:rsidRPr="00CA5D74" w14:paraId="54652797"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shd w:val="clear" w:color="auto" w:fill="FBE4D5" w:themeFill="accent2" w:themeFillTint="33"/>
            <w:vAlign w:val="center"/>
          </w:tcPr>
          <w:p w14:paraId="440FEDAB"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 Peněžité tresty od 1. 1. 2018</w:t>
            </w:r>
          </w:p>
        </w:tc>
        <w:tc>
          <w:tcPr>
            <w:tcW w:w="1276" w:type="dxa"/>
            <w:tcBorders>
              <w:top w:val="single" w:sz="4" w:space="0" w:color="auto"/>
              <w:left w:val="double" w:sz="6" w:space="0" w:color="auto"/>
              <w:bottom w:val="single" w:sz="4" w:space="0" w:color="auto"/>
            </w:tcBorders>
            <w:shd w:val="clear" w:color="auto" w:fill="FBE4D5" w:themeFill="accent2" w:themeFillTint="33"/>
            <w:vAlign w:val="center"/>
          </w:tcPr>
          <w:p w14:paraId="321D9CDA" w14:textId="77777777" w:rsidR="00984FC8"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14,7</w:t>
            </w:r>
          </w:p>
        </w:tc>
        <w:tc>
          <w:tcPr>
            <w:tcW w:w="850" w:type="dxa"/>
            <w:tcBorders>
              <w:top w:val="single" w:sz="4" w:space="0" w:color="auto"/>
              <w:bottom w:val="single" w:sz="4" w:space="0" w:color="auto"/>
              <w:right w:val="thickThinMediumGap" w:sz="12" w:space="0" w:color="333333"/>
            </w:tcBorders>
            <w:shd w:val="clear" w:color="auto" w:fill="FBE4D5" w:themeFill="accent2" w:themeFillTint="33"/>
            <w:vAlign w:val="bottom"/>
          </w:tcPr>
          <w:p w14:paraId="351727F8" w14:textId="77777777" w:rsidR="00984FC8"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0,3</w:t>
            </w:r>
          </w:p>
        </w:tc>
      </w:tr>
      <w:tr w:rsidR="00984FC8" w:rsidRPr="00CA5D74" w14:paraId="709F56A8"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vAlign w:val="center"/>
          </w:tcPr>
          <w:p w14:paraId="47ACA52B"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1</w:t>
            </w:r>
            <w:r w:rsidRPr="00DE234F">
              <w:rPr>
                <w:rFonts w:ascii="Times New Roman" w:eastAsia="Times New Roman" w:hAnsi="Times New Roman" w:cs="Times New Roman"/>
                <w:bCs/>
                <w:sz w:val="20"/>
                <w:szCs w:val="20"/>
              </w:rPr>
              <w:t xml:space="preserve"> Peněžité tresty (před zák. č. 152/1995 Sb.)</w:t>
            </w:r>
          </w:p>
        </w:tc>
        <w:tc>
          <w:tcPr>
            <w:tcW w:w="1276" w:type="dxa"/>
            <w:tcBorders>
              <w:top w:val="single" w:sz="4" w:space="0" w:color="auto"/>
              <w:left w:val="double" w:sz="6" w:space="0" w:color="auto"/>
              <w:bottom w:val="single" w:sz="4" w:space="0" w:color="auto"/>
            </w:tcBorders>
            <w:vAlign w:val="center"/>
          </w:tcPr>
          <w:p w14:paraId="4549503E"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0,2</w:t>
            </w:r>
          </w:p>
        </w:tc>
        <w:tc>
          <w:tcPr>
            <w:tcW w:w="850" w:type="dxa"/>
            <w:tcBorders>
              <w:top w:val="single" w:sz="4" w:space="0" w:color="auto"/>
              <w:bottom w:val="single" w:sz="4" w:space="0" w:color="auto"/>
              <w:right w:val="thickThinMediumGap" w:sz="12" w:space="0" w:color="333333"/>
            </w:tcBorders>
            <w:vAlign w:val="bottom"/>
          </w:tcPr>
          <w:p w14:paraId="28982A66"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r>
      <w:tr w:rsidR="00984FC8" w:rsidRPr="00CA5D74" w14:paraId="4FCDF88C"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vAlign w:val="center"/>
          </w:tcPr>
          <w:p w14:paraId="2BCC4F70"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2</w:t>
            </w:r>
            <w:r w:rsidRPr="00DE234F">
              <w:rPr>
                <w:rFonts w:ascii="Times New Roman" w:eastAsia="Times New Roman" w:hAnsi="Times New Roman" w:cs="Times New Roman"/>
                <w:bCs/>
                <w:sz w:val="20"/>
                <w:szCs w:val="20"/>
              </w:rPr>
              <w:t xml:space="preserve"> Peněžité tresty (předepsané po zák. č. 152/95 Sb.)</w:t>
            </w:r>
          </w:p>
        </w:tc>
        <w:tc>
          <w:tcPr>
            <w:tcW w:w="1276" w:type="dxa"/>
            <w:tcBorders>
              <w:top w:val="single" w:sz="4" w:space="0" w:color="auto"/>
              <w:left w:val="double" w:sz="6" w:space="0" w:color="auto"/>
              <w:bottom w:val="single" w:sz="4" w:space="0" w:color="auto"/>
            </w:tcBorders>
            <w:vAlign w:val="center"/>
          </w:tcPr>
          <w:p w14:paraId="58103E73"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w:t>
            </w:r>
          </w:p>
        </w:tc>
        <w:tc>
          <w:tcPr>
            <w:tcW w:w="850" w:type="dxa"/>
            <w:tcBorders>
              <w:top w:val="single" w:sz="4" w:space="0" w:color="auto"/>
              <w:bottom w:val="single" w:sz="4" w:space="0" w:color="auto"/>
              <w:right w:val="thickThinMediumGap" w:sz="12" w:space="0" w:color="333333"/>
            </w:tcBorders>
            <w:vAlign w:val="bottom"/>
          </w:tcPr>
          <w:p w14:paraId="0238958D"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0,1</w:t>
            </w:r>
          </w:p>
        </w:tc>
      </w:tr>
      <w:tr w:rsidR="00984FC8" w:rsidRPr="00CA5D74" w14:paraId="3785DF4A"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vAlign w:val="center"/>
          </w:tcPr>
          <w:p w14:paraId="2BC4E0CA"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3</w:t>
            </w:r>
            <w:r w:rsidRPr="00DE234F">
              <w:rPr>
                <w:rFonts w:ascii="Times New Roman" w:eastAsia="Times New Roman" w:hAnsi="Times New Roman" w:cs="Times New Roman"/>
                <w:bCs/>
                <w:sz w:val="20"/>
                <w:szCs w:val="20"/>
              </w:rPr>
              <w:t xml:space="preserve"> Náklady výkonu trestu domácího vězení</w:t>
            </w:r>
          </w:p>
        </w:tc>
        <w:tc>
          <w:tcPr>
            <w:tcW w:w="1276" w:type="dxa"/>
            <w:tcBorders>
              <w:top w:val="single" w:sz="4" w:space="0" w:color="auto"/>
              <w:left w:val="double" w:sz="6" w:space="0" w:color="auto"/>
              <w:bottom w:val="single" w:sz="4" w:space="0" w:color="auto"/>
            </w:tcBorders>
            <w:vAlign w:val="center"/>
          </w:tcPr>
          <w:p w14:paraId="3AF06C44"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7,</w:t>
            </w:r>
            <w:r>
              <w:rPr>
                <w:rFonts w:ascii="Times New Roman" w:eastAsia="Times New Roman" w:hAnsi="Times New Roman" w:cs="Times New Roman"/>
                <w:bCs/>
                <w:sz w:val="20"/>
                <w:szCs w:val="20"/>
              </w:rPr>
              <w:t>7</w:t>
            </w:r>
          </w:p>
        </w:tc>
        <w:tc>
          <w:tcPr>
            <w:tcW w:w="850" w:type="dxa"/>
            <w:tcBorders>
              <w:top w:val="single" w:sz="4" w:space="0" w:color="auto"/>
              <w:bottom w:val="single" w:sz="4" w:space="0" w:color="auto"/>
              <w:right w:val="thickThinMediumGap" w:sz="12" w:space="0" w:color="333333"/>
            </w:tcBorders>
            <w:vAlign w:val="bottom"/>
          </w:tcPr>
          <w:p w14:paraId="34764019"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0,1</w:t>
            </w:r>
          </w:p>
        </w:tc>
      </w:tr>
      <w:tr w:rsidR="00984FC8" w:rsidRPr="00CA5D74" w14:paraId="35C8DDBC"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shd w:val="clear" w:color="auto" w:fill="FBE4D5" w:themeFill="accent2" w:themeFillTint="33"/>
            <w:vAlign w:val="center"/>
          </w:tcPr>
          <w:p w14:paraId="25D3FC6A"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4</w:t>
            </w:r>
            <w:r w:rsidRPr="00DE234F">
              <w:rPr>
                <w:rFonts w:ascii="Times New Roman" w:eastAsia="Times New Roman" w:hAnsi="Times New Roman" w:cs="Times New Roman"/>
                <w:bCs/>
                <w:sz w:val="20"/>
                <w:szCs w:val="20"/>
              </w:rPr>
              <w:t xml:space="preserve"> Náklady civilního řízení</w:t>
            </w:r>
          </w:p>
        </w:tc>
        <w:tc>
          <w:tcPr>
            <w:tcW w:w="1276" w:type="dxa"/>
            <w:tcBorders>
              <w:top w:val="single" w:sz="4" w:space="0" w:color="auto"/>
              <w:left w:val="double" w:sz="6" w:space="0" w:color="auto"/>
              <w:bottom w:val="single" w:sz="4" w:space="0" w:color="auto"/>
            </w:tcBorders>
            <w:shd w:val="clear" w:color="auto" w:fill="FBE4D5" w:themeFill="accent2" w:themeFillTint="33"/>
            <w:vAlign w:val="center"/>
          </w:tcPr>
          <w:p w14:paraId="508742E0"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124,</w:t>
            </w:r>
            <w:r>
              <w:rPr>
                <w:rFonts w:ascii="Times New Roman" w:eastAsia="Times New Roman" w:hAnsi="Times New Roman" w:cs="Times New Roman"/>
                <w:bCs/>
                <w:sz w:val="20"/>
                <w:szCs w:val="20"/>
              </w:rPr>
              <w:t>9</w:t>
            </w:r>
          </w:p>
        </w:tc>
        <w:tc>
          <w:tcPr>
            <w:tcW w:w="850" w:type="dxa"/>
            <w:tcBorders>
              <w:top w:val="single" w:sz="4" w:space="0" w:color="auto"/>
              <w:bottom w:val="single" w:sz="4" w:space="0" w:color="auto"/>
              <w:right w:val="thickThinMediumGap" w:sz="12" w:space="0" w:color="333333"/>
            </w:tcBorders>
            <w:shd w:val="clear" w:color="auto" w:fill="FBE4D5" w:themeFill="accent2" w:themeFillTint="33"/>
            <w:vAlign w:val="bottom"/>
          </w:tcPr>
          <w:p w14:paraId="701D7971"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2,1</w:t>
            </w:r>
          </w:p>
        </w:tc>
      </w:tr>
      <w:tr w:rsidR="00984FC8" w:rsidRPr="00CA5D74" w14:paraId="5D295D7A"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vAlign w:val="center"/>
          </w:tcPr>
          <w:p w14:paraId="75EF4E89"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5</w:t>
            </w:r>
            <w:r w:rsidRPr="00DE234F">
              <w:rPr>
                <w:rFonts w:ascii="Times New Roman" w:eastAsia="Times New Roman" w:hAnsi="Times New Roman" w:cs="Times New Roman"/>
                <w:bCs/>
                <w:sz w:val="20"/>
                <w:szCs w:val="20"/>
              </w:rPr>
              <w:t xml:space="preserve"> Náklady soudního řízení správního</w:t>
            </w:r>
          </w:p>
        </w:tc>
        <w:tc>
          <w:tcPr>
            <w:tcW w:w="1276" w:type="dxa"/>
            <w:tcBorders>
              <w:top w:val="single" w:sz="4" w:space="0" w:color="auto"/>
              <w:left w:val="double" w:sz="6" w:space="0" w:color="auto"/>
              <w:bottom w:val="single" w:sz="4" w:space="0" w:color="auto"/>
            </w:tcBorders>
            <w:vAlign w:val="center"/>
          </w:tcPr>
          <w:p w14:paraId="78A4C46B"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c>
          <w:tcPr>
            <w:tcW w:w="850" w:type="dxa"/>
            <w:tcBorders>
              <w:top w:val="single" w:sz="4" w:space="0" w:color="auto"/>
              <w:bottom w:val="single" w:sz="4" w:space="0" w:color="auto"/>
              <w:right w:val="thickThinMediumGap" w:sz="12" w:space="0" w:color="333333"/>
            </w:tcBorders>
            <w:vAlign w:val="bottom"/>
          </w:tcPr>
          <w:p w14:paraId="64103761"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r>
      <w:tr w:rsidR="00984FC8" w:rsidRPr="00CA5D74" w14:paraId="4B6D6E13"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vAlign w:val="center"/>
          </w:tcPr>
          <w:p w14:paraId="16F3F7FA"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lastRenderedPageBreak/>
              <w:t>1</w:t>
            </w:r>
            <w:r>
              <w:rPr>
                <w:rFonts w:ascii="Times New Roman" w:eastAsia="Times New Roman" w:hAnsi="Times New Roman" w:cs="Times New Roman"/>
                <w:bCs/>
                <w:sz w:val="20"/>
                <w:szCs w:val="20"/>
              </w:rPr>
              <w:t>6</w:t>
            </w:r>
            <w:r w:rsidRPr="00DE234F">
              <w:rPr>
                <w:rFonts w:ascii="Times New Roman" w:eastAsia="Times New Roman" w:hAnsi="Times New Roman" w:cs="Times New Roman"/>
                <w:bCs/>
                <w:sz w:val="20"/>
                <w:szCs w:val="20"/>
              </w:rPr>
              <w:t xml:space="preserve"> Pořádkové pokuty dle § 44 zákona č. 150/2002 Sb.</w:t>
            </w:r>
          </w:p>
        </w:tc>
        <w:tc>
          <w:tcPr>
            <w:tcW w:w="1276" w:type="dxa"/>
            <w:tcBorders>
              <w:top w:val="single" w:sz="4" w:space="0" w:color="auto"/>
              <w:left w:val="double" w:sz="6" w:space="0" w:color="auto"/>
              <w:bottom w:val="single" w:sz="4" w:space="0" w:color="auto"/>
            </w:tcBorders>
            <w:vAlign w:val="center"/>
          </w:tcPr>
          <w:p w14:paraId="287CDF74"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c>
          <w:tcPr>
            <w:tcW w:w="850" w:type="dxa"/>
            <w:tcBorders>
              <w:top w:val="single" w:sz="4" w:space="0" w:color="auto"/>
              <w:bottom w:val="single" w:sz="4" w:space="0" w:color="auto"/>
              <w:right w:val="thickThinMediumGap" w:sz="12" w:space="0" w:color="333333"/>
            </w:tcBorders>
            <w:vAlign w:val="bottom"/>
          </w:tcPr>
          <w:p w14:paraId="5995305E"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r>
      <w:tr w:rsidR="00984FC8" w:rsidRPr="00CA5D74" w14:paraId="4A7CA09F"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vAlign w:val="center"/>
          </w:tcPr>
          <w:p w14:paraId="4024A645"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7</w:t>
            </w:r>
            <w:r w:rsidRPr="00DE234F">
              <w:rPr>
                <w:rFonts w:ascii="Times New Roman" w:eastAsia="Times New Roman" w:hAnsi="Times New Roman" w:cs="Times New Roman"/>
                <w:bCs/>
                <w:sz w:val="20"/>
                <w:szCs w:val="20"/>
              </w:rPr>
              <w:t xml:space="preserve"> Náklady kárného řízení</w:t>
            </w:r>
          </w:p>
        </w:tc>
        <w:tc>
          <w:tcPr>
            <w:tcW w:w="1276" w:type="dxa"/>
            <w:tcBorders>
              <w:top w:val="single" w:sz="4" w:space="0" w:color="auto"/>
              <w:left w:val="double" w:sz="6" w:space="0" w:color="auto"/>
              <w:bottom w:val="single" w:sz="4" w:space="0" w:color="auto"/>
            </w:tcBorders>
            <w:vAlign w:val="center"/>
          </w:tcPr>
          <w:p w14:paraId="590B76F6"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c>
          <w:tcPr>
            <w:tcW w:w="850" w:type="dxa"/>
            <w:tcBorders>
              <w:top w:val="single" w:sz="4" w:space="0" w:color="auto"/>
              <w:bottom w:val="single" w:sz="4" w:space="0" w:color="auto"/>
              <w:right w:val="thickThinMediumGap" w:sz="12" w:space="0" w:color="333333"/>
            </w:tcBorders>
            <w:vAlign w:val="bottom"/>
          </w:tcPr>
          <w:p w14:paraId="27DFA9AA"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r>
      <w:tr w:rsidR="00984FC8" w:rsidRPr="00CA5D74" w14:paraId="0CFF5C88" w14:textId="77777777" w:rsidTr="00984FC8">
        <w:trPr>
          <w:trHeight w:val="283"/>
        </w:trPr>
        <w:tc>
          <w:tcPr>
            <w:tcW w:w="7016" w:type="dxa"/>
            <w:tcBorders>
              <w:top w:val="single" w:sz="4" w:space="0" w:color="auto"/>
              <w:left w:val="thinThickSmallGap" w:sz="12" w:space="0" w:color="auto"/>
              <w:bottom w:val="single" w:sz="4" w:space="0" w:color="auto"/>
              <w:right w:val="double" w:sz="6" w:space="0" w:color="auto"/>
            </w:tcBorders>
            <w:vAlign w:val="center"/>
          </w:tcPr>
          <w:p w14:paraId="2A2AC0A4"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8</w:t>
            </w:r>
            <w:r w:rsidRPr="00DE234F">
              <w:rPr>
                <w:rFonts w:ascii="Times New Roman" w:eastAsia="Times New Roman" w:hAnsi="Times New Roman" w:cs="Times New Roman"/>
                <w:bCs/>
                <w:sz w:val="20"/>
                <w:szCs w:val="20"/>
              </w:rPr>
              <w:t xml:space="preserve"> Pořádkové pokuty v kárném řízení</w:t>
            </w:r>
          </w:p>
        </w:tc>
        <w:tc>
          <w:tcPr>
            <w:tcW w:w="1276" w:type="dxa"/>
            <w:tcBorders>
              <w:top w:val="single" w:sz="4" w:space="0" w:color="auto"/>
              <w:left w:val="double" w:sz="6" w:space="0" w:color="auto"/>
              <w:bottom w:val="single" w:sz="4" w:space="0" w:color="auto"/>
            </w:tcBorders>
            <w:vAlign w:val="center"/>
          </w:tcPr>
          <w:p w14:paraId="452D14FE"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c>
          <w:tcPr>
            <w:tcW w:w="850" w:type="dxa"/>
            <w:tcBorders>
              <w:top w:val="single" w:sz="4" w:space="0" w:color="auto"/>
              <w:bottom w:val="single" w:sz="4" w:space="0" w:color="auto"/>
              <w:right w:val="thickThinMediumGap" w:sz="12" w:space="0" w:color="333333"/>
            </w:tcBorders>
            <w:vAlign w:val="bottom"/>
          </w:tcPr>
          <w:p w14:paraId="6D8B1DB3"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sidRPr="00DE234F">
              <w:rPr>
                <w:rFonts w:ascii="Times New Roman" w:eastAsia="Times New Roman" w:hAnsi="Times New Roman" w:cs="Times New Roman"/>
                <w:bCs/>
                <w:sz w:val="20"/>
                <w:szCs w:val="20"/>
              </w:rPr>
              <w:t>0,0</w:t>
            </w:r>
          </w:p>
        </w:tc>
      </w:tr>
      <w:tr w:rsidR="00984FC8" w:rsidRPr="00CA5D74" w14:paraId="459A058B" w14:textId="77777777" w:rsidTr="00984FC8">
        <w:trPr>
          <w:trHeight w:val="283"/>
        </w:trPr>
        <w:tc>
          <w:tcPr>
            <w:tcW w:w="7016" w:type="dxa"/>
            <w:tcBorders>
              <w:top w:val="single" w:sz="4" w:space="0" w:color="auto"/>
              <w:left w:val="thinThickSmallGap" w:sz="12" w:space="0" w:color="auto"/>
              <w:bottom w:val="thickThinSmallGap" w:sz="12" w:space="0" w:color="auto"/>
              <w:right w:val="double" w:sz="6" w:space="0" w:color="auto"/>
            </w:tcBorders>
            <w:vAlign w:val="center"/>
          </w:tcPr>
          <w:p w14:paraId="3B8D94AA" w14:textId="77777777" w:rsidR="00984FC8" w:rsidRPr="00DE234F" w:rsidRDefault="00984FC8" w:rsidP="00984FC8">
            <w:pPr>
              <w:spacing w:before="120" w:after="120" w:line="240" w:lineRule="auto"/>
              <w:rPr>
                <w:rFonts w:ascii="Times New Roman" w:eastAsia="Times New Roman" w:hAnsi="Times New Roman" w:cs="Times New Roman"/>
                <w:bCs/>
                <w:sz w:val="20"/>
                <w:szCs w:val="20"/>
              </w:rPr>
            </w:pPr>
            <w:r w:rsidRPr="008719CA">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9</w:t>
            </w:r>
            <w:r w:rsidRPr="008719CA">
              <w:rPr>
                <w:rFonts w:ascii="Times New Roman" w:eastAsia="Times New Roman" w:hAnsi="Times New Roman" w:cs="Times New Roman"/>
                <w:bCs/>
                <w:sz w:val="20"/>
                <w:szCs w:val="20"/>
              </w:rPr>
              <w:t xml:space="preserve"> Náklady na elektronický kontrolní systém při podmíněném propuštění</w:t>
            </w:r>
          </w:p>
        </w:tc>
        <w:tc>
          <w:tcPr>
            <w:tcW w:w="1276" w:type="dxa"/>
            <w:tcBorders>
              <w:top w:val="single" w:sz="4" w:space="0" w:color="auto"/>
              <w:left w:val="double" w:sz="6" w:space="0" w:color="auto"/>
              <w:bottom w:val="thickThinMediumGap" w:sz="12" w:space="0" w:color="333333"/>
            </w:tcBorders>
            <w:vAlign w:val="center"/>
          </w:tcPr>
          <w:p w14:paraId="418D0DA2"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850" w:type="dxa"/>
            <w:tcBorders>
              <w:top w:val="single" w:sz="4" w:space="0" w:color="auto"/>
              <w:bottom w:val="thickThinMediumGap" w:sz="12" w:space="0" w:color="333333"/>
              <w:right w:val="thickThinMediumGap" w:sz="12" w:space="0" w:color="333333"/>
            </w:tcBorders>
            <w:vAlign w:val="bottom"/>
          </w:tcPr>
          <w:p w14:paraId="5B50CB74" w14:textId="77777777" w:rsidR="00984FC8" w:rsidRPr="00DE234F" w:rsidRDefault="00984FC8" w:rsidP="00984FC8">
            <w:pPr>
              <w:spacing w:before="120" w:after="12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bl>
    <w:p w14:paraId="163EA1E0" w14:textId="77777777" w:rsidR="00DE234F" w:rsidRDefault="00710F6C" w:rsidP="0037070F">
      <w:pPr>
        <w:spacing w:before="120" w:after="120" w:line="240" w:lineRule="auto"/>
        <w:jc w:val="both"/>
        <w:rPr>
          <w:rFonts w:ascii="Times New Roman" w:eastAsia="Times New Roman" w:hAnsi="Times New Roman"/>
          <w:bCs/>
          <w:sz w:val="24"/>
          <w:szCs w:val="24"/>
        </w:rPr>
      </w:pPr>
      <w:r w:rsidRPr="00AE341B">
        <w:rPr>
          <w:rFonts w:ascii="Times New Roman" w:eastAsia="Times New Roman" w:hAnsi="Times New Roman" w:cs="Times New Roman"/>
          <w:bCs/>
          <w:sz w:val="24"/>
          <w:szCs w:val="24"/>
          <w:lang w:eastAsia="cs-CZ"/>
        </w:rPr>
        <w:t>Oproti shodnému období roku 201</w:t>
      </w:r>
      <w:r w:rsidR="003F69E6" w:rsidRPr="00AE341B">
        <w:rPr>
          <w:rFonts w:ascii="Times New Roman" w:eastAsia="Times New Roman" w:hAnsi="Times New Roman" w:cs="Times New Roman"/>
          <w:bCs/>
          <w:sz w:val="24"/>
          <w:szCs w:val="24"/>
          <w:lang w:eastAsia="cs-CZ"/>
        </w:rPr>
        <w:t>7</w:t>
      </w:r>
      <w:r w:rsidRPr="00AE341B">
        <w:rPr>
          <w:rFonts w:ascii="Times New Roman" w:eastAsia="Times New Roman" w:hAnsi="Times New Roman" w:cs="Times New Roman"/>
          <w:bCs/>
          <w:sz w:val="24"/>
          <w:szCs w:val="24"/>
          <w:lang w:eastAsia="cs-CZ"/>
        </w:rPr>
        <w:t xml:space="preserve"> přitom došlo v roce 201</w:t>
      </w:r>
      <w:r w:rsidR="003F69E6" w:rsidRPr="00AE341B">
        <w:rPr>
          <w:rFonts w:ascii="Times New Roman" w:eastAsia="Times New Roman" w:hAnsi="Times New Roman" w:cs="Times New Roman"/>
          <w:bCs/>
          <w:sz w:val="24"/>
          <w:szCs w:val="24"/>
          <w:lang w:eastAsia="cs-CZ"/>
        </w:rPr>
        <w:t>8</w:t>
      </w:r>
      <w:r w:rsidRPr="00AE341B">
        <w:rPr>
          <w:rFonts w:ascii="Times New Roman" w:eastAsia="Times New Roman" w:hAnsi="Times New Roman" w:cs="Times New Roman"/>
          <w:bCs/>
          <w:sz w:val="24"/>
          <w:szCs w:val="24"/>
          <w:lang w:eastAsia="cs-CZ"/>
        </w:rPr>
        <w:t xml:space="preserve"> k nárůstu celkového objemu spravovaných pohledávek, a to o </w:t>
      </w:r>
      <w:r w:rsidR="00AE341B" w:rsidRPr="00AE341B">
        <w:rPr>
          <w:rFonts w:ascii="Times New Roman" w:eastAsia="Times New Roman" w:hAnsi="Times New Roman" w:cs="Times New Roman"/>
          <w:bCs/>
          <w:sz w:val="24"/>
          <w:szCs w:val="24"/>
          <w:lang w:eastAsia="cs-CZ"/>
        </w:rPr>
        <w:t>6</w:t>
      </w:r>
      <w:r w:rsidRPr="00AE341B">
        <w:rPr>
          <w:rFonts w:ascii="Times New Roman" w:eastAsia="Times New Roman" w:hAnsi="Times New Roman" w:cs="Times New Roman"/>
          <w:bCs/>
          <w:sz w:val="24"/>
          <w:szCs w:val="24"/>
          <w:lang w:eastAsia="cs-CZ"/>
        </w:rPr>
        <w:t>,</w:t>
      </w:r>
      <w:r w:rsidR="00AE341B" w:rsidRPr="00AE341B">
        <w:rPr>
          <w:rFonts w:ascii="Times New Roman" w:eastAsia="Times New Roman" w:hAnsi="Times New Roman" w:cs="Times New Roman"/>
          <w:bCs/>
          <w:sz w:val="24"/>
          <w:szCs w:val="24"/>
          <w:lang w:eastAsia="cs-CZ"/>
        </w:rPr>
        <w:t>9</w:t>
      </w:r>
      <w:r w:rsidRPr="00AE341B">
        <w:rPr>
          <w:rFonts w:ascii="Times New Roman" w:eastAsia="Times New Roman" w:hAnsi="Times New Roman" w:cs="Times New Roman"/>
          <w:bCs/>
          <w:sz w:val="24"/>
          <w:szCs w:val="24"/>
          <w:lang w:eastAsia="cs-CZ"/>
        </w:rPr>
        <w:t xml:space="preserve"> % (</w:t>
      </w:r>
      <w:r w:rsidR="00AE341B" w:rsidRPr="00AE341B">
        <w:rPr>
          <w:rFonts w:ascii="Times New Roman" w:eastAsia="Times New Roman" w:hAnsi="Times New Roman" w:cs="Times New Roman"/>
          <w:bCs/>
          <w:sz w:val="24"/>
          <w:szCs w:val="24"/>
          <w:lang w:eastAsia="cs-CZ"/>
        </w:rPr>
        <w:t>438</w:t>
      </w:r>
      <w:r w:rsidRPr="00AE341B">
        <w:rPr>
          <w:rFonts w:ascii="Times New Roman" w:eastAsia="Times New Roman" w:hAnsi="Times New Roman" w:cs="Times New Roman"/>
          <w:bCs/>
          <w:sz w:val="24"/>
          <w:szCs w:val="24"/>
          <w:lang w:eastAsia="cs-CZ"/>
        </w:rPr>
        <w:t>,</w:t>
      </w:r>
      <w:r w:rsidR="00AE341B" w:rsidRPr="00AE341B">
        <w:rPr>
          <w:rFonts w:ascii="Times New Roman" w:eastAsia="Times New Roman" w:hAnsi="Times New Roman" w:cs="Times New Roman"/>
          <w:bCs/>
          <w:sz w:val="24"/>
          <w:szCs w:val="24"/>
          <w:lang w:eastAsia="cs-CZ"/>
        </w:rPr>
        <w:t>9</w:t>
      </w:r>
      <w:r w:rsidRPr="00AE341B">
        <w:rPr>
          <w:rFonts w:ascii="Times New Roman" w:eastAsia="Times New Roman" w:hAnsi="Times New Roman" w:cs="Times New Roman"/>
          <w:bCs/>
          <w:sz w:val="24"/>
          <w:szCs w:val="24"/>
          <w:lang w:eastAsia="cs-CZ"/>
        </w:rPr>
        <w:t xml:space="preserve"> mil. Kč). Zřejmý je též trvalý rostoucí trend objemu neuhrazených pohledávek, který oproti roku 201</w:t>
      </w:r>
      <w:r w:rsidR="003F69E6" w:rsidRPr="00AE341B">
        <w:rPr>
          <w:rFonts w:ascii="Times New Roman" w:eastAsia="Times New Roman" w:hAnsi="Times New Roman" w:cs="Times New Roman"/>
          <w:bCs/>
          <w:sz w:val="24"/>
          <w:szCs w:val="24"/>
          <w:lang w:eastAsia="cs-CZ"/>
        </w:rPr>
        <w:t>7</w:t>
      </w:r>
      <w:r w:rsidRPr="00710F6C">
        <w:rPr>
          <w:rFonts w:ascii="Times New Roman" w:eastAsia="Times New Roman" w:hAnsi="Times New Roman" w:cs="Times New Roman"/>
          <w:bCs/>
          <w:sz w:val="24"/>
          <w:szCs w:val="24"/>
          <w:lang w:eastAsia="cs-CZ"/>
        </w:rPr>
        <w:t xml:space="preserve"> představoval </w:t>
      </w:r>
      <w:r w:rsidR="000E64E6">
        <w:rPr>
          <w:rFonts w:ascii="Times New Roman" w:eastAsia="Times New Roman" w:hAnsi="Times New Roman" w:cs="Times New Roman"/>
          <w:bCs/>
          <w:sz w:val="24"/>
          <w:szCs w:val="24"/>
          <w:lang w:eastAsia="cs-CZ"/>
        </w:rPr>
        <w:t>0,9 % (51,</w:t>
      </w:r>
      <w:r w:rsidR="001E5093">
        <w:rPr>
          <w:rFonts w:ascii="Times New Roman" w:eastAsia="Times New Roman" w:hAnsi="Times New Roman" w:cs="Times New Roman"/>
          <w:bCs/>
          <w:sz w:val="24"/>
          <w:szCs w:val="24"/>
          <w:lang w:eastAsia="cs-CZ"/>
        </w:rPr>
        <w:t xml:space="preserve">1 mil. Kč), v předchozím roce </w:t>
      </w:r>
      <w:r w:rsidRPr="00710F6C">
        <w:rPr>
          <w:rFonts w:ascii="Times New Roman" w:eastAsia="Times New Roman" w:hAnsi="Times New Roman" w:cs="Times New Roman"/>
          <w:bCs/>
          <w:sz w:val="24"/>
          <w:szCs w:val="24"/>
          <w:lang w:eastAsia="cs-CZ"/>
        </w:rPr>
        <w:t xml:space="preserve">2,3 % (129,0 mil. Kč). Následující tabulka </w:t>
      </w:r>
      <w:r w:rsidR="009C2B36">
        <w:rPr>
          <w:rFonts w:ascii="Times New Roman" w:eastAsia="Times New Roman" w:hAnsi="Times New Roman" w:cs="Times New Roman"/>
          <w:bCs/>
          <w:sz w:val="24"/>
          <w:szCs w:val="24"/>
          <w:lang w:eastAsia="cs-CZ"/>
        </w:rPr>
        <w:t>vyjadřuje</w:t>
      </w:r>
      <w:r w:rsidRPr="00710F6C">
        <w:rPr>
          <w:rFonts w:ascii="Times New Roman" w:eastAsia="Times New Roman" w:hAnsi="Times New Roman" w:cs="Times New Roman"/>
          <w:bCs/>
          <w:sz w:val="24"/>
          <w:szCs w:val="24"/>
          <w:lang w:eastAsia="cs-CZ"/>
        </w:rPr>
        <w:t xml:space="preserve"> vývojový trend neuhrazených pohledávek v jednotlivých regionech od roku 201</w:t>
      </w:r>
      <w:r w:rsidR="003F69E6">
        <w:rPr>
          <w:rFonts w:ascii="Times New Roman" w:eastAsia="Times New Roman" w:hAnsi="Times New Roman" w:cs="Times New Roman"/>
          <w:bCs/>
          <w:sz w:val="24"/>
          <w:szCs w:val="24"/>
          <w:lang w:eastAsia="cs-CZ"/>
        </w:rPr>
        <w:t>5</w:t>
      </w:r>
      <w:r w:rsidRPr="00710F6C">
        <w:rPr>
          <w:rFonts w:ascii="Times New Roman" w:eastAsia="Times New Roman" w:hAnsi="Times New Roman" w:cs="Times New Roman"/>
          <w:bCs/>
          <w:sz w:val="24"/>
          <w:szCs w:val="24"/>
          <w:lang w:eastAsia="cs-CZ"/>
        </w:rPr>
        <w:t xml:space="preserve">. </w:t>
      </w:r>
    </w:p>
    <w:tbl>
      <w:tblPr>
        <w:tblpPr w:leftFromText="141" w:rightFromText="141" w:vertAnchor="text" w:horzAnchor="margin" w:tblpX="2" w:tblpY="159"/>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127"/>
        <w:gridCol w:w="992"/>
        <w:gridCol w:w="992"/>
        <w:gridCol w:w="1134"/>
        <w:gridCol w:w="992"/>
        <w:gridCol w:w="992"/>
        <w:gridCol w:w="992"/>
        <w:gridCol w:w="921"/>
      </w:tblGrid>
      <w:tr w:rsidR="003F69E6" w:rsidRPr="00710F6C" w14:paraId="6F289B26" w14:textId="77777777" w:rsidTr="00D04528">
        <w:trPr>
          <w:trHeight w:val="338"/>
        </w:trPr>
        <w:tc>
          <w:tcPr>
            <w:tcW w:w="2127" w:type="dxa"/>
            <w:tcBorders>
              <w:top w:val="nil"/>
              <w:left w:val="nil"/>
              <w:bottom w:val="thinThickSmallGap" w:sz="12" w:space="0" w:color="auto"/>
              <w:right w:val="thinThickSmallGap" w:sz="12" w:space="0" w:color="auto"/>
            </w:tcBorders>
            <w:vAlign w:val="center"/>
          </w:tcPr>
          <w:p w14:paraId="7BD4C3F2"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 xml:space="preserve">   (v mil. Kč) </w:t>
            </w:r>
          </w:p>
        </w:tc>
        <w:tc>
          <w:tcPr>
            <w:tcW w:w="992" w:type="dxa"/>
            <w:tcBorders>
              <w:top w:val="thinThickSmallGap" w:sz="12" w:space="0" w:color="auto"/>
              <w:left w:val="single" w:sz="4" w:space="0" w:color="auto"/>
              <w:bottom w:val="double" w:sz="2" w:space="0" w:color="auto"/>
              <w:right w:val="single" w:sz="4" w:space="0" w:color="auto"/>
            </w:tcBorders>
            <w:shd w:val="clear" w:color="auto" w:fill="auto"/>
            <w:vAlign w:val="center"/>
          </w:tcPr>
          <w:p w14:paraId="2C6E163F"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rok 2015</w:t>
            </w:r>
          </w:p>
        </w:tc>
        <w:tc>
          <w:tcPr>
            <w:tcW w:w="992" w:type="dxa"/>
            <w:tcBorders>
              <w:top w:val="thinThickSmallGap" w:sz="12" w:space="0" w:color="auto"/>
              <w:left w:val="single" w:sz="4" w:space="0" w:color="auto"/>
              <w:bottom w:val="double" w:sz="2" w:space="0" w:color="auto"/>
              <w:right w:val="single" w:sz="4" w:space="0" w:color="auto"/>
            </w:tcBorders>
            <w:shd w:val="clear" w:color="auto" w:fill="auto"/>
            <w:vAlign w:val="center"/>
          </w:tcPr>
          <w:p w14:paraId="16584821"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rok 2016</w:t>
            </w:r>
          </w:p>
        </w:tc>
        <w:tc>
          <w:tcPr>
            <w:tcW w:w="1134" w:type="dxa"/>
            <w:tcBorders>
              <w:top w:val="thinThickSmallGap" w:sz="12" w:space="0" w:color="auto"/>
              <w:left w:val="single" w:sz="4" w:space="0" w:color="auto"/>
              <w:bottom w:val="double" w:sz="2" w:space="0" w:color="auto"/>
              <w:right w:val="single" w:sz="4" w:space="0" w:color="auto"/>
            </w:tcBorders>
            <w:shd w:val="clear" w:color="auto" w:fill="CCE0F8"/>
            <w:vAlign w:val="center"/>
          </w:tcPr>
          <w:p w14:paraId="53D3DA47"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Index</w:t>
            </w:r>
          </w:p>
          <w:p w14:paraId="0169A9CB"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w:t>
            </w:r>
          </w:p>
        </w:tc>
        <w:tc>
          <w:tcPr>
            <w:tcW w:w="992" w:type="dxa"/>
            <w:tcBorders>
              <w:top w:val="thinThickSmallGap" w:sz="12" w:space="0" w:color="auto"/>
              <w:left w:val="single" w:sz="4" w:space="0" w:color="auto"/>
              <w:bottom w:val="double" w:sz="2" w:space="0" w:color="auto"/>
              <w:right w:val="single" w:sz="4" w:space="0" w:color="auto"/>
            </w:tcBorders>
            <w:shd w:val="clear" w:color="auto" w:fill="auto"/>
            <w:vAlign w:val="center"/>
          </w:tcPr>
          <w:p w14:paraId="4DA3759C"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rok 2017</w:t>
            </w:r>
          </w:p>
        </w:tc>
        <w:tc>
          <w:tcPr>
            <w:tcW w:w="992" w:type="dxa"/>
            <w:tcBorders>
              <w:top w:val="thinThickSmallGap" w:sz="12" w:space="0" w:color="auto"/>
              <w:left w:val="single" w:sz="4" w:space="0" w:color="auto"/>
              <w:bottom w:val="double" w:sz="2" w:space="0" w:color="auto"/>
              <w:right w:val="single" w:sz="4" w:space="0" w:color="auto"/>
            </w:tcBorders>
            <w:shd w:val="clear" w:color="auto" w:fill="CCE0F8"/>
            <w:vAlign w:val="center"/>
          </w:tcPr>
          <w:p w14:paraId="12E3C99A"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Index</w:t>
            </w:r>
          </w:p>
          <w:p w14:paraId="47B9D56A"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w:t>
            </w:r>
          </w:p>
        </w:tc>
        <w:tc>
          <w:tcPr>
            <w:tcW w:w="992" w:type="dxa"/>
            <w:tcBorders>
              <w:top w:val="thinThickSmallGap" w:sz="12" w:space="0" w:color="auto"/>
              <w:left w:val="single" w:sz="4" w:space="0" w:color="auto"/>
              <w:bottom w:val="double" w:sz="2" w:space="0" w:color="auto"/>
              <w:right w:val="single" w:sz="4" w:space="0" w:color="auto"/>
            </w:tcBorders>
            <w:shd w:val="clear" w:color="auto" w:fill="auto"/>
          </w:tcPr>
          <w:p w14:paraId="3F3D0D63"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rok 2018</w:t>
            </w:r>
          </w:p>
        </w:tc>
        <w:tc>
          <w:tcPr>
            <w:tcW w:w="921" w:type="dxa"/>
            <w:tcBorders>
              <w:top w:val="thinThickSmallGap" w:sz="12" w:space="0" w:color="auto"/>
              <w:left w:val="single" w:sz="4" w:space="0" w:color="auto"/>
              <w:bottom w:val="double" w:sz="2" w:space="0" w:color="auto"/>
              <w:right w:val="thickThinSmallGap" w:sz="12" w:space="0" w:color="auto"/>
            </w:tcBorders>
            <w:shd w:val="clear" w:color="auto" w:fill="CCE0F8"/>
          </w:tcPr>
          <w:p w14:paraId="24376C8D"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Index</w:t>
            </w:r>
          </w:p>
          <w:p w14:paraId="7D4C320A"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w:t>
            </w:r>
          </w:p>
        </w:tc>
      </w:tr>
      <w:tr w:rsidR="003F69E6" w:rsidRPr="00710F6C" w14:paraId="5BA657B5" w14:textId="77777777" w:rsidTr="00D04528">
        <w:trPr>
          <w:trHeight w:val="338"/>
        </w:trPr>
        <w:tc>
          <w:tcPr>
            <w:tcW w:w="2127" w:type="dxa"/>
            <w:tcBorders>
              <w:top w:val="thinThickSmallGap" w:sz="12" w:space="0" w:color="auto"/>
              <w:left w:val="thinThickSmallGap" w:sz="12" w:space="0" w:color="auto"/>
              <w:bottom w:val="single" w:sz="6" w:space="0" w:color="auto"/>
            </w:tcBorders>
            <w:vAlign w:val="center"/>
          </w:tcPr>
          <w:p w14:paraId="03D4E1D7"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MS Praha</w:t>
            </w:r>
          </w:p>
        </w:tc>
        <w:tc>
          <w:tcPr>
            <w:tcW w:w="992" w:type="dxa"/>
            <w:tcBorders>
              <w:top w:val="double" w:sz="2" w:space="0" w:color="auto"/>
              <w:left w:val="single" w:sz="4" w:space="0" w:color="auto"/>
              <w:bottom w:val="single" w:sz="6" w:space="0" w:color="auto"/>
              <w:right w:val="single" w:sz="4" w:space="0" w:color="auto"/>
            </w:tcBorders>
            <w:shd w:val="clear" w:color="auto" w:fill="auto"/>
            <w:vAlign w:val="center"/>
          </w:tcPr>
          <w:p w14:paraId="18E8B147"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712,7</w:t>
            </w:r>
          </w:p>
        </w:tc>
        <w:tc>
          <w:tcPr>
            <w:tcW w:w="992" w:type="dxa"/>
            <w:tcBorders>
              <w:top w:val="double" w:sz="2" w:space="0" w:color="auto"/>
              <w:left w:val="single" w:sz="4" w:space="0" w:color="auto"/>
              <w:bottom w:val="single" w:sz="6" w:space="0" w:color="auto"/>
              <w:right w:val="single" w:sz="4" w:space="0" w:color="auto"/>
            </w:tcBorders>
            <w:shd w:val="clear" w:color="auto" w:fill="auto"/>
            <w:vAlign w:val="center"/>
          </w:tcPr>
          <w:p w14:paraId="31E59ECD"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753,3</w:t>
            </w:r>
          </w:p>
        </w:tc>
        <w:tc>
          <w:tcPr>
            <w:tcW w:w="1134" w:type="dxa"/>
            <w:tcBorders>
              <w:top w:val="double" w:sz="2" w:space="0" w:color="auto"/>
              <w:left w:val="single" w:sz="4" w:space="0" w:color="auto"/>
              <w:bottom w:val="single" w:sz="6" w:space="0" w:color="auto"/>
              <w:right w:val="single" w:sz="4" w:space="0" w:color="auto"/>
            </w:tcBorders>
            <w:shd w:val="clear" w:color="auto" w:fill="CCE0F8"/>
            <w:vAlign w:val="center"/>
          </w:tcPr>
          <w:p w14:paraId="5109E62E"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+5</w:t>
            </w:r>
          </w:p>
        </w:tc>
        <w:tc>
          <w:tcPr>
            <w:tcW w:w="992" w:type="dxa"/>
            <w:tcBorders>
              <w:top w:val="double" w:sz="2" w:space="0" w:color="auto"/>
              <w:left w:val="single" w:sz="4" w:space="0" w:color="auto"/>
              <w:bottom w:val="single" w:sz="6" w:space="0" w:color="auto"/>
              <w:right w:val="single" w:sz="4" w:space="0" w:color="auto"/>
            </w:tcBorders>
            <w:shd w:val="clear" w:color="auto" w:fill="auto"/>
            <w:vAlign w:val="center"/>
          </w:tcPr>
          <w:p w14:paraId="03D04609"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779,5</w:t>
            </w:r>
          </w:p>
        </w:tc>
        <w:tc>
          <w:tcPr>
            <w:tcW w:w="992" w:type="dxa"/>
            <w:tcBorders>
              <w:top w:val="double" w:sz="2" w:space="0" w:color="auto"/>
              <w:left w:val="single" w:sz="4" w:space="0" w:color="auto"/>
              <w:bottom w:val="single" w:sz="6" w:space="0" w:color="auto"/>
              <w:right w:val="single" w:sz="4" w:space="0" w:color="auto"/>
            </w:tcBorders>
            <w:shd w:val="clear" w:color="auto" w:fill="CCE0F8"/>
            <w:vAlign w:val="center"/>
          </w:tcPr>
          <w:p w14:paraId="681B7A2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+3,5</w:t>
            </w:r>
          </w:p>
        </w:tc>
        <w:tc>
          <w:tcPr>
            <w:tcW w:w="992" w:type="dxa"/>
            <w:tcBorders>
              <w:top w:val="double" w:sz="2" w:space="0" w:color="auto"/>
              <w:left w:val="single" w:sz="4" w:space="0" w:color="auto"/>
              <w:bottom w:val="single" w:sz="6" w:space="0" w:color="auto"/>
              <w:right w:val="single" w:sz="4" w:space="0" w:color="auto"/>
            </w:tcBorders>
            <w:shd w:val="clear" w:color="auto" w:fill="auto"/>
          </w:tcPr>
          <w:p w14:paraId="0129C419"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790,6</w:t>
            </w:r>
          </w:p>
        </w:tc>
        <w:tc>
          <w:tcPr>
            <w:tcW w:w="921" w:type="dxa"/>
            <w:tcBorders>
              <w:top w:val="double" w:sz="2" w:space="0" w:color="auto"/>
              <w:left w:val="single" w:sz="4" w:space="0" w:color="auto"/>
              <w:bottom w:val="single" w:sz="6" w:space="0" w:color="auto"/>
              <w:right w:val="thickThinSmallGap" w:sz="12" w:space="0" w:color="auto"/>
            </w:tcBorders>
            <w:shd w:val="clear" w:color="auto" w:fill="CCE0F8"/>
          </w:tcPr>
          <w:p w14:paraId="3A54A0B7"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+1,4</w:t>
            </w:r>
          </w:p>
        </w:tc>
      </w:tr>
      <w:tr w:rsidR="003F69E6" w:rsidRPr="00710F6C" w14:paraId="5F3D9113" w14:textId="77777777" w:rsidTr="00D04528">
        <w:trPr>
          <w:trHeight w:val="338"/>
        </w:trPr>
        <w:tc>
          <w:tcPr>
            <w:tcW w:w="2127" w:type="dxa"/>
            <w:tcBorders>
              <w:top w:val="single" w:sz="6" w:space="0" w:color="auto"/>
              <w:left w:val="thinThickSmallGap" w:sz="12" w:space="0" w:color="auto"/>
              <w:bottom w:val="single" w:sz="6" w:space="0" w:color="auto"/>
            </w:tcBorders>
            <w:vAlign w:val="center"/>
          </w:tcPr>
          <w:p w14:paraId="177FAE2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KS Praha</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184890CB"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726,0</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32E77CEF"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738,2</w:t>
            </w:r>
          </w:p>
        </w:tc>
        <w:tc>
          <w:tcPr>
            <w:tcW w:w="1134" w:type="dxa"/>
            <w:tcBorders>
              <w:top w:val="single" w:sz="6" w:space="0" w:color="auto"/>
              <w:left w:val="single" w:sz="4" w:space="0" w:color="auto"/>
              <w:bottom w:val="single" w:sz="6" w:space="0" w:color="auto"/>
              <w:right w:val="single" w:sz="4" w:space="0" w:color="auto"/>
            </w:tcBorders>
            <w:shd w:val="clear" w:color="auto" w:fill="CCE0F8"/>
            <w:vAlign w:val="center"/>
          </w:tcPr>
          <w:p w14:paraId="75B0B7B6"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1784A79F"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754,8</w:t>
            </w:r>
          </w:p>
        </w:tc>
        <w:tc>
          <w:tcPr>
            <w:tcW w:w="992" w:type="dxa"/>
            <w:tcBorders>
              <w:top w:val="single" w:sz="6" w:space="0" w:color="auto"/>
              <w:left w:val="single" w:sz="4" w:space="0" w:color="auto"/>
              <w:bottom w:val="single" w:sz="6" w:space="0" w:color="auto"/>
              <w:right w:val="single" w:sz="4" w:space="0" w:color="auto"/>
            </w:tcBorders>
            <w:shd w:val="clear" w:color="auto" w:fill="CCE0F8"/>
            <w:vAlign w:val="center"/>
          </w:tcPr>
          <w:p w14:paraId="571F44D2"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+2,2</w:t>
            </w:r>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659FFFC2"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769,3</w:t>
            </w:r>
          </w:p>
        </w:tc>
        <w:tc>
          <w:tcPr>
            <w:tcW w:w="921" w:type="dxa"/>
            <w:tcBorders>
              <w:top w:val="single" w:sz="6" w:space="0" w:color="auto"/>
              <w:left w:val="single" w:sz="4" w:space="0" w:color="auto"/>
              <w:bottom w:val="single" w:sz="6" w:space="0" w:color="auto"/>
              <w:right w:val="thickThinSmallGap" w:sz="12" w:space="0" w:color="auto"/>
            </w:tcBorders>
            <w:shd w:val="clear" w:color="auto" w:fill="CCE0F8"/>
          </w:tcPr>
          <w:p w14:paraId="46239CA7"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+1,9</w:t>
            </w:r>
          </w:p>
        </w:tc>
      </w:tr>
      <w:tr w:rsidR="003F69E6" w:rsidRPr="00710F6C" w14:paraId="7F9BACEE" w14:textId="77777777" w:rsidTr="00D04528">
        <w:trPr>
          <w:trHeight w:val="338"/>
        </w:trPr>
        <w:tc>
          <w:tcPr>
            <w:tcW w:w="2127" w:type="dxa"/>
            <w:tcBorders>
              <w:top w:val="single" w:sz="6" w:space="0" w:color="auto"/>
              <w:left w:val="thinThickSmallGap" w:sz="12" w:space="0" w:color="auto"/>
              <w:bottom w:val="single" w:sz="6" w:space="0" w:color="auto"/>
            </w:tcBorders>
            <w:vAlign w:val="center"/>
          </w:tcPr>
          <w:p w14:paraId="57F38102"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KS Č. Budějovice</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33A91447"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316,1</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87BA681"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331,4</w:t>
            </w:r>
          </w:p>
        </w:tc>
        <w:tc>
          <w:tcPr>
            <w:tcW w:w="1134" w:type="dxa"/>
            <w:tcBorders>
              <w:top w:val="single" w:sz="6" w:space="0" w:color="auto"/>
              <w:left w:val="single" w:sz="4" w:space="0" w:color="auto"/>
              <w:bottom w:val="single" w:sz="6" w:space="0" w:color="auto"/>
              <w:right w:val="single" w:sz="4" w:space="0" w:color="auto"/>
            </w:tcBorders>
            <w:shd w:val="clear" w:color="auto" w:fill="CCE0F8"/>
            <w:vAlign w:val="center"/>
          </w:tcPr>
          <w:p w14:paraId="3AAFA457"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+5</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F4072A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315,7</w:t>
            </w:r>
          </w:p>
        </w:tc>
        <w:tc>
          <w:tcPr>
            <w:tcW w:w="992" w:type="dxa"/>
            <w:tcBorders>
              <w:top w:val="single" w:sz="6" w:space="0" w:color="auto"/>
              <w:left w:val="single" w:sz="4" w:space="0" w:color="auto"/>
              <w:bottom w:val="single" w:sz="6" w:space="0" w:color="auto"/>
              <w:right w:val="single" w:sz="4" w:space="0" w:color="auto"/>
            </w:tcBorders>
            <w:shd w:val="clear" w:color="auto" w:fill="CCE0F8"/>
            <w:vAlign w:val="center"/>
          </w:tcPr>
          <w:p w14:paraId="667B2A5C"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-4,7</w:t>
            </w:r>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1E150688"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348,2</w:t>
            </w:r>
          </w:p>
        </w:tc>
        <w:tc>
          <w:tcPr>
            <w:tcW w:w="921" w:type="dxa"/>
            <w:tcBorders>
              <w:top w:val="single" w:sz="6" w:space="0" w:color="auto"/>
              <w:left w:val="single" w:sz="4" w:space="0" w:color="auto"/>
              <w:bottom w:val="single" w:sz="6" w:space="0" w:color="auto"/>
              <w:right w:val="thickThinSmallGap" w:sz="12" w:space="0" w:color="auto"/>
            </w:tcBorders>
            <w:shd w:val="clear" w:color="auto" w:fill="CCE0F8"/>
          </w:tcPr>
          <w:p w14:paraId="27A85398"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+10,3</w:t>
            </w:r>
          </w:p>
        </w:tc>
      </w:tr>
      <w:tr w:rsidR="003F69E6" w:rsidRPr="00710F6C" w14:paraId="48AE9F45" w14:textId="77777777" w:rsidTr="00D04528">
        <w:trPr>
          <w:trHeight w:val="338"/>
        </w:trPr>
        <w:tc>
          <w:tcPr>
            <w:tcW w:w="2127" w:type="dxa"/>
            <w:tcBorders>
              <w:top w:val="single" w:sz="6" w:space="0" w:color="auto"/>
              <w:left w:val="thinThickSmallGap" w:sz="12" w:space="0" w:color="auto"/>
              <w:bottom w:val="single" w:sz="6" w:space="0" w:color="auto"/>
            </w:tcBorders>
            <w:vAlign w:val="center"/>
          </w:tcPr>
          <w:p w14:paraId="124627F1"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KS Plzeň</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2876F73C"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521,0</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6F7727D"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526,7</w:t>
            </w:r>
          </w:p>
        </w:tc>
        <w:tc>
          <w:tcPr>
            <w:tcW w:w="1134" w:type="dxa"/>
            <w:tcBorders>
              <w:top w:val="single" w:sz="6" w:space="0" w:color="auto"/>
              <w:left w:val="single" w:sz="4" w:space="0" w:color="auto"/>
              <w:bottom w:val="single" w:sz="6" w:space="0" w:color="auto"/>
              <w:right w:val="single" w:sz="4" w:space="0" w:color="auto"/>
            </w:tcBorders>
            <w:shd w:val="clear" w:color="auto" w:fill="CCE0F8"/>
            <w:vAlign w:val="center"/>
          </w:tcPr>
          <w:p w14:paraId="0DF0205F"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501692D6"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539,9</w:t>
            </w:r>
          </w:p>
        </w:tc>
        <w:tc>
          <w:tcPr>
            <w:tcW w:w="992" w:type="dxa"/>
            <w:tcBorders>
              <w:top w:val="single" w:sz="6" w:space="0" w:color="auto"/>
              <w:left w:val="single" w:sz="4" w:space="0" w:color="auto"/>
              <w:bottom w:val="single" w:sz="6" w:space="0" w:color="auto"/>
              <w:right w:val="single" w:sz="4" w:space="0" w:color="auto"/>
            </w:tcBorders>
            <w:shd w:val="clear" w:color="auto" w:fill="CCE0F8"/>
            <w:vAlign w:val="center"/>
          </w:tcPr>
          <w:p w14:paraId="0D0BE9AC"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+2,5</w:t>
            </w:r>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1D101B5E"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546,8</w:t>
            </w:r>
          </w:p>
        </w:tc>
        <w:tc>
          <w:tcPr>
            <w:tcW w:w="921" w:type="dxa"/>
            <w:tcBorders>
              <w:top w:val="single" w:sz="6" w:space="0" w:color="auto"/>
              <w:left w:val="single" w:sz="4" w:space="0" w:color="auto"/>
              <w:bottom w:val="single" w:sz="6" w:space="0" w:color="auto"/>
              <w:right w:val="thickThinSmallGap" w:sz="12" w:space="0" w:color="auto"/>
            </w:tcBorders>
            <w:shd w:val="clear" w:color="auto" w:fill="CCE0F8"/>
          </w:tcPr>
          <w:p w14:paraId="0DF69B40"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+1,3</w:t>
            </w:r>
          </w:p>
        </w:tc>
      </w:tr>
      <w:tr w:rsidR="003F69E6" w:rsidRPr="00710F6C" w14:paraId="195C9A2A" w14:textId="77777777" w:rsidTr="00D04528">
        <w:trPr>
          <w:trHeight w:val="338"/>
        </w:trPr>
        <w:tc>
          <w:tcPr>
            <w:tcW w:w="2127" w:type="dxa"/>
            <w:tcBorders>
              <w:top w:val="single" w:sz="6" w:space="0" w:color="auto"/>
              <w:left w:val="thinThickSmallGap" w:sz="12" w:space="0" w:color="auto"/>
              <w:bottom w:val="single" w:sz="6" w:space="0" w:color="auto"/>
            </w:tcBorders>
            <w:vAlign w:val="center"/>
          </w:tcPr>
          <w:p w14:paraId="6E20FCAB"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KS Ústí n. L.</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028A2DD3"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761,7</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0A0CBB51"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793,2</w:t>
            </w:r>
          </w:p>
        </w:tc>
        <w:tc>
          <w:tcPr>
            <w:tcW w:w="1134" w:type="dxa"/>
            <w:tcBorders>
              <w:top w:val="single" w:sz="6" w:space="0" w:color="auto"/>
              <w:left w:val="single" w:sz="4" w:space="0" w:color="auto"/>
              <w:bottom w:val="single" w:sz="6" w:space="0" w:color="auto"/>
              <w:right w:val="single" w:sz="4" w:space="0" w:color="auto"/>
            </w:tcBorders>
            <w:shd w:val="clear" w:color="auto" w:fill="CCE0F8"/>
            <w:vAlign w:val="center"/>
          </w:tcPr>
          <w:p w14:paraId="257AC6BB"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+4</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226B628"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822,6</w:t>
            </w:r>
          </w:p>
        </w:tc>
        <w:tc>
          <w:tcPr>
            <w:tcW w:w="992" w:type="dxa"/>
            <w:tcBorders>
              <w:top w:val="single" w:sz="6" w:space="0" w:color="auto"/>
              <w:left w:val="single" w:sz="4" w:space="0" w:color="auto"/>
              <w:bottom w:val="single" w:sz="6" w:space="0" w:color="auto"/>
              <w:right w:val="single" w:sz="4" w:space="0" w:color="auto"/>
            </w:tcBorders>
            <w:shd w:val="clear" w:color="auto" w:fill="CCE0F8"/>
            <w:vAlign w:val="center"/>
          </w:tcPr>
          <w:p w14:paraId="5227235D"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+3,7</w:t>
            </w:r>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42848E90"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848,1</w:t>
            </w:r>
          </w:p>
        </w:tc>
        <w:tc>
          <w:tcPr>
            <w:tcW w:w="921" w:type="dxa"/>
            <w:tcBorders>
              <w:top w:val="single" w:sz="6" w:space="0" w:color="auto"/>
              <w:left w:val="single" w:sz="4" w:space="0" w:color="auto"/>
              <w:bottom w:val="single" w:sz="6" w:space="0" w:color="auto"/>
              <w:right w:val="thickThinSmallGap" w:sz="12" w:space="0" w:color="auto"/>
            </w:tcBorders>
            <w:shd w:val="clear" w:color="auto" w:fill="CCE0F8"/>
          </w:tcPr>
          <w:p w14:paraId="725DF3BD"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+3,1</w:t>
            </w:r>
          </w:p>
        </w:tc>
      </w:tr>
      <w:tr w:rsidR="003F69E6" w:rsidRPr="00710F6C" w14:paraId="33220832" w14:textId="77777777" w:rsidTr="00D04528">
        <w:trPr>
          <w:trHeight w:val="338"/>
        </w:trPr>
        <w:tc>
          <w:tcPr>
            <w:tcW w:w="2127" w:type="dxa"/>
            <w:tcBorders>
              <w:top w:val="single" w:sz="6" w:space="0" w:color="auto"/>
              <w:left w:val="thinThickSmallGap" w:sz="12" w:space="0" w:color="auto"/>
              <w:bottom w:val="single" w:sz="6" w:space="0" w:color="auto"/>
            </w:tcBorders>
            <w:vAlign w:val="center"/>
          </w:tcPr>
          <w:p w14:paraId="1093048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KS Hr. Králové</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3210BD3"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467,8</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55CF8F9E"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476,5</w:t>
            </w:r>
          </w:p>
        </w:tc>
        <w:tc>
          <w:tcPr>
            <w:tcW w:w="1134" w:type="dxa"/>
            <w:tcBorders>
              <w:top w:val="single" w:sz="6" w:space="0" w:color="auto"/>
              <w:left w:val="single" w:sz="4" w:space="0" w:color="auto"/>
              <w:bottom w:val="single" w:sz="6" w:space="0" w:color="auto"/>
              <w:right w:val="single" w:sz="4" w:space="0" w:color="auto"/>
            </w:tcBorders>
            <w:shd w:val="clear" w:color="auto" w:fill="CCE0F8"/>
            <w:vAlign w:val="center"/>
          </w:tcPr>
          <w:p w14:paraId="16C584E1"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+2</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32877578"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492,3</w:t>
            </w:r>
          </w:p>
        </w:tc>
        <w:tc>
          <w:tcPr>
            <w:tcW w:w="992" w:type="dxa"/>
            <w:tcBorders>
              <w:top w:val="single" w:sz="6" w:space="0" w:color="auto"/>
              <w:left w:val="single" w:sz="4" w:space="0" w:color="auto"/>
              <w:bottom w:val="single" w:sz="6" w:space="0" w:color="auto"/>
              <w:right w:val="single" w:sz="4" w:space="0" w:color="auto"/>
            </w:tcBorders>
            <w:shd w:val="clear" w:color="auto" w:fill="CCE0F8"/>
            <w:vAlign w:val="center"/>
          </w:tcPr>
          <w:p w14:paraId="11B24C3F"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+3,3</w:t>
            </w:r>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0023C397"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506,3</w:t>
            </w:r>
          </w:p>
        </w:tc>
        <w:tc>
          <w:tcPr>
            <w:tcW w:w="921" w:type="dxa"/>
            <w:tcBorders>
              <w:top w:val="single" w:sz="6" w:space="0" w:color="auto"/>
              <w:left w:val="single" w:sz="4" w:space="0" w:color="auto"/>
              <w:bottom w:val="single" w:sz="6" w:space="0" w:color="auto"/>
              <w:right w:val="thickThinSmallGap" w:sz="12" w:space="0" w:color="auto"/>
            </w:tcBorders>
            <w:shd w:val="clear" w:color="auto" w:fill="CCE0F8"/>
          </w:tcPr>
          <w:p w14:paraId="77131BE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+2,8</w:t>
            </w:r>
          </w:p>
        </w:tc>
      </w:tr>
      <w:tr w:rsidR="003F69E6" w:rsidRPr="00710F6C" w14:paraId="20C0C9D3" w14:textId="77777777" w:rsidTr="00D04528">
        <w:trPr>
          <w:trHeight w:val="338"/>
        </w:trPr>
        <w:tc>
          <w:tcPr>
            <w:tcW w:w="2127" w:type="dxa"/>
            <w:tcBorders>
              <w:top w:val="single" w:sz="6" w:space="0" w:color="auto"/>
              <w:left w:val="thinThickSmallGap" w:sz="12" w:space="0" w:color="auto"/>
              <w:bottom w:val="single" w:sz="6" w:space="0" w:color="auto"/>
            </w:tcBorders>
            <w:vAlign w:val="center"/>
          </w:tcPr>
          <w:p w14:paraId="3BA12C86"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KS Brno</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3135D9A9"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883,7</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9EBFF1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897,6</w:t>
            </w:r>
          </w:p>
        </w:tc>
        <w:tc>
          <w:tcPr>
            <w:tcW w:w="1134" w:type="dxa"/>
            <w:tcBorders>
              <w:top w:val="single" w:sz="6" w:space="0" w:color="auto"/>
              <w:left w:val="single" w:sz="4" w:space="0" w:color="auto"/>
              <w:bottom w:val="single" w:sz="6" w:space="0" w:color="auto"/>
              <w:right w:val="single" w:sz="4" w:space="0" w:color="auto"/>
            </w:tcBorders>
            <w:shd w:val="clear" w:color="auto" w:fill="CCE0F8"/>
            <w:vAlign w:val="center"/>
          </w:tcPr>
          <w:p w14:paraId="6DA5CEE6"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+2</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0CFF3A94"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918,6</w:t>
            </w:r>
          </w:p>
        </w:tc>
        <w:tc>
          <w:tcPr>
            <w:tcW w:w="992" w:type="dxa"/>
            <w:tcBorders>
              <w:top w:val="single" w:sz="6" w:space="0" w:color="auto"/>
              <w:left w:val="single" w:sz="4" w:space="0" w:color="auto"/>
              <w:bottom w:val="single" w:sz="6" w:space="0" w:color="auto"/>
              <w:right w:val="single" w:sz="4" w:space="0" w:color="auto"/>
            </w:tcBorders>
            <w:shd w:val="clear" w:color="auto" w:fill="CCE0F8"/>
            <w:vAlign w:val="center"/>
          </w:tcPr>
          <w:p w14:paraId="3676FE5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+2,3</w:t>
            </w:r>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0E07D00F"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920,0</w:t>
            </w:r>
          </w:p>
        </w:tc>
        <w:tc>
          <w:tcPr>
            <w:tcW w:w="921" w:type="dxa"/>
            <w:tcBorders>
              <w:top w:val="single" w:sz="6" w:space="0" w:color="auto"/>
              <w:left w:val="single" w:sz="4" w:space="0" w:color="auto"/>
              <w:bottom w:val="single" w:sz="6" w:space="0" w:color="auto"/>
              <w:right w:val="thickThinSmallGap" w:sz="12" w:space="0" w:color="auto"/>
            </w:tcBorders>
            <w:shd w:val="clear" w:color="auto" w:fill="CCE0F8"/>
          </w:tcPr>
          <w:p w14:paraId="5CC5865F"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+0,2</w:t>
            </w:r>
          </w:p>
        </w:tc>
      </w:tr>
      <w:tr w:rsidR="003F69E6" w:rsidRPr="00710F6C" w14:paraId="1B2B4388" w14:textId="77777777" w:rsidTr="00D04528">
        <w:trPr>
          <w:trHeight w:val="338"/>
        </w:trPr>
        <w:tc>
          <w:tcPr>
            <w:tcW w:w="2127" w:type="dxa"/>
            <w:tcBorders>
              <w:top w:val="single" w:sz="6" w:space="0" w:color="auto"/>
              <w:left w:val="thinThickSmallGap" w:sz="12" w:space="0" w:color="auto"/>
              <w:bottom w:val="single" w:sz="6" w:space="0" w:color="auto"/>
            </w:tcBorders>
            <w:vAlign w:val="center"/>
          </w:tcPr>
          <w:p w14:paraId="1F0B58EE"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KS Ostrava</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115F5B8F"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1 133,4</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1248402A"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1 179,5</w:t>
            </w:r>
          </w:p>
        </w:tc>
        <w:tc>
          <w:tcPr>
            <w:tcW w:w="1134" w:type="dxa"/>
            <w:tcBorders>
              <w:top w:val="single" w:sz="6" w:space="0" w:color="auto"/>
              <w:left w:val="single" w:sz="4" w:space="0" w:color="auto"/>
              <w:bottom w:val="single" w:sz="6" w:space="0" w:color="auto"/>
              <w:right w:val="single" w:sz="4" w:space="0" w:color="auto"/>
            </w:tcBorders>
            <w:shd w:val="clear" w:color="auto" w:fill="CCE0F8"/>
            <w:vAlign w:val="center"/>
          </w:tcPr>
          <w:p w14:paraId="78D23C1C"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+4</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3458E87F"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1 202,2</w:t>
            </w:r>
          </w:p>
        </w:tc>
        <w:tc>
          <w:tcPr>
            <w:tcW w:w="992" w:type="dxa"/>
            <w:tcBorders>
              <w:top w:val="single" w:sz="6" w:space="0" w:color="auto"/>
              <w:left w:val="single" w:sz="4" w:space="0" w:color="auto"/>
              <w:bottom w:val="single" w:sz="6" w:space="0" w:color="auto"/>
              <w:right w:val="single" w:sz="4" w:space="0" w:color="auto"/>
            </w:tcBorders>
            <w:shd w:val="clear" w:color="auto" w:fill="CCE0F8"/>
            <w:vAlign w:val="center"/>
          </w:tcPr>
          <w:p w14:paraId="51DC2062"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+1,9</w:t>
            </w:r>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04D33E0D"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1 147,5</w:t>
            </w:r>
          </w:p>
        </w:tc>
        <w:tc>
          <w:tcPr>
            <w:tcW w:w="921" w:type="dxa"/>
            <w:tcBorders>
              <w:top w:val="single" w:sz="6" w:space="0" w:color="auto"/>
              <w:left w:val="single" w:sz="4" w:space="0" w:color="auto"/>
              <w:bottom w:val="single" w:sz="6" w:space="0" w:color="auto"/>
              <w:right w:val="thickThinSmallGap" w:sz="12" w:space="0" w:color="auto"/>
            </w:tcBorders>
            <w:shd w:val="clear" w:color="auto" w:fill="CCE0F8"/>
          </w:tcPr>
          <w:p w14:paraId="37002229"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-4,5</w:t>
            </w:r>
          </w:p>
        </w:tc>
      </w:tr>
      <w:tr w:rsidR="003F69E6" w:rsidRPr="00710F6C" w14:paraId="2C268748" w14:textId="77777777" w:rsidTr="00D04528">
        <w:trPr>
          <w:trHeight w:val="338"/>
        </w:trPr>
        <w:tc>
          <w:tcPr>
            <w:tcW w:w="2127" w:type="dxa"/>
            <w:tcBorders>
              <w:top w:val="single" w:sz="6" w:space="0" w:color="auto"/>
              <w:left w:val="thinThickSmallGap" w:sz="12" w:space="0" w:color="auto"/>
              <w:bottom w:val="thickThinSmallGap" w:sz="12" w:space="0" w:color="auto"/>
            </w:tcBorders>
            <w:vAlign w:val="center"/>
          </w:tcPr>
          <w:p w14:paraId="65CA7A91"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VS + NS</w:t>
            </w:r>
          </w:p>
        </w:tc>
        <w:tc>
          <w:tcPr>
            <w:tcW w:w="992" w:type="dxa"/>
            <w:tcBorders>
              <w:top w:val="single" w:sz="6" w:space="0" w:color="auto"/>
              <w:left w:val="single" w:sz="4" w:space="0" w:color="auto"/>
              <w:bottom w:val="thickThinSmallGap" w:sz="12" w:space="0" w:color="auto"/>
              <w:right w:val="single" w:sz="4" w:space="0" w:color="auto"/>
            </w:tcBorders>
            <w:shd w:val="clear" w:color="auto" w:fill="auto"/>
            <w:vAlign w:val="center"/>
          </w:tcPr>
          <w:p w14:paraId="23CCF56D"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0,1</w:t>
            </w:r>
          </w:p>
        </w:tc>
        <w:tc>
          <w:tcPr>
            <w:tcW w:w="992" w:type="dxa"/>
            <w:tcBorders>
              <w:top w:val="single" w:sz="6" w:space="0" w:color="auto"/>
              <w:left w:val="single" w:sz="4" w:space="0" w:color="auto"/>
              <w:bottom w:val="thickThinSmallGap" w:sz="12" w:space="0" w:color="auto"/>
              <w:right w:val="single" w:sz="4" w:space="0" w:color="auto"/>
            </w:tcBorders>
            <w:shd w:val="clear" w:color="auto" w:fill="auto"/>
            <w:vAlign w:val="center"/>
          </w:tcPr>
          <w:p w14:paraId="08F02DE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0,1</w:t>
            </w:r>
          </w:p>
        </w:tc>
        <w:tc>
          <w:tcPr>
            <w:tcW w:w="1134" w:type="dxa"/>
            <w:tcBorders>
              <w:top w:val="single" w:sz="6" w:space="0" w:color="auto"/>
              <w:left w:val="single" w:sz="4" w:space="0" w:color="auto"/>
              <w:bottom w:val="thickThinSmallGap" w:sz="12" w:space="0" w:color="auto"/>
              <w:right w:val="single" w:sz="4" w:space="0" w:color="auto"/>
            </w:tcBorders>
            <w:shd w:val="clear" w:color="auto" w:fill="CCE0F8"/>
            <w:vAlign w:val="center"/>
          </w:tcPr>
          <w:p w14:paraId="011D4EC3"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 xml:space="preserve"> -</w:t>
            </w:r>
          </w:p>
        </w:tc>
        <w:tc>
          <w:tcPr>
            <w:tcW w:w="992" w:type="dxa"/>
            <w:tcBorders>
              <w:top w:val="single" w:sz="6" w:space="0" w:color="auto"/>
              <w:left w:val="single" w:sz="4" w:space="0" w:color="auto"/>
              <w:bottom w:val="thickThinSmallGap" w:sz="12" w:space="0" w:color="auto"/>
              <w:right w:val="single" w:sz="4" w:space="0" w:color="auto"/>
            </w:tcBorders>
            <w:shd w:val="clear" w:color="auto" w:fill="auto"/>
            <w:vAlign w:val="center"/>
          </w:tcPr>
          <w:p w14:paraId="5C633487"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0,1</w:t>
            </w:r>
          </w:p>
        </w:tc>
        <w:tc>
          <w:tcPr>
            <w:tcW w:w="992" w:type="dxa"/>
            <w:tcBorders>
              <w:top w:val="single" w:sz="6" w:space="0" w:color="auto"/>
              <w:left w:val="single" w:sz="4" w:space="0" w:color="auto"/>
              <w:bottom w:val="thickThinSmallGap" w:sz="12" w:space="0" w:color="auto"/>
              <w:right w:val="single" w:sz="4" w:space="0" w:color="auto"/>
            </w:tcBorders>
            <w:shd w:val="clear" w:color="auto" w:fill="CCE0F8"/>
            <w:vAlign w:val="center"/>
          </w:tcPr>
          <w:p w14:paraId="64E306E5"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0,0</w:t>
            </w:r>
          </w:p>
        </w:tc>
        <w:tc>
          <w:tcPr>
            <w:tcW w:w="992" w:type="dxa"/>
            <w:tcBorders>
              <w:top w:val="single" w:sz="6" w:space="0" w:color="auto"/>
              <w:left w:val="single" w:sz="4" w:space="0" w:color="auto"/>
              <w:bottom w:val="thickThinSmallGap" w:sz="12" w:space="0" w:color="auto"/>
              <w:right w:val="single" w:sz="4" w:space="0" w:color="auto"/>
            </w:tcBorders>
            <w:shd w:val="clear" w:color="auto" w:fill="auto"/>
          </w:tcPr>
          <w:p w14:paraId="748C5B0D" w14:textId="77777777" w:rsidR="003F69E6" w:rsidRPr="002E7310" w:rsidRDefault="003F69E6" w:rsidP="00D02699">
            <w:pPr>
              <w:spacing w:before="120" w:after="120"/>
              <w:rPr>
                <w:rFonts w:ascii="Times New Roman" w:hAnsi="Times New Roman" w:cs="Times New Roman"/>
                <w:bCs/>
                <w:sz w:val="20"/>
                <w:szCs w:val="20"/>
              </w:rPr>
            </w:pPr>
            <w:r w:rsidRPr="002E7310">
              <w:rPr>
                <w:rFonts w:ascii="Times New Roman" w:hAnsi="Times New Roman" w:cs="Times New Roman"/>
                <w:bCs/>
                <w:sz w:val="20"/>
                <w:szCs w:val="20"/>
              </w:rPr>
              <w:t>0,0</w:t>
            </w:r>
          </w:p>
        </w:tc>
        <w:tc>
          <w:tcPr>
            <w:tcW w:w="921" w:type="dxa"/>
            <w:tcBorders>
              <w:top w:val="single" w:sz="6" w:space="0" w:color="auto"/>
              <w:left w:val="single" w:sz="4" w:space="0" w:color="auto"/>
              <w:bottom w:val="thickThinSmallGap" w:sz="12" w:space="0" w:color="auto"/>
              <w:right w:val="thickThinSmallGap" w:sz="12" w:space="0" w:color="auto"/>
            </w:tcBorders>
            <w:shd w:val="clear" w:color="auto" w:fill="CCE0F8"/>
          </w:tcPr>
          <w:p w14:paraId="478DF616" w14:textId="77777777" w:rsidR="003F69E6" w:rsidRPr="0037070F" w:rsidRDefault="003F69E6" w:rsidP="00D02699">
            <w:pPr>
              <w:spacing w:before="120" w:after="120"/>
              <w:rPr>
                <w:rFonts w:ascii="Times New Roman" w:hAnsi="Times New Roman" w:cs="Times New Roman"/>
                <w:bCs/>
                <w:sz w:val="20"/>
                <w:szCs w:val="20"/>
              </w:rPr>
            </w:pPr>
            <w:r w:rsidRPr="0037070F">
              <w:rPr>
                <w:rFonts w:ascii="Times New Roman" w:hAnsi="Times New Roman" w:cs="Times New Roman"/>
                <w:bCs/>
                <w:sz w:val="20"/>
                <w:szCs w:val="20"/>
              </w:rPr>
              <w:t>0</w:t>
            </w:r>
          </w:p>
        </w:tc>
      </w:tr>
    </w:tbl>
    <w:p w14:paraId="5D208E1A" w14:textId="77777777" w:rsidR="001E5093" w:rsidRDefault="00710F6C" w:rsidP="00195A4B">
      <w:pPr>
        <w:spacing w:before="120"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Níže uvedené údaje</w:t>
      </w:r>
      <w:r w:rsidR="009C2B36">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ukazují, v jakém objemu </w:t>
      </w:r>
      <w:r w:rsidRPr="00710F6C">
        <w:rPr>
          <w:rFonts w:ascii="Times New Roman" w:eastAsia="Times New Roman" w:hAnsi="Times New Roman"/>
          <w:bCs/>
          <w:sz w:val="24"/>
          <w:szCs w:val="24"/>
        </w:rPr>
        <w:t>byly do evidencí všech soudů Č</w:t>
      </w:r>
      <w:r w:rsidR="004B4EA7">
        <w:rPr>
          <w:rFonts w:ascii="Times New Roman" w:eastAsia="Times New Roman" w:hAnsi="Times New Roman"/>
          <w:bCs/>
          <w:sz w:val="24"/>
          <w:szCs w:val="24"/>
        </w:rPr>
        <w:t>eské republiky</w:t>
      </w:r>
      <w:r w:rsidRPr="00710F6C">
        <w:rPr>
          <w:rFonts w:ascii="Times New Roman" w:eastAsia="Times New Roman" w:hAnsi="Times New Roman"/>
          <w:bCs/>
          <w:sz w:val="24"/>
          <w:szCs w:val="24"/>
        </w:rPr>
        <w:t xml:space="preserve"> </w:t>
      </w:r>
      <w:r w:rsidR="00AB16C9">
        <w:rPr>
          <w:rFonts w:ascii="Times New Roman" w:eastAsia="Times New Roman" w:hAnsi="Times New Roman"/>
          <w:bCs/>
          <w:sz w:val="24"/>
          <w:szCs w:val="24"/>
        </w:rPr>
        <w:t>v</w:t>
      </w:r>
      <w:r w:rsidRPr="00710F6C">
        <w:rPr>
          <w:rFonts w:ascii="Times New Roman" w:eastAsia="Times New Roman" w:hAnsi="Times New Roman"/>
          <w:bCs/>
          <w:sz w:val="24"/>
          <w:szCs w:val="24"/>
        </w:rPr>
        <w:t> roce 201</w:t>
      </w:r>
      <w:r w:rsidR="001E5093">
        <w:rPr>
          <w:rFonts w:ascii="Times New Roman" w:eastAsia="Times New Roman" w:hAnsi="Times New Roman"/>
          <w:bCs/>
          <w:sz w:val="24"/>
          <w:szCs w:val="24"/>
        </w:rPr>
        <w:t>8</w:t>
      </w:r>
      <w:r w:rsidRPr="00710F6C">
        <w:rPr>
          <w:rFonts w:ascii="Times New Roman" w:eastAsia="Times New Roman" w:hAnsi="Times New Roman"/>
          <w:bCs/>
          <w:sz w:val="24"/>
          <w:szCs w:val="24"/>
        </w:rPr>
        <w:t xml:space="preserve"> předepsány nově vzniklé pohledávky</w:t>
      </w:r>
      <w:r>
        <w:rPr>
          <w:rFonts w:ascii="Times New Roman" w:eastAsia="Times New Roman" w:hAnsi="Times New Roman"/>
          <w:bCs/>
          <w:sz w:val="24"/>
          <w:szCs w:val="24"/>
        </w:rPr>
        <w:t xml:space="preserve"> (vybrány </w:t>
      </w:r>
      <w:r w:rsidR="00AB16C9">
        <w:rPr>
          <w:rFonts w:ascii="Times New Roman" w:eastAsia="Times New Roman" w:hAnsi="Times New Roman"/>
          <w:bCs/>
          <w:sz w:val="24"/>
          <w:szCs w:val="24"/>
        </w:rPr>
        <w:t xml:space="preserve">jsou </w:t>
      </w:r>
      <w:r>
        <w:rPr>
          <w:rFonts w:ascii="Times New Roman" w:eastAsia="Times New Roman" w:hAnsi="Times New Roman"/>
          <w:bCs/>
          <w:sz w:val="24"/>
          <w:szCs w:val="24"/>
        </w:rPr>
        <w:t>pouze shora uvedené pohledávky související s trestním řízením):</w:t>
      </w:r>
    </w:p>
    <w:tbl>
      <w:tblPr>
        <w:tblpPr w:leftFromText="141" w:rightFromText="141" w:vertAnchor="text" w:horzAnchor="margin" w:tblpY="106"/>
        <w:tblW w:w="9142" w:type="dxa"/>
        <w:tblBorders>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4"/>
        <w:gridCol w:w="1646"/>
        <w:gridCol w:w="1912"/>
      </w:tblGrid>
      <w:tr w:rsidR="001E5093" w:rsidRPr="001E2E20" w14:paraId="37FA72E5" w14:textId="77777777" w:rsidTr="00BE4964">
        <w:trPr>
          <w:trHeight w:val="255"/>
        </w:trPr>
        <w:tc>
          <w:tcPr>
            <w:tcW w:w="5584" w:type="dxa"/>
            <w:tcBorders>
              <w:left w:val="nil"/>
              <w:bottom w:val="thinThickSmallGap" w:sz="12" w:space="0" w:color="auto"/>
              <w:right w:val="thinThickMediumGap" w:sz="12" w:space="0" w:color="333333"/>
            </w:tcBorders>
          </w:tcPr>
          <w:p w14:paraId="44F85715" w14:textId="77777777" w:rsidR="001E5093" w:rsidRPr="00BE4964" w:rsidRDefault="001E5093" w:rsidP="00D02699">
            <w:pPr>
              <w:spacing w:before="120" w:after="120"/>
              <w:rPr>
                <w:rFonts w:ascii="Times New Roman" w:hAnsi="Times New Roman" w:cs="Times New Roman"/>
                <w:bCs/>
                <w:sz w:val="20"/>
                <w:szCs w:val="20"/>
              </w:rPr>
            </w:pPr>
          </w:p>
        </w:tc>
        <w:tc>
          <w:tcPr>
            <w:tcW w:w="1646" w:type="dxa"/>
            <w:tcBorders>
              <w:top w:val="thinThickMediumGap" w:sz="12" w:space="0" w:color="333333"/>
              <w:left w:val="thinThickMediumGap" w:sz="12" w:space="0" w:color="333333"/>
            </w:tcBorders>
          </w:tcPr>
          <w:p w14:paraId="0631A017" w14:textId="77777777" w:rsidR="001E5093" w:rsidRPr="00BE4964" w:rsidRDefault="001E5093" w:rsidP="00D02699">
            <w:pPr>
              <w:spacing w:before="120" w:after="120"/>
              <w:jc w:val="center"/>
              <w:rPr>
                <w:rFonts w:ascii="Times New Roman" w:hAnsi="Times New Roman" w:cs="Times New Roman"/>
                <w:bCs/>
                <w:sz w:val="20"/>
                <w:szCs w:val="20"/>
              </w:rPr>
            </w:pPr>
            <w:r w:rsidRPr="00BE4964">
              <w:rPr>
                <w:rFonts w:ascii="Times New Roman" w:hAnsi="Times New Roman" w:cs="Times New Roman"/>
                <w:bCs/>
                <w:sz w:val="20"/>
                <w:szCs w:val="20"/>
              </w:rPr>
              <w:t>mil. Kč</w:t>
            </w:r>
          </w:p>
        </w:tc>
        <w:tc>
          <w:tcPr>
            <w:tcW w:w="1912" w:type="dxa"/>
            <w:tcBorders>
              <w:top w:val="thinThickMediumGap" w:sz="12" w:space="0" w:color="333333"/>
              <w:right w:val="thickThinMediumGap" w:sz="12" w:space="0" w:color="333333"/>
            </w:tcBorders>
          </w:tcPr>
          <w:p w14:paraId="38D75591" w14:textId="77777777" w:rsidR="001E5093" w:rsidRPr="00BE4964" w:rsidRDefault="001E5093" w:rsidP="00D02699">
            <w:pPr>
              <w:spacing w:before="120" w:after="120"/>
              <w:jc w:val="center"/>
              <w:rPr>
                <w:rFonts w:ascii="Times New Roman" w:hAnsi="Times New Roman" w:cs="Times New Roman"/>
                <w:bCs/>
                <w:sz w:val="20"/>
                <w:szCs w:val="20"/>
              </w:rPr>
            </w:pPr>
            <w:r w:rsidRPr="00BE4964">
              <w:rPr>
                <w:rFonts w:ascii="Times New Roman" w:hAnsi="Times New Roman" w:cs="Times New Roman"/>
                <w:bCs/>
                <w:sz w:val="20"/>
                <w:szCs w:val="20"/>
              </w:rPr>
              <w:t xml:space="preserve">v % </w:t>
            </w:r>
          </w:p>
        </w:tc>
      </w:tr>
      <w:tr w:rsidR="001E5093" w:rsidRPr="001E2E20" w14:paraId="0398E98D" w14:textId="77777777" w:rsidTr="00BE4964">
        <w:trPr>
          <w:trHeight w:val="283"/>
        </w:trPr>
        <w:tc>
          <w:tcPr>
            <w:tcW w:w="5584" w:type="dxa"/>
            <w:tcBorders>
              <w:top w:val="single" w:sz="4" w:space="0" w:color="auto"/>
              <w:left w:val="thinThickSmallGap" w:sz="12" w:space="0" w:color="auto"/>
              <w:right w:val="double" w:sz="6" w:space="0" w:color="auto"/>
            </w:tcBorders>
            <w:vAlign w:val="center"/>
          </w:tcPr>
          <w:p w14:paraId="1E167F27" w14:textId="77777777" w:rsidR="001E5093" w:rsidRPr="00BE4964" w:rsidRDefault="001E5093"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Náhrady za ustanovené advokáty</w:t>
            </w:r>
          </w:p>
        </w:tc>
        <w:tc>
          <w:tcPr>
            <w:tcW w:w="1646" w:type="dxa"/>
            <w:tcBorders>
              <w:top w:val="single" w:sz="4" w:space="0" w:color="auto"/>
              <w:left w:val="double" w:sz="6" w:space="0" w:color="auto"/>
            </w:tcBorders>
            <w:vAlign w:val="center"/>
          </w:tcPr>
          <w:p w14:paraId="6018CB57" w14:textId="77777777" w:rsidR="001E5093" w:rsidRPr="00BE4964" w:rsidRDefault="001E5093" w:rsidP="00D02699">
            <w:pPr>
              <w:spacing w:before="120" w:after="120"/>
              <w:jc w:val="center"/>
              <w:rPr>
                <w:rFonts w:ascii="Times New Roman" w:hAnsi="Times New Roman" w:cs="Times New Roman"/>
                <w:bCs/>
                <w:sz w:val="20"/>
                <w:szCs w:val="20"/>
              </w:rPr>
            </w:pPr>
            <w:r w:rsidRPr="00BE4964">
              <w:rPr>
                <w:rFonts w:ascii="Times New Roman" w:hAnsi="Times New Roman" w:cs="Times New Roman"/>
                <w:bCs/>
                <w:sz w:val="20"/>
                <w:szCs w:val="20"/>
              </w:rPr>
              <w:t>291,6</w:t>
            </w:r>
          </w:p>
        </w:tc>
        <w:tc>
          <w:tcPr>
            <w:tcW w:w="1912" w:type="dxa"/>
            <w:tcBorders>
              <w:top w:val="single" w:sz="4" w:space="0" w:color="auto"/>
              <w:right w:val="thickThinMediumGap" w:sz="12" w:space="0" w:color="333333"/>
            </w:tcBorders>
            <w:vAlign w:val="bottom"/>
          </w:tcPr>
          <w:p w14:paraId="323DB015" w14:textId="77777777" w:rsidR="001E5093" w:rsidRPr="00BE4964" w:rsidRDefault="001E5093" w:rsidP="00D02699">
            <w:pPr>
              <w:spacing w:before="120" w:after="120"/>
              <w:jc w:val="center"/>
              <w:rPr>
                <w:rFonts w:ascii="Times New Roman" w:hAnsi="Times New Roman" w:cs="Times New Roman"/>
                <w:bCs/>
                <w:sz w:val="20"/>
                <w:szCs w:val="20"/>
              </w:rPr>
            </w:pPr>
            <w:r w:rsidRPr="00BE4964">
              <w:rPr>
                <w:rFonts w:ascii="Times New Roman" w:hAnsi="Times New Roman" w:cs="Times New Roman"/>
                <w:bCs/>
                <w:sz w:val="20"/>
                <w:szCs w:val="20"/>
              </w:rPr>
              <w:t>26,3</w:t>
            </w:r>
          </w:p>
        </w:tc>
      </w:tr>
      <w:tr w:rsidR="001E5093" w:rsidRPr="001E2E20" w14:paraId="77E6A183" w14:textId="77777777" w:rsidTr="00BE4964">
        <w:trPr>
          <w:trHeight w:val="283"/>
        </w:trPr>
        <w:tc>
          <w:tcPr>
            <w:tcW w:w="5584" w:type="dxa"/>
            <w:tcBorders>
              <w:top w:val="single" w:sz="4" w:space="0" w:color="auto"/>
              <w:left w:val="thinThickSmallGap" w:sz="12" w:space="0" w:color="auto"/>
              <w:bottom w:val="single" w:sz="4" w:space="0" w:color="auto"/>
              <w:right w:val="double" w:sz="6" w:space="0" w:color="auto"/>
            </w:tcBorders>
            <w:vAlign w:val="center"/>
          </w:tcPr>
          <w:p w14:paraId="1C448A7C" w14:textId="77777777" w:rsidR="001E5093" w:rsidRPr="00BE4964" w:rsidRDefault="001E5093"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Náklady trestního řízení</w:t>
            </w:r>
          </w:p>
        </w:tc>
        <w:tc>
          <w:tcPr>
            <w:tcW w:w="1646" w:type="dxa"/>
            <w:tcBorders>
              <w:top w:val="single" w:sz="4" w:space="0" w:color="auto"/>
              <w:left w:val="double" w:sz="6" w:space="0" w:color="auto"/>
              <w:bottom w:val="single" w:sz="4" w:space="0" w:color="auto"/>
            </w:tcBorders>
            <w:vAlign w:val="center"/>
          </w:tcPr>
          <w:p w14:paraId="0C817CBC" w14:textId="77777777" w:rsidR="001E5093" w:rsidRPr="00BE4964" w:rsidRDefault="001E5093" w:rsidP="00D02699">
            <w:pPr>
              <w:spacing w:before="120" w:after="120"/>
              <w:jc w:val="center"/>
              <w:rPr>
                <w:rFonts w:ascii="Times New Roman" w:hAnsi="Times New Roman" w:cs="Times New Roman"/>
                <w:bCs/>
                <w:sz w:val="20"/>
                <w:szCs w:val="20"/>
              </w:rPr>
            </w:pPr>
            <w:r w:rsidRPr="00BE4964">
              <w:rPr>
                <w:rFonts w:ascii="Times New Roman" w:hAnsi="Times New Roman" w:cs="Times New Roman"/>
                <w:bCs/>
                <w:sz w:val="20"/>
                <w:szCs w:val="20"/>
              </w:rPr>
              <w:t>247,8</w:t>
            </w:r>
          </w:p>
        </w:tc>
        <w:tc>
          <w:tcPr>
            <w:tcW w:w="1912" w:type="dxa"/>
            <w:tcBorders>
              <w:top w:val="single" w:sz="4" w:space="0" w:color="auto"/>
              <w:bottom w:val="single" w:sz="4" w:space="0" w:color="auto"/>
              <w:right w:val="thickThinMediumGap" w:sz="12" w:space="0" w:color="333333"/>
            </w:tcBorders>
            <w:vAlign w:val="bottom"/>
          </w:tcPr>
          <w:p w14:paraId="5E9AE8EC" w14:textId="77777777" w:rsidR="001E5093" w:rsidRPr="00BE4964" w:rsidRDefault="001E5093" w:rsidP="00D02699">
            <w:pPr>
              <w:spacing w:before="120" w:after="120"/>
              <w:jc w:val="center"/>
              <w:rPr>
                <w:rFonts w:ascii="Times New Roman" w:hAnsi="Times New Roman" w:cs="Times New Roman"/>
                <w:bCs/>
                <w:sz w:val="20"/>
                <w:szCs w:val="20"/>
              </w:rPr>
            </w:pPr>
            <w:r w:rsidRPr="00BE4964">
              <w:rPr>
                <w:rFonts w:ascii="Times New Roman" w:hAnsi="Times New Roman" w:cs="Times New Roman"/>
                <w:bCs/>
                <w:sz w:val="20"/>
                <w:szCs w:val="20"/>
              </w:rPr>
              <w:t>22,4</w:t>
            </w:r>
          </w:p>
        </w:tc>
      </w:tr>
      <w:tr w:rsidR="001E5093" w:rsidRPr="001E2E20" w14:paraId="6D9A1EC1" w14:textId="77777777" w:rsidTr="00BE4964">
        <w:trPr>
          <w:trHeight w:val="283"/>
        </w:trPr>
        <w:tc>
          <w:tcPr>
            <w:tcW w:w="5584" w:type="dxa"/>
            <w:tcBorders>
              <w:top w:val="single" w:sz="4" w:space="0" w:color="auto"/>
              <w:left w:val="thinThickSmallGap" w:sz="12" w:space="0" w:color="auto"/>
              <w:bottom w:val="thickThinMediumGap" w:sz="12" w:space="0" w:color="333333"/>
              <w:right w:val="double" w:sz="6" w:space="0" w:color="auto"/>
            </w:tcBorders>
            <w:vAlign w:val="center"/>
          </w:tcPr>
          <w:p w14:paraId="65CF217D" w14:textId="77777777" w:rsidR="001E5093" w:rsidRPr="00BE4964" w:rsidRDefault="001E5093" w:rsidP="00BE4964">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Peněžité tresty dle právní úpravy od 1.</w:t>
            </w:r>
            <w:r w:rsidR="00BE4964">
              <w:rPr>
                <w:rFonts w:ascii="Times New Roman" w:hAnsi="Times New Roman" w:cs="Times New Roman"/>
                <w:bCs/>
                <w:sz w:val="20"/>
                <w:szCs w:val="20"/>
              </w:rPr>
              <w:t xml:space="preserve"> </w:t>
            </w:r>
            <w:r w:rsidRPr="00BE4964">
              <w:rPr>
                <w:rFonts w:ascii="Times New Roman" w:hAnsi="Times New Roman" w:cs="Times New Roman"/>
                <w:bCs/>
                <w:sz w:val="20"/>
                <w:szCs w:val="20"/>
              </w:rPr>
              <w:t>1.</w:t>
            </w:r>
            <w:r w:rsidR="00BE4964">
              <w:rPr>
                <w:rFonts w:ascii="Times New Roman" w:hAnsi="Times New Roman" w:cs="Times New Roman"/>
                <w:bCs/>
                <w:sz w:val="20"/>
                <w:szCs w:val="20"/>
              </w:rPr>
              <w:t xml:space="preserve"> </w:t>
            </w:r>
            <w:r w:rsidRPr="00BE4964">
              <w:rPr>
                <w:rFonts w:ascii="Times New Roman" w:hAnsi="Times New Roman" w:cs="Times New Roman"/>
                <w:bCs/>
                <w:sz w:val="20"/>
                <w:szCs w:val="20"/>
              </w:rPr>
              <w:t>2010</w:t>
            </w:r>
          </w:p>
        </w:tc>
        <w:tc>
          <w:tcPr>
            <w:tcW w:w="1646" w:type="dxa"/>
            <w:tcBorders>
              <w:top w:val="single" w:sz="4" w:space="0" w:color="auto"/>
              <w:left w:val="double" w:sz="6" w:space="0" w:color="auto"/>
              <w:bottom w:val="thickThinMediumGap" w:sz="12" w:space="0" w:color="333333"/>
            </w:tcBorders>
            <w:vAlign w:val="center"/>
          </w:tcPr>
          <w:p w14:paraId="56449ED6" w14:textId="77777777" w:rsidR="001E5093" w:rsidRPr="00BE4964" w:rsidRDefault="001E5093" w:rsidP="00D02699">
            <w:pPr>
              <w:spacing w:before="120" w:after="120"/>
              <w:jc w:val="center"/>
              <w:rPr>
                <w:rFonts w:ascii="Times New Roman" w:hAnsi="Times New Roman" w:cs="Times New Roman"/>
                <w:bCs/>
                <w:sz w:val="20"/>
                <w:szCs w:val="20"/>
              </w:rPr>
            </w:pPr>
            <w:r w:rsidRPr="00BE4964">
              <w:rPr>
                <w:rFonts w:ascii="Times New Roman" w:hAnsi="Times New Roman" w:cs="Times New Roman"/>
                <w:bCs/>
                <w:sz w:val="20"/>
                <w:szCs w:val="20"/>
              </w:rPr>
              <w:t>314,4</w:t>
            </w:r>
          </w:p>
        </w:tc>
        <w:tc>
          <w:tcPr>
            <w:tcW w:w="1912" w:type="dxa"/>
            <w:tcBorders>
              <w:top w:val="single" w:sz="4" w:space="0" w:color="auto"/>
              <w:bottom w:val="thickThinMediumGap" w:sz="12" w:space="0" w:color="333333"/>
              <w:right w:val="thickThinMediumGap" w:sz="12" w:space="0" w:color="333333"/>
            </w:tcBorders>
            <w:vAlign w:val="bottom"/>
          </w:tcPr>
          <w:p w14:paraId="218E5D33" w14:textId="77777777" w:rsidR="001E5093" w:rsidRPr="00BE4964" w:rsidRDefault="001E5093" w:rsidP="00D02699">
            <w:pPr>
              <w:spacing w:before="120" w:after="120"/>
              <w:jc w:val="center"/>
              <w:rPr>
                <w:rFonts w:ascii="Times New Roman" w:hAnsi="Times New Roman" w:cs="Times New Roman"/>
                <w:bCs/>
                <w:sz w:val="20"/>
                <w:szCs w:val="20"/>
              </w:rPr>
            </w:pPr>
            <w:r w:rsidRPr="00BE4964">
              <w:rPr>
                <w:rFonts w:ascii="Times New Roman" w:hAnsi="Times New Roman" w:cs="Times New Roman"/>
                <w:bCs/>
                <w:sz w:val="20"/>
                <w:szCs w:val="20"/>
              </w:rPr>
              <w:t>28,4</w:t>
            </w:r>
          </w:p>
        </w:tc>
      </w:tr>
    </w:tbl>
    <w:p w14:paraId="4C9AB8EA" w14:textId="77777777" w:rsidR="008F4DF3" w:rsidRDefault="008F4DF3" w:rsidP="008F4DF3">
      <w:pPr>
        <w:spacing w:before="120" w:after="120" w:line="240" w:lineRule="auto"/>
        <w:jc w:val="both"/>
        <w:rPr>
          <w:rFonts w:ascii="Times New Roman" w:eastAsia="Calibri" w:hAnsi="Times New Roman" w:cs="Times New Roman"/>
          <w:sz w:val="24"/>
        </w:rPr>
      </w:pPr>
      <w:r w:rsidRPr="008F4DF3">
        <w:rPr>
          <w:rFonts w:ascii="Times New Roman" w:eastAsia="Calibri" w:hAnsi="Times New Roman" w:cs="Times New Roman"/>
          <w:sz w:val="24"/>
        </w:rPr>
        <w:t>Co se týče úspěšnosti vybírání a vymáhání těchto pohledávek, je poměrně nízká. Poměr přijatých plateb v r. 201</w:t>
      </w:r>
      <w:r w:rsidR="008D15B0">
        <w:rPr>
          <w:rFonts w:ascii="Times New Roman" w:eastAsia="Calibri" w:hAnsi="Times New Roman" w:cs="Times New Roman"/>
          <w:sz w:val="24"/>
        </w:rPr>
        <w:t>8</w:t>
      </w:r>
      <w:r w:rsidRPr="008F4DF3">
        <w:rPr>
          <w:rFonts w:ascii="Times New Roman" w:eastAsia="Calibri" w:hAnsi="Times New Roman" w:cs="Times New Roman"/>
          <w:sz w:val="24"/>
        </w:rPr>
        <w:t xml:space="preserve"> k objemu pohledávek podléhajících daňovému režimu evidovaných v tomto roce soudy, státními zastupitelství a Vězeňskou službou (tj. k součtu počátečního </w:t>
      </w:r>
      <w:r w:rsidRPr="008F4DF3">
        <w:rPr>
          <w:rFonts w:ascii="Times New Roman" w:eastAsia="Calibri" w:hAnsi="Times New Roman" w:cs="Times New Roman"/>
          <w:sz w:val="24"/>
        </w:rPr>
        <w:lastRenderedPageBreak/>
        <w:t>zůstatku k 1. 1. 201</w:t>
      </w:r>
      <w:r w:rsidR="008D15B0">
        <w:rPr>
          <w:rFonts w:ascii="Times New Roman" w:eastAsia="Calibri" w:hAnsi="Times New Roman" w:cs="Times New Roman"/>
          <w:sz w:val="24"/>
        </w:rPr>
        <w:t>8</w:t>
      </w:r>
      <w:r w:rsidRPr="008F4DF3">
        <w:rPr>
          <w:rFonts w:ascii="Times New Roman" w:eastAsia="Calibri" w:hAnsi="Times New Roman" w:cs="Times New Roman"/>
          <w:sz w:val="24"/>
        </w:rPr>
        <w:t xml:space="preserve"> a nápadu v roce 201</w:t>
      </w:r>
      <w:r w:rsidR="008D15B0">
        <w:rPr>
          <w:rFonts w:ascii="Times New Roman" w:eastAsia="Calibri" w:hAnsi="Times New Roman" w:cs="Times New Roman"/>
          <w:sz w:val="24"/>
        </w:rPr>
        <w:t>8</w:t>
      </w:r>
      <w:r w:rsidRPr="008F4DF3">
        <w:rPr>
          <w:rFonts w:ascii="Times New Roman" w:eastAsia="Calibri" w:hAnsi="Times New Roman" w:cs="Times New Roman"/>
          <w:sz w:val="24"/>
        </w:rPr>
        <w:t>) a k nápadu v roce 201</w:t>
      </w:r>
      <w:r w:rsidR="008D15B0">
        <w:rPr>
          <w:rFonts w:ascii="Times New Roman" w:eastAsia="Calibri" w:hAnsi="Times New Roman" w:cs="Times New Roman"/>
          <w:sz w:val="24"/>
        </w:rPr>
        <w:t>8</w:t>
      </w:r>
      <w:r w:rsidRPr="008F4DF3">
        <w:rPr>
          <w:rFonts w:ascii="Times New Roman" w:eastAsia="Calibri" w:hAnsi="Times New Roman" w:cs="Times New Roman"/>
          <w:sz w:val="24"/>
        </w:rPr>
        <w:t xml:space="preserve"> demonstruje následující tabulka: </w:t>
      </w:r>
    </w:p>
    <w:tbl>
      <w:tblPr>
        <w:tblStyle w:val="Mkatabulky1"/>
        <w:tblW w:w="0" w:type="auto"/>
        <w:tblLook w:val="04A0" w:firstRow="1" w:lastRow="0" w:firstColumn="1" w:lastColumn="0" w:noHBand="0" w:noVBand="1"/>
      </w:tblPr>
      <w:tblGrid>
        <w:gridCol w:w="4644"/>
        <w:gridCol w:w="2268"/>
        <w:gridCol w:w="2300"/>
      </w:tblGrid>
      <w:tr w:rsidR="008D15B0" w:rsidRPr="008F4DF3" w14:paraId="38FB67BD" w14:textId="77777777" w:rsidTr="00D02699">
        <w:tc>
          <w:tcPr>
            <w:tcW w:w="4644" w:type="dxa"/>
            <w:tcBorders>
              <w:top w:val="nil"/>
              <w:left w:val="nil"/>
              <w:bottom w:val="thickThinMediumGap" w:sz="12" w:space="0" w:color="333333"/>
              <w:right w:val="thickThinMediumGap" w:sz="12" w:space="0" w:color="333333"/>
            </w:tcBorders>
          </w:tcPr>
          <w:p w14:paraId="66B4CAF0" w14:textId="77777777" w:rsidR="008D15B0" w:rsidRPr="00BE4964" w:rsidRDefault="008D15B0" w:rsidP="00D02699">
            <w:pPr>
              <w:spacing w:before="120"/>
              <w:jc w:val="both"/>
              <w:rPr>
                <w:rFonts w:ascii="Times New Roman" w:hAnsi="Times New Roman"/>
              </w:rPr>
            </w:pPr>
          </w:p>
        </w:tc>
        <w:tc>
          <w:tcPr>
            <w:tcW w:w="2268" w:type="dxa"/>
            <w:tcBorders>
              <w:top w:val="thickThinMediumGap" w:sz="12" w:space="0" w:color="333333"/>
              <w:left w:val="thickThinMediumGap" w:sz="12" w:space="0" w:color="333333"/>
            </w:tcBorders>
          </w:tcPr>
          <w:p w14:paraId="40DA4289"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Úspěšnost vymáhání celková</w:t>
            </w:r>
          </w:p>
        </w:tc>
        <w:tc>
          <w:tcPr>
            <w:tcW w:w="2300" w:type="dxa"/>
            <w:tcBorders>
              <w:top w:val="thickThinMediumGap" w:sz="12" w:space="0" w:color="333333"/>
              <w:right w:val="thickThinMediumGap" w:sz="12" w:space="0" w:color="333333"/>
            </w:tcBorders>
          </w:tcPr>
          <w:p w14:paraId="10376A73"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Úspěšnost vymáhání z nápadu r. 2018</w:t>
            </w:r>
          </w:p>
        </w:tc>
      </w:tr>
      <w:tr w:rsidR="008D15B0" w:rsidRPr="008F4DF3" w14:paraId="670213E6" w14:textId="77777777" w:rsidTr="00D02699">
        <w:tc>
          <w:tcPr>
            <w:tcW w:w="4644" w:type="dxa"/>
            <w:tcBorders>
              <w:top w:val="thickThinMediumGap" w:sz="12" w:space="0" w:color="333333"/>
              <w:left w:val="thickThinMediumGap" w:sz="12" w:space="0" w:color="333333"/>
            </w:tcBorders>
            <w:vAlign w:val="bottom"/>
          </w:tcPr>
          <w:p w14:paraId="1FC78CB6" w14:textId="77777777" w:rsidR="008D15B0" w:rsidRPr="00BE4964" w:rsidRDefault="008D15B0" w:rsidP="00D02699">
            <w:pPr>
              <w:spacing w:before="120" w:after="120"/>
              <w:rPr>
                <w:rFonts w:ascii="Times New Roman" w:hAnsi="Times New Roman"/>
                <w:bCs/>
              </w:rPr>
            </w:pPr>
            <w:r w:rsidRPr="00BE4964">
              <w:rPr>
                <w:rFonts w:ascii="Times New Roman" w:hAnsi="Times New Roman"/>
                <w:bCs/>
              </w:rPr>
              <w:t>Náhrady za ustanovené advokáty</w:t>
            </w:r>
          </w:p>
        </w:tc>
        <w:tc>
          <w:tcPr>
            <w:tcW w:w="2268" w:type="dxa"/>
            <w:vAlign w:val="bottom"/>
          </w:tcPr>
          <w:p w14:paraId="456DEDCB"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4,2 %</w:t>
            </w:r>
          </w:p>
        </w:tc>
        <w:tc>
          <w:tcPr>
            <w:tcW w:w="2300" w:type="dxa"/>
            <w:tcBorders>
              <w:right w:val="thickThinMediumGap" w:sz="12" w:space="0" w:color="333333"/>
            </w:tcBorders>
            <w:vAlign w:val="bottom"/>
          </w:tcPr>
          <w:p w14:paraId="2548701F"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6,4 %</w:t>
            </w:r>
          </w:p>
        </w:tc>
      </w:tr>
      <w:tr w:rsidR="008D15B0" w:rsidRPr="008F4DF3" w14:paraId="143ED5FB" w14:textId="77777777" w:rsidTr="00D02699">
        <w:tc>
          <w:tcPr>
            <w:tcW w:w="4644" w:type="dxa"/>
            <w:tcBorders>
              <w:left w:val="thickThinMediumGap" w:sz="12" w:space="0" w:color="333333"/>
            </w:tcBorders>
            <w:vAlign w:val="bottom"/>
          </w:tcPr>
          <w:p w14:paraId="55C25910" w14:textId="77777777" w:rsidR="008D15B0" w:rsidRPr="00BE4964" w:rsidRDefault="008D15B0" w:rsidP="00D02699">
            <w:pPr>
              <w:spacing w:before="120" w:after="120"/>
              <w:rPr>
                <w:rFonts w:ascii="Times New Roman" w:hAnsi="Times New Roman"/>
                <w:bCs/>
              </w:rPr>
            </w:pPr>
            <w:r w:rsidRPr="00BE4964">
              <w:rPr>
                <w:rFonts w:ascii="Times New Roman" w:hAnsi="Times New Roman"/>
                <w:bCs/>
              </w:rPr>
              <w:t>Náklady trestního řízení</w:t>
            </w:r>
          </w:p>
        </w:tc>
        <w:tc>
          <w:tcPr>
            <w:tcW w:w="2268" w:type="dxa"/>
            <w:vAlign w:val="bottom"/>
          </w:tcPr>
          <w:p w14:paraId="1BDF93FB"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9,7 %</w:t>
            </w:r>
          </w:p>
        </w:tc>
        <w:tc>
          <w:tcPr>
            <w:tcW w:w="2300" w:type="dxa"/>
            <w:tcBorders>
              <w:right w:val="thickThinMediumGap" w:sz="12" w:space="0" w:color="333333"/>
            </w:tcBorders>
            <w:vAlign w:val="bottom"/>
          </w:tcPr>
          <w:p w14:paraId="6B3CBD80"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33,7 %</w:t>
            </w:r>
          </w:p>
        </w:tc>
      </w:tr>
      <w:tr w:rsidR="008D15B0" w:rsidRPr="008F4DF3" w14:paraId="08787B2B" w14:textId="77777777" w:rsidTr="00D02699">
        <w:tc>
          <w:tcPr>
            <w:tcW w:w="4644" w:type="dxa"/>
            <w:tcBorders>
              <w:left w:val="thickThinMediumGap" w:sz="12" w:space="0" w:color="333333"/>
            </w:tcBorders>
            <w:vAlign w:val="bottom"/>
          </w:tcPr>
          <w:p w14:paraId="49A3C909" w14:textId="23FE32BA" w:rsidR="008D15B0" w:rsidRPr="00BE4964" w:rsidRDefault="008926A9" w:rsidP="00D02699">
            <w:pPr>
              <w:spacing w:before="120" w:after="120"/>
              <w:rPr>
                <w:rFonts w:ascii="Times New Roman" w:hAnsi="Times New Roman"/>
                <w:bCs/>
              </w:rPr>
            </w:pPr>
            <w:r>
              <w:rPr>
                <w:rFonts w:ascii="Times New Roman" w:hAnsi="Times New Roman"/>
                <w:bCs/>
              </w:rPr>
              <w:t>Peněžité tresty</w:t>
            </w:r>
          </w:p>
        </w:tc>
        <w:tc>
          <w:tcPr>
            <w:tcW w:w="2268" w:type="dxa"/>
            <w:vAlign w:val="bottom"/>
          </w:tcPr>
          <w:p w14:paraId="2B6449B8"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54,6 %</w:t>
            </w:r>
          </w:p>
        </w:tc>
        <w:tc>
          <w:tcPr>
            <w:tcW w:w="2300" w:type="dxa"/>
            <w:tcBorders>
              <w:right w:val="thickThinMediumGap" w:sz="12" w:space="0" w:color="333333"/>
            </w:tcBorders>
            <w:vAlign w:val="bottom"/>
          </w:tcPr>
          <w:p w14:paraId="416CDD74"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70,2 %</w:t>
            </w:r>
          </w:p>
        </w:tc>
      </w:tr>
      <w:tr w:rsidR="008D15B0" w:rsidRPr="008F4DF3" w14:paraId="48CBA747" w14:textId="77777777" w:rsidTr="00D02699">
        <w:tc>
          <w:tcPr>
            <w:tcW w:w="4644" w:type="dxa"/>
            <w:tcBorders>
              <w:left w:val="thickThinMediumGap" w:sz="12" w:space="0" w:color="333333"/>
              <w:bottom w:val="thickThinMediumGap" w:sz="12" w:space="0" w:color="333333"/>
            </w:tcBorders>
            <w:vAlign w:val="bottom"/>
          </w:tcPr>
          <w:p w14:paraId="1119D3CD" w14:textId="77777777" w:rsidR="008D15B0" w:rsidRPr="00BE4964" w:rsidRDefault="008D15B0" w:rsidP="00D02699">
            <w:pPr>
              <w:spacing w:before="120" w:after="120"/>
              <w:rPr>
                <w:rFonts w:ascii="Times New Roman" w:hAnsi="Times New Roman"/>
                <w:bCs/>
              </w:rPr>
            </w:pPr>
            <w:r w:rsidRPr="00BE4964">
              <w:rPr>
                <w:rFonts w:ascii="Times New Roman" w:hAnsi="Times New Roman"/>
                <w:bCs/>
              </w:rPr>
              <w:t>Všechny daňové pohledávky souhrnně</w:t>
            </w:r>
          </w:p>
        </w:tc>
        <w:tc>
          <w:tcPr>
            <w:tcW w:w="2268" w:type="dxa"/>
            <w:tcBorders>
              <w:bottom w:val="thickThinMediumGap" w:sz="12" w:space="0" w:color="333333"/>
            </w:tcBorders>
            <w:vAlign w:val="bottom"/>
          </w:tcPr>
          <w:p w14:paraId="26DF1546"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10,8 %</w:t>
            </w:r>
          </w:p>
        </w:tc>
        <w:tc>
          <w:tcPr>
            <w:tcW w:w="2300" w:type="dxa"/>
            <w:tcBorders>
              <w:bottom w:val="thickThinMediumGap" w:sz="12" w:space="0" w:color="333333"/>
              <w:right w:val="thickThinMediumGap" w:sz="12" w:space="0" w:color="333333"/>
            </w:tcBorders>
            <w:vAlign w:val="bottom"/>
          </w:tcPr>
          <w:p w14:paraId="573FE1F0" w14:textId="77777777" w:rsidR="008D15B0" w:rsidRPr="00BE4964" w:rsidRDefault="008D15B0" w:rsidP="00D02699">
            <w:pPr>
              <w:spacing w:before="120" w:after="120"/>
              <w:jc w:val="center"/>
              <w:rPr>
                <w:rFonts w:ascii="Times New Roman" w:hAnsi="Times New Roman"/>
                <w:bCs/>
              </w:rPr>
            </w:pPr>
            <w:r w:rsidRPr="00BE4964">
              <w:rPr>
                <w:rFonts w:ascii="Times New Roman" w:hAnsi="Times New Roman"/>
                <w:bCs/>
              </w:rPr>
              <w:t>39,7 %</w:t>
            </w:r>
          </w:p>
        </w:tc>
      </w:tr>
    </w:tbl>
    <w:p w14:paraId="47DD28A2" w14:textId="77777777" w:rsidR="00E905BE" w:rsidRDefault="00E905BE" w:rsidP="00195A4B">
      <w:pPr>
        <w:spacing w:before="120" w:after="0" w:line="240" w:lineRule="auto"/>
        <w:jc w:val="both"/>
        <w:rPr>
          <w:rFonts w:ascii="Times New Roman" w:eastAsia="Times New Roman" w:hAnsi="Times New Roman"/>
          <w:bCs/>
          <w:sz w:val="24"/>
          <w:szCs w:val="24"/>
        </w:rPr>
      </w:pPr>
      <w:r w:rsidRPr="00E905BE">
        <w:rPr>
          <w:rFonts w:ascii="Times New Roman" w:eastAsia="Times New Roman" w:hAnsi="Times New Roman"/>
          <w:bCs/>
          <w:sz w:val="24"/>
          <w:szCs w:val="24"/>
        </w:rPr>
        <w:t>Z doložených dat plyne, že kromě nejednotnosti vymáhání justičních pohledávek je stávající systém spojen i s relativně vysokou neúspěšností, resp. nev</w:t>
      </w:r>
      <w:r w:rsidR="00366E8D">
        <w:rPr>
          <w:rFonts w:ascii="Times New Roman" w:eastAsia="Times New Roman" w:hAnsi="Times New Roman"/>
          <w:bCs/>
          <w:sz w:val="24"/>
          <w:szCs w:val="24"/>
        </w:rPr>
        <w:t>ymožením justičních pohledávek,</w:t>
      </w:r>
      <w:r w:rsidR="00CC4521">
        <w:rPr>
          <w:rFonts w:ascii="Times New Roman" w:eastAsia="Times New Roman" w:hAnsi="Times New Roman"/>
          <w:bCs/>
          <w:sz w:val="24"/>
          <w:szCs w:val="24"/>
        </w:rPr>
        <w:t> </w:t>
      </w:r>
      <w:r w:rsidRPr="00E905BE">
        <w:rPr>
          <w:rFonts w:ascii="Times New Roman" w:eastAsia="Times New Roman" w:hAnsi="Times New Roman"/>
          <w:bCs/>
          <w:sz w:val="24"/>
          <w:szCs w:val="24"/>
        </w:rPr>
        <w:t>a</w:t>
      </w:r>
      <w:r w:rsidR="005B1645">
        <w:rPr>
          <w:rFonts w:ascii="Times New Roman" w:eastAsia="Times New Roman" w:hAnsi="Times New Roman"/>
          <w:bCs/>
          <w:sz w:val="24"/>
          <w:szCs w:val="24"/>
        </w:rPr>
        <w:t> </w:t>
      </w:r>
      <w:r w:rsidRPr="00E905BE">
        <w:rPr>
          <w:rFonts w:ascii="Times New Roman" w:eastAsia="Times New Roman" w:hAnsi="Times New Roman"/>
          <w:bCs/>
          <w:sz w:val="24"/>
          <w:szCs w:val="24"/>
        </w:rPr>
        <w:t>dále s poměrně vysokou zátěží na straně justiční soustavy, která je vymáháním uvedených pohledávek poměrně zbytečně zatížena.</w:t>
      </w:r>
    </w:p>
    <w:p w14:paraId="0A6CA087" w14:textId="105EAD4F" w:rsidR="00175D50" w:rsidRDefault="00CA2585" w:rsidP="00195A4B">
      <w:pPr>
        <w:spacing w:before="120"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K odstranění nedostatků současného právního stavu, kdy si jednotlivé soudy, státní zastupitelství i věznice sam</w:t>
      </w:r>
      <w:r w:rsidR="00AB16C9">
        <w:rPr>
          <w:rFonts w:ascii="Times New Roman" w:eastAsia="Times New Roman" w:hAnsi="Times New Roman"/>
          <w:bCs/>
          <w:sz w:val="24"/>
          <w:szCs w:val="24"/>
        </w:rPr>
        <w:t>y</w:t>
      </w:r>
      <w:r>
        <w:rPr>
          <w:rFonts w:ascii="Times New Roman" w:eastAsia="Times New Roman" w:hAnsi="Times New Roman"/>
          <w:bCs/>
          <w:sz w:val="24"/>
          <w:szCs w:val="24"/>
        </w:rPr>
        <w:t xml:space="preserve"> či prostřednictvím exekutora vymáhají pohledávky, jejichž správa p</w:t>
      </w:r>
      <w:r w:rsidR="009D4ED9">
        <w:rPr>
          <w:rFonts w:ascii="Times New Roman" w:eastAsia="Times New Roman" w:hAnsi="Times New Roman"/>
          <w:bCs/>
          <w:sz w:val="24"/>
          <w:szCs w:val="24"/>
        </w:rPr>
        <w:t>lacení podléhá daňovému řádu, se</w:t>
      </w:r>
      <w:r>
        <w:rPr>
          <w:rFonts w:ascii="Times New Roman" w:eastAsia="Times New Roman" w:hAnsi="Times New Roman"/>
          <w:bCs/>
          <w:sz w:val="24"/>
          <w:szCs w:val="24"/>
        </w:rPr>
        <w:t xml:space="preserve"> nabízí využití možnosti, kter</w:t>
      </w:r>
      <w:r w:rsidR="00956186">
        <w:rPr>
          <w:rFonts w:ascii="Times New Roman" w:eastAsia="Times New Roman" w:hAnsi="Times New Roman"/>
          <w:bCs/>
          <w:sz w:val="24"/>
          <w:szCs w:val="24"/>
        </w:rPr>
        <w:t>ou</w:t>
      </w:r>
      <w:r>
        <w:rPr>
          <w:rFonts w:ascii="Times New Roman" w:eastAsia="Times New Roman" w:hAnsi="Times New Roman"/>
          <w:bCs/>
          <w:sz w:val="24"/>
          <w:szCs w:val="24"/>
        </w:rPr>
        <w:t xml:space="preserve"> poskytuje současný daňový řád, tj. zavést </w:t>
      </w:r>
      <w:r w:rsidR="00956186">
        <w:rPr>
          <w:rFonts w:ascii="Times New Roman" w:eastAsia="Times New Roman" w:hAnsi="Times New Roman"/>
          <w:bCs/>
          <w:sz w:val="24"/>
          <w:szCs w:val="24"/>
        </w:rPr>
        <w:t>k</w:t>
      </w:r>
      <w:r w:rsidR="009D4ED9">
        <w:rPr>
          <w:rFonts w:ascii="Times New Roman" w:eastAsia="Times New Roman" w:hAnsi="Times New Roman"/>
          <w:bCs/>
          <w:sz w:val="24"/>
          <w:szCs w:val="24"/>
        </w:rPr>
        <w:t>ompetenční dělenou správu</w:t>
      </w:r>
      <w:r w:rsidR="00175D50">
        <w:rPr>
          <w:rFonts w:ascii="Times New Roman" w:eastAsia="Times New Roman" w:hAnsi="Times New Roman"/>
          <w:bCs/>
          <w:sz w:val="24"/>
          <w:szCs w:val="24"/>
        </w:rPr>
        <w:t xml:space="preserve"> podle </w:t>
      </w:r>
      <w:r w:rsidR="00175D50" w:rsidRPr="00175D50">
        <w:rPr>
          <w:rFonts w:ascii="Times New Roman" w:eastAsia="Times New Roman" w:hAnsi="Times New Roman"/>
          <w:bCs/>
          <w:sz w:val="24"/>
          <w:szCs w:val="24"/>
        </w:rPr>
        <w:t>§ 161 odst. 3 daňového řádu</w:t>
      </w:r>
      <w:r w:rsidR="009D4ED9">
        <w:rPr>
          <w:rFonts w:ascii="Times New Roman" w:eastAsia="Times New Roman" w:hAnsi="Times New Roman"/>
          <w:bCs/>
          <w:sz w:val="24"/>
          <w:szCs w:val="24"/>
        </w:rPr>
        <w:t>, kdy o</w:t>
      </w:r>
      <w:r w:rsidR="009D4ED9" w:rsidRPr="009D4ED9">
        <w:rPr>
          <w:rFonts w:ascii="Times New Roman" w:eastAsia="Times New Roman" w:hAnsi="Times New Roman"/>
          <w:bCs/>
          <w:sz w:val="24"/>
          <w:szCs w:val="24"/>
        </w:rPr>
        <w:t xml:space="preserve">rgán příslušný k uložení peněžitého plnění </w:t>
      </w:r>
      <w:r w:rsidR="009D4ED9">
        <w:rPr>
          <w:rFonts w:ascii="Times New Roman" w:eastAsia="Times New Roman" w:hAnsi="Times New Roman"/>
          <w:bCs/>
          <w:sz w:val="24"/>
          <w:szCs w:val="24"/>
        </w:rPr>
        <w:t xml:space="preserve">(tj. v případech, ke kterým směřuje předložený návrh zákona, soud, státní zastupitelství, věznice) bude </w:t>
      </w:r>
      <w:r w:rsidR="009D4ED9" w:rsidRPr="009D4ED9">
        <w:rPr>
          <w:rFonts w:ascii="Times New Roman" w:eastAsia="Times New Roman" w:hAnsi="Times New Roman"/>
          <w:bCs/>
          <w:sz w:val="24"/>
          <w:szCs w:val="24"/>
        </w:rPr>
        <w:t>souča</w:t>
      </w:r>
      <w:r w:rsidR="00366E8D">
        <w:rPr>
          <w:rFonts w:ascii="Times New Roman" w:eastAsia="Times New Roman" w:hAnsi="Times New Roman"/>
          <w:bCs/>
          <w:sz w:val="24"/>
          <w:szCs w:val="24"/>
        </w:rPr>
        <w:t>sně příslušný i k jeho vybrání, </w:t>
      </w:r>
      <w:r w:rsidR="009D4ED9" w:rsidRPr="009D4ED9">
        <w:rPr>
          <w:rFonts w:ascii="Times New Roman" w:eastAsia="Times New Roman" w:hAnsi="Times New Roman"/>
          <w:bCs/>
          <w:sz w:val="24"/>
          <w:szCs w:val="24"/>
        </w:rPr>
        <w:t xml:space="preserve">přičemž vybráním rozumí Nejvyšší </w:t>
      </w:r>
      <w:r w:rsidR="00984FC8">
        <w:rPr>
          <w:rFonts w:ascii="Times New Roman" w:eastAsia="Times New Roman" w:hAnsi="Times New Roman"/>
          <w:bCs/>
          <w:sz w:val="24"/>
          <w:szCs w:val="24"/>
        </w:rPr>
        <w:t xml:space="preserve">správní soud přijetí dobrovolné </w:t>
      </w:r>
      <w:r w:rsidR="009D4ED9" w:rsidRPr="009D4ED9">
        <w:rPr>
          <w:rFonts w:ascii="Times New Roman" w:eastAsia="Times New Roman" w:hAnsi="Times New Roman"/>
          <w:bCs/>
          <w:sz w:val="24"/>
          <w:szCs w:val="24"/>
        </w:rPr>
        <w:t>platby</w:t>
      </w:r>
      <w:r w:rsidR="00366E8D">
        <w:rPr>
          <w:rFonts w:ascii="Times New Roman" w:eastAsia="Times New Roman" w:hAnsi="Times New Roman"/>
          <w:bCs/>
          <w:sz w:val="24"/>
          <w:szCs w:val="24"/>
        </w:rPr>
        <w:t>, </w:t>
      </w:r>
      <w:r w:rsidR="00956186">
        <w:rPr>
          <w:rFonts w:ascii="Times New Roman" w:eastAsia="Times New Roman" w:hAnsi="Times New Roman"/>
          <w:bCs/>
          <w:sz w:val="24"/>
          <w:szCs w:val="24"/>
        </w:rPr>
        <w:t xml:space="preserve">k vymáhání Celní správou </w:t>
      </w:r>
      <w:r w:rsidR="009D4ED9" w:rsidRPr="009D4ED9">
        <w:rPr>
          <w:rFonts w:ascii="Times New Roman" w:eastAsia="Times New Roman" w:hAnsi="Times New Roman"/>
          <w:bCs/>
          <w:sz w:val="24"/>
          <w:szCs w:val="24"/>
        </w:rPr>
        <w:t>pak dojde pouze v případě</w:t>
      </w:r>
      <w:r w:rsidR="00D442FE">
        <w:rPr>
          <w:rFonts w:ascii="Times New Roman" w:eastAsia="Times New Roman" w:hAnsi="Times New Roman"/>
          <w:bCs/>
          <w:sz w:val="24"/>
          <w:szCs w:val="24"/>
        </w:rPr>
        <w:t xml:space="preserve"> nesplnění platební povinnosti. </w:t>
      </w:r>
      <w:r w:rsidR="00175D50">
        <w:rPr>
          <w:rFonts w:ascii="Times New Roman" w:eastAsia="Times New Roman" w:hAnsi="Times New Roman"/>
          <w:bCs/>
          <w:sz w:val="24"/>
          <w:szCs w:val="24"/>
        </w:rPr>
        <w:t>K uvedenému je zapotřebí, s ohledem na textaci § 161 odst. 3 daňového řádu</w:t>
      </w:r>
      <w:r w:rsidR="00956186">
        <w:rPr>
          <w:rFonts w:ascii="Times New Roman" w:eastAsia="Times New Roman" w:hAnsi="Times New Roman"/>
          <w:bCs/>
          <w:sz w:val="24"/>
          <w:szCs w:val="24"/>
        </w:rPr>
        <w:t>,</w:t>
      </w:r>
      <w:r w:rsidR="00175D50">
        <w:rPr>
          <w:rFonts w:ascii="Times New Roman" w:eastAsia="Times New Roman" w:hAnsi="Times New Roman"/>
          <w:bCs/>
          <w:sz w:val="24"/>
          <w:szCs w:val="24"/>
        </w:rPr>
        <w:t xml:space="preserve"> výslovného zakotvení v jednotlivých předpisech</w:t>
      </w:r>
      <w:r w:rsidR="00D442FE">
        <w:rPr>
          <w:rFonts w:ascii="Times New Roman" w:eastAsia="Times New Roman" w:hAnsi="Times New Roman"/>
          <w:bCs/>
          <w:sz w:val="24"/>
          <w:szCs w:val="24"/>
        </w:rPr>
        <w:t>.</w:t>
      </w:r>
    </w:p>
    <w:p w14:paraId="04570E13" w14:textId="77777777" w:rsidR="00D442FE" w:rsidRPr="00D442FE" w:rsidRDefault="00D442FE" w:rsidP="00195A4B">
      <w:pPr>
        <w:spacing w:before="120" w:after="0" w:line="240" w:lineRule="auto"/>
        <w:jc w:val="both"/>
        <w:rPr>
          <w:rFonts w:ascii="Times New Roman" w:eastAsia="Times New Roman" w:hAnsi="Times New Roman"/>
          <w:bCs/>
          <w:sz w:val="24"/>
          <w:szCs w:val="24"/>
        </w:rPr>
      </w:pPr>
      <w:r w:rsidRPr="00D442FE">
        <w:rPr>
          <w:rFonts w:ascii="Times New Roman" w:eastAsia="Times New Roman" w:hAnsi="Times New Roman"/>
          <w:bCs/>
          <w:sz w:val="24"/>
          <w:szCs w:val="24"/>
        </w:rPr>
        <w:t>Přijetím návrhu má být dosaženo:</w:t>
      </w:r>
    </w:p>
    <w:p w14:paraId="1AC396C4" w14:textId="77777777" w:rsidR="00D442FE" w:rsidRPr="00D442FE" w:rsidRDefault="00D442FE" w:rsidP="00931F85">
      <w:pPr>
        <w:spacing w:before="120" w:after="0" w:line="240" w:lineRule="auto"/>
        <w:ind w:left="284" w:hanging="284"/>
        <w:jc w:val="both"/>
        <w:rPr>
          <w:rFonts w:ascii="Times New Roman" w:eastAsia="Times New Roman" w:hAnsi="Times New Roman"/>
          <w:bCs/>
          <w:sz w:val="24"/>
          <w:szCs w:val="24"/>
        </w:rPr>
      </w:pPr>
      <w:r w:rsidRPr="00D442FE">
        <w:rPr>
          <w:rFonts w:ascii="Times New Roman" w:eastAsia="Times New Roman" w:hAnsi="Times New Roman"/>
          <w:bCs/>
          <w:sz w:val="24"/>
          <w:szCs w:val="24"/>
        </w:rPr>
        <w:t>a) jednotného postupu při vymáhání justičních pohledávek,</w:t>
      </w:r>
      <w:r w:rsidR="00136D98">
        <w:rPr>
          <w:rFonts w:ascii="Times New Roman" w:eastAsia="Times New Roman" w:hAnsi="Times New Roman"/>
          <w:bCs/>
          <w:sz w:val="24"/>
          <w:szCs w:val="24"/>
        </w:rPr>
        <w:t xml:space="preserve"> jejichž správa placení se řídí daňovým řádem,</w:t>
      </w:r>
    </w:p>
    <w:p w14:paraId="5C7BA8F4" w14:textId="77777777" w:rsidR="00D442FE" w:rsidRPr="00D442FE" w:rsidRDefault="00D442FE" w:rsidP="00931F85">
      <w:pPr>
        <w:spacing w:before="120" w:after="0" w:line="240" w:lineRule="auto"/>
        <w:ind w:left="284" w:hanging="284"/>
        <w:jc w:val="both"/>
        <w:rPr>
          <w:rFonts w:ascii="Times New Roman" w:eastAsia="Times New Roman" w:hAnsi="Times New Roman"/>
          <w:bCs/>
          <w:sz w:val="24"/>
          <w:szCs w:val="24"/>
        </w:rPr>
      </w:pPr>
      <w:r w:rsidRPr="00D442FE">
        <w:rPr>
          <w:rFonts w:ascii="Times New Roman" w:eastAsia="Times New Roman" w:hAnsi="Times New Roman"/>
          <w:bCs/>
          <w:sz w:val="24"/>
          <w:szCs w:val="24"/>
        </w:rPr>
        <w:t>b) snížení nákladů spojených s vymáháním justičních pohledávek v rámci resortu justice,</w:t>
      </w:r>
    </w:p>
    <w:p w14:paraId="0F0D8AFC" w14:textId="77777777" w:rsidR="00D442FE" w:rsidRPr="00D442FE" w:rsidRDefault="00D442FE" w:rsidP="00931F85">
      <w:pPr>
        <w:spacing w:before="120" w:after="0" w:line="240" w:lineRule="auto"/>
        <w:ind w:left="284" w:hanging="284"/>
        <w:jc w:val="both"/>
        <w:rPr>
          <w:rFonts w:ascii="Times New Roman" w:eastAsia="Times New Roman" w:hAnsi="Times New Roman"/>
          <w:bCs/>
          <w:sz w:val="24"/>
          <w:szCs w:val="24"/>
        </w:rPr>
      </w:pPr>
      <w:r w:rsidRPr="00D442FE">
        <w:rPr>
          <w:rFonts w:ascii="Times New Roman" w:eastAsia="Times New Roman" w:hAnsi="Times New Roman"/>
          <w:bCs/>
          <w:sz w:val="24"/>
          <w:szCs w:val="24"/>
        </w:rPr>
        <w:t>c) omezení trendu rostoucího objemu neuhrazených justičních pohledávek,</w:t>
      </w:r>
    </w:p>
    <w:p w14:paraId="1599A012" w14:textId="77777777" w:rsidR="00D442FE" w:rsidRPr="00D442FE" w:rsidRDefault="00D442FE" w:rsidP="00931F85">
      <w:pPr>
        <w:spacing w:before="120" w:after="0" w:line="240" w:lineRule="auto"/>
        <w:ind w:left="284" w:hanging="284"/>
        <w:jc w:val="both"/>
        <w:rPr>
          <w:rFonts w:ascii="Times New Roman" w:eastAsia="Times New Roman" w:hAnsi="Times New Roman"/>
          <w:bCs/>
          <w:sz w:val="24"/>
          <w:szCs w:val="24"/>
        </w:rPr>
      </w:pPr>
      <w:r w:rsidRPr="00D442FE">
        <w:rPr>
          <w:rFonts w:ascii="Times New Roman" w:eastAsia="Times New Roman" w:hAnsi="Times New Roman"/>
          <w:bCs/>
          <w:sz w:val="24"/>
          <w:szCs w:val="24"/>
        </w:rPr>
        <w:t>d) snížení nákladů pro dlužníka v případech, kdy bylo vymáhání pohledáve</w:t>
      </w:r>
      <w:r>
        <w:rPr>
          <w:rFonts w:ascii="Times New Roman" w:eastAsia="Times New Roman" w:hAnsi="Times New Roman"/>
          <w:bCs/>
          <w:sz w:val="24"/>
          <w:szCs w:val="24"/>
        </w:rPr>
        <w:t>k přeneseno na </w:t>
      </w:r>
      <w:r w:rsidR="00C12AE7">
        <w:rPr>
          <w:rFonts w:ascii="Times New Roman" w:eastAsia="Times New Roman" w:hAnsi="Times New Roman"/>
          <w:bCs/>
          <w:sz w:val="24"/>
          <w:szCs w:val="24"/>
        </w:rPr>
        <w:t>soudního exekutora.</w:t>
      </w:r>
    </w:p>
    <w:p w14:paraId="419E80B2" w14:textId="77777777" w:rsidR="00E605C0" w:rsidRPr="00D442FE" w:rsidRDefault="00E605C0" w:rsidP="00195A4B">
      <w:pPr>
        <w:spacing w:before="120"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w:t>
      </w:r>
      <w:r w:rsidR="00D442FE" w:rsidRPr="00D442FE">
        <w:rPr>
          <w:rFonts w:ascii="Times New Roman" w:eastAsia="Times New Roman" w:hAnsi="Times New Roman"/>
          <w:bCs/>
          <w:sz w:val="24"/>
          <w:szCs w:val="24"/>
        </w:rPr>
        <w:t>ze předpokládat, že bude-li vymáhání provádět pouz</w:t>
      </w:r>
      <w:r w:rsidR="00BC23BA">
        <w:rPr>
          <w:rFonts w:ascii="Times New Roman" w:eastAsia="Times New Roman" w:hAnsi="Times New Roman"/>
          <w:bCs/>
          <w:sz w:val="24"/>
          <w:szCs w:val="24"/>
        </w:rPr>
        <w:t>e jeden orgán, v tomto případě C</w:t>
      </w:r>
      <w:r w:rsidR="00D442FE" w:rsidRPr="00D442FE">
        <w:rPr>
          <w:rFonts w:ascii="Times New Roman" w:eastAsia="Times New Roman" w:hAnsi="Times New Roman"/>
          <w:bCs/>
          <w:sz w:val="24"/>
          <w:szCs w:val="24"/>
        </w:rPr>
        <w:t>elní správa, bude vystupovat jednotně a předvídatelně bez větších lokálních rozdílů. Tím dojde k unifikaci vymáhacího procesu.</w:t>
      </w:r>
      <w:r w:rsidR="00AB71DC" w:rsidRPr="00AB71DC">
        <w:rPr>
          <w:rFonts w:ascii="Times New Roman" w:eastAsia="Times New Roman" w:hAnsi="Times New Roman"/>
          <w:bCs/>
          <w:sz w:val="24"/>
          <w:szCs w:val="24"/>
        </w:rPr>
        <w:t xml:space="preserve"> </w:t>
      </w:r>
      <w:r w:rsidR="00956186">
        <w:rPr>
          <w:rFonts w:ascii="Times New Roman" w:eastAsia="Times New Roman" w:hAnsi="Times New Roman"/>
          <w:bCs/>
          <w:sz w:val="24"/>
          <w:szCs w:val="24"/>
        </w:rPr>
        <w:t>Zavedením k</w:t>
      </w:r>
      <w:r w:rsidR="00AB71DC" w:rsidRPr="00AB71DC">
        <w:rPr>
          <w:rFonts w:ascii="Times New Roman" w:eastAsia="Times New Roman" w:hAnsi="Times New Roman"/>
          <w:bCs/>
          <w:sz w:val="24"/>
          <w:szCs w:val="24"/>
        </w:rPr>
        <w:t>ompetenční</w:t>
      </w:r>
      <w:r w:rsidR="00956186">
        <w:rPr>
          <w:rFonts w:ascii="Times New Roman" w:eastAsia="Times New Roman" w:hAnsi="Times New Roman"/>
          <w:bCs/>
          <w:sz w:val="24"/>
          <w:szCs w:val="24"/>
        </w:rPr>
        <w:t xml:space="preserve"> dělené správy</w:t>
      </w:r>
      <w:r w:rsidR="00AB71DC" w:rsidRPr="00AB71DC">
        <w:rPr>
          <w:rFonts w:ascii="Times New Roman" w:eastAsia="Times New Roman" w:hAnsi="Times New Roman"/>
          <w:bCs/>
          <w:sz w:val="24"/>
          <w:szCs w:val="24"/>
        </w:rPr>
        <w:t xml:space="preserve"> </w:t>
      </w:r>
      <w:r w:rsidR="00AB71DC">
        <w:rPr>
          <w:rFonts w:ascii="Times New Roman" w:eastAsia="Times New Roman" w:hAnsi="Times New Roman"/>
          <w:bCs/>
          <w:sz w:val="24"/>
          <w:szCs w:val="24"/>
        </w:rPr>
        <w:t xml:space="preserve">tak </w:t>
      </w:r>
      <w:r w:rsidR="00366E8D">
        <w:rPr>
          <w:rFonts w:ascii="Times New Roman" w:eastAsia="Times New Roman" w:hAnsi="Times New Roman"/>
          <w:bCs/>
          <w:sz w:val="24"/>
          <w:szCs w:val="24"/>
        </w:rPr>
        <w:t>dojde k tomu, </w:t>
      </w:r>
      <w:r w:rsidR="00DF1B01">
        <w:rPr>
          <w:rFonts w:ascii="Times New Roman" w:eastAsia="Times New Roman" w:hAnsi="Times New Roman"/>
          <w:bCs/>
          <w:sz w:val="24"/>
          <w:szCs w:val="24"/>
        </w:rPr>
        <w:t>že </w:t>
      </w:r>
      <w:r w:rsidR="00AB71DC">
        <w:rPr>
          <w:rFonts w:ascii="Times New Roman" w:eastAsia="Times New Roman" w:hAnsi="Times New Roman"/>
          <w:bCs/>
          <w:sz w:val="24"/>
          <w:szCs w:val="24"/>
        </w:rPr>
        <w:t>vymáhání justičních pohledávek</w:t>
      </w:r>
      <w:r w:rsidR="00AB71DC" w:rsidRPr="00AB71DC">
        <w:rPr>
          <w:rFonts w:ascii="Times New Roman" w:eastAsia="Times New Roman" w:hAnsi="Times New Roman"/>
          <w:bCs/>
          <w:sz w:val="24"/>
          <w:szCs w:val="24"/>
        </w:rPr>
        <w:t xml:space="preserve"> přejde do gesce orgánu, který </w:t>
      </w:r>
      <w:r w:rsidR="00DF1B01">
        <w:rPr>
          <w:rFonts w:ascii="Times New Roman" w:eastAsia="Times New Roman" w:hAnsi="Times New Roman"/>
          <w:bCs/>
          <w:sz w:val="24"/>
          <w:szCs w:val="24"/>
        </w:rPr>
        <w:t xml:space="preserve">je pro výkon této činnosti úzce </w:t>
      </w:r>
      <w:r w:rsidR="00AB71DC" w:rsidRPr="00AB71DC">
        <w:rPr>
          <w:rFonts w:ascii="Times New Roman" w:eastAsia="Times New Roman" w:hAnsi="Times New Roman"/>
          <w:bCs/>
          <w:sz w:val="24"/>
          <w:szCs w:val="24"/>
        </w:rPr>
        <w:t>specializovaný, a proto je větší předpoklad pro úspěšnost celého procesu.</w:t>
      </w:r>
      <w:r w:rsidR="00AB71DC">
        <w:rPr>
          <w:rFonts w:ascii="Times New Roman" w:eastAsia="Times New Roman" w:hAnsi="Times New Roman"/>
          <w:bCs/>
          <w:sz w:val="24"/>
          <w:szCs w:val="24"/>
        </w:rPr>
        <w:t xml:space="preserve"> Soudy, státní zastupitelství a věznice </w:t>
      </w:r>
      <w:r w:rsidR="00AB71DC" w:rsidRPr="00AB71DC">
        <w:rPr>
          <w:rFonts w:ascii="Times New Roman" w:eastAsia="Times New Roman" w:hAnsi="Times New Roman"/>
          <w:bCs/>
          <w:sz w:val="24"/>
          <w:szCs w:val="24"/>
        </w:rPr>
        <w:t>vykonávají činnosti vysoce sofistikované a pohybu</w:t>
      </w:r>
      <w:r w:rsidR="00366E8D">
        <w:rPr>
          <w:rFonts w:ascii="Times New Roman" w:eastAsia="Times New Roman" w:hAnsi="Times New Roman"/>
          <w:bCs/>
          <w:sz w:val="24"/>
          <w:szCs w:val="24"/>
        </w:rPr>
        <w:t>jí se v </w:t>
      </w:r>
      <w:r w:rsidR="00AB71DC" w:rsidRPr="00AB71DC">
        <w:rPr>
          <w:rFonts w:ascii="Times New Roman" w:eastAsia="Times New Roman" w:hAnsi="Times New Roman"/>
          <w:bCs/>
          <w:sz w:val="24"/>
          <w:szCs w:val="24"/>
        </w:rPr>
        <w:t xml:space="preserve">poměrně roztříštěném a složitém právním prostředí. Soustředí se proto na provádění vlastních specifických činností, </w:t>
      </w:r>
      <w:r w:rsidR="00AB71DC">
        <w:rPr>
          <w:rFonts w:ascii="Times New Roman" w:eastAsia="Times New Roman" w:hAnsi="Times New Roman"/>
          <w:bCs/>
          <w:sz w:val="24"/>
          <w:szCs w:val="24"/>
        </w:rPr>
        <w:t>přičemž vymáhání justičních pohledávek</w:t>
      </w:r>
      <w:r w:rsidR="00AB71DC" w:rsidRPr="00AB71DC">
        <w:rPr>
          <w:rFonts w:ascii="Times New Roman" w:eastAsia="Times New Roman" w:hAnsi="Times New Roman"/>
          <w:bCs/>
          <w:sz w:val="24"/>
          <w:szCs w:val="24"/>
        </w:rPr>
        <w:t xml:space="preserve"> je do značné mír</w:t>
      </w:r>
      <w:r w:rsidR="00AB71DC">
        <w:rPr>
          <w:rFonts w:ascii="Times New Roman" w:eastAsia="Times New Roman" w:hAnsi="Times New Roman"/>
          <w:bCs/>
          <w:sz w:val="24"/>
          <w:szCs w:val="24"/>
        </w:rPr>
        <w:t xml:space="preserve">y mimo oblast jejich působnosti (jak bylo shora zmíněno, problémem může být i </w:t>
      </w:r>
      <w:r w:rsidR="00AB71DC" w:rsidRPr="00AB71DC">
        <w:rPr>
          <w:rFonts w:ascii="Times New Roman" w:eastAsia="Times New Roman" w:hAnsi="Times New Roman"/>
          <w:bCs/>
          <w:sz w:val="24"/>
          <w:szCs w:val="24"/>
        </w:rPr>
        <w:t>kvalifikace vymáhajících zaměstnanců, kteří jsou zařazeni do 8. platové třídy, ačkoli podle daňového řádu činí často poměrně složité úkony</w:t>
      </w:r>
      <w:r w:rsidR="00AB71DC">
        <w:rPr>
          <w:rFonts w:ascii="Times New Roman" w:eastAsia="Times New Roman" w:hAnsi="Times New Roman"/>
          <w:bCs/>
          <w:sz w:val="24"/>
          <w:szCs w:val="24"/>
        </w:rPr>
        <w:t>). N</w:t>
      </w:r>
      <w:r w:rsidR="00AB71DC" w:rsidRPr="00D442FE">
        <w:rPr>
          <w:rFonts w:ascii="Times New Roman" w:eastAsia="Times New Roman" w:hAnsi="Times New Roman"/>
          <w:bCs/>
          <w:sz w:val="24"/>
          <w:szCs w:val="24"/>
        </w:rPr>
        <w:t xml:space="preserve">ávrh </w:t>
      </w:r>
      <w:r w:rsidR="00AB71DC">
        <w:rPr>
          <w:rFonts w:ascii="Times New Roman" w:eastAsia="Times New Roman" w:hAnsi="Times New Roman"/>
          <w:bCs/>
          <w:sz w:val="24"/>
          <w:szCs w:val="24"/>
        </w:rPr>
        <w:t xml:space="preserve">tak odbřemení </w:t>
      </w:r>
      <w:r w:rsidR="00AB71DC" w:rsidRPr="00D442FE">
        <w:rPr>
          <w:rFonts w:ascii="Times New Roman" w:eastAsia="Times New Roman" w:hAnsi="Times New Roman"/>
          <w:bCs/>
          <w:sz w:val="24"/>
          <w:szCs w:val="24"/>
        </w:rPr>
        <w:t xml:space="preserve">justici od agendy, která svoji povahou neodpovídá činnosti soudů, aby mohly být uvolněné kapacity využity </w:t>
      </w:r>
      <w:r w:rsidR="00DF1B01">
        <w:rPr>
          <w:rFonts w:ascii="Times New Roman" w:eastAsia="Times New Roman" w:hAnsi="Times New Roman"/>
          <w:bCs/>
          <w:sz w:val="24"/>
          <w:szCs w:val="24"/>
        </w:rPr>
        <w:t>jinak a </w:t>
      </w:r>
      <w:r w:rsidR="00AB71DC" w:rsidRPr="00D442FE">
        <w:rPr>
          <w:rFonts w:ascii="Times New Roman" w:eastAsia="Times New Roman" w:hAnsi="Times New Roman"/>
          <w:bCs/>
          <w:sz w:val="24"/>
          <w:szCs w:val="24"/>
        </w:rPr>
        <w:t>efektivněji.</w:t>
      </w:r>
      <w:r>
        <w:rPr>
          <w:rFonts w:ascii="Times New Roman" w:eastAsia="Times New Roman" w:hAnsi="Times New Roman"/>
          <w:bCs/>
          <w:sz w:val="24"/>
          <w:szCs w:val="24"/>
        </w:rPr>
        <w:t xml:space="preserve"> Ostatně s</w:t>
      </w:r>
      <w:r w:rsidRPr="00D442FE">
        <w:rPr>
          <w:rFonts w:ascii="Times New Roman" w:eastAsia="Times New Roman" w:hAnsi="Times New Roman"/>
          <w:bCs/>
          <w:sz w:val="24"/>
          <w:szCs w:val="24"/>
        </w:rPr>
        <w:t xml:space="preserve">kutečnost, že </w:t>
      </w:r>
      <w:r>
        <w:rPr>
          <w:rFonts w:ascii="Times New Roman" w:eastAsia="Times New Roman" w:hAnsi="Times New Roman"/>
          <w:bCs/>
          <w:sz w:val="24"/>
          <w:szCs w:val="24"/>
        </w:rPr>
        <w:t xml:space="preserve">se </w:t>
      </w:r>
      <w:r w:rsidRPr="00D442FE">
        <w:rPr>
          <w:rFonts w:ascii="Times New Roman" w:eastAsia="Times New Roman" w:hAnsi="Times New Roman"/>
          <w:bCs/>
          <w:sz w:val="24"/>
          <w:szCs w:val="24"/>
        </w:rPr>
        <w:t xml:space="preserve">některé soudy uchýlily k variantě </w:t>
      </w:r>
      <w:r>
        <w:rPr>
          <w:rFonts w:ascii="Times New Roman" w:eastAsia="Times New Roman" w:hAnsi="Times New Roman"/>
          <w:bCs/>
          <w:sz w:val="24"/>
          <w:szCs w:val="24"/>
        </w:rPr>
        <w:t xml:space="preserve">vymáhání </w:t>
      </w:r>
      <w:r>
        <w:rPr>
          <w:rFonts w:ascii="Times New Roman" w:eastAsia="Times New Roman" w:hAnsi="Times New Roman"/>
          <w:bCs/>
          <w:sz w:val="24"/>
          <w:szCs w:val="24"/>
        </w:rPr>
        <w:lastRenderedPageBreak/>
        <w:t xml:space="preserve">pohledávek cestou </w:t>
      </w:r>
      <w:r w:rsidRPr="00D442FE">
        <w:rPr>
          <w:rFonts w:ascii="Times New Roman" w:eastAsia="Times New Roman" w:hAnsi="Times New Roman"/>
          <w:bCs/>
          <w:sz w:val="24"/>
          <w:szCs w:val="24"/>
        </w:rPr>
        <w:t>soudního exekutora, svědčí o tom, že vymáhání pohledávek samotnou justicí zbytečně zatěžovalo soudní aparát úkoly, které zcela ji</w:t>
      </w:r>
      <w:r w:rsidR="00DF1B01">
        <w:rPr>
          <w:rFonts w:ascii="Times New Roman" w:eastAsia="Times New Roman" w:hAnsi="Times New Roman"/>
          <w:bCs/>
          <w:sz w:val="24"/>
          <w:szCs w:val="24"/>
        </w:rPr>
        <w:t>stě nepatří do </w:t>
      </w:r>
      <w:r w:rsidRPr="00D442FE">
        <w:rPr>
          <w:rFonts w:ascii="Times New Roman" w:eastAsia="Times New Roman" w:hAnsi="Times New Roman"/>
          <w:bCs/>
          <w:sz w:val="24"/>
          <w:szCs w:val="24"/>
        </w:rPr>
        <w:t>stěžejní činnosti justice. Z tohoto pohledu proto nelze soudům vyčítat, že se této činnosti „zbavily“ převedením na soudní exekutory</w:t>
      </w:r>
      <w:r w:rsidR="00956186">
        <w:rPr>
          <w:rFonts w:ascii="Times New Roman" w:eastAsia="Times New Roman" w:hAnsi="Times New Roman"/>
          <w:bCs/>
          <w:sz w:val="24"/>
          <w:szCs w:val="24"/>
        </w:rPr>
        <w:t>, nicméně i v těchto případech soudy musí plnit své povinnosti podle daňového řádu</w:t>
      </w:r>
      <w:r w:rsidRPr="00D442FE">
        <w:rPr>
          <w:rFonts w:ascii="Times New Roman" w:eastAsia="Times New Roman" w:hAnsi="Times New Roman"/>
          <w:bCs/>
          <w:sz w:val="24"/>
          <w:szCs w:val="24"/>
        </w:rPr>
        <w:t>. Na druhou stranu tím dochází k prodražování vymáhání pohle</w:t>
      </w:r>
      <w:r w:rsidR="00455152">
        <w:rPr>
          <w:rFonts w:ascii="Times New Roman" w:eastAsia="Times New Roman" w:hAnsi="Times New Roman"/>
          <w:bCs/>
          <w:sz w:val="24"/>
          <w:szCs w:val="24"/>
        </w:rPr>
        <w:t>dávek o </w:t>
      </w:r>
      <w:r w:rsidRPr="00D442FE">
        <w:rPr>
          <w:rFonts w:ascii="Times New Roman" w:eastAsia="Times New Roman" w:hAnsi="Times New Roman"/>
          <w:bCs/>
          <w:sz w:val="24"/>
          <w:szCs w:val="24"/>
        </w:rPr>
        <w:t>odměnu exekutora, což se ve svém důsledku promítne do celkové částky vymáhané po</w:t>
      </w:r>
      <w:r w:rsidR="00931F85">
        <w:rPr>
          <w:rFonts w:ascii="Times New Roman" w:eastAsia="Times New Roman" w:hAnsi="Times New Roman"/>
          <w:bCs/>
          <w:sz w:val="24"/>
          <w:szCs w:val="24"/>
        </w:rPr>
        <w:t> </w:t>
      </w:r>
      <w:r w:rsidRPr="00D442FE">
        <w:rPr>
          <w:rFonts w:ascii="Times New Roman" w:eastAsia="Times New Roman" w:hAnsi="Times New Roman"/>
          <w:bCs/>
          <w:sz w:val="24"/>
          <w:szCs w:val="24"/>
        </w:rPr>
        <w:t>dlužníkovi. Pokud dojde k </w:t>
      </w:r>
      <w:r w:rsidR="00BC23BA">
        <w:rPr>
          <w:rFonts w:ascii="Times New Roman" w:eastAsia="Times New Roman" w:hAnsi="Times New Roman"/>
          <w:bCs/>
          <w:sz w:val="24"/>
          <w:szCs w:val="24"/>
        </w:rPr>
        <w:t>přesunu vymáhání pohledávek na C</w:t>
      </w:r>
      <w:r w:rsidRPr="00D442FE">
        <w:rPr>
          <w:rFonts w:ascii="Times New Roman" w:eastAsia="Times New Roman" w:hAnsi="Times New Roman"/>
          <w:bCs/>
          <w:sz w:val="24"/>
          <w:szCs w:val="24"/>
        </w:rPr>
        <w:t>elní správu, tento ve své podstatě nadbytečný náklad vymáhání odpadne.</w:t>
      </w:r>
      <w:r w:rsidR="009C2B36">
        <w:rPr>
          <w:rFonts w:ascii="Times New Roman" w:eastAsia="Times New Roman" w:hAnsi="Times New Roman"/>
          <w:bCs/>
          <w:sz w:val="24"/>
          <w:szCs w:val="24"/>
        </w:rPr>
        <w:t xml:space="preserve"> </w:t>
      </w:r>
    </w:p>
    <w:p w14:paraId="78BC024E" w14:textId="77777777" w:rsidR="00D442FE" w:rsidRPr="00D442FE" w:rsidRDefault="00E605C0" w:rsidP="00195A4B">
      <w:pPr>
        <w:spacing w:before="120"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w:t>
      </w:r>
      <w:r w:rsidR="00D442FE" w:rsidRPr="00D442FE">
        <w:rPr>
          <w:rFonts w:ascii="Times New Roman" w:eastAsia="Times New Roman" w:hAnsi="Times New Roman"/>
          <w:bCs/>
          <w:sz w:val="24"/>
          <w:szCs w:val="24"/>
        </w:rPr>
        <w:t xml:space="preserve">ílem </w:t>
      </w:r>
      <w:r>
        <w:rPr>
          <w:rFonts w:ascii="Times New Roman" w:eastAsia="Times New Roman" w:hAnsi="Times New Roman"/>
          <w:bCs/>
          <w:sz w:val="24"/>
          <w:szCs w:val="24"/>
        </w:rPr>
        <w:t xml:space="preserve">návrhu </w:t>
      </w:r>
      <w:r w:rsidR="00D442FE" w:rsidRPr="00D442FE">
        <w:rPr>
          <w:rFonts w:ascii="Times New Roman" w:eastAsia="Times New Roman" w:hAnsi="Times New Roman"/>
          <w:bCs/>
          <w:sz w:val="24"/>
          <w:szCs w:val="24"/>
        </w:rPr>
        <w:t>je omezení negativního trendu</w:t>
      </w:r>
      <w:r w:rsidR="00455152">
        <w:rPr>
          <w:rFonts w:ascii="Times New Roman" w:eastAsia="Times New Roman" w:hAnsi="Times New Roman"/>
          <w:bCs/>
          <w:sz w:val="24"/>
          <w:szCs w:val="24"/>
        </w:rPr>
        <w:t xml:space="preserve">, kdy narůstá objem </w:t>
      </w:r>
      <w:r w:rsidR="00D442FE" w:rsidRPr="00D442FE">
        <w:rPr>
          <w:rFonts w:ascii="Times New Roman" w:eastAsia="Times New Roman" w:hAnsi="Times New Roman"/>
          <w:bCs/>
          <w:sz w:val="24"/>
          <w:szCs w:val="24"/>
        </w:rPr>
        <w:t>neuhrazených justičních pohledávek, jak byl nastíněn výše. Tohoto cíle by mělo být dosaženo koncentrací vymáhání justičních pohledávek u organizační složky státu, která má vyšší potenciál te</w:t>
      </w:r>
      <w:r w:rsidR="00DF1B01">
        <w:rPr>
          <w:rFonts w:ascii="Times New Roman" w:eastAsia="Times New Roman" w:hAnsi="Times New Roman"/>
          <w:bCs/>
          <w:sz w:val="24"/>
          <w:szCs w:val="24"/>
        </w:rPr>
        <w:t>nto trend omezit i </w:t>
      </w:r>
      <w:r w:rsidR="00D442FE" w:rsidRPr="00D442FE">
        <w:rPr>
          <w:rFonts w:ascii="Times New Roman" w:eastAsia="Times New Roman" w:hAnsi="Times New Roman"/>
          <w:bCs/>
          <w:sz w:val="24"/>
          <w:szCs w:val="24"/>
        </w:rPr>
        <w:t>s menším personálním vybavením. Očekává se, že přesun vymáhání justičních pohledávek na</w:t>
      </w:r>
      <w:r w:rsidR="005B1645">
        <w:rPr>
          <w:rFonts w:ascii="Times New Roman" w:eastAsia="Times New Roman" w:hAnsi="Times New Roman"/>
          <w:bCs/>
          <w:sz w:val="24"/>
          <w:szCs w:val="24"/>
        </w:rPr>
        <w:t> </w:t>
      </w:r>
      <w:r w:rsidR="00D442FE" w:rsidRPr="00D442FE">
        <w:rPr>
          <w:rFonts w:ascii="Times New Roman" w:eastAsia="Times New Roman" w:hAnsi="Times New Roman"/>
          <w:bCs/>
          <w:sz w:val="24"/>
          <w:szCs w:val="24"/>
        </w:rPr>
        <w:t>Celní správu k omezení negativního trendu přispět může.</w:t>
      </w:r>
      <w:r w:rsidR="00DF1B01">
        <w:rPr>
          <w:rFonts w:ascii="Times New Roman" w:eastAsia="Times New Roman" w:hAnsi="Times New Roman"/>
          <w:bCs/>
          <w:sz w:val="24"/>
          <w:szCs w:val="24"/>
        </w:rPr>
        <w:t xml:space="preserve"> Lze zároveň předpokládat,</w:t>
      </w:r>
      <w:r w:rsidR="00CC4521">
        <w:rPr>
          <w:rFonts w:ascii="Times New Roman" w:eastAsia="Times New Roman" w:hAnsi="Times New Roman"/>
          <w:bCs/>
          <w:sz w:val="24"/>
          <w:szCs w:val="24"/>
        </w:rPr>
        <w:t> </w:t>
      </w:r>
      <w:r w:rsidR="00DF1B01">
        <w:rPr>
          <w:rFonts w:ascii="Times New Roman" w:eastAsia="Times New Roman" w:hAnsi="Times New Roman"/>
          <w:bCs/>
          <w:sz w:val="24"/>
          <w:szCs w:val="24"/>
        </w:rPr>
        <w:t>že </w:t>
      </w:r>
      <w:r>
        <w:rPr>
          <w:rFonts w:ascii="Times New Roman" w:eastAsia="Times New Roman" w:hAnsi="Times New Roman"/>
          <w:bCs/>
          <w:sz w:val="24"/>
          <w:szCs w:val="24"/>
        </w:rPr>
        <w:t>např.</w:t>
      </w:r>
      <w:r w:rsidR="005B1645">
        <w:rPr>
          <w:rFonts w:ascii="Times New Roman" w:eastAsia="Times New Roman" w:hAnsi="Times New Roman"/>
          <w:bCs/>
          <w:sz w:val="24"/>
          <w:szCs w:val="24"/>
        </w:rPr>
        <w:t> </w:t>
      </w:r>
      <w:r w:rsidRPr="00AB3517">
        <w:rPr>
          <w:rFonts w:ascii="Times New Roman" w:hAnsi="Times New Roman"/>
          <w:sz w:val="24"/>
          <w:szCs w:val="24"/>
        </w:rPr>
        <w:t>u odsouzených, popř. obviněných, kteří budou mít neuhrazené náklady</w:t>
      </w:r>
      <w:r>
        <w:rPr>
          <w:rFonts w:ascii="Times New Roman" w:hAnsi="Times New Roman"/>
          <w:sz w:val="24"/>
          <w:szCs w:val="24"/>
        </w:rPr>
        <w:t xml:space="preserve"> trestního řízení, náhrady za odměnu ustanoveného obhájce, náklady </w:t>
      </w:r>
      <w:r w:rsidRPr="00AB3517">
        <w:rPr>
          <w:rFonts w:ascii="Times New Roman" w:hAnsi="Times New Roman"/>
          <w:sz w:val="24"/>
          <w:szCs w:val="24"/>
        </w:rPr>
        <w:t>výkonu trestu, náklady spojené s výkonem trestu, náklady výkonu vazby, n</w:t>
      </w:r>
      <w:r w:rsidR="00CC4521">
        <w:rPr>
          <w:rFonts w:ascii="Times New Roman" w:hAnsi="Times New Roman"/>
          <w:sz w:val="24"/>
          <w:szCs w:val="24"/>
        </w:rPr>
        <w:t>áklady spojené s výkonem vazby, </w:t>
      </w:r>
      <w:r>
        <w:rPr>
          <w:rFonts w:ascii="Times New Roman" w:hAnsi="Times New Roman"/>
          <w:sz w:val="24"/>
          <w:szCs w:val="24"/>
        </w:rPr>
        <w:t>apod.</w:t>
      </w:r>
      <w:r w:rsidR="00665A54">
        <w:rPr>
          <w:rFonts w:ascii="Times New Roman" w:hAnsi="Times New Roman"/>
          <w:sz w:val="24"/>
          <w:szCs w:val="24"/>
        </w:rPr>
        <w:t>,</w:t>
      </w:r>
      <w:r w:rsidR="00CC4521">
        <w:rPr>
          <w:rFonts w:ascii="Times New Roman" w:hAnsi="Times New Roman"/>
          <w:sz w:val="24"/>
          <w:szCs w:val="24"/>
        </w:rPr>
        <w:t> </w:t>
      </w:r>
      <w:r w:rsidRPr="00AB3517">
        <w:rPr>
          <w:rFonts w:ascii="Times New Roman" w:hAnsi="Times New Roman"/>
          <w:sz w:val="24"/>
          <w:szCs w:val="24"/>
        </w:rPr>
        <w:t>bude zároveň z jiného titulu probíhat daňová exekuce</w:t>
      </w:r>
      <w:r w:rsidR="00A6197E">
        <w:rPr>
          <w:rFonts w:ascii="Times New Roman" w:hAnsi="Times New Roman"/>
          <w:sz w:val="24"/>
          <w:szCs w:val="24"/>
        </w:rPr>
        <w:t>,</w:t>
      </w:r>
      <w:r w:rsidRPr="00AB3517">
        <w:rPr>
          <w:rFonts w:ascii="Times New Roman" w:hAnsi="Times New Roman"/>
          <w:sz w:val="24"/>
          <w:szCs w:val="24"/>
        </w:rPr>
        <w:t xml:space="preserve"> a tak tímto způsobem dojde k žádoucí koncentraci vymáhání pohledávek státu po těchto osobá</w:t>
      </w:r>
      <w:r w:rsidR="00DF1B01">
        <w:rPr>
          <w:rFonts w:ascii="Times New Roman" w:hAnsi="Times New Roman"/>
          <w:sz w:val="24"/>
          <w:szCs w:val="24"/>
        </w:rPr>
        <w:t>ch, což bude efektivnější a pro </w:t>
      </w:r>
      <w:r w:rsidRPr="00AB3517">
        <w:rPr>
          <w:rFonts w:ascii="Times New Roman" w:hAnsi="Times New Roman"/>
          <w:sz w:val="24"/>
          <w:szCs w:val="24"/>
        </w:rPr>
        <w:t>samotné odsouzené/obviněné i méně zatěžující.</w:t>
      </w:r>
    </w:p>
    <w:p w14:paraId="5FB15BC7" w14:textId="77777777" w:rsidR="00AB71DC" w:rsidRPr="00FC74A6" w:rsidRDefault="00C12AE7" w:rsidP="00366E8D">
      <w:pPr>
        <w:spacing w:before="120" w:after="0" w:line="240" w:lineRule="auto"/>
        <w:jc w:val="both"/>
        <w:rPr>
          <w:rFonts w:ascii="Times New Roman" w:eastAsia="Times New Roman" w:hAnsi="Times New Roman" w:cs="Times New Roman"/>
          <w:sz w:val="24"/>
          <w:szCs w:val="24"/>
          <w:lang w:eastAsia="cs-CZ"/>
        </w:rPr>
      </w:pPr>
      <w:r w:rsidRPr="00FC74A6">
        <w:rPr>
          <w:rFonts w:ascii="Times New Roman" w:eastAsia="Times New Roman" w:hAnsi="Times New Roman"/>
          <w:bCs/>
          <w:sz w:val="24"/>
          <w:szCs w:val="24"/>
        </w:rPr>
        <w:t xml:space="preserve">Ve vztahu k peněžitým trestům se pak od této změny očekává, že přispěje k tomu, že tato sankce bude ukládána častěji </w:t>
      </w:r>
      <w:r w:rsidR="00366E8D" w:rsidRPr="00FC74A6">
        <w:rPr>
          <w:rFonts w:ascii="Times New Roman" w:eastAsia="Times New Roman" w:hAnsi="Times New Roman" w:cs="Times New Roman"/>
          <w:sz w:val="24"/>
          <w:szCs w:val="24"/>
          <w:lang w:eastAsia="cs-CZ"/>
        </w:rPr>
        <w:t xml:space="preserve">Za výraznou okolnost, která má vliv na ochotu soudů ukládat peněžité tresty, je </w:t>
      </w:r>
      <w:r w:rsidR="0032322E" w:rsidRPr="00FC74A6">
        <w:rPr>
          <w:rFonts w:ascii="Times New Roman" w:eastAsia="Times New Roman" w:hAnsi="Times New Roman" w:cs="Times New Roman"/>
          <w:sz w:val="24"/>
          <w:szCs w:val="24"/>
          <w:lang w:eastAsia="cs-CZ"/>
        </w:rPr>
        <w:t xml:space="preserve">totiž </w:t>
      </w:r>
      <w:r w:rsidR="00366E8D" w:rsidRPr="00FC74A6">
        <w:rPr>
          <w:rFonts w:ascii="Times New Roman" w:eastAsia="Times New Roman" w:hAnsi="Times New Roman" w:cs="Times New Roman"/>
          <w:sz w:val="24"/>
          <w:szCs w:val="24"/>
          <w:lang w:eastAsia="cs-CZ"/>
        </w:rPr>
        <w:t>považována povinnost soudu tento trest vymáhat. Institut vymáhání peněžitého trestu, který byl do trestního řádu opětovně zaveden v souvislosti s přijetím trestního zákoníku (zákon č. 40/2009 Sb.), je často hodnocen jako do značné míry náročný z důvodu vysoké administrativní zátěže pro soudy, prodlužující vykonávací řízení a vedoucí k tomu, že k přeměnám na jiné druhy trestu dochází se značným časovým odstupem.</w:t>
      </w:r>
      <w:r w:rsidR="0032322E" w:rsidRPr="00FC74A6">
        <w:rPr>
          <w:rFonts w:ascii="Times New Roman" w:eastAsia="Times New Roman" w:hAnsi="Times New Roman" w:cs="Times New Roman"/>
          <w:sz w:val="24"/>
          <w:szCs w:val="24"/>
          <w:lang w:eastAsia="cs-CZ"/>
        </w:rPr>
        <w:t xml:space="preserve"> </w:t>
      </w:r>
      <w:r w:rsidR="0032322E" w:rsidRPr="00FC74A6">
        <w:rPr>
          <w:rFonts w:ascii="Times New Roman" w:hAnsi="Times New Roman" w:cs="Times New Roman"/>
          <w:sz w:val="24"/>
          <w:szCs w:val="24"/>
        </w:rPr>
        <w:t>Přenesení gesce k vymáhání peněžitých trestů na Celní správu</w:t>
      </w:r>
      <w:r w:rsidR="00FC74A6" w:rsidRPr="00FC74A6">
        <w:rPr>
          <w:rFonts w:ascii="Times New Roman" w:hAnsi="Times New Roman" w:cs="Times New Roman"/>
          <w:sz w:val="24"/>
          <w:szCs w:val="24"/>
        </w:rPr>
        <w:t xml:space="preserve"> cílí </w:t>
      </w:r>
      <w:r w:rsidR="00F668FB">
        <w:rPr>
          <w:rFonts w:ascii="Times New Roman" w:hAnsi="Times New Roman" w:cs="Times New Roman"/>
          <w:sz w:val="24"/>
          <w:szCs w:val="24"/>
        </w:rPr>
        <w:t xml:space="preserve">na limitaci </w:t>
      </w:r>
      <w:r w:rsidR="00FC74A6" w:rsidRPr="00FC74A6">
        <w:rPr>
          <w:rFonts w:ascii="Times New Roman" w:hAnsi="Times New Roman" w:cs="Times New Roman"/>
          <w:sz w:val="24"/>
          <w:szCs w:val="24"/>
        </w:rPr>
        <w:t xml:space="preserve">uvedených negativ </w:t>
      </w:r>
      <w:r w:rsidR="00F668FB">
        <w:rPr>
          <w:rFonts w:ascii="Times New Roman" w:hAnsi="Times New Roman" w:cs="Times New Roman"/>
          <w:sz w:val="24"/>
          <w:szCs w:val="24"/>
        </w:rPr>
        <w:t>tohoto institutu</w:t>
      </w:r>
      <w:r w:rsidR="00FC74A6" w:rsidRPr="00FC74A6">
        <w:rPr>
          <w:rFonts w:ascii="Times New Roman" w:hAnsi="Times New Roman" w:cs="Times New Roman"/>
          <w:sz w:val="24"/>
          <w:szCs w:val="24"/>
        </w:rPr>
        <w:t xml:space="preserve">. </w:t>
      </w:r>
      <w:r w:rsidR="00366E8D" w:rsidRPr="00FC74A6">
        <w:rPr>
          <w:rFonts w:ascii="Times New Roman" w:hAnsi="Times New Roman" w:cs="Times New Roman"/>
          <w:sz w:val="24"/>
          <w:szCs w:val="24"/>
        </w:rPr>
        <w:t xml:space="preserve"> </w:t>
      </w:r>
    </w:p>
    <w:p w14:paraId="321ABB6F" w14:textId="77777777" w:rsidR="00C12AE7" w:rsidRDefault="00C12AE7" w:rsidP="00195A4B">
      <w:pPr>
        <w:spacing w:before="120" w:after="120" w:line="240" w:lineRule="auto"/>
        <w:jc w:val="both"/>
        <w:rPr>
          <w:rFonts w:ascii="Times New Roman" w:eastAsia="Times New Roman" w:hAnsi="Times New Roman"/>
          <w:bCs/>
          <w:sz w:val="24"/>
          <w:szCs w:val="24"/>
        </w:rPr>
      </w:pPr>
      <w:r w:rsidRPr="00C12AE7">
        <w:rPr>
          <w:rFonts w:ascii="Times New Roman" w:eastAsia="Times New Roman" w:hAnsi="Times New Roman"/>
          <w:bCs/>
          <w:sz w:val="24"/>
          <w:szCs w:val="24"/>
        </w:rPr>
        <w:t>Z hlediska posouzení objemu pohledávek, které by takto byly předávány Celní správě k</w:t>
      </w:r>
      <w:r w:rsidR="00665A54">
        <w:rPr>
          <w:rFonts w:ascii="Times New Roman" w:eastAsia="Times New Roman" w:hAnsi="Times New Roman"/>
          <w:bCs/>
          <w:sz w:val="24"/>
          <w:szCs w:val="24"/>
        </w:rPr>
        <w:t> </w:t>
      </w:r>
      <w:r w:rsidRPr="00C12AE7">
        <w:rPr>
          <w:rFonts w:ascii="Times New Roman" w:eastAsia="Times New Roman" w:hAnsi="Times New Roman"/>
          <w:bCs/>
          <w:sz w:val="24"/>
          <w:szCs w:val="24"/>
        </w:rPr>
        <w:t>vymáhání</w:t>
      </w:r>
      <w:r w:rsidR="00665A54">
        <w:rPr>
          <w:rFonts w:ascii="Times New Roman" w:eastAsia="Times New Roman" w:hAnsi="Times New Roman"/>
          <w:bCs/>
          <w:sz w:val="24"/>
          <w:szCs w:val="24"/>
        </w:rPr>
        <w:t>,</w:t>
      </w:r>
      <w:r w:rsidRPr="00C12AE7">
        <w:rPr>
          <w:rFonts w:ascii="Times New Roman" w:eastAsia="Times New Roman" w:hAnsi="Times New Roman"/>
          <w:bCs/>
          <w:sz w:val="24"/>
          <w:szCs w:val="24"/>
        </w:rPr>
        <w:t xml:space="preserve"> lze uvést statistické údaje o daňových pohledávkách předepsaných v roce 201</w:t>
      </w:r>
      <w:r w:rsidR="008D15B0">
        <w:rPr>
          <w:rFonts w:ascii="Times New Roman" w:eastAsia="Times New Roman" w:hAnsi="Times New Roman"/>
          <w:bCs/>
          <w:sz w:val="24"/>
          <w:szCs w:val="24"/>
        </w:rPr>
        <w:t>8</w:t>
      </w:r>
      <w:r w:rsidRPr="00C12AE7">
        <w:rPr>
          <w:rFonts w:ascii="Times New Roman" w:eastAsia="Times New Roman" w:hAnsi="Times New Roman"/>
          <w:bCs/>
          <w:sz w:val="24"/>
          <w:szCs w:val="24"/>
        </w:rPr>
        <w:t xml:space="preserve"> (za</w:t>
      </w:r>
      <w:r w:rsidR="005B1645">
        <w:rPr>
          <w:rFonts w:ascii="Times New Roman" w:eastAsia="Times New Roman" w:hAnsi="Times New Roman"/>
          <w:bCs/>
          <w:sz w:val="24"/>
          <w:szCs w:val="24"/>
        </w:rPr>
        <w:t> </w:t>
      </w:r>
      <w:r w:rsidRPr="00C12AE7">
        <w:rPr>
          <w:rFonts w:ascii="Times New Roman" w:eastAsia="Times New Roman" w:hAnsi="Times New Roman"/>
          <w:bCs/>
          <w:sz w:val="24"/>
          <w:szCs w:val="24"/>
        </w:rPr>
        <w:t>všechny složky v rámci resortu justice):</w:t>
      </w:r>
    </w:p>
    <w:tbl>
      <w:tblPr>
        <w:tblStyle w:val="Mkatabulky"/>
        <w:tblW w:w="0" w:type="auto"/>
        <w:tblLook w:val="04A0" w:firstRow="1" w:lastRow="0" w:firstColumn="1" w:lastColumn="0" w:noHBand="0" w:noVBand="1"/>
      </w:tblPr>
      <w:tblGrid>
        <w:gridCol w:w="3020"/>
        <w:gridCol w:w="3021"/>
        <w:gridCol w:w="3139"/>
      </w:tblGrid>
      <w:tr w:rsidR="008D15B0" w14:paraId="093520EF" w14:textId="77777777" w:rsidTr="00D02699">
        <w:tc>
          <w:tcPr>
            <w:tcW w:w="3020" w:type="dxa"/>
            <w:tcBorders>
              <w:top w:val="nil"/>
              <w:left w:val="nil"/>
              <w:bottom w:val="thickThinMediumGap" w:sz="12" w:space="0" w:color="333333"/>
              <w:right w:val="thickThinMediumGap" w:sz="12" w:space="0" w:color="333333"/>
            </w:tcBorders>
          </w:tcPr>
          <w:p w14:paraId="46955882" w14:textId="77777777" w:rsidR="008D15B0" w:rsidRPr="00BE4964" w:rsidRDefault="008D15B0" w:rsidP="00D02699">
            <w:pPr>
              <w:spacing w:before="120" w:after="120"/>
              <w:rPr>
                <w:rFonts w:ascii="Times New Roman" w:hAnsi="Times New Roman" w:cs="Times New Roman"/>
                <w:bCs/>
                <w:sz w:val="20"/>
                <w:szCs w:val="20"/>
              </w:rPr>
            </w:pPr>
          </w:p>
        </w:tc>
        <w:tc>
          <w:tcPr>
            <w:tcW w:w="3021" w:type="dxa"/>
            <w:tcBorders>
              <w:top w:val="thickThinMediumGap" w:sz="12" w:space="0" w:color="333333"/>
              <w:left w:val="thickThinMediumGap" w:sz="12" w:space="0" w:color="333333"/>
              <w:bottom w:val="double" w:sz="4" w:space="0" w:color="auto"/>
            </w:tcBorders>
          </w:tcPr>
          <w:p w14:paraId="6A713C21"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uhrazené ve lhůtě splatnosti</w:t>
            </w:r>
          </w:p>
        </w:tc>
        <w:tc>
          <w:tcPr>
            <w:tcW w:w="3139" w:type="dxa"/>
            <w:tcBorders>
              <w:top w:val="thickThinMediumGap" w:sz="12" w:space="0" w:color="333333"/>
              <w:bottom w:val="double" w:sz="4" w:space="0" w:color="auto"/>
              <w:right w:val="thickThinMediumGap" w:sz="12" w:space="0" w:color="333333"/>
            </w:tcBorders>
          </w:tcPr>
          <w:p w14:paraId="151CB414"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neuhrazené ve lhůtě splatnosti</w:t>
            </w:r>
          </w:p>
        </w:tc>
      </w:tr>
      <w:tr w:rsidR="008D15B0" w14:paraId="0D04BC00" w14:textId="77777777" w:rsidTr="00D02699">
        <w:tc>
          <w:tcPr>
            <w:tcW w:w="3020" w:type="dxa"/>
            <w:tcBorders>
              <w:top w:val="thickThinMediumGap" w:sz="12" w:space="0" w:color="333333"/>
              <w:left w:val="thickThinMediumGap" w:sz="12" w:space="0" w:color="333333"/>
              <w:bottom w:val="single" w:sz="4" w:space="0" w:color="auto"/>
              <w:right w:val="double" w:sz="4" w:space="0" w:color="auto"/>
            </w:tcBorders>
          </w:tcPr>
          <w:p w14:paraId="563D371B"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 xml:space="preserve">Počet </w:t>
            </w:r>
          </w:p>
        </w:tc>
        <w:tc>
          <w:tcPr>
            <w:tcW w:w="3021" w:type="dxa"/>
            <w:tcBorders>
              <w:top w:val="double" w:sz="4" w:space="0" w:color="auto"/>
              <w:left w:val="double" w:sz="4" w:space="0" w:color="auto"/>
              <w:bottom w:val="single" w:sz="4" w:space="0" w:color="auto"/>
            </w:tcBorders>
          </w:tcPr>
          <w:p w14:paraId="0577EF30"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43 454</w:t>
            </w:r>
          </w:p>
        </w:tc>
        <w:tc>
          <w:tcPr>
            <w:tcW w:w="3139" w:type="dxa"/>
            <w:tcBorders>
              <w:top w:val="double" w:sz="4" w:space="0" w:color="auto"/>
              <w:bottom w:val="single" w:sz="4" w:space="0" w:color="auto"/>
              <w:right w:val="thickThinMediumGap" w:sz="12" w:space="0" w:color="333333"/>
            </w:tcBorders>
          </w:tcPr>
          <w:p w14:paraId="651FB8E3"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105 078</w:t>
            </w:r>
          </w:p>
        </w:tc>
      </w:tr>
      <w:tr w:rsidR="008D15B0" w14:paraId="15F9E01C" w14:textId="77777777" w:rsidTr="00D02699">
        <w:tc>
          <w:tcPr>
            <w:tcW w:w="3020" w:type="dxa"/>
            <w:tcBorders>
              <w:left w:val="thickThinMediumGap" w:sz="12" w:space="0" w:color="333333"/>
              <w:bottom w:val="thickThinMediumGap" w:sz="12" w:space="0" w:color="333333"/>
              <w:right w:val="double" w:sz="4" w:space="0" w:color="auto"/>
            </w:tcBorders>
          </w:tcPr>
          <w:p w14:paraId="09AD162F"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 xml:space="preserve">Finanční objem </w:t>
            </w:r>
          </w:p>
          <w:p w14:paraId="5038B5CE"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 xml:space="preserve">(tj. celková výše) </w:t>
            </w:r>
          </w:p>
        </w:tc>
        <w:tc>
          <w:tcPr>
            <w:tcW w:w="3021" w:type="dxa"/>
            <w:tcBorders>
              <w:left w:val="double" w:sz="4" w:space="0" w:color="auto"/>
              <w:bottom w:val="thickThinMediumGap" w:sz="12" w:space="0" w:color="333333"/>
            </w:tcBorders>
          </w:tcPr>
          <w:p w14:paraId="2AA38A89"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285 659 880</w:t>
            </w:r>
          </w:p>
        </w:tc>
        <w:tc>
          <w:tcPr>
            <w:tcW w:w="3139" w:type="dxa"/>
            <w:tcBorders>
              <w:bottom w:val="thickThinMediumGap" w:sz="12" w:space="0" w:color="333333"/>
              <w:right w:val="thickThinMediumGap" w:sz="12" w:space="0" w:color="333333"/>
            </w:tcBorders>
          </w:tcPr>
          <w:p w14:paraId="5F06766B" w14:textId="77777777" w:rsidR="008D15B0" w:rsidRPr="00BE4964" w:rsidRDefault="008D15B0" w:rsidP="00D02699">
            <w:pPr>
              <w:spacing w:before="120" w:after="120"/>
              <w:rPr>
                <w:rFonts w:ascii="Times New Roman" w:hAnsi="Times New Roman" w:cs="Times New Roman"/>
                <w:bCs/>
                <w:sz w:val="20"/>
                <w:szCs w:val="20"/>
              </w:rPr>
            </w:pPr>
            <w:r w:rsidRPr="00BE4964">
              <w:rPr>
                <w:rFonts w:ascii="Times New Roman" w:hAnsi="Times New Roman" w:cs="Times New Roman"/>
                <w:bCs/>
                <w:sz w:val="20"/>
                <w:szCs w:val="20"/>
              </w:rPr>
              <w:t>810 564 500</w:t>
            </w:r>
          </w:p>
        </w:tc>
      </w:tr>
    </w:tbl>
    <w:p w14:paraId="21D39141" w14:textId="385F955C" w:rsidR="00984FC8" w:rsidRDefault="00984FC8" w:rsidP="00195A4B">
      <w:pPr>
        <w:spacing w:before="120" w:after="120" w:line="240" w:lineRule="auto"/>
        <w:jc w:val="both"/>
        <w:rPr>
          <w:rFonts w:ascii="Times New Roman" w:eastAsia="Times New Roman" w:hAnsi="Times New Roman"/>
          <w:bCs/>
          <w:sz w:val="24"/>
          <w:szCs w:val="24"/>
        </w:rPr>
      </w:pPr>
    </w:p>
    <w:p w14:paraId="45F1BEB7" w14:textId="77777777" w:rsidR="00984FC8" w:rsidRPr="00C12AE7" w:rsidRDefault="00984FC8" w:rsidP="00195A4B">
      <w:pPr>
        <w:spacing w:before="120" w:after="120" w:line="240" w:lineRule="auto"/>
        <w:jc w:val="both"/>
        <w:rPr>
          <w:rFonts w:ascii="Times New Roman" w:eastAsia="Times New Roman" w:hAnsi="Times New Roman"/>
          <w:bCs/>
          <w:sz w:val="24"/>
          <w:szCs w:val="24"/>
        </w:rPr>
      </w:pPr>
    </w:p>
    <w:p w14:paraId="4D3C89F6" w14:textId="268EDF39" w:rsidR="00F304F1" w:rsidRDefault="00F304F1" w:rsidP="00195A4B">
      <w:pPr>
        <w:spacing w:before="120" w:after="0" w:line="240" w:lineRule="auto"/>
        <w:jc w:val="both"/>
        <w:rPr>
          <w:rFonts w:ascii="Times New Roman" w:hAnsi="Times New Roman"/>
          <w:b/>
          <w:sz w:val="24"/>
          <w:szCs w:val="24"/>
        </w:rPr>
      </w:pPr>
      <w:r w:rsidRPr="00272F43">
        <w:rPr>
          <w:rFonts w:ascii="Times New Roman" w:hAnsi="Times New Roman"/>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2685741E" w14:textId="77777777" w:rsidR="008048FD" w:rsidRDefault="008048FD" w:rsidP="00195A4B">
      <w:pPr>
        <w:spacing w:before="120" w:after="0" w:line="240" w:lineRule="auto"/>
        <w:jc w:val="both"/>
        <w:rPr>
          <w:rFonts w:ascii="Times New Roman" w:hAnsi="Times New Roman"/>
          <w:sz w:val="24"/>
          <w:szCs w:val="24"/>
        </w:rPr>
      </w:pPr>
      <w:r>
        <w:rPr>
          <w:rFonts w:ascii="Times New Roman" w:hAnsi="Times New Roman"/>
          <w:sz w:val="24"/>
          <w:szCs w:val="24"/>
        </w:rPr>
        <w:t>Návrh je v souladu s čl. 2 odst. 2 Listiny základních práv a svobod, podle kterého lze s</w:t>
      </w:r>
      <w:r w:rsidRPr="008048FD">
        <w:rPr>
          <w:rFonts w:ascii="Times New Roman" w:hAnsi="Times New Roman"/>
          <w:sz w:val="24"/>
          <w:szCs w:val="24"/>
        </w:rPr>
        <w:t xml:space="preserve">tátní moc uplatňovat jen v případech a v mezích stanovených zákonem, a to způsobem, který zákon </w:t>
      </w:r>
      <w:r w:rsidRPr="008048FD">
        <w:rPr>
          <w:rFonts w:ascii="Times New Roman" w:hAnsi="Times New Roman"/>
          <w:sz w:val="24"/>
          <w:szCs w:val="24"/>
        </w:rPr>
        <w:lastRenderedPageBreak/>
        <w:t>stanoví</w:t>
      </w:r>
      <w:r>
        <w:rPr>
          <w:rFonts w:ascii="Times New Roman" w:hAnsi="Times New Roman"/>
          <w:sz w:val="24"/>
          <w:szCs w:val="24"/>
        </w:rPr>
        <w:t xml:space="preserve"> a s čl. 2 odst. 3 Ústavy, podle něhož </w:t>
      </w:r>
      <w:r w:rsidR="00665A54">
        <w:rPr>
          <w:rFonts w:ascii="Times New Roman" w:hAnsi="Times New Roman"/>
          <w:sz w:val="24"/>
          <w:szCs w:val="24"/>
        </w:rPr>
        <w:t>s</w:t>
      </w:r>
      <w:r w:rsidRPr="008048FD">
        <w:rPr>
          <w:rFonts w:ascii="Times New Roman" w:hAnsi="Times New Roman"/>
          <w:sz w:val="24"/>
          <w:szCs w:val="24"/>
        </w:rPr>
        <w:t>tátní moc slouží všem občanům a lze ji uplatňovat jen v případech, v mezích a způsoby, které stanoví zákon.</w:t>
      </w:r>
    </w:p>
    <w:p w14:paraId="68C45CE4" w14:textId="77777777" w:rsidR="00756F80" w:rsidRPr="00756F80" w:rsidRDefault="008048FD" w:rsidP="00756F80">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Mezinárodní smlouvy, jimiž je Česká republika vázána, </w:t>
      </w:r>
      <w:r w:rsidR="00F668FB">
        <w:rPr>
          <w:rFonts w:ascii="Times New Roman" w:hAnsi="Times New Roman"/>
          <w:sz w:val="24"/>
          <w:szCs w:val="24"/>
        </w:rPr>
        <w:t xml:space="preserve">právo Evropské unie, </w:t>
      </w:r>
      <w:r w:rsidRPr="00272F43">
        <w:rPr>
          <w:rFonts w:ascii="Times New Roman" w:hAnsi="Times New Roman"/>
          <w:sz w:val="24"/>
          <w:szCs w:val="24"/>
        </w:rPr>
        <w:t>ani judikatura Evropského soudu pro lidská práva se na danou oblast přímo nevztahují.</w:t>
      </w:r>
      <w:r>
        <w:rPr>
          <w:rFonts w:ascii="Times New Roman" w:hAnsi="Times New Roman"/>
          <w:sz w:val="24"/>
          <w:szCs w:val="24"/>
        </w:rPr>
        <w:t xml:space="preserve"> </w:t>
      </w:r>
    </w:p>
    <w:p w14:paraId="502C874B" w14:textId="77777777" w:rsidR="00562777" w:rsidRDefault="00562777" w:rsidP="00195A4B">
      <w:pPr>
        <w:autoSpaceDE w:val="0"/>
        <w:autoSpaceDN w:val="0"/>
        <w:adjustRightInd w:val="0"/>
        <w:spacing w:before="120" w:after="0" w:line="240" w:lineRule="auto"/>
        <w:jc w:val="both"/>
        <w:rPr>
          <w:rFonts w:ascii="Times New Roman" w:hAnsi="Times New Roman"/>
          <w:b/>
          <w:sz w:val="24"/>
          <w:szCs w:val="24"/>
          <w:lang w:eastAsia="cs-CZ"/>
        </w:rPr>
      </w:pPr>
    </w:p>
    <w:p w14:paraId="574F3ABC" w14:textId="77777777" w:rsidR="008048FD" w:rsidRPr="00195A4B" w:rsidRDefault="008048FD" w:rsidP="00195A4B">
      <w:pPr>
        <w:autoSpaceDE w:val="0"/>
        <w:autoSpaceDN w:val="0"/>
        <w:adjustRightInd w:val="0"/>
        <w:spacing w:before="120" w:after="0" w:line="240" w:lineRule="auto"/>
        <w:jc w:val="both"/>
        <w:rPr>
          <w:rFonts w:ascii="Times New Roman" w:hAnsi="Times New Roman"/>
          <w:b/>
          <w:sz w:val="24"/>
          <w:szCs w:val="24"/>
          <w:lang w:eastAsia="cs-CZ"/>
        </w:rPr>
      </w:pPr>
      <w:r w:rsidRPr="00195A4B">
        <w:rPr>
          <w:rFonts w:ascii="Times New Roman" w:hAnsi="Times New Roman"/>
          <w:b/>
          <w:sz w:val="24"/>
          <w:szCs w:val="24"/>
          <w:lang w:eastAsia="cs-CZ"/>
        </w:rPr>
        <w:t>Předpokládaný hospodářský a finanční dopad navrhované právní úpravy na státní rozpočet</w:t>
      </w:r>
      <w:r w:rsidR="00B94525">
        <w:rPr>
          <w:rFonts w:ascii="Times New Roman" w:hAnsi="Times New Roman"/>
          <w:b/>
          <w:sz w:val="24"/>
          <w:szCs w:val="24"/>
          <w:lang w:eastAsia="cs-CZ"/>
        </w:rPr>
        <w:t xml:space="preserve"> a</w:t>
      </w:r>
      <w:r w:rsidRPr="00195A4B">
        <w:rPr>
          <w:rFonts w:ascii="Times New Roman" w:hAnsi="Times New Roman"/>
          <w:b/>
          <w:sz w:val="24"/>
          <w:szCs w:val="24"/>
          <w:lang w:eastAsia="cs-CZ"/>
        </w:rPr>
        <w:t xml:space="preserve"> ostatní veřejné rozpočty</w:t>
      </w:r>
      <w:r w:rsidR="00B94525">
        <w:rPr>
          <w:rFonts w:ascii="Times New Roman" w:hAnsi="Times New Roman"/>
          <w:b/>
          <w:sz w:val="24"/>
          <w:szCs w:val="24"/>
          <w:lang w:eastAsia="cs-CZ"/>
        </w:rPr>
        <w:t xml:space="preserve"> </w:t>
      </w:r>
    </w:p>
    <w:p w14:paraId="158D2D1E" w14:textId="77777777" w:rsidR="00DE234F" w:rsidRDefault="00DE234F" w:rsidP="00DE234F">
      <w:pPr>
        <w:spacing w:before="120" w:after="120" w:line="240" w:lineRule="auto"/>
        <w:jc w:val="both"/>
        <w:rPr>
          <w:rFonts w:ascii="Times New Roman" w:hAnsi="Times New Roman"/>
          <w:sz w:val="24"/>
          <w:szCs w:val="24"/>
        </w:rPr>
      </w:pPr>
      <w:r w:rsidRPr="00195A4B">
        <w:rPr>
          <w:rFonts w:ascii="Times New Roman" w:hAnsi="Times New Roman"/>
          <w:sz w:val="24"/>
          <w:szCs w:val="24"/>
        </w:rPr>
        <w:t xml:space="preserve">Návrh na Celní správu přenáší agendu, která je spojena s nárůstem </w:t>
      </w:r>
      <w:r>
        <w:rPr>
          <w:rFonts w:ascii="Times New Roman" w:hAnsi="Times New Roman"/>
          <w:sz w:val="24"/>
          <w:szCs w:val="24"/>
        </w:rPr>
        <w:t xml:space="preserve">počtu </w:t>
      </w:r>
      <w:r w:rsidRPr="00195A4B">
        <w:rPr>
          <w:rFonts w:ascii="Times New Roman" w:hAnsi="Times New Roman"/>
          <w:sz w:val="24"/>
          <w:szCs w:val="24"/>
        </w:rPr>
        <w:t xml:space="preserve">vymáhaných pohledávek. </w:t>
      </w:r>
      <w:r>
        <w:rPr>
          <w:rFonts w:ascii="Times New Roman" w:hAnsi="Times New Roman"/>
          <w:sz w:val="24"/>
          <w:szCs w:val="24"/>
        </w:rPr>
        <w:t xml:space="preserve">Nárůst této agendy lze odhadnout porovnáním počtu justičních pohledávek, které by byly ročně vymáhány Celní správou, a počtu pohledávek vymáhaných Celní správou v rámci dělené správy pro jiné správce než jsou justiční orgány, za předpokladu, že by vymáhání justičních pohledávek v roce 2018 prováděla Celní správa. </w:t>
      </w:r>
      <w:r w:rsidRPr="00195A4B">
        <w:rPr>
          <w:rFonts w:ascii="Times New Roman" w:hAnsi="Times New Roman"/>
          <w:sz w:val="24"/>
          <w:szCs w:val="24"/>
        </w:rPr>
        <w:t>Podle jednotlivých krajů by došlo k nárůstu pohledávek na Celní správě o</w:t>
      </w:r>
      <w:r>
        <w:rPr>
          <w:rFonts w:ascii="Times New Roman" w:hAnsi="Times New Roman"/>
          <w:sz w:val="24"/>
          <w:szCs w:val="24"/>
        </w:rPr>
        <w:t> 17 </w:t>
      </w:r>
      <w:r w:rsidRPr="00195A4B">
        <w:rPr>
          <w:rFonts w:ascii="Times New Roman" w:hAnsi="Times New Roman"/>
          <w:sz w:val="24"/>
          <w:szCs w:val="24"/>
        </w:rPr>
        <w:t>až</w:t>
      </w:r>
      <w:r>
        <w:rPr>
          <w:rFonts w:ascii="Times New Roman" w:hAnsi="Times New Roman"/>
          <w:sz w:val="24"/>
          <w:szCs w:val="24"/>
        </w:rPr>
        <w:t> 44</w:t>
      </w:r>
      <w:r w:rsidRPr="00195A4B">
        <w:rPr>
          <w:rFonts w:ascii="Times New Roman" w:hAnsi="Times New Roman"/>
          <w:sz w:val="24"/>
          <w:szCs w:val="24"/>
        </w:rPr>
        <w:t xml:space="preserve"> %. </w:t>
      </w:r>
    </w:p>
    <w:tbl>
      <w:tblPr>
        <w:tblW w:w="5000"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365"/>
        <w:gridCol w:w="2307"/>
        <w:gridCol w:w="2305"/>
        <w:gridCol w:w="2235"/>
      </w:tblGrid>
      <w:tr w:rsidR="00DE234F" w14:paraId="69582F35" w14:textId="77777777" w:rsidTr="00DE234F">
        <w:trPr>
          <w:trHeight w:val="20"/>
        </w:trPr>
        <w:tc>
          <w:tcPr>
            <w:tcW w:w="1284" w:type="pct"/>
            <w:shd w:val="clear" w:color="auto" w:fill="DEEAF6"/>
            <w:noWrap/>
            <w:vAlign w:val="center"/>
            <w:hideMark/>
          </w:tcPr>
          <w:p w14:paraId="6408A42C" w14:textId="77777777" w:rsidR="00DE234F" w:rsidRPr="00DE234F" w:rsidRDefault="00DE234F" w:rsidP="00EF09BF">
            <w:pPr>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Celní úřad pro</w:t>
            </w:r>
          </w:p>
        </w:tc>
        <w:tc>
          <w:tcPr>
            <w:tcW w:w="1252" w:type="pct"/>
            <w:shd w:val="clear" w:color="auto" w:fill="DEEAF6"/>
            <w:vAlign w:val="center"/>
            <w:hideMark/>
          </w:tcPr>
          <w:p w14:paraId="3A8F28BE" w14:textId="77777777" w:rsidR="00DE234F" w:rsidRPr="00DE234F" w:rsidRDefault="00DE234F" w:rsidP="00EF09BF">
            <w:pPr>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Počet justičních pohledávek v roce 2018</w:t>
            </w:r>
          </w:p>
        </w:tc>
        <w:tc>
          <w:tcPr>
            <w:tcW w:w="1251" w:type="pct"/>
            <w:shd w:val="clear" w:color="auto" w:fill="DEEAF6"/>
            <w:vAlign w:val="center"/>
            <w:hideMark/>
          </w:tcPr>
          <w:p w14:paraId="211AC50F" w14:textId="77777777" w:rsidR="00DE234F" w:rsidRPr="00DE234F" w:rsidRDefault="00DE234F" w:rsidP="00EF09BF">
            <w:pPr>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Počet předpisů dělené správy za rok 2018</w:t>
            </w:r>
          </w:p>
        </w:tc>
        <w:tc>
          <w:tcPr>
            <w:tcW w:w="1213" w:type="pct"/>
            <w:shd w:val="clear" w:color="auto" w:fill="DEEAF6"/>
            <w:vAlign w:val="center"/>
            <w:hideMark/>
          </w:tcPr>
          <w:p w14:paraId="1B06A798" w14:textId="77777777" w:rsidR="00DE234F" w:rsidRPr="00DE234F" w:rsidRDefault="00DE234F" w:rsidP="00EF09BF">
            <w:pPr>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Nárůst v % na Správě příjmů</w:t>
            </w:r>
          </w:p>
        </w:tc>
      </w:tr>
      <w:tr w:rsidR="00DE234F" w14:paraId="5B5FA3C8" w14:textId="77777777" w:rsidTr="00DE234F">
        <w:trPr>
          <w:trHeight w:val="300"/>
        </w:trPr>
        <w:tc>
          <w:tcPr>
            <w:tcW w:w="1284" w:type="pct"/>
            <w:noWrap/>
            <w:vAlign w:val="bottom"/>
            <w:hideMark/>
          </w:tcPr>
          <w:p w14:paraId="7717FEE9"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hlavní město Prahu</w:t>
            </w:r>
          </w:p>
        </w:tc>
        <w:tc>
          <w:tcPr>
            <w:tcW w:w="1252" w:type="pct"/>
            <w:noWrap/>
            <w:vAlign w:val="center"/>
            <w:hideMark/>
          </w:tcPr>
          <w:p w14:paraId="6E9B17BE"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22 072</w:t>
            </w:r>
          </w:p>
        </w:tc>
        <w:tc>
          <w:tcPr>
            <w:tcW w:w="1251" w:type="pct"/>
            <w:noWrap/>
            <w:vAlign w:val="bottom"/>
            <w:hideMark/>
          </w:tcPr>
          <w:p w14:paraId="4EEAD1D4"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53 203</w:t>
            </w:r>
          </w:p>
        </w:tc>
        <w:tc>
          <w:tcPr>
            <w:tcW w:w="1213" w:type="pct"/>
            <w:noWrap/>
            <w:vAlign w:val="center"/>
            <w:hideMark/>
          </w:tcPr>
          <w:p w14:paraId="21808AF5"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42 %</w:t>
            </w:r>
          </w:p>
        </w:tc>
      </w:tr>
      <w:tr w:rsidR="00DE234F" w14:paraId="4AD09EC7" w14:textId="77777777" w:rsidTr="00DE234F">
        <w:trPr>
          <w:trHeight w:val="300"/>
        </w:trPr>
        <w:tc>
          <w:tcPr>
            <w:tcW w:w="1284" w:type="pct"/>
            <w:noWrap/>
            <w:vAlign w:val="bottom"/>
            <w:hideMark/>
          </w:tcPr>
          <w:p w14:paraId="7F1B1422"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Jihočeský kraj</w:t>
            </w:r>
          </w:p>
        </w:tc>
        <w:tc>
          <w:tcPr>
            <w:tcW w:w="1252" w:type="pct"/>
            <w:noWrap/>
            <w:vAlign w:val="center"/>
            <w:hideMark/>
          </w:tcPr>
          <w:p w14:paraId="4CE04C72"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4 315</w:t>
            </w:r>
          </w:p>
        </w:tc>
        <w:tc>
          <w:tcPr>
            <w:tcW w:w="1251" w:type="pct"/>
            <w:noWrap/>
            <w:vAlign w:val="bottom"/>
            <w:hideMark/>
          </w:tcPr>
          <w:p w14:paraId="53E18110"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25 395</w:t>
            </w:r>
          </w:p>
        </w:tc>
        <w:tc>
          <w:tcPr>
            <w:tcW w:w="1213" w:type="pct"/>
            <w:noWrap/>
            <w:vAlign w:val="center"/>
            <w:hideMark/>
          </w:tcPr>
          <w:p w14:paraId="0D211FE0"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17 %</w:t>
            </w:r>
          </w:p>
        </w:tc>
      </w:tr>
      <w:tr w:rsidR="00DE234F" w14:paraId="7E9B8AEF" w14:textId="77777777" w:rsidTr="00DE234F">
        <w:trPr>
          <w:trHeight w:val="300"/>
        </w:trPr>
        <w:tc>
          <w:tcPr>
            <w:tcW w:w="1284" w:type="pct"/>
            <w:noWrap/>
            <w:vAlign w:val="bottom"/>
            <w:hideMark/>
          </w:tcPr>
          <w:p w14:paraId="4068204B"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Jihomoravský kraj</w:t>
            </w:r>
          </w:p>
        </w:tc>
        <w:tc>
          <w:tcPr>
            <w:tcW w:w="1252" w:type="pct"/>
            <w:noWrap/>
            <w:vAlign w:val="center"/>
            <w:hideMark/>
          </w:tcPr>
          <w:p w14:paraId="75ABBB94"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11 127</w:t>
            </w:r>
          </w:p>
        </w:tc>
        <w:tc>
          <w:tcPr>
            <w:tcW w:w="1251" w:type="pct"/>
            <w:noWrap/>
            <w:vAlign w:val="bottom"/>
            <w:hideMark/>
          </w:tcPr>
          <w:p w14:paraId="584810E7"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43 992</w:t>
            </w:r>
          </w:p>
        </w:tc>
        <w:tc>
          <w:tcPr>
            <w:tcW w:w="1213" w:type="pct"/>
            <w:noWrap/>
            <w:vAlign w:val="center"/>
            <w:hideMark/>
          </w:tcPr>
          <w:p w14:paraId="5FBD5CBC"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25 %</w:t>
            </w:r>
          </w:p>
        </w:tc>
      </w:tr>
      <w:tr w:rsidR="00DE234F" w14:paraId="516525A4" w14:textId="77777777" w:rsidTr="00DE234F">
        <w:trPr>
          <w:trHeight w:val="300"/>
        </w:trPr>
        <w:tc>
          <w:tcPr>
            <w:tcW w:w="1284" w:type="pct"/>
            <w:noWrap/>
            <w:vAlign w:val="bottom"/>
            <w:hideMark/>
          </w:tcPr>
          <w:p w14:paraId="302DEF95"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Karlovarský kraj</w:t>
            </w:r>
          </w:p>
        </w:tc>
        <w:tc>
          <w:tcPr>
            <w:tcW w:w="1252" w:type="pct"/>
            <w:noWrap/>
            <w:vAlign w:val="center"/>
            <w:hideMark/>
          </w:tcPr>
          <w:p w14:paraId="6D4CEB3C"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5 044</w:t>
            </w:r>
          </w:p>
        </w:tc>
        <w:tc>
          <w:tcPr>
            <w:tcW w:w="1251" w:type="pct"/>
            <w:noWrap/>
            <w:vAlign w:val="bottom"/>
            <w:hideMark/>
          </w:tcPr>
          <w:p w14:paraId="3AE96145"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12 641</w:t>
            </w:r>
          </w:p>
        </w:tc>
        <w:tc>
          <w:tcPr>
            <w:tcW w:w="1213" w:type="pct"/>
            <w:noWrap/>
            <w:vAlign w:val="center"/>
            <w:hideMark/>
          </w:tcPr>
          <w:p w14:paraId="2645734D"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40 %</w:t>
            </w:r>
          </w:p>
        </w:tc>
      </w:tr>
      <w:tr w:rsidR="00DE234F" w14:paraId="69454F05" w14:textId="77777777" w:rsidTr="00DE234F">
        <w:trPr>
          <w:trHeight w:val="300"/>
        </w:trPr>
        <w:tc>
          <w:tcPr>
            <w:tcW w:w="1284" w:type="pct"/>
            <w:noWrap/>
            <w:vAlign w:val="bottom"/>
            <w:hideMark/>
          </w:tcPr>
          <w:p w14:paraId="3061E829"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Královéhradecký kraj</w:t>
            </w:r>
          </w:p>
        </w:tc>
        <w:tc>
          <w:tcPr>
            <w:tcW w:w="1252" w:type="pct"/>
            <w:noWrap/>
            <w:vAlign w:val="center"/>
            <w:hideMark/>
          </w:tcPr>
          <w:p w14:paraId="37142FBB"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4 916</w:t>
            </w:r>
          </w:p>
        </w:tc>
        <w:tc>
          <w:tcPr>
            <w:tcW w:w="1251" w:type="pct"/>
            <w:noWrap/>
            <w:vAlign w:val="bottom"/>
            <w:hideMark/>
          </w:tcPr>
          <w:p w14:paraId="1C77F3AD"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18 625</w:t>
            </w:r>
          </w:p>
        </w:tc>
        <w:tc>
          <w:tcPr>
            <w:tcW w:w="1213" w:type="pct"/>
            <w:noWrap/>
            <w:vAlign w:val="center"/>
            <w:hideMark/>
          </w:tcPr>
          <w:p w14:paraId="40CBE60D"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26 %</w:t>
            </w:r>
          </w:p>
        </w:tc>
      </w:tr>
      <w:tr w:rsidR="00DE234F" w14:paraId="516E4CCD" w14:textId="77777777" w:rsidTr="00DE234F">
        <w:trPr>
          <w:trHeight w:val="300"/>
        </w:trPr>
        <w:tc>
          <w:tcPr>
            <w:tcW w:w="1284" w:type="pct"/>
            <w:noWrap/>
            <w:vAlign w:val="bottom"/>
            <w:hideMark/>
          </w:tcPr>
          <w:p w14:paraId="22F56BE7"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Liberecký kraj</w:t>
            </w:r>
          </w:p>
        </w:tc>
        <w:tc>
          <w:tcPr>
            <w:tcW w:w="1252" w:type="pct"/>
            <w:noWrap/>
            <w:vAlign w:val="center"/>
            <w:hideMark/>
          </w:tcPr>
          <w:p w14:paraId="3C3944C6"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4 461</w:t>
            </w:r>
          </w:p>
        </w:tc>
        <w:tc>
          <w:tcPr>
            <w:tcW w:w="1251" w:type="pct"/>
            <w:noWrap/>
            <w:vAlign w:val="bottom"/>
            <w:hideMark/>
          </w:tcPr>
          <w:p w14:paraId="7C10412F"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15 989</w:t>
            </w:r>
          </w:p>
        </w:tc>
        <w:tc>
          <w:tcPr>
            <w:tcW w:w="1213" w:type="pct"/>
            <w:noWrap/>
            <w:vAlign w:val="center"/>
            <w:hideMark/>
          </w:tcPr>
          <w:p w14:paraId="16A19F70"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28 %</w:t>
            </w:r>
          </w:p>
        </w:tc>
      </w:tr>
      <w:tr w:rsidR="00DE234F" w14:paraId="480EEEDD" w14:textId="77777777" w:rsidTr="00DE234F">
        <w:trPr>
          <w:trHeight w:val="300"/>
        </w:trPr>
        <w:tc>
          <w:tcPr>
            <w:tcW w:w="1284" w:type="pct"/>
            <w:noWrap/>
            <w:vAlign w:val="bottom"/>
            <w:hideMark/>
          </w:tcPr>
          <w:p w14:paraId="0F852865"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Moravskoslezský kraj</w:t>
            </w:r>
          </w:p>
        </w:tc>
        <w:tc>
          <w:tcPr>
            <w:tcW w:w="1252" w:type="pct"/>
            <w:noWrap/>
            <w:vAlign w:val="center"/>
            <w:hideMark/>
          </w:tcPr>
          <w:p w14:paraId="026B6EF5"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17 472</w:t>
            </w:r>
          </w:p>
        </w:tc>
        <w:tc>
          <w:tcPr>
            <w:tcW w:w="1251" w:type="pct"/>
            <w:noWrap/>
            <w:vAlign w:val="bottom"/>
            <w:hideMark/>
          </w:tcPr>
          <w:p w14:paraId="6E8C4C52"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39 907</w:t>
            </w:r>
          </w:p>
        </w:tc>
        <w:tc>
          <w:tcPr>
            <w:tcW w:w="1213" w:type="pct"/>
            <w:noWrap/>
            <w:vAlign w:val="center"/>
            <w:hideMark/>
          </w:tcPr>
          <w:p w14:paraId="1758E326"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44 %</w:t>
            </w:r>
          </w:p>
        </w:tc>
      </w:tr>
      <w:tr w:rsidR="00DE234F" w14:paraId="0F2CDE4C" w14:textId="77777777" w:rsidTr="00DE234F">
        <w:trPr>
          <w:trHeight w:val="300"/>
        </w:trPr>
        <w:tc>
          <w:tcPr>
            <w:tcW w:w="1284" w:type="pct"/>
            <w:noWrap/>
            <w:vAlign w:val="bottom"/>
            <w:hideMark/>
          </w:tcPr>
          <w:p w14:paraId="7FEE67C0"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Olomoucký kraj</w:t>
            </w:r>
          </w:p>
        </w:tc>
        <w:tc>
          <w:tcPr>
            <w:tcW w:w="1252" w:type="pct"/>
            <w:noWrap/>
            <w:vAlign w:val="center"/>
            <w:hideMark/>
          </w:tcPr>
          <w:p w14:paraId="780F3E49"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5 582</w:t>
            </w:r>
          </w:p>
        </w:tc>
        <w:tc>
          <w:tcPr>
            <w:tcW w:w="1251" w:type="pct"/>
            <w:noWrap/>
            <w:vAlign w:val="bottom"/>
            <w:hideMark/>
          </w:tcPr>
          <w:p w14:paraId="7BD57B5D"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19 603</w:t>
            </w:r>
          </w:p>
        </w:tc>
        <w:tc>
          <w:tcPr>
            <w:tcW w:w="1213" w:type="pct"/>
            <w:noWrap/>
            <w:vAlign w:val="center"/>
            <w:hideMark/>
          </w:tcPr>
          <w:p w14:paraId="47EAA0EF"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29 %</w:t>
            </w:r>
          </w:p>
        </w:tc>
      </w:tr>
      <w:tr w:rsidR="00DE234F" w14:paraId="50DCE5E0" w14:textId="77777777" w:rsidTr="00DE234F">
        <w:trPr>
          <w:trHeight w:val="300"/>
        </w:trPr>
        <w:tc>
          <w:tcPr>
            <w:tcW w:w="1284" w:type="pct"/>
            <w:noWrap/>
            <w:vAlign w:val="bottom"/>
            <w:hideMark/>
          </w:tcPr>
          <w:p w14:paraId="4758CB8C"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Pardubický kraj</w:t>
            </w:r>
          </w:p>
        </w:tc>
        <w:tc>
          <w:tcPr>
            <w:tcW w:w="1252" w:type="pct"/>
            <w:noWrap/>
            <w:vAlign w:val="center"/>
            <w:hideMark/>
          </w:tcPr>
          <w:p w14:paraId="34858DB5"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2 811</w:t>
            </w:r>
          </w:p>
        </w:tc>
        <w:tc>
          <w:tcPr>
            <w:tcW w:w="1251" w:type="pct"/>
            <w:noWrap/>
            <w:vAlign w:val="bottom"/>
            <w:hideMark/>
          </w:tcPr>
          <w:p w14:paraId="029A160D"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13 160</w:t>
            </w:r>
          </w:p>
        </w:tc>
        <w:tc>
          <w:tcPr>
            <w:tcW w:w="1213" w:type="pct"/>
            <w:noWrap/>
            <w:vAlign w:val="center"/>
            <w:hideMark/>
          </w:tcPr>
          <w:p w14:paraId="6C4C9429"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21 %</w:t>
            </w:r>
          </w:p>
        </w:tc>
      </w:tr>
      <w:tr w:rsidR="00DE234F" w14:paraId="0D61FDD4" w14:textId="77777777" w:rsidTr="00DE234F">
        <w:trPr>
          <w:trHeight w:val="300"/>
        </w:trPr>
        <w:tc>
          <w:tcPr>
            <w:tcW w:w="1284" w:type="pct"/>
            <w:noWrap/>
            <w:vAlign w:val="bottom"/>
            <w:hideMark/>
          </w:tcPr>
          <w:p w14:paraId="456BB265"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Plzeňský kraj</w:t>
            </w:r>
          </w:p>
        </w:tc>
        <w:tc>
          <w:tcPr>
            <w:tcW w:w="1252" w:type="pct"/>
            <w:noWrap/>
            <w:vAlign w:val="center"/>
            <w:hideMark/>
          </w:tcPr>
          <w:p w14:paraId="4FA7955F"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6 376</w:t>
            </w:r>
          </w:p>
        </w:tc>
        <w:tc>
          <w:tcPr>
            <w:tcW w:w="1251" w:type="pct"/>
            <w:noWrap/>
            <w:vAlign w:val="bottom"/>
            <w:hideMark/>
          </w:tcPr>
          <w:p w14:paraId="6B1A3EB1"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23 002</w:t>
            </w:r>
          </w:p>
        </w:tc>
        <w:tc>
          <w:tcPr>
            <w:tcW w:w="1213" w:type="pct"/>
            <w:noWrap/>
            <w:vAlign w:val="center"/>
            <w:hideMark/>
          </w:tcPr>
          <w:p w14:paraId="68E3FCB1"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28 %</w:t>
            </w:r>
          </w:p>
        </w:tc>
      </w:tr>
      <w:tr w:rsidR="00DE234F" w14:paraId="109E28B4" w14:textId="77777777" w:rsidTr="00DE234F">
        <w:trPr>
          <w:trHeight w:val="300"/>
        </w:trPr>
        <w:tc>
          <w:tcPr>
            <w:tcW w:w="1284" w:type="pct"/>
            <w:noWrap/>
            <w:vAlign w:val="bottom"/>
            <w:hideMark/>
          </w:tcPr>
          <w:p w14:paraId="0353543C"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Středočeský kraj</w:t>
            </w:r>
          </w:p>
        </w:tc>
        <w:tc>
          <w:tcPr>
            <w:tcW w:w="1252" w:type="pct"/>
            <w:noWrap/>
            <w:vAlign w:val="center"/>
            <w:hideMark/>
          </w:tcPr>
          <w:p w14:paraId="2ED32756"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12 265</w:t>
            </w:r>
          </w:p>
        </w:tc>
        <w:tc>
          <w:tcPr>
            <w:tcW w:w="1251" w:type="pct"/>
            <w:noWrap/>
            <w:vAlign w:val="bottom"/>
            <w:hideMark/>
          </w:tcPr>
          <w:p w14:paraId="7598E828"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42 231</w:t>
            </w:r>
          </w:p>
        </w:tc>
        <w:tc>
          <w:tcPr>
            <w:tcW w:w="1213" w:type="pct"/>
            <w:noWrap/>
            <w:vAlign w:val="center"/>
            <w:hideMark/>
          </w:tcPr>
          <w:p w14:paraId="060F362E"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29 %</w:t>
            </w:r>
          </w:p>
        </w:tc>
      </w:tr>
      <w:tr w:rsidR="00DE234F" w14:paraId="0C585449" w14:textId="77777777" w:rsidTr="00DE234F">
        <w:trPr>
          <w:trHeight w:val="300"/>
        </w:trPr>
        <w:tc>
          <w:tcPr>
            <w:tcW w:w="1284" w:type="pct"/>
            <w:noWrap/>
            <w:vAlign w:val="bottom"/>
            <w:hideMark/>
          </w:tcPr>
          <w:p w14:paraId="1E8C3864"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Ústecký kraj</w:t>
            </w:r>
          </w:p>
        </w:tc>
        <w:tc>
          <w:tcPr>
            <w:tcW w:w="1252" w:type="pct"/>
            <w:noWrap/>
            <w:vAlign w:val="center"/>
            <w:hideMark/>
          </w:tcPr>
          <w:p w14:paraId="045C143F"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12 812</w:t>
            </w:r>
          </w:p>
        </w:tc>
        <w:tc>
          <w:tcPr>
            <w:tcW w:w="1251" w:type="pct"/>
            <w:noWrap/>
            <w:vAlign w:val="bottom"/>
            <w:hideMark/>
          </w:tcPr>
          <w:p w14:paraId="5B81660A"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39 013</w:t>
            </w:r>
          </w:p>
        </w:tc>
        <w:tc>
          <w:tcPr>
            <w:tcW w:w="1213" w:type="pct"/>
            <w:noWrap/>
            <w:vAlign w:val="center"/>
            <w:hideMark/>
          </w:tcPr>
          <w:p w14:paraId="0E346D78"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33 %</w:t>
            </w:r>
          </w:p>
        </w:tc>
      </w:tr>
      <w:tr w:rsidR="00DE234F" w14:paraId="475C7F6B" w14:textId="77777777" w:rsidTr="00DE234F">
        <w:trPr>
          <w:trHeight w:val="300"/>
        </w:trPr>
        <w:tc>
          <w:tcPr>
            <w:tcW w:w="1284" w:type="pct"/>
            <w:noWrap/>
            <w:vAlign w:val="bottom"/>
            <w:hideMark/>
          </w:tcPr>
          <w:p w14:paraId="33A63722"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Kraj Vysočina</w:t>
            </w:r>
          </w:p>
        </w:tc>
        <w:tc>
          <w:tcPr>
            <w:tcW w:w="1252" w:type="pct"/>
            <w:noWrap/>
            <w:vAlign w:val="center"/>
            <w:hideMark/>
          </w:tcPr>
          <w:p w14:paraId="0A9DD930"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3 333</w:t>
            </w:r>
          </w:p>
        </w:tc>
        <w:tc>
          <w:tcPr>
            <w:tcW w:w="1251" w:type="pct"/>
            <w:noWrap/>
            <w:vAlign w:val="bottom"/>
            <w:hideMark/>
          </w:tcPr>
          <w:p w14:paraId="64A1C500"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16 804</w:t>
            </w:r>
          </w:p>
        </w:tc>
        <w:tc>
          <w:tcPr>
            <w:tcW w:w="1213" w:type="pct"/>
            <w:noWrap/>
            <w:vAlign w:val="center"/>
            <w:hideMark/>
          </w:tcPr>
          <w:p w14:paraId="2D0F848A"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20 %</w:t>
            </w:r>
          </w:p>
        </w:tc>
      </w:tr>
      <w:tr w:rsidR="00DE234F" w14:paraId="57A39C4B" w14:textId="77777777" w:rsidTr="00DE234F">
        <w:trPr>
          <w:trHeight w:val="300"/>
        </w:trPr>
        <w:tc>
          <w:tcPr>
            <w:tcW w:w="1284" w:type="pct"/>
            <w:noWrap/>
            <w:vAlign w:val="bottom"/>
            <w:hideMark/>
          </w:tcPr>
          <w:p w14:paraId="42910B2E"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Zlínský kraj</w:t>
            </w:r>
          </w:p>
        </w:tc>
        <w:tc>
          <w:tcPr>
            <w:tcW w:w="1252" w:type="pct"/>
            <w:noWrap/>
            <w:vAlign w:val="center"/>
            <w:hideMark/>
          </w:tcPr>
          <w:p w14:paraId="5166BF59"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3 093</w:t>
            </w:r>
          </w:p>
        </w:tc>
        <w:tc>
          <w:tcPr>
            <w:tcW w:w="1251" w:type="pct"/>
            <w:noWrap/>
            <w:vAlign w:val="bottom"/>
            <w:hideMark/>
          </w:tcPr>
          <w:p w14:paraId="6DC798CA"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15 068</w:t>
            </w:r>
          </w:p>
        </w:tc>
        <w:tc>
          <w:tcPr>
            <w:tcW w:w="1213" w:type="pct"/>
            <w:noWrap/>
            <w:vAlign w:val="center"/>
            <w:hideMark/>
          </w:tcPr>
          <w:p w14:paraId="1D3D66F6"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21%</w:t>
            </w:r>
          </w:p>
        </w:tc>
      </w:tr>
      <w:tr w:rsidR="00DE234F" w14:paraId="59B7C03A" w14:textId="77777777" w:rsidTr="00DE234F">
        <w:trPr>
          <w:trHeight w:val="315"/>
        </w:trPr>
        <w:tc>
          <w:tcPr>
            <w:tcW w:w="1284" w:type="pct"/>
            <w:shd w:val="clear" w:color="auto" w:fill="DEEAF6"/>
            <w:noWrap/>
            <w:vAlign w:val="bottom"/>
            <w:hideMark/>
          </w:tcPr>
          <w:p w14:paraId="3AAFDA8A" w14:textId="77777777" w:rsidR="00DE234F" w:rsidRPr="00DE234F" w:rsidRDefault="00DE234F" w:rsidP="00EF09BF">
            <w:pPr>
              <w:spacing w:before="120" w:after="120"/>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Celkový součet</w:t>
            </w:r>
          </w:p>
        </w:tc>
        <w:tc>
          <w:tcPr>
            <w:tcW w:w="1252" w:type="pct"/>
            <w:shd w:val="clear" w:color="auto" w:fill="DEEAF6"/>
            <w:noWrap/>
            <w:vAlign w:val="center"/>
            <w:hideMark/>
          </w:tcPr>
          <w:p w14:paraId="075FAC30"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115 685</w:t>
            </w:r>
          </w:p>
        </w:tc>
        <w:tc>
          <w:tcPr>
            <w:tcW w:w="1251" w:type="pct"/>
            <w:shd w:val="clear" w:color="auto" w:fill="DEEAF6"/>
            <w:noWrap/>
            <w:vAlign w:val="center"/>
            <w:hideMark/>
          </w:tcPr>
          <w:p w14:paraId="7C5D6EEC"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378 633</w:t>
            </w:r>
          </w:p>
        </w:tc>
        <w:tc>
          <w:tcPr>
            <w:tcW w:w="1213" w:type="pct"/>
            <w:shd w:val="clear" w:color="auto" w:fill="DEEAF6"/>
            <w:noWrap/>
            <w:vAlign w:val="center"/>
            <w:hideMark/>
          </w:tcPr>
          <w:p w14:paraId="27754A7F" w14:textId="77777777" w:rsidR="00DE234F" w:rsidRPr="00DE234F" w:rsidRDefault="00DE234F" w:rsidP="00EF09BF">
            <w:pPr>
              <w:spacing w:before="120" w:after="120"/>
              <w:jc w:val="center"/>
              <w:rPr>
                <w:rFonts w:ascii="Times New Roman" w:eastAsia="Times New Roman" w:hAnsi="Times New Roman" w:cs="Times New Roman"/>
                <w:bCs/>
                <w:color w:val="000000"/>
                <w:sz w:val="20"/>
                <w:szCs w:val="20"/>
              </w:rPr>
            </w:pPr>
            <w:r w:rsidRPr="00DE234F">
              <w:rPr>
                <w:rFonts w:ascii="Times New Roman" w:hAnsi="Times New Roman" w:cs="Times New Roman"/>
                <w:bCs/>
                <w:color w:val="000000"/>
                <w:sz w:val="20"/>
                <w:szCs w:val="20"/>
              </w:rPr>
              <w:t> </w:t>
            </w:r>
          </w:p>
        </w:tc>
      </w:tr>
    </w:tbl>
    <w:p w14:paraId="795665F5" w14:textId="77777777" w:rsidR="00562777" w:rsidRDefault="00DE234F" w:rsidP="00BE4964">
      <w:pPr>
        <w:spacing w:before="120" w:after="120" w:line="240" w:lineRule="auto"/>
        <w:jc w:val="both"/>
        <w:rPr>
          <w:rFonts w:ascii="Times New Roman" w:hAnsi="Times New Roman"/>
          <w:sz w:val="24"/>
          <w:szCs w:val="24"/>
        </w:rPr>
      </w:pPr>
      <w:r w:rsidRPr="00195A4B">
        <w:rPr>
          <w:rFonts w:ascii="Times New Roman" w:hAnsi="Times New Roman"/>
          <w:sz w:val="24"/>
          <w:szCs w:val="24"/>
        </w:rPr>
        <w:t>Vzhledem k tomu, že dojde k nárůstu agendy, bude nutné posílit personální obsazení Celní správy</w:t>
      </w:r>
      <w:r>
        <w:rPr>
          <w:rFonts w:ascii="Times New Roman" w:hAnsi="Times New Roman"/>
          <w:sz w:val="24"/>
          <w:szCs w:val="24"/>
        </w:rPr>
        <w:t>. Níže u</w:t>
      </w:r>
      <w:r w:rsidRPr="00195A4B">
        <w:rPr>
          <w:rFonts w:ascii="Times New Roman" w:hAnsi="Times New Roman"/>
          <w:sz w:val="24"/>
          <w:szCs w:val="24"/>
        </w:rPr>
        <w:t>vedené tabulky ilustrují potřebný počet pracovníků n</w:t>
      </w:r>
      <w:r>
        <w:rPr>
          <w:rFonts w:ascii="Times New Roman" w:hAnsi="Times New Roman"/>
          <w:sz w:val="24"/>
          <w:szCs w:val="24"/>
        </w:rPr>
        <w:t>a odděleních Správy příjmů a na </w:t>
      </w:r>
      <w:r w:rsidRPr="00195A4B">
        <w:rPr>
          <w:rFonts w:ascii="Times New Roman" w:hAnsi="Times New Roman"/>
          <w:sz w:val="24"/>
          <w:szCs w:val="24"/>
        </w:rPr>
        <w:t xml:space="preserve">odděleních Vymáhání pro správu justičních pohledávek. Na odděleních správy příjmů </w:t>
      </w:r>
      <w:r>
        <w:rPr>
          <w:rFonts w:ascii="Times New Roman" w:hAnsi="Times New Roman"/>
          <w:sz w:val="24"/>
          <w:szCs w:val="24"/>
        </w:rPr>
        <w:t>s</w:t>
      </w:r>
      <w:r w:rsidRPr="00195A4B">
        <w:rPr>
          <w:rFonts w:ascii="Times New Roman" w:hAnsi="Times New Roman"/>
          <w:sz w:val="24"/>
          <w:szCs w:val="24"/>
        </w:rPr>
        <w:t>e vycház</w:t>
      </w:r>
      <w:r>
        <w:rPr>
          <w:rFonts w:ascii="Times New Roman" w:hAnsi="Times New Roman"/>
          <w:sz w:val="24"/>
          <w:szCs w:val="24"/>
        </w:rPr>
        <w:t xml:space="preserve">í </w:t>
      </w:r>
      <w:r w:rsidRPr="00195A4B">
        <w:rPr>
          <w:rFonts w:ascii="Times New Roman" w:hAnsi="Times New Roman"/>
          <w:sz w:val="24"/>
          <w:szCs w:val="24"/>
        </w:rPr>
        <w:t>z počtu předpisů dělené s</w:t>
      </w:r>
      <w:r>
        <w:rPr>
          <w:rFonts w:ascii="Times New Roman" w:hAnsi="Times New Roman"/>
          <w:sz w:val="24"/>
          <w:szCs w:val="24"/>
        </w:rPr>
        <w:t>právy předaných v roce 2018. Na </w:t>
      </w:r>
      <w:r w:rsidRPr="00195A4B">
        <w:rPr>
          <w:rFonts w:ascii="Times New Roman" w:hAnsi="Times New Roman"/>
          <w:sz w:val="24"/>
          <w:szCs w:val="24"/>
        </w:rPr>
        <w:t xml:space="preserve">odděleních </w:t>
      </w:r>
      <w:r w:rsidRPr="00195A4B">
        <w:rPr>
          <w:rFonts w:ascii="Times New Roman" w:hAnsi="Times New Roman"/>
          <w:sz w:val="24"/>
          <w:szCs w:val="24"/>
        </w:rPr>
        <w:lastRenderedPageBreak/>
        <w:t xml:space="preserve">vymáhání </w:t>
      </w:r>
      <w:r>
        <w:rPr>
          <w:rFonts w:ascii="Times New Roman" w:hAnsi="Times New Roman"/>
          <w:sz w:val="24"/>
          <w:szCs w:val="24"/>
        </w:rPr>
        <w:t>s</w:t>
      </w:r>
      <w:r w:rsidRPr="00195A4B">
        <w:rPr>
          <w:rFonts w:ascii="Times New Roman" w:hAnsi="Times New Roman"/>
          <w:sz w:val="24"/>
          <w:szCs w:val="24"/>
        </w:rPr>
        <w:t>e částečně vycház</w:t>
      </w:r>
      <w:r>
        <w:rPr>
          <w:rFonts w:ascii="Times New Roman" w:hAnsi="Times New Roman"/>
          <w:sz w:val="24"/>
          <w:szCs w:val="24"/>
        </w:rPr>
        <w:t>í</w:t>
      </w:r>
      <w:r w:rsidRPr="00195A4B">
        <w:rPr>
          <w:rFonts w:ascii="Times New Roman" w:hAnsi="Times New Roman"/>
          <w:sz w:val="24"/>
          <w:szCs w:val="24"/>
        </w:rPr>
        <w:t xml:space="preserve"> z počtu předpisů předaných na vymáhání vzniklých v roce 201</w:t>
      </w:r>
      <w:r>
        <w:rPr>
          <w:rFonts w:ascii="Times New Roman" w:hAnsi="Times New Roman"/>
          <w:sz w:val="24"/>
          <w:szCs w:val="24"/>
        </w:rPr>
        <w:t>8</w:t>
      </w:r>
      <w:r w:rsidRPr="00195A4B">
        <w:rPr>
          <w:rFonts w:ascii="Times New Roman" w:hAnsi="Times New Roman"/>
          <w:sz w:val="24"/>
          <w:szCs w:val="24"/>
        </w:rPr>
        <w:t>. C</w:t>
      </w:r>
      <w:r>
        <w:rPr>
          <w:rFonts w:ascii="Times New Roman" w:hAnsi="Times New Roman"/>
          <w:sz w:val="24"/>
          <w:szCs w:val="24"/>
        </w:rPr>
        <w:t>elní úřad</w:t>
      </w:r>
      <w:r w:rsidRPr="00195A4B">
        <w:rPr>
          <w:rFonts w:ascii="Times New Roman" w:hAnsi="Times New Roman"/>
          <w:sz w:val="24"/>
          <w:szCs w:val="24"/>
        </w:rPr>
        <w:t xml:space="preserve"> Praha Ruzyně nebude s ohledem na územní působnost agendu justičních pohledávek vykonávat, proto není uveden </w:t>
      </w:r>
      <w:r>
        <w:rPr>
          <w:rFonts w:ascii="Times New Roman" w:hAnsi="Times New Roman"/>
          <w:sz w:val="24"/>
          <w:szCs w:val="24"/>
        </w:rPr>
        <w:t>v</w:t>
      </w:r>
      <w:r w:rsidRPr="00195A4B">
        <w:rPr>
          <w:rFonts w:ascii="Times New Roman" w:hAnsi="Times New Roman"/>
          <w:sz w:val="24"/>
          <w:szCs w:val="24"/>
        </w:rPr>
        <w:t xml:space="preserve"> uveden</w:t>
      </w:r>
      <w:r>
        <w:rPr>
          <w:rFonts w:ascii="Times New Roman" w:hAnsi="Times New Roman"/>
          <w:sz w:val="24"/>
          <w:szCs w:val="24"/>
        </w:rPr>
        <w:t>ých</w:t>
      </w:r>
      <w:r w:rsidRPr="00195A4B">
        <w:rPr>
          <w:rFonts w:ascii="Times New Roman" w:hAnsi="Times New Roman"/>
          <w:sz w:val="24"/>
          <w:szCs w:val="24"/>
        </w:rPr>
        <w:t xml:space="preserve"> tabul</w:t>
      </w:r>
      <w:r>
        <w:rPr>
          <w:rFonts w:ascii="Times New Roman" w:hAnsi="Times New Roman"/>
          <w:sz w:val="24"/>
          <w:szCs w:val="24"/>
        </w:rPr>
        <w:t>kách</w:t>
      </w:r>
      <w:r w:rsidRPr="00195A4B">
        <w:rPr>
          <w:rFonts w:ascii="Times New Roman" w:hAnsi="Times New Roman"/>
          <w:sz w:val="24"/>
          <w:szCs w:val="24"/>
        </w:rPr>
        <w:t>.</w:t>
      </w:r>
      <w:r>
        <w:rPr>
          <w:rFonts w:ascii="Times New Roman" w:hAnsi="Times New Roman"/>
          <w:sz w:val="24"/>
          <w:szCs w:val="24"/>
        </w:rPr>
        <w:t xml:space="preserve"> </w:t>
      </w:r>
      <w:r w:rsidRPr="00195A4B">
        <w:rPr>
          <w:rFonts w:ascii="Times New Roman" w:hAnsi="Times New Roman"/>
          <w:sz w:val="24"/>
          <w:szCs w:val="24"/>
        </w:rPr>
        <w:t>Počet pracovníků na</w:t>
      </w:r>
      <w:r>
        <w:rPr>
          <w:rFonts w:ascii="Times New Roman" w:hAnsi="Times New Roman"/>
          <w:sz w:val="24"/>
          <w:szCs w:val="24"/>
        </w:rPr>
        <w:t> </w:t>
      </w:r>
      <w:r w:rsidRPr="00195A4B">
        <w:rPr>
          <w:rFonts w:ascii="Times New Roman" w:hAnsi="Times New Roman"/>
          <w:sz w:val="24"/>
          <w:szCs w:val="24"/>
        </w:rPr>
        <w:t xml:space="preserve">vymáhání byl zvýšen o jedno systemizované místo na každém </w:t>
      </w:r>
      <w:r>
        <w:rPr>
          <w:rFonts w:ascii="Times New Roman" w:hAnsi="Times New Roman"/>
          <w:sz w:val="24"/>
          <w:szCs w:val="24"/>
        </w:rPr>
        <w:t>celním úřadě</w:t>
      </w:r>
      <w:r w:rsidRPr="00195A4B">
        <w:rPr>
          <w:rFonts w:ascii="Times New Roman" w:hAnsi="Times New Roman"/>
          <w:sz w:val="24"/>
          <w:szCs w:val="24"/>
        </w:rPr>
        <w:t xml:space="preserve">, </w:t>
      </w:r>
      <w:r>
        <w:rPr>
          <w:rFonts w:ascii="Times New Roman" w:hAnsi="Times New Roman"/>
          <w:sz w:val="24"/>
          <w:szCs w:val="24"/>
        </w:rPr>
        <w:t xml:space="preserve">neboť se </w:t>
      </w:r>
      <w:r w:rsidRPr="00195A4B">
        <w:rPr>
          <w:rFonts w:ascii="Times New Roman" w:hAnsi="Times New Roman"/>
          <w:sz w:val="24"/>
          <w:szCs w:val="24"/>
        </w:rPr>
        <w:t>očekává vyšší časová náročnost pro zjištění postihnutelného majetku u</w:t>
      </w:r>
      <w:r>
        <w:rPr>
          <w:rFonts w:ascii="Times New Roman" w:hAnsi="Times New Roman"/>
          <w:sz w:val="24"/>
          <w:szCs w:val="24"/>
        </w:rPr>
        <w:t> vymáhání justičních pohledávek</w:t>
      </w:r>
      <w:r w:rsidRPr="00195A4B">
        <w:rPr>
          <w:rFonts w:ascii="Times New Roman" w:hAnsi="Times New Roman"/>
          <w:sz w:val="24"/>
          <w:szCs w:val="24"/>
        </w:rPr>
        <w:t xml:space="preserve"> než u</w:t>
      </w:r>
      <w:r w:rsidR="005B1645">
        <w:rPr>
          <w:rFonts w:ascii="Times New Roman" w:hAnsi="Times New Roman"/>
          <w:sz w:val="24"/>
          <w:szCs w:val="24"/>
        </w:rPr>
        <w:t> </w:t>
      </w:r>
      <w:r w:rsidRPr="00195A4B">
        <w:rPr>
          <w:rFonts w:ascii="Times New Roman" w:hAnsi="Times New Roman"/>
          <w:sz w:val="24"/>
          <w:szCs w:val="24"/>
        </w:rPr>
        <w:t>ostatních peněžitých plnění v rámci dělené správy (absence bankovních účtů, popř. účet s</w:t>
      </w:r>
      <w:r>
        <w:rPr>
          <w:rFonts w:ascii="Times New Roman" w:hAnsi="Times New Roman"/>
          <w:sz w:val="24"/>
          <w:szCs w:val="24"/>
        </w:rPr>
        <w:t> </w:t>
      </w:r>
      <w:r w:rsidRPr="00195A4B">
        <w:rPr>
          <w:rFonts w:ascii="Times New Roman" w:hAnsi="Times New Roman"/>
          <w:sz w:val="24"/>
          <w:szCs w:val="24"/>
        </w:rPr>
        <w:t>nulovým zůstatkem,</w:t>
      </w:r>
      <w:r>
        <w:rPr>
          <w:rFonts w:ascii="Times New Roman" w:hAnsi="Times New Roman"/>
          <w:sz w:val="24"/>
          <w:szCs w:val="24"/>
        </w:rPr>
        <w:t xml:space="preserve"> dlužník nepracuje, popř. je ve </w:t>
      </w:r>
      <w:r w:rsidRPr="00195A4B">
        <w:rPr>
          <w:rFonts w:ascii="Times New Roman" w:hAnsi="Times New Roman"/>
          <w:sz w:val="24"/>
          <w:szCs w:val="24"/>
        </w:rPr>
        <w:t>výkonu trestu, nebydlí na adrese trvalého pobytu, apod.</w:t>
      </w:r>
      <w:r>
        <w:rPr>
          <w:rFonts w:ascii="Times New Roman" w:hAnsi="Times New Roman"/>
          <w:sz w:val="24"/>
          <w:szCs w:val="24"/>
        </w:rPr>
        <w:t>) Z těchto důvodů se domníváme, </w:t>
      </w:r>
      <w:r w:rsidRPr="00195A4B">
        <w:rPr>
          <w:rFonts w:ascii="Times New Roman" w:hAnsi="Times New Roman"/>
          <w:sz w:val="24"/>
          <w:szCs w:val="24"/>
        </w:rPr>
        <w:t xml:space="preserve">že bude nutné ve větší míře využívat institut místního šetření. Z tohoto důvodu jsou samostatně uvedeni tzv. mobiliární exekutoři, tedy pracovníci, kteří mohou provádět mobilární exekuce. </w:t>
      </w:r>
    </w:p>
    <w:tbl>
      <w:tblPr>
        <w:tblW w:w="9214"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884"/>
        <w:gridCol w:w="1842"/>
        <w:gridCol w:w="1094"/>
        <w:gridCol w:w="1276"/>
        <w:gridCol w:w="1457"/>
        <w:gridCol w:w="1661"/>
      </w:tblGrid>
      <w:tr w:rsidR="00DE234F" w14:paraId="0E7F7490" w14:textId="77777777" w:rsidTr="00BE4964">
        <w:trPr>
          <w:trHeight w:val="20"/>
        </w:trPr>
        <w:tc>
          <w:tcPr>
            <w:tcW w:w="1884" w:type="dxa"/>
            <w:vMerge w:val="restart"/>
            <w:shd w:val="clear" w:color="auto" w:fill="DEEAF6"/>
            <w:noWrap/>
            <w:vAlign w:val="center"/>
            <w:hideMark/>
          </w:tcPr>
          <w:p w14:paraId="02924FA2" w14:textId="77777777" w:rsidR="00DE234F" w:rsidRPr="00346651" w:rsidRDefault="00DE234F" w:rsidP="00562777">
            <w:pPr>
              <w:spacing w:before="120" w:after="0" w:line="240" w:lineRule="auto"/>
              <w:rPr>
                <w:rFonts w:ascii="Times New Roman" w:hAnsi="Times New Roman"/>
                <w:sz w:val="20"/>
                <w:szCs w:val="20"/>
              </w:rPr>
            </w:pPr>
            <w:r w:rsidRPr="00346651">
              <w:rPr>
                <w:rFonts w:ascii="Times New Roman" w:hAnsi="Times New Roman"/>
                <w:sz w:val="20"/>
                <w:szCs w:val="20"/>
              </w:rPr>
              <w:t>Celní úřad pro</w:t>
            </w:r>
          </w:p>
        </w:tc>
        <w:tc>
          <w:tcPr>
            <w:tcW w:w="1842" w:type="dxa"/>
            <w:vMerge w:val="restart"/>
            <w:shd w:val="clear" w:color="auto" w:fill="DEEAF6"/>
            <w:vAlign w:val="center"/>
            <w:hideMark/>
          </w:tcPr>
          <w:p w14:paraId="4205B56B" w14:textId="77777777" w:rsidR="00DE234F" w:rsidRPr="00346651" w:rsidRDefault="00DE234F" w:rsidP="00562777">
            <w:pPr>
              <w:spacing w:before="120" w:after="0" w:line="240" w:lineRule="auto"/>
              <w:rPr>
                <w:rFonts w:ascii="Times New Roman" w:hAnsi="Times New Roman"/>
                <w:sz w:val="20"/>
                <w:szCs w:val="20"/>
              </w:rPr>
            </w:pPr>
            <w:r w:rsidRPr="00346651">
              <w:rPr>
                <w:rFonts w:ascii="Times New Roman" w:hAnsi="Times New Roman"/>
                <w:sz w:val="20"/>
                <w:szCs w:val="20"/>
              </w:rPr>
              <w:t>Počet předpisů dělené správy za rok 2018</w:t>
            </w:r>
          </w:p>
        </w:tc>
        <w:tc>
          <w:tcPr>
            <w:tcW w:w="2370" w:type="dxa"/>
            <w:gridSpan w:val="2"/>
            <w:shd w:val="clear" w:color="auto" w:fill="DEEAF6"/>
            <w:vAlign w:val="center"/>
          </w:tcPr>
          <w:p w14:paraId="700DB338" w14:textId="77777777" w:rsidR="00DE234F" w:rsidRPr="00346651" w:rsidRDefault="00DE234F" w:rsidP="00562777">
            <w:pPr>
              <w:spacing w:before="120" w:after="0" w:line="240" w:lineRule="auto"/>
              <w:jc w:val="center"/>
              <w:rPr>
                <w:rFonts w:ascii="Times New Roman" w:hAnsi="Times New Roman"/>
                <w:sz w:val="20"/>
                <w:szCs w:val="20"/>
              </w:rPr>
            </w:pPr>
            <w:r w:rsidRPr="00346651">
              <w:rPr>
                <w:rFonts w:ascii="Times New Roman" w:hAnsi="Times New Roman"/>
                <w:sz w:val="20"/>
                <w:szCs w:val="20"/>
              </w:rPr>
              <w:t>Agenda správy příjmů</w:t>
            </w:r>
          </w:p>
        </w:tc>
        <w:tc>
          <w:tcPr>
            <w:tcW w:w="1457" w:type="dxa"/>
            <w:vMerge w:val="restart"/>
            <w:shd w:val="clear" w:color="auto" w:fill="DEEAF6"/>
            <w:vAlign w:val="center"/>
            <w:hideMark/>
          </w:tcPr>
          <w:p w14:paraId="58A16B05" w14:textId="77777777" w:rsidR="00DE234F" w:rsidRPr="00346651" w:rsidRDefault="00DE234F" w:rsidP="00562777">
            <w:pPr>
              <w:spacing w:before="120" w:after="0" w:line="240" w:lineRule="auto"/>
              <w:rPr>
                <w:rFonts w:ascii="Times New Roman" w:hAnsi="Times New Roman"/>
                <w:sz w:val="20"/>
                <w:szCs w:val="20"/>
              </w:rPr>
            </w:pPr>
            <w:r w:rsidRPr="00346651">
              <w:rPr>
                <w:rFonts w:ascii="Times New Roman" w:hAnsi="Times New Roman"/>
                <w:sz w:val="20"/>
                <w:szCs w:val="20"/>
              </w:rPr>
              <w:t>Nárůst v % na Správě příjmů</w:t>
            </w:r>
          </w:p>
        </w:tc>
        <w:tc>
          <w:tcPr>
            <w:tcW w:w="1661" w:type="dxa"/>
            <w:vMerge w:val="restart"/>
            <w:shd w:val="clear" w:color="auto" w:fill="DEEAF6"/>
            <w:vAlign w:val="center"/>
            <w:hideMark/>
          </w:tcPr>
          <w:p w14:paraId="43938C70" w14:textId="77777777" w:rsidR="00DE234F" w:rsidRPr="00346651" w:rsidRDefault="00DE234F" w:rsidP="005B1645">
            <w:pPr>
              <w:spacing w:before="120" w:after="0" w:line="240" w:lineRule="auto"/>
              <w:jc w:val="center"/>
              <w:rPr>
                <w:rFonts w:ascii="Times New Roman" w:hAnsi="Times New Roman"/>
                <w:sz w:val="20"/>
                <w:szCs w:val="20"/>
              </w:rPr>
            </w:pPr>
            <w:r w:rsidRPr="00346651">
              <w:rPr>
                <w:rFonts w:ascii="Times New Roman" w:hAnsi="Times New Roman"/>
                <w:sz w:val="20"/>
                <w:szCs w:val="20"/>
              </w:rPr>
              <w:t>Potřeba navýšení počtu pracovníků na Správě příjmů</w:t>
            </w:r>
          </w:p>
        </w:tc>
      </w:tr>
      <w:tr w:rsidR="00DE234F" w14:paraId="45CC60B5" w14:textId="77777777" w:rsidTr="00BE4964">
        <w:trPr>
          <w:trHeight w:val="481"/>
        </w:trPr>
        <w:tc>
          <w:tcPr>
            <w:tcW w:w="1884" w:type="dxa"/>
            <w:vMerge/>
            <w:vAlign w:val="center"/>
            <w:hideMark/>
          </w:tcPr>
          <w:p w14:paraId="4AA783EA" w14:textId="77777777" w:rsidR="00DE234F" w:rsidRPr="00346651" w:rsidRDefault="00DE234F" w:rsidP="00562777">
            <w:pPr>
              <w:spacing w:before="120" w:after="0" w:line="240" w:lineRule="auto"/>
              <w:rPr>
                <w:rFonts w:ascii="Times New Roman" w:hAnsi="Times New Roman"/>
                <w:sz w:val="20"/>
                <w:szCs w:val="20"/>
              </w:rPr>
            </w:pPr>
          </w:p>
        </w:tc>
        <w:tc>
          <w:tcPr>
            <w:tcW w:w="1842" w:type="dxa"/>
            <w:vMerge/>
            <w:vAlign w:val="center"/>
            <w:hideMark/>
          </w:tcPr>
          <w:p w14:paraId="177C8C6A" w14:textId="77777777" w:rsidR="00DE234F" w:rsidRPr="00346651" w:rsidRDefault="00DE234F" w:rsidP="00562777">
            <w:pPr>
              <w:spacing w:before="120" w:after="0" w:line="240" w:lineRule="auto"/>
              <w:rPr>
                <w:rFonts w:ascii="Times New Roman" w:hAnsi="Times New Roman"/>
                <w:sz w:val="20"/>
                <w:szCs w:val="20"/>
              </w:rPr>
            </w:pPr>
          </w:p>
        </w:tc>
        <w:tc>
          <w:tcPr>
            <w:tcW w:w="1094" w:type="dxa"/>
            <w:shd w:val="clear" w:color="auto" w:fill="DEEAF6"/>
            <w:vAlign w:val="center"/>
            <w:hideMark/>
          </w:tcPr>
          <w:p w14:paraId="20238145"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Pr>
                <w:rFonts w:ascii="Times New Roman" w:hAnsi="Times New Roman"/>
                <w:bCs/>
                <w:color w:val="000000"/>
                <w:sz w:val="20"/>
                <w:szCs w:val="20"/>
              </w:rPr>
              <w:t>počet pracovník</w:t>
            </w:r>
            <w:r w:rsidRPr="00346651">
              <w:rPr>
                <w:rFonts w:ascii="Times New Roman" w:hAnsi="Times New Roman"/>
                <w:bCs/>
                <w:color w:val="000000"/>
                <w:sz w:val="20"/>
                <w:szCs w:val="20"/>
              </w:rPr>
              <w:t>ů</w:t>
            </w:r>
          </w:p>
        </w:tc>
        <w:tc>
          <w:tcPr>
            <w:tcW w:w="1276" w:type="dxa"/>
            <w:shd w:val="clear" w:color="auto" w:fill="DEEAF6"/>
            <w:vAlign w:val="center"/>
            <w:hideMark/>
          </w:tcPr>
          <w:p w14:paraId="0D2307D7"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případů na pracovníka</w:t>
            </w:r>
          </w:p>
        </w:tc>
        <w:tc>
          <w:tcPr>
            <w:tcW w:w="1457" w:type="dxa"/>
            <w:vMerge/>
            <w:vAlign w:val="center"/>
            <w:hideMark/>
          </w:tcPr>
          <w:p w14:paraId="13F0796E" w14:textId="77777777" w:rsidR="00DE234F" w:rsidRPr="00346651" w:rsidRDefault="00DE234F" w:rsidP="00562777">
            <w:pPr>
              <w:spacing w:before="120" w:after="0" w:line="240" w:lineRule="auto"/>
              <w:rPr>
                <w:rFonts w:ascii="Times New Roman" w:hAnsi="Times New Roman"/>
                <w:sz w:val="20"/>
                <w:szCs w:val="20"/>
              </w:rPr>
            </w:pPr>
          </w:p>
        </w:tc>
        <w:tc>
          <w:tcPr>
            <w:tcW w:w="1661" w:type="dxa"/>
            <w:vMerge/>
            <w:vAlign w:val="center"/>
            <w:hideMark/>
          </w:tcPr>
          <w:p w14:paraId="0B6F3EE4" w14:textId="77777777" w:rsidR="00DE234F" w:rsidRPr="00346651" w:rsidRDefault="00DE234F" w:rsidP="00562777">
            <w:pPr>
              <w:spacing w:before="120" w:after="0" w:line="240" w:lineRule="auto"/>
              <w:rPr>
                <w:rFonts w:ascii="Times New Roman" w:hAnsi="Times New Roman"/>
                <w:sz w:val="20"/>
                <w:szCs w:val="20"/>
              </w:rPr>
            </w:pPr>
          </w:p>
        </w:tc>
      </w:tr>
      <w:tr w:rsidR="00DE234F" w14:paraId="38B80D92" w14:textId="77777777" w:rsidTr="00BE4964">
        <w:trPr>
          <w:trHeight w:val="300"/>
        </w:trPr>
        <w:tc>
          <w:tcPr>
            <w:tcW w:w="1884" w:type="dxa"/>
            <w:noWrap/>
            <w:vAlign w:val="bottom"/>
            <w:hideMark/>
          </w:tcPr>
          <w:p w14:paraId="4CA6DC37"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hlavní město Prahu</w:t>
            </w:r>
          </w:p>
        </w:tc>
        <w:tc>
          <w:tcPr>
            <w:tcW w:w="1842" w:type="dxa"/>
            <w:noWrap/>
            <w:vAlign w:val="bottom"/>
            <w:hideMark/>
          </w:tcPr>
          <w:p w14:paraId="385B095D"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53 203</w:t>
            </w:r>
          </w:p>
        </w:tc>
        <w:tc>
          <w:tcPr>
            <w:tcW w:w="1094" w:type="dxa"/>
            <w:noWrap/>
            <w:vAlign w:val="center"/>
            <w:hideMark/>
          </w:tcPr>
          <w:p w14:paraId="17831765"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21</w:t>
            </w:r>
          </w:p>
        </w:tc>
        <w:tc>
          <w:tcPr>
            <w:tcW w:w="1276" w:type="dxa"/>
            <w:noWrap/>
            <w:vAlign w:val="center"/>
            <w:hideMark/>
          </w:tcPr>
          <w:p w14:paraId="1B2532AB"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2 534</w:t>
            </w:r>
          </w:p>
        </w:tc>
        <w:tc>
          <w:tcPr>
            <w:tcW w:w="1457" w:type="dxa"/>
            <w:noWrap/>
            <w:vAlign w:val="center"/>
            <w:hideMark/>
          </w:tcPr>
          <w:p w14:paraId="7D158DB4"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42 %</w:t>
            </w:r>
          </w:p>
        </w:tc>
        <w:tc>
          <w:tcPr>
            <w:tcW w:w="1661" w:type="dxa"/>
            <w:noWrap/>
            <w:vAlign w:val="center"/>
            <w:hideMark/>
          </w:tcPr>
          <w:p w14:paraId="3EEA2C73"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5</w:t>
            </w:r>
          </w:p>
        </w:tc>
      </w:tr>
      <w:tr w:rsidR="00DE234F" w14:paraId="0471516A" w14:textId="77777777" w:rsidTr="00BE4964">
        <w:trPr>
          <w:trHeight w:val="300"/>
        </w:trPr>
        <w:tc>
          <w:tcPr>
            <w:tcW w:w="1884" w:type="dxa"/>
            <w:noWrap/>
            <w:vAlign w:val="bottom"/>
            <w:hideMark/>
          </w:tcPr>
          <w:p w14:paraId="07ED730F"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Jihočeský kraj</w:t>
            </w:r>
          </w:p>
        </w:tc>
        <w:tc>
          <w:tcPr>
            <w:tcW w:w="1842" w:type="dxa"/>
            <w:noWrap/>
            <w:vAlign w:val="bottom"/>
            <w:hideMark/>
          </w:tcPr>
          <w:p w14:paraId="3B63B1D5"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25 395</w:t>
            </w:r>
          </w:p>
        </w:tc>
        <w:tc>
          <w:tcPr>
            <w:tcW w:w="1094" w:type="dxa"/>
            <w:noWrap/>
            <w:vAlign w:val="center"/>
            <w:hideMark/>
          </w:tcPr>
          <w:p w14:paraId="7AAA18BC"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12</w:t>
            </w:r>
          </w:p>
        </w:tc>
        <w:tc>
          <w:tcPr>
            <w:tcW w:w="1276" w:type="dxa"/>
            <w:noWrap/>
            <w:vAlign w:val="center"/>
            <w:hideMark/>
          </w:tcPr>
          <w:p w14:paraId="6A83D4C3"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2 116</w:t>
            </w:r>
          </w:p>
        </w:tc>
        <w:tc>
          <w:tcPr>
            <w:tcW w:w="1457" w:type="dxa"/>
            <w:noWrap/>
            <w:vAlign w:val="center"/>
            <w:hideMark/>
          </w:tcPr>
          <w:p w14:paraId="5E862F67"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17 %</w:t>
            </w:r>
          </w:p>
        </w:tc>
        <w:tc>
          <w:tcPr>
            <w:tcW w:w="1661" w:type="dxa"/>
            <w:noWrap/>
            <w:vAlign w:val="center"/>
            <w:hideMark/>
          </w:tcPr>
          <w:p w14:paraId="5CD57834"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w:t>
            </w:r>
          </w:p>
        </w:tc>
      </w:tr>
      <w:tr w:rsidR="00DE234F" w14:paraId="66640C56" w14:textId="77777777" w:rsidTr="00BE4964">
        <w:trPr>
          <w:trHeight w:val="300"/>
        </w:trPr>
        <w:tc>
          <w:tcPr>
            <w:tcW w:w="1884" w:type="dxa"/>
            <w:noWrap/>
            <w:vAlign w:val="bottom"/>
            <w:hideMark/>
          </w:tcPr>
          <w:p w14:paraId="0A4CFFEA"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Jihomoravský kraj</w:t>
            </w:r>
          </w:p>
        </w:tc>
        <w:tc>
          <w:tcPr>
            <w:tcW w:w="1842" w:type="dxa"/>
            <w:noWrap/>
            <w:vAlign w:val="bottom"/>
            <w:hideMark/>
          </w:tcPr>
          <w:p w14:paraId="47027485"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43 992</w:t>
            </w:r>
          </w:p>
        </w:tc>
        <w:tc>
          <w:tcPr>
            <w:tcW w:w="1094" w:type="dxa"/>
            <w:noWrap/>
            <w:vAlign w:val="center"/>
            <w:hideMark/>
          </w:tcPr>
          <w:p w14:paraId="443CFB37"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21</w:t>
            </w:r>
          </w:p>
        </w:tc>
        <w:tc>
          <w:tcPr>
            <w:tcW w:w="1276" w:type="dxa"/>
            <w:noWrap/>
            <w:vAlign w:val="center"/>
            <w:hideMark/>
          </w:tcPr>
          <w:p w14:paraId="727E5235"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2 095</w:t>
            </w:r>
          </w:p>
        </w:tc>
        <w:tc>
          <w:tcPr>
            <w:tcW w:w="1457" w:type="dxa"/>
            <w:noWrap/>
            <w:vAlign w:val="center"/>
            <w:hideMark/>
          </w:tcPr>
          <w:p w14:paraId="7324A44D"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25 %</w:t>
            </w:r>
          </w:p>
        </w:tc>
        <w:tc>
          <w:tcPr>
            <w:tcW w:w="1661" w:type="dxa"/>
            <w:noWrap/>
            <w:vAlign w:val="center"/>
            <w:hideMark/>
          </w:tcPr>
          <w:p w14:paraId="5FC01149"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w:t>
            </w:r>
          </w:p>
        </w:tc>
      </w:tr>
      <w:tr w:rsidR="00DE234F" w14:paraId="1C9DFE6D" w14:textId="77777777" w:rsidTr="00BE4964">
        <w:trPr>
          <w:trHeight w:val="300"/>
        </w:trPr>
        <w:tc>
          <w:tcPr>
            <w:tcW w:w="1884" w:type="dxa"/>
            <w:noWrap/>
            <w:vAlign w:val="bottom"/>
            <w:hideMark/>
          </w:tcPr>
          <w:p w14:paraId="273A31E2"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Karlovarský kraj</w:t>
            </w:r>
          </w:p>
        </w:tc>
        <w:tc>
          <w:tcPr>
            <w:tcW w:w="1842" w:type="dxa"/>
            <w:noWrap/>
            <w:vAlign w:val="bottom"/>
            <w:hideMark/>
          </w:tcPr>
          <w:p w14:paraId="7E98817E"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12 641</w:t>
            </w:r>
          </w:p>
        </w:tc>
        <w:tc>
          <w:tcPr>
            <w:tcW w:w="1094" w:type="dxa"/>
            <w:noWrap/>
            <w:vAlign w:val="center"/>
            <w:hideMark/>
          </w:tcPr>
          <w:p w14:paraId="3BACA92C"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9</w:t>
            </w:r>
          </w:p>
        </w:tc>
        <w:tc>
          <w:tcPr>
            <w:tcW w:w="1276" w:type="dxa"/>
            <w:noWrap/>
            <w:vAlign w:val="center"/>
            <w:hideMark/>
          </w:tcPr>
          <w:p w14:paraId="69E2D420"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1 405</w:t>
            </w:r>
          </w:p>
        </w:tc>
        <w:tc>
          <w:tcPr>
            <w:tcW w:w="1457" w:type="dxa"/>
            <w:noWrap/>
            <w:vAlign w:val="center"/>
            <w:hideMark/>
          </w:tcPr>
          <w:p w14:paraId="3DF0B2FB"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40 %</w:t>
            </w:r>
          </w:p>
        </w:tc>
        <w:tc>
          <w:tcPr>
            <w:tcW w:w="1661" w:type="dxa"/>
            <w:noWrap/>
            <w:vAlign w:val="center"/>
            <w:hideMark/>
          </w:tcPr>
          <w:p w14:paraId="560F1B7A"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w:t>
            </w:r>
          </w:p>
        </w:tc>
      </w:tr>
      <w:tr w:rsidR="00DE234F" w14:paraId="08E8DAE6" w14:textId="77777777" w:rsidTr="00BE4964">
        <w:trPr>
          <w:trHeight w:val="300"/>
        </w:trPr>
        <w:tc>
          <w:tcPr>
            <w:tcW w:w="1884" w:type="dxa"/>
            <w:noWrap/>
            <w:vAlign w:val="bottom"/>
            <w:hideMark/>
          </w:tcPr>
          <w:p w14:paraId="74364CAC"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Královéhradecký kraj</w:t>
            </w:r>
          </w:p>
        </w:tc>
        <w:tc>
          <w:tcPr>
            <w:tcW w:w="1842" w:type="dxa"/>
            <w:noWrap/>
            <w:vAlign w:val="bottom"/>
            <w:hideMark/>
          </w:tcPr>
          <w:p w14:paraId="622861B6"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18 625</w:t>
            </w:r>
          </w:p>
        </w:tc>
        <w:tc>
          <w:tcPr>
            <w:tcW w:w="1094" w:type="dxa"/>
            <w:noWrap/>
            <w:vAlign w:val="center"/>
            <w:hideMark/>
          </w:tcPr>
          <w:p w14:paraId="42396D71"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10</w:t>
            </w:r>
          </w:p>
        </w:tc>
        <w:tc>
          <w:tcPr>
            <w:tcW w:w="1276" w:type="dxa"/>
            <w:noWrap/>
            <w:vAlign w:val="center"/>
            <w:hideMark/>
          </w:tcPr>
          <w:p w14:paraId="3028583A"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1 863</w:t>
            </w:r>
          </w:p>
        </w:tc>
        <w:tc>
          <w:tcPr>
            <w:tcW w:w="1457" w:type="dxa"/>
            <w:noWrap/>
            <w:vAlign w:val="center"/>
            <w:hideMark/>
          </w:tcPr>
          <w:p w14:paraId="16CD6A30"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26 %</w:t>
            </w:r>
          </w:p>
        </w:tc>
        <w:tc>
          <w:tcPr>
            <w:tcW w:w="1661" w:type="dxa"/>
            <w:noWrap/>
            <w:vAlign w:val="center"/>
            <w:hideMark/>
          </w:tcPr>
          <w:p w14:paraId="616F60FE"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w:t>
            </w:r>
          </w:p>
        </w:tc>
      </w:tr>
      <w:tr w:rsidR="00DE234F" w14:paraId="4C9F038F" w14:textId="77777777" w:rsidTr="00BE4964">
        <w:trPr>
          <w:trHeight w:val="300"/>
        </w:trPr>
        <w:tc>
          <w:tcPr>
            <w:tcW w:w="1884" w:type="dxa"/>
            <w:noWrap/>
            <w:vAlign w:val="bottom"/>
            <w:hideMark/>
          </w:tcPr>
          <w:p w14:paraId="68226F3C"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Liberecký kraj</w:t>
            </w:r>
          </w:p>
        </w:tc>
        <w:tc>
          <w:tcPr>
            <w:tcW w:w="1842" w:type="dxa"/>
            <w:noWrap/>
            <w:vAlign w:val="bottom"/>
            <w:hideMark/>
          </w:tcPr>
          <w:p w14:paraId="0C124E28"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15 989</w:t>
            </w:r>
          </w:p>
        </w:tc>
        <w:tc>
          <w:tcPr>
            <w:tcW w:w="1094" w:type="dxa"/>
            <w:noWrap/>
            <w:vAlign w:val="center"/>
            <w:hideMark/>
          </w:tcPr>
          <w:p w14:paraId="354D0396"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7</w:t>
            </w:r>
          </w:p>
        </w:tc>
        <w:tc>
          <w:tcPr>
            <w:tcW w:w="1276" w:type="dxa"/>
            <w:noWrap/>
            <w:vAlign w:val="center"/>
            <w:hideMark/>
          </w:tcPr>
          <w:p w14:paraId="668F6E07"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2 284</w:t>
            </w:r>
          </w:p>
        </w:tc>
        <w:tc>
          <w:tcPr>
            <w:tcW w:w="1457" w:type="dxa"/>
            <w:noWrap/>
            <w:vAlign w:val="center"/>
            <w:hideMark/>
          </w:tcPr>
          <w:p w14:paraId="277CE8E6"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28 %</w:t>
            </w:r>
          </w:p>
        </w:tc>
        <w:tc>
          <w:tcPr>
            <w:tcW w:w="1661" w:type="dxa"/>
            <w:noWrap/>
            <w:vAlign w:val="center"/>
            <w:hideMark/>
          </w:tcPr>
          <w:p w14:paraId="7DFF77AC"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w:t>
            </w:r>
          </w:p>
        </w:tc>
      </w:tr>
      <w:tr w:rsidR="00DE234F" w14:paraId="11088413" w14:textId="77777777" w:rsidTr="00BE4964">
        <w:trPr>
          <w:trHeight w:val="300"/>
        </w:trPr>
        <w:tc>
          <w:tcPr>
            <w:tcW w:w="1884" w:type="dxa"/>
            <w:noWrap/>
            <w:vAlign w:val="bottom"/>
            <w:hideMark/>
          </w:tcPr>
          <w:p w14:paraId="0B586B61"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Moravskoslezský kraj</w:t>
            </w:r>
          </w:p>
        </w:tc>
        <w:tc>
          <w:tcPr>
            <w:tcW w:w="1842" w:type="dxa"/>
            <w:noWrap/>
            <w:vAlign w:val="bottom"/>
            <w:hideMark/>
          </w:tcPr>
          <w:p w14:paraId="5A1C2754"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39 907</w:t>
            </w:r>
          </w:p>
        </w:tc>
        <w:tc>
          <w:tcPr>
            <w:tcW w:w="1094" w:type="dxa"/>
            <w:noWrap/>
            <w:vAlign w:val="center"/>
            <w:hideMark/>
          </w:tcPr>
          <w:p w14:paraId="051D991C"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12</w:t>
            </w:r>
          </w:p>
        </w:tc>
        <w:tc>
          <w:tcPr>
            <w:tcW w:w="1276" w:type="dxa"/>
            <w:noWrap/>
            <w:vAlign w:val="center"/>
            <w:hideMark/>
          </w:tcPr>
          <w:p w14:paraId="5B87879C"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3 326</w:t>
            </w:r>
          </w:p>
        </w:tc>
        <w:tc>
          <w:tcPr>
            <w:tcW w:w="1457" w:type="dxa"/>
            <w:noWrap/>
            <w:vAlign w:val="center"/>
            <w:hideMark/>
          </w:tcPr>
          <w:p w14:paraId="796A4D9A"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44 %</w:t>
            </w:r>
          </w:p>
        </w:tc>
        <w:tc>
          <w:tcPr>
            <w:tcW w:w="1661" w:type="dxa"/>
            <w:noWrap/>
            <w:vAlign w:val="center"/>
            <w:hideMark/>
          </w:tcPr>
          <w:p w14:paraId="7E2FF64B"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5</w:t>
            </w:r>
          </w:p>
        </w:tc>
      </w:tr>
      <w:tr w:rsidR="00DE234F" w14:paraId="0C176AFD" w14:textId="77777777" w:rsidTr="00BE4964">
        <w:trPr>
          <w:trHeight w:val="300"/>
        </w:trPr>
        <w:tc>
          <w:tcPr>
            <w:tcW w:w="1884" w:type="dxa"/>
            <w:noWrap/>
            <w:vAlign w:val="bottom"/>
            <w:hideMark/>
          </w:tcPr>
          <w:p w14:paraId="0EBF84E1"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Olomoucký kraj</w:t>
            </w:r>
          </w:p>
        </w:tc>
        <w:tc>
          <w:tcPr>
            <w:tcW w:w="1842" w:type="dxa"/>
            <w:noWrap/>
            <w:vAlign w:val="bottom"/>
            <w:hideMark/>
          </w:tcPr>
          <w:p w14:paraId="64595326"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19 603</w:t>
            </w:r>
          </w:p>
        </w:tc>
        <w:tc>
          <w:tcPr>
            <w:tcW w:w="1094" w:type="dxa"/>
            <w:noWrap/>
            <w:vAlign w:val="center"/>
            <w:hideMark/>
          </w:tcPr>
          <w:p w14:paraId="51D7C779"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13</w:t>
            </w:r>
          </w:p>
        </w:tc>
        <w:tc>
          <w:tcPr>
            <w:tcW w:w="1276" w:type="dxa"/>
            <w:noWrap/>
            <w:vAlign w:val="center"/>
            <w:hideMark/>
          </w:tcPr>
          <w:p w14:paraId="5E0C51A9"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1 508</w:t>
            </w:r>
          </w:p>
        </w:tc>
        <w:tc>
          <w:tcPr>
            <w:tcW w:w="1457" w:type="dxa"/>
            <w:noWrap/>
            <w:vAlign w:val="center"/>
            <w:hideMark/>
          </w:tcPr>
          <w:p w14:paraId="19A59F08"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29 %</w:t>
            </w:r>
          </w:p>
        </w:tc>
        <w:tc>
          <w:tcPr>
            <w:tcW w:w="1661" w:type="dxa"/>
            <w:noWrap/>
            <w:vAlign w:val="center"/>
            <w:hideMark/>
          </w:tcPr>
          <w:p w14:paraId="01D2B932"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w:t>
            </w:r>
          </w:p>
        </w:tc>
      </w:tr>
      <w:tr w:rsidR="00DE234F" w14:paraId="3C70344A" w14:textId="77777777" w:rsidTr="00BE4964">
        <w:trPr>
          <w:trHeight w:val="300"/>
        </w:trPr>
        <w:tc>
          <w:tcPr>
            <w:tcW w:w="1884" w:type="dxa"/>
            <w:noWrap/>
            <w:vAlign w:val="bottom"/>
            <w:hideMark/>
          </w:tcPr>
          <w:p w14:paraId="79702BC0"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Pardubický kraj</w:t>
            </w:r>
          </w:p>
        </w:tc>
        <w:tc>
          <w:tcPr>
            <w:tcW w:w="1842" w:type="dxa"/>
            <w:noWrap/>
            <w:vAlign w:val="bottom"/>
            <w:hideMark/>
          </w:tcPr>
          <w:p w14:paraId="5F4B4C4A"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13 160</w:t>
            </w:r>
          </w:p>
        </w:tc>
        <w:tc>
          <w:tcPr>
            <w:tcW w:w="1094" w:type="dxa"/>
            <w:noWrap/>
            <w:vAlign w:val="center"/>
            <w:hideMark/>
          </w:tcPr>
          <w:p w14:paraId="66BAA4FF"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8</w:t>
            </w:r>
          </w:p>
        </w:tc>
        <w:tc>
          <w:tcPr>
            <w:tcW w:w="1276" w:type="dxa"/>
            <w:noWrap/>
            <w:vAlign w:val="center"/>
            <w:hideMark/>
          </w:tcPr>
          <w:p w14:paraId="2158BCFB"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1 645</w:t>
            </w:r>
          </w:p>
        </w:tc>
        <w:tc>
          <w:tcPr>
            <w:tcW w:w="1457" w:type="dxa"/>
            <w:noWrap/>
            <w:vAlign w:val="center"/>
            <w:hideMark/>
          </w:tcPr>
          <w:p w14:paraId="6456A3B3"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21 %</w:t>
            </w:r>
          </w:p>
        </w:tc>
        <w:tc>
          <w:tcPr>
            <w:tcW w:w="1661" w:type="dxa"/>
            <w:noWrap/>
            <w:vAlign w:val="center"/>
            <w:hideMark/>
          </w:tcPr>
          <w:p w14:paraId="6AD304E8"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w:t>
            </w:r>
          </w:p>
        </w:tc>
      </w:tr>
      <w:tr w:rsidR="00DE234F" w14:paraId="1A3A000A" w14:textId="77777777" w:rsidTr="00BE4964">
        <w:trPr>
          <w:trHeight w:val="300"/>
        </w:trPr>
        <w:tc>
          <w:tcPr>
            <w:tcW w:w="1884" w:type="dxa"/>
            <w:noWrap/>
            <w:vAlign w:val="bottom"/>
            <w:hideMark/>
          </w:tcPr>
          <w:p w14:paraId="3792C609"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Plzeňský kraj</w:t>
            </w:r>
          </w:p>
        </w:tc>
        <w:tc>
          <w:tcPr>
            <w:tcW w:w="1842" w:type="dxa"/>
            <w:noWrap/>
            <w:vAlign w:val="bottom"/>
            <w:hideMark/>
          </w:tcPr>
          <w:p w14:paraId="14C4283B"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23 002</w:t>
            </w:r>
          </w:p>
        </w:tc>
        <w:tc>
          <w:tcPr>
            <w:tcW w:w="1094" w:type="dxa"/>
            <w:noWrap/>
            <w:vAlign w:val="center"/>
            <w:hideMark/>
          </w:tcPr>
          <w:p w14:paraId="4448148F"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14</w:t>
            </w:r>
          </w:p>
        </w:tc>
        <w:tc>
          <w:tcPr>
            <w:tcW w:w="1276" w:type="dxa"/>
            <w:noWrap/>
            <w:vAlign w:val="center"/>
            <w:hideMark/>
          </w:tcPr>
          <w:p w14:paraId="1C498379"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1 643</w:t>
            </w:r>
          </w:p>
        </w:tc>
        <w:tc>
          <w:tcPr>
            <w:tcW w:w="1457" w:type="dxa"/>
            <w:noWrap/>
            <w:vAlign w:val="center"/>
            <w:hideMark/>
          </w:tcPr>
          <w:p w14:paraId="4B458469"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28 %</w:t>
            </w:r>
          </w:p>
        </w:tc>
        <w:tc>
          <w:tcPr>
            <w:tcW w:w="1661" w:type="dxa"/>
            <w:noWrap/>
            <w:vAlign w:val="center"/>
            <w:hideMark/>
          </w:tcPr>
          <w:p w14:paraId="44F5869D"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w:t>
            </w:r>
          </w:p>
        </w:tc>
      </w:tr>
      <w:tr w:rsidR="00DE234F" w14:paraId="33C3676A" w14:textId="77777777" w:rsidTr="00BE4964">
        <w:trPr>
          <w:trHeight w:val="300"/>
        </w:trPr>
        <w:tc>
          <w:tcPr>
            <w:tcW w:w="1884" w:type="dxa"/>
            <w:noWrap/>
            <w:vAlign w:val="bottom"/>
            <w:hideMark/>
          </w:tcPr>
          <w:p w14:paraId="3E2052A7"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Středočeský kraj</w:t>
            </w:r>
          </w:p>
        </w:tc>
        <w:tc>
          <w:tcPr>
            <w:tcW w:w="1842" w:type="dxa"/>
            <w:noWrap/>
            <w:vAlign w:val="bottom"/>
            <w:hideMark/>
          </w:tcPr>
          <w:p w14:paraId="790FB465"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42 231</w:t>
            </w:r>
          </w:p>
        </w:tc>
        <w:tc>
          <w:tcPr>
            <w:tcW w:w="1094" w:type="dxa"/>
            <w:noWrap/>
            <w:vAlign w:val="center"/>
            <w:hideMark/>
          </w:tcPr>
          <w:p w14:paraId="6A887DD3"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24</w:t>
            </w:r>
          </w:p>
        </w:tc>
        <w:tc>
          <w:tcPr>
            <w:tcW w:w="1276" w:type="dxa"/>
            <w:noWrap/>
            <w:vAlign w:val="center"/>
            <w:hideMark/>
          </w:tcPr>
          <w:p w14:paraId="115000AA"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1 760</w:t>
            </w:r>
          </w:p>
        </w:tc>
        <w:tc>
          <w:tcPr>
            <w:tcW w:w="1457" w:type="dxa"/>
            <w:noWrap/>
            <w:vAlign w:val="center"/>
            <w:hideMark/>
          </w:tcPr>
          <w:p w14:paraId="45363AA5"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29 %</w:t>
            </w:r>
          </w:p>
        </w:tc>
        <w:tc>
          <w:tcPr>
            <w:tcW w:w="1661" w:type="dxa"/>
            <w:noWrap/>
            <w:vAlign w:val="center"/>
            <w:hideMark/>
          </w:tcPr>
          <w:p w14:paraId="4C74B152"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w:t>
            </w:r>
          </w:p>
        </w:tc>
      </w:tr>
      <w:tr w:rsidR="00DE234F" w14:paraId="74FE5459" w14:textId="77777777" w:rsidTr="00BE4964">
        <w:trPr>
          <w:trHeight w:val="300"/>
        </w:trPr>
        <w:tc>
          <w:tcPr>
            <w:tcW w:w="1884" w:type="dxa"/>
            <w:noWrap/>
            <w:vAlign w:val="bottom"/>
            <w:hideMark/>
          </w:tcPr>
          <w:p w14:paraId="6A631211"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Ústecký kraj</w:t>
            </w:r>
          </w:p>
        </w:tc>
        <w:tc>
          <w:tcPr>
            <w:tcW w:w="1842" w:type="dxa"/>
            <w:noWrap/>
            <w:vAlign w:val="bottom"/>
            <w:hideMark/>
          </w:tcPr>
          <w:p w14:paraId="75B8F7BB"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39 013</w:t>
            </w:r>
          </w:p>
        </w:tc>
        <w:tc>
          <w:tcPr>
            <w:tcW w:w="1094" w:type="dxa"/>
            <w:noWrap/>
            <w:vAlign w:val="center"/>
            <w:hideMark/>
          </w:tcPr>
          <w:p w14:paraId="5404ADCE"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20</w:t>
            </w:r>
          </w:p>
        </w:tc>
        <w:tc>
          <w:tcPr>
            <w:tcW w:w="1276" w:type="dxa"/>
            <w:noWrap/>
            <w:vAlign w:val="center"/>
            <w:hideMark/>
          </w:tcPr>
          <w:p w14:paraId="528C8ED4"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1 951</w:t>
            </w:r>
          </w:p>
        </w:tc>
        <w:tc>
          <w:tcPr>
            <w:tcW w:w="1457" w:type="dxa"/>
            <w:noWrap/>
            <w:vAlign w:val="center"/>
            <w:hideMark/>
          </w:tcPr>
          <w:p w14:paraId="7550306E"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33 %</w:t>
            </w:r>
          </w:p>
        </w:tc>
        <w:tc>
          <w:tcPr>
            <w:tcW w:w="1661" w:type="dxa"/>
            <w:noWrap/>
            <w:vAlign w:val="center"/>
            <w:hideMark/>
          </w:tcPr>
          <w:p w14:paraId="205EEEDD"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w:t>
            </w:r>
          </w:p>
        </w:tc>
      </w:tr>
      <w:tr w:rsidR="00DE234F" w14:paraId="5A873E4B" w14:textId="77777777" w:rsidTr="00BE4964">
        <w:trPr>
          <w:trHeight w:val="300"/>
        </w:trPr>
        <w:tc>
          <w:tcPr>
            <w:tcW w:w="1884" w:type="dxa"/>
            <w:noWrap/>
            <w:vAlign w:val="bottom"/>
            <w:hideMark/>
          </w:tcPr>
          <w:p w14:paraId="5BF6BFC9"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Kraj Vysočina</w:t>
            </w:r>
          </w:p>
        </w:tc>
        <w:tc>
          <w:tcPr>
            <w:tcW w:w="1842" w:type="dxa"/>
            <w:noWrap/>
            <w:vAlign w:val="bottom"/>
            <w:hideMark/>
          </w:tcPr>
          <w:p w14:paraId="242859C3"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16 804</w:t>
            </w:r>
          </w:p>
        </w:tc>
        <w:tc>
          <w:tcPr>
            <w:tcW w:w="1094" w:type="dxa"/>
            <w:noWrap/>
            <w:vAlign w:val="center"/>
            <w:hideMark/>
          </w:tcPr>
          <w:p w14:paraId="3B085C37"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10</w:t>
            </w:r>
          </w:p>
        </w:tc>
        <w:tc>
          <w:tcPr>
            <w:tcW w:w="1276" w:type="dxa"/>
            <w:noWrap/>
            <w:vAlign w:val="center"/>
            <w:hideMark/>
          </w:tcPr>
          <w:p w14:paraId="4AC683AB"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1 680</w:t>
            </w:r>
          </w:p>
        </w:tc>
        <w:tc>
          <w:tcPr>
            <w:tcW w:w="1457" w:type="dxa"/>
            <w:noWrap/>
            <w:vAlign w:val="center"/>
            <w:hideMark/>
          </w:tcPr>
          <w:p w14:paraId="3CB62138"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20 %</w:t>
            </w:r>
          </w:p>
        </w:tc>
        <w:tc>
          <w:tcPr>
            <w:tcW w:w="1661" w:type="dxa"/>
            <w:noWrap/>
            <w:vAlign w:val="center"/>
            <w:hideMark/>
          </w:tcPr>
          <w:p w14:paraId="322542FA"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w:t>
            </w:r>
          </w:p>
        </w:tc>
      </w:tr>
      <w:tr w:rsidR="00DE234F" w14:paraId="0B78FFF6" w14:textId="77777777" w:rsidTr="00BE4964">
        <w:trPr>
          <w:trHeight w:val="300"/>
        </w:trPr>
        <w:tc>
          <w:tcPr>
            <w:tcW w:w="1884" w:type="dxa"/>
            <w:noWrap/>
            <w:vAlign w:val="bottom"/>
            <w:hideMark/>
          </w:tcPr>
          <w:p w14:paraId="116DBC69" w14:textId="77777777" w:rsidR="00DE234F" w:rsidRPr="00346651" w:rsidRDefault="00DE234F" w:rsidP="00562777">
            <w:pPr>
              <w:spacing w:before="120" w:after="0" w:line="240" w:lineRule="auto"/>
              <w:rPr>
                <w:rFonts w:ascii="Times New Roman" w:eastAsia="Times New Roman" w:hAnsi="Times New Roman"/>
                <w:color w:val="000000"/>
                <w:sz w:val="20"/>
                <w:szCs w:val="20"/>
              </w:rPr>
            </w:pPr>
            <w:r w:rsidRPr="00346651">
              <w:rPr>
                <w:rFonts w:ascii="Times New Roman" w:hAnsi="Times New Roman"/>
                <w:color w:val="000000"/>
                <w:sz w:val="20"/>
                <w:szCs w:val="20"/>
              </w:rPr>
              <w:t>Zlínský kraj</w:t>
            </w:r>
          </w:p>
        </w:tc>
        <w:tc>
          <w:tcPr>
            <w:tcW w:w="1842" w:type="dxa"/>
            <w:noWrap/>
            <w:vAlign w:val="bottom"/>
            <w:hideMark/>
          </w:tcPr>
          <w:p w14:paraId="39E1B09B"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15 068</w:t>
            </w:r>
          </w:p>
        </w:tc>
        <w:tc>
          <w:tcPr>
            <w:tcW w:w="1094" w:type="dxa"/>
            <w:noWrap/>
            <w:vAlign w:val="center"/>
            <w:hideMark/>
          </w:tcPr>
          <w:p w14:paraId="22410772"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9</w:t>
            </w:r>
          </w:p>
        </w:tc>
        <w:tc>
          <w:tcPr>
            <w:tcW w:w="1276" w:type="dxa"/>
            <w:noWrap/>
            <w:vAlign w:val="center"/>
            <w:hideMark/>
          </w:tcPr>
          <w:p w14:paraId="33C771CA" w14:textId="77777777" w:rsidR="00DE234F" w:rsidRPr="00346651" w:rsidRDefault="00DE234F" w:rsidP="00562777">
            <w:pPr>
              <w:spacing w:before="120" w:after="0" w:line="240" w:lineRule="auto"/>
              <w:jc w:val="center"/>
              <w:rPr>
                <w:rFonts w:ascii="Times New Roman" w:eastAsia="Times New Roman" w:hAnsi="Times New Roman"/>
                <w:color w:val="000000"/>
                <w:sz w:val="20"/>
                <w:szCs w:val="20"/>
              </w:rPr>
            </w:pPr>
            <w:r w:rsidRPr="00346651">
              <w:rPr>
                <w:rFonts w:ascii="Times New Roman" w:hAnsi="Times New Roman"/>
                <w:color w:val="000000"/>
                <w:sz w:val="20"/>
                <w:szCs w:val="20"/>
              </w:rPr>
              <w:t>1 674</w:t>
            </w:r>
          </w:p>
        </w:tc>
        <w:tc>
          <w:tcPr>
            <w:tcW w:w="1457" w:type="dxa"/>
            <w:noWrap/>
            <w:vAlign w:val="center"/>
            <w:hideMark/>
          </w:tcPr>
          <w:p w14:paraId="05650FE7"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21%</w:t>
            </w:r>
          </w:p>
        </w:tc>
        <w:tc>
          <w:tcPr>
            <w:tcW w:w="1661" w:type="dxa"/>
            <w:noWrap/>
            <w:vAlign w:val="center"/>
            <w:hideMark/>
          </w:tcPr>
          <w:p w14:paraId="111FC944"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2</w:t>
            </w:r>
          </w:p>
        </w:tc>
      </w:tr>
      <w:tr w:rsidR="00DE234F" w14:paraId="326DD8E1" w14:textId="77777777" w:rsidTr="00BE4964">
        <w:trPr>
          <w:trHeight w:val="315"/>
        </w:trPr>
        <w:tc>
          <w:tcPr>
            <w:tcW w:w="1884" w:type="dxa"/>
            <w:shd w:val="clear" w:color="auto" w:fill="DEEAF6"/>
            <w:noWrap/>
            <w:vAlign w:val="bottom"/>
            <w:hideMark/>
          </w:tcPr>
          <w:p w14:paraId="3C003411" w14:textId="77777777" w:rsidR="00DE234F" w:rsidRPr="00346651" w:rsidRDefault="00DE234F" w:rsidP="00562777">
            <w:pPr>
              <w:spacing w:before="120" w:after="0" w:line="240" w:lineRule="auto"/>
              <w:rPr>
                <w:rFonts w:ascii="Times New Roman" w:eastAsia="Times New Roman" w:hAnsi="Times New Roman"/>
                <w:bCs/>
                <w:color w:val="000000"/>
                <w:sz w:val="20"/>
                <w:szCs w:val="20"/>
              </w:rPr>
            </w:pPr>
            <w:r w:rsidRPr="00346651">
              <w:rPr>
                <w:rFonts w:ascii="Times New Roman" w:hAnsi="Times New Roman"/>
                <w:bCs/>
                <w:color w:val="000000"/>
                <w:sz w:val="20"/>
                <w:szCs w:val="20"/>
              </w:rPr>
              <w:t>Celkový součet</w:t>
            </w:r>
          </w:p>
        </w:tc>
        <w:tc>
          <w:tcPr>
            <w:tcW w:w="1842" w:type="dxa"/>
            <w:shd w:val="clear" w:color="auto" w:fill="DEEAF6"/>
            <w:noWrap/>
            <w:vAlign w:val="center"/>
            <w:hideMark/>
          </w:tcPr>
          <w:p w14:paraId="6EDA56C0"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378 633</w:t>
            </w:r>
          </w:p>
        </w:tc>
        <w:tc>
          <w:tcPr>
            <w:tcW w:w="1094" w:type="dxa"/>
            <w:shd w:val="clear" w:color="auto" w:fill="DEEAF6"/>
            <w:noWrap/>
            <w:vAlign w:val="center"/>
            <w:hideMark/>
          </w:tcPr>
          <w:p w14:paraId="493EF724"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190</w:t>
            </w:r>
          </w:p>
        </w:tc>
        <w:tc>
          <w:tcPr>
            <w:tcW w:w="1276" w:type="dxa"/>
            <w:shd w:val="clear" w:color="auto" w:fill="DEEAF6"/>
            <w:noWrap/>
            <w:vAlign w:val="center"/>
            <w:hideMark/>
          </w:tcPr>
          <w:p w14:paraId="0F9BEF6E"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 </w:t>
            </w:r>
          </w:p>
        </w:tc>
        <w:tc>
          <w:tcPr>
            <w:tcW w:w="1457" w:type="dxa"/>
            <w:shd w:val="clear" w:color="auto" w:fill="DEEAF6"/>
            <w:noWrap/>
            <w:vAlign w:val="center"/>
            <w:hideMark/>
          </w:tcPr>
          <w:p w14:paraId="6C3D1025"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 </w:t>
            </w:r>
          </w:p>
        </w:tc>
        <w:tc>
          <w:tcPr>
            <w:tcW w:w="1661" w:type="dxa"/>
            <w:shd w:val="clear" w:color="auto" w:fill="DEEAF6"/>
            <w:noWrap/>
            <w:vAlign w:val="center"/>
            <w:hideMark/>
          </w:tcPr>
          <w:p w14:paraId="7DA15CB0" w14:textId="77777777" w:rsidR="00DE234F" w:rsidRPr="00346651" w:rsidRDefault="00DE234F" w:rsidP="00562777">
            <w:pPr>
              <w:spacing w:before="120" w:after="0" w:line="240" w:lineRule="auto"/>
              <w:jc w:val="center"/>
              <w:rPr>
                <w:rFonts w:ascii="Times New Roman" w:eastAsia="Times New Roman" w:hAnsi="Times New Roman"/>
                <w:bCs/>
                <w:color w:val="000000"/>
                <w:sz w:val="20"/>
                <w:szCs w:val="20"/>
              </w:rPr>
            </w:pPr>
            <w:r w:rsidRPr="00346651">
              <w:rPr>
                <w:rFonts w:ascii="Times New Roman" w:hAnsi="Times New Roman"/>
                <w:bCs/>
                <w:color w:val="000000"/>
                <w:sz w:val="20"/>
                <w:szCs w:val="20"/>
              </w:rPr>
              <w:t>47</w:t>
            </w:r>
          </w:p>
        </w:tc>
      </w:tr>
    </w:tbl>
    <w:p w14:paraId="3B25FCD7" w14:textId="77777777" w:rsidR="00DE234F" w:rsidDel="00931F85" w:rsidRDefault="00DE234F" w:rsidP="00562777">
      <w:pPr>
        <w:spacing w:before="120" w:after="0" w:line="240" w:lineRule="auto"/>
        <w:jc w:val="both"/>
        <w:rPr>
          <w:rFonts w:ascii="Times New Roman" w:hAnsi="Times New Roman"/>
          <w:sz w:val="18"/>
          <w:szCs w:val="18"/>
        </w:rPr>
      </w:pPr>
    </w:p>
    <w:tbl>
      <w:tblPr>
        <w:tblW w:w="9214"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700"/>
        <w:gridCol w:w="1275"/>
        <w:gridCol w:w="1134"/>
        <w:gridCol w:w="1134"/>
        <w:gridCol w:w="993"/>
        <w:gridCol w:w="1561"/>
        <w:gridCol w:w="1417"/>
      </w:tblGrid>
      <w:tr w:rsidR="00DE234F" w14:paraId="169ACD9F" w14:textId="77777777" w:rsidTr="00BE4964">
        <w:trPr>
          <w:trHeight w:val="482"/>
        </w:trPr>
        <w:tc>
          <w:tcPr>
            <w:tcW w:w="1700" w:type="dxa"/>
            <w:vMerge w:val="restart"/>
            <w:shd w:val="clear" w:color="auto" w:fill="DEEAF6"/>
            <w:noWrap/>
            <w:vAlign w:val="center"/>
            <w:hideMark/>
          </w:tcPr>
          <w:p w14:paraId="3B619A6C"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Celní úřad pro</w:t>
            </w:r>
          </w:p>
        </w:tc>
        <w:tc>
          <w:tcPr>
            <w:tcW w:w="1275" w:type="dxa"/>
            <w:vMerge w:val="restart"/>
            <w:shd w:val="clear" w:color="auto" w:fill="DEEAF6"/>
            <w:vAlign w:val="center"/>
            <w:hideMark/>
          </w:tcPr>
          <w:p w14:paraId="2A6E04AA"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Počet předpisů předaných k vymáhání vzniklých v roce 2018</w:t>
            </w:r>
          </w:p>
        </w:tc>
        <w:tc>
          <w:tcPr>
            <w:tcW w:w="2268" w:type="dxa"/>
            <w:gridSpan w:val="2"/>
            <w:shd w:val="clear" w:color="auto" w:fill="DEEAF6"/>
            <w:vAlign w:val="center"/>
            <w:hideMark/>
          </w:tcPr>
          <w:p w14:paraId="59B5C905"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Agenda vymáhání</w:t>
            </w:r>
          </w:p>
        </w:tc>
        <w:tc>
          <w:tcPr>
            <w:tcW w:w="993" w:type="dxa"/>
            <w:vMerge w:val="restart"/>
            <w:shd w:val="clear" w:color="auto" w:fill="DEEAF6"/>
            <w:vAlign w:val="center"/>
            <w:hideMark/>
          </w:tcPr>
          <w:p w14:paraId="2DEDA7CC"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Nárůst v % na Vymáhání</w:t>
            </w:r>
          </w:p>
        </w:tc>
        <w:tc>
          <w:tcPr>
            <w:tcW w:w="1561" w:type="dxa"/>
            <w:vMerge w:val="restart"/>
            <w:shd w:val="clear" w:color="auto" w:fill="DEEAF6"/>
            <w:vAlign w:val="center"/>
            <w:hideMark/>
          </w:tcPr>
          <w:p w14:paraId="114B14EE"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Potřeba navýšení počtu pracovníků na Vymáhání</w:t>
            </w:r>
          </w:p>
        </w:tc>
        <w:tc>
          <w:tcPr>
            <w:tcW w:w="1417" w:type="dxa"/>
            <w:vMerge w:val="restart"/>
            <w:shd w:val="clear" w:color="auto" w:fill="DEEAF6"/>
            <w:vAlign w:val="center"/>
            <w:hideMark/>
          </w:tcPr>
          <w:p w14:paraId="086E9D72"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Mobiliární exekutoři</w:t>
            </w:r>
          </w:p>
        </w:tc>
      </w:tr>
      <w:tr w:rsidR="00DE234F" w14:paraId="5C5F442C" w14:textId="77777777" w:rsidTr="00BE4964">
        <w:trPr>
          <w:trHeight w:val="481"/>
        </w:trPr>
        <w:tc>
          <w:tcPr>
            <w:tcW w:w="1700" w:type="dxa"/>
            <w:vMerge/>
            <w:vAlign w:val="center"/>
            <w:hideMark/>
          </w:tcPr>
          <w:p w14:paraId="4BCF10DF" w14:textId="77777777" w:rsidR="00DE234F" w:rsidRPr="00DE234F" w:rsidRDefault="00DE234F" w:rsidP="00562777">
            <w:pPr>
              <w:spacing w:before="120" w:after="0" w:line="240" w:lineRule="auto"/>
              <w:rPr>
                <w:rFonts w:ascii="Times New Roman" w:eastAsia="Times New Roman" w:hAnsi="Times New Roman"/>
                <w:bCs/>
                <w:color w:val="000000"/>
                <w:sz w:val="20"/>
                <w:szCs w:val="20"/>
              </w:rPr>
            </w:pPr>
          </w:p>
        </w:tc>
        <w:tc>
          <w:tcPr>
            <w:tcW w:w="1275" w:type="dxa"/>
            <w:vMerge/>
            <w:vAlign w:val="center"/>
            <w:hideMark/>
          </w:tcPr>
          <w:p w14:paraId="61C7191F" w14:textId="77777777" w:rsidR="00DE234F" w:rsidRPr="00DE234F" w:rsidRDefault="00DE234F" w:rsidP="00562777">
            <w:pPr>
              <w:spacing w:before="120" w:after="0" w:line="240" w:lineRule="auto"/>
              <w:rPr>
                <w:rFonts w:ascii="Times New Roman" w:eastAsia="Times New Roman" w:hAnsi="Times New Roman"/>
                <w:bCs/>
                <w:color w:val="000000"/>
                <w:sz w:val="20"/>
                <w:szCs w:val="20"/>
              </w:rPr>
            </w:pPr>
          </w:p>
        </w:tc>
        <w:tc>
          <w:tcPr>
            <w:tcW w:w="1134" w:type="dxa"/>
            <w:shd w:val="clear" w:color="auto" w:fill="DEEAF6"/>
            <w:vAlign w:val="center"/>
            <w:hideMark/>
          </w:tcPr>
          <w:p w14:paraId="2E1B997F"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počet pracovníků</w:t>
            </w:r>
          </w:p>
        </w:tc>
        <w:tc>
          <w:tcPr>
            <w:tcW w:w="1134" w:type="dxa"/>
            <w:shd w:val="clear" w:color="auto" w:fill="DEEAF6"/>
            <w:vAlign w:val="center"/>
            <w:hideMark/>
          </w:tcPr>
          <w:p w14:paraId="73DC71CE"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případů na pracovníka</w:t>
            </w:r>
          </w:p>
        </w:tc>
        <w:tc>
          <w:tcPr>
            <w:tcW w:w="993" w:type="dxa"/>
            <w:vMerge/>
            <w:vAlign w:val="center"/>
            <w:hideMark/>
          </w:tcPr>
          <w:p w14:paraId="6B06CF6A" w14:textId="77777777" w:rsidR="00DE234F" w:rsidRPr="00DE234F" w:rsidRDefault="00DE234F" w:rsidP="00562777">
            <w:pPr>
              <w:spacing w:before="120" w:after="0" w:line="240" w:lineRule="auto"/>
              <w:rPr>
                <w:rFonts w:ascii="Times New Roman" w:eastAsia="Times New Roman" w:hAnsi="Times New Roman"/>
                <w:bCs/>
                <w:color w:val="000000"/>
                <w:sz w:val="20"/>
                <w:szCs w:val="20"/>
              </w:rPr>
            </w:pPr>
          </w:p>
        </w:tc>
        <w:tc>
          <w:tcPr>
            <w:tcW w:w="1561" w:type="dxa"/>
            <w:vMerge/>
            <w:vAlign w:val="center"/>
            <w:hideMark/>
          </w:tcPr>
          <w:p w14:paraId="7F4FFEC7" w14:textId="77777777" w:rsidR="00DE234F" w:rsidRPr="00DE234F" w:rsidRDefault="00DE234F" w:rsidP="00562777">
            <w:pPr>
              <w:spacing w:before="120" w:after="0" w:line="240" w:lineRule="auto"/>
              <w:rPr>
                <w:rFonts w:ascii="Times New Roman" w:eastAsia="Times New Roman" w:hAnsi="Times New Roman"/>
                <w:bCs/>
                <w:color w:val="000000"/>
                <w:sz w:val="20"/>
                <w:szCs w:val="20"/>
              </w:rPr>
            </w:pPr>
          </w:p>
        </w:tc>
        <w:tc>
          <w:tcPr>
            <w:tcW w:w="1417" w:type="dxa"/>
            <w:vMerge/>
            <w:vAlign w:val="center"/>
            <w:hideMark/>
          </w:tcPr>
          <w:p w14:paraId="3AEE2070" w14:textId="77777777" w:rsidR="00DE234F" w:rsidRPr="00DE234F" w:rsidRDefault="00DE234F" w:rsidP="00562777">
            <w:pPr>
              <w:spacing w:before="120" w:after="0" w:line="240" w:lineRule="auto"/>
              <w:rPr>
                <w:rFonts w:ascii="Times New Roman" w:eastAsia="Times New Roman" w:hAnsi="Times New Roman"/>
                <w:bCs/>
                <w:color w:val="000000"/>
                <w:sz w:val="20"/>
                <w:szCs w:val="20"/>
              </w:rPr>
            </w:pPr>
          </w:p>
        </w:tc>
      </w:tr>
      <w:tr w:rsidR="00DE234F" w14:paraId="43B2EE0D" w14:textId="77777777" w:rsidTr="00BE4964">
        <w:trPr>
          <w:trHeight w:val="300"/>
        </w:trPr>
        <w:tc>
          <w:tcPr>
            <w:tcW w:w="1700" w:type="dxa"/>
            <w:noWrap/>
            <w:vAlign w:val="bottom"/>
            <w:hideMark/>
          </w:tcPr>
          <w:p w14:paraId="4DC743DE"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hlavní město Prahu</w:t>
            </w:r>
          </w:p>
        </w:tc>
        <w:tc>
          <w:tcPr>
            <w:tcW w:w="1275" w:type="dxa"/>
            <w:vAlign w:val="center"/>
            <w:hideMark/>
          </w:tcPr>
          <w:p w14:paraId="70838D76"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32 384</w:t>
            </w:r>
          </w:p>
        </w:tc>
        <w:tc>
          <w:tcPr>
            <w:tcW w:w="1134" w:type="dxa"/>
            <w:vAlign w:val="center"/>
            <w:hideMark/>
          </w:tcPr>
          <w:p w14:paraId="01D6E4B4"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43</w:t>
            </w:r>
          </w:p>
        </w:tc>
        <w:tc>
          <w:tcPr>
            <w:tcW w:w="1134" w:type="dxa"/>
            <w:vAlign w:val="center"/>
            <w:hideMark/>
          </w:tcPr>
          <w:p w14:paraId="2C10722F"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753</w:t>
            </w:r>
          </w:p>
        </w:tc>
        <w:tc>
          <w:tcPr>
            <w:tcW w:w="993" w:type="dxa"/>
            <w:vAlign w:val="center"/>
            <w:hideMark/>
          </w:tcPr>
          <w:p w14:paraId="0DF92FAD"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68 %</w:t>
            </w:r>
          </w:p>
        </w:tc>
        <w:tc>
          <w:tcPr>
            <w:tcW w:w="1561" w:type="dxa"/>
            <w:vAlign w:val="center"/>
            <w:hideMark/>
          </w:tcPr>
          <w:p w14:paraId="2BA6A59D"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10</w:t>
            </w:r>
          </w:p>
        </w:tc>
        <w:tc>
          <w:tcPr>
            <w:tcW w:w="1417" w:type="dxa"/>
            <w:vAlign w:val="center"/>
            <w:hideMark/>
          </w:tcPr>
          <w:p w14:paraId="332C407E"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2</w:t>
            </w:r>
          </w:p>
        </w:tc>
      </w:tr>
      <w:tr w:rsidR="00DE234F" w14:paraId="4F6ED820" w14:textId="77777777" w:rsidTr="00BE4964">
        <w:trPr>
          <w:trHeight w:val="300"/>
        </w:trPr>
        <w:tc>
          <w:tcPr>
            <w:tcW w:w="1700" w:type="dxa"/>
            <w:noWrap/>
            <w:vAlign w:val="bottom"/>
            <w:hideMark/>
          </w:tcPr>
          <w:p w14:paraId="42633F1D"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Jihočeský kraj</w:t>
            </w:r>
          </w:p>
        </w:tc>
        <w:tc>
          <w:tcPr>
            <w:tcW w:w="1275" w:type="dxa"/>
            <w:vAlign w:val="center"/>
            <w:hideMark/>
          </w:tcPr>
          <w:p w14:paraId="747925EE"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9 037</w:t>
            </w:r>
          </w:p>
        </w:tc>
        <w:tc>
          <w:tcPr>
            <w:tcW w:w="1134" w:type="dxa"/>
            <w:vAlign w:val="center"/>
            <w:hideMark/>
          </w:tcPr>
          <w:p w14:paraId="66B118F7"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21</w:t>
            </w:r>
          </w:p>
        </w:tc>
        <w:tc>
          <w:tcPr>
            <w:tcW w:w="1134" w:type="dxa"/>
            <w:vAlign w:val="center"/>
            <w:hideMark/>
          </w:tcPr>
          <w:p w14:paraId="33179F29"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430</w:t>
            </w:r>
          </w:p>
        </w:tc>
        <w:tc>
          <w:tcPr>
            <w:tcW w:w="993" w:type="dxa"/>
            <w:vAlign w:val="center"/>
            <w:hideMark/>
          </w:tcPr>
          <w:p w14:paraId="2C41C329"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48 %</w:t>
            </w:r>
          </w:p>
        </w:tc>
        <w:tc>
          <w:tcPr>
            <w:tcW w:w="1561" w:type="dxa"/>
            <w:vAlign w:val="center"/>
            <w:hideMark/>
          </w:tcPr>
          <w:p w14:paraId="71E8B882"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4</w:t>
            </w:r>
          </w:p>
        </w:tc>
        <w:tc>
          <w:tcPr>
            <w:tcW w:w="1417" w:type="dxa"/>
            <w:vAlign w:val="center"/>
            <w:hideMark/>
          </w:tcPr>
          <w:p w14:paraId="07FB5169"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2B6AD08D" w14:textId="77777777" w:rsidTr="00BE4964">
        <w:trPr>
          <w:trHeight w:val="300"/>
        </w:trPr>
        <w:tc>
          <w:tcPr>
            <w:tcW w:w="1700" w:type="dxa"/>
            <w:noWrap/>
            <w:vAlign w:val="bottom"/>
            <w:hideMark/>
          </w:tcPr>
          <w:p w14:paraId="6A661931"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Jihomoravský kraj</w:t>
            </w:r>
          </w:p>
        </w:tc>
        <w:tc>
          <w:tcPr>
            <w:tcW w:w="1275" w:type="dxa"/>
            <w:vAlign w:val="center"/>
            <w:hideMark/>
          </w:tcPr>
          <w:p w14:paraId="69E15746"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15 128</w:t>
            </w:r>
          </w:p>
        </w:tc>
        <w:tc>
          <w:tcPr>
            <w:tcW w:w="1134" w:type="dxa"/>
            <w:vAlign w:val="center"/>
            <w:hideMark/>
          </w:tcPr>
          <w:p w14:paraId="04DDF68B"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35</w:t>
            </w:r>
          </w:p>
        </w:tc>
        <w:tc>
          <w:tcPr>
            <w:tcW w:w="1134" w:type="dxa"/>
            <w:vAlign w:val="center"/>
            <w:hideMark/>
          </w:tcPr>
          <w:p w14:paraId="5247EB5E"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432</w:t>
            </w:r>
          </w:p>
        </w:tc>
        <w:tc>
          <w:tcPr>
            <w:tcW w:w="993" w:type="dxa"/>
            <w:vAlign w:val="center"/>
            <w:hideMark/>
          </w:tcPr>
          <w:p w14:paraId="2C1D49D2"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74 %</w:t>
            </w:r>
          </w:p>
        </w:tc>
        <w:tc>
          <w:tcPr>
            <w:tcW w:w="1561" w:type="dxa"/>
            <w:vAlign w:val="center"/>
            <w:hideMark/>
          </w:tcPr>
          <w:p w14:paraId="7AA5BA81"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5</w:t>
            </w:r>
          </w:p>
        </w:tc>
        <w:tc>
          <w:tcPr>
            <w:tcW w:w="1417" w:type="dxa"/>
            <w:vAlign w:val="center"/>
            <w:hideMark/>
          </w:tcPr>
          <w:p w14:paraId="42F0D010"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2</w:t>
            </w:r>
          </w:p>
        </w:tc>
      </w:tr>
      <w:tr w:rsidR="00DE234F" w14:paraId="69D8E9F8" w14:textId="77777777" w:rsidTr="00BE4964">
        <w:trPr>
          <w:trHeight w:val="300"/>
        </w:trPr>
        <w:tc>
          <w:tcPr>
            <w:tcW w:w="1700" w:type="dxa"/>
            <w:noWrap/>
            <w:vAlign w:val="bottom"/>
            <w:hideMark/>
          </w:tcPr>
          <w:p w14:paraId="3BCF89CA"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Karlovarský kraj</w:t>
            </w:r>
          </w:p>
        </w:tc>
        <w:tc>
          <w:tcPr>
            <w:tcW w:w="1275" w:type="dxa"/>
            <w:vAlign w:val="center"/>
            <w:hideMark/>
          </w:tcPr>
          <w:p w14:paraId="23E5D8AF"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11 268</w:t>
            </w:r>
          </w:p>
        </w:tc>
        <w:tc>
          <w:tcPr>
            <w:tcW w:w="1134" w:type="dxa"/>
            <w:vAlign w:val="center"/>
            <w:hideMark/>
          </w:tcPr>
          <w:p w14:paraId="43B6844C"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11</w:t>
            </w:r>
          </w:p>
        </w:tc>
        <w:tc>
          <w:tcPr>
            <w:tcW w:w="1134" w:type="dxa"/>
            <w:vAlign w:val="center"/>
            <w:hideMark/>
          </w:tcPr>
          <w:p w14:paraId="4BFE1F77"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1 024</w:t>
            </w:r>
          </w:p>
        </w:tc>
        <w:tc>
          <w:tcPr>
            <w:tcW w:w="993" w:type="dxa"/>
            <w:vAlign w:val="center"/>
            <w:hideMark/>
          </w:tcPr>
          <w:p w14:paraId="6F09F97C"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45 %</w:t>
            </w:r>
          </w:p>
        </w:tc>
        <w:tc>
          <w:tcPr>
            <w:tcW w:w="1561" w:type="dxa"/>
            <w:vAlign w:val="center"/>
            <w:hideMark/>
          </w:tcPr>
          <w:p w14:paraId="6CB50168"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3</w:t>
            </w:r>
          </w:p>
        </w:tc>
        <w:tc>
          <w:tcPr>
            <w:tcW w:w="1417" w:type="dxa"/>
            <w:vAlign w:val="center"/>
            <w:hideMark/>
          </w:tcPr>
          <w:p w14:paraId="7703DA41"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0BC0C5D0" w14:textId="77777777" w:rsidTr="00BE4964">
        <w:trPr>
          <w:trHeight w:val="300"/>
        </w:trPr>
        <w:tc>
          <w:tcPr>
            <w:tcW w:w="1700" w:type="dxa"/>
            <w:noWrap/>
            <w:vAlign w:val="bottom"/>
            <w:hideMark/>
          </w:tcPr>
          <w:p w14:paraId="4194C0C3"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Královéhradecký kraj</w:t>
            </w:r>
          </w:p>
        </w:tc>
        <w:tc>
          <w:tcPr>
            <w:tcW w:w="1275" w:type="dxa"/>
            <w:vAlign w:val="center"/>
            <w:hideMark/>
          </w:tcPr>
          <w:p w14:paraId="02B3C160"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7 019</w:t>
            </w:r>
          </w:p>
        </w:tc>
        <w:tc>
          <w:tcPr>
            <w:tcW w:w="1134" w:type="dxa"/>
            <w:vAlign w:val="center"/>
            <w:hideMark/>
          </w:tcPr>
          <w:p w14:paraId="450E2CC2"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16</w:t>
            </w:r>
          </w:p>
        </w:tc>
        <w:tc>
          <w:tcPr>
            <w:tcW w:w="1134" w:type="dxa"/>
            <w:vAlign w:val="center"/>
            <w:hideMark/>
          </w:tcPr>
          <w:p w14:paraId="4BD7E0C0"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439</w:t>
            </w:r>
          </w:p>
        </w:tc>
        <w:tc>
          <w:tcPr>
            <w:tcW w:w="993" w:type="dxa"/>
            <w:vAlign w:val="center"/>
            <w:hideMark/>
          </w:tcPr>
          <w:p w14:paraId="33D6012A"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70 %</w:t>
            </w:r>
          </w:p>
        </w:tc>
        <w:tc>
          <w:tcPr>
            <w:tcW w:w="1561" w:type="dxa"/>
            <w:vAlign w:val="center"/>
            <w:hideMark/>
          </w:tcPr>
          <w:p w14:paraId="33F772D0"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3</w:t>
            </w:r>
          </w:p>
        </w:tc>
        <w:tc>
          <w:tcPr>
            <w:tcW w:w="1417" w:type="dxa"/>
            <w:vAlign w:val="center"/>
            <w:hideMark/>
          </w:tcPr>
          <w:p w14:paraId="36FC6523"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3B7CE5FE" w14:textId="77777777" w:rsidTr="00BE4964">
        <w:trPr>
          <w:trHeight w:val="300"/>
        </w:trPr>
        <w:tc>
          <w:tcPr>
            <w:tcW w:w="1700" w:type="dxa"/>
            <w:noWrap/>
            <w:vAlign w:val="bottom"/>
            <w:hideMark/>
          </w:tcPr>
          <w:p w14:paraId="7D7164B8"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lastRenderedPageBreak/>
              <w:t>Liberecký kraj</w:t>
            </w:r>
          </w:p>
        </w:tc>
        <w:tc>
          <w:tcPr>
            <w:tcW w:w="1275" w:type="dxa"/>
            <w:vAlign w:val="center"/>
            <w:hideMark/>
          </w:tcPr>
          <w:p w14:paraId="0231F4D6"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9 374</w:t>
            </w:r>
          </w:p>
        </w:tc>
        <w:tc>
          <w:tcPr>
            <w:tcW w:w="1134" w:type="dxa"/>
            <w:vAlign w:val="center"/>
            <w:hideMark/>
          </w:tcPr>
          <w:p w14:paraId="518A714F"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14</w:t>
            </w:r>
          </w:p>
        </w:tc>
        <w:tc>
          <w:tcPr>
            <w:tcW w:w="1134" w:type="dxa"/>
            <w:vAlign w:val="center"/>
            <w:hideMark/>
          </w:tcPr>
          <w:p w14:paraId="4729CD0D"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670</w:t>
            </w:r>
          </w:p>
        </w:tc>
        <w:tc>
          <w:tcPr>
            <w:tcW w:w="993" w:type="dxa"/>
            <w:vAlign w:val="center"/>
            <w:hideMark/>
          </w:tcPr>
          <w:p w14:paraId="29AC450A"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48 %</w:t>
            </w:r>
          </w:p>
        </w:tc>
        <w:tc>
          <w:tcPr>
            <w:tcW w:w="1561" w:type="dxa"/>
            <w:vAlign w:val="center"/>
            <w:hideMark/>
          </w:tcPr>
          <w:p w14:paraId="50E157E4"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4</w:t>
            </w:r>
          </w:p>
        </w:tc>
        <w:tc>
          <w:tcPr>
            <w:tcW w:w="1417" w:type="dxa"/>
            <w:vAlign w:val="center"/>
            <w:hideMark/>
          </w:tcPr>
          <w:p w14:paraId="6FF595B3"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095244DE" w14:textId="77777777" w:rsidTr="00BE4964">
        <w:trPr>
          <w:trHeight w:val="300"/>
        </w:trPr>
        <w:tc>
          <w:tcPr>
            <w:tcW w:w="1700" w:type="dxa"/>
            <w:noWrap/>
            <w:vAlign w:val="bottom"/>
            <w:hideMark/>
          </w:tcPr>
          <w:p w14:paraId="419025C1"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Moravskoslezský kraj</w:t>
            </w:r>
          </w:p>
        </w:tc>
        <w:tc>
          <w:tcPr>
            <w:tcW w:w="1275" w:type="dxa"/>
            <w:vAlign w:val="center"/>
            <w:hideMark/>
          </w:tcPr>
          <w:p w14:paraId="520526D8"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14 690</w:t>
            </w:r>
          </w:p>
        </w:tc>
        <w:tc>
          <w:tcPr>
            <w:tcW w:w="1134" w:type="dxa"/>
            <w:vAlign w:val="center"/>
            <w:hideMark/>
          </w:tcPr>
          <w:p w14:paraId="2AAFFC1F"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26</w:t>
            </w:r>
          </w:p>
        </w:tc>
        <w:tc>
          <w:tcPr>
            <w:tcW w:w="1134" w:type="dxa"/>
            <w:vAlign w:val="center"/>
            <w:hideMark/>
          </w:tcPr>
          <w:p w14:paraId="3C67E7F6"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565</w:t>
            </w:r>
          </w:p>
        </w:tc>
        <w:tc>
          <w:tcPr>
            <w:tcW w:w="993" w:type="dxa"/>
            <w:vAlign w:val="center"/>
            <w:hideMark/>
          </w:tcPr>
          <w:p w14:paraId="793A92C5"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119 %</w:t>
            </w:r>
          </w:p>
        </w:tc>
        <w:tc>
          <w:tcPr>
            <w:tcW w:w="1561" w:type="dxa"/>
            <w:vAlign w:val="center"/>
            <w:hideMark/>
          </w:tcPr>
          <w:p w14:paraId="571D7791"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7</w:t>
            </w:r>
          </w:p>
        </w:tc>
        <w:tc>
          <w:tcPr>
            <w:tcW w:w="1417" w:type="dxa"/>
            <w:vAlign w:val="center"/>
            <w:hideMark/>
          </w:tcPr>
          <w:p w14:paraId="2080D403"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2</w:t>
            </w:r>
          </w:p>
        </w:tc>
      </w:tr>
      <w:tr w:rsidR="00DE234F" w14:paraId="6169F4A7" w14:textId="77777777" w:rsidTr="00BE4964">
        <w:trPr>
          <w:trHeight w:val="300"/>
        </w:trPr>
        <w:tc>
          <w:tcPr>
            <w:tcW w:w="1700" w:type="dxa"/>
            <w:noWrap/>
            <w:vAlign w:val="bottom"/>
            <w:hideMark/>
          </w:tcPr>
          <w:p w14:paraId="3428C0F5"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Olomoucký kraj</w:t>
            </w:r>
          </w:p>
        </w:tc>
        <w:tc>
          <w:tcPr>
            <w:tcW w:w="1275" w:type="dxa"/>
            <w:vAlign w:val="center"/>
            <w:hideMark/>
          </w:tcPr>
          <w:p w14:paraId="1A7F3559"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5 408</w:t>
            </w:r>
          </w:p>
        </w:tc>
        <w:tc>
          <w:tcPr>
            <w:tcW w:w="1134" w:type="dxa"/>
            <w:vAlign w:val="center"/>
            <w:hideMark/>
          </w:tcPr>
          <w:p w14:paraId="1D2E4F9B"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14</w:t>
            </w:r>
          </w:p>
        </w:tc>
        <w:tc>
          <w:tcPr>
            <w:tcW w:w="1134" w:type="dxa"/>
            <w:vAlign w:val="center"/>
            <w:hideMark/>
          </w:tcPr>
          <w:p w14:paraId="14B0B099"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386</w:t>
            </w:r>
          </w:p>
        </w:tc>
        <w:tc>
          <w:tcPr>
            <w:tcW w:w="993" w:type="dxa"/>
            <w:vAlign w:val="center"/>
            <w:hideMark/>
          </w:tcPr>
          <w:p w14:paraId="59739567"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103 %</w:t>
            </w:r>
          </w:p>
        </w:tc>
        <w:tc>
          <w:tcPr>
            <w:tcW w:w="1561" w:type="dxa"/>
            <w:vAlign w:val="center"/>
            <w:hideMark/>
          </w:tcPr>
          <w:p w14:paraId="4237769F"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4</w:t>
            </w:r>
          </w:p>
        </w:tc>
        <w:tc>
          <w:tcPr>
            <w:tcW w:w="1417" w:type="dxa"/>
            <w:vAlign w:val="center"/>
            <w:hideMark/>
          </w:tcPr>
          <w:p w14:paraId="64CE824F"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109B0D24" w14:textId="77777777" w:rsidTr="00BE4964">
        <w:trPr>
          <w:trHeight w:val="300"/>
        </w:trPr>
        <w:tc>
          <w:tcPr>
            <w:tcW w:w="1700" w:type="dxa"/>
            <w:noWrap/>
            <w:vAlign w:val="bottom"/>
            <w:hideMark/>
          </w:tcPr>
          <w:p w14:paraId="38DB9059"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Pardubický kraj</w:t>
            </w:r>
          </w:p>
        </w:tc>
        <w:tc>
          <w:tcPr>
            <w:tcW w:w="1275" w:type="dxa"/>
            <w:vAlign w:val="center"/>
            <w:hideMark/>
          </w:tcPr>
          <w:p w14:paraId="5A3D6C77"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4 185</w:t>
            </w:r>
          </w:p>
        </w:tc>
        <w:tc>
          <w:tcPr>
            <w:tcW w:w="1134" w:type="dxa"/>
            <w:vAlign w:val="center"/>
            <w:hideMark/>
          </w:tcPr>
          <w:p w14:paraId="0176EBAC"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11</w:t>
            </w:r>
          </w:p>
        </w:tc>
        <w:tc>
          <w:tcPr>
            <w:tcW w:w="1134" w:type="dxa"/>
            <w:vAlign w:val="center"/>
            <w:hideMark/>
          </w:tcPr>
          <w:p w14:paraId="4A3BE22D"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380</w:t>
            </w:r>
          </w:p>
        </w:tc>
        <w:tc>
          <w:tcPr>
            <w:tcW w:w="993" w:type="dxa"/>
            <w:vAlign w:val="center"/>
            <w:hideMark/>
          </w:tcPr>
          <w:p w14:paraId="7660B721"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67 %</w:t>
            </w:r>
          </w:p>
        </w:tc>
        <w:tc>
          <w:tcPr>
            <w:tcW w:w="1561" w:type="dxa"/>
            <w:vAlign w:val="center"/>
            <w:hideMark/>
          </w:tcPr>
          <w:p w14:paraId="775E7009"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3</w:t>
            </w:r>
          </w:p>
        </w:tc>
        <w:tc>
          <w:tcPr>
            <w:tcW w:w="1417" w:type="dxa"/>
            <w:vAlign w:val="center"/>
            <w:hideMark/>
          </w:tcPr>
          <w:p w14:paraId="7CFCFDA1"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29032C5E" w14:textId="77777777" w:rsidTr="00BE4964">
        <w:trPr>
          <w:trHeight w:val="300"/>
        </w:trPr>
        <w:tc>
          <w:tcPr>
            <w:tcW w:w="1700" w:type="dxa"/>
            <w:noWrap/>
            <w:vAlign w:val="bottom"/>
            <w:hideMark/>
          </w:tcPr>
          <w:p w14:paraId="2753D71A"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Plzeňský kraj</w:t>
            </w:r>
          </w:p>
        </w:tc>
        <w:tc>
          <w:tcPr>
            <w:tcW w:w="1275" w:type="dxa"/>
            <w:vAlign w:val="center"/>
            <w:hideMark/>
          </w:tcPr>
          <w:p w14:paraId="566FBCB0"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9 811</w:t>
            </w:r>
          </w:p>
        </w:tc>
        <w:tc>
          <w:tcPr>
            <w:tcW w:w="1134" w:type="dxa"/>
            <w:vAlign w:val="center"/>
            <w:hideMark/>
          </w:tcPr>
          <w:p w14:paraId="17A68747"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18</w:t>
            </w:r>
          </w:p>
        </w:tc>
        <w:tc>
          <w:tcPr>
            <w:tcW w:w="1134" w:type="dxa"/>
            <w:vAlign w:val="center"/>
            <w:hideMark/>
          </w:tcPr>
          <w:p w14:paraId="6AA07260"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545</w:t>
            </w:r>
          </w:p>
        </w:tc>
        <w:tc>
          <w:tcPr>
            <w:tcW w:w="993" w:type="dxa"/>
            <w:vAlign w:val="center"/>
            <w:hideMark/>
          </w:tcPr>
          <w:p w14:paraId="2850C6EF"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65 %</w:t>
            </w:r>
          </w:p>
        </w:tc>
        <w:tc>
          <w:tcPr>
            <w:tcW w:w="1561" w:type="dxa"/>
            <w:vAlign w:val="center"/>
            <w:hideMark/>
          </w:tcPr>
          <w:p w14:paraId="3DEC948B"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5</w:t>
            </w:r>
          </w:p>
        </w:tc>
        <w:tc>
          <w:tcPr>
            <w:tcW w:w="1417" w:type="dxa"/>
            <w:vAlign w:val="center"/>
            <w:hideMark/>
          </w:tcPr>
          <w:p w14:paraId="380B6A8B"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167F274E" w14:textId="77777777" w:rsidTr="00BE4964">
        <w:trPr>
          <w:trHeight w:val="300"/>
        </w:trPr>
        <w:tc>
          <w:tcPr>
            <w:tcW w:w="1700" w:type="dxa"/>
            <w:noWrap/>
            <w:vAlign w:val="bottom"/>
            <w:hideMark/>
          </w:tcPr>
          <w:p w14:paraId="79C9CBC4"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Středočeský kraj</w:t>
            </w:r>
          </w:p>
        </w:tc>
        <w:tc>
          <w:tcPr>
            <w:tcW w:w="1275" w:type="dxa"/>
            <w:vAlign w:val="center"/>
            <w:hideMark/>
          </w:tcPr>
          <w:p w14:paraId="4D9B1231"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15 824</w:t>
            </w:r>
          </w:p>
        </w:tc>
        <w:tc>
          <w:tcPr>
            <w:tcW w:w="1134" w:type="dxa"/>
            <w:vAlign w:val="center"/>
            <w:hideMark/>
          </w:tcPr>
          <w:p w14:paraId="5115C288"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39</w:t>
            </w:r>
          </w:p>
        </w:tc>
        <w:tc>
          <w:tcPr>
            <w:tcW w:w="1134" w:type="dxa"/>
            <w:vAlign w:val="center"/>
            <w:hideMark/>
          </w:tcPr>
          <w:p w14:paraId="4AD4C85A"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406</w:t>
            </w:r>
          </w:p>
        </w:tc>
        <w:tc>
          <w:tcPr>
            <w:tcW w:w="993" w:type="dxa"/>
            <w:vAlign w:val="center"/>
            <w:hideMark/>
          </w:tcPr>
          <w:p w14:paraId="60170294"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78 %</w:t>
            </w:r>
          </w:p>
        </w:tc>
        <w:tc>
          <w:tcPr>
            <w:tcW w:w="1561" w:type="dxa"/>
            <w:vAlign w:val="center"/>
            <w:hideMark/>
          </w:tcPr>
          <w:p w14:paraId="6DCAD875"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6</w:t>
            </w:r>
          </w:p>
        </w:tc>
        <w:tc>
          <w:tcPr>
            <w:tcW w:w="1417" w:type="dxa"/>
            <w:vAlign w:val="center"/>
            <w:hideMark/>
          </w:tcPr>
          <w:p w14:paraId="19DEE18A"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2</w:t>
            </w:r>
          </w:p>
        </w:tc>
      </w:tr>
      <w:tr w:rsidR="00DE234F" w14:paraId="6824C514" w14:textId="77777777" w:rsidTr="00BE4964">
        <w:trPr>
          <w:trHeight w:val="300"/>
        </w:trPr>
        <w:tc>
          <w:tcPr>
            <w:tcW w:w="1700" w:type="dxa"/>
            <w:noWrap/>
            <w:vAlign w:val="bottom"/>
            <w:hideMark/>
          </w:tcPr>
          <w:p w14:paraId="27138958"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Ústecký kraj</w:t>
            </w:r>
          </w:p>
        </w:tc>
        <w:tc>
          <w:tcPr>
            <w:tcW w:w="1275" w:type="dxa"/>
            <w:vAlign w:val="center"/>
            <w:hideMark/>
          </w:tcPr>
          <w:p w14:paraId="3388BCAD"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34 670</w:t>
            </w:r>
          </w:p>
        </w:tc>
        <w:tc>
          <w:tcPr>
            <w:tcW w:w="1134" w:type="dxa"/>
            <w:vAlign w:val="center"/>
            <w:hideMark/>
          </w:tcPr>
          <w:p w14:paraId="1FBB0C2C"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40</w:t>
            </w:r>
          </w:p>
        </w:tc>
        <w:tc>
          <w:tcPr>
            <w:tcW w:w="1134" w:type="dxa"/>
            <w:vAlign w:val="center"/>
            <w:hideMark/>
          </w:tcPr>
          <w:p w14:paraId="65CEA6DC"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867</w:t>
            </w:r>
          </w:p>
        </w:tc>
        <w:tc>
          <w:tcPr>
            <w:tcW w:w="993" w:type="dxa"/>
            <w:vAlign w:val="center"/>
            <w:hideMark/>
          </w:tcPr>
          <w:p w14:paraId="43E42C93"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37 %</w:t>
            </w:r>
          </w:p>
        </w:tc>
        <w:tc>
          <w:tcPr>
            <w:tcW w:w="1561" w:type="dxa"/>
            <w:vAlign w:val="center"/>
            <w:hideMark/>
          </w:tcPr>
          <w:p w14:paraId="238ED766"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6</w:t>
            </w:r>
          </w:p>
        </w:tc>
        <w:tc>
          <w:tcPr>
            <w:tcW w:w="1417" w:type="dxa"/>
            <w:vAlign w:val="center"/>
            <w:hideMark/>
          </w:tcPr>
          <w:p w14:paraId="39EA2F49"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2</w:t>
            </w:r>
          </w:p>
        </w:tc>
      </w:tr>
      <w:tr w:rsidR="00DE234F" w14:paraId="4B68C4C9" w14:textId="77777777" w:rsidTr="00BE4964">
        <w:trPr>
          <w:trHeight w:val="300"/>
        </w:trPr>
        <w:tc>
          <w:tcPr>
            <w:tcW w:w="1700" w:type="dxa"/>
            <w:noWrap/>
            <w:vAlign w:val="bottom"/>
            <w:hideMark/>
          </w:tcPr>
          <w:p w14:paraId="65A98DFE"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Kraj Vysočina</w:t>
            </w:r>
          </w:p>
        </w:tc>
        <w:tc>
          <w:tcPr>
            <w:tcW w:w="1275" w:type="dxa"/>
            <w:vAlign w:val="center"/>
            <w:hideMark/>
          </w:tcPr>
          <w:p w14:paraId="34B94189"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5 645</w:t>
            </w:r>
          </w:p>
        </w:tc>
        <w:tc>
          <w:tcPr>
            <w:tcW w:w="1134" w:type="dxa"/>
            <w:vAlign w:val="center"/>
            <w:hideMark/>
          </w:tcPr>
          <w:p w14:paraId="4213ECB3"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12</w:t>
            </w:r>
          </w:p>
        </w:tc>
        <w:tc>
          <w:tcPr>
            <w:tcW w:w="1134" w:type="dxa"/>
            <w:vAlign w:val="center"/>
            <w:hideMark/>
          </w:tcPr>
          <w:p w14:paraId="116C7741"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470</w:t>
            </w:r>
          </w:p>
        </w:tc>
        <w:tc>
          <w:tcPr>
            <w:tcW w:w="993" w:type="dxa"/>
            <w:vAlign w:val="center"/>
            <w:hideMark/>
          </w:tcPr>
          <w:p w14:paraId="0927C57E"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59 %</w:t>
            </w:r>
          </w:p>
        </w:tc>
        <w:tc>
          <w:tcPr>
            <w:tcW w:w="1561" w:type="dxa"/>
            <w:vAlign w:val="center"/>
            <w:hideMark/>
          </w:tcPr>
          <w:p w14:paraId="55D0342F"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3</w:t>
            </w:r>
          </w:p>
        </w:tc>
        <w:tc>
          <w:tcPr>
            <w:tcW w:w="1417" w:type="dxa"/>
            <w:vAlign w:val="center"/>
            <w:hideMark/>
          </w:tcPr>
          <w:p w14:paraId="2F6EDEDE"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712D3A02" w14:textId="77777777" w:rsidTr="00BE4964">
        <w:trPr>
          <w:trHeight w:val="300"/>
        </w:trPr>
        <w:tc>
          <w:tcPr>
            <w:tcW w:w="1700" w:type="dxa"/>
            <w:noWrap/>
            <w:vAlign w:val="bottom"/>
            <w:hideMark/>
          </w:tcPr>
          <w:p w14:paraId="0D524091" w14:textId="77777777" w:rsidR="00DE234F" w:rsidRPr="00DE234F" w:rsidRDefault="00DE234F" w:rsidP="00562777">
            <w:pPr>
              <w:spacing w:before="120" w:after="0" w:line="240" w:lineRule="auto"/>
              <w:rPr>
                <w:rFonts w:ascii="Times New Roman" w:eastAsia="Times New Roman" w:hAnsi="Times New Roman"/>
                <w:color w:val="000000"/>
                <w:sz w:val="20"/>
                <w:szCs w:val="20"/>
              </w:rPr>
            </w:pPr>
            <w:r w:rsidRPr="00DE234F">
              <w:rPr>
                <w:rFonts w:ascii="Times New Roman" w:hAnsi="Times New Roman"/>
                <w:color w:val="000000"/>
                <w:sz w:val="20"/>
                <w:szCs w:val="20"/>
              </w:rPr>
              <w:t>Zlínský kraj</w:t>
            </w:r>
          </w:p>
        </w:tc>
        <w:tc>
          <w:tcPr>
            <w:tcW w:w="1275" w:type="dxa"/>
            <w:vAlign w:val="center"/>
            <w:hideMark/>
          </w:tcPr>
          <w:p w14:paraId="2783C395"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3 833</w:t>
            </w:r>
          </w:p>
        </w:tc>
        <w:tc>
          <w:tcPr>
            <w:tcW w:w="1134" w:type="dxa"/>
            <w:vAlign w:val="center"/>
            <w:hideMark/>
          </w:tcPr>
          <w:p w14:paraId="04F2FADB"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12</w:t>
            </w:r>
          </w:p>
        </w:tc>
        <w:tc>
          <w:tcPr>
            <w:tcW w:w="1134" w:type="dxa"/>
            <w:vAlign w:val="center"/>
            <w:hideMark/>
          </w:tcPr>
          <w:p w14:paraId="788E6139"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319</w:t>
            </w:r>
          </w:p>
        </w:tc>
        <w:tc>
          <w:tcPr>
            <w:tcW w:w="993" w:type="dxa"/>
            <w:vAlign w:val="center"/>
            <w:hideMark/>
          </w:tcPr>
          <w:p w14:paraId="0934B45B"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81 %</w:t>
            </w:r>
          </w:p>
        </w:tc>
        <w:tc>
          <w:tcPr>
            <w:tcW w:w="1561" w:type="dxa"/>
            <w:vAlign w:val="center"/>
            <w:hideMark/>
          </w:tcPr>
          <w:p w14:paraId="45F7C938" w14:textId="77777777" w:rsidR="00DE234F" w:rsidRPr="00DE234F" w:rsidRDefault="00DE234F" w:rsidP="00562777">
            <w:pPr>
              <w:spacing w:before="120" w:after="0" w:line="240" w:lineRule="auto"/>
              <w:jc w:val="center"/>
              <w:rPr>
                <w:rFonts w:ascii="Times New Roman" w:eastAsia="Times New Roman" w:hAnsi="Times New Roman"/>
                <w:bCs/>
                <w:color w:val="000000"/>
                <w:sz w:val="20"/>
                <w:szCs w:val="20"/>
              </w:rPr>
            </w:pPr>
            <w:r w:rsidRPr="00DE234F">
              <w:rPr>
                <w:rFonts w:ascii="Times New Roman" w:hAnsi="Times New Roman"/>
                <w:bCs/>
                <w:color w:val="000000"/>
                <w:sz w:val="20"/>
                <w:szCs w:val="20"/>
              </w:rPr>
              <w:t>3</w:t>
            </w:r>
          </w:p>
        </w:tc>
        <w:tc>
          <w:tcPr>
            <w:tcW w:w="1417" w:type="dxa"/>
            <w:vAlign w:val="center"/>
            <w:hideMark/>
          </w:tcPr>
          <w:p w14:paraId="4DEF5218" w14:textId="77777777" w:rsidR="00DE234F" w:rsidRPr="00DE234F" w:rsidRDefault="00DE234F" w:rsidP="00562777">
            <w:pPr>
              <w:spacing w:before="120" w:after="0" w:line="240" w:lineRule="auto"/>
              <w:jc w:val="center"/>
              <w:rPr>
                <w:rFonts w:ascii="Times New Roman" w:eastAsia="Times New Roman" w:hAnsi="Times New Roman"/>
                <w:color w:val="000000"/>
                <w:sz w:val="20"/>
                <w:szCs w:val="20"/>
              </w:rPr>
            </w:pPr>
            <w:r w:rsidRPr="00DE234F">
              <w:rPr>
                <w:rFonts w:ascii="Times New Roman" w:hAnsi="Times New Roman"/>
                <w:color w:val="000000"/>
                <w:sz w:val="20"/>
                <w:szCs w:val="20"/>
              </w:rPr>
              <w:t>1</w:t>
            </w:r>
          </w:p>
        </w:tc>
      </w:tr>
      <w:tr w:rsidR="00DE234F" w14:paraId="37FE1782" w14:textId="77777777" w:rsidTr="00BE4964">
        <w:trPr>
          <w:trHeight w:val="300"/>
        </w:trPr>
        <w:tc>
          <w:tcPr>
            <w:tcW w:w="1700" w:type="dxa"/>
            <w:shd w:val="clear" w:color="auto" w:fill="DEEAF6"/>
            <w:noWrap/>
            <w:vAlign w:val="bottom"/>
            <w:hideMark/>
          </w:tcPr>
          <w:p w14:paraId="6F175004" w14:textId="77777777" w:rsidR="00DE234F" w:rsidRPr="00DE234F" w:rsidRDefault="00DE234F" w:rsidP="00562777">
            <w:pPr>
              <w:spacing w:before="120" w:after="0" w:line="240" w:lineRule="auto"/>
              <w:rPr>
                <w:rFonts w:ascii="Times New Roman" w:hAnsi="Times New Roman"/>
                <w:color w:val="000000"/>
                <w:sz w:val="20"/>
                <w:szCs w:val="20"/>
              </w:rPr>
            </w:pPr>
            <w:r w:rsidRPr="00DE234F">
              <w:rPr>
                <w:rFonts w:ascii="Times New Roman" w:hAnsi="Times New Roman"/>
                <w:color w:val="000000"/>
                <w:sz w:val="20"/>
                <w:szCs w:val="20"/>
              </w:rPr>
              <w:t>Celkový součet</w:t>
            </w:r>
          </w:p>
        </w:tc>
        <w:tc>
          <w:tcPr>
            <w:tcW w:w="1275" w:type="dxa"/>
            <w:shd w:val="clear" w:color="auto" w:fill="DEEAF6"/>
            <w:vAlign w:val="center"/>
            <w:hideMark/>
          </w:tcPr>
          <w:p w14:paraId="6C659BDE" w14:textId="77777777" w:rsidR="00DE234F" w:rsidRPr="00DE234F" w:rsidRDefault="00DE234F" w:rsidP="00562777">
            <w:pPr>
              <w:spacing w:before="120" w:after="0" w:line="240" w:lineRule="auto"/>
              <w:jc w:val="center"/>
              <w:rPr>
                <w:rFonts w:ascii="Times New Roman" w:hAnsi="Times New Roman"/>
                <w:color w:val="000000"/>
                <w:sz w:val="20"/>
                <w:szCs w:val="20"/>
              </w:rPr>
            </w:pPr>
            <w:r w:rsidRPr="00DE234F">
              <w:rPr>
                <w:rFonts w:ascii="Times New Roman" w:hAnsi="Times New Roman"/>
                <w:color w:val="000000"/>
                <w:sz w:val="20"/>
                <w:szCs w:val="20"/>
              </w:rPr>
              <w:t>178 276</w:t>
            </w:r>
          </w:p>
        </w:tc>
        <w:tc>
          <w:tcPr>
            <w:tcW w:w="1134" w:type="dxa"/>
            <w:shd w:val="clear" w:color="auto" w:fill="DEEAF6"/>
            <w:vAlign w:val="center"/>
            <w:hideMark/>
          </w:tcPr>
          <w:p w14:paraId="11197B94" w14:textId="77777777" w:rsidR="00DE234F" w:rsidRPr="00DE234F" w:rsidRDefault="00DE234F" w:rsidP="00562777">
            <w:pPr>
              <w:spacing w:before="120" w:after="0" w:line="240" w:lineRule="auto"/>
              <w:jc w:val="center"/>
              <w:rPr>
                <w:rFonts w:ascii="Times New Roman" w:hAnsi="Times New Roman"/>
                <w:color w:val="000000"/>
                <w:sz w:val="20"/>
                <w:szCs w:val="20"/>
              </w:rPr>
            </w:pPr>
            <w:r w:rsidRPr="00DE234F">
              <w:rPr>
                <w:rFonts w:ascii="Times New Roman" w:hAnsi="Times New Roman"/>
                <w:color w:val="000000"/>
                <w:sz w:val="20"/>
                <w:szCs w:val="20"/>
              </w:rPr>
              <w:t>312</w:t>
            </w:r>
          </w:p>
        </w:tc>
        <w:tc>
          <w:tcPr>
            <w:tcW w:w="1134" w:type="dxa"/>
            <w:shd w:val="clear" w:color="auto" w:fill="DEEAF6"/>
            <w:vAlign w:val="center"/>
            <w:hideMark/>
          </w:tcPr>
          <w:p w14:paraId="19A68DD9" w14:textId="77777777" w:rsidR="00DE234F" w:rsidRPr="00DE234F" w:rsidRDefault="00DE234F" w:rsidP="00562777">
            <w:pPr>
              <w:spacing w:before="120" w:after="0" w:line="240" w:lineRule="auto"/>
              <w:jc w:val="center"/>
              <w:rPr>
                <w:rFonts w:ascii="Times New Roman" w:hAnsi="Times New Roman"/>
                <w:color w:val="000000"/>
                <w:sz w:val="20"/>
                <w:szCs w:val="20"/>
              </w:rPr>
            </w:pPr>
            <w:r w:rsidRPr="00DE234F">
              <w:rPr>
                <w:rFonts w:ascii="Times New Roman" w:hAnsi="Times New Roman"/>
                <w:color w:val="000000"/>
                <w:sz w:val="20"/>
                <w:szCs w:val="20"/>
              </w:rPr>
              <w:t> </w:t>
            </w:r>
          </w:p>
        </w:tc>
        <w:tc>
          <w:tcPr>
            <w:tcW w:w="993" w:type="dxa"/>
            <w:shd w:val="clear" w:color="auto" w:fill="DEEAF6"/>
            <w:vAlign w:val="center"/>
            <w:hideMark/>
          </w:tcPr>
          <w:p w14:paraId="259C7056" w14:textId="77777777" w:rsidR="00DE234F" w:rsidRPr="00DE234F" w:rsidRDefault="00DE234F" w:rsidP="00562777">
            <w:pPr>
              <w:spacing w:before="120" w:after="0" w:line="240" w:lineRule="auto"/>
              <w:jc w:val="center"/>
              <w:rPr>
                <w:rFonts w:ascii="Times New Roman" w:hAnsi="Times New Roman"/>
                <w:color w:val="000000"/>
                <w:sz w:val="20"/>
                <w:szCs w:val="20"/>
              </w:rPr>
            </w:pPr>
            <w:r w:rsidRPr="00DE234F">
              <w:rPr>
                <w:rFonts w:ascii="Times New Roman" w:hAnsi="Times New Roman"/>
                <w:color w:val="000000"/>
                <w:sz w:val="20"/>
                <w:szCs w:val="20"/>
              </w:rPr>
              <w:t> </w:t>
            </w:r>
          </w:p>
        </w:tc>
        <w:tc>
          <w:tcPr>
            <w:tcW w:w="1561" w:type="dxa"/>
            <w:shd w:val="clear" w:color="auto" w:fill="DEEAF6"/>
            <w:vAlign w:val="center"/>
            <w:hideMark/>
          </w:tcPr>
          <w:p w14:paraId="7D8E570D" w14:textId="77777777" w:rsidR="00DE234F" w:rsidRPr="00DE234F" w:rsidRDefault="00DE234F" w:rsidP="00562777">
            <w:pPr>
              <w:spacing w:before="120" w:after="0" w:line="240" w:lineRule="auto"/>
              <w:jc w:val="center"/>
              <w:rPr>
                <w:rFonts w:ascii="Times New Roman" w:hAnsi="Times New Roman"/>
                <w:bCs/>
                <w:color w:val="000000"/>
                <w:sz w:val="20"/>
                <w:szCs w:val="20"/>
              </w:rPr>
            </w:pPr>
            <w:r w:rsidRPr="00DE234F">
              <w:rPr>
                <w:rFonts w:ascii="Times New Roman" w:hAnsi="Times New Roman"/>
                <w:bCs/>
                <w:color w:val="000000"/>
                <w:sz w:val="20"/>
                <w:szCs w:val="20"/>
              </w:rPr>
              <w:t>66</w:t>
            </w:r>
          </w:p>
        </w:tc>
        <w:tc>
          <w:tcPr>
            <w:tcW w:w="1417" w:type="dxa"/>
            <w:shd w:val="clear" w:color="auto" w:fill="DEEAF6"/>
            <w:vAlign w:val="center"/>
            <w:hideMark/>
          </w:tcPr>
          <w:p w14:paraId="58AE7652" w14:textId="77777777" w:rsidR="00DE234F" w:rsidRPr="00DE234F" w:rsidRDefault="00DE234F" w:rsidP="00562777">
            <w:pPr>
              <w:spacing w:before="120" w:after="0" w:line="240" w:lineRule="auto"/>
              <w:jc w:val="center"/>
              <w:rPr>
                <w:rFonts w:ascii="Times New Roman" w:hAnsi="Times New Roman"/>
                <w:color w:val="000000"/>
                <w:sz w:val="20"/>
                <w:szCs w:val="20"/>
              </w:rPr>
            </w:pPr>
            <w:r w:rsidRPr="00DE234F">
              <w:rPr>
                <w:rFonts w:ascii="Times New Roman" w:hAnsi="Times New Roman"/>
                <w:color w:val="000000"/>
                <w:sz w:val="20"/>
                <w:szCs w:val="20"/>
              </w:rPr>
              <w:t>19</w:t>
            </w:r>
          </w:p>
        </w:tc>
      </w:tr>
    </w:tbl>
    <w:p w14:paraId="29D8A966" w14:textId="77777777" w:rsidR="00DE234F" w:rsidRPr="000007E7" w:rsidRDefault="00DE234F" w:rsidP="00562777">
      <w:pPr>
        <w:spacing w:before="120" w:after="0" w:line="240" w:lineRule="auto"/>
        <w:jc w:val="both"/>
        <w:rPr>
          <w:rFonts w:ascii="Times New Roman" w:hAnsi="Times New Roman"/>
          <w:sz w:val="18"/>
          <w:szCs w:val="18"/>
        </w:rPr>
      </w:pPr>
    </w:p>
    <w:tbl>
      <w:tblPr>
        <w:tblW w:w="5000" w:type="pct"/>
        <w:tblInd w:w="-72" w:type="dxa"/>
        <w:tblCellMar>
          <w:left w:w="70" w:type="dxa"/>
          <w:right w:w="70" w:type="dxa"/>
        </w:tblCellMar>
        <w:tblLook w:val="04A0" w:firstRow="1" w:lastRow="0" w:firstColumn="1" w:lastColumn="0" w:noHBand="0" w:noVBand="1"/>
      </w:tblPr>
      <w:tblGrid>
        <w:gridCol w:w="2591"/>
        <w:gridCol w:w="2305"/>
        <w:gridCol w:w="2310"/>
        <w:gridCol w:w="2006"/>
      </w:tblGrid>
      <w:tr w:rsidR="00DE234F" w:rsidRPr="00AF43EA" w14:paraId="0D442E13" w14:textId="77777777" w:rsidTr="00DE234F">
        <w:trPr>
          <w:trHeight w:val="510"/>
        </w:trPr>
        <w:tc>
          <w:tcPr>
            <w:tcW w:w="1406" w:type="pct"/>
            <w:tcBorders>
              <w:top w:val="single" w:sz="12" w:space="0" w:color="auto"/>
              <w:left w:val="single" w:sz="12" w:space="0" w:color="auto"/>
              <w:bottom w:val="single" w:sz="12" w:space="0" w:color="auto"/>
              <w:right w:val="single" w:sz="12" w:space="0" w:color="auto"/>
            </w:tcBorders>
            <w:shd w:val="clear" w:color="auto" w:fill="DEEAF6"/>
            <w:noWrap/>
            <w:vAlign w:val="center"/>
            <w:hideMark/>
          </w:tcPr>
          <w:p w14:paraId="77E7795B" w14:textId="77777777" w:rsidR="00DE234F" w:rsidRPr="00DE234F" w:rsidRDefault="00DE234F" w:rsidP="00562777">
            <w:pPr>
              <w:spacing w:before="120" w:after="0" w:line="240" w:lineRule="auto"/>
              <w:jc w:val="center"/>
              <w:rPr>
                <w:rFonts w:ascii="Times New Roman" w:hAnsi="Times New Roman"/>
                <w:sz w:val="20"/>
                <w:szCs w:val="20"/>
              </w:rPr>
            </w:pPr>
            <w:r w:rsidRPr="00DE234F">
              <w:rPr>
                <w:rFonts w:ascii="Times New Roman" w:hAnsi="Times New Roman"/>
                <w:sz w:val="20"/>
                <w:szCs w:val="20"/>
              </w:rPr>
              <w:t>Celní úřad pro</w:t>
            </w:r>
          </w:p>
        </w:tc>
        <w:tc>
          <w:tcPr>
            <w:tcW w:w="1251" w:type="pct"/>
            <w:tcBorders>
              <w:top w:val="single" w:sz="12" w:space="0" w:color="auto"/>
              <w:left w:val="single" w:sz="12" w:space="0" w:color="auto"/>
              <w:bottom w:val="single" w:sz="12" w:space="0" w:color="auto"/>
              <w:right w:val="single" w:sz="12" w:space="0" w:color="auto"/>
            </w:tcBorders>
            <w:shd w:val="clear" w:color="auto" w:fill="DEEAF6"/>
            <w:vAlign w:val="center"/>
          </w:tcPr>
          <w:p w14:paraId="062786F5" w14:textId="77777777" w:rsidR="00DE234F" w:rsidRPr="00DE234F" w:rsidRDefault="00DE234F" w:rsidP="00562777">
            <w:pPr>
              <w:spacing w:before="120" w:after="0" w:line="240" w:lineRule="auto"/>
              <w:jc w:val="center"/>
              <w:rPr>
                <w:rFonts w:ascii="Times New Roman" w:hAnsi="Times New Roman"/>
                <w:sz w:val="20"/>
                <w:szCs w:val="20"/>
              </w:rPr>
            </w:pPr>
            <w:r w:rsidRPr="00DE234F">
              <w:rPr>
                <w:rFonts w:ascii="Times New Roman" w:hAnsi="Times New Roman"/>
                <w:sz w:val="20"/>
                <w:szCs w:val="20"/>
              </w:rPr>
              <w:t>Potřeba navýšení počtu pracovníků na Správě příjmů</w:t>
            </w:r>
          </w:p>
        </w:tc>
        <w:tc>
          <w:tcPr>
            <w:tcW w:w="1254" w:type="pct"/>
            <w:tcBorders>
              <w:top w:val="single" w:sz="12" w:space="0" w:color="auto"/>
              <w:left w:val="single" w:sz="12" w:space="0" w:color="auto"/>
              <w:bottom w:val="single" w:sz="12" w:space="0" w:color="auto"/>
              <w:right w:val="single" w:sz="12" w:space="0" w:color="auto"/>
            </w:tcBorders>
            <w:shd w:val="clear" w:color="auto" w:fill="DEEAF6"/>
            <w:vAlign w:val="center"/>
          </w:tcPr>
          <w:p w14:paraId="357111E3" w14:textId="77777777" w:rsidR="00DE234F" w:rsidRPr="00DE234F" w:rsidRDefault="00DE234F" w:rsidP="00562777">
            <w:pPr>
              <w:spacing w:before="120" w:after="0" w:line="240" w:lineRule="auto"/>
              <w:jc w:val="center"/>
              <w:rPr>
                <w:rFonts w:ascii="Times New Roman" w:hAnsi="Times New Roman"/>
                <w:sz w:val="20"/>
                <w:szCs w:val="20"/>
              </w:rPr>
            </w:pPr>
            <w:r w:rsidRPr="00DE234F">
              <w:rPr>
                <w:rFonts w:ascii="Times New Roman" w:hAnsi="Times New Roman"/>
                <w:sz w:val="20"/>
                <w:szCs w:val="20"/>
              </w:rPr>
              <w:t>Potřeba navýšení počtu pracovníků na Vymáhání</w:t>
            </w:r>
          </w:p>
        </w:tc>
        <w:tc>
          <w:tcPr>
            <w:tcW w:w="1089" w:type="pct"/>
            <w:tcBorders>
              <w:top w:val="single" w:sz="12" w:space="0" w:color="auto"/>
              <w:left w:val="single" w:sz="12" w:space="0" w:color="auto"/>
              <w:bottom w:val="single" w:sz="12" w:space="0" w:color="auto"/>
              <w:right w:val="single" w:sz="12" w:space="0" w:color="auto"/>
            </w:tcBorders>
            <w:shd w:val="clear" w:color="auto" w:fill="DEEAF6"/>
            <w:vAlign w:val="center"/>
          </w:tcPr>
          <w:p w14:paraId="4DC803BC" w14:textId="77777777" w:rsidR="00DE234F" w:rsidRPr="00DE234F" w:rsidRDefault="00DE234F" w:rsidP="00562777">
            <w:pPr>
              <w:spacing w:before="120" w:after="0" w:line="240" w:lineRule="auto"/>
              <w:jc w:val="center"/>
              <w:rPr>
                <w:rFonts w:ascii="Times New Roman" w:hAnsi="Times New Roman"/>
                <w:sz w:val="20"/>
                <w:szCs w:val="20"/>
              </w:rPr>
            </w:pPr>
            <w:r w:rsidRPr="00DE234F">
              <w:rPr>
                <w:rFonts w:ascii="Times New Roman" w:hAnsi="Times New Roman"/>
                <w:sz w:val="20"/>
                <w:szCs w:val="20"/>
              </w:rPr>
              <w:t>Mobiliární exekutoři</w:t>
            </w:r>
          </w:p>
        </w:tc>
      </w:tr>
      <w:tr w:rsidR="00DE234F" w:rsidRPr="00AF43EA" w14:paraId="45E1B343"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BA83C2A"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hlavní město Prahu</w:t>
            </w:r>
          </w:p>
        </w:tc>
        <w:tc>
          <w:tcPr>
            <w:tcW w:w="1251" w:type="pct"/>
            <w:tcBorders>
              <w:top w:val="single" w:sz="12" w:space="0" w:color="auto"/>
              <w:left w:val="single" w:sz="12" w:space="0" w:color="auto"/>
              <w:bottom w:val="single" w:sz="12" w:space="0" w:color="auto"/>
              <w:right w:val="single" w:sz="12" w:space="0" w:color="auto"/>
            </w:tcBorders>
            <w:vAlign w:val="center"/>
          </w:tcPr>
          <w:p w14:paraId="5018BFA5"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5</w:t>
            </w:r>
          </w:p>
        </w:tc>
        <w:tc>
          <w:tcPr>
            <w:tcW w:w="1254" w:type="pct"/>
            <w:tcBorders>
              <w:top w:val="single" w:sz="12" w:space="0" w:color="auto"/>
              <w:left w:val="single" w:sz="12" w:space="0" w:color="auto"/>
              <w:bottom w:val="single" w:sz="12" w:space="0" w:color="auto"/>
              <w:right w:val="single" w:sz="12" w:space="0" w:color="auto"/>
            </w:tcBorders>
            <w:vAlign w:val="center"/>
          </w:tcPr>
          <w:p w14:paraId="607CF31B"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10</w:t>
            </w:r>
          </w:p>
        </w:tc>
        <w:tc>
          <w:tcPr>
            <w:tcW w:w="1089" w:type="pct"/>
            <w:tcBorders>
              <w:top w:val="single" w:sz="12" w:space="0" w:color="auto"/>
              <w:left w:val="single" w:sz="12" w:space="0" w:color="auto"/>
              <w:bottom w:val="single" w:sz="12" w:space="0" w:color="auto"/>
              <w:right w:val="single" w:sz="12" w:space="0" w:color="auto"/>
            </w:tcBorders>
            <w:vAlign w:val="center"/>
          </w:tcPr>
          <w:p w14:paraId="34874EAB"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2</w:t>
            </w:r>
          </w:p>
        </w:tc>
      </w:tr>
      <w:tr w:rsidR="00DE234F" w:rsidRPr="00AF43EA" w14:paraId="3EE4DE5D"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EA6F391"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Jihočeský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65DB06E5"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254" w:type="pct"/>
            <w:tcBorders>
              <w:top w:val="single" w:sz="12" w:space="0" w:color="auto"/>
              <w:left w:val="single" w:sz="12" w:space="0" w:color="auto"/>
              <w:bottom w:val="single" w:sz="12" w:space="0" w:color="auto"/>
              <w:right w:val="single" w:sz="12" w:space="0" w:color="auto"/>
            </w:tcBorders>
            <w:vAlign w:val="center"/>
          </w:tcPr>
          <w:p w14:paraId="1EA47DE6"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4</w:t>
            </w:r>
          </w:p>
        </w:tc>
        <w:tc>
          <w:tcPr>
            <w:tcW w:w="1089" w:type="pct"/>
            <w:tcBorders>
              <w:top w:val="single" w:sz="12" w:space="0" w:color="auto"/>
              <w:left w:val="single" w:sz="12" w:space="0" w:color="auto"/>
              <w:bottom w:val="single" w:sz="12" w:space="0" w:color="auto"/>
              <w:right w:val="single" w:sz="12" w:space="0" w:color="auto"/>
            </w:tcBorders>
            <w:vAlign w:val="center"/>
          </w:tcPr>
          <w:p w14:paraId="277E99F4"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114BB31F"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D335C84"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Jihomoravský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66711FC6"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4</w:t>
            </w:r>
          </w:p>
        </w:tc>
        <w:tc>
          <w:tcPr>
            <w:tcW w:w="1254" w:type="pct"/>
            <w:tcBorders>
              <w:top w:val="single" w:sz="12" w:space="0" w:color="auto"/>
              <w:left w:val="single" w:sz="12" w:space="0" w:color="auto"/>
              <w:bottom w:val="single" w:sz="12" w:space="0" w:color="auto"/>
              <w:right w:val="single" w:sz="12" w:space="0" w:color="auto"/>
            </w:tcBorders>
            <w:vAlign w:val="center"/>
          </w:tcPr>
          <w:p w14:paraId="1CDCD775"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5</w:t>
            </w:r>
          </w:p>
        </w:tc>
        <w:tc>
          <w:tcPr>
            <w:tcW w:w="1089" w:type="pct"/>
            <w:tcBorders>
              <w:top w:val="single" w:sz="12" w:space="0" w:color="auto"/>
              <w:left w:val="single" w:sz="12" w:space="0" w:color="auto"/>
              <w:bottom w:val="single" w:sz="12" w:space="0" w:color="auto"/>
              <w:right w:val="single" w:sz="12" w:space="0" w:color="auto"/>
            </w:tcBorders>
            <w:vAlign w:val="center"/>
          </w:tcPr>
          <w:p w14:paraId="5F4265E4"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2</w:t>
            </w:r>
          </w:p>
        </w:tc>
      </w:tr>
      <w:tr w:rsidR="00DE234F" w:rsidRPr="00AF43EA" w14:paraId="4181D57F"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0237731"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Karlovarský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0BA05EDB"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254" w:type="pct"/>
            <w:tcBorders>
              <w:top w:val="single" w:sz="12" w:space="0" w:color="auto"/>
              <w:left w:val="single" w:sz="12" w:space="0" w:color="auto"/>
              <w:bottom w:val="single" w:sz="12" w:space="0" w:color="auto"/>
              <w:right w:val="single" w:sz="12" w:space="0" w:color="auto"/>
            </w:tcBorders>
            <w:vAlign w:val="center"/>
          </w:tcPr>
          <w:p w14:paraId="2263B90C"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089" w:type="pct"/>
            <w:tcBorders>
              <w:top w:val="single" w:sz="12" w:space="0" w:color="auto"/>
              <w:left w:val="single" w:sz="12" w:space="0" w:color="auto"/>
              <w:bottom w:val="single" w:sz="12" w:space="0" w:color="auto"/>
              <w:right w:val="single" w:sz="12" w:space="0" w:color="auto"/>
            </w:tcBorders>
            <w:vAlign w:val="center"/>
          </w:tcPr>
          <w:p w14:paraId="66BED1C1"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37D84CC4"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CE830B2"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Královéhradecký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62A0E20C"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254" w:type="pct"/>
            <w:tcBorders>
              <w:top w:val="single" w:sz="12" w:space="0" w:color="auto"/>
              <w:left w:val="single" w:sz="12" w:space="0" w:color="auto"/>
              <w:bottom w:val="single" w:sz="12" w:space="0" w:color="auto"/>
              <w:right w:val="single" w:sz="12" w:space="0" w:color="auto"/>
            </w:tcBorders>
            <w:vAlign w:val="center"/>
          </w:tcPr>
          <w:p w14:paraId="510CC7D7"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089" w:type="pct"/>
            <w:tcBorders>
              <w:top w:val="single" w:sz="12" w:space="0" w:color="auto"/>
              <w:left w:val="single" w:sz="12" w:space="0" w:color="auto"/>
              <w:bottom w:val="single" w:sz="12" w:space="0" w:color="auto"/>
              <w:right w:val="single" w:sz="12" w:space="0" w:color="auto"/>
            </w:tcBorders>
            <w:vAlign w:val="center"/>
          </w:tcPr>
          <w:p w14:paraId="725B6901"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24BF3431"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05C95C"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Liberecký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790A6CD7"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254" w:type="pct"/>
            <w:tcBorders>
              <w:top w:val="single" w:sz="12" w:space="0" w:color="auto"/>
              <w:left w:val="single" w:sz="12" w:space="0" w:color="auto"/>
              <w:bottom w:val="single" w:sz="12" w:space="0" w:color="auto"/>
              <w:right w:val="single" w:sz="12" w:space="0" w:color="auto"/>
            </w:tcBorders>
            <w:vAlign w:val="center"/>
          </w:tcPr>
          <w:p w14:paraId="1FFE6A92"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4</w:t>
            </w:r>
          </w:p>
        </w:tc>
        <w:tc>
          <w:tcPr>
            <w:tcW w:w="1089" w:type="pct"/>
            <w:tcBorders>
              <w:top w:val="single" w:sz="12" w:space="0" w:color="auto"/>
              <w:left w:val="single" w:sz="12" w:space="0" w:color="auto"/>
              <w:bottom w:val="single" w:sz="12" w:space="0" w:color="auto"/>
              <w:right w:val="single" w:sz="12" w:space="0" w:color="auto"/>
            </w:tcBorders>
            <w:vAlign w:val="center"/>
          </w:tcPr>
          <w:p w14:paraId="7E4B2B0B"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223D2576"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642048E"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Moravskoslezský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3DB5A3BD"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5</w:t>
            </w:r>
          </w:p>
        </w:tc>
        <w:tc>
          <w:tcPr>
            <w:tcW w:w="1254" w:type="pct"/>
            <w:tcBorders>
              <w:top w:val="single" w:sz="12" w:space="0" w:color="auto"/>
              <w:left w:val="single" w:sz="12" w:space="0" w:color="auto"/>
              <w:bottom w:val="single" w:sz="12" w:space="0" w:color="auto"/>
              <w:right w:val="single" w:sz="12" w:space="0" w:color="auto"/>
            </w:tcBorders>
            <w:vAlign w:val="center"/>
          </w:tcPr>
          <w:p w14:paraId="7C574F91"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7</w:t>
            </w:r>
          </w:p>
        </w:tc>
        <w:tc>
          <w:tcPr>
            <w:tcW w:w="1089" w:type="pct"/>
            <w:tcBorders>
              <w:top w:val="single" w:sz="12" w:space="0" w:color="auto"/>
              <w:left w:val="single" w:sz="12" w:space="0" w:color="auto"/>
              <w:bottom w:val="single" w:sz="12" w:space="0" w:color="auto"/>
              <w:right w:val="single" w:sz="12" w:space="0" w:color="auto"/>
            </w:tcBorders>
            <w:vAlign w:val="center"/>
          </w:tcPr>
          <w:p w14:paraId="3C945993"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2</w:t>
            </w:r>
          </w:p>
        </w:tc>
      </w:tr>
      <w:tr w:rsidR="00DE234F" w:rsidRPr="00AF43EA" w14:paraId="4686295C"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ED2D72B"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Olomoucký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1995420C"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254" w:type="pct"/>
            <w:tcBorders>
              <w:top w:val="single" w:sz="12" w:space="0" w:color="auto"/>
              <w:left w:val="single" w:sz="12" w:space="0" w:color="auto"/>
              <w:bottom w:val="single" w:sz="12" w:space="0" w:color="auto"/>
              <w:right w:val="single" w:sz="12" w:space="0" w:color="auto"/>
            </w:tcBorders>
            <w:vAlign w:val="center"/>
          </w:tcPr>
          <w:p w14:paraId="0E138D65"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4</w:t>
            </w:r>
          </w:p>
        </w:tc>
        <w:tc>
          <w:tcPr>
            <w:tcW w:w="1089" w:type="pct"/>
            <w:tcBorders>
              <w:top w:val="single" w:sz="12" w:space="0" w:color="auto"/>
              <w:left w:val="single" w:sz="12" w:space="0" w:color="auto"/>
              <w:bottom w:val="single" w:sz="12" w:space="0" w:color="auto"/>
              <w:right w:val="single" w:sz="12" w:space="0" w:color="auto"/>
            </w:tcBorders>
            <w:vAlign w:val="center"/>
          </w:tcPr>
          <w:p w14:paraId="1F2416AA"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3C2062C3"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3ED91B4"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Pardubický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6BFB73B7"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2</w:t>
            </w:r>
          </w:p>
        </w:tc>
        <w:tc>
          <w:tcPr>
            <w:tcW w:w="1254" w:type="pct"/>
            <w:tcBorders>
              <w:top w:val="single" w:sz="12" w:space="0" w:color="auto"/>
              <w:left w:val="single" w:sz="12" w:space="0" w:color="auto"/>
              <w:bottom w:val="single" w:sz="12" w:space="0" w:color="auto"/>
              <w:right w:val="single" w:sz="12" w:space="0" w:color="auto"/>
            </w:tcBorders>
            <w:vAlign w:val="center"/>
          </w:tcPr>
          <w:p w14:paraId="28931EB4"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089" w:type="pct"/>
            <w:tcBorders>
              <w:top w:val="single" w:sz="12" w:space="0" w:color="auto"/>
              <w:left w:val="single" w:sz="12" w:space="0" w:color="auto"/>
              <w:bottom w:val="single" w:sz="12" w:space="0" w:color="auto"/>
              <w:right w:val="single" w:sz="12" w:space="0" w:color="auto"/>
            </w:tcBorders>
            <w:vAlign w:val="center"/>
          </w:tcPr>
          <w:p w14:paraId="2F0DB689"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5B68E964"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179A722"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Plzeňský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730DAA73"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3</w:t>
            </w:r>
          </w:p>
        </w:tc>
        <w:tc>
          <w:tcPr>
            <w:tcW w:w="1254" w:type="pct"/>
            <w:tcBorders>
              <w:top w:val="single" w:sz="12" w:space="0" w:color="auto"/>
              <w:left w:val="single" w:sz="12" w:space="0" w:color="auto"/>
              <w:bottom w:val="single" w:sz="12" w:space="0" w:color="auto"/>
              <w:right w:val="single" w:sz="12" w:space="0" w:color="auto"/>
            </w:tcBorders>
            <w:vAlign w:val="center"/>
          </w:tcPr>
          <w:p w14:paraId="6E50FB94"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5</w:t>
            </w:r>
          </w:p>
        </w:tc>
        <w:tc>
          <w:tcPr>
            <w:tcW w:w="1089" w:type="pct"/>
            <w:tcBorders>
              <w:top w:val="single" w:sz="12" w:space="0" w:color="auto"/>
              <w:left w:val="single" w:sz="12" w:space="0" w:color="auto"/>
              <w:bottom w:val="single" w:sz="12" w:space="0" w:color="auto"/>
              <w:right w:val="single" w:sz="12" w:space="0" w:color="auto"/>
            </w:tcBorders>
            <w:vAlign w:val="center"/>
          </w:tcPr>
          <w:p w14:paraId="33D05C12"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76FADD84"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2CE8CC6" w14:textId="77777777" w:rsidR="00DE234F" w:rsidRPr="00562777" w:rsidRDefault="00DE234F" w:rsidP="00562777">
            <w:pPr>
              <w:spacing w:before="120" w:after="0" w:line="240" w:lineRule="auto"/>
              <w:rPr>
                <w:rFonts w:ascii="Times New Roman" w:hAnsi="Times New Roman"/>
                <w:color w:val="000000"/>
                <w:sz w:val="20"/>
                <w:szCs w:val="20"/>
              </w:rPr>
            </w:pPr>
            <w:r w:rsidRPr="00562777">
              <w:rPr>
                <w:rFonts w:ascii="Times New Roman" w:hAnsi="Times New Roman"/>
                <w:color w:val="000000"/>
                <w:sz w:val="20"/>
                <w:szCs w:val="20"/>
              </w:rPr>
              <w:t>Středočeský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28FB73E7"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4</w:t>
            </w:r>
          </w:p>
        </w:tc>
        <w:tc>
          <w:tcPr>
            <w:tcW w:w="1254" w:type="pct"/>
            <w:tcBorders>
              <w:top w:val="single" w:sz="12" w:space="0" w:color="auto"/>
              <w:left w:val="single" w:sz="12" w:space="0" w:color="auto"/>
              <w:bottom w:val="single" w:sz="12" w:space="0" w:color="auto"/>
              <w:right w:val="single" w:sz="12" w:space="0" w:color="auto"/>
            </w:tcBorders>
            <w:vAlign w:val="center"/>
          </w:tcPr>
          <w:p w14:paraId="519A34F1"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6</w:t>
            </w:r>
          </w:p>
        </w:tc>
        <w:tc>
          <w:tcPr>
            <w:tcW w:w="1089" w:type="pct"/>
            <w:tcBorders>
              <w:top w:val="single" w:sz="12" w:space="0" w:color="auto"/>
              <w:left w:val="single" w:sz="12" w:space="0" w:color="auto"/>
              <w:bottom w:val="single" w:sz="12" w:space="0" w:color="auto"/>
              <w:right w:val="single" w:sz="12" w:space="0" w:color="auto"/>
            </w:tcBorders>
            <w:vAlign w:val="center"/>
          </w:tcPr>
          <w:p w14:paraId="23EDDB18"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2</w:t>
            </w:r>
          </w:p>
        </w:tc>
      </w:tr>
      <w:tr w:rsidR="00DE234F" w:rsidRPr="00AF43EA" w14:paraId="323C0499"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110FAD4" w14:textId="77777777" w:rsidR="00DE234F" w:rsidRPr="00562777" w:rsidRDefault="00DE234F" w:rsidP="00562777">
            <w:pPr>
              <w:spacing w:before="120" w:after="0" w:line="240" w:lineRule="auto"/>
              <w:rPr>
                <w:rFonts w:ascii="Times New Roman" w:eastAsia="Times New Roman" w:hAnsi="Times New Roman"/>
                <w:color w:val="000000"/>
                <w:sz w:val="20"/>
                <w:szCs w:val="20"/>
              </w:rPr>
            </w:pPr>
            <w:r w:rsidRPr="00562777">
              <w:rPr>
                <w:rFonts w:ascii="Times New Roman" w:eastAsia="Times New Roman" w:hAnsi="Times New Roman"/>
                <w:color w:val="000000"/>
                <w:sz w:val="20"/>
                <w:szCs w:val="20"/>
              </w:rPr>
              <w:t>Ústecký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537363D1"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4</w:t>
            </w:r>
          </w:p>
        </w:tc>
        <w:tc>
          <w:tcPr>
            <w:tcW w:w="1254" w:type="pct"/>
            <w:tcBorders>
              <w:top w:val="single" w:sz="12" w:space="0" w:color="auto"/>
              <w:left w:val="single" w:sz="12" w:space="0" w:color="auto"/>
              <w:bottom w:val="single" w:sz="12" w:space="0" w:color="auto"/>
              <w:right w:val="single" w:sz="12" w:space="0" w:color="auto"/>
            </w:tcBorders>
            <w:vAlign w:val="center"/>
          </w:tcPr>
          <w:p w14:paraId="0CC929BD"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6</w:t>
            </w:r>
          </w:p>
        </w:tc>
        <w:tc>
          <w:tcPr>
            <w:tcW w:w="1089" w:type="pct"/>
            <w:tcBorders>
              <w:top w:val="single" w:sz="12" w:space="0" w:color="auto"/>
              <w:left w:val="single" w:sz="12" w:space="0" w:color="auto"/>
              <w:bottom w:val="single" w:sz="12" w:space="0" w:color="auto"/>
              <w:right w:val="single" w:sz="12" w:space="0" w:color="auto"/>
            </w:tcBorders>
            <w:vAlign w:val="center"/>
          </w:tcPr>
          <w:p w14:paraId="1C52DEDA"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2</w:t>
            </w:r>
          </w:p>
        </w:tc>
      </w:tr>
      <w:tr w:rsidR="00DE234F" w:rsidRPr="00AF43EA" w14:paraId="02DC60D7"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3892C49" w14:textId="77777777" w:rsidR="00DE234F" w:rsidRPr="00562777" w:rsidRDefault="00DE234F" w:rsidP="00562777">
            <w:pPr>
              <w:spacing w:before="120" w:after="0" w:line="240" w:lineRule="auto"/>
              <w:rPr>
                <w:rFonts w:ascii="Times New Roman" w:eastAsia="Times New Roman" w:hAnsi="Times New Roman"/>
                <w:color w:val="000000"/>
                <w:sz w:val="20"/>
                <w:szCs w:val="20"/>
              </w:rPr>
            </w:pPr>
            <w:r w:rsidRPr="00562777">
              <w:rPr>
                <w:rFonts w:ascii="Times New Roman" w:eastAsia="Times New Roman" w:hAnsi="Times New Roman"/>
                <w:color w:val="000000"/>
                <w:sz w:val="20"/>
                <w:szCs w:val="20"/>
              </w:rPr>
              <w:t>Kraj Vysočina</w:t>
            </w:r>
          </w:p>
        </w:tc>
        <w:tc>
          <w:tcPr>
            <w:tcW w:w="1251" w:type="pct"/>
            <w:tcBorders>
              <w:top w:val="single" w:sz="12" w:space="0" w:color="auto"/>
              <w:left w:val="single" w:sz="12" w:space="0" w:color="auto"/>
              <w:bottom w:val="single" w:sz="12" w:space="0" w:color="auto"/>
              <w:right w:val="single" w:sz="12" w:space="0" w:color="auto"/>
            </w:tcBorders>
            <w:vAlign w:val="center"/>
          </w:tcPr>
          <w:p w14:paraId="0074CA09"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3</w:t>
            </w:r>
          </w:p>
        </w:tc>
        <w:tc>
          <w:tcPr>
            <w:tcW w:w="1254" w:type="pct"/>
            <w:tcBorders>
              <w:top w:val="single" w:sz="12" w:space="0" w:color="auto"/>
              <w:left w:val="single" w:sz="12" w:space="0" w:color="auto"/>
              <w:bottom w:val="single" w:sz="12" w:space="0" w:color="auto"/>
              <w:right w:val="single" w:sz="12" w:space="0" w:color="auto"/>
            </w:tcBorders>
            <w:vAlign w:val="center"/>
          </w:tcPr>
          <w:p w14:paraId="1B7762C2"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3</w:t>
            </w:r>
          </w:p>
        </w:tc>
        <w:tc>
          <w:tcPr>
            <w:tcW w:w="1089" w:type="pct"/>
            <w:tcBorders>
              <w:top w:val="single" w:sz="12" w:space="0" w:color="auto"/>
              <w:left w:val="single" w:sz="12" w:space="0" w:color="auto"/>
              <w:bottom w:val="single" w:sz="12" w:space="0" w:color="auto"/>
              <w:right w:val="single" w:sz="12" w:space="0" w:color="auto"/>
            </w:tcBorders>
            <w:vAlign w:val="center"/>
          </w:tcPr>
          <w:p w14:paraId="4E147BC0"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2DAFA6A3" w14:textId="77777777" w:rsidTr="00DE234F">
        <w:trPr>
          <w:trHeight w:val="300"/>
        </w:trPr>
        <w:tc>
          <w:tcPr>
            <w:tcW w:w="140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B7BB913" w14:textId="77777777" w:rsidR="00DE234F" w:rsidRPr="00562777" w:rsidRDefault="00DE234F" w:rsidP="00562777">
            <w:pPr>
              <w:spacing w:before="120" w:after="0" w:line="240" w:lineRule="auto"/>
              <w:rPr>
                <w:rFonts w:ascii="Times New Roman" w:eastAsia="Times New Roman" w:hAnsi="Times New Roman"/>
                <w:color w:val="000000"/>
                <w:sz w:val="20"/>
                <w:szCs w:val="20"/>
              </w:rPr>
            </w:pPr>
            <w:r w:rsidRPr="00562777">
              <w:rPr>
                <w:rFonts w:ascii="Times New Roman" w:eastAsia="Times New Roman" w:hAnsi="Times New Roman"/>
                <w:color w:val="000000"/>
                <w:sz w:val="20"/>
                <w:szCs w:val="20"/>
              </w:rPr>
              <w:t>Zlínský kraj</w:t>
            </w:r>
          </w:p>
        </w:tc>
        <w:tc>
          <w:tcPr>
            <w:tcW w:w="1251" w:type="pct"/>
            <w:tcBorders>
              <w:top w:val="single" w:sz="12" w:space="0" w:color="auto"/>
              <w:left w:val="single" w:sz="12" w:space="0" w:color="auto"/>
              <w:bottom w:val="single" w:sz="12" w:space="0" w:color="auto"/>
              <w:right w:val="single" w:sz="12" w:space="0" w:color="auto"/>
            </w:tcBorders>
            <w:vAlign w:val="center"/>
          </w:tcPr>
          <w:p w14:paraId="3477E4BF"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2</w:t>
            </w:r>
          </w:p>
        </w:tc>
        <w:tc>
          <w:tcPr>
            <w:tcW w:w="1254" w:type="pct"/>
            <w:tcBorders>
              <w:top w:val="single" w:sz="12" w:space="0" w:color="auto"/>
              <w:left w:val="single" w:sz="12" w:space="0" w:color="auto"/>
              <w:bottom w:val="single" w:sz="12" w:space="0" w:color="auto"/>
              <w:right w:val="single" w:sz="12" w:space="0" w:color="auto"/>
            </w:tcBorders>
            <w:vAlign w:val="center"/>
          </w:tcPr>
          <w:p w14:paraId="768F51DE"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3</w:t>
            </w:r>
          </w:p>
        </w:tc>
        <w:tc>
          <w:tcPr>
            <w:tcW w:w="1089" w:type="pct"/>
            <w:tcBorders>
              <w:top w:val="single" w:sz="12" w:space="0" w:color="auto"/>
              <w:left w:val="single" w:sz="12" w:space="0" w:color="auto"/>
              <w:bottom w:val="single" w:sz="12" w:space="0" w:color="auto"/>
              <w:right w:val="single" w:sz="12" w:space="0" w:color="auto"/>
            </w:tcBorders>
            <w:vAlign w:val="center"/>
          </w:tcPr>
          <w:p w14:paraId="7344B3B9" w14:textId="77777777" w:rsidR="00DE234F" w:rsidRPr="00562777" w:rsidRDefault="00DE234F" w:rsidP="00562777">
            <w:pPr>
              <w:spacing w:before="120" w:after="0" w:line="240" w:lineRule="auto"/>
              <w:jc w:val="center"/>
              <w:rPr>
                <w:rFonts w:ascii="Times New Roman" w:hAnsi="Times New Roman"/>
                <w:color w:val="000000"/>
                <w:sz w:val="20"/>
                <w:szCs w:val="20"/>
              </w:rPr>
            </w:pPr>
            <w:r w:rsidRPr="00562777">
              <w:rPr>
                <w:rFonts w:ascii="Times New Roman" w:hAnsi="Times New Roman"/>
                <w:color w:val="000000"/>
                <w:sz w:val="20"/>
                <w:szCs w:val="20"/>
              </w:rPr>
              <w:t>1</w:t>
            </w:r>
          </w:p>
        </w:tc>
      </w:tr>
      <w:tr w:rsidR="00DE234F" w:rsidRPr="00AF43EA" w14:paraId="67F321C3" w14:textId="77777777" w:rsidTr="00DE234F">
        <w:trPr>
          <w:trHeight w:val="315"/>
        </w:trPr>
        <w:tc>
          <w:tcPr>
            <w:tcW w:w="1406" w:type="pct"/>
            <w:tcBorders>
              <w:top w:val="single" w:sz="12" w:space="0" w:color="auto"/>
              <w:left w:val="single" w:sz="12" w:space="0" w:color="auto"/>
              <w:bottom w:val="single" w:sz="12" w:space="0" w:color="auto"/>
              <w:right w:val="single" w:sz="12" w:space="0" w:color="auto"/>
            </w:tcBorders>
            <w:shd w:val="clear" w:color="auto" w:fill="DEEAF6"/>
            <w:noWrap/>
            <w:vAlign w:val="bottom"/>
            <w:hideMark/>
          </w:tcPr>
          <w:p w14:paraId="46987A61" w14:textId="77777777" w:rsidR="00DE234F" w:rsidRPr="00562777" w:rsidRDefault="00DE234F" w:rsidP="00562777">
            <w:pPr>
              <w:spacing w:before="120" w:after="0" w:line="240" w:lineRule="auto"/>
              <w:rPr>
                <w:rFonts w:ascii="Times New Roman" w:eastAsia="Times New Roman" w:hAnsi="Times New Roman"/>
                <w:bCs/>
                <w:color w:val="000000"/>
                <w:sz w:val="20"/>
                <w:szCs w:val="20"/>
              </w:rPr>
            </w:pPr>
            <w:r w:rsidRPr="00562777">
              <w:rPr>
                <w:rFonts w:ascii="Times New Roman" w:eastAsia="Times New Roman" w:hAnsi="Times New Roman"/>
                <w:bCs/>
                <w:color w:val="000000"/>
                <w:sz w:val="20"/>
                <w:szCs w:val="20"/>
              </w:rPr>
              <w:t>Celkový součet</w:t>
            </w:r>
          </w:p>
        </w:tc>
        <w:tc>
          <w:tcPr>
            <w:tcW w:w="1251" w:type="pct"/>
            <w:tcBorders>
              <w:top w:val="single" w:sz="12" w:space="0" w:color="auto"/>
              <w:left w:val="single" w:sz="12" w:space="0" w:color="auto"/>
              <w:bottom w:val="single" w:sz="12" w:space="0" w:color="auto"/>
              <w:right w:val="single" w:sz="12" w:space="0" w:color="auto"/>
            </w:tcBorders>
            <w:shd w:val="clear" w:color="auto" w:fill="DEEAF6"/>
            <w:vAlign w:val="center"/>
          </w:tcPr>
          <w:p w14:paraId="629BB9CC"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47</w:t>
            </w:r>
          </w:p>
        </w:tc>
        <w:tc>
          <w:tcPr>
            <w:tcW w:w="1254" w:type="pct"/>
            <w:tcBorders>
              <w:top w:val="single" w:sz="12" w:space="0" w:color="auto"/>
              <w:left w:val="single" w:sz="12" w:space="0" w:color="auto"/>
              <w:bottom w:val="single" w:sz="12" w:space="0" w:color="auto"/>
              <w:right w:val="single" w:sz="12" w:space="0" w:color="auto"/>
            </w:tcBorders>
            <w:shd w:val="clear" w:color="auto" w:fill="DEEAF6"/>
            <w:vAlign w:val="center"/>
          </w:tcPr>
          <w:p w14:paraId="0B33A9CB"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66</w:t>
            </w:r>
          </w:p>
        </w:tc>
        <w:tc>
          <w:tcPr>
            <w:tcW w:w="1089" w:type="pct"/>
            <w:tcBorders>
              <w:top w:val="single" w:sz="12" w:space="0" w:color="auto"/>
              <w:left w:val="single" w:sz="12" w:space="0" w:color="auto"/>
              <w:bottom w:val="single" w:sz="12" w:space="0" w:color="auto"/>
              <w:right w:val="single" w:sz="12" w:space="0" w:color="auto"/>
            </w:tcBorders>
            <w:shd w:val="clear" w:color="auto" w:fill="DEEAF6"/>
            <w:vAlign w:val="center"/>
          </w:tcPr>
          <w:p w14:paraId="58058CB0" w14:textId="77777777" w:rsidR="00DE234F" w:rsidRPr="00562777" w:rsidRDefault="00DE234F" w:rsidP="00562777">
            <w:pPr>
              <w:spacing w:before="120" w:after="0" w:line="240" w:lineRule="auto"/>
              <w:jc w:val="center"/>
              <w:rPr>
                <w:rFonts w:ascii="Times New Roman" w:hAnsi="Times New Roman"/>
                <w:bCs/>
                <w:color w:val="000000"/>
                <w:sz w:val="20"/>
                <w:szCs w:val="20"/>
              </w:rPr>
            </w:pPr>
            <w:r w:rsidRPr="00562777">
              <w:rPr>
                <w:rFonts w:ascii="Times New Roman" w:hAnsi="Times New Roman"/>
                <w:bCs/>
                <w:color w:val="000000"/>
                <w:sz w:val="20"/>
                <w:szCs w:val="20"/>
              </w:rPr>
              <w:t>19</w:t>
            </w:r>
          </w:p>
        </w:tc>
      </w:tr>
      <w:tr w:rsidR="00DE234F" w:rsidRPr="00AF43EA" w14:paraId="3475A226" w14:textId="77777777" w:rsidTr="00DE234F">
        <w:trPr>
          <w:trHeight w:val="315"/>
        </w:trPr>
        <w:tc>
          <w:tcPr>
            <w:tcW w:w="2657" w:type="pct"/>
            <w:gridSpan w:val="2"/>
            <w:tcBorders>
              <w:top w:val="single" w:sz="12" w:space="0" w:color="auto"/>
              <w:left w:val="single" w:sz="12" w:space="0" w:color="auto"/>
              <w:bottom w:val="single" w:sz="12" w:space="0" w:color="auto"/>
              <w:right w:val="single" w:sz="12" w:space="0" w:color="auto"/>
            </w:tcBorders>
            <w:shd w:val="clear" w:color="auto" w:fill="DEEAF6"/>
            <w:noWrap/>
            <w:vAlign w:val="bottom"/>
          </w:tcPr>
          <w:p w14:paraId="75633045" w14:textId="77777777" w:rsidR="00DE234F" w:rsidRPr="00562777" w:rsidRDefault="00DE234F" w:rsidP="00562777">
            <w:pPr>
              <w:spacing w:before="120" w:after="0" w:line="240" w:lineRule="auto"/>
              <w:rPr>
                <w:rFonts w:ascii="Times New Roman" w:hAnsi="Times New Roman"/>
                <w:bCs/>
                <w:color w:val="000000"/>
                <w:sz w:val="20"/>
                <w:szCs w:val="20"/>
              </w:rPr>
            </w:pPr>
            <w:r w:rsidRPr="00562777">
              <w:rPr>
                <w:rFonts w:ascii="Times New Roman" w:eastAsia="Times New Roman" w:hAnsi="Times New Roman"/>
                <w:bCs/>
                <w:color w:val="000000"/>
                <w:sz w:val="20"/>
                <w:szCs w:val="20"/>
              </w:rPr>
              <w:t>Celkové navýšení pracovníků:</w:t>
            </w:r>
          </w:p>
        </w:tc>
        <w:tc>
          <w:tcPr>
            <w:tcW w:w="1254" w:type="pct"/>
            <w:tcBorders>
              <w:top w:val="single" w:sz="12" w:space="0" w:color="auto"/>
              <w:left w:val="single" w:sz="12" w:space="0" w:color="auto"/>
              <w:bottom w:val="single" w:sz="12" w:space="0" w:color="auto"/>
              <w:right w:val="single" w:sz="12" w:space="0" w:color="auto"/>
            </w:tcBorders>
            <w:shd w:val="clear" w:color="auto" w:fill="DEEAF6"/>
            <w:vAlign w:val="center"/>
          </w:tcPr>
          <w:p w14:paraId="793FBF9F" w14:textId="77777777" w:rsidR="00DE234F" w:rsidRPr="00562777" w:rsidRDefault="00DE234F" w:rsidP="00562777">
            <w:pPr>
              <w:spacing w:before="120" w:after="0" w:line="240" w:lineRule="auto"/>
              <w:jc w:val="center"/>
              <w:rPr>
                <w:rFonts w:ascii="Times New Roman" w:hAnsi="Times New Roman"/>
                <w:bCs/>
                <w:color w:val="000000"/>
                <w:sz w:val="20"/>
                <w:szCs w:val="20"/>
              </w:rPr>
            </w:pPr>
          </w:p>
        </w:tc>
        <w:tc>
          <w:tcPr>
            <w:tcW w:w="1089" w:type="pct"/>
            <w:tcBorders>
              <w:top w:val="single" w:sz="12" w:space="0" w:color="auto"/>
              <w:left w:val="single" w:sz="12" w:space="0" w:color="auto"/>
              <w:bottom w:val="single" w:sz="12" w:space="0" w:color="auto"/>
              <w:right w:val="single" w:sz="12" w:space="0" w:color="auto"/>
            </w:tcBorders>
            <w:shd w:val="clear" w:color="auto" w:fill="DEEAF6"/>
            <w:vAlign w:val="center"/>
          </w:tcPr>
          <w:p w14:paraId="1DA74102" w14:textId="77777777" w:rsidR="00DE234F" w:rsidRPr="00562777" w:rsidRDefault="00DE234F" w:rsidP="00562777">
            <w:pPr>
              <w:spacing w:before="120" w:after="0" w:line="240" w:lineRule="auto"/>
              <w:jc w:val="center"/>
              <w:rPr>
                <w:rFonts w:ascii="Times New Roman" w:hAnsi="Times New Roman"/>
                <w:b/>
                <w:bCs/>
                <w:color w:val="000000"/>
                <w:sz w:val="20"/>
                <w:szCs w:val="20"/>
              </w:rPr>
            </w:pPr>
            <w:r w:rsidRPr="00562777">
              <w:rPr>
                <w:rFonts w:ascii="Times New Roman" w:hAnsi="Times New Roman"/>
                <w:b/>
                <w:bCs/>
                <w:color w:val="000000"/>
                <w:sz w:val="20"/>
                <w:szCs w:val="20"/>
              </w:rPr>
              <w:t>132</w:t>
            </w:r>
          </w:p>
        </w:tc>
      </w:tr>
    </w:tbl>
    <w:p w14:paraId="1FDA5D07" w14:textId="77777777" w:rsidR="00DE234F" w:rsidRDefault="00DE234F" w:rsidP="00562777">
      <w:pPr>
        <w:spacing w:before="120" w:after="0" w:line="240" w:lineRule="auto"/>
        <w:jc w:val="both"/>
        <w:rPr>
          <w:rFonts w:ascii="Times New Roman" w:hAnsi="Times New Roman"/>
          <w:sz w:val="24"/>
          <w:szCs w:val="24"/>
        </w:rPr>
      </w:pPr>
      <w:r>
        <w:rPr>
          <w:rFonts w:ascii="Times New Roman" w:hAnsi="Times New Roman"/>
          <w:sz w:val="24"/>
          <w:szCs w:val="24"/>
        </w:rPr>
        <w:t>Vzhledem k tomu, že se předpokládá, že justiční pohledávky budou Celní správě předávány</w:t>
      </w:r>
      <w:r w:rsidRPr="00195A4B">
        <w:rPr>
          <w:rFonts w:ascii="Times New Roman" w:hAnsi="Times New Roman"/>
          <w:sz w:val="24"/>
          <w:szCs w:val="24"/>
        </w:rPr>
        <w:t xml:space="preserve"> elektronicky v předem dohodnutém formátu a struktuře, </w:t>
      </w:r>
      <w:r>
        <w:rPr>
          <w:rFonts w:ascii="Times New Roman" w:hAnsi="Times New Roman"/>
          <w:sz w:val="24"/>
          <w:szCs w:val="24"/>
        </w:rPr>
        <w:t>bude potřeba personálního zajištění této agendy reálně nižší</w:t>
      </w:r>
      <w:r w:rsidRPr="00195A4B">
        <w:rPr>
          <w:rFonts w:ascii="Times New Roman" w:hAnsi="Times New Roman"/>
          <w:sz w:val="24"/>
          <w:szCs w:val="24"/>
        </w:rPr>
        <w:t>, a to z důvodu vý</w:t>
      </w:r>
      <w:r>
        <w:rPr>
          <w:rFonts w:ascii="Times New Roman" w:hAnsi="Times New Roman"/>
          <w:sz w:val="24"/>
          <w:szCs w:val="24"/>
        </w:rPr>
        <w:t>razného snížení administrativy. Požadavek na</w:t>
      </w:r>
      <w:r w:rsidR="00562777">
        <w:rPr>
          <w:rFonts w:ascii="Times New Roman" w:hAnsi="Times New Roman"/>
          <w:sz w:val="24"/>
          <w:szCs w:val="24"/>
        </w:rPr>
        <w:t> </w:t>
      </w:r>
      <w:r>
        <w:rPr>
          <w:rFonts w:ascii="Times New Roman" w:hAnsi="Times New Roman"/>
          <w:sz w:val="24"/>
          <w:szCs w:val="24"/>
        </w:rPr>
        <w:t>navýšení 132 míst zaměstnanců se z důvodu snížení administrativní zátěže omezí na</w:t>
      </w:r>
      <w:r w:rsidR="00562777">
        <w:rPr>
          <w:rFonts w:ascii="Times New Roman" w:hAnsi="Times New Roman"/>
          <w:sz w:val="24"/>
          <w:szCs w:val="24"/>
        </w:rPr>
        <w:t> </w:t>
      </w:r>
      <w:r>
        <w:rPr>
          <w:rFonts w:ascii="Times New Roman" w:hAnsi="Times New Roman"/>
          <w:sz w:val="24"/>
          <w:szCs w:val="24"/>
        </w:rPr>
        <w:t>celkem 120 míst.</w:t>
      </w:r>
    </w:p>
    <w:p w14:paraId="172FAB7D" w14:textId="77777777" w:rsidR="00562777" w:rsidRDefault="00330702" w:rsidP="00DE234F">
      <w:pPr>
        <w:spacing w:before="120" w:after="120" w:line="240" w:lineRule="auto"/>
        <w:jc w:val="both"/>
        <w:rPr>
          <w:rFonts w:ascii="Times New Roman" w:hAnsi="Times New Roman"/>
          <w:sz w:val="24"/>
          <w:szCs w:val="24"/>
        </w:rPr>
      </w:pPr>
      <w:r w:rsidRPr="006F5B73">
        <w:rPr>
          <w:rFonts w:ascii="Times New Roman" w:eastAsia="Calibri" w:hAnsi="Times New Roman" w:cs="Times New Roman"/>
          <w:sz w:val="24"/>
          <w:szCs w:val="24"/>
        </w:rPr>
        <w:t xml:space="preserve">Pokud jde o navýšení nákladů státu spojených s těmito pracovníky Celní správy, předpokládá se jednorázové navýšení nákladů o 96 000 Kč na zaměstnance, celkové jednorázové náklady pro 120 nových zaměstnanců tak činí </w:t>
      </w:r>
      <w:r w:rsidRPr="006F5B73">
        <w:rPr>
          <w:rFonts w:ascii="Times New Roman" w:eastAsia="Times New Roman" w:hAnsi="Times New Roman" w:cs="Times New Roman"/>
          <w:b/>
          <w:bCs/>
          <w:color w:val="000000"/>
          <w:sz w:val="24"/>
          <w:szCs w:val="24"/>
        </w:rPr>
        <w:t xml:space="preserve">11 520 000 </w:t>
      </w:r>
      <w:r w:rsidRPr="006F5B73">
        <w:rPr>
          <w:rFonts w:ascii="Times New Roman" w:eastAsia="Calibri" w:hAnsi="Times New Roman" w:cs="Times New Roman"/>
          <w:b/>
          <w:sz w:val="24"/>
          <w:szCs w:val="24"/>
        </w:rPr>
        <w:t>Kč</w:t>
      </w:r>
      <w:r w:rsidRPr="006F5B73">
        <w:rPr>
          <w:rFonts w:ascii="Times New Roman" w:eastAsia="Calibri" w:hAnsi="Times New Roman" w:cs="Times New Roman"/>
          <w:sz w:val="24"/>
          <w:szCs w:val="24"/>
        </w:rPr>
        <w:t xml:space="preserve">. Roční náklad na jednoho pracovníka je </w:t>
      </w:r>
      <w:r w:rsidRPr="006F5B73">
        <w:rPr>
          <w:rFonts w:ascii="Times New Roman" w:eastAsia="Calibri" w:hAnsi="Times New Roman" w:cs="Times New Roman"/>
          <w:sz w:val="24"/>
          <w:szCs w:val="24"/>
        </w:rPr>
        <w:lastRenderedPageBreak/>
        <w:t xml:space="preserve">v průměru ve výši 616 537 Kč, celkové roční náklady pro 120 zaměstnanců jsou ve výši </w:t>
      </w:r>
      <w:r w:rsidRPr="006F5B73">
        <w:rPr>
          <w:rFonts w:ascii="Times New Roman" w:eastAsia="Calibri" w:hAnsi="Times New Roman" w:cs="Times New Roman"/>
          <w:b/>
          <w:sz w:val="24"/>
          <w:szCs w:val="24"/>
        </w:rPr>
        <w:t>73 984 440 Kč</w:t>
      </w:r>
      <w:r w:rsidRPr="006F5B73">
        <w:rPr>
          <w:rFonts w:ascii="Times New Roman" w:eastAsia="Calibri" w:hAnsi="Times New Roman" w:cs="Times New Roman"/>
          <w:sz w:val="24"/>
          <w:szCs w:val="24"/>
        </w:rPr>
        <w:t>, podrobněji viz následující tabulka:</w:t>
      </w:r>
    </w:p>
    <w:tbl>
      <w:tblPr>
        <w:tblpPr w:leftFromText="141" w:rightFromText="141" w:vertAnchor="text" w:horzAnchor="margin" w:tblpX="-72" w:tblpY="223"/>
        <w:tblW w:w="5039" w:type="pct"/>
        <w:tblCellMar>
          <w:left w:w="0" w:type="dxa"/>
          <w:right w:w="0" w:type="dxa"/>
        </w:tblCellMar>
        <w:tblLook w:val="04A0" w:firstRow="1" w:lastRow="0" w:firstColumn="1" w:lastColumn="0" w:noHBand="0" w:noVBand="1"/>
      </w:tblPr>
      <w:tblGrid>
        <w:gridCol w:w="686"/>
        <w:gridCol w:w="4453"/>
        <w:gridCol w:w="1381"/>
        <w:gridCol w:w="1386"/>
        <w:gridCol w:w="1378"/>
      </w:tblGrid>
      <w:tr w:rsidR="00330702" w:rsidRPr="001B12F8" w14:paraId="1C911882" w14:textId="77777777" w:rsidTr="00D32915">
        <w:trPr>
          <w:trHeight w:val="765"/>
        </w:trPr>
        <w:tc>
          <w:tcPr>
            <w:tcW w:w="5000" w:type="pct"/>
            <w:gridSpan w:val="5"/>
            <w:tcBorders>
              <w:top w:val="single" w:sz="12" w:space="0" w:color="auto"/>
              <w:left w:val="single" w:sz="12" w:space="0" w:color="auto"/>
              <w:bottom w:val="single" w:sz="12" w:space="0" w:color="auto"/>
              <w:right w:val="single" w:sz="12" w:space="0" w:color="000000"/>
            </w:tcBorders>
            <w:noWrap/>
            <w:tcMar>
              <w:top w:w="0" w:type="dxa"/>
              <w:left w:w="70" w:type="dxa"/>
              <w:bottom w:w="0" w:type="dxa"/>
              <w:right w:w="70" w:type="dxa"/>
            </w:tcMar>
            <w:vAlign w:val="center"/>
            <w:hideMark/>
          </w:tcPr>
          <w:p w14:paraId="1AD29B00" w14:textId="77777777" w:rsidR="00330702" w:rsidRPr="00617C0B" w:rsidRDefault="00330702" w:rsidP="00330702">
            <w:pPr>
              <w:spacing w:after="0" w:line="240" w:lineRule="auto"/>
              <w:jc w:val="center"/>
              <w:rPr>
                <w:rFonts w:ascii="Times New Roman" w:eastAsia="Calibri" w:hAnsi="Times New Roman" w:cs="Times New Roman"/>
                <w:b/>
                <w:bCs/>
                <w:color w:val="000000"/>
                <w:sz w:val="24"/>
                <w:szCs w:val="24"/>
                <w:lang w:eastAsia="cs-CZ"/>
              </w:rPr>
            </w:pPr>
            <w:r w:rsidRPr="00617C0B">
              <w:rPr>
                <w:rFonts w:ascii="Times New Roman" w:eastAsia="Calibri" w:hAnsi="Times New Roman" w:cs="Times New Roman"/>
                <w:b/>
                <w:bCs/>
                <w:color w:val="000000"/>
                <w:sz w:val="24"/>
                <w:szCs w:val="24"/>
                <w:lang w:eastAsia="cs-CZ"/>
              </w:rPr>
              <w:t xml:space="preserve">Vyčíslení nákladů nových </w:t>
            </w:r>
            <w:r>
              <w:rPr>
                <w:rFonts w:ascii="Times New Roman" w:eastAsia="Calibri" w:hAnsi="Times New Roman" w:cs="Times New Roman"/>
                <w:b/>
                <w:bCs/>
                <w:color w:val="000000"/>
                <w:sz w:val="24"/>
                <w:szCs w:val="24"/>
                <w:lang w:eastAsia="cs-CZ"/>
              </w:rPr>
              <w:t>m</w:t>
            </w:r>
            <w:r w:rsidRPr="00617C0B">
              <w:rPr>
                <w:rFonts w:ascii="Times New Roman" w:eastAsia="Calibri" w:hAnsi="Times New Roman" w:cs="Times New Roman"/>
                <w:b/>
                <w:bCs/>
                <w:color w:val="000000"/>
                <w:sz w:val="24"/>
                <w:szCs w:val="24"/>
                <w:lang w:eastAsia="cs-CZ"/>
              </w:rPr>
              <w:t>íst Celní správy v Kč</w:t>
            </w:r>
          </w:p>
        </w:tc>
      </w:tr>
      <w:tr w:rsidR="00D32915" w:rsidRPr="001B12F8" w14:paraId="1BC9AE72" w14:textId="77777777" w:rsidTr="00D32915">
        <w:trPr>
          <w:trHeight w:val="765"/>
        </w:trPr>
        <w:tc>
          <w:tcPr>
            <w:tcW w:w="2710" w:type="pct"/>
            <w:gridSpan w:val="2"/>
            <w:tcBorders>
              <w:top w:val="nil"/>
              <w:left w:val="single" w:sz="12" w:space="0" w:color="auto"/>
              <w:bottom w:val="single" w:sz="8" w:space="0" w:color="auto"/>
              <w:right w:val="single" w:sz="8" w:space="0" w:color="000000"/>
            </w:tcBorders>
            <w:noWrap/>
            <w:tcMar>
              <w:top w:w="0" w:type="dxa"/>
              <w:left w:w="70" w:type="dxa"/>
              <w:bottom w:w="0" w:type="dxa"/>
              <w:right w:w="70" w:type="dxa"/>
            </w:tcMar>
            <w:vAlign w:val="center"/>
            <w:hideMark/>
          </w:tcPr>
          <w:p w14:paraId="0565EDF9"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 </w:t>
            </w:r>
          </w:p>
        </w:tc>
        <w:tc>
          <w:tcPr>
            <w:tcW w:w="7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672C85"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9. platová</w:t>
            </w:r>
            <w:r w:rsidR="006560CB">
              <w:rPr>
                <w:rFonts w:ascii="Times New Roman" w:eastAsia="Calibri" w:hAnsi="Times New Roman" w:cs="Times New Roman"/>
                <w:color w:val="000000"/>
                <w:sz w:val="20"/>
                <w:szCs w:val="20"/>
                <w:lang w:eastAsia="cs-CZ"/>
              </w:rPr>
              <w:t xml:space="preserve"> </w:t>
            </w:r>
            <w:r w:rsidRPr="00617C0B">
              <w:rPr>
                <w:rFonts w:ascii="Times New Roman" w:eastAsia="Calibri" w:hAnsi="Times New Roman" w:cs="Times New Roman"/>
                <w:color w:val="000000"/>
                <w:sz w:val="20"/>
                <w:szCs w:val="20"/>
                <w:lang w:eastAsia="cs-CZ"/>
              </w:rPr>
              <w:t>třída</w:t>
            </w:r>
          </w:p>
        </w:tc>
        <w:tc>
          <w:tcPr>
            <w:tcW w:w="76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23B399"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10. platová třída</w:t>
            </w:r>
          </w:p>
        </w:tc>
        <w:tc>
          <w:tcPr>
            <w:tcW w:w="761"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63ADC0C8"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celkem</w:t>
            </w:r>
          </w:p>
        </w:tc>
      </w:tr>
      <w:tr w:rsidR="00D32915" w:rsidRPr="001B12F8" w14:paraId="6CE2348D" w14:textId="77777777" w:rsidTr="00D32915">
        <w:trPr>
          <w:trHeight w:val="765"/>
        </w:trPr>
        <w:tc>
          <w:tcPr>
            <w:tcW w:w="2710" w:type="pct"/>
            <w:gridSpan w:val="2"/>
            <w:tcBorders>
              <w:top w:val="nil"/>
              <w:left w:val="single" w:sz="12" w:space="0" w:color="auto"/>
              <w:bottom w:val="single" w:sz="8" w:space="0" w:color="auto"/>
              <w:right w:val="single" w:sz="8" w:space="0" w:color="000000"/>
            </w:tcBorders>
            <w:noWrap/>
            <w:tcMar>
              <w:top w:w="0" w:type="dxa"/>
              <w:left w:w="70" w:type="dxa"/>
              <w:bottom w:w="0" w:type="dxa"/>
              <w:right w:w="70" w:type="dxa"/>
            </w:tcMar>
            <w:vAlign w:val="center"/>
            <w:hideMark/>
          </w:tcPr>
          <w:p w14:paraId="23361392" w14:textId="77777777" w:rsidR="00330702" w:rsidRPr="00617C0B" w:rsidRDefault="00330702" w:rsidP="00330702">
            <w:pPr>
              <w:spacing w:after="0" w:line="240" w:lineRule="auto"/>
              <w:ind w:firstLine="241"/>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Počet pracovníků</w:t>
            </w:r>
          </w:p>
        </w:tc>
        <w:tc>
          <w:tcPr>
            <w:tcW w:w="7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999ECE"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40</w:t>
            </w:r>
          </w:p>
        </w:tc>
        <w:tc>
          <w:tcPr>
            <w:tcW w:w="76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6E2BB6"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80</w:t>
            </w:r>
          </w:p>
        </w:tc>
        <w:tc>
          <w:tcPr>
            <w:tcW w:w="761" w:type="pct"/>
            <w:tcBorders>
              <w:top w:val="nil"/>
              <w:left w:val="nil"/>
              <w:bottom w:val="single" w:sz="8" w:space="0" w:color="auto"/>
              <w:right w:val="single" w:sz="12" w:space="0" w:color="auto"/>
            </w:tcBorders>
            <w:noWrap/>
            <w:tcMar>
              <w:top w:w="0" w:type="dxa"/>
              <w:left w:w="70" w:type="dxa"/>
              <w:bottom w:w="0" w:type="dxa"/>
              <w:right w:w="70" w:type="dxa"/>
            </w:tcMar>
            <w:vAlign w:val="center"/>
            <w:hideMark/>
          </w:tcPr>
          <w:p w14:paraId="098FCE18"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120</w:t>
            </w:r>
          </w:p>
        </w:tc>
      </w:tr>
      <w:tr w:rsidR="00D32915" w:rsidRPr="001B12F8" w14:paraId="7727BC56" w14:textId="77777777" w:rsidTr="00D32915">
        <w:trPr>
          <w:trHeight w:val="765"/>
        </w:trPr>
        <w:tc>
          <w:tcPr>
            <w:tcW w:w="389" w:type="pct"/>
            <w:vMerge w:val="restart"/>
            <w:tcBorders>
              <w:top w:val="nil"/>
              <w:left w:val="single" w:sz="12" w:space="0" w:color="auto"/>
              <w:bottom w:val="single" w:sz="8" w:space="0" w:color="000000"/>
              <w:right w:val="single" w:sz="8" w:space="0" w:color="auto"/>
            </w:tcBorders>
            <w:tcMar>
              <w:top w:w="0" w:type="dxa"/>
              <w:left w:w="70" w:type="dxa"/>
              <w:bottom w:w="0" w:type="dxa"/>
              <w:right w:w="70" w:type="dxa"/>
            </w:tcMar>
            <w:textDirection w:val="btLr"/>
            <w:vAlign w:val="center"/>
            <w:hideMark/>
          </w:tcPr>
          <w:p w14:paraId="3D06EA27" w14:textId="77777777" w:rsidR="00330702" w:rsidRPr="00617C0B" w:rsidRDefault="00330702" w:rsidP="00330702">
            <w:pPr>
              <w:spacing w:after="0" w:line="240" w:lineRule="auto"/>
              <w:jc w:val="center"/>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Každoročně se opakující výdaje</w:t>
            </w:r>
          </w:p>
        </w:tc>
        <w:tc>
          <w:tcPr>
            <w:tcW w:w="232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51A76B" w14:textId="77777777" w:rsidR="00330702" w:rsidRPr="00617C0B" w:rsidRDefault="00330702" w:rsidP="00330702">
            <w:pPr>
              <w:spacing w:after="0" w:line="240" w:lineRule="auto"/>
              <w:ind w:firstLine="240"/>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Měsíční plat na zaměstnance</w:t>
            </w:r>
          </w:p>
        </w:tc>
        <w:tc>
          <w:tcPr>
            <w:tcW w:w="7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909820"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31 613,97</w:t>
            </w:r>
          </w:p>
        </w:tc>
        <w:tc>
          <w:tcPr>
            <w:tcW w:w="76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28DED0"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38 125,00</w:t>
            </w:r>
          </w:p>
        </w:tc>
        <w:tc>
          <w:tcPr>
            <w:tcW w:w="761" w:type="pct"/>
            <w:tcBorders>
              <w:top w:val="nil"/>
              <w:left w:val="nil"/>
              <w:bottom w:val="single" w:sz="8" w:space="0" w:color="auto"/>
              <w:right w:val="single" w:sz="12" w:space="0" w:color="auto"/>
            </w:tcBorders>
            <w:noWrap/>
            <w:tcMar>
              <w:top w:w="0" w:type="dxa"/>
              <w:left w:w="70" w:type="dxa"/>
              <w:bottom w:w="0" w:type="dxa"/>
              <w:right w:w="70" w:type="dxa"/>
            </w:tcMar>
            <w:vAlign w:val="center"/>
            <w:hideMark/>
          </w:tcPr>
          <w:p w14:paraId="78F8AD92"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35 954,66</w:t>
            </w:r>
          </w:p>
        </w:tc>
      </w:tr>
      <w:tr w:rsidR="00D32915" w:rsidRPr="001B12F8" w14:paraId="62158AAE" w14:textId="77777777" w:rsidTr="00D32915">
        <w:trPr>
          <w:trHeight w:val="765"/>
        </w:trPr>
        <w:tc>
          <w:tcPr>
            <w:tcW w:w="389" w:type="pct"/>
            <w:vMerge/>
            <w:tcBorders>
              <w:top w:val="nil"/>
              <w:left w:val="single" w:sz="12" w:space="0" w:color="auto"/>
              <w:bottom w:val="single" w:sz="8" w:space="0" w:color="000000"/>
              <w:right w:val="single" w:sz="8" w:space="0" w:color="auto"/>
            </w:tcBorders>
            <w:vAlign w:val="center"/>
            <w:hideMark/>
          </w:tcPr>
          <w:p w14:paraId="4A712AA6" w14:textId="77777777" w:rsidR="00330702" w:rsidRPr="00617C0B" w:rsidRDefault="00330702" w:rsidP="00330702">
            <w:pPr>
              <w:spacing w:after="0" w:line="240" w:lineRule="auto"/>
              <w:rPr>
                <w:rFonts w:ascii="Times New Roman" w:eastAsia="Calibri" w:hAnsi="Times New Roman" w:cs="Times New Roman"/>
                <w:b/>
                <w:bCs/>
                <w:color w:val="000000"/>
                <w:sz w:val="20"/>
                <w:szCs w:val="20"/>
                <w:lang w:eastAsia="cs-CZ"/>
              </w:rPr>
            </w:pPr>
          </w:p>
        </w:tc>
        <w:tc>
          <w:tcPr>
            <w:tcW w:w="2321" w:type="pct"/>
            <w:tcBorders>
              <w:top w:val="nil"/>
              <w:left w:val="nil"/>
              <w:bottom w:val="nil"/>
              <w:right w:val="single" w:sz="8" w:space="0" w:color="auto"/>
            </w:tcBorders>
            <w:tcMar>
              <w:top w:w="0" w:type="dxa"/>
              <w:left w:w="70" w:type="dxa"/>
              <w:bottom w:w="0" w:type="dxa"/>
              <w:right w:w="70" w:type="dxa"/>
            </w:tcMar>
            <w:vAlign w:val="center"/>
            <w:hideMark/>
          </w:tcPr>
          <w:p w14:paraId="727E026F" w14:textId="77777777" w:rsidR="00330702" w:rsidRPr="00617C0B" w:rsidRDefault="00330702" w:rsidP="00330702">
            <w:pPr>
              <w:spacing w:after="0" w:line="240" w:lineRule="auto"/>
              <w:ind w:left="187"/>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Povinné pojistné a FKSP měsíčně na zaměstnance</w:t>
            </w:r>
          </w:p>
        </w:tc>
        <w:tc>
          <w:tcPr>
            <w:tcW w:w="763" w:type="pct"/>
            <w:tcBorders>
              <w:top w:val="nil"/>
              <w:left w:val="nil"/>
              <w:bottom w:val="nil"/>
              <w:right w:val="single" w:sz="8" w:space="0" w:color="auto"/>
            </w:tcBorders>
            <w:noWrap/>
            <w:tcMar>
              <w:top w:w="0" w:type="dxa"/>
              <w:left w:w="70" w:type="dxa"/>
              <w:bottom w:w="0" w:type="dxa"/>
              <w:right w:w="70" w:type="dxa"/>
            </w:tcMar>
            <w:vAlign w:val="center"/>
            <w:hideMark/>
          </w:tcPr>
          <w:p w14:paraId="67305E3F"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11 381,03</w:t>
            </w:r>
          </w:p>
        </w:tc>
        <w:tc>
          <w:tcPr>
            <w:tcW w:w="766" w:type="pct"/>
            <w:tcBorders>
              <w:top w:val="nil"/>
              <w:left w:val="nil"/>
              <w:bottom w:val="nil"/>
              <w:right w:val="single" w:sz="8" w:space="0" w:color="auto"/>
            </w:tcBorders>
            <w:noWrap/>
            <w:tcMar>
              <w:top w:w="0" w:type="dxa"/>
              <w:left w:w="70" w:type="dxa"/>
              <w:bottom w:w="0" w:type="dxa"/>
              <w:right w:w="70" w:type="dxa"/>
            </w:tcMar>
            <w:vAlign w:val="center"/>
            <w:hideMark/>
          </w:tcPr>
          <w:p w14:paraId="459C95E4"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13 725,00</w:t>
            </w:r>
          </w:p>
        </w:tc>
        <w:tc>
          <w:tcPr>
            <w:tcW w:w="761" w:type="pct"/>
            <w:tcBorders>
              <w:top w:val="nil"/>
              <w:left w:val="nil"/>
              <w:bottom w:val="single" w:sz="8" w:space="0" w:color="auto"/>
              <w:right w:val="single" w:sz="12" w:space="0" w:color="auto"/>
            </w:tcBorders>
            <w:noWrap/>
            <w:tcMar>
              <w:top w:w="0" w:type="dxa"/>
              <w:left w:w="70" w:type="dxa"/>
              <w:bottom w:w="0" w:type="dxa"/>
              <w:right w:w="70" w:type="dxa"/>
            </w:tcMar>
            <w:vAlign w:val="center"/>
            <w:hideMark/>
          </w:tcPr>
          <w:p w14:paraId="232F2119"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12 943,68</w:t>
            </w:r>
          </w:p>
        </w:tc>
      </w:tr>
      <w:tr w:rsidR="00D32915" w:rsidRPr="001B12F8" w14:paraId="227E2554" w14:textId="77777777" w:rsidTr="00D32915">
        <w:trPr>
          <w:trHeight w:val="765"/>
        </w:trPr>
        <w:tc>
          <w:tcPr>
            <w:tcW w:w="389" w:type="pct"/>
            <w:vMerge/>
            <w:tcBorders>
              <w:top w:val="nil"/>
              <w:left w:val="single" w:sz="12" w:space="0" w:color="auto"/>
              <w:bottom w:val="single" w:sz="8" w:space="0" w:color="000000"/>
              <w:right w:val="single" w:sz="8" w:space="0" w:color="auto"/>
            </w:tcBorders>
            <w:vAlign w:val="center"/>
            <w:hideMark/>
          </w:tcPr>
          <w:p w14:paraId="6F7623CD" w14:textId="77777777" w:rsidR="00330702" w:rsidRPr="00617C0B" w:rsidRDefault="00330702" w:rsidP="00330702">
            <w:pPr>
              <w:spacing w:after="0" w:line="240" w:lineRule="auto"/>
              <w:rPr>
                <w:rFonts w:ascii="Times New Roman" w:eastAsia="Calibri" w:hAnsi="Times New Roman" w:cs="Times New Roman"/>
                <w:b/>
                <w:bCs/>
                <w:color w:val="000000"/>
                <w:sz w:val="20"/>
                <w:szCs w:val="20"/>
                <w:lang w:eastAsia="cs-CZ"/>
              </w:rPr>
            </w:pPr>
          </w:p>
        </w:tc>
        <w:tc>
          <w:tcPr>
            <w:tcW w:w="2321" w:type="pct"/>
            <w:tcBorders>
              <w:top w:val="single" w:sz="8" w:space="0" w:color="auto"/>
              <w:left w:val="nil"/>
              <w:bottom w:val="nil"/>
              <w:right w:val="single" w:sz="8" w:space="0" w:color="auto"/>
            </w:tcBorders>
            <w:tcMar>
              <w:top w:w="0" w:type="dxa"/>
              <w:left w:w="70" w:type="dxa"/>
              <w:bottom w:w="0" w:type="dxa"/>
              <w:right w:w="70" w:type="dxa"/>
            </w:tcMar>
            <w:vAlign w:val="center"/>
            <w:hideMark/>
          </w:tcPr>
          <w:p w14:paraId="22487393" w14:textId="77777777" w:rsidR="00330702" w:rsidRPr="00617C0B" w:rsidRDefault="00330702" w:rsidP="00330702">
            <w:pPr>
              <w:spacing w:after="0" w:line="240" w:lineRule="auto"/>
              <w:ind w:left="187"/>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Měsíčně na plat, povinné pojistné (36% sazba roku 2017) a FKSP na zaměstnance</w:t>
            </w:r>
          </w:p>
        </w:tc>
        <w:tc>
          <w:tcPr>
            <w:tcW w:w="763"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0868ADE"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42 995,00</w:t>
            </w:r>
          </w:p>
        </w:tc>
        <w:tc>
          <w:tcPr>
            <w:tcW w:w="76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8A56E4"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51 850,00</w:t>
            </w:r>
          </w:p>
        </w:tc>
        <w:tc>
          <w:tcPr>
            <w:tcW w:w="761" w:type="pct"/>
            <w:tcBorders>
              <w:top w:val="nil"/>
              <w:left w:val="nil"/>
              <w:bottom w:val="single" w:sz="8" w:space="0" w:color="auto"/>
              <w:right w:val="single" w:sz="12" w:space="0" w:color="auto"/>
            </w:tcBorders>
            <w:noWrap/>
            <w:tcMar>
              <w:top w:w="0" w:type="dxa"/>
              <w:left w:w="70" w:type="dxa"/>
              <w:bottom w:w="0" w:type="dxa"/>
              <w:right w:w="70" w:type="dxa"/>
            </w:tcMar>
            <w:vAlign w:val="center"/>
            <w:hideMark/>
          </w:tcPr>
          <w:p w14:paraId="5A34466A"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48 898,33</w:t>
            </w:r>
          </w:p>
        </w:tc>
      </w:tr>
      <w:tr w:rsidR="00D32915" w:rsidRPr="001B12F8" w14:paraId="425C3097" w14:textId="77777777" w:rsidTr="00D32915">
        <w:trPr>
          <w:trHeight w:val="765"/>
        </w:trPr>
        <w:tc>
          <w:tcPr>
            <w:tcW w:w="389" w:type="pct"/>
            <w:vMerge/>
            <w:tcBorders>
              <w:top w:val="nil"/>
              <w:left w:val="single" w:sz="12" w:space="0" w:color="auto"/>
              <w:bottom w:val="single" w:sz="8" w:space="0" w:color="000000"/>
              <w:right w:val="single" w:sz="8" w:space="0" w:color="auto"/>
            </w:tcBorders>
            <w:vAlign w:val="center"/>
            <w:hideMark/>
          </w:tcPr>
          <w:p w14:paraId="5C6AD2AB" w14:textId="77777777" w:rsidR="00330702" w:rsidRPr="00617C0B" w:rsidRDefault="00330702" w:rsidP="00330702">
            <w:pPr>
              <w:spacing w:after="0" w:line="240" w:lineRule="auto"/>
              <w:rPr>
                <w:rFonts w:ascii="Times New Roman" w:eastAsia="Calibri" w:hAnsi="Times New Roman" w:cs="Times New Roman"/>
                <w:b/>
                <w:bCs/>
                <w:color w:val="000000"/>
                <w:sz w:val="20"/>
                <w:szCs w:val="20"/>
                <w:lang w:eastAsia="cs-CZ"/>
              </w:rPr>
            </w:pPr>
          </w:p>
        </w:tc>
        <w:tc>
          <w:tcPr>
            <w:tcW w:w="2321" w:type="pct"/>
            <w:tcBorders>
              <w:top w:val="single" w:sz="8" w:space="0" w:color="auto"/>
              <w:left w:val="nil"/>
              <w:bottom w:val="nil"/>
              <w:right w:val="single" w:sz="8" w:space="0" w:color="auto"/>
            </w:tcBorders>
            <w:tcMar>
              <w:top w:w="0" w:type="dxa"/>
              <w:left w:w="70" w:type="dxa"/>
              <w:bottom w:w="0" w:type="dxa"/>
              <w:right w:w="70" w:type="dxa"/>
            </w:tcMar>
            <w:vAlign w:val="center"/>
            <w:hideMark/>
          </w:tcPr>
          <w:p w14:paraId="0920CB15" w14:textId="77777777" w:rsidR="00330702" w:rsidRPr="00617C0B" w:rsidRDefault="00330702" w:rsidP="00330702">
            <w:pPr>
              <w:spacing w:after="0" w:line="240" w:lineRule="auto"/>
              <w:ind w:left="187"/>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Ročně na plat, povinné pojistné a FKSP na zaměstnance</w:t>
            </w:r>
          </w:p>
        </w:tc>
        <w:tc>
          <w:tcPr>
            <w:tcW w:w="763"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A1B99C1"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 xml:space="preserve">515 </w:t>
            </w:r>
            <w:r w:rsidRPr="0045651A">
              <w:rPr>
                <w:rFonts w:ascii="Times New Roman" w:eastAsia="Calibri" w:hAnsi="Times New Roman" w:cs="Times New Roman"/>
                <w:color w:val="000000"/>
                <w:sz w:val="20"/>
                <w:szCs w:val="20"/>
                <w:lang w:eastAsia="cs-CZ"/>
              </w:rPr>
              <w:t>940</w:t>
            </w:r>
          </w:p>
        </w:tc>
        <w:tc>
          <w:tcPr>
            <w:tcW w:w="76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1FE652A3"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45651A">
              <w:rPr>
                <w:rFonts w:ascii="Times New Roman" w:eastAsia="Calibri" w:hAnsi="Times New Roman" w:cs="Times New Roman"/>
                <w:color w:val="000000"/>
                <w:sz w:val="20"/>
                <w:szCs w:val="20"/>
                <w:lang w:eastAsia="cs-CZ"/>
              </w:rPr>
              <w:t>622 200</w:t>
            </w:r>
          </w:p>
        </w:tc>
        <w:tc>
          <w:tcPr>
            <w:tcW w:w="761" w:type="pct"/>
            <w:tcBorders>
              <w:top w:val="nil"/>
              <w:left w:val="nil"/>
              <w:bottom w:val="single" w:sz="8" w:space="0" w:color="auto"/>
              <w:right w:val="single" w:sz="12" w:space="0" w:color="auto"/>
            </w:tcBorders>
            <w:noWrap/>
            <w:tcMar>
              <w:top w:w="0" w:type="dxa"/>
              <w:left w:w="70" w:type="dxa"/>
              <w:bottom w:w="0" w:type="dxa"/>
              <w:right w:w="70" w:type="dxa"/>
            </w:tcMar>
            <w:vAlign w:val="center"/>
            <w:hideMark/>
          </w:tcPr>
          <w:p w14:paraId="61FD02AA"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45651A">
              <w:rPr>
                <w:rFonts w:ascii="Times New Roman" w:eastAsia="Calibri" w:hAnsi="Times New Roman" w:cs="Times New Roman"/>
                <w:color w:val="000000"/>
                <w:sz w:val="20"/>
                <w:szCs w:val="20"/>
                <w:lang w:eastAsia="cs-CZ"/>
              </w:rPr>
              <w:t>586 780</w:t>
            </w:r>
          </w:p>
        </w:tc>
      </w:tr>
      <w:tr w:rsidR="00D32915" w:rsidRPr="001B12F8" w14:paraId="7539F40F" w14:textId="77777777" w:rsidTr="00D32915">
        <w:trPr>
          <w:trHeight w:val="765"/>
        </w:trPr>
        <w:tc>
          <w:tcPr>
            <w:tcW w:w="389" w:type="pct"/>
            <w:vMerge/>
            <w:tcBorders>
              <w:top w:val="nil"/>
              <w:left w:val="single" w:sz="12" w:space="0" w:color="auto"/>
              <w:bottom w:val="single" w:sz="8" w:space="0" w:color="000000"/>
              <w:right w:val="single" w:sz="8" w:space="0" w:color="auto"/>
            </w:tcBorders>
            <w:vAlign w:val="center"/>
            <w:hideMark/>
          </w:tcPr>
          <w:p w14:paraId="65C0DBDB" w14:textId="77777777" w:rsidR="00330702" w:rsidRPr="00617C0B" w:rsidRDefault="00330702" w:rsidP="00330702">
            <w:pPr>
              <w:spacing w:after="0" w:line="240" w:lineRule="auto"/>
              <w:rPr>
                <w:rFonts w:ascii="Times New Roman" w:eastAsia="Calibri" w:hAnsi="Times New Roman" w:cs="Times New Roman"/>
                <w:b/>
                <w:bCs/>
                <w:color w:val="000000"/>
                <w:sz w:val="20"/>
                <w:szCs w:val="20"/>
                <w:lang w:eastAsia="cs-CZ"/>
              </w:rPr>
            </w:pPr>
          </w:p>
        </w:tc>
        <w:tc>
          <w:tcPr>
            <w:tcW w:w="2321" w:type="pct"/>
            <w:tcBorders>
              <w:top w:val="single" w:sz="8" w:space="0" w:color="auto"/>
              <w:left w:val="nil"/>
              <w:bottom w:val="nil"/>
              <w:right w:val="single" w:sz="8" w:space="0" w:color="auto"/>
            </w:tcBorders>
            <w:tcMar>
              <w:top w:w="0" w:type="dxa"/>
              <w:left w:w="70" w:type="dxa"/>
              <w:bottom w:w="0" w:type="dxa"/>
              <w:right w:w="70" w:type="dxa"/>
            </w:tcMar>
            <w:vAlign w:val="center"/>
            <w:hideMark/>
          </w:tcPr>
          <w:p w14:paraId="32BF59F2" w14:textId="77777777" w:rsidR="00330702" w:rsidRPr="00617C0B" w:rsidRDefault="00330702" w:rsidP="00330702">
            <w:pPr>
              <w:spacing w:after="0" w:line="240" w:lineRule="auto"/>
              <w:ind w:left="187"/>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Ročně na plat, povinné pojistné a FKSP všech zaměstnanců</w:t>
            </w:r>
          </w:p>
        </w:tc>
        <w:tc>
          <w:tcPr>
            <w:tcW w:w="76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EA5647"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45651A">
              <w:rPr>
                <w:rFonts w:ascii="Times New Roman" w:eastAsia="Calibri" w:hAnsi="Times New Roman" w:cs="Times New Roman"/>
                <w:b/>
                <w:bCs/>
                <w:color w:val="000000"/>
                <w:sz w:val="20"/>
                <w:szCs w:val="20"/>
                <w:lang w:eastAsia="cs-CZ"/>
              </w:rPr>
              <w:t>20 637 600</w:t>
            </w:r>
          </w:p>
        </w:tc>
        <w:tc>
          <w:tcPr>
            <w:tcW w:w="76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CD8EE"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45651A">
              <w:rPr>
                <w:rFonts w:ascii="Times New Roman" w:eastAsia="Calibri" w:hAnsi="Times New Roman" w:cs="Times New Roman"/>
                <w:b/>
                <w:bCs/>
                <w:color w:val="000000"/>
                <w:sz w:val="20"/>
                <w:szCs w:val="20"/>
                <w:lang w:eastAsia="cs-CZ"/>
              </w:rPr>
              <w:t>49 776 000</w:t>
            </w:r>
          </w:p>
        </w:tc>
        <w:tc>
          <w:tcPr>
            <w:tcW w:w="761" w:type="pct"/>
            <w:tcBorders>
              <w:top w:val="nil"/>
              <w:left w:val="nil"/>
              <w:bottom w:val="single" w:sz="8" w:space="0" w:color="auto"/>
              <w:right w:val="single" w:sz="12" w:space="0" w:color="auto"/>
            </w:tcBorders>
            <w:noWrap/>
            <w:tcMar>
              <w:top w:w="0" w:type="dxa"/>
              <w:left w:w="70" w:type="dxa"/>
              <w:bottom w:w="0" w:type="dxa"/>
              <w:right w:w="70" w:type="dxa"/>
            </w:tcMar>
            <w:vAlign w:val="center"/>
            <w:hideMark/>
          </w:tcPr>
          <w:p w14:paraId="101AF51C"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45651A">
              <w:rPr>
                <w:rFonts w:ascii="Times New Roman" w:eastAsia="Calibri" w:hAnsi="Times New Roman" w:cs="Times New Roman"/>
                <w:b/>
                <w:bCs/>
                <w:color w:val="000000"/>
                <w:sz w:val="20"/>
                <w:szCs w:val="20"/>
                <w:lang w:eastAsia="cs-CZ"/>
              </w:rPr>
              <w:t>70 413 600</w:t>
            </w:r>
          </w:p>
        </w:tc>
      </w:tr>
      <w:tr w:rsidR="00D32915" w:rsidRPr="001B12F8" w14:paraId="5C42A179" w14:textId="77777777" w:rsidTr="00D32915">
        <w:trPr>
          <w:trHeight w:val="765"/>
        </w:trPr>
        <w:tc>
          <w:tcPr>
            <w:tcW w:w="389" w:type="pct"/>
            <w:vMerge/>
            <w:tcBorders>
              <w:top w:val="nil"/>
              <w:left w:val="single" w:sz="12" w:space="0" w:color="auto"/>
              <w:bottom w:val="single" w:sz="8" w:space="0" w:color="000000"/>
              <w:right w:val="single" w:sz="8" w:space="0" w:color="auto"/>
            </w:tcBorders>
            <w:vAlign w:val="center"/>
            <w:hideMark/>
          </w:tcPr>
          <w:p w14:paraId="4B54C8D4" w14:textId="77777777" w:rsidR="00330702" w:rsidRPr="00617C0B" w:rsidRDefault="00330702" w:rsidP="00330702">
            <w:pPr>
              <w:spacing w:after="0" w:line="240" w:lineRule="auto"/>
              <w:rPr>
                <w:rFonts w:ascii="Times New Roman" w:eastAsia="Calibri" w:hAnsi="Times New Roman" w:cs="Times New Roman"/>
                <w:b/>
                <w:bCs/>
                <w:color w:val="000000"/>
                <w:sz w:val="20"/>
                <w:szCs w:val="20"/>
                <w:lang w:eastAsia="cs-CZ"/>
              </w:rPr>
            </w:pPr>
          </w:p>
        </w:tc>
        <w:tc>
          <w:tcPr>
            <w:tcW w:w="232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EA93DB7" w14:textId="77777777" w:rsidR="00330702" w:rsidRPr="00617C0B" w:rsidRDefault="00330702" w:rsidP="00330702">
            <w:pPr>
              <w:spacing w:after="0" w:line="240" w:lineRule="auto"/>
              <w:ind w:left="187"/>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Roční výdaje na provoz budov na jednoho zaměstnance</w:t>
            </w:r>
          </w:p>
        </w:tc>
        <w:tc>
          <w:tcPr>
            <w:tcW w:w="7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16103"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X</w:t>
            </w:r>
          </w:p>
        </w:tc>
        <w:tc>
          <w:tcPr>
            <w:tcW w:w="76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E36729"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X</w:t>
            </w:r>
          </w:p>
        </w:tc>
        <w:tc>
          <w:tcPr>
            <w:tcW w:w="761" w:type="pct"/>
            <w:tcBorders>
              <w:top w:val="nil"/>
              <w:left w:val="nil"/>
              <w:bottom w:val="single" w:sz="8" w:space="0" w:color="auto"/>
              <w:right w:val="single" w:sz="12" w:space="0" w:color="auto"/>
            </w:tcBorders>
            <w:noWrap/>
            <w:tcMar>
              <w:top w:w="0" w:type="dxa"/>
              <w:left w:w="70" w:type="dxa"/>
              <w:bottom w:w="0" w:type="dxa"/>
              <w:right w:w="70" w:type="dxa"/>
            </w:tcMar>
            <w:vAlign w:val="center"/>
            <w:hideMark/>
          </w:tcPr>
          <w:p w14:paraId="76F97D23"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45651A">
              <w:rPr>
                <w:rFonts w:ascii="Times New Roman" w:eastAsia="Calibri" w:hAnsi="Times New Roman" w:cs="Times New Roman"/>
                <w:color w:val="000000"/>
                <w:sz w:val="20"/>
                <w:szCs w:val="20"/>
                <w:lang w:eastAsia="cs-CZ"/>
              </w:rPr>
              <w:t>29 757</w:t>
            </w:r>
          </w:p>
        </w:tc>
      </w:tr>
      <w:tr w:rsidR="00D32915" w:rsidRPr="001B12F8" w14:paraId="05BCF020" w14:textId="77777777" w:rsidTr="00D32915">
        <w:trPr>
          <w:trHeight w:val="765"/>
        </w:trPr>
        <w:tc>
          <w:tcPr>
            <w:tcW w:w="389" w:type="pct"/>
            <w:vMerge/>
            <w:tcBorders>
              <w:top w:val="nil"/>
              <w:left w:val="single" w:sz="12" w:space="0" w:color="auto"/>
              <w:bottom w:val="single" w:sz="8" w:space="0" w:color="000000"/>
              <w:right w:val="single" w:sz="8" w:space="0" w:color="auto"/>
            </w:tcBorders>
            <w:vAlign w:val="center"/>
            <w:hideMark/>
          </w:tcPr>
          <w:p w14:paraId="03397F3E" w14:textId="77777777" w:rsidR="00330702" w:rsidRPr="00617C0B" w:rsidRDefault="00330702" w:rsidP="00330702">
            <w:pPr>
              <w:spacing w:after="0" w:line="240" w:lineRule="auto"/>
              <w:rPr>
                <w:rFonts w:ascii="Times New Roman" w:eastAsia="Calibri" w:hAnsi="Times New Roman" w:cs="Times New Roman"/>
                <w:b/>
                <w:bCs/>
                <w:color w:val="000000"/>
                <w:sz w:val="20"/>
                <w:szCs w:val="20"/>
                <w:lang w:eastAsia="cs-CZ"/>
              </w:rPr>
            </w:pPr>
          </w:p>
        </w:tc>
        <w:tc>
          <w:tcPr>
            <w:tcW w:w="232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D330A9" w14:textId="77777777" w:rsidR="00330702" w:rsidRPr="00617C0B" w:rsidRDefault="00330702" w:rsidP="00330702">
            <w:pPr>
              <w:spacing w:after="0" w:line="240" w:lineRule="auto"/>
              <w:ind w:left="187"/>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Roční výdaje na provoz budov na všechny zaměstnance</w:t>
            </w:r>
          </w:p>
        </w:tc>
        <w:tc>
          <w:tcPr>
            <w:tcW w:w="763" w:type="pct"/>
            <w:tcBorders>
              <w:top w:val="nil"/>
              <w:left w:val="nil"/>
              <w:bottom w:val="nil"/>
              <w:right w:val="single" w:sz="8" w:space="0" w:color="auto"/>
            </w:tcBorders>
            <w:noWrap/>
            <w:tcMar>
              <w:top w:w="0" w:type="dxa"/>
              <w:left w:w="70" w:type="dxa"/>
              <w:bottom w:w="0" w:type="dxa"/>
              <w:right w:w="70" w:type="dxa"/>
            </w:tcMar>
            <w:vAlign w:val="center"/>
            <w:hideMark/>
          </w:tcPr>
          <w:p w14:paraId="73FE93A4" w14:textId="77777777" w:rsidR="00330702" w:rsidRPr="00617C0B" w:rsidRDefault="00330702" w:rsidP="00330702">
            <w:pPr>
              <w:spacing w:after="0" w:line="240" w:lineRule="auto"/>
              <w:jc w:val="center"/>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X</w:t>
            </w:r>
          </w:p>
        </w:tc>
        <w:tc>
          <w:tcPr>
            <w:tcW w:w="766" w:type="pct"/>
            <w:tcBorders>
              <w:top w:val="nil"/>
              <w:left w:val="nil"/>
              <w:bottom w:val="nil"/>
              <w:right w:val="single" w:sz="8" w:space="0" w:color="auto"/>
            </w:tcBorders>
            <w:noWrap/>
            <w:tcMar>
              <w:top w:w="0" w:type="dxa"/>
              <w:left w:w="70" w:type="dxa"/>
              <w:bottom w:w="0" w:type="dxa"/>
              <w:right w:w="70" w:type="dxa"/>
            </w:tcMar>
            <w:vAlign w:val="center"/>
            <w:hideMark/>
          </w:tcPr>
          <w:p w14:paraId="08730007" w14:textId="77777777" w:rsidR="00330702" w:rsidRPr="00617C0B" w:rsidRDefault="00330702" w:rsidP="00330702">
            <w:pPr>
              <w:spacing w:after="0" w:line="240" w:lineRule="auto"/>
              <w:jc w:val="center"/>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X</w:t>
            </w:r>
          </w:p>
        </w:tc>
        <w:tc>
          <w:tcPr>
            <w:tcW w:w="761" w:type="pct"/>
            <w:tcBorders>
              <w:top w:val="nil"/>
              <w:left w:val="nil"/>
              <w:bottom w:val="nil"/>
              <w:right w:val="single" w:sz="12" w:space="0" w:color="auto"/>
            </w:tcBorders>
            <w:noWrap/>
            <w:tcMar>
              <w:top w:w="0" w:type="dxa"/>
              <w:left w:w="70" w:type="dxa"/>
              <w:bottom w:w="0" w:type="dxa"/>
              <w:right w:w="70" w:type="dxa"/>
            </w:tcMar>
            <w:vAlign w:val="center"/>
            <w:hideMark/>
          </w:tcPr>
          <w:p w14:paraId="3ED4D35A"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45651A">
              <w:rPr>
                <w:rFonts w:ascii="Times New Roman" w:eastAsia="Calibri" w:hAnsi="Times New Roman" w:cs="Times New Roman"/>
                <w:b/>
                <w:bCs/>
                <w:color w:val="000000"/>
                <w:sz w:val="20"/>
                <w:szCs w:val="20"/>
                <w:lang w:eastAsia="cs-CZ"/>
              </w:rPr>
              <w:t>3 570 840</w:t>
            </w:r>
          </w:p>
        </w:tc>
      </w:tr>
      <w:tr w:rsidR="00D32915" w:rsidRPr="001B12F8" w14:paraId="74208095" w14:textId="77777777" w:rsidTr="00D32915">
        <w:trPr>
          <w:trHeight w:val="765"/>
        </w:trPr>
        <w:tc>
          <w:tcPr>
            <w:tcW w:w="2710" w:type="pct"/>
            <w:gridSpan w:val="2"/>
            <w:tcBorders>
              <w:top w:val="nil"/>
              <w:left w:val="single" w:sz="12" w:space="0" w:color="auto"/>
              <w:bottom w:val="single" w:sz="8" w:space="0" w:color="auto"/>
              <w:right w:val="single" w:sz="8" w:space="0" w:color="000000"/>
            </w:tcBorders>
            <w:noWrap/>
            <w:tcMar>
              <w:top w:w="0" w:type="dxa"/>
              <w:left w:w="70" w:type="dxa"/>
              <w:bottom w:w="0" w:type="dxa"/>
              <w:right w:w="70" w:type="dxa"/>
            </w:tcMar>
            <w:vAlign w:val="center"/>
            <w:hideMark/>
          </w:tcPr>
          <w:p w14:paraId="3C54B997" w14:textId="77777777" w:rsidR="00330702" w:rsidRPr="00617C0B" w:rsidRDefault="00330702" w:rsidP="00330702">
            <w:pPr>
              <w:spacing w:after="0" w:line="240" w:lineRule="auto"/>
              <w:ind w:firstLine="241"/>
              <w:rPr>
                <w:rFonts w:ascii="Times New Roman" w:eastAsia="Calibri" w:hAnsi="Times New Roman" w:cs="Times New Roman"/>
                <w:b/>
                <w:bCs/>
                <w:color w:val="000000"/>
                <w:sz w:val="20"/>
                <w:szCs w:val="20"/>
                <w:u w:val="single"/>
                <w:lang w:eastAsia="cs-CZ"/>
              </w:rPr>
            </w:pPr>
            <w:r w:rsidRPr="00617C0B">
              <w:rPr>
                <w:rFonts w:ascii="Times New Roman" w:eastAsia="Calibri" w:hAnsi="Times New Roman" w:cs="Times New Roman"/>
                <w:b/>
                <w:bCs/>
                <w:color w:val="000000"/>
                <w:sz w:val="20"/>
                <w:szCs w:val="20"/>
                <w:u w:val="single"/>
                <w:lang w:eastAsia="cs-CZ"/>
              </w:rPr>
              <w:t>Každoroční celkové výdaje na všechny zaměstnance</w:t>
            </w:r>
          </w:p>
        </w:tc>
        <w:tc>
          <w:tcPr>
            <w:tcW w:w="76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960B804" w14:textId="77777777" w:rsidR="00330702" w:rsidRPr="00617C0B" w:rsidRDefault="00330702" w:rsidP="00330702">
            <w:pPr>
              <w:spacing w:after="0" w:line="240" w:lineRule="auto"/>
              <w:jc w:val="center"/>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X</w:t>
            </w:r>
          </w:p>
        </w:tc>
        <w:tc>
          <w:tcPr>
            <w:tcW w:w="76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8022FB" w14:textId="77777777" w:rsidR="00330702" w:rsidRPr="00617C0B" w:rsidRDefault="00330702" w:rsidP="00330702">
            <w:pPr>
              <w:spacing w:after="0" w:line="240" w:lineRule="auto"/>
              <w:jc w:val="center"/>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X</w:t>
            </w:r>
          </w:p>
        </w:tc>
        <w:tc>
          <w:tcPr>
            <w:tcW w:w="761" w:type="pct"/>
            <w:tcBorders>
              <w:top w:val="single" w:sz="8" w:space="0" w:color="auto"/>
              <w:left w:val="nil"/>
              <w:bottom w:val="single" w:sz="8" w:space="0" w:color="auto"/>
              <w:right w:val="single" w:sz="12" w:space="0" w:color="auto"/>
            </w:tcBorders>
            <w:noWrap/>
            <w:tcMar>
              <w:top w:w="0" w:type="dxa"/>
              <w:left w:w="70" w:type="dxa"/>
              <w:bottom w:w="0" w:type="dxa"/>
              <w:right w:w="70" w:type="dxa"/>
            </w:tcMar>
            <w:vAlign w:val="center"/>
            <w:hideMark/>
          </w:tcPr>
          <w:p w14:paraId="04CAD380"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45651A">
              <w:rPr>
                <w:rFonts w:ascii="Times New Roman" w:eastAsia="Calibri" w:hAnsi="Times New Roman" w:cs="Times New Roman"/>
                <w:b/>
                <w:bCs/>
                <w:color w:val="000000"/>
                <w:sz w:val="20"/>
                <w:szCs w:val="20"/>
                <w:lang w:eastAsia="cs-CZ"/>
              </w:rPr>
              <w:t>73 984 440</w:t>
            </w:r>
          </w:p>
        </w:tc>
      </w:tr>
      <w:tr w:rsidR="00D32915" w:rsidRPr="001B12F8" w14:paraId="085B261A" w14:textId="77777777" w:rsidTr="00D32915">
        <w:trPr>
          <w:trHeight w:val="765"/>
        </w:trPr>
        <w:tc>
          <w:tcPr>
            <w:tcW w:w="389" w:type="pct"/>
            <w:vMerge w:val="restart"/>
            <w:tcBorders>
              <w:top w:val="nil"/>
              <w:left w:val="single" w:sz="12" w:space="0" w:color="auto"/>
              <w:bottom w:val="single" w:sz="8" w:space="0" w:color="000000"/>
              <w:right w:val="single" w:sz="8" w:space="0" w:color="auto"/>
            </w:tcBorders>
            <w:tcMar>
              <w:top w:w="0" w:type="dxa"/>
              <w:left w:w="70" w:type="dxa"/>
              <w:bottom w:w="0" w:type="dxa"/>
              <w:right w:w="70" w:type="dxa"/>
            </w:tcMar>
            <w:textDirection w:val="btLr"/>
            <w:vAlign w:val="center"/>
            <w:hideMark/>
          </w:tcPr>
          <w:p w14:paraId="1DF1BEFB" w14:textId="77777777" w:rsidR="00330702" w:rsidRPr="00617C0B" w:rsidRDefault="00330702" w:rsidP="00330702">
            <w:pPr>
              <w:spacing w:after="0" w:line="240" w:lineRule="auto"/>
              <w:jc w:val="center"/>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Jednorázové výdaje</w:t>
            </w:r>
          </w:p>
        </w:tc>
        <w:tc>
          <w:tcPr>
            <w:tcW w:w="232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38578F" w14:textId="77777777" w:rsidR="00330702" w:rsidRPr="00617C0B" w:rsidRDefault="00330702" w:rsidP="00330702">
            <w:pPr>
              <w:spacing w:after="0" w:line="240" w:lineRule="auto"/>
              <w:ind w:left="187"/>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Jednorázově na pracovníka na kancelářský inventář</w:t>
            </w:r>
          </w:p>
        </w:tc>
        <w:tc>
          <w:tcPr>
            <w:tcW w:w="7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83E184"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X</w:t>
            </w:r>
          </w:p>
        </w:tc>
        <w:tc>
          <w:tcPr>
            <w:tcW w:w="76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6F5342"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X</w:t>
            </w:r>
          </w:p>
        </w:tc>
        <w:tc>
          <w:tcPr>
            <w:tcW w:w="761" w:type="pct"/>
            <w:tcBorders>
              <w:top w:val="nil"/>
              <w:left w:val="nil"/>
              <w:bottom w:val="single" w:sz="8" w:space="0" w:color="auto"/>
              <w:right w:val="single" w:sz="12" w:space="0" w:color="auto"/>
            </w:tcBorders>
            <w:noWrap/>
            <w:tcMar>
              <w:top w:w="0" w:type="dxa"/>
              <w:left w:w="70" w:type="dxa"/>
              <w:bottom w:w="0" w:type="dxa"/>
              <w:right w:w="70" w:type="dxa"/>
            </w:tcMar>
            <w:vAlign w:val="center"/>
            <w:hideMark/>
          </w:tcPr>
          <w:p w14:paraId="31D9B756"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45651A">
              <w:rPr>
                <w:rFonts w:ascii="Times New Roman" w:eastAsia="Calibri" w:hAnsi="Times New Roman" w:cs="Times New Roman"/>
                <w:color w:val="000000"/>
                <w:sz w:val="20"/>
                <w:szCs w:val="20"/>
                <w:lang w:eastAsia="cs-CZ"/>
              </w:rPr>
              <w:t>60 000</w:t>
            </w:r>
          </w:p>
        </w:tc>
      </w:tr>
      <w:tr w:rsidR="00D32915" w:rsidRPr="001B12F8" w14:paraId="15C16D61" w14:textId="77777777" w:rsidTr="00D32915">
        <w:trPr>
          <w:trHeight w:val="765"/>
        </w:trPr>
        <w:tc>
          <w:tcPr>
            <w:tcW w:w="389" w:type="pct"/>
            <w:vMerge/>
            <w:tcBorders>
              <w:top w:val="nil"/>
              <w:left w:val="single" w:sz="12" w:space="0" w:color="auto"/>
              <w:bottom w:val="single" w:sz="8" w:space="0" w:color="000000"/>
              <w:right w:val="single" w:sz="8" w:space="0" w:color="auto"/>
            </w:tcBorders>
            <w:vAlign w:val="center"/>
            <w:hideMark/>
          </w:tcPr>
          <w:p w14:paraId="2BD16E57" w14:textId="77777777" w:rsidR="00330702" w:rsidRPr="00617C0B" w:rsidRDefault="00330702" w:rsidP="00330702">
            <w:pPr>
              <w:spacing w:after="0" w:line="240" w:lineRule="auto"/>
              <w:rPr>
                <w:rFonts w:ascii="Times New Roman" w:eastAsia="Calibri" w:hAnsi="Times New Roman" w:cs="Times New Roman"/>
                <w:b/>
                <w:bCs/>
                <w:color w:val="000000"/>
                <w:sz w:val="20"/>
                <w:szCs w:val="20"/>
                <w:lang w:eastAsia="cs-CZ"/>
              </w:rPr>
            </w:pPr>
          </w:p>
        </w:tc>
        <w:tc>
          <w:tcPr>
            <w:tcW w:w="232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C82D09B" w14:textId="77777777" w:rsidR="00330702" w:rsidRPr="00617C0B" w:rsidRDefault="00330702" w:rsidP="00330702">
            <w:pPr>
              <w:spacing w:after="0" w:line="240" w:lineRule="auto"/>
              <w:ind w:left="187"/>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Jednorázově na pracovníka na IT vybavení</w:t>
            </w:r>
          </w:p>
        </w:tc>
        <w:tc>
          <w:tcPr>
            <w:tcW w:w="763" w:type="pct"/>
            <w:tcBorders>
              <w:top w:val="nil"/>
              <w:left w:val="nil"/>
              <w:bottom w:val="nil"/>
              <w:right w:val="single" w:sz="8" w:space="0" w:color="auto"/>
            </w:tcBorders>
            <w:noWrap/>
            <w:tcMar>
              <w:top w:w="0" w:type="dxa"/>
              <w:left w:w="70" w:type="dxa"/>
              <w:bottom w:w="0" w:type="dxa"/>
              <w:right w:w="70" w:type="dxa"/>
            </w:tcMar>
            <w:vAlign w:val="center"/>
            <w:hideMark/>
          </w:tcPr>
          <w:p w14:paraId="61898B58"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X</w:t>
            </w:r>
          </w:p>
        </w:tc>
        <w:tc>
          <w:tcPr>
            <w:tcW w:w="766" w:type="pct"/>
            <w:tcBorders>
              <w:top w:val="nil"/>
              <w:left w:val="nil"/>
              <w:bottom w:val="nil"/>
              <w:right w:val="single" w:sz="8" w:space="0" w:color="auto"/>
            </w:tcBorders>
            <w:noWrap/>
            <w:tcMar>
              <w:top w:w="0" w:type="dxa"/>
              <w:left w:w="70" w:type="dxa"/>
              <w:bottom w:w="0" w:type="dxa"/>
              <w:right w:w="70" w:type="dxa"/>
            </w:tcMar>
            <w:vAlign w:val="center"/>
            <w:hideMark/>
          </w:tcPr>
          <w:p w14:paraId="74B3A248" w14:textId="77777777" w:rsidR="00330702" w:rsidRPr="00617C0B" w:rsidRDefault="00330702" w:rsidP="00330702">
            <w:pPr>
              <w:spacing w:after="0" w:line="240" w:lineRule="auto"/>
              <w:jc w:val="center"/>
              <w:rPr>
                <w:rFonts w:ascii="Times New Roman" w:eastAsia="Calibri" w:hAnsi="Times New Roman" w:cs="Times New Roman"/>
                <w:color w:val="000000"/>
                <w:sz w:val="20"/>
                <w:szCs w:val="20"/>
                <w:lang w:eastAsia="cs-CZ"/>
              </w:rPr>
            </w:pPr>
            <w:r w:rsidRPr="00617C0B">
              <w:rPr>
                <w:rFonts w:ascii="Times New Roman" w:eastAsia="Calibri" w:hAnsi="Times New Roman" w:cs="Times New Roman"/>
                <w:color w:val="000000"/>
                <w:sz w:val="20"/>
                <w:szCs w:val="20"/>
                <w:lang w:eastAsia="cs-CZ"/>
              </w:rPr>
              <w:t>X</w:t>
            </w:r>
          </w:p>
        </w:tc>
        <w:tc>
          <w:tcPr>
            <w:tcW w:w="761" w:type="pct"/>
            <w:tcBorders>
              <w:top w:val="nil"/>
              <w:left w:val="nil"/>
              <w:bottom w:val="nil"/>
              <w:right w:val="single" w:sz="12" w:space="0" w:color="auto"/>
            </w:tcBorders>
            <w:noWrap/>
            <w:tcMar>
              <w:top w:w="0" w:type="dxa"/>
              <w:left w:w="70" w:type="dxa"/>
              <w:bottom w:w="0" w:type="dxa"/>
              <w:right w:w="70" w:type="dxa"/>
            </w:tcMar>
            <w:vAlign w:val="center"/>
            <w:hideMark/>
          </w:tcPr>
          <w:p w14:paraId="2A6592E7" w14:textId="77777777" w:rsidR="00330702" w:rsidRPr="00617C0B" w:rsidRDefault="00330702" w:rsidP="00330702">
            <w:pPr>
              <w:spacing w:after="0" w:line="240" w:lineRule="auto"/>
              <w:ind w:firstLine="240"/>
              <w:jc w:val="right"/>
              <w:rPr>
                <w:rFonts w:ascii="Times New Roman" w:eastAsia="Calibri" w:hAnsi="Times New Roman" w:cs="Times New Roman"/>
                <w:color w:val="000000"/>
                <w:sz w:val="20"/>
                <w:szCs w:val="20"/>
                <w:lang w:eastAsia="cs-CZ"/>
              </w:rPr>
            </w:pPr>
            <w:r w:rsidRPr="0045651A">
              <w:rPr>
                <w:rFonts w:ascii="Times New Roman" w:eastAsia="Calibri" w:hAnsi="Times New Roman" w:cs="Times New Roman"/>
                <w:color w:val="000000"/>
                <w:sz w:val="20"/>
                <w:szCs w:val="20"/>
                <w:lang w:eastAsia="cs-CZ"/>
              </w:rPr>
              <w:t>36 000</w:t>
            </w:r>
          </w:p>
        </w:tc>
      </w:tr>
      <w:tr w:rsidR="00D32915" w:rsidRPr="001B12F8" w14:paraId="24007722" w14:textId="77777777" w:rsidTr="00D32915">
        <w:trPr>
          <w:trHeight w:val="765"/>
        </w:trPr>
        <w:tc>
          <w:tcPr>
            <w:tcW w:w="2710" w:type="pct"/>
            <w:gridSpan w:val="2"/>
            <w:tcBorders>
              <w:top w:val="nil"/>
              <w:left w:val="single" w:sz="12" w:space="0" w:color="auto"/>
              <w:bottom w:val="single" w:sz="12" w:space="0" w:color="auto"/>
              <w:right w:val="single" w:sz="8" w:space="0" w:color="000000"/>
            </w:tcBorders>
            <w:noWrap/>
            <w:tcMar>
              <w:top w:w="0" w:type="dxa"/>
              <w:left w:w="70" w:type="dxa"/>
              <w:bottom w:w="0" w:type="dxa"/>
              <w:right w:w="70" w:type="dxa"/>
            </w:tcMar>
            <w:vAlign w:val="center"/>
            <w:hideMark/>
          </w:tcPr>
          <w:p w14:paraId="388DE453" w14:textId="77777777" w:rsidR="00330702" w:rsidRPr="00617C0B" w:rsidRDefault="00330702" w:rsidP="00330702">
            <w:pPr>
              <w:spacing w:after="0" w:line="240" w:lineRule="auto"/>
              <w:ind w:firstLine="241"/>
              <w:rPr>
                <w:rFonts w:ascii="Times New Roman" w:eastAsia="Calibri" w:hAnsi="Times New Roman" w:cs="Times New Roman"/>
                <w:b/>
                <w:bCs/>
                <w:color w:val="000000"/>
                <w:sz w:val="20"/>
                <w:szCs w:val="20"/>
                <w:u w:val="single"/>
                <w:lang w:eastAsia="cs-CZ"/>
              </w:rPr>
            </w:pPr>
            <w:r w:rsidRPr="00617C0B">
              <w:rPr>
                <w:rFonts w:ascii="Times New Roman" w:eastAsia="Calibri" w:hAnsi="Times New Roman" w:cs="Times New Roman"/>
                <w:b/>
                <w:bCs/>
                <w:color w:val="000000"/>
                <w:sz w:val="20"/>
                <w:szCs w:val="20"/>
                <w:u w:val="single"/>
                <w:lang w:eastAsia="cs-CZ"/>
              </w:rPr>
              <w:t>Jednorázové celkové výdaje na všechny pracovníky</w:t>
            </w:r>
          </w:p>
        </w:tc>
        <w:tc>
          <w:tcPr>
            <w:tcW w:w="763" w:type="pct"/>
            <w:tcBorders>
              <w:top w:val="single" w:sz="8" w:space="0" w:color="auto"/>
              <w:left w:val="nil"/>
              <w:bottom w:val="single" w:sz="12" w:space="0" w:color="auto"/>
              <w:right w:val="single" w:sz="8" w:space="0" w:color="auto"/>
            </w:tcBorders>
            <w:noWrap/>
            <w:tcMar>
              <w:top w:w="0" w:type="dxa"/>
              <w:left w:w="70" w:type="dxa"/>
              <w:bottom w:w="0" w:type="dxa"/>
              <w:right w:w="70" w:type="dxa"/>
            </w:tcMar>
            <w:vAlign w:val="center"/>
            <w:hideMark/>
          </w:tcPr>
          <w:p w14:paraId="367D25EF" w14:textId="77777777" w:rsidR="00330702" w:rsidRPr="00617C0B" w:rsidRDefault="00330702" w:rsidP="00330702">
            <w:pPr>
              <w:spacing w:after="0" w:line="240" w:lineRule="auto"/>
              <w:jc w:val="center"/>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X</w:t>
            </w:r>
          </w:p>
        </w:tc>
        <w:tc>
          <w:tcPr>
            <w:tcW w:w="766" w:type="pct"/>
            <w:tcBorders>
              <w:top w:val="single" w:sz="8" w:space="0" w:color="auto"/>
              <w:left w:val="nil"/>
              <w:bottom w:val="single" w:sz="12" w:space="0" w:color="auto"/>
              <w:right w:val="single" w:sz="8" w:space="0" w:color="auto"/>
            </w:tcBorders>
            <w:noWrap/>
            <w:tcMar>
              <w:top w:w="0" w:type="dxa"/>
              <w:left w:w="70" w:type="dxa"/>
              <w:bottom w:w="0" w:type="dxa"/>
              <w:right w:w="70" w:type="dxa"/>
            </w:tcMar>
            <w:vAlign w:val="center"/>
            <w:hideMark/>
          </w:tcPr>
          <w:p w14:paraId="7A251D3C" w14:textId="77777777" w:rsidR="00330702" w:rsidRPr="00617C0B" w:rsidRDefault="00330702" w:rsidP="00330702">
            <w:pPr>
              <w:spacing w:after="0" w:line="240" w:lineRule="auto"/>
              <w:jc w:val="center"/>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X</w:t>
            </w:r>
          </w:p>
        </w:tc>
        <w:tc>
          <w:tcPr>
            <w:tcW w:w="761" w:type="pct"/>
            <w:tcBorders>
              <w:top w:val="single" w:sz="8" w:space="0" w:color="auto"/>
              <w:left w:val="nil"/>
              <w:bottom w:val="single" w:sz="12" w:space="0" w:color="auto"/>
              <w:right w:val="single" w:sz="12" w:space="0" w:color="auto"/>
            </w:tcBorders>
            <w:noWrap/>
            <w:tcMar>
              <w:top w:w="0" w:type="dxa"/>
              <w:left w:w="70" w:type="dxa"/>
              <w:bottom w:w="0" w:type="dxa"/>
              <w:right w:w="70" w:type="dxa"/>
            </w:tcMar>
            <w:vAlign w:val="center"/>
            <w:hideMark/>
          </w:tcPr>
          <w:p w14:paraId="7CDF77B6" w14:textId="77777777" w:rsidR="00330702" w:rsidRPr="00617C0B" w:rsidRDefault="00330702" w:rsidP="00330702">
            <w:pPr>
              <w:spacing w:after="0" w:line="240" w:lineRule="auto"/>
              <w:ind w:firstLine="241"/>
              <w:jc w:val="right"/>
              <w:rPr>
                <w:rFonts w:ascii="Times New Roman" w:eastAsia="Calibri" w:hAnsi="Times New Roman" w:cs="Times New Roman"/>
                <w:b/>
                <w:bCs/>
                <w:color w:val="000000"/>
                <w:sz w:val="20"/>
                <w:szCs w:val="20"/>
                <w:lang w:eastAsia="cs-CZ"/>
              </w:rPr>
            </w:pPr>
            <w:r w:rsidRPr="00617C0B">
              <w:rPr>
                <w:rFonts w:ascii="Times New Roman" w:eastAsia="Calibri" w:hAnsi="Times New Roman" w:cs="Times New Roman"/>
                <w:b/>
                <w:bCs/>
                <w:color w:val="000000"/>
                <w:sz w:val="20"/>
                <w:szCs w:val="20"/>
                <w:lang w:eastAsia="cs-CZ"/>
              </w:rPr>
              <w:t>11 520 000</w:t>
            </w:r>
          </w:p>
        </w:tc>
      </w:tr>
    </w:tbl>
    <w:p w14:paraId="40E70A20" w14:textId="77777777" w:rsidR="00DE234F" w:rsidRPr="002840FC" w:rsidRDefault="00DE234F" w:rsidP="00DE234F">
      <w:pPr>
        <w:spacing w:before="120" w:after="0" w:line="240" w:lineRule="auto"/>
        <w:jc w:val="both"/>
        <w:rPr>
          <w:rFonts w:ascii="Times New Roman" w:hAnsi="Times New Roman"/>
          <w:iCs/>
          <w:color w:val="000000"/>
          <w:sz w:val="24"/>
          <w:szCs w:val="24"/>
        </w:rPr>
      </w:pPr>
      <w:r>
        <w:rPr>
          <w:rFonts w:ascii="Times New Roman" w:hAnsi="Times New Roman"/>
          <w:sz w:val="24"/>
          <w:szCs w:val="24"/>
        </w:rPr>
        <w:t xml:space="preserve">V </w:t>
      </w:r>
      <w:r w:rsidRPr="0004360C">
        <w:rPr>
          <w:rFonts w:ascii="Times New Roman" w:hAnsi="Times New Roman"/>
          <w:sz w:val="24"/>
          <w:szCs w:val="24"/>
        </w:rPr>
        <w:t xml:space="preserve">přechodné době budou </w:t>
      </w:r>
      <w:r>
        <w:rPr>
          <w:rFonts w:ascii="Times New Roman" w:hAnsi="Times New Roman"/>
          <w:sz w:val="24"/>
          <w:szCs w:val="24"/>
        </w:rPr>
        <w:t xml:space="preserve">většinu </w:t>
      </w:r>
      <w:r w:rsidRPr="0004360C">
        <w:rPr>
          <w:rFonts w:ascii="Times New Roman" w:hAnsi="Times New Roman"/>
          <w:sz w:val="24"/>
          <w:szCs w:val="24"/>
        </w:rPr>
        <w:t>justiční</w:t>
      </w:r>
      <w:r>
        <w:rPr>
          <w:rFonts w:ascii="Times New Roman" w:hAnsi="Times New Roman"/>
          <w:sz w:val="24"/>
          <w:szCs w:val="24"/>
        </w:rPr>
        <w:t>ch pohledávek</w:t>
      </w:r>
      <w:r w:rsidRPr="0004360C">
        <w:rPr>
          <w:rFonts w:ascii="Times New Roman" w:hAnsi="Times New Roman"/>
          <w:sz w:val="24"/>
          <w:szCs w:val="24"/>
        </w:rPr>
        <w:t>, které vznikly přede dnem na</w:t>
      </w:r>
      <w:r>
        <w:rPr>
          <w:rFonts w:ascii="Times New Roman" w:hAnsi="Times New Roman"/>
          <w:sz w:val="24"/>
          <w:szCs w:val="24"/>
        </w:rPr>
        <w:t xml:space="preserve">bytí </w:t>
      </w:r>
      <w:r w:rsidRPr="00895B2C">
        <w:rPr>
          <w:rFonts w:ascii="Times New Roman" w:hAnsi="Times New Roman"/>
          <w:sz w:val="24"/>
          <w:szCs w:val="24"/>
        </w:rPr>
        <w:t>účinnosti tohoto zákona</w:t>
      </w:r>
      <w:r w:rsidRPr="004B650C">
        <w:rPr>
          <w:rFonts w:ascii="Times New Roman" w:hAnsi="Times New Roman"/>
          <w:sz w:val="24"/>
          <w:szCs w:val="24"/>
        </w:rPr>
        <w:t xml:space="preserve"> i nadále vymáhat orgány justice, z toho důvodu dojde k přesunu zaměstnanců v průběhu prvních dvou let účinnosti legislativní změny.</w:t>
      </w:r>
    </w:p>
    <w:p w14:paraId="7A7C3EFE" w14:textId="77777777" w:rsidR="00DE234F" w:rsidRDefault="00DE234F" w:rsidP="00DE234F">
      <w:pPr>
        <w:spacing w:before="120" w:after="0" w:line="240" w:lineRule="auto"/>
        <w:jc w:val="both"/>
        <w:rPr>
          <w:rFonts w:ascii="Times New Roman" w:hAnsi="Times New Roman"/>
          <w:iCs/>
          <w:color w:val="000000"/>
          <w:sz w:val="24"/>
          <w:szCs w:val="24"/>
        </w:rPr>
      </w:pPr>
      <w:r w:rsidRPr="002840FC">
        <w:rPr>
          <w:rFonts w:ascii="Times New Roman" w:hAnsi="Times New Roman"/>
          <w:iCs/>
          <w:color w:val="000000"/>
          <w:sz w:val="24"/>
          <w:szCs w:val="24"/>
        </w:rPr>
        <w:t xml:space="preserve">V souvislosti s přesunem agendy vymáhání pohledávek na Celní správu bude převedeno prvním rokem účinnosti legislativní změny celkem </w:t>
      </w:r>
      <w:r>
        <w:rPr>
          <w:rFonts w:ascii="Times New Roman" w:hAnsi="Times New Roman"/>
          <w:iCs/>
          <w:color w:val="000000"/>
          <w:sz w:val="24"/>
          <w:szCs w:val="24"/>
        </w:rPr>
        <w:t>6</w:t>
      </w:r>
      <w:r w:rsidRPr="002840FC">
        <w:rPr>
          <w:rFonts w:ascii="Times New Roman" w:hAnsi="Times New Roman"/>
          <w:iCs/>
          <w:color w:val="000000"/>
          <w:sz w:val="24"/>
          <w:szCs w:val="24"/>
        </w:rPr>
        <w:t>7 míst zaměstnanců soudů s tím,</w:t>
      </w:r>
      <w:r>
        <w:rPr>
          <w:rFonts w:ascii="Times New Roman" w:hAnsi="Times New Roman"/>
          <w:iCs/>
          <w:color w:val="000000"/>
          <w:sz w:val="24"/>
          <w:szCs w:val="24"/>
        </w:rPr>
        <w:t> </w:t>
      </w:r>
      <w:r w:rsidRPr="002840FC">
        <w:rPr>
          <w:rFonts w:ascii="Times New Roman" w:hAnsi="Times New Roman"/>
          <w:iCs/>
          <w:color w:val="000000"/>
          <w:sz w:val="24"/>
          <w:szCs w:val="24"/>
        </w:rPr>
        <w:t>že</w:t>
      </w:r>
      <w:r>
        <w:rPr>
          <w:rFonts w:ascii="Times New Roman" w:hAnsi="Times New Roman"/>
          <w:iCs/>
          <w:color w:val="000000"/>
          <w:sz w:val="24"/>
          <w:szCs w:val="24"/>
        </w:rPr>
        <w:t> </w:t>
      </w:r>
      <w:r w:rsidRPr="002840FC">
        <w:rPr>
          <w:rFonts w:ascii="Times New Roman" w:hAnsi="Times New Roman"/>
          <w:iCs/>
          <w:color w:val="000000"/>
          <w:sz w:val="24"/>
          <w:szCs w:val="24"/>
        </w:rPr>
        <w:t>k datu 1.</w:t>
      </w:r>
      <w:r>
        <w:rPr>
          <w:rFonts w:ascii="Times New Roman" w:hAnsi="Times New Roman"/>
          <w:iCs/>
          <w:color w:val="000000"/>
          <w:sz w:val="24"/>
          <w:szCs w:val="24"/>
        </w:rPr>
        <w:t xml:space="preserve"> ledna</w:t>
      </w:r>
      <w:r w:rsidRPr="002840FC">
        <w:rPr>
          <w:rFonts w:ascii="Times New Roman" w:hAnsi="Times New Roman"/>
          <w:iCs/>
          <w:color w:val="000000"/>
          <w:sz w:val="24"/>
          <w:szCs w:val="24"/>
        </w:rPr>
        <w:t xml:space="preserve"> bude převedeno 33 míst a k datu 1.</w:t>
      </w:r>
      <w:r>
        <w:rPr>
          <w:rFonts w:ascii="Times New Roman" w:hAnsi="Times New Roman"/>
          <w:iCs/>
          <w:color w:val="000000"/>
          <w:sz w:val="24"/>
          <w:szCs w:val="24"/>
        </w:rPr>
        <w:t xml:space="preserve"> června</w:t>
      </w:r>
      <w:r w:rsidRPr="002840FC">
        <w:rPr>
          <w:rFonts w:ascii="Times New Roman" w:hAnsi="Times New Roman"/>
          <w:iCs/>
          <w:color w:val="000000"/>
          <w:sz w:val="24"/>
          <w:szCs w:val="24"/>
        </w:rPr>
        <w:t xml:space="preserve"> 34 míst zaměstnanců. </w:t>
      </w:r>
      <w:r w:rsidRPr="002840FC">
        <w:rPr>
          <w:rFonts w:ascii="Times New Roman" w:hAnsi="Times New Roman"/>
          <w:iCs/>
          <w:color w:val="000000"/>
          <w:sz w:val="24"/>
          <w:szCs w:val="24"/>
        </w:rPr>
        <w:lastRenderedPageBreak/>
        <w:t>Následující rok bud</w:t>
      </w:r>
      <w:r>
        <w:rPr>
          <w:rFonts w:ascii="Times New Roman" w:hAnsi="Times New Roman"/>
          <w:iCs/>
          <w:color w:val="000000"/>
          <w:sz w:val="24"/>
          <w:szCs w:val="24"/>
        </w:rPr>
        <w:t>e</w:t>
      </w:r>
      <w:r w:rsidRPr="002840FC">
        <w:rPr>
          <w:rFonts w:ascii="Times New Roman" w:hAnsi="Times New Roman"/>
          <w:iCs/>
          <w:color w:val="000000"/>
          <w:sz w:val="24"/>
          <w:szCs w:val="24"/>
        </w:rPr>
        <w:t xml:space="preserve"> převedeno zbylých 53 míst, přičemž k 1.</w:t>
      </w:r>
      <w:r>
        <w:rPr>
          <w:rFonts w:ascii="Times New Roman" w:hAnsi="Times New Roman"/>
          <w:iCs/>
          <w:color w:val="000000"/>
          <w:sz w:val="24"/>
          <w:szCs w:val="24"/>
        </w:rPr>
        <w:t xml:space="preserve"> lednu se bude jednat o 25 míst a </w:t>
      </w:r>
      <w:r w:rsidRPr="002840FC">
        <w:rPr>
          <w:rFonts w:ascii="Times New Roman" w:hAnsi="Times New Roman"/>
          <w:iCs/>
          <w:color w:val="000000"/>
          <w:sz w:val="24"/>
          <w:szCs w:val="24"/>
        </w:rPr>
        <w:t>k 1.</w:t>
      </w:r>
      <w:r>
        <w:rPr>
          <w:rFonts w:ascii="Times New Roman" w:hAnsi="Times New Roman"/>
          <w:iCs/>
          <w:color w:val="000000"/>
          <w:sz w:val="24"/>
          <w:szCs w:val="24"/>
        </w:rPr>
        <w:t> červnu</w:t>
      </w:r>
      <w:r w:rsidRPr="002840FC">
        <w:rPr>
          <w:rFonts w:ascii="Times New Roman" w:hAnsi="Times New Roman"/>
          <w:iCs/>
          <w:color w:val="000000"/>
          <w:sz w:val="24"/>
          <w:szCs w:val="24"/>
        </w:rPr>
        <w:t xml:space="preserve"> o 28 míst. Veškerá místa budou přesunuta včetně prostředků na platy</w:t>
      </w:r>
      <w:r>
        <w:rPr>
          <w:rFonts w:ascii="Times New Roman" w:hAnsi="Times New Roman"/>
          <w:iCs/>
          <w:color w:val="000000"/>
          <w:sz w:val="24"/>
          <w:szCs w:val="24"/>
        </w:rPr>
        <w:t xml:space="preserve"> a </w:t>
      </w:r>
      <w:r w:rsidRPr="002840FC">
        <w:rPr>
          <w:rFonts w:ascii="Times New Roman" w:hAnsi="Times New Roman"/>
          <w:iCs/>
          <w:color w:val="000000"/>
          <w:sz w:val="24"/>
          <w:szCs w:val="24"/>
        </w:rPr>
        <w:t>souvisejících výdajů (viz tabulka výše). V daných přesunech se jedná o tabulková místa, nebude tedy docházet k přesunu konkrétních zaměstnanců. Zároveň v této věci poskytne Ministerstvo spravedlnosti požadované běžné provozní výdaje ve výši 29 757 Kč na</w:t>
      </w:r>
      <w:r>
        <w:rPr>
          <w:rFonts w:ascii="Times New Roman" w:hAnsi="Times New Roman"/>
          <w:iCs/>
          <w:color w:val="000000"/>
          <w:sz w:val="24"/>
          <w:szCs w:val="24"/>
        </w:rPr>
        <w:t> </w:t>
      </w:r>
      <w:r w:rsidRPr="002840FC">
        <w:rPr>
          <w:rFonts w:ascii="Times New Roman" w:hAnsi="Times New Roman"/>
          <w:iCs/>
          <w:color w:val="000000"/>
          <w:sz w:val="24"/>
          <w:szCs w:val="24"/>
        </w:rPr>
        <w:t>zaměstnance a rok</w:t>
      </w:r>
      <w:r>
        <w:rPr>
          <w:rFonts w:ascii="Times New Roman" w:hAnsi="Times New Roman"/>
          <w:iCs/>
          <w:color w:val="000000"/>
          <w:sz w:val="24"/>
          <w:szCs w:val="24"/>
        </w:rPr>
        <w:t>. Tato částka bude převedena jako trvalá změna; k přesunu prostředků tedy dojde pro určený rok a všechny následující roky. Dále budou ze strany Ministerstva spravedlnosti převedeny j</w:t>
      </w:r>
      <w:r w:rsidRPr="002840FC">
        <w:rPr>
          <w:rFonts w:ascii="Times New Roman" w:hAnsi="Times New Roman"/>
          <w:iCs/>
          <w:color w:val="000000"/>
          <w:sz w:val="24"/>
          <w:szCs w:val="24"/>
        </w:rPr>
        <w:t xml:space="preserve">ednorázové náklady ve výši 96 000 Kč na zaměstnance. </w:t>
      </w:r>
    </w:p>
    <w:p w14:paraId="0B89A085" w14:textId="77777777" w:rsidR="00DE234F" w:rsidRDefault="00DE234F" w:rsidP="00DE234F">
      <w:pPr>
        <w:spacing w:before="120" w:after="0" w:line="240" w:lineRule="auto"/>
        <w:jc w:val="both"/>
        <w:rPr>
          <w:rFonts w:ascii="Times New Roman" w:hAnsi="Times New Roman"/>
          <w:sz w:val="24"/>
          <w:szCs w:val="24"/>
        </w:rPr>
      </w:pPr>
      <w:r w:rsidRPr="002840FC">
        <w:rPr>
          <w:rFonts w:ascii="Times New Roman" w:hAnsi="Times New Roman"/>
          <w:iCs/>
          <w:color w:val="000000"/>
          <w:sz w:val="24"/>
          <w:szCs w:val="24"/>
        </w:rPr>
        <w:t>Převod pohledávek na Celní správu bude mít dále dopad do příjmů kapitoly Ministerstva spravedlnosti. V této souvislosti bude nutné snížení rozpočtu příjmů Ministerstva spravedlnost</w:t>
      </w:r>
      <w:r w:rsidR="00B174BE">
        <w:rPr>
          <w:rFonts w:ascii="Times New Roman" w:hAnsi="Times New Roman"/>
          <w:iCs/>
          <w:color w:val="000000"/>
          <w:sz w:val="24"/>
          <w:szCs w:val="24"/>
        </w:rPr>
        <w:t>i</w:t>
      </w:r>
      <w:r>
        <w:rPr>
          <w:rFonts w:ascii="Times New Roman" w:hAnsi="Times New Roman"/>
          <w:iCs/>
          <w:color w:val="000000"/>
          <w:sz w:val="24"/>
          <w:szCs w:val="24"/>
        </w:rPr>
        <w:t>, jehož rozsah se na základě ročních Zpráv o vymáhání pohledávek zpracovávaných odborem právním Ministerstva spravedlnosti odhaduje</w:t>
      </w:r>
      <w:r w:rsidRPr="002840FC">
        <w:rPr>
          <w:rFonts w:ascii="Times New Roman" w:hAnsi="Times New Roman"/>
          <w:iCs/>
          <w:color w:val="000000"/>
          <w:sz w:val="24"/>
          <w:szCs w:val="24"/>
        </w:rPr>
        <w:t xml:space="preserve"> </w:t>
      </w:r>
      <w:r>
        <w:rPr>
          <w:rFonts w:ascii="Times New Roman" w:hAnsi="Times New Roman"/>
          <w:iCs/>
          <w:color w:val="000000"/>
          <w:sz w:val="24"/>
          <w:szCs w:val="24"/>
        </w:rPr>
        <w:t>na</w:t>
      </w:r>
      <w:r w:rsidRPr="002840FC">
        <w:rPr>
          <w:rFonts w:ascii="Times New Roman" w:hAnsi="Times New Roman"/>
          <w:iCs/>
          <w:color w:val="000000"/>
          <w:sz w:val="24"/>
          <w:szCs w:val="24"/>
        </w:rPr>
        <w:t xml:space="preserve"> 268 mil. Kč v</w:t>
      </w:r>
      <w:r>
        <w:rPr>
          <w:rFonts w:ascii="Times New Roman" w:hAnsi="Times New Roman"/>
          <w:iCs/>
          <w:color w:val="000000"/>
          <w:sz w:val="24"/>
          <w:szCs w:val="24"/>
        </w:rPr>
        <w:t> </w:t>
      </w:r>
      <w:r w:rsidRPr="002840FC">
        <w:rPr>
          <w:rFonts w:ascii="Times New Roman" w:hAnsi="Times New Roman"/>
          <w:iCs/>
          <w:color w:val="000000"/>
          <w:sz w:val="24"/>
          <w:szCs w:val="24"/>
        </w:rPr>
        <w:t>prvním roce účinnosti, 293</w:t>
      </w:r>
      <w:r>
        <w:rPr>
          <w:rFonts w:ascii="Times New Roman" w:hAnsi="Times New Roman"/>
          <w:iCs/>
          <w:color w:val="000000"/>
          <w:sz w:val="24"/>
          <w:szCs w:val="24"/>
        </w:rPr>
        <w:t xml:space="preserve"> mil. Kč ve druhém roce a 318 </w:t>
      </w:r>
      <w:r w:rsidRPr="002840FC">
        <w:rPr>
          <w:rFonts w:ascii="Times New Roman" w:hAnsi="Times New Roman"/>
          <w:iCs/>
          <w:color w:val="000000"/>
          <w:sz w:val="24"/>
          <w:szCs w:val="24"/>
        </w:rPr>
        <w:t>mil. Kč ve třetím roce (a</w:t>
      </w:r>
      <w:r>
        <w:rPr>
          <w:rFonts w:ascii="Times New Roman" w:hAnsi="Times New Roman"/>
          <w:iCs/>
          <w:color w:val="000000"/>
          <w:sz w:val="24"/>
          <w:szCs w:val="24"/>
        </w:rPr>
        <w:t> </w:t>
      </w:r>
      <w:r w:rsidRPr="002840FC">
        <w:rPr>
          <w:rFonts w:ascii="Times New Roman" w:hAnsi="Times New Roman"/>
          <w:iCs/>
          <w:color w:val="000000"/>
          <w:sz w:val="24"/>
          <w:szCs w:val="24"/>
        </w:rPr>
        <w:t>v</w:t>
      </w:r>
      <w:r>
        <w:rPr>
          <w:rFonts w:ascii="Times New Roman" w:hAnsi="Times New Roman"/>
          <w:iCs/>
          <w:color w:val="000000"/>
          <w:sz w:val="24"/>
          <w:szCs w:val="24"/>
        </w:rPr>
        <w:t> </w:t>
      </w:r>
      <w:r w:rsidRPr="002840FC">
        <w:rPr>
          <w:rFonts w:ascii="Times New Roman" w:hAnsi="Times New Roman"/>
          <w:iCs/>
          <w:color w:val="000000"/>
          <w:sz w:val="24"/>
          <w:szCs w:val="24"/>
        </w:rPr>
        <w:t>následujících letech) účinnosti novel příslušných právních předpisů. Snížení rozpočtu příjmů kapitoly Ministerstva spravedlnosti by mělo být kompenzováno navýšením příjmů Celní správy, resp. Ministerstva financí. Veškeré příslušné přesuny příjmů i výdajů by měly být zahrn</w:t>
      </w:r>
      <w:r>
        <w:rPr>
          <w:rFonts w:ascii="Times New Roman" w:hAnsi="Times New Roman"/>
          <w:iCs/>
          <w:color w:val="000000"/>
          <w:sz w:val="24"/>
          <w:szCs w:val="24"/>
        </w:rPr>
        <w:t>uty v rámci přípravy rozpočtu a </w:t>
      </w:r>
      <w:r w:rsidRPr="002840FC">
        <w:rPr>
          <w:rFonts w:ascii="Times New Roman" w:hAnsi="Times New Roman"/>
          <w:iCs/>
          <w:color w:val="000000"/>
          <w:sz w:val="24"/>
          <w:szCs w:val="24"/>
        </w:rPr>
        <w:t>střednědobých výhledů.</w:t>
      </w:r>
    </w:p>
    <w:p w14:paraId="39DFC6BD" w14:textId="77777777" w:rsidR="00DE234F" w:rsidRPr="00B174BE" w:rsidRDefault="00DE234F" w:rsidP="00DE234F">
      <w:pPr>
        <w:pStyle w:val="Normlnweb"/>
        <w:spacing w:before="120" w:beforeAutospacing="0" w:after="0" w:afterAutospacing="0"/>
        <w:jc w:val="both"/>
        <w:rPr>
          <w:iCs/>
          <w:color w:val="000000"/>
          <w:u w:val="single"/>
        </w:rPr>
      </w:pPr>
      <w:r>
        <w:rPr>
          <w:iCs/>
          <w:color w:val="000000"/>
        </w:rPr>
        <w:t xml:space="preserve">Zvýšení personálních kapacit i objemu prostředků na platy zaměstnanců Celní správy bude realizováno výhradně na úkor personálních kapacit a objemu prostředků na platy rozpočtové kapitoly Ministerstva spravedlnosti. </w:t>
      </w:r>
      <w:r w:rsidRPr="00B174BE">
        <w:rPr>
          <w:iCs/>
          <w:color w:val="000000"/>
          <w:u w:val="single"/>
        </w:rPr>
        <w:t xml:space="preserve">Navrhovaná změna bude proto rozpočtově i personálně neutrální. </w:t>
      </w:r>
    </w:p>
    <w:p w14:paraId="58D811E2" w14:textId="77777777" w:rsidR="00DE234F" w:rsidRPr="0084012B" w:rsidRDefault="00DE234F" w:rsidP="00DE234F">
      <w:pPr>
        <w:pStyle w:val="Normlnweb"/>
        <w:spacing w:before="120" w:beforeAutospacing="0" w:after="0" w:afterAutospacing="0"/>
        <w:jc w:val="both"/>
        <w:rPr>
          <w:iCs/>
          <w:color w:val="000000"/>
        </w:rPr>
      </w:pPr>
      <w:r w:rsidRPr="000E3EDA">
        <w:rPr>
          <w:iCs/>
          <w:color w:val="000000"/>
        </w:rPr>
        <w:t xml:space="preserve">Po účinnosti předloženého zákona budou s ohledem na konstrukci přechodných ustanovení příjmem rozpočtu kapitoly Ministerstva spravedlnosti pouze příjmy z </w:t>
      </w:r>
      <w:r>
        <w:rPr>
          <w:iCs/>
          <w:color w:val="000000"/>
        </w:rPr>
        <w:t>peněžitých trestů a </w:t>
      </w:r>
      <w:r w:rsidRPr="000E3EDA">
        <w:rPr>
          <w:iCs/>
          <w:color w:val="000000"/>
        </w:rPr>
        <w:t>dalších pohledávek, které jsou předmětem předkládaného návrhu, bez ohledu na to, zda vznikly přede dnem nebo po dni nabytí účinnosti tohoto zákona, které se podaří vybrat</w:t>
      </w:r>
      <w:r>
        <w:rPr>
          <w:iCs/>
          <w:color w:val="000000"/>
        </w:rPr>
        <w:t xml:space="preserve"> (bude přijata jejich dobrovolná platba)</w:t>
      </w:r>
      <w:r w:rsidRPr="000E3EDA">
        <w:rPr>
          <w:iCs/>
          <w:color w:val="000000"/>
        </w:rPr>
        <w:t xml:space="preserve">, a dále pak částky vymožených peněžitých trestů a dalších pohledávek, které jsou předmětem předkládaného návrhu, které vznikly přede dnem nabytí účinnosti tohoto zákona. </w:t>
      </w:r>
      <w:r>
        <w:rPr>
          <w:iCs/>
          <w:color w:val="000000"/>
        </w:rPr>
        <w:t>Příjmy z pohledávek</w:t>
      </w:r>
      <w:r w:rsidRPr="00233730">
        <w:rPr>
          <w:iCs/>
          <w:color w:val="000000"/>
        </w:rPr>
        <w:t xml:space="preserve"> Věz</w:t>
      </w:r>
      <w:r>
        <w:rPr>
          <w:iCs/>
          <w:color w:val="000000"/>
        </w:rPr>
        <w:t>eňské služby vzniklých</w:t>
      </w:r>
      <w:r w:rsidRPr="00844B8A">
        <w:rPr>
          <w:iCs/>
          <w:color w:val="000000"/>
        </w:rPr>
        <w:t xml:space="preserve"> přede dnem účinnosti tohoto zákona však budou příjmem rozpočtu kapitoly Ministerstva spravedlnosti pouze v případě, že </w:t>
      </w:r>
      <w:r>
        <w:rPr>
          <w:iCs/>
          <w:color w:val="000000"/>
        </w:rPr>
        <w:t xml:space="preserve">tyto pohledávky </w:t>
      </w:r>
      <w:r w:rsidRPr="00844B8A">
        <w:rPr>
          <w:iCs/>
          <w:color w:val="000000"/>
        </w:rPr>
        <w:t>byly</w:t>
      </w:r>
      <w:r w:rsidRPr="0077312A">
        <w:rPr>
          <w:iCs/>
          <w:color w:val="000000"/>
        </w:rPr>
        <w:t xml:space="preserve"> p</w:t>
      </w:r>
      <w:r>
        <w:rPr>
          <w:iCs/>
          <w:color w:val="000000"/>
        </w:rPr>
        <w:t>ředány</w:t>
      </w:r>
      <w:r w:rsidRPr="00632371">
        <w:rPr>
          <w:iCs/>
          <w:color w:val="000000"/>
        </w:rPr>
        <w:t xml:space="preserve"> k vymáhání soudnímu exekutorovi.</w:t>
      </w:r>
    </w:p>
    <w:p w14:paraId="7432E10B" w14:textId="77777777" w:rsidR="00DE234F" w:rsidRPr="0084012B" w:rsidRDefault="00DE234F" w:rsidP="00DE234F">
      <w:pPr>
        <w:pStyle w:val="Normlnweb"/>
        <w:spacing w:before="120" w:beforeAutospacing="0" w:after="0" w:afterAutospacing="0"/>
        <w:jc w:val="both"/>
        <w:rPr>
          <w:iCs/>
          <w:color w:val="000000"/>
        </w:rPr>
      </w:pPr>
      <w:r w:rsidRPr="000E3EDA">
        <w:rPr>
          <w:iCs/>
          <w:color w:val="000000"/>
        </w:rPr>
        <w:t>Příjmem rozpočtu kapitoly Ministerstva financí pak budou vymožené peněžité tresty</w:t>
      </w:r>
      <w:r>
        <w:rPr>
          <w:iCs/>
          <w:color w:val="000000"/>
        </w:rPr>
        <w:t xml:space="preserve">, jež nejsou majetkovou trestní sankcí podle zákona č. </w:t>
      </w:r>
      <w:r w:rsidRPr="00EE6599">
        <w:rPr>
          <w:iCs/>
          <w:color w:val="000000"/>
        </w:rPr>
        <w:t>59/2017 Sb. o použití peněžních prostředků z</w:t>
      </w:r>
      <w:r w:rsidR="005B1645">
        <w:rPr>
          <w:iCs/>
          <w:color w:val="000000"/>
        </w:rPr>
        <w:t> </w:t>
      </w:r>
      <w:r w:rsidRPr="00EE6599">
        <w:rPr>
          <w:iCs/>
          <w:color w:val="000000"/>
        </w:rPr>
        <w:t>majetkových trestních sankcí uložených v trestním řízení a o změně některých zákonů</w:t>
      </w:r>
      <w:r>
        <w:rPr>
          <w:iCs/>
          <w:color w:val="000000"/>
        </w:rPr>
        <w:t>,</w:t>
      </w:r>
      <w:r>
        <w:rPr>
          <w:rStyle w:val="Znakapoznpodarou"/>
          <w:iCs/>
          <w:color w:val="000000"/>
        </w:rPr>
        <w:footnoteReference w:id="1"/>
      </w:r>
      <w:r>
        <w:rPr>
          <w:iCs/>
          <w:color w:val="000000"/>
        </w:rPr>
        <w:t> a</w:t>
      </w:r>
      <w:r>
        <w:rPr>
          <w:rStyle w:val="Odkaznakoment"/>
          <w:rFonts w:ascii="Calibri" w:eastAsia="Calibri" w:hAnsi="Calibri"/>
          <w:lang w:eastAsia="en-US"/>
        </w:rPr>
        <w:t> </w:t>
      </w:r>
      <w:r w:rsidRPr="000E3EDA">
        <w:rPr>
          <w:iCs/>
          <w:color w:val="000000"/>
        </w:rPr>
        <w:t>další pohledávky, které jsou předmětem předkládaného návrhu, které vznikly po dni nabytí účinnosti tohoto zákona, popř. vymožené pohledávky Vězeňské služby, které jsou předmětem předkládaného návrhu, s výjimkou pohledávek vzniklých přede dnem účinnosti tohoto zákona předaných k vymáhání soudnímu exekutorovi.</w:t>
      </w:r>
    </w:p>
    <w:p w14:paraId="5EF049F2" w14:textId="77777777" w:rsidR="00DE234F" w:rsidRDefault="00DE234F" w:rsidP="00DE234F">
      <w:pPr>
        <w:autoSpaceDE w:val="0"/>
        <w:autoSpaceDN w:val="0"/>
        <w:adjustRightInd w:val="0"/>
        <w:spacing w:before="120" w:after="0" w:line="240" w:lineRule="auto"/>
        <w:jc w:val="both"/>
        <w:rPr>
          <w:rFonts w:ascii="Times New Roman" w:hAnsi="Times New Roman"/>
          <w:sz w:val="24"/>
          <w:szCs w:val="24"/>
        </w:rPr>
      </w:pPr>
      <w:r w:rsidRPr="0004360C">
        <w:rPr>
          <w:rFonts w:ascii="Times New Roman" w:hAnsi="Times New Roman"/>
          <w:sz w:val="24"/>
          <w:szCs w:val="24"/>
        </w:rPr>
        <w:t>Dopady na ostatní veřejné rozpočty se neočekávají.</w:t>
      </w:r>
      <w:r>
        <w:rPr>
          <w:rFonts w:ascii="Times New Roman" w:hAnsi="Times New Roman"/>
          <w:sz w:val="24"/>
          <w:szCs w:val="24"/>
        </w:rPr>
        <w:t xml:space="preserve"> </w:t>
      </w:r>
    </w:p>
    <w:p w14:paraId="4351B8EF" w14:textId="77777777" w:rsidR="00B174BE" w:rsidRDefault="00B174BE" w:rsidP="00B94525">
      <w:pPr>
        <w:autoSpaceDE w:val="0"/>
        <w:autoSpaceDN w:val="0"/>
        <w:adjustRightInd w:val="0"/>
        <w:spacing w:before="120" w:after="0" w:line="240" w:lineRule="auto"/>
        <w:jc w:val="both"/>
        <w:rPr>
          <w:rFonts w:ascii="Times New Roman" w:hAnsi="Times New Roman" w:cs="Times New Roman"/>
          <w:b/>
          <w:sz w:val="24"/>
          <w:szCs w:val="24"/>
          <w:lang w:eastAsia="cs-CZ"/>
        </w:rPr>
      </w:pPr>
    </w:p>
    <w:p w14:paraId="31307182" w14:textId="77777777" w:rsidR="00FC7E65" w:rsidRDefault="00FC7E65" w:rsidP="00B94525">
      <w:pPr>
        <w:autoSpaceDE w:val="0"/>
        <w:autoSpaceDN w:val="0"/>
        <w:adjustRightInd w:val="0"/>
        <w:spacing w:before="120" w:after="0" w:line="240" w:lineRule="auto"/>
        <w:jc w:val="both"/>
        <w:rPr>
          <w:rFonts w:ascii="Times New Roman" w:hAnsi="Times New Roman" w:cs="Times New Roman"/>
          <w:b/>
          <w:sz w:val="24"/>
          <w:szCs w:val="24"/>
          <w:lang w:eastAsia="cs-CZ"/>
        </w:rPr>
      </w:pPr>
    </w:p>
    <w:p w14:paraId="2A7F430C" w14:textId="77777777" w:rsidR="00FC7E65" w:rsidRDefault="00FC7E65" w:rsidP="00B94525">
      <w:pPr>
        <w:autoSpaceDE w:val="0"/>
        <w:autoSpaceDN w:val="0"/>
        <w:adjustRightInd w:val="0"/>
        <w:spacing w:before="120" w:after="0" w:line="240" w:lineRule="auto"/>
        <w:jc w:val="both"/>
        <w:rPr>
          <w:rFonts w:ascii="Times New Roman" w:hAnsi="Times New Roman" w:cs="Times New Roman"/>
          <w:b/>
          <w:sz w:val="24"/>
          <w:szCs w:val="24"/>
          <w:lang w:eastAsia="cs-CZ"/>
        </w:rPr>
      </w:pPr>
    </w:p>
    <w:p w14:paraId="6F3BED63" w14:textId="77777777" w:rsidR="00FC7E65" w:rsidRDefault="00FC7E65" w:rsidP="00B94525">
      <w:pPr>
        <w:autoSpaceDE w:val="0"/>
        <w:autoSpaceDN w:val="0"/>
        <w:adjustRightInd w:val="0"/>
        <w:spacing w:before="120" w:after="0" w:line="240" w:lineRule="auto"/>
        <w:jc w:val="both"/>
        <w:rPr>
          <w:rFonts w:ascii="Times New Roman" w:hAnsi="Times New Roman" w:cs="Times New Roman"/>
          <w:b/>
          <w:sz w:val="24"/>
          <w:szCs w:val="24"/>
          <w:lang w:eastAsia="cs-CZ"/>
        </w:rPr>
      </w:pPr>
    </w:p>
    <w:p w14:paraId="690EDA7C" w14:textId="77777777" w:rsidR="00B94525" w:rsidRPr="00C73914" w:rsidRDefault="00B94525" w:rsidP="00B94525">
      <w:pPr>
        <w:autoSpaceDE w:val="0"/>
        <w:autoSpaceDN w:val="0"/>
        <w:adjustRightInd w:val="0"/>
        <w:spacing w:before="120" w:after="0" w:line="240" w:lineRule="auto"/>
        <w:jc w:val="both"/>
        <w:rPr>
          <w:rFonts w:ascii="Times New Roman" w:hAnsi="Times New Roman" w:cs="Times New Roman"/>
          <w:b/>
          <w:sz w:val="24"/>
          <w:szCs w:val="24"/>
          <w:lang w:eastAsia="cs-CZ"/>
        </w:rPr>
      </w:pPr>
      <w:r w:rsidRPr="00C73914">
        <w:rPr>
          <w:rFonts w:ascii="Times New Roman" w:hAnsi="Times New Roman" w:cs="Times New Roman"/>
          <w:b/>
          <w:sz w:val="24"/>
          <w:szCs w:val="24"/>
          <w:lang w:eastAsia="cs-CZ"/>
        </w:rPr>
        <w:lastRenderedPageBreak/>
        <w:t>Předpokládaný hospodářský a finanční dopad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79E0BA0F" w14:textId="77777777" w:rsidR="00B94525" w:rsidRPr="00A4461A" w:rsidRDefault="00B94525" w:rsidP="00B94525">
      <w:pPr>
        <w:spacing w:before="120" w:after="0" w:line="240" w:lineRule="auto"/>
        <w:jc w:val="both"/>
        <w:rPr>
          <w:rFonts w:ascii="Times New Roman" w:hAnsi="Times New Roman" w:cs="Times New Roman"/>
          <w:sz w:val="24"/>
          <w:szCs w:val="24"/>
        </w:rPr>
      </w:pPr>
      <w:r w:rsidRPr="00A4461A">
        <w:rPr>
          <w:rFonts w:ascii="Times New Roman" w:hAnsi="Times New Roman" w:cs="Times New Roman"/>
          <w:sz w:val="24"/>
          <w:szCs w:val="24"/>
        </w:rPr>
        <w:t>Navržená právní úprava není spojena s dopady na podnikatels</w:t>
      </w:r>
      <w:r w:rsidR="00756F80">
        <w:rPr>
          <w:rFonts w:ascii="Times New Roman" w:hAnsi="Times New Roman" w:cs="Times New Roman"/>
          <w:sz w:val="24"/>
          <w:szCs w:val="24"/>
        </w:rPr>
        <w:t>ké prostředí v České republice, </w:t>
      </w:r>
      <w:r w:rsidRPr="00A4461A">
        <w:rPr>
          <w:rFonts w:ascii="Times New Roman" w:hAnsi="Times New Roman" w:cs="Times New Roman"/>
          <w:sz w:val="24"/>
          <w:szCs w:val="24"/>
        </w:rPr>
        <w:t xml:space="preserve">dílčí dopad bude mít pouze na ty exekutory, kteří </w:t>
      </w:r>
      <w:r w:rsidR="00756F80">
        <w:rPr>
          <w:rFonts w:ascii="Times New Roman" w:hAnsi="Times New Roman" w:cs="Times New Roman"/>
          <w:sz w:val="24"/>
          <w:szCs w:val="24"/>
        </w:rPr>
        <w:t>dnes vymáhají pohledávky soudů, </w:t>
      </w:r>
      <w:r w:rsidRPr="00A4461A">
        <w:rPr>
          <w:rFonts w:ascii="Times New Roman" w:hAnsi="Times New Roman" w:cs="Times New Roman"/>
          <w:sz w:val="24"/>
          <w:szCs w:val="24"/>
        </w:rPr>
        <w:t xml:space="preserve">státních zastupitelství či věznic, které podléhají daňovému režimu. </w:t>
      </w:r>
    </w:p>
    <w:p w14:paraId="3D4ECAAF" w14:textId="77777777" w:rsidR="0070557A" w:rsidRPr="00A4461A" w:rsidRDefault="0070557A" w:rsidP="00B94525">
      <w:pPr>
        <w:spacing w:before="120" w:after="0" w:line="240" w:lineRule="auto"/>
        <w:jc w:val="both"/>
        <w:rPr>
          <w:rFonts w:ascii="Times New Roman" w:hAnsi="Times New Roman" w:cs="Times New Roman"/>
          <w:sz w:val="24"/>
          <w:szCs w:val="24"/>
        </w:rPr>
      </w:pPr>
      <w:r w:rsidRPr="00A4461A">
        <w:rPr>
          <w:rFonts w:ascii="Times New Roman" w:hAnsi="Times New Roman" w:cs="Times New Roman"/>
          <w:sz w:val="24"/>
          <w:szCs w:val="24"/>
        </w:rPr>
        <w:t xml:space="preserve">Odsouzení mají řadu pohledávek za jednotlivými složkami justice, které je po něm dnes vymáhají nezávisle na sobě. Za dílčí pozitivní dopad na podnikatelské prostředí tak lze považovat skutečnost, že v těchto případech, kdy dnes po povinném vymáhá své pohledávky např. zároveň soud (náklady nutné obhajoby) a několik věznic, kde odsouzený vykonával trest (náklady výkonu trestu, náklady spojené s výkonem trestu), tj. </w:t>
      </w:r>
      <w:r w:rsidR="00756F80">
        <w:rPr>
          <w:rFonts w:ascii="Times New Roman" w:hAnsi="Times New Roman" w:cs="Times New Roman"/>
          <w:sz w:val="24"/>
          <w:szCs w:val="24"/>
        </w:rPr>
        <w:t>více subjektů, bude podnikatel, </w:t>
      </w:r>
      <w:r w:rsidRPr="00A4461A">
        <w:rPr>
          <w:rFonts w:ascii="Times New Roman" w:hAnsi="Times New Roman" w:cs="Times New Roman"/>
          <w:sz w:val="24"/>
          <w:szCs w:val="24"/>
        </w:rPr>
        <w:t>který je plátcem mzdy pro povinný subjekt, komunikovat již pouze s jediným vymáhajícím orgánem (celním úřadem), čímž dojde ke snížení administrativní zátěže tohoto podnikatele. Kromě toho lze předpokládat, že např. u </w:t>
      </w:r>
      <w:r w:rsidR="000455F8" w:rsidRPr="00A4461A">
        <w:rPr>
          <w:rFonts w:ascii="Times New Roman" w:hAnsi="Times New Roman" w:cs="Times New Roman"/>
          <w:sz w:val="24"/>
          <w:szCs w:val="24"/>
        </w:rPr>
        <w:t xml:space="preserve">řady </w:t>
      </w:r>
      <w:r w:rsidRPr="00A4461A">
        <w:rPr>
          <w:rFonts w:ascii="Times New Roman" w:hAnsi="Times New Roman" w:cs="Times New Roman"/>
          <w:sz w:val="24"/>
          <w:szCs w:val="24"/>
        </w:rPr>
        <w:t xml:space="preserve">odsouzených, kteří vykonávají trest odnětí svobody, zároveň z jiného titulu probíhá daňová exekuce, kdy podnikatel (plátce mzdy pro povinný subjekt) s celním úřadem komunikuje již dnes. </w:t>
      </w:r>
    </w:p>
    <w:p w14:paraId="12C27185" w14:textId="77777777" w:rsidR="00B94525" w:rsidRDefault="00573C89" w:rsidP="00195A4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Navrhovaná právní úprava není spojena s žádnými sociální dopady, dopady na specifické skupiny obyvatel ani dopady na životní prostředí. </w:t>
      </w:r>
    </w:p>
    <w:p w14:paraId="4889BBE8" w14:textId="77777777" w:rsidR="006F6860" w:rsidRDefault="006F6860" w:rsidP="00195A4B">
      <w:pPr>
        <w:spacing w:before="120" w:after="0" w:line="240" w:lineRule="auto"/>
        <w:jc w:val="both"/>
        <w:rPr>
          <w:rFonts w:ascii="Times New Roman" w:hAnsi="Times New Roman" w:cs="Times New Roman"/>
          <w:sz w:val="24"/>
          <w:szCs w:val="24"/>
        </w:rPr>
      </w:pPr>
    </w:p>
    <w:p w14:paraId="66FA7CC9" w14:textId="77777777" w:rsidR="008048FD" w:rsidRPr="00A4461A" w:rsidRDefault="008048FD" w:rsidP="00195A4B">
      <w:pPr>
        <w:spacing w:before="120" w:after="0" w:line="240" w:lineRule="auto"/>
        <w:jc w:val="both"/>
        <w:rPr>
          <w:rFonts w:ascii="Times New Roman" w:hAnsi="Times New Roman" w:cs="Times New Roman"/>
          <w:b/>
          <w:sz w:val="24"/>
          <w:szCs w:val="24"/>
        </w:rPr>
      </w:pPr>
      <w:r w:rsidRPr="00A4461A">
        <w:rPr>
          <w:rFonts w:ascii="Times New Roman" w:hAnsi="Times New Roman" w:cs="Times New Roman"/>
          <w:b/>
          <w:sz w:val="24"/>
          <w:szCs w:val="24"/>
        </w:rPr>
        <w:t>Zhodnocení dopadů navrhovaného řešení ve vztahu k zákazu diskriminace a ve vztahu k rovnosti mužů a žen</w:t>
      </w:r>
    </w:p>
    <w:p w14:paraId="32920C21" w14:textId="77777777" w:rsidR="00DB5E92" w:rsidRPr="00A4461A" w:rsidRDefault="00DB5E92" w:rsidP="00195A4B">
      <w:pPr>
        <w:spacing w:before="120" w:after="0" w:line="240" w:lineRule="auto"/>
        <w:jc w:val="both"/>
        <w:rPr>
          <w:rFonts w:ascii="Times New Roman" w:hAnsi="Times New Roman" w:cs="Times New Roman"/>
          <w:sz w:val="24"/>
          <w:szCs w:val="24"/>
        </w:rPr>
      </w:pPr>
      <w:r w:rsidRPr="00A4461A">
        <w:rPr>
          <w:rFonts w:ascii="Times New Roman" w:hAnsi="Times New Roman" w:cs="Times New Roman"/>
          <w:sz w:val="24"/>
          <w:szCs w:val="24"/>
        </w:rPr>
        <w:t>Navr</w:t>
      </w:r>
      <w:r w:rsidR="0000665A" w:rsidRPr="00A4461A">
        <w:rPr>
          <w:rFonts w:ascii="Times New Roman" w:hAnsi="Times New Roman" w:cs="Times New Roman"/>
          <w:sz w:val="24"/>
          <w:szCs w:val="24"/>
        </w:rPr>
        <w:t>žená</w:t>
      </w:r>
      <w:r w:rsidRPr="00A4461A">
        <w:rPr>
          <w:rFonts w:ascii="Times New Roman" w:hAnsi="Times New Roman" w:cs="Times New Roman"/>
          <w:sz w:val="24"/>
          <w:szCs w:val="24"/>
        </w:rPr>
        <w:t xml:space="preserve"> právní úprava nemá bezprostřední, ani sekundární dopady na rovnost mužů </w:t>
      </w:r>
      <w:r w:rsidRPr="00A4461A">
        <w:rPr>
          <w:rFonts w:ascii="Times New Roman" w:hAnsi="Times New Roman" w:cs="Times New Roman"/>
          <w:sz w:val="24"/>
          <w:szCs w:val="24"/>
        </w:rPr>
        <w:br/>
        <w:t xml:space="preserve">a žen a nevede k diskriminaci jednoho z pohlaví, neboť nijak nerozlišuje, ani nezvýhodňuje jedno z pohlaví a nestanoví pro ně odlišné podmínky. </w:t>
      </w:r>
    </w:p>
    <w:p w14:paraId="27E8110D" w14:textId="77777777" w:rsidR="00B94525" w:rsidRDefault="008048FD" w:rsidP="00195A4B">
      <w:pPr>
        <w:spacing w:before="120" w:after="0" w:line="240" w:lineRule="auto"/>
        <w:jc w:val="both"/>
        <w:rPr>
          <w:rFonts w:ascii="Times New Roman" w:hAnsi="Times New Roman" w:cs="Times New Roman"/>
          <w:sz w:val="24"/>
          <w:szCs w:val="24"/>
        </w:rPr>
      </w:pPr>
      <w:r w:rsidRPr="00A4461A">
        <w:rPr>
          <w:rFonts w:ascii="Times New Roman" w:hAnsi="Times New Roman" w:cs="Times New Roman"/>
          <w:sz w:val="24"/>
          <w:szCs w:val="24"/>
        </w:rPr>
        <w:t>Navr</w:t>
      </w:r>
      <w:r w:rsidR="0000665A" w:rsidRPr="00A4461A">
        <w:rPr>
          <w:rFonts w:ascii="Times New Roman" w:hAnsi="Times New Roman" w:cs="Times New Roman"/>
          <w:sz w:val="24"/>
          <w:szCs w:val="24"/>
        </w:rPr>
        <w:t>žená</w:t>
      </w:r>
      <w:r w:rsidRPr="00A4461A">
        <w:rPr>
          <w:rFonts w:ascii="Times New Roman" w:hAnsi="Times New Roman" w:cs="Times New Roman"/>
          <w:sz w:val="24"/>
          <w:szCs w:val="24"/>
        </w:rPr>
        <w:t xml:space="preserve"> právní úprava neupravuje vztahy, které by se dotýkaly zákazu diskriminace ve smyslu antidiskriminačního zákona (tj. nerovného zacházení či znevýhodnění některé osoby z důvodu rasy, etnického původu, národnosti, pohlaví, sexuální orientace,</w:t>
      </w:r>
      <w:r w:rsidR="002F2D6E">
        <w:rPr>
          <w:rFonts w:ascii="Times New Roman" w:hAnsi="Times New Roman" w:cs="Times New Roman"/>
          <w:sz w:val="24"/>
          <w:szCs w:val="24"/>
        </w:rPr>
        <w:t> </w:t>
      </w:r>
      <w:r w:rsidRPr="00A4461A">
        <w:rPr>
          <w:rFonts w:ascii="Times New Roman" w:hAnsi="Times New Roman" w:cs="Times New Roman"/>
          <w:sz w:val="24"/>
          <w:szCs w:val="24"/>
        </w:rPr>
        <w:t>věku,</w:t>
      </w:r>
      <w:r w:rsidR="002F2D6E">
        <w:rPr>
          <w:rFonts w:ascii="Times New Roman" w:hAnsi="Times New Roman" w:cs="Times New Roman"/>
          <w:sz w:val="24"/>
          <w:szCs w:val="24"/>
        </w:rPr>
        <w:t> </w:t>
      </w:r>
      <w:r w:rsidRPr="00A4461A">
        <w:rPr>
          <w:rFonts w:ascii="Times New Roman" w:hAnsi="Times New Roman" w:cs="Times New Roman"/>
          <w:sz w:val="24"/>
          <w:szCs w:val="24"/>
        </w:rPr>
        <w:t>zdravotního postižení, náboženského vyznání, víry či světového názoru). Lze proto konstatovat, že právní úprava obsažená v návrhu zákona nemá žádné dopady ve vztahu k zákazu diskriminace.</w:t>
      </w:r>
    </w:p>
    <w:p w14:paraId="0CE2E902" w14:textId="77777777" w:rsidR="00B174BE" w:rsidRDefault="00B174BE" w:rsidP="00195A4B">
      <w:pPr>
        <w:autoSpaceDE w:val="0"/>
        <w:autoSpaceDN w:val="0"/>
        <w:adjustRightInd w:val="0"/>
        <w:spacing w:before="120" w:after="0" w:line="240" w:lineRule="auto"/>
        <w:jc w:val="both"/>
        <w:rPr>
          <w:rFonts w:ascii="Times New Roman" w:hAnsi="Times New Roman" w:cs="Times New Roman"/>
          <w:b/>
          <w:sz w:val="24"/>
          <w:szCs w:val="24"/>
          <w:lang w:eastAsia="cs-CZ"/>
        </w:rPr>
      </w:pPr>
    </w:p>
    <w:p w14:paraId="78119790" w14:textId="77777777" w:rsidR="008048FD" w:rsidRPr="00A4461A" w:rsidRDefault="008048FD" w:rsidP="00195A4B">
      <w:pPr>
        <w:autoSpaceDE w:val="0"/>
        <w:autoSpaceDN w:val="0"/>
        <w:adjustRightInd w:val="0"/>
        <w:spacing w:before="120" w:after="0" w:line="240" w:lineRule="auto"/>
        <w:jc w:val="both"/>
        <w:rPr>
          <w:rFonts w:ascii="Times New Roman" w:hAnsi="Times New Roman" w:cs="Times New Roman"/>
          <w:b/>
          <w:sz w:val="24"/>
          <w:szCs w:val="24"/>
          <w:lang w:eastAsia="cs-CZ"/>
        </w:rPr>
      </w:pPr>
      <w:r w:rsidRPr="00A4461A">
        <w:rPr>
          <w:rFonts w:ascii="Times New Roman" w:hAnsi="Times New Roman" w:cs="Times New Roman"/>
          <w:b/>
          <w:sz w:val="24"/>
          <w:szCs w:val="24"/>
          <w:lang w:eastAsia="cs-CZ"/>
        </w:rPr>
        <w:t>Zhodnocení dopadů navrhovaného řešení ve vztahu k ochraně soukromí a osobních údajů</w:t>
      </w:r>
    </w:p>
    <w:p w14:paraId="55F06519" w14:textId="77777777" w:rsidR="001A2870" w:rsidRPr="005C39F7" w:rsidRDefault="008048FD" w:rsidP="00195A4B">
      <w:pPr>
        <w:spacing w:before="120" w:after="0" w:line="240" w:lineRule="auto"/>
        <w:jc w:val="both"/>
        <w:rPr>
          <w:rFonts w:ascii="Times New Roman" w:eastAsia="Times New Roman" w:hAnsi="Times New Roman" w:cs="Times New Roman"/>
          <w:sz w:val="24"/>
          <w:szCs w:val="24"/>
        </w:rPr>
      </w:pPr>
      <w:r w:rsidRPr="00A4461A">
        <w:rPr>
          <w:rFonts w:ascii="Times New Roman" w:eastAsia="Times New Roman" w:hAnsi="Times New Roman" w:cs="Times New Roman"/>
          <w:sz w:val="24"/>
          <w:szCs w:val="24"/>
        </w:rPr>
        <w:t xml:space="preserve">Předložený návrh v této oblasti stávající úpravu nikterak nemění, dopady na problematiku ochrany soukromí a osobních údajů se nepředpokládají. Soudy, státní zastupitelství a věznice budou postupovat podle </w:t>
      </w:r>
      <w:r w:rsidRPr="005C39F7">
        <w:rPr>
          <w:rFonts w:ascii="Times New Roman" w:eastAsia="Times New Roman" w:hAnsi="Times New Roman" w:cs="Times New Roman"/>
          <w:sz w:val="24"/>
          <w:szCs w:val="24"/>
        </w:rPr>
        <w:t>dosavadních procesních pravidel, kter</w:t>
      </w:r>
      <w:r w:rsidR="00496D10" w:rsidRPr="005C39F7">
        <w:rPr>
          <w:rFonts w:ascii="Times New Roman" w:eastAsia="Times New Roman" w:hAnsi="Times New Roman" w:cs="Times New Roman"/>
          <w:sz w:val="24"/>
          <w:szCs w:val="24"/>
        </w:rPr>
        <w:t>á</w:t>
      </w:r>
      <w:r w:rsidRPr="005C39F7">
        <w:rPr>
          <w:rFonts w:ascii="Times New Roman" w:eastAsia="Times New Roman" w:hAnsi="Times New Roman" w:cs="Times New Roman"/>
          <w:sz w:val="24"/>
          <w:szCs w:val="24"/>
        </w:rPr>
        <w:t xml:space="preserve"> jim nyní umožňují v zákonem stanovených případech zasahovat do soukromí osob a pro potřeby příslušného řízení nakládat s osobními údaji osob. Obdobné platí i pro celní úřady, které budou postupovat podle daňového řádu.</w:t>
      </w:r>
      <w:r w:rsidR="00DB5E92" w:rsidRPr="005C39F7">
        <w:rPr>
          <w:rFonts w:ascii="Times New Roman" w:eastAsia="Times New Roman" w:hAnsi="Times New Roman" w:cs="Times New Roman"/>
          <w:sz w:val="24"/>
          <w:szCs w:val="24"/>
        </w:rPr>
        <w:t xml:space="preserve"> Předložený návrh se specificky nedotýká ochrany soukromí a osobních údajů a v této oblasti stávající úpravu nikterak nemění, tudíž se dopady na problematiku ochrany soukromí a</w:t>
      </w:r>
      <w:r w:rsidR="005B1645">
        <w:rPr>
          <w:rFonts w:ascii="Times New Roman" w:eastAsia="Times New Roman" w:hAnsi="Times New Roman" w:cs="Times New Roman"/>
          <w:sz w:val="24"/>
          <w:szCs w:val="24"/>
        </w:rPr>
        <w:t> </w:t>
      </w:r>
      <w:r w:rsidR="00DB5E92" w:rsidRPr="005C39F7">
        <w:rPr>
          <w:rFonts w:ascii="Times New Roman" w:eastAsia="Times New Roman" w:hAnsi="Times New Roman" w:cs="Times New Roman"/>
          <w:sz w:val="24"/>
          <w:szCs w:val="24"/>
        </w:rPr>
        <w:t xml:space="preserve">osobních údajů nepředpokládají. </w:t>
      </w:r>
    </w:p>
    <w:p w14:paraId="02635E9B" w14:textId="77777777" w:rsidR="001A2870" w:rsidRPr="005C39F7" w:rsidRDefault="00DB5E92" w:rsidP="00195A4B">
      <w:pPr>
        <w:spacing w:before="120" w:after="0" w:line="240" w:lineRule="auto"/>
        <w:jc w:val="both"/>
        <w:rPr>
          <w:rFonts w:ascii="Times New Roman" w:eastAsia="Times New Roman" w:hAnsi="Times New Roman" w:cs="Times New Roman"/>
          <w:sz w:val="24"/>
          <w:szCs w:val="24"/>
        </w:rPr>
      </w:pPr>
      <w:r w:rsidRPr="005C39F7">
        <w:rPr>
          <w:rFonts w:ascii="Times New Roman" w:eastAsia="Times New Roman" w:hAnsi="Times New Roman" w:cs="Times New Roman"/>
          <w:sz w:val="24"/>
          <w:szCs w:val="24"/>
        </w:rPr>
        <w:t xml:space="preserve">Navrhovaná právní úprava je v souladu </w:t>
      </w:r>
      <w:r w:rsidR="001A2870" w:rsidRPr="005C39F7">
        <w:rPr>
          <w:rFonts w:ascii="Times New Roman" w:hAnsi="Times New Roman" w:cs="Times New Roman"/>
          <w:sz w:val="24"/>
          <w:szCs w:val="24"/>
        </w:rPr>
        <w:t>s právními předpisy na ochranu osobních údajů.</w:t>
      </w:r>
      <w:r w:rsidR="001A2870" w:rsidRPr="005C39F7">
        <w:rPr>
          <w:rFonts w:ascii="Times New Roman" w:eastAsia="Times New Roman" w:hAnsi="Times New Roman" w:cs="Times New Roman"/>
          <w:sz w:val="24"/>
          <w:szCs w:val="24"/>
        </w:rPr>
        <w:t xml:space="preserve"> </w:t>
      </w:r>
    </w:p>
    <w:p w14:paraId="393110B7" w14:textId="77777777" w:rsidR="00B174BE" w:rsidRDefault="00B174BE" w:rsidP="00195A4B">
      <w:pPr>
        <w:spacing w:before="120" w:after="0" w:line="240" w:lineRule="auto"/>
        <w:jc w:val="both"/>
        <w:rPr>
          <w:rFonts w:ascii="Times New Roman" w:hAnsi="Times New Roman" w:cs="Times New Roman"/>
          <w:b/>
          <w:sz w:val="24"/>
          <w:szCs w:val="24"/>
        </w:rPr>
      </w:pPr>
    </w:p>
    <w:p w14:paraId="2A5AFCFF" w14:textId="77777777" w:rsidR="00FC7E65" w:rsidRDefault="00FC7E65" w:rsidP="00195A4B">
      <w:pPr>
        <w:spacing w:before="120" w:after="0" w:line="240" w:lineRule="auto"/>
        <w:jc w:val="both"/>
        <w:rPr>
          <w:rFonts w:ascii="Times New Roman" w:hAnsi="Times New Roman" w:cs="Times New Roman"/>
          <w:b/>
          <w:sz w:val="24"/>
          <w:szCs w:val="24"/>
        </w:rPr>
      </w:pPr>
    </w:p>
    <w:p w14:paraId="7FA89C2C" w14:textId="77777777" w:rsidR="00DB5E92" w:rsidRPr="005C39F7" w:rsidRDefault="00DB5E92" w:rsidP="00195A4B">
      <w:pPr>
        <w:spacing w:before="120" w:after="0" w:line="240" w:lineRule="auto"/>
        <w:jc w:val="both"/>
        <w:rPr>
          <w:rFonts w:ascii="Times New Roman" w:hAnsi="Times New Roman" w:cs="Times New Roman"/>
          <w:b/>
          <w:sz w:val="24"/>
          <w:szCs w:val="24"/>
        </w:rPr>
      </w:pPr>
      <w:r w:rsidRPr="005C39F7">
        <w:rPr>
          <w:rFonts w:ascii="Times New Roman" w:hAnsi="Times New Roman" w:cs="Times New Roman"/>
          <w:b/>
          <w:sz w:val="24"/>
          <w:szCs w:val="24"/>
        </w:rPr>
        <w:lastRenderedPageBreak/>
        <w:t>Zhodnocení korupčních rizik</w:t>
      </w:r>
    </w:p>
    <w:p w14:paraId="027C4683" w14:textId="77777777" w:rsidR="00B94525" w:rsidRPr="005C39F7" w:rsidRDefault="00DB5E92" w:rsidP="00195A4B">
      <w:pPr>
        <w:spacing w:before="120" w:after="0" w:line="240" w:lineRule="auto"/>
        <w:jc w:val="both"/>
        <w:rPr>
          <w:rFonts w:ascii="Times New Roman" w:eastAsia="Times New Roman" w:hAnsi="Times New Roman" w:cs="Times New Roman"/>
          <w:sz w:val="24"/>
          <w:szCs w:val="24"/>
        </w:rPr>
      </w:pPr>
      <w:r w:rsidRPr="005C39F7">
        <w:rPr>
          <w:rFonts w:ascii="Times New Roman" w:eastAsia="Times New Roman" w:hAnsi="Times New Roman" w:cs="Times New Roman"/>
          <w:sz w:val="24"/>
          <w:szCs w:val="24"/>
        </w:rPr>
        <w:t xml:space="preserve">Předkládaný návrh zákona oproti dosavadní právní úpravě korupční rizika nijak nezvyšuje </w:t>
      </w:r>
      <w:r w:rsidRPr="005C39F7">
        <w:rPr>
          <w:rFonts w:ascii="Times New Roman" w:eastAsia="Times New Roman" w:hAnsi="Times New Roman" w:cs="Times New Roman"/>
          <w:sz w:val="24"/>
          <w:szCs w:val="24"/>
        </w:rPr>
        <w:br/>
        <w:t>a ani s ním nejsou spojena nová korupční rizika.</w:t>
      </w:r>
      <w:r w:rsidR="00292E61" w:rsidRPr="005C39F7">
        <w:rPr>
          <w:rFonts w:ascii="Times New Roman" w:eastAsia="Times New Roman" w:hAnsi="Times New Roman" w:cs="Times New Roman"/>
          <w:sz w:val="24"/>
          <w:szCs w:val="24"/>
        </w:rPr>
        <w:t xml:space="preserve"> </w:t>
      </w:r>
      <w:r w:rsidR="00292E61" w:rsidRPr="005C39F7">
        <w:rPr>
          <w:rFonts w:ascii="Times New Roman" w:hAnsi="Times New Roman" w:cs="Times New Roman"/>
          <w:sz w:val="24"/>
          <w:szCs w:val="24"/>
        </w:rPr>
        <w:t>Navrhovaná právní úprava není spojena s vyššími korupčními riziky, než kterým čelí celní úřady obecně v rámci jiné vymáhací agendy. Korupční riziko pro ně není nové, je přítomno i při úči</w:t>
      </w:r>
      <w:r w:rsidR="000455F8">
        <w:rPr>
          <w:rFonts w:ascii="Times New Roman" w:hAnsi="Times New Roman" w:cs="Times New Roman"/>
          <w:sz w:val="24"/>
          <w:szCs w:val="24"/>
        </w:rPr>
        <w:t>nnosti stávající právní úpravy; </w:t>
      </w:r>
      <w:r w:rsidR="00292E61" w:rsidRPr="005C39F7">
        <w:rPr>
          <w:rFonts w:ascii="Times New Roman" w:hAnsi="Times New Roman" w:cs="Times New Roman"/>
          <w:sz w:val="24"/>
          <w:szCs w:val="24"/>
        </w:rPr>
        <w:t>prostředky ochrany proti tomuto riziku jsou tudíž obsaženy již ve stávající právní úpravě (jde zejména o</w:t>
      </w:r>
      <w:r w:rsidR="005B1645">
        <w:rPr>
          <w:rFonts w:ascii="Times New Roman" w:hAnsi="Times New Roman" w:cs="Times New Roman"/>
          <w:sz w:val="24"/>
          <w:szCs w:val="24"/>
        </w:rPr>
        <w:t> </w:t>
      </w:r>
      <w:r w:rsidR="00292E61" w:rsidRPr="005C39F7">
        <w:rPr>
          <w:rFonts w:ascii="Times New Roman" w:hAnsi="Times New Roman" w:cs="Times New Roman"/>
          <w:sz w:val="24"/>
          <w:szCs w:val="24"/>
        </w:rPr>
        <w:t>principy odpovědnosti podle zákona o Celní správě České republiky a podle zákona č.</w:t>
      </w:r>
      <w:r w:rsidR="005B1645">
        <w:rPr>
          <w:rFonts w:ascii="Times New Roman" w:hAnsi="Times New Roman" w:cs="Times New Roman"/>
          <w:sz w:val="24"/>
          <w:szCs w:val="24"/>
        </w:rPr>
        <w:t> </w:t>
      </w:r>
      <w:r w:rsidR="00292E61" w:rsidRPr="005C39F7">
        <w:rPr>
          <w:rFonts w:ascii="Times New Roman" w:hAnsi="Times New Roman" w:cs="Times New Roman"/>
          <w:sz w:val="24"/>
          <w:szCs w:val="24"/>
        </w:rPr>
        <w:t>361/2003 Sb., o služebním poměru př</w:t>
      </w:r>
      <w:r w:rsidR="000455F8">
        <w:rPr>
          <w:rFonts w:ascii="Times New Roman" w:hAnsi="Times New Roman" w:cs="Times New Roman"/>
          <w:sz w:val="24"/>
          <w:szCs w:val="24"/>
        </w:rPr>
        <w:t>íslušníků bezpečnostních sborů, </w:t>
      </w:r>
      <w:r w:rsidR="00292E61" w:rsidRPr="005C39F7">
        <w:rPr>
          <w:rFonts w:ascii="Times New Roman" w:hAnsi="Times New Roman" w:cs="Times New Roman"/>
          <w:sz w:val="24"/>
          <w:szCs w:val="24"/>
        </w:rPr>
        <w:t>ve znění pozdějších předpisů). Kromě těchto pojistek se čelí případnému korupčnímu riziku i hrozbou trestního stíhání toho, kdo úplatek nabídl, pos</w:t>
      </w:r>
      <w:r w:rsidR="000455F8">
        <w:rPr>
          <w:rFonts w:ascii="Times New Roman" w:hAnsi="Times New Roman" w:cs="Times New Roman"/>
          <w:sz w:val="24"/>
          <w:szCs w:val="24"/>
        </w:rPr>
        <w:t>kytl nebo slíbil, jakož i toho, </w:t>
      </w:r>
      <w:r w:rsidR="00292E61" w:rsidRPr="005C39F7">
        <w:rPr>
          <w:rFonts w:ascii="Times New Roman" w:hAnsi="Times New Roman" w:cs="Times New Roman"/>
          <w:sz w:val="24"/>
          <w:szCs w:val="24"/>
        </w:rPr>
        <w:t>kdo si dal úplatek slíbit nebo jej přijal.</w:t>
      </w:r>
    </w:p>
    <w:p w14:paraId="74A9D33F" w14:textId="77777777" w:rsidR="00B174BE" w:rsidRDefault="00B174BE" w:rsidP="00195A4B">
      <w:pPr>
        <w:spacing w:before="120" w:after="0" w:line="240" w:lineRule="auto"/>
        <w:jc w:val="both"/>
        <w:rPr>
          <w:rFonts w:ascii="Times New Roman" w:hAnsi="Times New Roman" w:cs="Times New Roman"/>
          <w:b/>
          <w:sz w:val="24"/>
          <w:szCs w:val="24"/>
        </w:rPr>
      </w:pPr>
    </w:p>
    <w:p w14:paraId="321A18EB" w14:textId="77777777" w:rsidR="00DB5E92" w:rsidRPr="005C39F7" w:rsidRDefault="00DB5E92" w:rsidP="00195A4B">
      <w:pPr>
        <w:spacing w:before="120" w:after="0" w:line="240" w:lineRule="auto"/>
        <w:jc w:val="both"/>
        <w:rPr>
          <w:rFonts w:ascii="Times New Roman" w:hAnsi="Times New Roman" w:cs="Times New Roman"/>
          <w:b/>
          <w:sz w:val="24"/>
          <w:szCs w:val="24"/>
        </w:rPr>
      </w:pPr>
      <w:r w:rsidRPr="005C39F7">
        <w:rPr>
          <w:rFonts w:ascii="Times New Roman" w:hAnsi="Times New Roman" w:cs="Times New Roman"/>
          <w:b/>
          <w:sz w:val="24"/>
          <w:szCs w:val="24"/>
        </w:rPr>
        <w:t>Zhodnocení dopadů na bezpečnost nebo obranu státu</w:t>
      </w:r>
    </w:p>
    <w:p w14:paraId="2E3AB1AF" w14:textId="77777777" w:rsidR="00DB5E92" w:rsidRDefault="00DB5E92" w:rsidP="00195A4B">
      <w:pPr>
        <w:spacing w:before="120" w:after="0" w:line="240" w:lineRule="auto"/>
        <w:jc w:val="both"/>
        <w:rPr>
          <w:rFonts w:ascii="Times New Roman" w:hAnsi="Times New Roman" w:cs="Times New Roman"/>
          <w:sz w:val="24"/>
          <w:szCs w:val="24"/>
        </w:rPr>
      </w:pPr>
      <w:r w:rsidRPr="005C39F7">
        <w:rPr>
          <w:rFonts w:ascii="Times New Roman" w:hAnsi="Times New Roman" w:cs="Times New Roman"/>
          <w:sz w:val="24"/>
          <w:szCs w:val="24"/>
        </w:rPr>
        <w:t>Navrhovaná úprava nepřináší negativní dopady na bezpečnost nebo obranu státu.</w:t>
      </w:r>
      <w:r w:rsidR="009C2B36" w:rsidRPr="005C39F7">
        <w:rPr>
          <w:rFonts w:ascii="Times New Roman" w:hAnsi="Times New Roman" w:cs="Times New Roman"/>
          <w:sz w:val="24"/>
          <w:szCs w:val="24"/>
        </w:rPr>
        <w:t xml:space="preserve"> </w:t>
      </w:r>
    </w:p>
    <w:p w14:paraId="1CBF56E6" w14:textId="77777777" w:rsidR="005C39F7" w:rsidRDefault="005C39F7" w:rsidP="00195A4B">
      <w:pPr>
        <w:spacing w:before="120" w:after="0" w:line="240" w:lineRule="auto"/>
        <w:jc w:val="both"/>
        <w:rPr>
          <w:rFonts w:ascii="Times New Roman" w:hAnsi="Times New Roman" w:cs="Times New Roman"/>
          <w:sz w:val="24"/>
          <w:szCs w:val="24"/>
        </w:rPr>
      </w:pPr>
    </w:p>
    <w:p w14:paraId="7375849A" w14:textId="77777777" w:rsidR="005C39F7" w:rsidRPr="005C39F7" w:rsidRDefault="005C39F7" w:rsidP="00195A4B">
      <w:pPr>
        <w:spacing w:before="120" w:after="0" w:line="240" w:lineRule="auto"/>
        <w:jc w:val="both"/>
        <w:rPr>
          <w:rFonts w:ascii="Times New Roman" w:hAnsi="Times New Roman" w:cs="Times New Roman"/>
          <w:b/>
          <w:sz w:val="24"/>
          <w:szCs w:val="24"/>
          <w:lang w:eastAsia="cs-CZ"/>
        </w:rPr>
      </w:pPr>
    </w:p>
    <w:p w14:paraId="7E6CF9FC" w14:textId="77777777" w:rsidR="00B174BE" w:rsidRDefault="00B174BE" w:rsidP="00195A4B">
      <w:pPr>
        <w:spacing w:before="120" w:after="0" w:line="240" w:lineRule="auto"/>
        <w:jc w:val="center"/>
        <w:rPr>
          <w:rFonts w:ascii="Times New Roman" w:hAnsi="Times New Roman" w:cs="Times New Roman"/>
          <w:b/>
          <w:sz w:val="24"/>
          <w:szCs w:val="24"/>
        </w:rPr>
      </w:pPr>
    </w:p>
    <w:p w14:paraId="35BF2412" w14:textId="77777777" w:rsidR="005B1645" w:rsidRDefault="005B1645">
      <w:pPr>
        <w:rPr>
          <w:rFonts w:ascii="Times New Roman" w:hAnsi="Times New Roman" w:cs="Times New Roman"/>
          <w:b/>
          <w:sz w:val="24"/>
          <w:szCs w:val="24"/>
        </w:rPr>
      </w:pPr>
      <w:r>
        <w:rPr>
          <w:rFonts w:ascii="Times New Roman" w:hAnsi="Times New Roman" w:cs="Times New Roman"/>
          <w:b/>
          <w:sz w:val="24"/>
          <w:szCs w:val="24"/>
        </w:rPr>
        <w:br w:type="page"/>
      </w:r>
    </w:p>
    <w:p w14:paraId="00D79332" w14:textId="77777777" w:rsidR="008A5EC8" w:rsidRPr="000E3EDA" w:rsidRDefault="008A5EC8" w:rsidP="00195A4B">
      <w:pPr>
        <w:spacing w:before="120" w:after="0" w:line="240" w:lineRule="auto"/>
        <w:jc w:val="center"/>
        <w:rPr>
          <w:rFonts w:ascii="Times New Roman" w:hAnsi="Times New Roman" w:cs="Times New Roman"/>
          <w:b/>
          <w:sz w:val="24"/>
          <w:szCs w:val="24"/>
        </w:rPr>
      </w:pPr>
      <w:r w:rsidRPr="000E3EDA">
        <w:rPr>
          <w:rFonts w:ascii="Times New Roman" w:hAnsi="Times New Roman" w:cs="Times New Roman"/>
          <w:b/>
          <w:sz w:val="24"/>
          <w:szCs w:val="24"/>
        </w:rPr>
        <w:lastRenderedPageBreak/>
        <w:t>Zvláštní část</w:t>
      </w:r>
    </w:p>
    <w:p w14:paraId="693691AB" w14:textId="77777777" w:rsidR="00F27597" w:rsidRPr="0004360C" w:rsidRDefault="00F27597" w:rsidP="00F27597">
      <w:pPr>
        <w:widowControl w:val="0"/>
        <w:autoSpaceDE w:val="0"/>
        <w:autoSpaceDN w:val="0"/>
        <w:adjustRightInd w:val="0"/>
        <w:spacing w:before="120" w:after="0" w:line="240" w:lineRule="auto"/>
        <w:jc w:val="both"/>
        <w:rPr>
          <w:rFonts w:ascii="Times New Roman" w:hAnsi="Times New Roman" w:cs="Times New Roman"/>
          <w:sz w:val="24"/>
          <w:szCs w:val="24"/>
        </w:rPr>
      </w:pPr>
    </w:p>
    <w:p w14:paraId="6D7F4947" w14:textId="77777777" w:rsidR="00496D10" w:rsidRDefault="008A5EC8" w:rsidP="00B174BE">
      <w:pPr>
        <w:pStyle w:val="NADPISSTI"/>
        <w:spacing w:before="120"/>
        <w:jc w:val="both"/>
        <w:rPr>
          <w:szCs w:val="24"/>
          <w:lang w:val="cs-CZ"/>
        </w:rPr>
      </w:pPr>
      <w:r w:rsidRPr="000E3EDA">
        <w:rPr>
          <w:szCs w:val="24"/>
        </w:rPr>
        <w:t xml:space="preserve">K části </w:t>
      </w:r>
      <w:r w:rsidR="003A3B7D">
        <w:rPr>
          <w:szCs w:val="24"/>
          <w:lang w:val="cs-CZ"/>
        </w:rPr>
        <w:t xml:space="preserve">první </w:t>
      </w:r>
      <w:r w:rsidRPr="000E3EDA">
        <w:rPr>
          <w:szCs w:val="24"/>
        </w:rPr>
        <w:t>– změna trestního řádu</w:t>
      </w:r>
    </w:p>
    <w:p w14:paraId="472B0D46" w14:textId="77777777" w:rsidR="008A5EC8" w:rsidRPr="002D07D4" w:rsidRDefault="008A5EC8" w:rsidP="00B174BE">
      <w:pPr>
        <w:spacing w:before="120" w:after="0" w:line="240" w:lineRule="auto"/>
        <w:jc w:val="both"/>
        <w:rPr>
          <w:rFonts w:ascii="Times New Roman" w:hAnsi="Times New Roman" w:cs="Times New Roman"/>
          <w:sz w:val="24"/>
          <w:szCs w:val="24"/>
          <w:u w:val="single"/>
        </w:rPr>
      </w:pPr>
      <w:r w:rsidRPr="002D07D4">
        <w:rPr>
          <w:rFonts w:ascii="Times New Roman" w:hAnsi="Times New Roman" w:cs="Times New Roman"/>
          <w:sz w:val="24"/>
          <w:szCs w:val="24"/>
          <w:u w:val="single"/>
        </w:rPr>
        <w:t xml:space="preserve">K bodu </w:t>
      </w:r>
      <w:r w:rsidR="002D07D4">
        <w:rPr>
          <w:rFonts w:ascii="Times New Roman" w:hAnsi="Times New Roman" w:cs="Times New Roman"/>
          <w:sz w:val="24"/>
          <w:szCs w:val="24"/>
          <w:u w:val="single"/>
        </w:rPr>
        <w:t>1</w:t>
      </w:r>
      <w:r w:rsidR="003F6D92" w:rsidRPr="002D07D4">
        <w:rPr>
          <w:rFonts w:ascii="Times New Roman" w:hAnsi="Times New Roman" w:cs="Times New Roman"/>
          <w:sz w:val="24"/>
          <w:szCs w:val="24"/>
          <w:u w:val="single"/>
        </w:rPr>
        <w:t xml:space="preserve"> </w:t>
      </w:r>
      <w:r w:rsidRPr="002D07D4">
        <w:rPr>
          <w:rFonts w:ascii="Times New Roman" w:hAnsi="Times New Roman" w:cs="Times New Roman"/>
          <w:sz w:val="24"/>
          <w:szCs w:val="24"/>
          <w:u w:val="single"/>
        </w:rPr>
        <w:t xml:space="preserve">(§ 343 odst. 4) </w:t>
      </w:r>
    </w:p>
    <w:p w14:paraId="59A9003C" w14:textId="77777777" w:rsidR="008A5EC8" w:rsidRPr="000E3EDA" w:rsidRDefault="008A5EC8" w:rsidP="00B174BE">
      <w:pPr>
        <w:pStyle w:val="center"/>
        <w:spacing w:before="120" w:beforeAutospacing="0" w:after="0" w:afterAutospacing="0"/>
        <w:jc w:val="both"/>
        <w:outlineLvl w:val="1"/>
      </w:pPr>
      <w:r w:rsidRPr="000E3EDA">
        <w:t>Při správě placení peněžitého trestu se postupuje podle daňového řádu. Trestní řád však upravuje odklad výkonu tohoto trestu i možnosti jeho rozložení do splátek. Navrhuje se tedy výslovně vyloučit aplikaci ustanovení o posečkání daně a rozložení její úhrady na splátky, což jsou instituty plnící obdobný účel. Není žádoucí umožnit odklad či rozložení peněžitého trestu jak podle trestního řádu, tak podle daňového řádu, neboť tím by docházelo k oslabování účinku peněžitého trestu jako sankce.</w:t>
      </w:r>
    </w:p>
    <w:p w14:paraId="437AD46A" w14:textId="77777777" w:rsidR="008A5EC8" w:rsidRDefault="008A5EC8" w:rsidP="00B174BE">
      <w:pPr>
        <w:pStyle w:val="center"/>
        <w:spacing w:before="120" w:beforeAutospacing="0" w:after="0" w:afterAutospacing="0"/>
        <w:jc w:val="both"/>
        <w:outlineLvl w:val="1"/>
      </w:pPr>
      <w:r w:rsidRPr="000E3EDA">
        <w:t>V souladu s obecnou částí důvodové zprávy se zároveň stanovuje, že k vymáhání peněžitého trestu budou napříště příslušné celní úřady.</w:t>
      </w:r>
      <w:r w:rsidR="009C2B36" w:rsidRPr="000E3EDA">
        <w:t xml:space="preserve"> </w:t>
      </w:r>
    </w:p>
    <w:p w14:paraId="5A33BF72" w14:textId="77777777" w:rsidR="002D07D4" w:rsidRPr="002D07D4" w:rsidRDefault="002D07D4" w:rsidP="00B174BE">
      <w:pPr>
        <w:pStyle w:val="center"/>
        <w:spacing w:before="120" w:beforeAutospacing="0" w:after="0" w:afterAutospacing="0"/>
        <w:jc w:val="both"/>
        <w:outlineLvl w:val="1"/>
      </w:pPr>
    </w:p>
    <w:p w14:paraId="0E44698F" w14:textId="77777777" w:rsidR="008A5EC8" w:rsidRPr="00C468CD" w:rsidRDefault="008A5EC8" w:rsidP="00B174BE">
      <w:pPr>
        <w:spacing w:before="120" w:after="0" w:line="240" w:lineRule="auto"/>
        <w:jc w:val="both"/>
        <w:rPr>
          <w:rFonts w:ascii="Times New Roman" w:hAnsi="Times New Roman" w:cs="Times New Roman"/>
          <w:sz w:val="24"/>
          <w:szCs w:val="24"/>
          <w:u w:val="single"/>
        </w:rPr>
      </w:pPr>
      <w:r w:rsidRPr="00C468CD">
        <w:rPr>
          <w:rFonts w:ascii="Times New Roman" w:hAnsi="Times New Roman" w:cs="Times New Roman"/>
          <w:sz w:val="24"/>
          <w:szCs w:val="24"/>
          <w:u w:val="single"/>
        </w:rPr>
        <w:t xml:space="preserve">K bodu </w:t>
      </w:r>
      <w:r w:rsidR="002D07D4" w:rsidRPr="00C468CD">
        <w:rPr>
          <w:rFonts w:ascii="Times New Roman" w:hAnsi="Times New Roman" w:cs="Times New Roman"/>
          <w:sz w:val="24"/>
          <w:szCs w:val="24"/>
          <w:u w:val="single"/>
        </w:rPr>
        <w:t>2</w:t>
      </w:r>
      <w:r w:rsidR="003F6D92" w:rsidRPr="00C468CD">
        <w:rPr>
          <w:rFonts w:ascii="Times New Roman" w:hAnsi="Times New Roman" w:cs="Times New Roman"/>
          <w:sz w:val="24"/>
          <w:szCs w:val="24"/>
          <w:u w:val="single"/>
        </w:rPr>
        <w:t xml:space="preserve"> </w:t>
      </w:r>
      <w:r w:rsidRPr="00C468CD">
        <w:rPr>
          <w:rFonts w:ascii="Times New Roman" w:hAnsi="Times New Roman" w:cs="Times New Roman"/>
          <w:sz w:val="24"/>
          <w:szCs w:val="24"/>
          <w:u w:val="single"/>
        </w:rPr>
        <w:t>(§ 343a)</w:t>
      </w:r>
    </w:p>
    <w:p w14:paraId="71925110" w14:textId="77777777" w:rsidR="008A5EC8" w:rsidRPr="000E3EDA" w:rsidRDefault="008A5EC8" w:rsidP="00B174BE">
      <w:pPr>
        <w:pStyle w:val="center"/>
        <w:spacing w:before="120" w:beforeAutospacing="0" w:after="0" w:afterAutospacing="0"/>
        <w:jc w:val="both"/>
        <w:outlineLvl w:val="1"/>
        <w:rPr>
          <w:color w:val="000000"/>
        </w:rPr>
      </w:pPr>
      <w:r w:rsidRPr="00C468CD">
        <w:t>Stanovuje se povinnost vzájemné výměny informací nezbytných pro výkon uloženého peněžitého trestu</w:t>
      </w:r>
      <w:r w:rsidR="000455F8" w:rsidRPr="00C468CD">
        <w:t xml:space="preserve"> mezi soudy a celními úřady</w:t>
      </w:r>
      <w:r w:rsidRPr="00C468CD">
        <w:t>. Skutečnostmi podstatnými pro placení peněžitého trestu mohou být i jiné skutečnosti než skutečnosti v zákoně pouze demonstrativně uvedené – jsou jimi např. informace o uložené milosti, amnestii, informace o zaslání rozhodnutí soudu do jiného členského státu za účelem jeho uznání a výkonu podle § 276 ZMJS, rozhod</w:t>
      </w:r>
      <w:r w:rsidR="0001090F" w:rsidRPr="00C468CD">
        <w:t>nutí o </w:t>
      </w:r>
      <w:r w:rsidRPr="00C468CD">
        <w:t xml:space="preserve">nahrazení peněžitého opatření obecně prospěšnou činností v rámci probačního programu podle § 27 odst. 5 </w:t>
      </w:r>
      <w:r w:rsidR="00E60D06" w:rsidRPr="00C468CD">
        <w:t>zákon</w:t>
      </w:r>
      <w:r w:rsidR="00E60D06">
        <w:t>a</w:t>
      </w:r>
      <w:r w:rsidR="00E60D06" w:rsidRPr="00C468CD">
        <w:t xml:space="preserve"> č. 218/2003 Sb.</w:t>
      </w:r>
      <w:r w:rsidR="00E60D06">
        <w:t xml:space="preserve">, </w:t>
      </w:r>
      <w:r w:rsidR="000455F8" w:rsidRPr="00C468CD">
        <w:t>o soudnictví ve věcech mládeže</w:t>
      </w:r>
      <w:r w:rsidR="00E60D06">
        <w:t>,</w:t>
      </w:r>
      <w:r w:rsidR="000455F8" w:rsidRPr="00C468CD">
        <w:t xml:space="preserve"> </w:t>
      </w:r>
      <w:r w:rsidRPr="00C468CD">
        <w:t>apod. Informační toky směrem</w:t>
      </w:r>
      <w:r w:rsidR="0001090F" w:rsidRPr="00C468CD">
        <w:t xml:space="preserve"> k soudům jsou pak nezbytné pro </w:t>
      </w:r>
      <w:r w:rsidRPr="00C468CD">
        <w:t xml:space="preserve">možné reakce soudu v rámci vykonávacího řízení (tato obligatorní informační povinnost tedy představuje určitou věcně odůvodnitelnou odchylku od </w:t>
      </w:r>
      <w:r w:rsidR="0001090F" w:rsidRPr="00C468CD">
        <w:t>obecného ustanovení § 162 odst. </w:t>
      </w:r>
      <w:r w:rsidRPr="00C468CD">
        <w:t>4 daňového řádu). Ustanovení §</w:t>
      </w:r>
      <w:r w:rsidR="005B1645">
        <w:t> </w:t>
      </w:r>
      <w:r w:rsidRPr="00C468CD">
        <w:t>162 odst. 4 daňového řádu, podle kterého celní úřad poskytne na dožádání soudu, který uloži</w:t>
      </w:r>
      <w:r w:rsidR="0046165C" w:rsidRPr="00C468CD">
        <w:t>l</w:t>
      </w:r>
      <w:r w:rsidRPr="00C468CD">
        <w:t xml:space="preserve"> peněžitý trest, informace o jeho placení, tím není dotčen</w:t>
      </w:r>
      <w:r w:rsidR="0046165C" w:rsidRPr="00C468CD">
        <w:t>o</w:t>
      </w:r>
      <w:r w:rsidR="000455F8" w:rsidRPr="00C468CD">
        <w:t xml:space="preserve"> a </w:t>
      </w:r>
      <w:r w:rsidRPr="00C468CD">
        <w:t>uplatní se i</w:t>
      </w:r>
      <w:r w:rsidR="00330702">
        <w:t> </w:t>
      </w:r>
      <w:r w:rsidRPr="00C468CD">
        <w:t>vedle § 343a odst. 3 tr.</w:t>
      </w:r>
      <w:r w:rsidR="005B1645">
        <w:t> </w:t>
      </w:r>
      <w:r w:rsidRPr="00C468CD">
        <w:t>ř.</w:t>
      </w:r>
      <w:r w:rsidRPr="000E3EDA">
        <w:rPr>
          <w:color w:val="000000"/>
        </w:rPr>
        <w:t xml:space="preserve"> </w:t>
      </w:r>
    </w:p>
    <w:p w14:paraId="153CC2E8" w14:textId="77777777" w:rsidR="008A5EC8" w:rsidRPr="000E3EDA" w:rsidRDefault="008A5EC8" w:rsidP="00B174BE">
      <w:pPr>
        <w:pStyle w:val="center"/>
        <w:spacing w:before="120" w:beforeAutospacing="0" w:after="0" w:afterAutospacing="0"/>
        <w:jc w:val="both"/>
        <w:outlineLvl w:val="1"/>
      </w:pPr>
    </w:p>
    <w:p w14:paraId="570E0DEE" w14:textId="77777777" w:rsidR="00713AC6" w:rsidRPr="00713AC6" w:rsidRDefault="00713AC6" w:rsidP="00B174BE">
      <w:pPr>
        <w:spacing w:before="120" w:after="0" w:line="240" w:lineRule="auto"/>
        <w:jc w:val="both"/>
        <w:rPr>
          <w:rFonts w:ascii="Times New Roman" w:eastAsia="Calibri" w:hAnsi="Times New Roman" w:cs="Times New Roman"/>
          <w:sz w:val="24"/>
          <w:szCs w:val="24"/>
          <w:u w:val="single"/>
        </w:rPr>
      </w:pPr>
      <w:r w:rsidRPr="00713AC6">
        <w:rPr>
          <w:rFonts w:ascii="Times New Roman" w:eastAsia="Calibri" w:hAnsi="Times New Roman" w:cs="Times New Roman"/>
          <w:sz w:val="24"/>
          <w:szCs w:val="24"/>
          <w:u w:val="single"/>
        </w:rPr>
        <w:t>K</w:t>
      </w:r>
      <w:r>
        <w:rPr>
          <w:rFonts w:ascii="Times New Roman" w:eastAsia="Calibri" w:hAnsi="Times New Roman" w:cs="Times New Roman"/>
          <w:sz w:val="24"/>
          <w:szCs w:val="24"/>
          <w:u w:val="single"/>
        </w:rPr>
        <w:t> bodu 3</w:t>
      </w:r>
      <w:r w:rsidRPr="00713AC6">
        <w:rPr>
          <w:rFonts w:ascii="Times New Roman" w:eastAsia="Calibri" w:hAnsi="Times New Roman" w:cs="Times New Roman"/>
          <w:sz w:val="24"/>
          <w:szCs w:val="24"/>
          <w:u w:val="single"/>
        </w:rPr>
        <w:t xml:space="preserve"> (</w:t>
      </w:r>
      <w:r w:rsidR="0081699C">
        <w:rPr>
          <w:rFonts w:ascii="Times New Roman" w:eastAsia="Calibri" w:hAnsi="Times New Roman" w:cs="Times New Roman"/>
          <w:sz w:val="24"/>
          <w:szCs w:val="24"/>
          <w:u w:val="single"/>
        </w:rPr>
        <w:t>§ 361</w:t>
      </w:r>
      <w:r w:rsidRPr="00713AC6">
        <w:rPr>
          <w:rFonts w:ascii="Times New Roman" w:eastAsia="Calibri" w:hAnsi="Times New Roman" w:cs="Times New Roman"/>
          <w:sz w:val="24"/>
          <w:szCs w:val="24"/>
          <w:u w:val="single"/>
        </w:rPr>
        <w:t>)</w:t>
      </w:r>
    </w:p>
    <w:p w14:paraId="51394085" w14:textId="77777777" w:rsidR="0081699C" w:rsidRDefault="0081699C" w:rsidP="00B174BE">
      <w:pPr>
        <w:spacing w:before="120" w:after="0" w:line="240" w:lineRule="auto"/>
        <w:jc w:val="both"/>
        <w:outlineLvl w:val="1"/>
        <w:rPr>
          <w:rFonts w:ascii="Times New Roman" w:eastAsia="Times New Roman" w:hAnsi="Times New Roman" w:cs="Times New Roman"/>
          <w:sz w:val="24"/>
          <w:szCs w:val="24"/>
          <w:lang w:eastAsia="cs-CZ"/>
        </w:rPr>
      </w:pPr>
      <w:r w:rsidRPr="0081699C">
        <w:rPr>
          <w:rFonts w:ascii="Times New Roman" w:eastAsia="Times New Roman" w:hAnsi="Times New Roman" w:cs="Times New Roman"/>
          <w:sz w:val="24"/>
          <w:szCs w:val="24"/>
          <w:lang w:eastAsia="cs-CZ"/>
        </w:rPr>
        <w:t xml:space="preserve">V souladu s obecnou částí důvodové zprávy se stanovuje, že k vymáhání </w:t>
      </w:r>
      <w:r>
        <w:rPr>
          <w:rFonts w:ascii="Times New Roman" w:eastAsia="Times New Roman" w:hAnsi="Times New Roman" w:cs="Times New Roman"/>
          <w:sz w:val="24"/>
          <w:szCs w:val="24"/>
          <w:lang w:eastAsia="cs-CZ"/>
        </w:rPr>
        <w:t>pohledávek z peněžitých pokut</w:t>
      </w:r>
      <w:r w:rsidRPr="0081699C">
        <w:rPr>
          <w:rFonts w:ascii="Times New Roman" w:eastAsia="Times New Roman" w:hAnsi="Times New Roman" w:cs="Times New Roman"/>
          <w:sz w:val="24"/>
          <w:szCs w:val="24"/>
          <w:lang w:eastAsia="cs-CZ"/>
        </w:rPr>
        <w:t xml:space="preserve"> budou napříště příslušné celní úřady.</w:t>
      </w:r>
    </w:p>
    <w:p w14:paraId="1C6D1F16" w14:textId="77777777" w:rsidR="00E8290B" w:rsidRDefault="00E8290B" w:rsidP="00B174BE">
      <w:pPr>
        <w:spacing w:before="120" w:after="0" w:line="240" w:lineRule="auto"/>
        <w:jc w:val="both"/>
        <w:outlineLvl w:val="1"/>
        <w:rPr>
          <w:rFonts w:ascii="Times New Roman" w:eastAsia="Times New Roman" w:hAnsi="Times New Roman" w:cs="Times New Roman"/>
          <w:sz w:val="24"/>
          <w:szCs w:val="24"/>
          <w:lang w:eastAsia="cs-CZ"/>
        </w:rPr>
      </w:pPr>
    </w:p>
    <w:p w14:paraId="214E50A2" w14:textId="77777777" w:rsidR="00713AC6" w:rsidRPr="00713AC6" w:rsidRDefault="00713AC6" w:rsidP="00B174BE">
      <w:pPr>
        <w:spacing w:before="120" w:after="0" w:line="240" w:lineRule="auto"/>
        <w:jc w:val="both"/>
        <w:rPr>
          <w:rFonts w:ascii="Times New Roman" w:eastAsia="Calibri" w:hAnsi="Times New Roman" w:cs="Times New Roman"/>
          <w:sz w:val="24"/>
          <w:szCs w:val="24"/>
          <w:u w:val="single"/>
        </w:rPr>
      </w:pPr>
      <w:r w:rsidRPr="00713AC6">
        <w:rPr>
          <w:rFonts w:ascii="Times New Roman" w:eastAsia="Calibri" w:hAnsi="Times New Roman" w:cs="Times New Roman"/>
          <w:sz w:val="24"/>
          <w:szCs w:val="24"/>
          <w:u w:val="single"/>
        </w:rPr>
        <w:t>K</w:t>
      </w:r>
      <w:r>
        <w:rPr>
          <w:rFonts w:ascii="Times New Roman" w:eastAsia="Calibri" w:hAnsi="Times New Roman" w:cs="Times New Roman"/>
          <w:sz w:val="24"/>
          <w:szCs w:val="24"/>
          <w:u w:val="single"/>
        </w:rPr>
        <w:t> bodu 4</w:t>
      </w:r>
      <w:r w:rsidRPr="00713AC6">
        <w:rPr>
          <w:rFonts w:ascii="Times New Roman" w:eastAsia="Calibri" w:hAnsi="Times New Roman" w:cs="Times New Roman"/>
          <w:sz w:val="24"/>
          <w:szCs w:val="24"/>
          <w:u w:val="single"/>
        </w:rPr>
        <w:t xml:space="preserve"> (§ 361a)</w:t>
      </w:r>
    </w:p>
    <w:p w14:paraId="54780ED2" w14:textId="77777777" w:rsidR="0081699C" w:rsidRPr="00713AC6" w:rsidRDefault="00E60D06" w:rsidP="00B174BE">
      <w:pPr>
        <w:spacing w:before="120" w:after="0"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sz w:val="24"/>
          <w:szCs w:val="24"/>
          <w:lang w:eastAsia="cs-CZ"/>
        </w:rPr>
        <w:t>V</w:t>
      </w:r>
      <w:r w:rsidR="0081699C">
        <w:rPr>
          <w:rFonts w:ascii="Times New Roman" w:eastAsia="Times New Roman" w:hAnsi="Times New Roman" w:cs="Times New Roman"/>
          <w:sz w:val="24"/>
          <w:szCs w:val="24"/>
          <w:lang w:eastAsia="cs-CZ"/>
        </w:rPr>
        <w:t xml:space="preserve"> </w:t>
      </w:r>
      <w:r w:rsidR="0081699C" w:rsidRPr="00713AC6">
        <w:rPr>
          <w:rFonts w:ascii="Times New Roman" w:eastAsia="Times New Roman" w:hAnsi="Times New Roman" w:cs="Times New Roman"/>
          <w:bCs/>
          <w:sz w:val="24"/>
          <w:szCs w:val="24"/>
          <w:lang w:eastAsia="cs-CZ"/>
        </w:rPr>
        <w:t xml:space="preserve">souladu s obecnou částí důvodové zprávy </w:t>
      </w:r>
      <w:r>
        <w:rPr>
          <w:rFonts w:ascii="Times New Roman" w:eastAsia="Times New Roman" w:hAnsi="Times New Roman" w:cs="Times New Roman"/>
          <w:bCs/>
          <w:sz w:val="24"/>
          <w:szCs w:val="24"/>
          <w:lang w:eastAsia="cs-CZ"/>
        </w:rPr>
        <w:t xml:space="preserve">se </w:t>
      </w:r>
      <w:r w:rsidR="0081699C" w:rsidRPr="00713AC6">
        <w:rPr>
          <w:rFonts w:ascii="Times New Roman" w:eastAsia="Times New Roman" w:hAnsi="Times New Roman" w:cs="Times New Roman"/>
          <w:bCs/>
          <w:sz w:val="24"/>
          <w:szCs w:val="24"/>
          <w:lang w:eastAsia="cs-CZ"/>
        </w:rPr>
        <w:t xml:space="preserve">navrhuje </w:t>
      </w:r>
      <w:r>
        <w:rPr>
          <w:rFonts w:ascii="Times New Roman" w:eastAsia="Times New Roman" w:hAnsi="Times New Roman" w:cs="Times New Roman"/>
          <w:bCs/>
          <w:sz w:val="24"/>
          <w:szCs w:val="24"/>
          <w:lang w:eastAsia="cs-CZ"/>
        </w:rPr>
        <w:t xml:space="preserve">zavedení kompetenční </w:t>
      </w:r>
      <w:r w:rsidR="00DC0FEA">
        <w:rPr>
          <w:rFonts w:ascii="Times New Roman" w:eastAsia="Times New Roman" w:hAnsi="Times New Roman" w:cs="Times New Roman"/>
          <w:bCs/>
          <w:sz w:val="24"/>
          <w:szCs w:val="24"/>
          <w:lang w:eastAsia="cs-CZ"/>
        </w:rPr>
        <w:t xml:space="preserve">dělené </w:t>
      </w:r>
      <w:r>
        <w:rPr>
          <w:rFonts w:ascii="Times New Roman" w:eastAsia="Times New Roman" w:hAnsi="Times New Roman" w:cs="Times New Roman"/>
          <w:bCs/>
          <w:sz w:val="24"/>
          <w:szCs w:val="24"/>
          <w:lang w:eastAsia="cs-CZ"/>
        </w:rPr>
        <w:t>správy i u dalších pohledávek trestního řízení</w:t>
      </w:r>
      <w:r w:rsidR="0081699C" w:rsidRPr="00713AC6">
        <w:rPr>
          <w:rFonts w:ascii="Times New Roman" w:eastAsia="Times New Roman" w:hAnsi="Times New Roman" w:cs="Times New Roman"/>
          <w:bCs/>
          <w:sz w:val="24"/>
          <w:szCs w:val="24"/>
          <w:lang w:eastAsia="cs-CZ"/>
        </w:rPr>
        <w:t>. Ve vztahu k nákladům spojeným s výkonem vazby a</w:t>
      </w:r>
      <w:r>
        <w:rPr>
          <w:rFonts w:ascii="Times New Roman" w:eastAsia="Times New Roman" w:hAnsi="Times New Roman" w:cs="Times New Roman"/>
          <w:bCs/>
          <w:sz w:val="24"/>
          <w:szCs w:val="24"/>
          <w:lang w:eastAsia="cs-CZ"/>
        </w:rPr>
        <w:t> </w:t>
      </w:r>
      <w:r w:rsidR="0081699C" w:rsidRPr="00713AC6">
        <w:rPr>
          <w:rFonts w:ascii="Times New Roman" w:eastAsia="Times New Roman" w:hAnsi="Times New Roman" w:cs="Times New Roman"/>
          <w:bCs/>
          <w:sz w:val="24"/>
          <w:szCs w:val="24"/>
          <w:lang w:eastAsia="cs-CZ"/>
        </w:rPr>
        <w:t>výkonem trestu odnětí svobody pak specifika upravuje zákon o výkonu trestu odnětí svobody (dále jen „ZVTOS“) a zákon o výkonu vazby.</w:t>
      </w:r>
    </w:p>
    <w:p w14:paraId="1CDD826E" w14:textId="77777777" w:rsidR="00713AC6" w:rsidRDefault="0081699C" w:rsidP="00B174BE">
      <w:pPr>
        <w:spacing w:before="120" w:after="0" w:line="240" w:lineRule="auto"/>
        <w:jc w:val="both"/>
        <w:outlineLvl w:val="1"/>
        <w:rPr>
          <w:rFonts w:ascii="Times New Roman" w:eastAsia="Times New Roman" w:hAnsi="Times New Roman" w:cs="Times New Roman"/>
          <w:bCs/>
          <w:sz w:val="24"/>
          <w:szCs w:val="24"/>
          <w:lang w:eastAsia="cs-CZ"/>
        </w:rPr>
      </w:pPr>
      <w:r w:rsidRPr="00713AC6">
        <w:rPr>
          <w:rFonts w:ascii="Times New Roman" w:eastAsia="Times New Roman" w:hAnsi="Times New Roman" w:cs="Times New Roman"/>
          <w:bCs/>
          <w:sz w:val="24"/>
          <w:szCs w:val="24"/>
          <w:lang w:eastAsia="cs-CZ"/>
        </w:rPr>
        <w:t>V případě pohledávek na náklady trestního řízení – shodně jako v případě peněžitého trestu – před vlastním předáním dojde k využití peněžní záruky podle § 73a odst. 6 tr. ř.</w:t>
      </w:r>
    </w:p>
    <w:p w14:paraId="78E17E43" w14:textId="77777777" w:rsidR="0081699C" w:rsidRDefault="0081699C" w:rsidP="00B174BE">
      <w:pPr>
        <w:spacing w:before="120" w:after="0" w:line="240" w:lineRule="auto"/>
        <w:jc w:val="both"/>
        <w:outlineLvl w:val="1"/>
        <w:rPr>
          <w:rFonts w:ascii="Times New Roman" w:eastAsia="Times New Roman" w:hAnsi="Times New Roman" w:cs="Times New Roman"/>
          <w:bCs/>
          <w:sz w:val="24"/>
          <w:szCs w:val="24"/>
          <w:lang w:eastAsia="cs-CZ"/>
        </w:rPr>
      </w:pPr>
    </w:p>
    <w:p w14:paraId="7DB5DB67" w14:textId="77777777" w:rsidR="00FC7E65" w:rsidRDefault="00FC7E65" w:rsidP="00B174BE">
      <w:pPr>
        <w:spacing w:before="120" w:after="0" w:line="240" w:lineRule="auto"/>
        <w:jc w:val="both"/>
        <w:outlineLvl w:val="1"/>
        <w:rPr>
          <w:rFonts w:ascii="Times New Roman" w:eastAsia="Times New Roman" w:hAnsi="Times New Roman" w:cs="Times New Roman"/>
          <w:bCs/>
          <w:sz w:val="24"/>
          <w:szCs w:val="24"/>
          <w:lang w:eastAsia="cs-CZ"/>
        </w:rPr>
      </w:pPr>
    </w:p>
    <w:p w14:paraId="44AF036A" w14:textId="77777777" w:rsidR="00FC7E65" w:rsidRPr="0081699C" w:rsidRDefault="00FC7E65" w:rsidP="00B174BE">
      <w:pPr>
        <w:spacing w:before="120" w:after="0" w:line="240" w:lineRule="auto"/>
        <w:jc w:val="both"/>
        <w:outlineLvl w:val="1"/>
        <w:rPr>
          <w:rFonts w:ascii="Times New Roman" w:eastAsia="Times New Roman" w:hAnsi="Times New Roman" w:cs="Times New Roman"/>
          <w:bCs/>
          <w:sz w:val="24"/>
          <w:szCs w:val="24"/>
          <w:lang w:eastAsia="cs-CZ"/>
        </w:rPr>
      </w:pPr>
    </w:p>
    <w:p w14:paraId="0922E33C" w14:textId="77777777" w:rsidR="008A5EC8" w:rsidRPr="00E8290B" w:rsidRDefault="008A5EC8" w:rsidP="00B174BE">
      <w:pPr>
        <w:spacing w:before="120" w:after="0" w:line="240" w:lineRule="auto"/>
        <w:jc w:val="both"/>
        <w:rPr>
          <w:rFonts w:ascii="Times New Roman" w:hAnsi="Times New Roman" w:cs="Times New Roman"/>
          <w:sz w:val="24"/>
          <w:szCs w:val="24"/>
          <w:u w:val="single"/>
        </w:rPr>
      </w:pPr>
      <w:r w:rsidRPr="00E8290B">
        <w:rPr>
          <w:rFonts w:ascii="Times New Roman" w:hAnsi="Times New Roman" w:cs="Times New Roman"/>
          <w:sz w:val="24"/>
          <w:szCs w:val="24"/>
          <w:u w:val="single"/>
        </w:rPr>
        <w:lastRenderedPageBreak/>
        <w:t>K</w:t>
      </w:r>
      <w:r w:rsidR="00E60D06">
        <w:rPr>
          <w:rFonts w:ascii="Times New Roman" w:hAnsi="Times New Roman" w:cs="Times New Roman"/>
          <w:sz w:val="24"/>
          <w:szCs w:val="24"/>
          <w:u w:val="single"/>
        </w:rPr>
        <w:t> </w:t>
      </w:r>
      <w:r w:rsidRPr="00E8290B">
        <w:rPr>
          <w:rFonts w:ascii="Times New Roman" w:hAnsi="Times New Roman" w:cs="Times New Roman"/>
          <w:sz w:val="24"/>
          <w:szCs w:val="24"/>
          <w:u w:val="single"/>
        </w:rPr>
        <w:t>přechodn</w:t>
      </w:r>
      <w:r w:rsidR="00E60D06">
        <w:rPr>
          <w:rFonts w:ascii="Times New Roman" w:hAnsi="Times New Roman" w:cs="Times New Roman"/>
          <w:sz w:val="24"/>
          <w:szCs w:val="24"/>
          <w:u w:val="single"/>
        </w:rPr>
        <w:t xml:space="preserve">ému </w:t>
      </w:r>
      <w:r w:rsidRPr="00E8290B">
        <w:rPr>
          <w:rFonts w:ascii="Times New Roman" w:hAnsi="Times New Roman" w:cs="Times New Roman"/>
          <w:sz w:val="24"/>
          <w:szCs w:val="24"/>
          <w:u w:val="single"/>
        </w:rPr>
        <w:t>ustanovení</w:t>
      </w:r>
    </w:p>
    <w:p w14:paraId="1A743397" w14:textId="77777777" w:rsidR="008A5EC8" w:rsidRDefault="008A5EC8" w:rsidP="00B174BE">
      <w:pPr>
        <w:tabs>
          <w:tab w:val="left" w:pos="1176"/>
        </w:tabs>
        <w:spacing w:before="120" w:after="0" w:line="240" w:lineRule="auto"/>
        <w:jc w:val="both"/>
        <w:rPr>
          <w:rFonts w:ascii="Times New Roman" w:hAnsi="Times New Roman" w:cs="Times New Roman"/>
          <w:sz w:val="24"/>
          <w:szCs w:val="24"/>
        </w:rPr>
      </w:pPr>
      <w:r w:rsidRPr="00E8290B">
        <w:rPr>
          <w:rFonts w:ascii="Times New Roman" w:hAnsi="Times New Roman" w:cs="Times New Roman"/>
          <w:sz w:val="24"/>
          <w:szCs w:val="24"/>
        </w:rPr>
        <w:t>K vymáhání pohledávek, jejichž správa placení se podle tre</w:t>
      </w:r>
      <w:r w:rsidR="007319BE">
        <w:rPr>
          <w:rFonts w:ascii="Times New Roman" w:hAnsi="Times New Roman" w:cs="Times New Roman"/>
          <w:sz w:val="24"/>
          <w:szCs w:val="24"/>
        </w:rPr>
        <w:t>stního řádu řídí daňovým řádem, </w:t>
      </w:r>
      <w:r w:rsidRPr="00E8290B">
        <w:rPr>
          <w:rFonts w:ascii="Times New Roman" w:hAnsi="Times New Roman" w:cs="Times New Roman"/>
          <w:sz w:val="24"/>
          <w:szCs w:val="24"/>
        </w:rPr>
        <w:t>bude Celní správa příslušná pouze v případě těch pohledávek, které vzniknou (které se staly splatnými) ode dne nabytí účinnosti tohoto zákona. Pří</w:t>
      </w:r>
      <w:r w:rsidR="007319BE">
        <w:rPr>
          <w:rFonts w:ascii="Times New Roman" w:hAnsi="Times New Roman" w:cs="Times New Roman"/>
          <w:sz w:val="24"/>
          <w:szCs w:val="24"/>
        </w:rPr>
        <w:t>slušnost k vymáhání pohledávek, </w:t>
      </w:r>
      <w:r w:rsidRPr="00E8290B">
        <w:rPr>
          <w:rFonts w:ascii="Times New Roman" w:hAnsi="Times New Roman" w:cs="Times New Roman"/>
          <w:sz w:val="24"/>
          <w:szCs w:val="24"/>
        </w:rPr>
        <w:t xml:space="preserve">které vznikly přede dnem účinnosti tohoto zákona, se nemění, tj. tyto pohledávky i nadále budou vymáhány přímo soudy nebo prostřednictvím soudního exekutora. </w:t>
      </w:r>
    </w:p>
    <w:p w14:paraId="76EBE392" w14:textId="77777777" w:rsidR="00E8290B" w:rsidRPr="00E8290B" w:rsidRDefault="00E8290B" w:rsidP="00B174BE">
      <w:pPr>
        <w:tabs>
          <w:tab w:val="left" w:pos="1176"/>
        </w:tabs>
        <w:spacing w:before="120" w:after="0" w:line="240" w:lineRule="auto"/>
        <w:jc w:val="both"/>
        <w:rPr>
          <w:rFonts w:ascii="Times New Roman" w:hAnsi="Times New Roman" w:cs="Times New Roman"/>
          <w:sz w:val="24"/>
          <w:szCs w:val="24"/>
        </w:rPr>
      </w:pPr>
    </w:p>
    <w:p w14:paraId="52864F53" w14:textId="77777777" w:rsidR="008A5EC8" w:rsidRPr="000E3EDA" w:rsidRDefault="008A5EC8" w:rsidP="00B174BE">
      <w:pPr>
        <w:pStyle w:val="NADPISSTI"/>
        <w:spacing w:before="120"/>
        <w:jc w:val="both"/>
        <w:rPr>
          <w:szCs w:val="24"/>
        </w:rPr>
      </w:pPr>
      <w:r w:rsidRPr="000E3EDA">
        <w:rPr>
          <w:szCs w:val="24"/>
        </w:rPr>
        <w:t xml:space="preserve">K části </w:t>
      </w:r>
      <w:r w:rsidR="006C159B">
        <w:rPr>
          <w:szCs w:val="24"/>
          <w:lang w:val="cs-CZ"/>
        </w:rPr>
        <w:t>druhé</w:t>
      </w:r>
      <w:r w:rsidRPr="000E3EDA">
        <w:rPr>
          <w:szCs w:val="24"/>
        </w:rPr>
        <w:t xml:space="preserve"> – změna občanského soudního řádu </w:t>
      </w:r>
    </w:p>
    <w:p w14:paraId="059E0397" w14:textId="77777777" w:rsidR="008A5EC8" w:rsidRPr="000E3EDA" w:rsidRDefault="008A5EC8" w:rsidP="00B174BE">
      <w:pPr>
        <w:pStyle w:val="NADPISSTI"/>
        <w:spacing w:before="120"/>
        <w:jc w:val="both"/>
        <w:rPr>
          <w:b w:val="0"/>
          <w:szCs w:val="24"/>
        </w:rPr>
      </w:pPr>
      <w:r w:rsidRPr="000E3EDA">
        <w:rPr>
          <w:b w:val="0"/>
          <w:szCs w:val="24"/>
        </w:rPr>
        <w:t>V souladu s obecnou částí důvodové zprávy se stanovuje, že k vymáhání pořádkových pokut ukládaných podle občanského soudního řádu, stejně tak ja</w:t>
      </w:r>
      <w:r w:rsidR="0001090F" w:rsidRPr="000E3EDA">
        <w:rPr>
          <w:b w:val="0"/>
          <w:szCs w:val="24"/>
        </w:rPr>
        <w:t>ko pohledávek uvedených v §</w:t>
      </w:r>
      <w:r w:rsidR="0001090F" w:rsidRPr="000E3EDA">
        <w:rPr>
          <w:b w:val="0"/>
          <w:szCs w:val="24"/>
          <w:lang w:val="cs-CZ"/>
        </w:rPr>
        <w:t> </w:t>
      </w:r>
      <w:r w:rsidR="0001090F" w:rsidRPr="000E3EDA">
        <w:rPr>
          <w:b w:val="0"/>
          <w:szCs w:val="24"/>
        </w:rPr>
        <w:t>148</w:t>
      </w:r>
      <w:r w:rsidR="0001090F" w:rsidRPr="000E3EDA">
        <w:rPr>
          <w:b w:val="0"/>
          <w:szCs w:val="24"/>
          <w:lang w:val="cs-CZ"/>
        </w:rPr>
        <w:t> </w:t>
      </w:r>
      <w:r w:rsidRPr="000E3EDA">
        <w:rPr>
          <w:b w:val="0"/>
          <w:szCs w:val="24"/>
        </w:rPr>
        <w:t>odst. 1 a 2 o.s.ř. a pokut ukládaných v rámc</w:t>
      </w:r>
      <w:r w:rsidR="007319BE">
        <w:rPr>
          <w:b w:val="0"/>
          <w:szCs w:val="24"/>
        </w:rPr>
        <w:t>i výkonu rozhodnutí podle §</w:t>
      </w:r>
      <w:r w:rsidR="007319BE">
        <w:rPr>
          <w:b w:val="0"/>
          <w:szCs w:val="24"/>
          <w:lang w:val="cs-CZ"/>
        </w:rPr>
        <w:t> </w:t>
      </w:r>
      <w:r w:rsidR="007319BE">
        <w:rPr>
          <w:b w:val="0"/>
          <w:szCs w:val="24"/>
        </w:rPr>
        <w:t>351</w:t>
      </w:r>
      <w:r w:rsidR="007319BE">
        <w:rPr>
          <w:b w:val="0"/>
          <w:szCs w:val="24"/>
          <w:lang w:val="cs-CZ"/>
        </w:rPr>
        <w:t> </w:t>
      </w:r>
      <w:r w:rsidRPr="000E3EDA">
        <w:rPr>
          <w:b w:val="0"/>
          <w:szCs w:val="24"/>
        </w:rPr>
        <w:t>o.s.ř.</w:t>
      </w:r>
      <w:r w:rsidR="00595931" w:rsidRPr="000E3EDA">
        <w:rPr>
          <w:b w:val="0"/>
          <w:szCs w:val="24"/>
          <w:lang w:val="cs-CZ"/>
        </w:rPr>
        <w:t>,</w:t>
      </w:r>
      <w:r w:rsidR="007319BE">
        <w:rPr>
          <w:b w:val="0"/>
          <w:szCs w:val="24"/>
          <w:lang w:val="cs-CZ"/>
        </w:rPr>
        <w:t> </w:t>
      </w:r>
      <w:r w:rsidRPr="000E3EDA">
        <w:rPr>
          <w:b w:val="0"/>
          <w:szCs w:val="24"/>
        </w:rPr>
        <w:t>budou napříště příslušné celní úřady. V zájmu právní jistoty se navrhuje formulace vztahující výslovně režim daňového řádu na správu placení</w:t>
      </w:r>
      <w:r w:rsidR="00595931" w:rsidRPr="000E3EDA">
        <w:rPr>
          <w:b w:val="0"/>
          <w:szCs w:val="24"/>
          <w:lang w:val="cs-CZ"/>
        </w:rPr>
        <w:t xml:space="preserve"> těchto pohledávek</w:t>
      </w:r>
      <w:r w:rsidR="007319BE">
        <w:rPr>
          <w:b w:val="0"/>
          <w:szCs w:val="24"/>
        </w:rPr>
        <w:t>,</w:t>
      </w:r>
      <w:r w:rsidR="007319BE">
        <w:rPr>
          <w:b w:val="0"/>
          <w:szCs w:val="24"/>
          <w:lang w:val="cs-CZ"/>
        </w:rPr>
        <w:t> </w:t>
      </w:r>
      <w:r w:rsidR="007319BE">
        <w:rPr>
          <w:b w:val="0"/>
          <w:szCs w:val="24"/>
        </w:rPr>
        <w:t>tj.</w:t>
      </w:r>
      <w:r w:rsidR="007319BE">
        <w:rPr>
          <w:b w:val="0"/>
          <w:szCs w:val="24"/>
          <w:lang w:val="cs-CZ"/>
        </w:rPr>
        <w:t> </w:t>
      </w:r>
      <w:r w:rsidR="007319BE">
        <w:rPr>
          <w:b w:val="0"/>
          <w:szCs w:val="24"/>
        </w:rPr>
        <w:t>i</w:t>
      </w:r>
      <w:r w:rsidR="007319BE">
        <w:rPr>
          <w:b w:val="0"/>
          <w:szCs w:val="24"/>
          <w:lang w:val="cs-CZ"/>
        </w:rPr>
        <w:t> </w:t>
      </w:r>
      <w:r w:rsidR="00595931" w:rsidRPr="000E3EDA">
        <w:rPr>
          <w:b w:val="0"/>
          <w:szCs w:val="24"/>
        </w:rPr>
        <w:t>na vybírání a</w:t>
      </w:r>
      <w:r w:rsidR="00595931" w:rsidRPr="000E3EDA">
        <w:rPr>
          <w:b w:val="0"/>
          <w:szCs w:val="24"/>
          <w:lang w:val="cs-CZ"/>
        </w:rPr>
        <w:t> </w:t>
      </w:r>
      <w:r w:rsidRPr="000E3EDA">
        <w:rPr>
          <w:b w:val="0"/>
          <w:szCs w:val="24"/>
        </w:rPr>
        <w:t xml:space="preserve">evidenci pořádkových pokut (jde o tzv. procesní dělenou správu). </w:t>
      </w:r>
    </w:p>
    <w:p w14:paraId="19FC6291" w14:textId="77777777" w:rsidR="002E1353" w:rsidRPr="000E3EDA" w:rsidRDefault="002E1353" w:rsidP="00B174BE">
      <w:pPr>
        <w:pStyle w:val="NADPISSTI"/>
        <w:spacing w:before="120"/>
        <w:jc w:val="both"/>
        <w:rPr>
          <w:b w:val="0"/>
          <w:szCs w:val="24"/>
          <w:lang w:val="cs-CZ"/>
        </w:rPr>
      </w:pPr>
      <w:r w:rsidRPr="000E3EDA">
        <w:rPr>
          <w:b w:val="0"/>
          <w:szCs w:val="24"/>
          <w:lang w:val="cs-CZ"/>
        </w:rPr>
        <w:t xml:space="preserve">Stávající ustanovení § 148 odst. 3 o.s.ř. o tom, že „u pohledávek státu vzniklých z důvodu práva na náhradu nákladů řízení vůči osobám uvedeným v odstavcích 1 a 2 ve výši státem placených nákladů řízení se úrok z prodlení nevyměřuje“, se navrhuje vypustit pro nadbytečnost, neboť skutečnost, že u těchto pohledávek </w:t>
      </w:r>
      <w:r w:rsidR="007319BE">
        <w:rPr>
          <w:b w:val="0"/>
          <w:szCs w:val="24"/>
          <w:lang w:val="cs-CZ"/>
        </w:rPr>
        <w:t>se nepožadují úroky z prodlení, </w:t>
      </w:r>
      <w:r w:rsidRPr="000E3EDA">
        <w:rPr>
          <w:b w:val="0"/>
          <w:szCs w:val="24"/>
          <w:lang w:val="cs-CZ"/>
        </w:rPr>
        <w:t>vyplývá z § 253 odst. 3 daňového řádu.</w:t>
      </w:r>
    </w:p>
    <w:p w14:paraId="025E1CB0" w14:textId="77777777" w:rsidR="008A5EC8" w:rsidRPr="000E3EDA" w:rsidRDefault="008A5EC8" w:rsidP="00B174BE">
      <w:pPr>
        <w:pStyle w:val="NADPISSTI"/>
        <w:spacing w:before="120"/>
        <w:jc w:val="both"/>
        <w:rPr>
          <w:b w:val="0"/>
          <w:szCs w:val="24"/>
          <w:lang w:val="cs-CZ"/>
        </w:rPr>
      </w:pPr>
      <w:r w:rsidRPr="000E3EDA">
        <w:rPr>
          <w:b w:val="0"/>
          <w:szCs w:val="24"/>
        </w:rPr>
        <w:t>Stávající systém vymáhání pokut, které byly uloženy soudem při výkonu rozhodnutí provedením prací a výkonů, byl obdobný jako u jiných justičních pohledávek s tím rozdílem,</w:t>
      </w:r>
      <w:r w:rsidR="00D32915">
        <w:rPr>
          <w:b w:val="0"/>
          <w:szCs w:val="24"/>
          <w:lang w:val="cs-CZ"/>
        </w:rPr>
        <w:t> </w:t>
      </w:r>
      <w:r w:rsidRPr="000E3EDA">
        <w:rPr>
          <w:b w:val="0"/>
          <w:szCs w:val="24"/>
        </w:rPr>
        <w:t>že soud, resp. pověřený exekutor nepostupoval podle daňové</w:t>
      </w:r>
      <w:r w:rsidR="0001090F" w:rsidRPr="000E3EDA">
        <w:rPr>
          <w:b w:val="0"/>
          <w:szCs w:val="24"/>
        </w:rPr>
        <w:t>ho řádu, ale podle ustanovení o</w:t>
      </w:r>
      <w:r w:rsidR="0001090F" w:rsidRPr="000E3EDA">
        <w:rPr>
          <w:b w:val="0"/>
          <w:szCs w:val="24"/>
          <w:lang w:val="cs-CZ"/>
        </w:rPr>
        <w:t> </w:t>
      </w:r>
      <w:r w:rsidRPr="000E3EDA">
        <w:rPr>
          <w:b w:val="0"/>
          <w:szCs w:val="24"/>
        </w:rPr>
        <w:t xml:space="preserve">výkonu rozhodnutí. Nově se přenáší vymáhání takto uložených pokut ze soudu na </w:t>
      </w:r>
      <w:r w:rsidR="00595931" w:rsidRPr="000E3EDA">
        <w:rPr>
          <w:b w:val="0"/>
          <w:szCs w:val="24"/>
          <w:lang w:val="cs-CZ"/>
        </w:rPr>
        <w:t xml:space="preserve">Celní </w:t>
      </w:r>
      <w:r w:rsidRPr="000E3EDA">
        <w:rPr>
          <w:b w:val="0"/>
          <w:szCs w:val="24"/>
        </w:rPr>
        <w:t xml:space="preserve">správu. Soudy tedy i nadále budou oprávněny uvedené pokuty </w:t>
      </w:r>
      <w:r w:rsidR="00595931" w:rsidRPr="000E3EDA">
        <w:rPr>
          <w:b w:val="0"/>
          <w:szCs w:val="24"/>
          <w:lang w:val="cs-CZ"/>
        </w:rPr>
        <w:t>vybírat</w:t>
      </w:r>
      <w:r w:rsidRPr="000E3EDA">
        <w:rPr>
          <w:b w:val="0"/>
          <w:szCs w:val="24"/>
        </w:rPr>
        <w:t xml:space="preserve">, vymáhání však bude vykonávat </w:t>
      </w:r>
      <w:r w:rsidR="00595931" w:rsidRPr="000E3EDA">
        <w:rPr>
          <w:b w:val="0"/>
          <w:szCs w:val="24"/>
          <w:lang w:val="cs-CZ"/>
        </w:rPr>
        <w:t xml:space="preserve">Celní </w:t>
      </w:r>
      <w:r w:rsidRPr="000E3EDA">
        <w:rPr>
          <w:b w:val="0"/>
          <w:szCs w:val="24"/>
        </w:rPr>
        <w:t xml:space="preserve">správa. Spolupráce mezi oběma subjekty bude zajištěna prostřednictvím ustanovení o dělené správě </w:t>
      </w:r>
      <w:r w:rsidR="00595931" w:rsidRPr="000E3EDA">
        <w:rPr>
          <w:b w:val="0"/>
          <w:szCs w:val="24"/>
        </w:rPr>
        <w:t>–</w:t>
      </w:r>
      <w:r w:rsidRPr="000E3EDA">
        <w:rPr>
          <w:b w:val="0"/>
          <w:szCs w:val="24"/>
        </w:rPr>
        <w:t xml:space="preserve"> tudíž</w:t>
      </w:r>
      <w:r w:rsidR="00595931" w:rsidRPr="000E3EDA">
        <w:rPr>
          <w:b w:val="0"/>
          <w:szCs w:val="24"/>
          <w:lang w:val="cs-CZ"/>
        </w:rPr>
        <w:t xml:space="preserve"> </w:t>
      </w:r>
      <w:r w:rsidRPr="000E3EDA">
        <w:rPr>
          <w:b w:val="0"/>
          <w:szCs w:val="24"/>
        </w:rPr>
        <w:t xml:space="preserve">pokud soud kupř. pokutu promine, bude muset dát bez zbytečných průtahů </w:t>
      </w:r>
      <w:r w:rsidR="00595931" w:rsidRPr="000E3EDA">
        <w:rPr>
          <w:b w:val="0"/>
          <w:szCs w:val="24"/>
          <w:lang w:val="cs-CZ"/>
        </w:rPr>
        <w:t xml:space="preserve">Celní </w:t>
      </w:r>
      <w:r w:rsidRPr="000E3EDA">
        <w:rPr>
          <w:b w:val="0"/>
          <w:szCs w:val="24"/>
        </w:rPr>
        <w:t xml:space="preserve">správě na vědomí, že vymáhání se stalo již bezpředmětným. Pokud naopak bude soud zajímat, jak vymáhání pokračuje, bude mu </w:t>
      </w:r>
      <w:r w:rsidR="00595931" w:rsidRPr="000E3EDA">
        <w:rPr>
          <w:b w:val="0"/>
          <w:szCs w:val="24"/>
          <w:lang w:val="cs-CZ"/>
        </w:rPr>
        <w:t xml:space="preserve">Celní </w:t>
      </w:r>
      <w:r w:rsidRPr="000E3EDA">
        <w:rPr>
          <w:b w:val="0"/>
          <w:szCs w:val="24"/>
        </w:rPr>
        <w:t>správa potřebnou informaci povinna sdělit.</w:t>
      </w:r>
      <w:r w:rsidR="009C2B36" w:rsidRPr="000E3EDA">
        <w:rPr>
          <w:b w:val="0"/>
          <w:szCs w:val="24"/>
        </w:rPr>
        <w:t xml:space="preserve"> </w:t>
      </w:r>
    </w:p>
    <w:p w14:paraId="6F7F2E67" w14:textId="77777777" w:rsidR="008A5EC8" w:rsidRPr="0004360C" w:rsidRDefault="008A5EC8" w:rsidP="00B174BE">
      <w:pPr>
        <w:spacing w:before="120" w:after="0" w:line="240" w:lineRule="auto"/>
        <w:jc w:val="both"/>
        <w:rPr>
          <w:rFonts w:ascii="Times New Roman" w:hAnsi="Times New Roman" w:cs="Times New Roman"/>
          <w:sz w:val="24"/>
          <w:szCs w:val="24"/>
          <w:u w:val="single"/>
        </w:rPr>
      </w:pPr>
    </w:p>
    <w:p w14:paraId="7D241489" w14:textId="77777777" w:rsidR="008A5EC8" w:rsidRPr="0004360C" w:rsidRDefault="008A5EC8" w:rsidP="00B174BE">
      <w:pPr>
        <w:spacing w:before="120" w:after="0" w:line="240" w:lineRule="auto"/>
        <w:jc w:val="both"/>
        <w:rPr>
          <w:rFonts w:ascii="Times New Roman" w:hAnsi="Times New Roman" w:cs="Times New Roman"/>
          <w:sz w:val="24"/>
          <w:szCs w:val="24"/>
          <w:u w:val="single"/>
        </w:rPr>
      </w:pPr>
      <w:r w:rsidRPr="0004360C">
        <w:rPr>
          <w:rFonts w:ascii="Times New Roman" w:hAnsi="Times New Roman" w:cs="Times New Roman"/>
          <w:sz w:val="24"/>
          <w:szCs w:val="24"/>
          <w:u w:val="single"/>
        </w:rPr>
        <w:t>K přechodným ustanovením</w:t>
      </w:r>
    </w:p>
    <w:p w14:paraId="6C34CAEC" w14:textId="4891A7A0" w:rsidR="008A5EC8" w:rsidRPr="00C4756C" w:rsidRDefault="008A5EC8" w:rsidP="00B174BE">
      <w:pPr>
        <w:spacing w:before="120" w:after="0" w:line="240" w:lineRule="auto"/>
        <w:jc w:val="both"/>
        <w:rPr>
          <w:rFonts w:ascii="Times New Roman" w:hAnsi="Times New Roman" w:cs="Times New Roman"/>
          <w:sz w:val="24"/>
          <w:szCs w:val="24"/>
        </w:rPr>
      </w:pPr>
      <w:r w:rsidRPr="0004360C">
        <w:rPr>
          <w:rFonts w:ascii="Times New Roman" w:hAnsi="Times New Roman" w:cs="Times New Roman"/>
          <w:sz w:val="24"/>
          <w:szCs w:val="24"/>
        </w:rPr>
        <w:t>Procesní režim pokut uložených v rámci výkonu rozhodnutí podle § 351 o.s.ř., které vznikly přede dnem nabytí účinnosti tohoto zákona, se nemění; daňový řád se bude vztahovat až n</w:t>
      </w:r>
      <w:r w:rsidR="00984FC8">
        <w:rPr>
          <w:rFonts w:ascii="Times New Roman" w:hAnsi="Times New Roman" w:cs="Times New Roman"/>
          <w:sz w:val="24"/>
          <w:szCs w:val="24"/>
        </w:rPr>
        <w:t>a </w:t>
      </w:r>
      <w:r w:rsidRPr="0004360C">
        <w:rPr>
          <w:rFonts w:ascii="Times New Roman" w:hAnsi="Times New Roman" w:cs="Times New Roman"/>
          <w:sz w:val="24"/>
          <w:szCs w:val="24"/>
        </w:rPr>
        <w:t>ty,</w:t>
      </w:r>
      <w:r w:rsidR="00330702">
        <w:rPr>
          <w:rFonts w:ascii="Times New Roman" w:hAnsi="Times New Roman" w:cs="Times New Roman"/>
          <w:sz w:val="24"/>
          <w:szCs w:val="24"/>
        </w:rPr>
        <w:t> </w:t>
      </w:r>
      <w:r w:rsidRPr="0004360C">
        <w:rPr>
          <w:rFonts w:ascii="Times New Roman" w:hAnsi="Times New Roman" w:cs="Times New Roman"/>
          <w:sz w:val="24"/>
          <w:szCs w:val="24"/>
        </w:rPr>
        <w:t xml:space="preserve">které se staly splatnými </w:t>
      </w:r>
      <w:r w:rsidRPr="00C4756C">
        <w:rPr>
          <w:rFonts w:ascii="Times New Roman" w:hAnsi="Times New Roman" w:cs="Times New Roman"/>
          <w:sz w:val="24"/>
          <w:szCs w:val="24"/>
        </w:rPr>
        <w:t>ode dne nabytí účinnosti tohoto zákona.</w:t>
      </w:r>
    </w:p>
    <w:p w14:paraId="4059A304" w14:textId="77777777" w:rsidR="008A5EC8" w:rsidRPr="00E8290B" w:rsidRDefault="008A5EC8" w:rsidP="00B174BE">
      <w:pPr>
        <w:spacing w:before="120" w:after="0" w:line="240" w:lineRule="auto"/>
        <w:jc w:val="both"/>
        <w:rPr>
          <w:rFonts w:ascii="Times New Roman" w:hAnsi="Times New Roman" w:cs="Times New Roman"/>
          <w:sz w:val="24"/>
          <w:szCs w:val="24"/>
        </w:rPr>
      </w:pPr>
      <w:r w:rsidRPr="0075748D">
        <w:rPr>
          <w:rFonts w:ascii="Times New Roman" w:hAnsi="Times New Roman" w:cs="Times New Roman"/>
          <w:sz w:val="24"/>
          <w:szCs w:val="24"/>
        </w:rPr>
        <w:t>K vymáhání pořádkových pokut ukládaných podle občanského soudního řádu, stejně tak jako pohledávek uvedených v § 148 odst. 1 a 2 o.s.ř. a pokut ukládaných v rámci výkonu rozhodnutí podle § 351 o.s.ř.</w:t>
      </w:r>
      <w:r w:rsidR="00595931" w:rsidRPr="00C73914">
        <w:rPr>
          <w:rFonts w:ascii="Times New Roman" w:hAnsi="Times New Roman" w:cs="Times New Roman"/>
          <w:sz w:val="24"/>
          <w:szCs w:val="24"/>
        </w:rPr>
        <w:t>,</w:t>
      </w:r>
      <w:r w:rsidR="009C2B36" w:rsidRPr="004C4D15">
        <w:rPr>
          <w:rFonts w:ascii="Times New Roman" w:hAnsi="Times New Roman" w:cs="Times New Roman"/>
          <w:sz w:val="24"/>
          <w:szCs w:val="24"/>
        </w:rPr>
        <w:t xml:space="preserve"> </w:t>
      </w:r>
      <w:r w:rsidRPr="003A3B7D">
        <w:rPr>
          <w:rFonts w:ascii="Times New Roman" w:hAnsi="Times New Roman" w:cs="Times New Roman"/>
          <w:sz w:val="24"/>
          <w:szCs w:val="24"/>
        </w:rPr>
        <w:t>bude Celní správa příslušná pouze v případ</w:t>
      </w:r>
      <w:r w:rsidRPr="002D07D4">
        <w:rPr>
          <w:rFonts w:ascii="Times New Roman" w:hAnsi="Times New Roman" w:cs="Times New Roman"/>
          <w:sz w:val="24"/>
          <w:szCs w:val="24"/>
        </w:rPr>
        <w:t>ě těch pohledávek,</w:t>
      </w:r>
      <w:r w:rsidR="00330702">
        <w:rPr>
          <w:rFonts w:ascii="Times New Roman" w:hAnsi="Times New Roman" w:cs="Times New Roman"/>
          <w:sz w:val="24"/>
          <w:szCs w:val="24"/>
        </w:rPr>
        <w:t> </w:t>
      </w:r>
      <w:r w:rsidRPr="002D07D4">
        <w:rPr>
          <w:rFonts w:ascii="Times New Roman" w:hAnsi="Times New Roman" w:cs="Times New Roman"/>
          <w:sz w:val="24"/>
          <w:szCs w:val="24"/>
        </w:rPr>
        <w:t>které vzniknou (které se staly splatnými) ode dne nabytí účinnosti tohoto zákona. Příslušnost k vymáhání pohledávek, které vznikly přede dnem účinnosti tohoto zákona, se nemění, tj. tyto pohledávky i nadále budou vymáhány přímo soudy neb</w:t>
      </w:r>
      <w:r w:rsidRPr="00E8290B">
        <w:rPr>
          <w:rFonts w:ascii="Times New Roman" w:hAnsi="Times New Roman" w:cs="Times New Roman"/>
          <w:sz w:val="24"/>
          <w:szCs w:val="24"/>
        </w:rPr>
        <w:t xml:space="preserve">o prostřednictvím soudního exekutora. </w:t>
      </w:r>
    </w:p>
    <w:p w14:paraId="49CF9DDB" w14:textId="77777777" w:rsidR="008A5EC8" w:rsidRPr="00E8290B" w:rsidRDefault="008A5EC8" w:rsidP="00B174BE">
      <w:pPr>
        <w:spacing w:before="120" w:after="0" w:line="240" w:lineRule="auto"/>
        <w:rPr>
          <w:rFonts w:ascii="Times New Roman" w:hAnsi="Times New Roman" w:cs="Times New Roman"/>
          <w:sz w:val="24"/>
          <w:szCs w:val="24"/>
          <w:lang w:eastAsia="x-none"/>
        </w:rPr>
      </w:pPr>
    </w:p>
    <w:p w14:paraId="3CE7A663" w14:textId="77777777" w:rsidR="008A5EC8" w:rsidRPr="000E3EDA" w:rsidRDefault="008A5EC8" w:rsidP="00B174BE">
      <w:pPr>
        <w:pStyle w:val="NADPISSTI"/>
        <w:spacing w:before="120"/>
        <w:jc w:val="both"/>
        <w:rPr>
          <w:szCs w:val="24"/>
        </w:rPr>
      </w:pPr>
      <w:r w:rsidRPr="000E3EDA">
        <w:rPr>
          <w:szCs w:val="24"/>
        </w:rPr>
        <w:lastRenderedPageBreak/>
        <w:t xml:space="preserve">K části </w:t>
      </w:r>
      <w:r w:rsidR="006C159B">
        <w:rPr>
          <w:szCs w:val="24"/>
          <w:lang w:val="cs-CZ"/>
        </w:rPr>
        <w:t>třetí</w:t>
      </w:r>
      <w:r w:rsidRPr="000E3EDA">
        <w:rPr>
          <w:szCs w:val="24"/>
        </w:rPr>
        <w:t xml:space="preserve"> – změna zákona o soudních poplatcích</w:t>
      </w:r>
    </w:p>
    <w:p w14:paraId="1DE6F6EA" w14:textId="77777777" w:rsidR="008A5EC8" w:rsidRPr="006C159B" w:rsidRDefault="008A5EC8" w:rsidP="00B174BE">
      <w:pPr>
        <w:pStyle w:val="NADPISSTI"/>
        <w:spacing w:before="120"/>
        <w:jc w:val="both"/>
        <w:rPr>
          <w:b w:val="0"/>
          <w:szCs w:val="24"/>
          <w:lang w:val="cs-CZ"/>
        </w:rPr>
      </w:pPr>
      <w:r w:rsidRPr="000E3EDA">
        <w:rPr>
          <w:b w:val="0"/>
          <w:szCs w:val="24"/>
        </w:rPr>
        <w:t>V souladu s obecnou částí důvodové zprávy se stanovuje, že k vymáhání soudních poplatků budou napříště příslušné celní úřady. V návaznosti na tuto změnu se upravuje</w:t>
      </w:r>
      <w:r w:rsidR="00EF635B">
        <w:rPr>
          <w:b w:val="0"/>
          <w:szCs w:val="24"/>
        </w:rPr>
        <w:t xml:space="preserve"> i</w:t>
      </w:r>
      <w:r w:rsidR="00EF635B">
        <w:rPr>
          <w:b w:val="0"/>
          <w:szCs w:val="24"/>
          <w:lang w:val="cs-CZ"/>
        </w:rPr>
        <w:t> </w:t>
      </w:r>
      <w:r w:rsidR="00EF635B">
        <w:rPr>
          <w:b w:val="0"/>
          <w:szCs w:val="24"/>
        </w:rPr>
        <w:t>§</w:t>
      </w:r>
      <w:r w:rsidR="00EF635B">
        <w:rPr>
          <w:b w:val="0"/>
          <w:szCs w:val="24"/>
          <w:lang w:val="cs-CZ"/>
        </w:rPr>
        <w:t> </w:t>
      </w:r>
      <w:r w:rsidR="00EF635B">
        <w:rPr>
          <w:b w:val="0"/>
          <w:szCs w:val="24"/>
        </w:rPr>
        <w:t>8</w:t>
      </w:r>
      <w:r w:rsidR="00EF635B">
        <w:rPr>
          <w:b w:val="0"/>
          <w:szCs w:val="24"/>
          <w:lang w:val="cs-CZ"/>
        </w:rPr>
        <w:t> </w:t>
      </w:r>
      <w:r w:rsidR="00EF635B">
        <w:rPr>
          <w:b w:val="0"/>
          <w:szCs w:val="24"/>
        </w:rPr>
        <w:t>odst.</w:t>
      </w:r>
      <w:r w:rsidR="00EF635B">
        <w:rPr>
          <w:b w:val="0"/>
          <w:szCs w:val="24"/>
          <w:lang w:val="cs-CZ"/>
        </w:rPr>
        <w:t> </w:t>
      </w:r>
      <w:r w:rsidR="00EF635B">
        <w:rPr>
          <w:b w:val="0"/>
          <w:szCs w:val="24"/>
        </w:rPr>
        <w:t>3,</w:t>
      </w:r>
      <w:r w:rsidR="00EF635B">
        <w:rPr>
          <w:b w:val="0"/>
          <w:szCs w:val="24"/>
          <w:lang w:val="cs-CZ"/>
        </w:rPr>
        <w:t> </w:t>
      </w:r>
      <w:r w:rsidRPr="000E3EDA">
        <w:rPr>
          <w:b w:val="0"/>
          <w:szCs w:val="24"/>
        </w:rPr>
        <w:t>neboť p</w:t>
      </w:r>
      <w:r w:rsidRPr="000E3EDA">
        <w:rPr>
          <w:b w:val="0"/>
          <w:szCs w:val="24"/>
          <w:lang w:val="cs-CZ"/>
        </w:rPr>
        <w:t xml:space="preserve">ůsobnost </w:t>
      </w:r>
      <w:r w:rsidRPr="000E3EDA">
        <w:rPr>
          <w:b w:val="0"/>
          <w:szCs w:val="24"/>
        </w:rPr>
        <w:t>této normy je třeba omezit pouze na proces vybírání; poplatky vymáhané celním úřadem se budou platit na příslušný účet celního úřadu.</w:t>
      </w:r>
    </w:p>
    <w:p w14:paraId="409B2568" w14:textId="77777777" w:rsidR="000E3EDA" w:rsidRPr="0004360C" w:rsidRDefault="000E3EDA" w:rsidP="00B174BE">
      <w:pPr>
        <w:spacing w:before="120" w:after="0" w:line="240" w:lineRule="auto"/>
        <w:rPr>
          <w:rFonts w:ascii="Times New Roman" w:hAnsi="Times New Roman" w:cs="Times New Roman"/>
          <w:sz w:val="24"/>
          <w:szCs w:val="24"/>
          <w:lang w:eastAsia="x-none"/>
        </w:rPr>
      </w:pPr>
    </w:p>
    <w:p w14:paraId="1AF6DBAD" w14:textId="77777777" w:rsidR="008A5EC8" w:rsidRPr="00C4756C" w:rsidRDefault="008A5EC8" w:rsidP="00B174BE">
      <w:pPr>
        <w:spacing w:before="120" w:after="0" w:line="240" w:lineRule="auto"/>
        <w:jc w:val="both"/>
        <w:rPr>
          <w:rFonts w:ascii="Times New Roman" w:hAnsi="Times New Roman" w:cs="Times New Roman"/>
          <w:sz w:val="24"/>
          <w:szCs w:val="24"/>
        </w:rPr>
      </w:pPr>
      <w:r w:rsidRPr="0004360C">
        <w:rPr>
          <w:rFonts w:ascii="Times New Roman" w:hAnsi="Times New Roman" w:cs="Times New Roman"/>
          <w:sz w:val="24"/>
          <w:szCs w:val="24"/>
          <w:u w:val="single"/>
        </w:rPr>
        <w:t>K přechodnému ustanovení:</w:t>
      </w:r>
      <w:r w:rsidR="009C2B36" w:rsidRPr="00C4756C">
        <w:rPr>
          <w:rFonts w:ascii="Times New Roman" w:hAnsi="Times New Roman" w:cs="Times New Roman"/>
          <w:sz w:val="24"/>
          <w:szCs w:val="24"/>
          <w:u w:val="single"/>
        </w:rPr>
        <w:t xml:space="preserve"> </w:t>
      </w:r>
    </w:p>
    <w:p w14:paraId="0B564DF9" w14:textId="77777777" w:rsidR="008A5EC8" w:rsidRPr="00C73914" w:rsidRDefault="008A5EC8" w:rsidP="00B174BE">
      <w:pPr>
        <w:spacing w:before="120" w:after="0" w:line="240" w:lineRule="auto"/>
        <w:jc w:val="both"/>
        <w:rPr>
          <w:rFonts w:ascii="Times New Roman" w:hAnsi="Times New Roman" w:cs="Times New Roman"/>
          <w:sz w:val="24"/>
          <w:szCs w:val="24"/>
        </w:rPr>
      </w:pPr>
      <w:r w:rsidRPr="00C4756C">
        <w:rPr>
          <w:rFonts w:ascii="Times New Roman" w:hAnsi="Times New Roman" w:cs="Times New Roman"/>
          <w:sz w:val="24"/>
          <w:szCs w:val="24"/>
        </w:rPr>
        <w:t>K vymáhání soudních poplatků bude Celní správa příslušná pouze v případě těch pohledávek,</w:t>
      </w:r>
      <w:r w:rsidR="00330702">
        <w:rPr>
          <w:rFonts w:ascii="Times New Roman" w:hAnsi="Times New Roman" w:cs="Times New Roman"/>
          <w:sz w:val="24"/>
          <w:szCs w:val="24"/>
        </w:rPr>
        <w:t> </w:t>
      </w:r>
      <w:r w:rsidRPr="00C4756C">
        <w:rPr>
          <w:rFonts w:ascii="Times New Roman" w:hAnsi="Times New Roman" w:cs="Times New Roman"/>
          <w:sz w:val="24"/>
          <w:szCs w:val="24"/>
        </w:rPr>
        <w:t>které vzniknou (které se staly splatnými) ode dne nabytí účinnosti tohoto zákona. Příslušnost k vymáhání pohledávek, které vznikly přede dnem účinnosti tohoto zákona, se nemění, tj. tyto po</w:t>
      </w:r>
      <w:r w:rsidRPr="0075748D">
        <w:rPr>
          <w:rFonts w:ascii="Times New Roman" w:hAnsi="Times New Roman" w:cs="Times New Roman"/>
          <w:sz w:val="24"/>
          <w:szCs w:val="24"/>
        </w:rPr>
        <w:t>hledávky i nadále budou vymáhány přímo</w:t>
      </w:r>
      <w:r w:rsidRPr="00C73914">
        <w:rPr>
          <w:rFonts w:ascii="Times New Roman" w:hAnsi="Times New Roman" w:cs="Times New Roman"/>
          <w:sz w:val="24"/>
          <w:szCs w:val="24"/>
        </w:rPr>
        <w:t xml:space="preserve"> soudy nebo prostřednictvím soudního exekutora. </w:t>
      </w:r>
    </w:p>
    <w:p w14:paraId="08F9FFEF" w14:textId="77777777" w:rsidR="008A5EC8" w:rsidRPr="000E3EDA" w:rsidRDefault="008A5EC8" w:rsidP="00B174BE">
      <w:pPr>
        <w:pStyle w:val="NADPISSTI"/>
        <w:spacing w:before="120"/>
        <w:jc w:val="both"/>
        <w:rPr>
          <w:szCs w:val="24"/>
          <w:u w:val="single"/>
          <w:lang w:val="cs-CZ"/>
        </w:rPr>
      </w:pPr>
    </w:p>
    <w:p w14:paraId="79DC2952" w14:textId="77777777" w:rsidR="008A5EC8" w:rsidRPr="000E3EDA" w:rsidRDefault="008A5EC8" w:rsidP="00B174BE">
      <w:pPr>
        <w:pStyle w:val="NADPISSTI"/>
        <w:spacing w:before="120"/>
        <w:jc w:val="both"/>
        <w:rPr>
          <w:szCs w:val="24"/>
        </w:rPr>
      </w:pPr>
      <w:r w:rsidRPr="000E3EDA">
        <w:rPr>
          <w:szCs w:val="24"/>
        </w:rPr>
        <w:t xml:space="preserve">K části </w:t>
      </w:r>
      <w:r w:rsidR="006C159B">
        <w:rPr>
          <w:szCs w:val="24"/>
          <w:lang w:val="cs-CZ"/>
        </w:rPr>
        <w:t>čtvrt</w:t>
      </w:r>
      <w:r w:rsidRPr="000E3EDA">
        <w:rPr>
          <w:szCs w:val="24"/>
          <w:lang w:val="cs-CZ"/>
        </w:rPr>
        <w:t>é</w:t>
      </w:r>
      <w:r w:rsidRPr="000E3EDA">
        <w:rPr>
          <w:szCs w:val="24"/>
        </w:rPr>
        <w:t xml:space="preserve"> – změna zákona o státním zastupitelství</w:t>
      </w:r>
    </w:p>
    <w:p w14:paraId="0E2A2328" w14:textId="77777777" w:rsidR="008A5EC8" w:rsidRPr="0004360C" w:rsidRDefault="008A5EC8" w:rsidP="00B174BE">
      <w:pPr>
        <w:spacing w:before="120" w:after="0" w:line="240" w:lineRule="auto"/>
        <w:jc w:val="both"/>
        <w:rPr>
          <w:rFonts w:ascii="Times New Roman" w:hAnsi="Times New Roman" w:cs="Times New Roman"/>
          <w:sz w:val="24"/>
          <w:szCs w:val="24"/>
        </w:rPr>
      </w:pPr>
      <w:r w:rsidRPr="0004360C">
        <w:rPr>
          <w:rFonts w:ascii="Times New Roman" w:hAnsi="Times New Roman" w:cs="Times New Roman"/>
          <w:sz w:val="24"/>
          <w:szCs w:val="24"/>
        </w:rPr>
        <w:t>V souladu s obecnou částí důvodové zprávy se stanovuje, že k vymáhání pořádkových pokut uložených podle zákona o státním zastupitelství budou napříště příslušné celní úřady. Úprava pořádkových pokut podle zákona o státním zastupitelství se přitom systematicky upravuje na jednom místě.</w:t>
      </w:r>
    </w:p>
    <w:p w14:paraId="01936C75" w14:textId="77777777" w:rsidR="008A5EC8" w:rsidRPr="00C4756C" w:rsidRDefault="008A5EC8" w:rsidP="00B174BE">
      <w:pPr>
        <w:spacing w:before="120" w:after="0" w:line="240" w:lineRule="auto"/>
        <w:jc w:val="both"/>
        <w:rPr>
          <w:rFonts w:ascii="Times New Roman" w:hAnsi="Times New Roman" w:cs="Times New Roman"/>
          <w:sz w:val="24"/>
          <w:szCs w:val="24"/>
        </w:rPr>
      </w:pPr>
    </w:p>
    <w:p w14:paraId="0FB47D74" w14:textId="77777777" w:rsidR="008A5EC8" w:rsidRPr="004C4D15" w:rsidRDefault="008A5EC8" w:rsidP="00B174BE">
      <w:pPr>
        <w:spacing w:before="120" w:after="0" w:line="240" w:lineRule="auto"/>
        <w:jc w:val="both"/>
        <w:rPr>
          <w:rFonts w:ascii="Times New Roman" w:hAnsi="Times New Roman" w:cs="Times New Roman"/>
          <w:sz w:val="24"/>
          <w:szCs w:val="24"/>
        </w:rPr>
      </w:pPr>
      <w:r w:rsidRPr="0075748D">
        <w:rPr>
          <w:rFonts w:ascii="Times New Roman" w:hAnsi="Times New Roman" w:cs="Times New Roman"/>
          <w:sz w:val="24"/>
          <w:szCs w:val="24"/>
          <w:u w:val="single"/>
        </w:rPr>
        <w:t>K přechodnému ustanovení:</w:t>
      </w:r>
      <w:r w:rsidR="009C2B36" w:rsidRPr="00C73914">
        <w:rPr>
          <w:rFonts w:ascii="Times New Roman" w:hAnsi="Times New Roman" w:cs="Times New Roman"/>
          <w:sz w:val="24"/>
          <w:szCs w:val="24"/>
          <w:u w:val="single"/>
        </w:rPr>
        <w:t xml:space="preserve"> </w:t>
      </w:r>
    </w:p>
    <w:p w14:paraId="1A3D806B" w14:textId="77777777" w:rsidR="008A5EC8" w:rsidRPr="006C159B" w:rsidRDefault="008A5EC8" w:rsidP="00B174BE">
      <w:pPr>
        <w:spacing w:before="120" w:after="0" w:line="240" w:lineRule="auto"/>
        <w:jc w:val="both"/>
        <w:rPr>
          <w:rFonts w:ascii="Times New Roman" w:hAnsi="Times New Roman" w:cs="Times New Roman"/>
          <w:sz w:val="24"/>
          <w:szCs w:val="24"/>
        </w:rPr>
      </w:pPr>
      <w:r w:rsidRPr="00713AC6">
        <w:rPr>
          <w:rFonts w:ascii="Times New Roman" w:hAnsi="Times New Roman" w:cs="Times New Roman"/>
          <w:sz w:val="24"/>
          <w:szCs w:val="24"/>
        </w:rPr>
        <w:t xml:space="preserve">K vymáhání pořádkových pokut uložených podle zákona o státním zastupitelství bude Celní správa </w:t>
      </w:r>
      <w:r w:rsidRPr="00E8290B">
        <w:rPr>
          <w:rFonts w:ascii="Times New Roman" w:hAnsi="Times New Roman" w:cs="Times New Roman"/>
          <w:sz w:val="24"/>
          <w:szCs w:val="24"/>
        </w:rPr>
        <w:t xml:space="preserve">příslušná pouze v případě těch pohledávek, které vzniknou (které se staly splatnými) ode dne nabytí účinnosti tohoto zákona. Příslušnost k vymáhání pohledávek, které vznikly přede dnem účinnosti tohoto zákona, se nemění, tj. tyto pohledávky i nadále budou </w:t>
      </w:r>
      <w:r w:rsidRPr="006C159B">
        <w:rPr>
          <w:rFonts w:ascii="Times New Roman" w:hAnsi="Times New Roman" w:cs="Times New Roman"/>
          <w:sz w:val="24"/>
          <w:szCs w:val="24"/>
        </w:rPr>
        <w:t xml:space="preserve">vymáhány přímo státním zastupitelstvím nebo prostřednictvím soudního exekutora. </w:t>
      </w:r>
    </w:p>
    <w:p w14:paraId="44744D78" w14:textId="77777777" w:rsidR="008A5EC8" w:rsidRPr="000E3EDA" w:rsidRDefault="008A5EC8" w:rsidP="00B174BE">
      <w:pPr>
        <w:pStyle w:val="NADPISSTI"/>
        <w:spacing w:before="120"/>
        <w:jc w:val="both"/>
        <w:rPr>
          <w:color w:val="000000"/>
          <w:szCs w:val="24"/>
        </w:rPr>
      </w:pPr>
    </w:p>
    <w:p w14:paraId="3CCCC674" w14:textId="77777777" w:rsidR="008A5EC8" w:rsidRPr="000E3EDA" w:rsidRDefault="008A5EC8" w:rsidP="00B174BE">
      <w:pPr>
        <w:pStyle w:val="NADPISSTI"/>
        <w:spacing w:before="120"/>
        <w:jc w:val="both"/>
        <w:rPr>
          <w:szCs w:val="24"/>
        </w:rPr>
      </w:pPr>
      <w:r w:rsidRPr="000E3EDA">
        <w:rPr>
          <w:szCs w:val="24"/>
        </w:rPr>
        <w:t xml:space="preserve">K části </w:t>
      </w:r>
      <w:r w:rsidR="006C159B">
        <w:rPr>
          <w:szCs w:val="24"/>
          <w:lang w:val="cs-CZ"/>
        </w:rPr>
        <w:t>páté</w:t>
      </w:r>
      <w:r w:rsidRPr="000E3EDA">
        <w:rPr>
          <w:szCs w:val="24"/>
        </w:rPr>
        <w:t xml:space="preserve"> – změna zákona o výkonu vazby</w:t>
      </w:r>
    </w:p>
    <w:p w14:paraId="16E627CF" w14:textId="77777777" w:rsidR="008A5EC8" w:rsidRPr="000E3EDA" w:rsidRDefault="008A5EC8" w:rsidP="00B174BE">
      <w:pPr>
        <w:pStyle w:val="NADPISSTI"/>
        <w:spacing w:before="120"/>
        <w:jc w:val="both"/>
        <w:rPr>
          <w:b w:val="0"/>
          <w:color w:val="000000"/>
          <w:szCs w:val="24"/>
          <w:lang w:val="cs-CZ"/>
        </w:rPr>
      </w:pPr>
      <w:r w:rsidRPr="000E3EDA">
        <w:rPr>
          <w:b w:val="0"/>
          <w:color w:val="000000"/>
          <w:szCs w:val="24"/>
          <w:lang w:val="cs-CZ"/>
        </w:rPr>
        <w:t xml:space="preserve">V rámci legislativní techniky se vydělují společná ustanovení platná pro vymáhání výkonu vazby, nákladů spojených s výkonem vazby a náhrady škody podle § 21b do samostatného ustanovení. K bližšímu odůvodnění lze odkázat na odůvodnění ke změnám § 35 odst. 3 a 4 a § 36 odst. 4 </w:t>
      </w:r>
      <w:r w:rsidR="00BE3E06" w:rsidRPr="000E3EDA">
        <w:rPr>
          <w:b w:val="0"/>
          <w:color w:val="000000"/>
          <w:szCs w:val="24"/>
          <w:lang w:val="cs-CZ"/>
        </w:rPr>
        <w:t>ZVTOS</w:t>
      </w:r>
      <w:r w:rsidRPr="000E3EDA">
        <w:rPr>
          <w:b w:val="0"/>
          <w:color w:val="000000"/>
          <w:szCs w:val="24"/>
          <w:lang w:val="cs-CZ"/>
        </w:rPr>
        <w:t xml:space="preserve">, které jsou obsaženy v části </w:t>
      </w:r>
      <w:r w:rsidR="00BC79A3">
        <w:rPr>
          <w:b w:val="0"/>
          <w:color w:val="000000"/>
          <w:szCs w:val="24"/>
          <w:lang w:val="cs-CZ"/>
        </w:rPr>
        <w:t>šesté</w:t>
      </w:r>
      <w:r w:rsidRPr="000E3EDA">
        <w:rPr>
          <w:b w:val="0"/>
          <w:color w:val="000000"/>
          <w:szCs w:val="24"/>
          <w:lang w:val="cs-CZ"/>
        </w:rPr>
        <w:t xml:space="preserve"> tohoto návrhu.</w:t>
      </w:r>
    </w:p>
    <w:p w14:paraId="1691F79C" w14:textId="77777777" w:rsidR="008A5EC8" w:rsidRPr="0004360C" w:rsidRDefault="008A5EC8" w:rsidP="00B174BE">
      <w:pPr>
        <w:spacing w:before="120" w:after="0" w:line="240" w:lineRule="auto"/>
        <w:ind w:firstLine="426"/>
        <w:jc w:val="both"/>
        <w:rPr>
          <w:rFonts w:ascii="Times New Roman" w:hAnsi="Times New Roman" w:cs="Times New Roman"/>
          <w:b/>
          <w:sz w:val="24"/>
          <w:szCs w:val="24"/>
        </w:rPr>
      </w:pPr>
      <w:r w:rsidRPr="0004360C">
        <w:rPr>
          <w:rFonts w:ascii="Times New Roman" w:hAnsi="Times New Roman" w:cs="Times New Roman"/>
          <w:b/>
          <w:sz w:val="24"/>
          <w:szCs w:val="24"/>
        </w:rPr>
        <w:t xml:space="preserve"> </w:t>
      </w:r>
    </w:p>
    <w:p w14:paraId="78D4D31E" w14:textId="77777777" w:rsidR="008A5EC8" w:rsidRPr="0004360C" w:rsidRDefault="008A5EC8" w:rsidP="00B174BE">
      <w:pPr>
        <w:spacing w:before="120" w:after="0" w:line="240" w:lineRule="auto"/>
        <w:jc w:val="both"/>
        <w:rPr>
          <w:rFonts w:ascii="Times New Roman" w:hAnsi="Times New Roman" w:cs="Times New Roman"/>
          <w:sz w:val="24"/>
          <w:szCs w:val="24"/>
          <w:u w:val="single"/>
        </w:rPr>
      </w:pPr>
      <w:r w:rsidRPr="0004360C">
        <w:rPr>
          <w:rFonts w:ascii="Times New Roman" w:hAnsi="Times New Roman" w:cs="Times New Roman"/>
          <w:sz w:val="24"/>
          <w:szCs w:val="24"/>
          <w:u w:val="single"/>
        </w:rPr>
        <w:t xml:space="preserve">K přechodnému ustanovení </w:t>
      </w:r>
    </w:p>
    <w:p w14:paraId="17B40FA0" w14:textId="77777777" w:rsidR="008A5EC8" w:rsidRPr="00C4756C" w:rsidRDefault="008A5EC8" w:rsidP="00132608">
      <w:pPr>
        <w:spacing w:before="120" w:after="0" w:line="240" w:lineRule="auto"/>
        <w:jc w:val="both"/>
        <w:rPr>
          <w:rFonts w:ascii="Times New Roman" w:hAnsi="Times New Roman" w:cs="Times New Roman"/>
          <w:sz w:val="24"/>
          <w:szCs w:val="24"/>
        </w:rPr>
      </w:pPr>
      <w:r w:rsidRPr="0004360C">
        <w:rPr>
          <w:rFonts w:ascii="Times New Roman" w:hAnsi="Times New Roman" w:cs="Times New Roman"/>
          <w:sz w:val="24"/>
          <w:szCs w:val="24"/>
        </w:rPr>
        <w:t>Přechodné ustanovení k zákonu o výkonu vazby a zákonu o výkonu trestu odnětí svobody je koncipováno odlišně od přechodných ustanovení k novelám jiných předpisů obsaženým v tomto zákoně, které upravují kompetenci celního úřadu k vy</w:t>
      </w:r>
      <w:r w:rsidRPr="00C4756C">
        <w:rPr>
          <w:rFonts w:ascii="Times New Roman" w:hAnsi="Times New Roman" w:cs="Times New Roman"/>
          <w:sz w:val="24"/>
          <w:szCs w:val="24"/>
        </w:rPr>
        <w:t xml:space="preserve">máhání pohledávek. </w:t>
      </w:r>
    </w:p>
    <w:p w14:paraId="71C82BFD" w14:textId="236B2628" w:rsidR="008A5EC8" w:rsidRPr="008824A7" w:rsidRDefault="008A5EC8" w:rsidP="00B174BE">
      <w:pPr>
        <w:spacing w:before="120" w:after="0" w:line="240" w:lineRule="auto"/>
        <w:jc w:val="both"/>
        <w:rPr>
          <w:rFonts w:ascii="Times New Roman" w:hAnsi="Times New Roman" w:cs="Times New Roman"/>
          <w:sz w:val="24"/>
          <w:szCs w:val="24"/>
        </w:rPr>
      </w:pPr>
      <w:r w:rsidRPr="0075748D">
        <w:rPr>
          <w:rFonts w:ascii="Times New Roman" w:hAnsi="Times New Roman" w:cs="Times New Roman"/>
          <w:sz w:val="24"/>
          <w:szCs w:val="24"/>
        </w:rPr>
        <w:t>Celní správa je ochotna v těchto</w:t>
      </w:r>
      <w:r w:rsidRPr="00C73914">
        <w:rPr>
          <w:rFonts w:ascii="Times New Roman" w:hAnsi="Times New Roman" w:cs="Times New Roman"/>
          <w:sz w:val="24"/>
          <w:szCs w:val="24"/>
        </w:rPr>
        <w:t xml:space="preserve"> případech převzít a vymáhat i starší pohledávky vzniklé před účinností tohoto zákona, což v případech pohledávek dnes spravovaných soudy a státními zastupitelstvími z kapacitních důvodů ochotna není. </w:t>
      </w:r>
      <w:r w:rsidR="00EF635B">
        <w:rPr>
          <w:rFonts w:ascii="Times New Roman" w:hAnsi="Times New Roman" w:cs="Times New Roman"/>
          <w:sz w:val="24"/>
          <w:szCs w:val="24"/>
        </w:rPr>
        <w:t>Zároveň je zde</w:t>
      </w:r>
      <w:r w:rsidR="00BC79A3">
        <w:rPr>
          <w:rFonts w:ascii="Times New Roman" w:hAnsi="Times New Roman" w:cs="Times New Roman"/>
          <w:sz w:val="24"/>
          <w:szCs w:val="24"/>
        </w:rPr>
        <w:t xml:space="preserve"> </w:t>
      </w:r>
      <w:r w:rsidR="00EF635B">
        <w:rPr>
          <w:rFonts w:ascii="Times New Roman" w:hAnsi="Times New Roman" w:cs="Times New Roman"/>
          <w:sz w:val="24"/>
          <w:szCs w:val="24"/>
        </w:rPr>
        <w:t>předpoklad,</w:t>
      </w:r>
      <w:r w:rsidR="00FC7E65">
        <w:rPr>
          <w:rFonts w:ascii="Times New Roman" w:hAnsi="Times New Roman" w:cs="Times New Roman"/>
          <w:sz w:val="24"/>
          <w:szCs w:val="24"/>
        </w:rPr>
        <w:t xml:space="preserve"> </w:t>
      </w:r>
      <w:r w:rsidR="0001090F" w:rsidRPr="00E8290B">
        <w:rPr>
          <w:rFonts w:ascii="Times New Roman" w:hAnsi="Times New Roman" w:cs="Times New Roman"/>
          <w:sz w:val="24"/>
          <w:szCs w:val="24"/>
        </w:rPr>
        <w:t>že</w:t>
      </w:r>
      <w:r w:rsidR="00BC79A3">
        <w:rPr>
          <w:rFonts w:ascii="Times New Roman" w:hAnsi="Times New Roman" w:cs="Times New Roman"/>
          <w:sz w:val="24"/>
          <w:szCs w:val="24"/>
        </w:rPr>
        <w:t> </w:t>
      </w:r>
      <w:r w:rsidR="0001090F" w:rsidRPr="00E8290B">
        <w:rPr>
          <w:rFonts w:ascii="Times New Roman" w:hAnsi="Times New Roman" w:cs="Times New Roman"/>
          <w:sz w:val="24"/>
          <w:szCs w:val="24"/>
        </w:rPr>
        <w:t>u </w:t>
      </w:r>
      <w:r w:rsidRPr="00E8290B">
        <w:rPr>
          <w:rFonts w:ascii="Times New Roman" w:hAnsi="Times New Roman" w:cs="Times New Roman"/>
          <w:sz w:val="24"/>
          <w:szCs w:val="24"/>
        </w:rPr>
        <w:t>odsouzených, popř. obvi</w:t>
      </w:r>
      <w:r w:rsidRPr="006C159B">
        <w:rPr>
          <w:rFonts w:ascii="Times New Roman" w:hAnsi="Times New Roman" w:cs="Times New Roman"/>
          <w:sz w:val="24"/>
          <w:szCs w:val="24"/>
        </w:rPr>
        <w:t>něných, kteří budou mít neuhrazené náklady výkonu trestu, náklady spojené s výkonem trestu, náklady výkonu vazby, náklady spojené s výkonem vazby, škodu nebo nemajetkovou újmu, kterou způsobil</w:t>
      </w:r>
      <w:r w:rsidR="00BC3376" w:rsidRPr="006C159B">
        <w:rPr>
          <w:rFonts w:ascii="Times New Roman" w:hAnsi="Times New Roman" w:cs="Times New Roman"/>
          <w:sz w:val="24"/>
          <w:szCs w:val="24"/>
        </w:rPr>
        <w:t>i</w:t>
      </w:r>
      <w:r w:rsidRPr="006C159B">
        <w:rPr>
          <w:rFonts w:ascii="Times New Roman" w:hAnsi="Times New Roman" w:cs="Times New Roman"/>
          <w:sz w:val="24"/>
          <w:szCs w:val="24"/>
        </w:rPr>
        <w:t xml:space="preserve"> Vězeňské službě, bude zároveň z jiného titulu probíhat daňová exekuce</w:t>
      </w:r>
      <w:r w:rsidR="00A6197E" w:rsidRPr="00A80754">
        <w:rPr>
          <w:rFonts w:ascii="Times New Roman" w:hAnsi="Times New Roman" w:cs="Times New Roman"/>
          <w:sz w:val="24"/>
          <w:szCs w:val="24"/>
        </w:rPr>
        <w:t>,</w:t>
      </w:r>
      <w:r w:rsidRPr="008824A7">
        <w:rPr>
          <w:rFonts w:ascii="Times New Roman" w:hAnsi="Times New Roman" w:cs="Times New Roman"/>
          <w:sz w:val="24"/>
          <w:szCs w:val="24"/>
        </w:rPr>
        <w:t xml:space="preserve"> a tak tímto způsobem dojde k žádoucí koncentraci vymáhání </w:t>
      </w:r>
      <w:r w:rsidRPr="008824A7">
        <w:rPr>
          <w:rFonts w:ascii="Times New Roman" w:hAnsi="Times New Roman" w:cs="Times New Roman"/>
          <w:sz w:val="24"/>
          <w:szCs w:val="24"/>
        </w:rPr>
        <w:lastRenderedPageBreak/>
        <w:t>pohledávek státu po těchto osobách, což bude efektivnější a pro samotné odsouzené/obviněné i méně zatěžující.</w:t>
      </w:r>
    </w:p>
    <w:p w14:paraId="274C71F6" w14:textId="77777777" w:rsidR="008A5EC8" w:rsidRPr="008824A7" w:rsidRDefault="008A5EC8" w:rsidP="001D06F1">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 xml:space="preserve">Pohledávky, které vznikly před účinností tohoto zákona a které již byly předány k vymáhání soudnímu exekutorovi, však z procesních důvodů nebudou Celní správě předávány. </w:t>
      </w:r>
    </w:p>
    <w:p w14:paraId="3ABCB752" w14:textId="77777777" w:rsidR="00BC79A3" w:rsidRDefault="00BC79A3" w:rsidP="00B174BE">
      <w:pPr>
        <w:pStyle w:val="NADPISSTI"/>
        <w:spacing w:before="120"/>
        <w:jc w:val="both"/>
        <w:rPr>
          <w:szCs w:val="24"/>
        </w:rPr>
      </w:pPr>
    </w:p>
    <w:p w14:paraId="74D18D2B" w14:textId="77777777" w:rsidR="008A5EC8" w:rsidRPr="000E3EDA" w:rsidRDefault="008A5EC8" w:rsidP="00B174BE">
      <w:pPr>
        <w:pStyle w:val="NADPISSTI"/>
        <w:spacing w:before="120"/>
        <w:jc w:val="both"/>
        <w:rPr>
          <w:szCs w:val="24"/>
        </w:rPr>
      </w:pPr>
      <w:r w:rsidRPr="000E3EDA">
        <w:rPr>
          <w:szCs w:val="24"/>
        </w:rPr>
        <w:t xml:space="preserve">K části </w:t>
      </w:r>
      <w:r w:rsidR="006C159B">
        <w:rPr>
          <w:szCs w:val="24"/>
          <w:lang w:val="cs-CZ"/>
        </w:rPr>
        <w:t>šesté</w:t>
      </w:r>
      <w:r w:rsidRPr="000E3EDA">
        <w:rPr>
          <w:szCs w:val="24"/>
        </w:rPr>
        <w:t xml:space="preserve"> – změna zákona o výkonu trestu odnětí svobody</w:t>
      </w:r>
    </w:p>
    <w:p w14:paraId="2621964C" w14:textId="77777777" w:rsidR="008A5EC8" w:rsidRPr="0004360C" w:rsidRDefault="008A5EC8" w:rsidP="00B174BE">
      <w:pPr>
        <w:widowControl w:val="0"/>
        <w:autoSpaceDE w:val="0"/>
        <w:autoSpaceDN w:val="0"/>
        <w:adjustRightInd w:val="0"/>
        <w:spacing w:before="120" w:after="0" w:line="240" w:lineRule="auto"/>
        <w:rPr>
          <w:rFonts w:ascii="Times New Roman" w:hAnsi="Times New Roman" w:cs="Times New Roman"/>
          <w:sz w:val="24"/>
          <w:szCs w:val="24"/>
          <w:u w:val="single"/>
        </w:rPr>
      </w:pPr>
      <w:r w:rsidRPr="0004360C">
        <w:rPr>
          <w:rFonts w:ascii="Times New Roman" w:hAnsi="Times New Roman" w:cs="Times New Roman"/>
          <w:sz w:val="24"/>
          <w:szCs w:val="24"/>
          <w:u w:val="single"/>
        </w:rPr>
        <w:t xml:space="preserve">K bodu 1 (§ 25 odst. 4) </w:t>
      </w:r>
    </w:p>
    <w:p w14:paraId="718F95D5" w14:textId="77777777" w:rsidR="008A5EC8" w:rsidRPr="0075748D"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r w:rsidRPr="0004360C">
        <w:rPr>
          <w:rFonts w:ascii="Times New Roman" w:hAnsi="Times New Roman" w:cs="Times New Roman"/>
          <w:sz w:val="24"/>
          <w:szCs w:val="24"/>
        </w:rPr>
        <w:t xml:space="preserve">Ustanovení § 25 odst. 4 </w:t>
      </w:r>
      <w:r w:rsidR="00BC3376" w:rsidRPr="0004360C">
        <w:rPr>
          <w:rFonts w:ascii="Times New Roman" w:hAnsi="Times New Roman" w:cs="Times New Roman"/>
          <w:sz w:val="24"/>
          <w:szCs w:val="24"/>
        </w:rPr>
        <w:t xml:space="preserve">ZVTOS </w:t>
      </w:r>
      <w:r w:rsidRPr="00C4756C">
        <w:rPr>
          <w:rFonts w:ascii="Times New Roman" w:hAnsi="Times New Roman" w:cs="Times New Roman"/>
          <w:sz w:val="24"/>
          <w:szCs w:val="24"/>
        </w:rPr>
        <w:t>omezuje odsouzeného v dispozici s penězi, které mu byly zaslány do věznice v případě, pokud má neuhrazené pohledávky, jejichž výčet je v tomto ustanovení uveden. V tomto případě může k úhradě za poskytnuté zdravotní služby nehrazené z veřejného zdravotního pojištění a nákupu použít pouze polovinu zaslaných peněžních prostředků, druhou polovinu pak může použít pouze k úhradě uvedených pohledávek.</w:t>
      </w:r>
    </w:p>
    <w:p w14:paraId="2C73FD5F" w14:textId="5B0274FC"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r w:rsidRPr="00C73914">
        <w:rPr>
          <w:rFonts w:ascii="Times New Roman" w:hAnsi="Times New Roman" w:cs="Times New Roman"/>
          <w:sz w:val="24"/>
          <w:szCs w:val="24"/>
        </w:rPr>
        <w:t xml:space="preserve">Navrhuje se aktualizovat výčet pohledávek, jejichž neuhrazení brání odsouzenému </w:t>
      </w:r>
      <w:r w:rsidR="00BC3376" w:rsidRPr="004C4D15">
        <w:rPr>
          <w:rFonts w:ascii="Times New Roman" w:hAnsi="Times New Roman" w:cs="Times New Roman"/>
          <w:sz w:val="24"/>
          <w:szCs w:val="24"/>
        </w:rPr>
        <w:t>v</w:t>
      </w:r>
      <w:r w:rsidRPr="003A3B7D">
        <w:rPr>
          <w:rFonts w:ascii="Times New Roman" w:hAnsi="Times New Roman" w:cs="Times New Roman"/>
          <w:sz w:val="24"/>
          <w:szCs w:val="24"/>
        </w:rPr>
        <w:t> dispozici s celou částkou, která mu byla zaslána</w:t>
      </w:r>
      <w:r w:rsidR="00BC3376" w:rsidRPr="00E8290B">
        <w:rPr>
          <w:rFonts w:ascii="Times New Roman" w:hAnsi="Times New Roman" w:cs="Times New Roman"/>
          <w:sz w:val="24"/>
          <w:szCs w:val="24"/>
        </w:rPr>
        <w:t>,</w:t>
      </w:r>
      <w:r w:rsidRPr="00E8290B">
        <w:rPr>
          <w:rFonts w:ascii="Times New Roman" w:hAnsi="Times New Roman" w:cs="Times New Roman"/>
          <w:sz w:val="24"/>
          <w:szCs w:val="24"/>
        </w:rPr>
        <w:t xml:space="preserve"> tak</w:t>
      </w:r>
      <w:r w:rsidR="00BC3376" w:rsidRPr="006C159B">
        <w:rPr>
          <w:rFonts w:ascii="Times New Roman" w:hAnsi="Times New Roman" w:cs="Times New Roman"/>
          <w:sz w:val="24"/>
          <w:szCs w:val="24"/>
        </w:rPr>
        <w:t>,</w:t>
      </w:r>
      <w:r w:rsidRPr="006C159B">
        <w:rPr>
          <w:rFonts w:ascii="Times New Roman" w:hAnsi="Times New Roman" w:cs="Times New Roman"/>
          <w:sz w:val="24"/>
          <w:szCs w:val="24"/>
        </w:rPr>
        <w:t xml:space="preserve"> aby pokrýval i pohledávky, které odsouzenému vznikly v souvislosti s výkonem trestu nebo vazby [náklady výkonu trestu (§ 152 tr. ř., § 35</w:t>
      </w:r>
      <w:r w:rsidR="00BE3E06" w:rsidRPr="00A80754">
        <w:rPr>
          <w:rFonts w:ascii="Times New Roman" w:hAnsi="Times New Roman" w:cs="Times New Roman"/>
          <w:sz w:val="24"/>
          <w:szCs w:val="24"/>
        </w:rPr>
        <w:t xml:space="preserve"> </w:t>
      </w:r>
      <w:r w:rsidR="00BC3376" w:rsidRPr="008824A7">
        <w:rPr>
          <w:rFonts w:ascii="Times New Roman" w:hAnsi="Times New Roman" w:cs="Times New Roman"/>
          <w:sz w:val="24"/>
          <w:szCs w:val="24"/>
        </w:rPr>
        <w:t>ZVTOS</w:t>
      </w:r>
      <w:r w:rsidRPr="008824A7">
        <w:rPr>
          <w:rFonts w:ascii="Times New Roman" w:hAnsi="Times New Roman" w:cs="Times New Roman"/>
          <w:sz w:val="24"/>
          <w:szCs w:val="24"/>
        </w:rPr>
        <w:t>), náklady spojené s výkonem trestu (§ 152 tr. ř., § 36</w:t>
      </w:r>
      <w:r w:rsidR="00BE3E06" w:rsidRPr="008824A7">
        <w:rPr>
          <w:rFonts w:ascii="Times New Roman" w:hAnsi="Times New Roman" w:cs="Times New Roman"/>
          <w:sz w:val="24"/>
          <w:szCs w:val="24"/>
        </w:rPr>
        <w:t xml:space="preserve"> </w:t>
      </w:r>
      <w:r w:rsidR="00BC3376" w:rsidRPr="008824A7">
        <w:rPr>
          <w:rFonts w:ascii="Times New Roman" w:hAnsi="Times New Roman" w:cs="Times New Roman"/>
          <w:sz w:val="24"/>
          <w:szCs w:val="24"/>
        </w:rPr>
        <w:t>ZVTOS</w:t>
      </w:r>
      <w:r w:rsidRPr="008824A7">
        <w:rPr>
          <w:rFonts w:ascii="Times New Roman" w:hAnsi="Times New Roman" w:cs="Times New Roman"/>
          <w:sz w:val="24"/>
          <w:szCs w:val="24"/>
        </w:rPr>
        <w:t>), náklady výkonu</w:t>
      </w:r>
      <w:r w:rsidR="00896BA5">
        <w:rPr>
          <w:rFonts w:ascii="Times New Roman" w:hAnsi="Times New Roman" w:cs="Times New Roman"/>
          <w:sz w:val="24"/>
          <w:szCs w:val="24"/>
        </w:rPr>
        <w:t xml:space="preserve"> vazby (§ 152 tr. ř., § 10 vyhlášky</w:t>
      </w:r>
      <w:r w:rsidRPr="00896BA5">
        <w:rPr>
          <w:rFonts w:ascii="Times New Roman" w:hAnsi="Times New Roman" w:cs="Times New Roman"/>
          <w:sz w:val="24"/>
          <w:szCs w:val="24"/>
        </w:rPr>
        <w:t xml:space="preserve"> č. 10/2000 Sb., o srážká</w:t>
      </w:r>
      <w:r w:rsidR="00984FC8">
        <w:rPr>
          <w:rFonts w:ascii="Times New Roman" w:hAnsi="Times New Roman" w:cs="Times New Roman"/>
          <w:sz w:val="24"/>
          <w:szCs w:val="24"/>
        </w:rPr>
        <w:t>ch z odměny osob, které jsou ve </w:t>
      </w:r>
      <w:r w:rsidRPr="00896BA5">
        <w:rPr>
          <w:rFonts w:ascii="Times New Roman" w:hAnsi="Times New Roman" w:cs="Times New Roman"/>
          <w:sz w:val="24"/>
          <w:szCs w:val="24"/>
        </w:rPr>
        <w:t>výkonu trestu odnětí svobody zaměstnány), náklady spojené s</w:t>
      </w:r>
      <w:r w:rsidR="00EF635B">
        <w:rPr>
          <w:rFonts w:ascii="Times New Roman" w:hAnsi="Times New Roman" w:cs="Times New Roman"/>
          <w:sz w:val="24"/>
          <w:szCs w:val="24"/>
        </w:rPr>
        <w:t> výkonem vazby (§ 152 tr. ř., § </w:t>
      </w:r>
      <w:r w:rsidRPr="00896BA5">
        <w:rPr>
          <w:rFonts w:ascii="Times New Roman" w:hAnsi="Times New Roman" w:cs="Times New Roman"/>
          <w:sz w:val="24"/>
          <w:szCs w:val="24"/>
        </w:rPr>
        <w:t>21a zákona o výkonu vazby), škoda nebo nemajetková újma způsobená Vězeňské službě (</w:t>
      </w:r>
      <w:r w:rsidR="0001090F" w:rsidRPr="00A80754">
        <w:rPr>
          <w:rFonts w:ascii="Times New Roman" w:hAnsi="Times New Roman" w:cs="Times New Roman"/>
          <w:sz w:val="24"/>
          <w:szCs w:val="24"/>
        </w:rPr>
        <w:t>§ </w:t>
      </w:r>
      <w:r w:rsidRPr="008824A7">
        <w:rPr>
          <w:rFonts w:ascii="Times New Roman" w:hAnsi="Times New Roman" w:cs="Times New Roman"/>
          <w:sz w:val="24"/>
          <w:szCs w:val="24"/>
        </w:rPr>
        <w:t>39a</w:t>
      </w:r>
      <w:r w:rsidR="0001090F" w:rsidRPr="008824A7">
        <w:rPr>
          <w:rFonts w:ascii="Times New Roman" w:hAnsi="Times New Roman" w:cs="Times New Roman"/>
          <w:sz w:val="24"/>
          <w:szCs w:val="24"/>
        </w:rPr>
        <w:t> </w:t>
      </w:r>
      <w:r w:rsidR="00BC3376" w:rsidRPr="008824A7">
        <w:rPr>
          <w:rFonts w:ascii="Times New Roman" w:hAnsi="Times New Roman" w:cs="Times New Roman"/>
          <w:sz w:val="24"/>
          <w:szCs w:val="24"/>
        </w:rPr>
        <w:t>ZVTOS</w:t>
      </w:r>
      <w:r w:rsidR="00EF635B">
        <w:rPr>
          <w:rFonts w:ascii="Times New Roman" w:hAnsi="Times New Roman" w:cs="Times New Roman"/>
          <w:sz w:val="24"/>
          <w:szCs w:val="24"/>
        </w:rPr>
        <w:t>, § 21b zákona o výkonu vazby)</w:t>
      </w:r>
      <w:r w:rsidR="001B4DEC">
        <w:rPr>
          <w:rFonts w:ascii="Times New Roman" w:hAnsi="Times New Roman" w:cs="Times New Roman"/>
          <w:sz w:val="24"/>
          <w:szCs w:val="24"/>
          <w:lang w:val="en-US"/>
        </w:rPr>
        <w:t>]</w:t>
      </w:r>
      <w:r w:rsidRPr="008824A7">
        <w:rPr>
          <w:rFonts w:ascii="Times New Roman" w:hAnsi="Times New Roman" w:cs="Times New Roman"/>
          <w:sz w:val="24"/>
          <w:szCs w:val="24"/>
        </w:rPr>
        <w:t xml:space="preserve">. </w:t>
      </w:r>
    </w:p>
    <w:p w14:paraId="78CBFC0D" w14:textId="77777777"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Podle současného znění odsouzený v případě, kdy má neuhrazeny v tomto ustanovení specifikované pohledávky, může použít polovinu peněz zaslaných mu do věznice pouze na jejich úhradu. Nejde však o jeho povinnost. Návrh proto stanovuje, že zbývající část peněžních prostředků obligatorně Vězeňská služba použije na srážky k úhradě těchto pohledávek [návrh tak koresponduje s § 36 odst. 4 a 5 a § 39a odst. 4 (resp. s navrhovaným odst. 3)</w:t>
      </w:r>
      <w:r w:rsidR="00BE3E06" w:rsidRPr="008824A7">
        <w:rPr>
          <w:rFonts w:ascii="Times New Roman" w:hAnsi="Times New Roman" w:cs="Times New Roman"/>
          <w:sz w:val="24"/>
          <w:szCs w:val="24"/>
        </w:rPr>
        <w:t xml:space="preserve"> </w:t>
      </w:r>
      <w:r w:rsidR="00BC3376" w:rsidRPr="008824A7">
        <w:rPr>
          <w:rFonts w:ascii="Times New Roman" w:hAnsi="Times New Roman" w:cs="Times New Roman"/>
          <w:sz w:val="24"/>
          <w:szCs w:val="24"/>
        </w:rPr>
        <w:t>ZVTOS</w:t>
      </w:r>
      <w:r w:rsidRPr="008824A7">
        <w:rPr>
          <w:rFonts w:ascii="Times New Roman" w:hAnsi="Times New Roman" w:cs="Times New Roman"/>
          <w:sz w:val="24"/>
          <w:szCs w:val="24"/>
        </w:rPr>
        <w:t>, a se stávajícím § 21a odst. 3 a 21b odst.</w:t>
      </w:r>
      <w:r w:rsidR="0001090F" w:rsidRPr="008824A7">
        <w:rPr>
          <w:rFonts w:ascii="Times New Roman" w:hAnsi="Times New Roman" w:cs="Times New Roman"/>
          <w:sz w:val="24"/>
          <w:szCs w:val="24"/>
        </w:rPr>
        <w:t xml:space="preserve"> 2 zákona o výkonu vazby (resp. </w:t>
      </w:r>
      <w:r w:rsidRPr="008824A7">
        <w:rPr>
          <w:rFonts w:ascii="Times New Roman" w:hAnsi="Times New Roman" w:cs="Times New Roman"/>
          <w:sz w:val="24"/>
          <w:szCs w:val="24"/>
        </w:rPr>
        <w:t>s navrhovaným § 21c odst. 1 zákona o výkonu vazby)].</w:t>
      </w:r>
    </w:p>
    <w:p w14:paraId="4491770F" w14:textId="77777777"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p>
    <w:p w14:paraId="1B914980" w14:textId="77777777"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u w:val="single"/>
        </w:rPr>
      </w:pPr>
      <w:r w:rsidRPr="008824A7">
        <w:rPr>
          <w:rFonts w:ascii="Times New Roman" w:hAnsi="Times New Roman" w:cs="Times New Roman"/>
          <w:sz w:val="24"/>
          <w:szCs w:val="24"/>
          <w:u w:val="single"/>
        </w:rPr>
        <w:t>K bodu 2 (§ 35 odst. 3 a 4)</w:t>
      </w:r>
    </w:p>
    <w:p w14:paraId="2FBD7F2E" w14:textId="750117C0"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V souladu s obecnou částí důvodové zprávy se stanovuje, že k vymáhání nákladů výkonu trestu budou napříště příslušné celní úřady. Na</w:t>
      </w:r>
      <w:r w:rsidR="00330702">
        <w:rPr>
          <w:rFonts w:ascii="Times New Roman" w:hAnsi="Times New Roman" w:cs="Times New Roman"/>
          <w:sz w:val="24"/>
          <w:szCs w:val="24"/>
        </w:rPr>
        <w:t xml:space="preserve"> </w:t>
      </w:r>
      <w:r w:rsidRPr="008824A7">
        <w:rPr>
          <w:rFonts w:ascii="Times New Roman" w:hAnsi="Times New Roman" w:cs="Times New Roman"/>
          <w:sz w:val="24"/>
          <w:szCs w:val="24"/>
        </w:rPr>
        <w:t>rozdíl od jiných druhů daňových justičních pohledávek se navrhuje předávat tyto pohledávky Celní správě k vymáhání až v případě, kdy vězněná osoba je propuštěna na svobodu. Důvodem pro tuto odchylku je skutečnost, že tyto náklady jsou podle platné právní úpravy po dobu výkonu trestu sráženy z odměny z</w:t>
      </w:r>
      <w:r w:rsidR="00984FC8">
        <w:rPr>
          <w:rFonts w:ascii="Times New Roman" w:hAnsi="Times New Roman" w:cs="Times New Roman"/>
          <w:sz w:val="24"/>
          <w:szCs w:val="24"/>
        </w:rPr>
        <w:t>a </w:t>
      </w:r>
      <w:r w:rsidR="00EF635B">
        <w:rPr>
          <w:rFonts w:ascii="Times New Roman" w:hAnsi="Times New Roman" w:cs="Times New Roman"/>
          <w:sz w:val="24"/>
          <w:szCs w:val="24"/>
        </w:rPr>
        <w:t>práci, </w:t>
      </w:r>
      <w:r w:rsidRPr="008824A7">
        <w:rPr>
          <w:rFonts w:ascii="Times New Roman" w:hAnsi="Times New Roman" w:cs="Times New Roman"/>
          <w:sz w:val="24"/>
          <w:szCs w:val="24"/>
        </w:rPr>
        <w:t>věznice může k jejich úhradě použít peněžní prostředky</w:t>
      </w:r>
      <w:r w:rsidR="0001090F" w:rsidRPr="008824A7">
        <w:rPr>
          <w:rFonts w:ascii="Times New Roman" w:hAnsi="Times New Roman" w:cs="Times New Roman"/>
          <w:sz w:val="24"/>
          <w:szCs w:val="24"/>
        </w:rPr>
        <w:t>, které má odsouzený uloženy ve </w:t>
      </w:r>
      <w:r w:rsidRPr="008824A7">
        <w:rPr>
          <w:rFonts w:ascii="Times New Roman" w:hAnsi="Times New Roman" w:cs="Times New Roman"/>
          <w:sz w:val="24"/>
          <w:szCs w:val="24"/>
        </w:rPr>
        <w:t>věznici, event. výkon rozhodnutí lze provést přikázáním pohledávky. Není racionální, aby v těchto případech byly pohledávky pře</w:t>
      </w:r>
      <w:r w:rsidR="00984FC8">
        <w:rPr>
          <w:rFonts w:ascii="Times New Roman" w:hAnsi="Times New Roman" w:cs="Times New Roman"/>
          <w:sz w:val="24"/>
          <w:szCs w:val="24"/>
        </w:rPr>
        <w:t>dávány celním úřadům, nemluvě o </w:t>
      </w:r>
      <w:r w:rsidRPr="008824A7">
        <w:rPr>
          <w:rFonts w:ascii="Times New Roman" w:hAnsi="Times New Roman" w:cs="Times New Roman"/>
          <w:sz w:val="24"/>
          <w:szCs w:val="24"/>
        </w:rPr>
        <w:t>tom, že by bylo poměrně značně administrativně náročné zajistit respektování osvobození od povinnosti hradit náklady výkonu trestu podle § 35 odst. 2 ZVTOS, postup</w:t>
      </w:r>
      <w:r w:rsidR="00EF635B">
        <w:rPr>
          <w:rFonts w:ascii="Times New Roman" w:hAnsi="Times New Roman" w:cs="Times New Roman"/>
          <w:sz w:val="24"/>
          <w:szCs w:val="24"/>
        </w:rPr>
        <w:t xml:space="preserve"> podle vyhlášky č. 10/2000 Sb., </w:t>
      </w:r>
      <w:r w:rsidRPr="008824A7">
        <w:rPr>
          <w:rFonts w:ascii="Times New Roman" w:hAnsi="Times New Roman" w:cs="Times New Roman"/>
          <w:sz w:val="24"/>
          <w:szCs w:val="24"/>
        </w:rPr>
        <w:t>apod., nemluvě o</w:t>
      </w:r>
      <w:r w:rsidR="00D305FF">
        <w:rPr>
          <w:rFonts w:ascii="Times New Roman" w:hAnsi="Times New Roman" w:cs="Times New Roman"/>
          <w:sz w:val="24"/>
          <w:szCs w:val="24"/>
        </w:rPr>
        <w:t> </w:t>
      </w:r>
      <w:r w:rsidRPr="008824A7">
        <w:rPr>
          <w:rFonts w:ascii="Times New Roman" w:hAnsi="Times New Roman" w:cs="Times New Roman"/>
          <w:sz w:val="24"/>
          <w:szCs w:val="24"/>
        </w:rPr>
        <w:t>množství pohledávek, které by takto byly každoměsíčně předávány Vězeňskou službou celním úřadům. Vzhledem k tomu, že úhrada nákladů výkonu trestu prostřednictvím srážek z odměny za práci, z peněz uložených ve věznici či přikázáním pohledávky může být poměrně dlouhodobou záležitostí, navrhuje se, aby se po dobu výkonu trestu stavěla lhůta pro jejich placení – jde tak o ustanovení doplňující § 160 odst. 4 daňového řádu, jde přitom o situace analogické ustanovení § 160 odst. 4 písm. d) daňového řádu.</w:t>
      </w:r>
      <w:r w:rsidR="009C2B36" w:rsidRPr="008824A7">
        <w:rPr>
          <w:rFonts w:ascii="Times New Roman" w:hAnsi="Times New Roman" w:cs="Times New Roman"/>
          <w:sz w:val="24"/>
          <w:szCs w:val="24"/>
        </w:rPr>
        <w:t xml:space="preserve"> </w:t>
      </w:r>
    </w:p>
    <w:p w14:paraId="13C4CCB9" w14:textId="77777777"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lastRenderedPageBreak/>
        <w:t xml:space="preserve">Speciální úprava upuštění od vymáhání nákladů výkonu trestu, </w:t>
      </w:r>
      <w:r w:rsidR="0001090F" w:rsidRPr="008824A7">
        <w:rPr>
          <w:rFonts w:ascii="Times New Roman" w:hAnsi="Times New Roman" w:cs="Times New Roman"/>
          <w:sz w:val="24"/>
          <w:szCs w:val="24"/>
        </w:rPr>
        <w:t>která je obsažena ve </w:t>
      </w:r>
      <w:r w:rsidRPr="008824A7">
        <w:rPr>
          <w:rFonts w:ascii="Times New Roman" w:hAnsi="Times New Roman" w:cs="Times New Roman"/>
          <w:sz w:val="24"/>
          <w:szCs w:val="24"/>
        </w:rPr>
        <w:t xml:space="preserve">stávajícím § 35 odst. 3 </w:t>
      </w:r>
      <w:r w:rsidR="00BC3376" w:rsidRPr="008824A7">
        <w:rPr>
          <w:rFonts w:ascii="Times New Roman" w:hAnsi="Times New Roman" w:cs="Times New Roman"/>
          <w:sz w:val="24"/>
          <w:szCs w:val="24"/>
        </w:rPr>
        <w:t xml:space="preserve">ZVTOS </w:t>
      </w:r>
      <w:r w:rsidRPr="008824A7">
        <w:rPr>
          <w:rFonts w:ascii="Times New Roman" w:hAnsi="Times New Roman" w:cs="Times New Roman"/>
          <w:sz w:val="24"/>
          <w:szCs w:val="24"/>
        </w:rPr>
        <w:t>se navrhuje vypustit</w:t>
      </w:r>
      <w:r w:rsidR="0001090F" w:rsidRPr="008824A7">
        <w:rPr>
          <w:rFonts w:ascii="Times New Roman" w:hAnsi="Times New Roman" w:cs="Times New Roman"/>
          <w:sz w:val="24"/>
          <w:szCs w:val="24"/>
        </w:rPr>
        <w:t>, neboť není věcného důvodu pro </w:t>
      </w:r>
      <w:r w:rsidRPr="008824A7">
        <w:rPr>
          <w:rFonts w:ascii="Times New Roman" w:hAnsi="Times New Roman" w:cs="Times New Roman"/>
          <w:sz w:val="24"/>
          <w:szCs w:val="24"/>
        </w:rPr>
        <w:t>odchylnou úpravu od obecné úpravy obsažené v § 158 daňového řádu, podle které správce daně odepíše nedobytný nedoplatek, kterým se rozumí nedoplatek,</w:t>
      </w:r>
    </w:p>
    <w:p w14:paraId="7FEE93D8" w14:textId="77777777" w:rsidR="008A5EC8" w:rsidRPr="008824A7" w:rsidRDefault="008A5EC8" w:rsidP="00B174BE">
      <w:pPr>
        <w:widowControl w:val="0"/>
        <w:numPr>
          <w:ilvl w:val="0"/>
          <w:numId w:val="13"/>
        </w:numPr>
        <w:autoSpaceDE w:val="0"/>
        <w:autoSpaceDN w:val="0"/>
        <w:adjustRightInd w:val="0"/>
        <w:spacing w:before="120" w:after="0" w:line="240" w:lineRule="auto"/>
        <w:ind w:left="284" w:hanging="284"/>
        <w:jc w:val="both"/>
        <w:rPr>
          <w:rFonts w:ascii="Times New Roman" w:hAnsi="Times New Roman" w:cs="Times New Roman"/>
          <w:sz w:val="24"/>
          <w:szCs w:val="24"/>
        </w:rPr>
      </w:pPr>
      <w:r w:rsidRPr="008824A7">
        <w:rPr>
          <w:rFonts w:ascii="Times New Roman" w:hAnsi="Times New Roman" w:cs="Times New Roman"/>
          <w:sz w:val="24"/>
          <w:szCs w:val="24"/>
        </w:rPr>
        <w:t xml:space="preserve">který byl bezvýsledně vymáhán na daňovém subjektu i na jiných osobách, na nichž mohl být vymáhán, nebo jehož vymáhání by zřejmě nevedlo k výsledku, anebo u něhož je pravděpodobné, že by náklady vymáhání přesáhly jeho výtěžek, nebo </w:t>
      </w:r>
    </w:p>
    <w:p w14:paraId="7EAABFF9" w14:textId="77777777" w:rsidR="008A5EC8" w:rsidRPr="008824A7" w:rsidRDefault="008A5EC8" w:rsidP="00B174BE">
      <w:pPr>
        <w:widowControl w:val="0"/>
        <w:numPr>
          <w:ilvl w:val="0"/>
          <w:numId w:val="13"/>
        </w:numPr>
        <w:autoSpaceDE w:val="0"/>
        <w:autoSpaceDN w:val="0"/>
        <w:adjustRightInd w:val="0"/>
        <w:spacing w:before="120" w:after="0" w:line="240" w:lineRule="auto"/>
        <w:ind w:left="284" w:hanging="284"/>
        <w:jc w:val="both"/>
        <w:rPr>
          <w:rFonts w:ascii="Times New Roman" w:hAnsi="Times New Roman" w:cs="Times New Roman"/>
          <w:sz w:val="24"/>
          <w:szCs w:val="24"/>
        </w:rPr>
      </w:pPr>
      <w:r w:rsidRPr="008824A7">
        <w:rPr>
          <w:rFonts w:ascii="Times New Roman" w:hAnsi="Times New Roman" w:cs="Times New Roman"/>
          <w:sz w:val="24"/>
          <w:szCs w:val="24"/>
        </w:rPr>
        <w:t>jehož vymáhání je spojeno se zvláštními nebo nepoměrnými obtížemi.</w:t>
      </w:r>
    </w:p>
    <w:p w14:paraId="7793B30F" w14:textId="77777777"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Vypouští se rovněž oprávnění ředitele věznice na základě písemné a potřebnými doklady doložené žádosti odsouzeného prominout zcela nebo zčásti povinnost uhradit náklady výkonu trestu, ze kterého byl odsouzený propuštěn, odůvodňují-li to tíživé sociální poměry odsouzeného. Pohledávky nákladů výkonu trestu odsouzeného, který byl z výkonu trestu propuštěn, bude napříště vymáhat celní úřad, není tedy už z tohoto důvodu vhodné, aby ředitel věznice mohl rozhodovat o prominutí těchto nákladů. Celní úřad pak může</w:t>
      </w:r>
      <w:r w:rsidRPr="00896BA5">
        <w:rPr>
          <w:rFonts w:ascii="Times New Roman" w:hAnsi="Times New Roman" w:cs="Times New Roman"/>
          <w:sz w:val="24"/>
          <w:szCs w:val="24"/>
        </w:rPr>
        <w:t xml:space="preserve"> v těchto případech povolit posečkání úhrady daně, popřípadě rozložen</w:t>
      </w:r>
      <w:r w:rsidR="0001090F" w:rsidRPr="00A80754">
        <w:rPr>
          <w:rFonts w:ascii="Times New Roman" w:hAnsi="Times New Roman" w:cs="Times New Roman"/>
          <w:sz w:val="24"/>
          <w:szCs w:val="24"/>
        </w:rPr>
        <w:t>í její úhrady na splátky (§ 156 </w:t>
      </w:r>
      <w:r w:rsidR="00822931" w:rsidRPr="008824A7">
        <w:rPr>
          <w:rFonts w:ascii="Times New Roman" w:hAnsi="Times New Roman" w:cs="Times New Roman"/>
          <w:sz w:val="24"/>
          <w:szCs w:val="24"/>
        </w:rPr>
        <w:t>daňového řádu), popř. tyto pohledávky odepsat pro nedobytnost.</w:t>
      </w:r>
    </w:p>
    <w:p w14:paraId="78492D2C" w14:textId="77777777"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p>
    <w:p w14:paraId="2A56F263" w14:textId="77777777"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u w:val="single"/>
        </w:rPr>
      </w:pPr>
      <w:r w:rsidRPr="008824A7">
        <w:rPr>
          <w:rFonts w:ascii="Times New Roman" w:hAnsi="Times New Roman" w:cs="Times New Roman"/>
          <w:sz w:val="24"/>
          <w:szCs w:val="24"/>
          <w:u w:val="single"/>
        </w:rPr>
        <w:t>K bodu 3 (§ 35 odst. 5)</w:t>
      </w:r>
    </w:p>
    <w:p w14:paraId="649D8E1D" w14:textId="77777777" w:rsidR="008A5EC8" w:rsidRPr="008824A7" w:rsidRDefault="008A5EC8" w:rsidP="00B174BE">
      <w:pPr>
        <w:widowControl w:val="0"/>
        <w:autoSpaceDE w:val="0"/>
        <w:autoSpaceDN w:val="0"/>
        <w:adjustRightInd w:val="0"/>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Ustanovení § 35 odst. 5 se zrušuje pro nadbytečnost, neboť skutečnost, že u těchto pohledávek se nepožadují úroky z prodlení, vyplývá z § 253 odst. 3 daňového řádu.</w:t>
      </w:r>
    </w:p>
    <w:p w14:paraId="0B61D9B0" w14:textId="77777777" w:rsidR="008A5EC8" w:rsidRPr="008824A7" w:rsidRDefault="008A5EC8" w:rsidP="00B174BE">
      <w:pPr>
        <w:spacing w:before="120" w:after="0" w:line="240" w:lineRule="auto"/>
        <w:jc w:val="both"/>
        <w:rPr>
          <w:rFonts w:ascii="Times New Roman" w:hAnsi="Times New Roman" w:cs="Times New Roman"/>
          <w:sz w:val="24"/>
          <w:szCs w:val="24"/>
        </w:rPr>
      </w:pPr>
    </w:p>
    <w:p w14:paraId="43E8DEAC" w14:textId="77777777" w:rsidR="008A5EC8" w:rsidRPr="008824A7" w:rsidRDefault="008A5EC8" w:rsidP="00B174BE">
      <w:pPr>
        <w:spacing w:before="120" w:after="0" w:line="240" w:lineRule="auto"/>
        <w:jc w:val="both"/>
        <w:rPr>
          <w:rFonts w:ascii="Times New Roman" w:hAnsi="Times New Roman" w:cs="Times New Roman"/>
          <w:sz w:val="24"/>
          <w:szCs w:val="24"/>
          <w:u w:val="single"/>
        </w:rPr>
      </w:pPr>
      <w:r w:rsidRPr="008824A7">
        <w:rPr>
          <w:rFonts w:ascii="Times New Roman" w:hAnsi="Times New Roman" w:cs="Times New Roman"/>
          <w:sz w:val="24"/>
          <w:szCs w:val="24"/>
          <w:u w:val="single"/>
        </w:rPr>
        <w:t xml:space="preserve">K bodu 4 (§ 36 odst. 4) </w:t>
      </w:r>
    </w:p>
    <w:p w14:paraId="57B34CFE" w14:textId="77777777" w:rsidR="008A5EC8" w:rsidRPr="008824A7" w:rsidRDefault="00BC3376" w:rsidP="00B174BE">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Jde o f</w:t>
      </w:r>
      <w:r w:rsidR="008A5EC8" w:rsidRPr="008824A7">
        <w:rPr>
          <w:rFonts w:ascii="Times New Roman" w:hAnsi="Times New Roman" w:cs="Times New Roman"/>
          <w:sz w:val="24"/>
          <w:szCs w:val="24"/>
        </w:rPr>
        <w:t>ormální úprav</w:t>
      </w:r>
      <w:r w:rsidRPr="008824A7">
        <w:rPr>
          <w:rFonts w:ascii="Times New Roman" w:hAnsi="Times New Roman" w:cs="Times New Roman"/>
          <w:sz w:val="24"/>
          <w:szCs w:val="24"/>
        </w:rPr>
        <w:t>u</w:t>
      </w:r>
      <w:r w:rsidR="008A5EC8" w:rsidRPr="008824A7">
        <w:rPr>
          <w:rFonts w:ascii="Times New Roman" w:hAnsi="Times New Roman" w:cs="Times New Roman"/>
          <w:sz w:val="24"/>
          <w:szCs w:val="24"/>
        </w:rPr>
        <w:t>, neboť věznice v rámci vymáhání pohledávek nákladů výkonu trestu (stejně tak jako nákladů spojených s výkonem trestu, nákladů výkonu vazby, nákladů spojených s výkonem vazby a škody nebo nemajetkové újmy způsobené Vězeňské službě) neprovádí výkon rozhodnutí, neboť postupuje podle daňového řádu, popř. podle speciálních ustanovení upravených v zákoně o výkonu trestu odnětí svobody, zákoně o výkonu vazby či vyhl</w:t>
      </w:r>
      <w:r w:rsidR="002E2B98" w:rsidRPr="008824A7">
        <w:rPr>
          <w:rFonts w:ascii="Times New Roman" w:hAnsi="Times New Roman" w:cs="Times New Roman"/>
          <w:sz w:val="24"/>
          <w:szCs w:val="24"/>
        </w:rPr>
        <w:t>ášky</w:t>
      </w:r>
      <w:r w:rsidR="008A5EC8" w:rsidRPr="008824A7">
        <w:rPr>
          <w:rFonts w:ascii="Times New Roman" w:hAnsi="Times New Roman" w:cs="Times New Roman"/>
          <w:sz w:val="24"/>
          <w:szCs w:val="24"/>
        </w:rPr>
        <w:t xml:space="preserve"> č. 10/2000 Sb., o srážkách z odměny osob, které jsou ve výkonu trestu odnětí svobody zaměstnány, o výkonu rozhodnutí srážkami z odměny těchto osob a chovanců zvláštních výchovných zařízení a o úhradě dalších nákladů. </w:t>
      </w:r>
    </w:p>
    <w:p w14:paraId="149D8451" w14:textId="77777777" w:rsidR="008A5EC8" w:rsidRPr="008824A7" w:rsidRDefault="008A5EC8" w:rsidP="00B174BE">
      <w:pPr>
        <w:spacing w:before="120" w:after="0" w:line="240" w:lineRule="auto"/>
        <w:jc w:val="both"/>
        <w:rPr>
          <w:rFonts w:ascii="Times New Roman" w:hAnsi="Times New Roman" w:cs="Times New Roman"/>
          <w:sz w:val="24"/>
          <w:szCs w:val="24"/>
        </w:rPr>
      </w:pPr>
    </w:p>
    <w:p w14:paraId="79E9DB4F" w14:textId="77777777" w:rsidR="008A5EC8" w:rsidRPr="008824A7" w:rsidRDefault="008A5EC8" w:rsidP="00B174BE">
      <w:pPr>
        <w:spacing w:before="120" w:after="0" w:line="240" w:lineRule="auto"/>
        <w:jc w:val="both"/>
        <w:rPr>
          <w:rFonts w:ascii="Times New Roman" w:hAnsi="Times New Roman" w:cs="Times New Roman"/>
          <w:sz w:val="24"/>
          <w:szCs w:val="24"/>
          <w:u w:val="single"/>
        </w:rPr>
      </w:pPr>
      <w:r w:rsidRPr="008824A7">
        <w:rPr>
          <w:rFonts w:ascii="Times New Roman" w:hAnsi="Times New Roman" w:cs="Times New Roman"/>
          <w:sz w:val="24"/>
          <w:szCs w:val="24"/>
          <w:u w:val="single"/>
        </w:rPr>
        <w:t xml:space="preserve">K bodu 5 (§ 36 odst. </w:t>
      </w:r>
      <w:r w:rsidR="00454C04" w:rsidRPr="008824A7">
        <w:rPr>
          <w:rFonts w:ascii="Times New Roman" w:hAnsi="Times New Roman" w:cs="Times New Roman"/>
          <w:sz w:val="24"/>
          <w:szCs w:val="24"/>
          <w:u w:val="single"/>
        </w:rPr>
        <w:t>6</w:t>
      </w:r>
      <w:r w:rsidRPr="008824A7">
        <w:rPr>
          <w:rFonts w:ascii="Times New Roman" w:hAnsi="Times New Roman" w:cs="Times New Roman"/>
          <w:sz w:val="24"/>
          <w:szCs w:val="24"/>
          <w:u w:val="single"/>
        </w:rPr>
        <w:t>)</w:t>
      </w:r>
    </w:p>
    <w:p w14:paraId="1B8F5545" w14:textId="77777777" w:rsidR="008A5EC8" w:rsidRPr="008824A7" w:rsidRDefault="00BC3376" w:rsidP="00B174BE">
      <w:pPr>
        <w:spacing w:before="120" w:after="0" w:line="240" w:lineRule="auto"/>
        <w:jc w:val="both"/>
        <w:rPr>
          <w:rFonts w:ascii="Times New Roman" w:hAnsi="Times New Roman" w:cs="Times New Roman"/>
          <w:strike/>
          <w:sz w:val="24"/>
          <w:szCs w:val="24"/>
        </w:rPr>
      </w:pPr>
      <w:r w:rsidRPr="008824A7">
        <w:rPr>
          <w:rFonts w:ascii="Times New Roman" w:hAnsi="Times New Roman" w:cs="Times New Roman"/>
          <w:sz w:val="24"/>
          <w:szCs w:val="24"/>
        </w:rPr>
        <w:t>Jde o l</w:t>
      </w:r>
      <w:r w:rsidR="008A5EC8" w:rsidRPr="008824A7">
        <w:rPr>
          <w:rFonts w:ascii="Times New Roman" w:hAnsi="Times New Roman" w:cs="Times New Roman"/>
          <w:sz w:val="24"/>
          <w:szCs w:val="24"/>
        </w:rPr>
        <w:t>egislativně technick</w:t>
      </w:r>
      <w:r w:rsidRPr="008824A7">
        <w:rPr>
          <w:rFonts w:ascii="Times New Roman" w:hAnsi="Times New Roman" w:cs="Times New Roman"/>
          <w:sz w:val="24"/>
          <w:szCs w:val="24"/>
        </w:rPr>
        <w:t>ou</w:t>
      </w:r>
      <w:r w:rsidR="008A5EC8" w:rsidRPr="008824A7">
        <w:rPr>
          <w:rFonts w:ascii="Times New Roman" w:hAnsi="Times New Roman" w:cs="Times New Roman"/>
          <w:sz w:val="24"/>
          <w:szCs w:val="24"/>
        </w:rPr>
        <w:t xml:space="preserve"> </w:t>
      </w:r>
      <w:r w:rsidR="00454C04" w:rsidRPr="008824A7">
        <w:rPr>
          <w:rFonts w:ascii="Times New Roman" w:hAnsi="Times New Roman" w:cs="Times New Roman"/>
          <w:sz w:val="24"/>
          <w:szCs w:val="24"/>
        </w:rPr>
        <w:t xml:space="preserve">změnu </w:t>
      </w:r>
      <w:r w:rsidR="008A5EC8" w:rsidRPr="008824A7">
        <w:rPr>
          <w:rFonts w:ascii="Times New Roman" w:hAnsi="Times New Roman" w:cs="Times New Roman"/>
          <w:sz w:val="24"/>
          <w:szCs w:val="24"/>
        </w:rPr>
        <w:t xml:space="preserve">navazující na vypuštění </w:t>
      </w:r>
      <w:r w:rsidR="00454C04" w:rsidRPr="008824A7">
        <w:rPr>
          <w:rFonts w:ascii="Times New Roman" w:hAnsi="Times New Roman" w:cs="Times New Roman"/>
          <w:sz w:val="24"/>
          <w:szCs w:val="24"/>
        </w:rPr>
        <w:t xml:space="preserve">stávajícího ustanovení </w:t>
      </w:r>
      <w:r w:rsidR="008A5EC8" w:rsidRPr="008824A7">
        <w:rPr>
          <w:rFonts w:ascii="Times New Roman" w:hAnsi="Times New Roman" w:cs="Times New Roman"/>
          <w:sz w:val="24"/>
          <w:szCs w:val="24"/>
        </w:rPr>
        <w:t>§</w:t>
      </w:r>
      <w:r w:rsidR="00454C04" w:rsidRPr="008824A7">
        <w:rPr>
          <w:rFonts w:ascii="Times New Roman" w:hAnsi="Times New Roman" w:cs="Times New Roman"/>
          <w:sz w:val="24"/>
          <w:szCs w:val="24"/>
        </w:rPr>
        <w:t> </w:t>
      </w:r>
      <w:r w:rsidR="008A5EC8" w:rsidRPr="008824A7">
        <w:rPr>
          <w:rFonts w:ascii="Times New Roman" w:hAnsi="Times New Roman" w:cs="Times New Roman"/>
          <w:sz w:val="24"/>
          <w:szCs w:val="24"/>
        </w:rPr>
        <w:t>35</w:t>
      </w:r>
      <w:r w:rsidR="00454C04" w:rsidRPr="008824A7">
        <w:rPr>
          <w:rFonts w:ascii="Times New Roman" w:hAnsi="Times New Roman" w:cs="Times New Roman"/>
          <w:sz w:val="24"/>
          <w:szCs w:val="24"/>
        </w:rPr>
        <w:t> </w:t>
      </w:r>
      <w:r w:rsidR="008A5EC8" w:rsidRPr="008824A7">
        <w:rPr>
          <w:rFonts w:ascii="Times New Roman" w:hAnsi="Times New Roman" w:cs="Times New Roman"/>
          <w:sz w:val="24"/>
          <w:szCs w:val="24"/>
        </w:rPr>
        <w:t>odst.</w:t>
      </w:r>
      <w:r w:rsidR="00454C04" w:rsidRPr="008824A7">
        <w:rPr>
          <w:rFonts w:ascii="Times New Roman" w:hAnsi="Times New Roman" w:cs="Times New Roman"/>
          <w:sz w:val="24"/>
          <w:szCs w:val="24"/>
        </w:rPr>
        <w:t> </w:t>
      </w:r>
      <w:r w:rsidR="008A5EC8" w:rsidRPr="008824A7">
        <w:rPr>
          <w:rFonts w:ascii="Times New Roman" w:hAnsi="Times New Roman" w:cs="Times New Roman"/>
          <w:sz w:val="24"/>
          <w:szCs w:val="24"/>
        </w:rPr>
        <w:t>5 (viz příslušný novelizační bod této části).</w:t>
      </w:r>
    </w:p>
    <w:p w14:paraId="64C6FD60" w14:textId="77777777" w:rsidR="008A5EC8" w:rsidRPr="008824A7" w:rsidRDefault="008A5EC8" w:rsidP="00B174BE">
      <w:pPr>
        <w:spacing w:before="120" w:after="0" w:line="240" w:lineRule="auto"/>
        <w:jc w:val="both"/>
        <w:rPr>
          <w:rFonts w:ascii="Times New Roman" w:hAnsi="Times New Roman" w:cs="Times New Roman"/>
          <w:sz w:val="24"/>
          <w:szCs w:val="24"/>
        </w:rPr>
      </w:pPr>
    </w:p>
    <w:p w14:paraId="40F32663" w14:textId="77777777" w:rsidR="008A5EC8" w:rsidRPr="008824A7" w:rsidRDefault="008A5EC8" w:rsidP="00B174BE">
      <w:pPr>
        <w:spacing w:before="120" w:after="0" w:line="240" w:lineRule="auto"/>
        <w:jc w:val="both"/>
        <w:rPr>
          <w:rFonts w:ascii="Times New Roman" w:hAnsi="Times New Roman" w:cs="Times New Roman"/>
          <w:b/>
          <w:sz w:val="24"/>
          <w:szCs w:val="24"/>
          <w:u w:val="single"/>
        </w:rPr>
      </w:pPr>
      <w:r w:rsidRPr="008824A7">
        <w:rPr>
          <w:rFonts w:ascii="Times New Roman" w:hAnsi="Times New Roman" w:cs="Times New Roman"/>
          <w:sz w:val="24"/>
          <w:szCs w:val="24"/>
          <w:u w:val="single"/>
        </w:rPr>
        <w:t>K bodu 6 (§ 39a odst. 3 a 4)</w:t>
      </w:r>
    </w:p>
    <w:p w14:paraId="4B148DFD" w14:textId="77777777" w:rsidR="008A5EC8" w:rsidRPr="008824A7" w:rsidRDefault="008A5EC8" w:rsidP="00B174BE">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Viz odůvodnění k novelizaci § 35 a 36.</w:t>
      </w:r>
    </w:p>
    <w:p w14:paraId="6E97FD92" w14:textId="77777777" w:rsidR="008A5EC8" w:rsidRPr="008824A7" w:rsidRDefault="008A5EC8" w:rsidP="00B174BE">
      <w:pPr>
        <w:spacing w:before="120" w:after="0" w:line="240" w:lineRule="auto"/>
        <w:ind w:firstLine="426"/>
        <w:jc w:val="both"/>
        <w:rPr>
          <w:rFonts w:ascii="Times New Roman" w:hAnsi="Times New Roman" w:cs="Times New Roman"/>
          <w:b/>
          <w:sz w:val="24"/>
          <w:szCs w:val="24"/>
        </w:rPr>
      </w:pPr>
      <w:r w:rsidRPr="008824A7">
        <w:rPr>
          <w:rFonts w:ascii="Times New Roman" w:hAnsi="Times New Roman" w:cs="Times New Roman"/>
          <w:sz w:val="24"/>
          <w:szCs w:val="24"/>
        </w:rPr>
        <w:t xml:space="preserve"> </w:t>
      </w:r>
    </w:p>
    <w:p w14:paraId="57E7C200" w14:textId="77777777" w:rsidR="008A5EC8" w:rsidRPr="008824A7" w:rsidRDefault="008A5EC8" w:rsidP="00B174BE">
      <w:pPr>
        <w:spacing w:before="120" w:after="0" w:line="240" w:lineRule="auto"/>
        <w:jc w:val="both"/>
        <w:rPr>
          <w:rFonts w:ascii="Times New Roman" w:hAnsi="Times New Roman" w:cs="Times New Roman"/>
          <w:sz w:val="24"/>
          <w:szCs w:val="24"/>
          <w:u w:val="single"/>
        </w:rPr>
      </w:pPr>
      <w:r w:rsidRPr="008824A7">
        <w:rPr>
          <w:rFonts w:ascii="Times New Roman" w:hAnsi="Times New Roman" w:cs="Times New Roman"/>
          <w:sz w:val="24"/>
          <w:szCs w:val="24"/>
          <w:u w:val="single"/>
        </w:rPr>
        <w:t xml:space="preserve">K přechodnému ustanovení </w:t>
      </w:r>
    </w:p>
    <w:p w14:paraId="710A4C7E" w14:textId="77777777" w:rsidR="008A5EC8" w:rsidRPr="008824A7" w:rsidRDefault="008A5EC8" w:rsidP="001D06F1">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 xml:space="preserve">Přechodné ustanovení k zákonu o výkonu vazby a zákonu o výkonu trestu odnětí svobody je koncipováno odlišně od přechodných ustanovení k novelám jiných předpisů obsaženým v tomto zákoně, které upravují kompetenci celního úřadu k vymáhání pohledávek. </w:t>
      </w:r>
    </w:p>
    <w:p w14:paraId="33257D74" w14:textId="7BB79B4B" w:rsidR="008A5EC8" w:rsidRPr="008824A7" w:rsidRDefault="008A5EC8" w:rsidP="00B174BE">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lastRenderedPageBreak/>
        <w:t xml:space="preserve">Celní správa je ochotna v těchto případech převzít a vymáhat i starší pohledávky vzniklé před účinností tohoto zákona, což v případech pohledávek dnes spravovaných soudy a státními zastupitelstvími z kapacitních důvodů ochotna není. </w:t>
      </w:r>
      <w:r w:rsidR="0001090F" w:rsidRPr="008824A7">
        <w:rPr>
          <w:rFonts w:ascii="Times New Roman" w:hAnsi="Times New Roman" w:cs="Times New Roman"/>
          <w:sz w:val="24"/>
          <w:szCs w:val="24"/>
        </w:rPr>
        <w:t>Zároveň je zde</w:t>
      </w:r>
      <w:r w:rsidR="00FC7E65">
        <w:rPr>
          <w:rFonts w:ascii="Times New Roman" w:hAnsi="Times New Roman" w:cs="Times New Roman"/>
          <w:sz w:val="24"/>
          <w:szCs w:val="24"/>
        </w:rPr>
        <w:t xml:space="preserve"> </w:t>
      </w:r>
      <w:r w:rsidR="0001090F" w:rsidRPr="008824A7">
        <w:rPr>
          <w:rFonts w:ascii="Times New Roman" w:hAnsi="Times New Roman" w:cs="Times New Roman"/>
          <w:sz w:val="24"/>
          <w:szCs w:val="24"/>
        </w:rPr>
        <w:t>předpoklad,</w:t>
      </w:r>
      <w:r w:rsidR="00FC7E65">
        <w:rPr>
          <w:rFonts w:ascii="Times New Roman" w:hAnsi="Times New Roman" w:cs="Times New Roman"/>
          <w:sz w:val="24"/>
          <w:szCs w:val="24"/>
        </w:rPr>
        <w:t xml:space="preserve"> </w:t>
      </w:r>
      <w:r w:rsidR="0001090F" w:rsidRPr="008824A7">
        <w:rPr>
          <w:rFonts w:ascii="Times New Roman" w:hAnsi="Times New Roman" w:cs="Times New Roman"/>
          <w:sz w:val="24"/>
          <w:szCs w:val="24"/>
        </w:rPr>
        <w:t>že u </w:t>
      </w:r>
      <w:r w:rsidRPr="008824A7">
        <w:rPr>
          <w:rFonts w:ascii="Times New Roman" w:hAnsi="Times New Roman" w:cs="Times New Roman"/>
          <w:sz w:val="24"/>
          <w:szCs w:val="24"/>
        </w:rPr>
        <w:t>odsouzených, popř. obviněných, kteří budou mít neuhrazené náklady výkonu trestu, náklady spojené s výkonem trestu, náklady výkonu vazby, náklady spojené s výkonem vazby, škodu nebo nemajetkovou újmu, kterou způsobil Vězeňské službě, bude zároveň z jiného titulu probíhat daňová exekuce</w:t>
      </w:r>
      <w:r w:rsidR="00A6197E" w:rsidRPr="008824A7">
        <w:rPr>
          <w:rFonts w:ascii="Times New Roman" w:hAnsi="Times New Roman" w:cs="Times New Roman"/>
          <w:sz w:val="24"/>
          <w:szCs w:val="24"/>
        </w:rPr>
        <w:t>,</w:t>
      </w:r>
      <w:r w:rsidRPr="008824A7">
        <w:rPr>
          <w:rFonts w:ascii="Times New Roman" w:hAnsi="Times New Roman" w:cs="Times New Roman"/>
          <w:sz w:val="24"/>
          <w:szCs w:val="24"/>
        </w:rPr>
        <w:t xml:space="preserve"> a tak tímto způsobem dojde k žádoucí koncentraci vymáhání pohledávek státu po těchto osobách, což bude efektivnější a pro samotné odsouzené/obviněné i méně zatěžující.</w:t>
      </w:r>
    </w:p>
    <w:p w14:paraId="404A9266" w14:textId="77777777" w:rsidR="008A5EC8" w:rsidRPr="008824A7" w:rsidRDefault="008A5EC8" w:rsidP="00B174BE">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 xml:space="preserve">Pohledávky, které vznikly před účinností tohoto zákona a které již byly předány k vymáhání soudnímu exekutorovi, však z procesních důvodů nebudou Celní správě předávány. </w:t>
      </w:r>
    </w:p>
    <w:p w14:paraId="07DF22EF" w14:textId="77777777" w:rsidR="008A5EC8" w:rsidRPr="008824A7" w:rsidRDefault="008A5EC8" w:rsidP="00B174BE">
      <w:pPr>
        <w:spacing w:before="120" w:after="0" w:line="240" w:lineRule="auto"/>
        <w:jc w:val="both"/>
        <w:rPr>
          <w:rFonts w:ascii="Times New Roman" w:hAnsi="Times New Roman" w:cs="Times New Roman"/>
          <w:sz w:val="24"/>
          <w:szCs w:val="24"/>
        </w:rPr>
      </w:pPr>
    </w:p>
    <w:p w14:paraId="164BD011" w14:textId="77777777" w:rsidR="008A5EC8" w:rsidRPr="000E3EDA" w:rsidRDefault="008A5EC8" w:rsidP="00B174BE">
      <w:pPr>
        <w:pStyle w:val="NADPISSTI"/>
        <w:spacing w:before="120"/>
        <w:jc w:val="both"/>
        <w:rPr>
          <w:szCs w:val="24"/>
        </w:rPr>
      </w:pPr>
      <w:r w:rsidRPr="000E3EDA">
        <w:rPr>
          <w:szCs w:val="24"/>
        </w:rPr>
        <w:t xml:space="preserve">K části </w:t>
      </w:r>
      <w:r w:rsidR="00896BA5">
        <w:rPr>
          <w:szCs w:val="24"/>
          <w:lang w:val="cs-CZ"/>
        </w:rPr>
        <w:t>sedmé</w:t>
      </w:r>
      <w:r w:rsidRPr="000E3EDA">
        <w:rPr>
          <w:szCs w:val="24"/>
        </w:rPr>
        <w:t xml:space="preserve"> – změna soudního řádu správního</w:t>
      </w:r>
    </w:p>
    <w:p w14:paraId="7579DA37" w14:textId="77777777" w:rsidR="008A5EC8" w:rsidRPr="0004360C" w:rsidRDefault="008A5EC8" w:rsidP="00B174BE">
      <w:pPr>
        <w:spacing w:before="120" w:after="0" w:line="240" w:lineRule="auto"/>
        <w:jc w:val="both"/>
        <w:rPr>
          <w:rFonts w:ascii="Times New Roman" w:hAnsi="Times New Roman" w:cs="Times New Roman"/>
          <w:sz w:val="24"/>
          <w:szCs w:val="24"/>
          <w:u w:val="single"/>
        </w:rPr>
      </w:pPr>
      <w:r w:rsidRPr="0004360C">
        <w:rPr>
          <w:rFonts w:ascii="Times New Roman" w:hAnsi="Times New Roman" w:cs="Times New Roman"/>
          <w:sz w:val="24"/>
          <w:szCs w:val="24"/>
          <w:u w:val="single"/>
        </w:rPr>
        <w:t>K bodu 1 (§ 44 odst. 2)</w:t>
      </w:r>
    </w:p>
    <w:p w14:paraId="5EB5591A" w14:textId="77777777" w:rsidR="008A5EC8" w:rsidRPr="0075748D" w:rsidRDefault="008A5EC8" w:rsidP="00B174BE">
      <w:pPr>
        <w:spacing w:before="120" w:after="0" w:line="240" w:lineRule="auto"/>
        <w:jc w:val="both"/>
        <w:rPr>
          <w:rFonts w:ascii="Times New Roman" w:hAnsi="Times New Roman" w:cs="Times New Roman"/>
          <w:sz w:val="24"/>
          <w:szCs w:val="24"/>
        </w:rPr>
      </w:pPr>
      <w:r w:rsidRPr="0004360C">
        <w:rPr>
          <w:rFonts w:ascii="Times New Roman" w:hAnsi="Times New Roman" w:cs="Times New Roman"/>
          <w:sz w:val="24"/>
          <w:szCs w:val="24"/>
        </w:rPr>
        <w:t>Správa placení pořádkové poku</w:t>
      </w:r>
      <w:r w:rsidR="00BC23BA" w:rsidRPr="0004360C">
        <w:rPr>
          <w:rFonts w:ascii="Times New Roman" w:hAnsi="Times New Roman" w:cs="Times New Roman"/>
          <w:sz w:val="24"/>
          <w:szCs w:val="24"/>
        </w:rPr>
        <w:t>ty uložené podle trestního řádu</w:t>
      </w:r>
      <w:r w:rsidR="000A1D5A" w:rsidRPr="0004360C">
        <w:rPr>
          <w:rFonts w:ascii="Times New Roman" w:hAnsi="Times New Roman" w:cs="Times New Roman"/>
          <w:sz w:val="24"/>
          <w:szCs w:val="24"/>
        </w:rPr>
        <w:t>,</w:t>
      </w:r>
      <w:r w:rsidRPr="00C4756C">
        <w:rPr>
          <w:rFonts w:ascii="Times New Roman" w:hAnsi="Times New Roman" w:cs="Times New Roman"/>
          <w:sz w:val="24"/>
          <w:szCs w:val="24"/>
        </w:rPr>
        <w:t xml:space="preserve"> podle zákona o státním zastupitelství i podle občanského soudního řádu podléhá </w:t>
      </w:r>
      <w:r w:rsidR="00870736">
        <w:rPr>
          <w:rFonts w:ascii="Times New Roman" w:hAnsi="Times New Roman" w:cs="Times New Roman"/>
          <w:sz w:val="24"/>
          <w:szCs w:val="24"/>
        </w:rPr>
        <w:t>daňovému řádu. Není ale důvodu, </w:t>
      </w:r>
      <w:r w:rsidRPr="00C4756C">
        <w:rPr>
          <w:rFonts w:ascii="Times New Roman" w:hAnsi="Times New Roman" w:cs="Times New Roman"/>
          <w:sz w:val="24"/>
          <w:szCs w:val="24"/>
        </w:rPr>
        <w:t>proč by daňové</w:t>
      </w:r>
      <w:r w:rsidR="00D305FF">
        <w:rPr>
          <w:rFonts w:ascii="Times New Roman" w:hAnsi="Times New Roman" w:cs="Times New Roman"/>
          <w:sz w:val="24"/>
          <w:szCs w:val="24"/>
        </w:rPr>
        <w:t>mu</w:t>
      </w:r>
      <w:r w:rsidRPr="00C4756C">
        <w:rPr>
          <w:rFonts w:ascii="Times New Roman" w:hAnsi="Times New Roman" w:cs="Times New Roman"/>
          <w:sz w:val="24"/>
          <w:szCs w:val="24"/>
        </w:rPr>
        <w:t xml:space="preserve"> režimu neměly </w:t>
      </w:r>
      <w:r w:rsidR="00D305FF">
        <w:rPr>
          <w:rFonts w:ascii="Times New Roman" w:hAnsi="Times New Roman" w:cs="Times New Roman"/>
          <w:sz w:val="24"/>
          <w:szCs w:val="24"/>
        </w:rPr>
        <w:t xml:space="preserve">podléhat </w:t>
      </w:r>
      <w:r w:rsidRPr="00C4756C">
        <w:rPr>
          <w:rFonts w:ascii="Times New Roman" w:hAnsi="Times New Roman" w:cs="Times New Roman"/>
          <w:sz w:val="24"/>
          <w:szCs w:val="24"/>
        </w:rPr>
        <w:t>i pořádkové pokuty ukládané podle soudního řádu správního. Zároveň dochází v souladu s obecnou částí důvodové z</w:t>
      </w:r>
      <w:r w:rsidRPr="0075748D">
        <w:rPr>
          <w:rFonts w:ascii="Times New Roman" w:hAnsi="Times New Roman" w:cs="Times New Roman"/>
          <w:sz w:val="24"/>
          <w:szCs w:val="24"/>
        </w:rPr>
        <w:t xml:space="preserve">právy k promítnutí záměru převést vymáhání justičních pohledávek, při jejichž správě placení se postupuje podle daňového řádu, na celní úřady. </w:t>
      </w:r>
    </w:p>
    <w:p w14:paraId="6E2834A7" w14:textId="77777777" w:rsidR="008A5EC8" w:rsidRPr="00C73914" w:rsidRDefault="008A5EC8" w:rsidP="00B174BE">
      <w:pPr>
        <w:spacing w:before="120" w:after="0" w:line="240" w:lineRule="auto"/>
        <w:jc w:val="both"/>
        <w:rPr>
          <w:rFonts w:ascii="Times New Roman" w:hAnsi="Times New Roman" w:cs="Times New Roman"/>
          <w:sz w:val="24"/>
          <w:szCs w:val="24"/>
        </w:rPr>
      </w:pPr>
    </w:p>
    <w:p w14:paraId="1778CE53" w14:textId="77777777" w:rsidR="008A5EC8" w:rsidRPr="00713AC6" w:rsidRDefault="008A5EC8" w:rsidP="00B174BE">
      <w:pPr>
        <w:spacing w:before="120" w:after="0" w:line="240" w:lineRule="auto"/>
        <w:jc w:val="both"/>
        <w:rPr>
          <w:rFonts w:ascii="Times New Roman" w:hAnsi="Times New Roman" w:cs="Times New Roman"/>
          <w:sz w:val="24"/>
          <w:szCs w:val="24"/>
          <w:u w:val="single"/>
        </w:rPr>
      </w:pPr>
      <w:r w:rsidRPr="00713AC6">
        <w:rPr>
          <w:rFonts w:ascii="Times New Roman" w:hAnsi="Times New Roman" w:cs="Times New Roman"/>
          <w:sz w:val="24"/>
          <w:szCs w:val="24"/>
          <w:u w:val="single"/>
        </w:rPr>
        <w:t xml:space="preserve">K bodům 2 a 3 (§ 60) </w:t>
      </w:r>
    </w:p>
    <w:p w14:paraId="1090101C" w14:textId="77777777" w:rsidR="008A5EC8" w:rsidRPr="008824A7" w:rsidRDefault="008A5EC8" w:rsidP="00B174BE">
      <w:pPr>
        <w:spacing w:before="120" w:after="0" w:line="240" w:lineRule="auto"/>
        <w:jc w:val="both"/>
        <w:rPr>
          <w:rFonts w:ascii="Times New Roman" w:hAnsi="Times New Roman" w:cs="Times New Roman"/>
          <w:sz w:val="24"/>
          <w:szCs w:val="24"/>
        </w:rPr>
      </w:pPr>
      <w:r w:rsidRPr="00E8290B">
        <w:rPr>
          <w:rFonts w:ascii="Times New Roman" w:hAnsi="Times New Roman" w:cs="Times New Roman"/>
          <w:sz w:val="24"/>
          <w:szCs w:val="24"/>
        </w:rPr>
        <w:t>Podle stávajícího § 60 odst. 10 s.ř.s. se pro vymáhání pohledávek státu vzniklých z důvodu práva na náhradu nákladů řízení podle § 60 odst. 9 s.ř.s. uplatní postup stanovený daňovým řádem. V zájmu právní jistoty se navrhuje formulace vztahující výslovně režim daňového ř</w:t>
      </w:r>
      <w:r w:rsidRPr="00A80754">
        <w:rPr>
          <w:rFonts w:ascii="Times New Roman" w:hAnsi="Times New Roman" w:cs="Times New Roman"/>
          <w:sz w:val="24"/>
          <w:szCs w:val="24"/>
        </w:rPr>
        <w:t xml:space="preserve">ádu na správu placení, tj. i na vybírání a evidenci pořádkových pokut (jde o tzv. procesní dělenou správu). Zároveň dochází v souladu s obecnou částí důvodové zprávy k promítnutí záměru převést vymáhání justičních pohledávek, při jejichž správě placení se </w:t>
      </w:r>
      <w:r w:rsidRPr="008824A7">
        <w:rPr>
          <w:rFonts w:ascii="Times New Roman" w:hAnsi="Times New Roman" w:cs="Times New Roman"/>
          <w:sz w:val="24"/>
          <w:szCs w:val="24"/>
        </w:rPr>
        <w:t xml:space="preserve">postupuje podle daňového řádu, na celní úřady. </w:t>
      </w:r>
    </w:p>
    <w:p w14:paraId="01C6C05E" w14:textId="77777777" w:rsidR="008A5EC8" w:rsidRPr="008824A7" w:rsidRDefault="008A5EC8" w:rsidP="00B174BE">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Stávající ustanovení § 60 odst. 9 s.ř.s. o tom, že „u pohledávek státu vzniklých z důvodu práva na náhradu nákladů řízení vůči osobám uvedeným v odstavcích 4 a 6 ve výši státem placených nákladů řízení se úrok z prodlení nevym</w:t>
      </w:r>
      <w:r w:rsidR="0001090F" w:rsidRPr="008824A7">
        <w:rPr>
          <w:rFonts w:ascii="Times New Roman" w:hAnsi="Times New Roman" w:cs="Times New Roman"/>
          <w:sz w:val="24"/>
          <w:szCs w:val="24"/>
        </w:rPr>
        <w:t>ěřuje“ se navrhuje vypustit pro </w:t>
      </w:r>
      <w:r w:rsidRPr="008824A7">
        <w:rPr>
          <w:rFonts w:ascii="Times New Roman" w:hAnsi="Times New Roman" w:cs="Times New Roman"/>
          <w:sz w:val="24"/>
          <w:szCs w:val="24"/>
        </w:rPr>
        <w:t xml:space="preserve">nadbytečnost, neboť skutečnost, že u těchto pohledávek </w:t>
      </w:r>
      <w:r w:rsidR="00870736">
        <w:rPr>
          <w:rFonts w:ascii="Times New Roman" w:hAnsi="Times New Roman" w:cs="Times New Roman"/>
          <w:sz w:val="24"/>
          <w:szCs w:val="24"/>
        </w:rPr>
        <w:t>se nepožadují úroky z prodlení, </w:t>
      </w:r>
      <w:r w:rsidRPr="008824A7">
        <w:rPr>
          <w:rFonts w:ascii="Times New Roman" w:hAnsi="Times New Roman" w:cs="Times New Roman"/>
          <w:sz w:val="24"/>
          <w:szCs w:val="24"/>
        </w:rPr>
        <w:t>vyplývá z § 253 odst. 3 daňového řádu.</w:t>
      </w:r>
      <w:r w:rsidR="009C2B36" w:rsidRPr="008824A7">
        <w:rPr>
          <w:rFonts w:ascii="Times New Roman" w:hAnsi="Times New Roman" w:cs="Times New Roman"/>
          <w:sz w:val="24"/>
          <w:szCs w:val="24"/>
        </w:rPr>
        <w:t xml:space="preserve"> </w:t>
      </w:r>
    </w:p>
    <w:p w14:paraId="40CE807C" w14:textId="77777777" w:rsidR="008A5EC8" w:rsidRPr="008824A7" w:rsidRDefault="008A5EC8" w:rsidP="00B174BE">
      <w:pPr>
        <w:spacing w:before="120" w:after="0" w:line="240" w:lineRule="auto"/>
        <w:jc w:val="both"/>
        <w:rPr>
          <w:rFonts w:ascii="Times New Roman" w:hAnsi="Times New Roman" w:cs="Times New Roman"/>
          <w:sz w:val="24"/>
          <w:szCs w:val="24"/>
        </w:rPr>
      </w:pPr>
    </w:p>
    <w:p w14:paraId="4D23E094" w14:textId="77777777" w:rsidR="008A5EC8" w:rsidRPr="008824A7" w:rsidRDefault="008A5EC8" w:rsidP="00B174BE">
      <w:pPr>
        <w:spacing w:before="120" w:after="0" w:line="240" w:lineRule="auto"/>
        <w:jc w:val="both"/>
        <w:rPr>
          <w:rFonts w:ascii="Times New Roman" w:hAnsi="Times New Roman" w:cs="Times New Roman"/>
          <w:sz w:val="24"/>
          <w:szCs w:val="24"/>
          <w:u w:val="single"/>
        </w:rPr>
      </w:pPr>
      <w:r w:rsidRPr="008824A7">
        <w:rPr>
          <w:rFonts w:ascii="Times New Roman" w:hAnsi="Times New Roman" w:cs="Times New Roman"/>
          <w:sz w:val="24"/>
          <w:szCs w:val="24"/>
          <w:u w:val="single"/>
        </w:rPr>
        <w:t>K přechodným ustanovením</w:t>
      </w:r>
    </w:p>
    <w:p w14:paraId="746B5BD7" w14:textId="4DCD75D2" w:rsidR="008A5EC8" w:rsidRPr="008824A7" w:rsidRDefault="008A5EC8" w:rsidP="00B174BE">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Procesní režim pořádkových pokut uložených podle soudního řádu správního, které vznikly přede dnem nabytí účinnosti tohoto zákona, se nemění; daňový řád se bude vztahovat až na</w:t>
      </w:r>
      <w:r w:rsidR="00FC7E65">
        <w:rPr>
          <w:rFonts w:ascii="Times New Roman" w:hAnsi="Times New Roman" w:cs="Times New Roman"/>
          <w:sz w:val="24"/>
          <w:szCs w:val="24"/>
        </w:rPr>
        <w:t> </w:t>
      </w:r>
      <w:r w:rsidRPr="008824A7">
        <w:rPr>
          <w:rFonts w:ascii="Times New Roman" w:hAnsi="Times New Roman" w:cs="Times New Roman"/>
          <w:sz w:val="24"/>
          <w:szCs w:val="24"/>
        </w:rPr>
        <w:t>ty,</w:t>
      </w:r>
      <w:r w:rsidR="00D02699">
        <w:rPr>
          <w:rFonts w:ascii="Times New Roman" w:hAnsi="Times New Roman" w:cs="Times New Roman"/>
          <w:sz w:val="24"/>
          <w:szCs w:val="24"/>
        </w:rPr>
        <w:t> </w:t>
      </w:r>
      <w:r w:rsidRPr="008824A7">
        <w:rPr>
          <w:rFonts w:ascii="Times New Roman" w:hAnsi="Times New Roman" w:cs="Times New Roman"/>
          <w:sz w:val="24"/>
          <w:szCs w:val="24"/>
        </w:rPr>
        <w:t>které se staly splatnými ode dne nabytí účinnosti tohoto zákona.</w:t>
      </w:r>
    </w:p>
    <w:p w14:paraId="55AF2B49" w14:textId="77777777" w:rsidR="008A5EC8" w:rsidRDefault="008A5EC8" w:rsidP="00330702">
      <w:pPr>
        <w:tabs>
          <w:tab w:val="left" w:pos="1176"/>
        </w:tabs>
        <w:spacing w:before="120" w:after="0" w:line="240" w:lineRule="auto"/>
        <w:jc w:val="both"/>
      </w:pPr>
      <w:r w:rsidRPr="008824A7">
        <w:rPr>
          <w:rFonts w:ascii="Times New Roman" w:hAnsi="Times New Roman" w:cs="Times New Roman"/>
          <w:sz w:val="24"/>
          <w:szCs w:val="24"/>
        </w:rPr>
        <w:t xml:space="preserve">K vymáhání pořádkových pokut uložených podle soudního řádu správního a pohledávek specifikovaných v § 60 odst. 9 s.ř.s. bude Celní správa příslušná pouze v případě těch pohledávek, které vzniknou (které se staly splatnými) ode dne nabytí účinnosti tohoto zákona. Příslušnost k vymáhání pohledávek, které vznikly přede dnem účinnosti tohoto zákona, se nemění, tj. tyto pohledávky i nadále budou vymáhány přímo soudy nebo prostřednictvím soudního exekutora. </w:t>
      </w:r>
    </w:p>
    <w:p w14:paraId="282E09AA" w14:textId="77777777" w:rsidR="00430F97" w:rsidRDefault="008A5EC8" w:rsidP="00B174BE">
      <w:pPr>
        <w:pStyle w:val="NADPISSTI"/>
        <w:spacing w:before="120"/>
        <w:jc w:val="both"/>
        <w:rPr>
          <w:szCs w:val="24"/>
          <w:lang w:val="cs-CZ"/>
        </w:rPr>
      </w:pPr>
      <w:r w:rsidRPr="000E3EDA">
        <w:rPr>
          <w:szCs w:val="24"/>
        </w:rPr>
        <w:lastRenderedPageBreak/>
        <w:t xml:space="preserve">K části </w:t>
      </w:r>
      <w:r w:rsidR="00430F97">
        <w:rPr>
          <w:szCs w:val="24"/>
          <w:lang w:val="cs-CZ"/>
        </w:rPr>
        <w:t>osmé</w:t>
      </w:r>
      <w:r w:rsidRPr="000E3EDA">
        <w:rPr>
          <w:szCs w:val="24"/>
        </w:rPr>
        <w:t xml:space="preserve"> – změna zákona o mezinárodní justiční spolupráci ve věcech trestních</w:t>
      </w:r>
    </w:p>
    <w:p w14:paraId="09359634" w14:textId="77777777" w:rsidR="008A5EC8" w:rsidRPr="00713AC6" w:rsidRDefault="008A5EC8" w:rsidP="00B174BE">
      <w:pPr>
        <w:spacing w:before="120" w:after="0" w:line="240" w:lineRule="auto"/>
        <w:jc w:val="both"/>
        <w:rPr>
          <w:rFonts w:ascii="Times New Roman" w:hAnsi="Times New Roman" w:cs="Times New Roman"/>
          <w:color w:val="000000"/>
          <w:sz w:val="24"/>
          <w:szCs w:val="24"/>
          <w:u w:val="single"/>
        </w:rPr>
      </w:pPr>
      <w:r w:rsidRPr="00C73914">
        <w:rPr>
          <w:rFonts w:ascii="Times New Roman" w:hAnsi="Times New Roman" w:cs="Times New Roman"/>
          <w:color w:val="000000"/>
          <w:sz w:val="24"/>
          <w:szCs w:val="24"/>
          <w:u w:val="single"/>
        </w:rPr>
        <w:t xml:space="preserve">K bodu </w:t>
      </w:r>
      <w:r w:rsidR="00430F97">
        <w:rPr>
          <w:rFonts w:ascii="Times New Roman" w:hAnsi="Times New Roman" w:cs="Times New Roman"/>
          <w:color w:val="000000"/>
          <w:sz w:val="24"/>
          <w:szCs w:val="24"/>
          <w:u w:val="single"/>
        </w:rPr>
        <w:t>1</w:t>
      </w:r>
      <w:r w:rsidRPr="003A3B7D">
        <w:rPr>
          <w:rFonts w:ascii="Times New Roman" w:hAnsi="Times New Roman" w:cs="Times New Roman"/>
          <w:color w:val="000000"/>
          <w:sz w:val="24"/>
          <w:szCs w:val="24"/>
          <w:u w:val="single"/>
        </w:rPr>
        <w:t xml:space="preserve"> (§ </w:t>
      </w:r>
      <w:r w:rsidRPr="002D07D4">
        <w:rPr>
          <w:rFonts w:ascii="Times New Roman" w:hAnsi="Times New Roman" w:cs="Times New Roman"/>
          <w:color w:val="000000"/>
          <w:sz w:val="24"/>
          <w:szCs w:val="24"/>
          <w:u w:val="single"/>
        </w:rPr>
        <w:t>11 odst. 4, § 132 odst. 4, § 270</w:t>
      </w:r>
      <w:r w:rsidR="0072715E" w:rsidRPr="002D07D4">
        <w:rPr>
          <w:rFonts w:ascii="Times New Roman" w:hAnsi="Times New Roman" w:cs="Times New Roman"/>
          <w:color w:val="000000"/>
          <w:sz w:val="24"/>
          <w:szCs w:val="24"/>
          <w:u w:val="single"/>
        </w:rPr>
        <w:t xml:space="preserve"> odst. 2</w:t>
      </w:r>
      <w:r w:rsidRPr="00713AC6">
        <w:rPr>
          <w:rFonts w:ascii="Times New Roman" w:hAnsi="Times New Roman" w:cs="Times New Roman"/>
          <w:color w:val="000000"/>
          <w:sz w:val="24"/>
          <w:szCs w:val="24"/>
          <w:u w:val="single"/>
        </w:rPr>
        <w:t>)</w:t>
      </w:r>
    </w:p>
    <w:p w14:paraId="67CFFB64" w14:textId="77777777" w:rsidR="00786D08" w:rsidRDefault="008A5EC8" w:rsidP="00B174BE">
      <w:pPr>
        <w:spacing w:before="120" w:after="0" w:line="240" w:lineRule="auto"/>
        <w:jc w:val="both"/>
        <w:rPr>
          <w:rFonts w:ascii="Times New Roman" w:hAnsi="Times New Roman" w:cs="Times New Roman"/>
          <w:color w:val="000000"/>
          <w:sz w:val="24"/>
          <w:szCs w:val="24"/>
        </w:rPr>
      </w:pPr>
      <w:r w:rsidRPr="00E8290B">
        <w:rPr>
          <w:rFonts w:ascii="Times New Roman" w:hAnsi="Times New Roman" w:cs="Times New Roman"/>
          <w:color w:val="000000"/>
          <w:sz w:val="24"/>
          <w:szCs w:val="24"/>
        </w:rPr>
        <w:t>V souladu s obecnou částí důvodové zprávy se navrhuje zakotvit, že orgánem příslušným k vymáhání úhrady nákladů mezinárodní justiční spolupráce v</w:t>
      </w:r>
      <w:r w:rsidR="00870736">
        <w:rPr>
          <w:rFonts w:ascii="Times New Roman" w:hAnsi="Times New Roman" w:cs="Times New Roman"/>
          <w:color w:val="000000"/>
          <w:sz w:val="24"/>
          <w:szCs w:val="24"/>
        </w:rPr>
        <w:t>e věcech trestních (§ 11 ZMJS), </w:t>
      </w:r>
      <w:r w:rsidRPr="00E8290B">
        <w:rPr>
          <w:rFonts w:ascii="Times New Roman" w:hAnsi="Times New Roman" w:cs="Times New Roman"/>
          <w:color w:val="000000"/>
          <w:sz w:val="24"/>
          <w:szCs w:val="24"/>
        </w:rPr>
        <w:t>nákladů převzetí (§ 132 ZMJS) a pohle</w:t>
      </w:r>
      <w:r w:rsidRPr="00A80754">
        <w:rPr>
          <w:rFonts w:ascii="Times New Roman" w:hAnsi="Times New Roman" w:cs="Times New Roman"/>
          <w:color w:val="000000"/>
          <w:sz w:val="24"/>
          <w:szCs w:val="24"/>
        </w:rPr>
        <w:t>dávek podle § 286 odst. 6 ZMJS budou napříště celní úřady.</w:t>
      </w:r>
    </w:p>
    <w:p w14:paraId="30EC1581" w14:textId="77777777" w:rsidR="004B0313" w:rsidRPr="0004360C" w:rsidRDefault="004B0313" w:rsidP="00B174BE">
      <w:pPr>
        <w:spacing w:before="120" w:after="0" w:line="240" w:lineRule="auto"/>
        <w:jc w:val="both"/>
        <w:rPr>
          <w:rFonts w:ascii="Times New Roman" w:hAnsi="Times New Roman" w:cs="Times New Roman"/>
          <w:color w:val="000000"/>
          <w:sz w:val="24"/>
          <w:szCs w:val="24"/>
        </w:rPr>
      </w:pPr>
    </w:p>
    <w:p w14:paraId="6C01B819" w14:textId="77777777" w:rsidR="008A5EC8" w:rsidRPr="00346651" w:rsidRDefault="008A5EC8" w:rsidP="00B174BE">
      <w:pPr>
        <w:spacing w:before="120" w:after="0" w:line="240" w:lineRule="auto"/>
        <w:jc w:val="both"/>
        <w:rPr>
          <w:rFonts w:ascii="Times New Roman" w:hAnsi="Times New Roman" w:cs="Times New Roman"/>
          <w:color w:val="000000"/>
          <w:sz w:val="24"/>
          <w:szCs w:val="24"/>
          <w:u w:val="single"/>
        </w:rPr>
      </w:pPr>
      <w:r w:rsidRPr="0004360C">
        <w:rPr>
          <w:rFonts w:ascii="Times New Roman" w:hAnsi="Times New Roman" w:cs="Times New Roman"/>
          <w:color w:val="000000"/>
          <w:sz w:val="24"/>
          <w:szCs w:val="24"/>
          <w:u w:val="single"/>
        </w:rPr>
        <w:t xml:space="preserve">K bodům </w:t>
      </w:r>
      <w:r w:rsidR="004B0313">
        <w:rPr>
          <w:rFonts w:ascii="Times New Roman" w:hAnsi="Times New Roman" w:cs="Times New Roman"/>
          <w:color w:val="000000"/>
          <w:sz w:val="24"/>
          <w:szCs w:val="24"/>
          <w:u w:val="single"/>
        </w:rPr>
        <w:t>2</w:t>
      </w:r>
      <w:r w:rsidR="003F6D92" w:rsidRPr="00C4756C">
        <w:rPr>
          <w:rFonts w:ascii="Times New Roman" w:hAnsi="Times New Roman" w:cs="Times New Roman"/>
          <w:color w:val="000000"/>
          <w:sz w:val="24"/>
          <w:szCs w:val="24"/>
          <w:u w:val="single"/>
        </w:rPr>
        <w:t xml:space="preserve"> </w:t>
      </w:r>
      <w:r w:rsidRPr="00C4756C">
        <w:rPr>
          <w:rFonts w:ascii="Times New Roman" w:hAnsi="Times New Roman" w:cs="Times New Roman"/>
          <w:color w:val="000000"/>
          <w:sz w:val="24"/>
          <w:szCs w:val="24"/>
          <w:u w:val="single"/>
        </w:rPr>
        <w:t xml:space="preserve">a </w:t>
      </w:r>
      <w:r w:rsidR="004B0313">
        <w:rPr>
          <w:rFonts w:ascii="Times New Roman" w:hAnsi="Times New Roman" w:cs="Times New Roman"/>
          <w:color w:val="000000"/>
          <w:sz w:val="24"/>
          <w:szCs w:val="24"/>
          <w:u w:val="single"/>
        </w:rPr>
        <w:t>3</w:t>
      </w:r>
      <w:r w:rsidR="003F6D92" w:rsidRPr="00C4756C">
        <w:rPr>
          <w:rFonts w:ascii="Times New Roman" w:hAnsi="Times New Roman" w:cs="Times New Roman"/>
          <w:color w:val="000000"/>
          <w:sz w:val="24"/>
          <w:szCs w:val="24"/>
          <w:u w:val="single"/>
        </w:rPr>
        <w:t xml:space="preserve"> </w:t>
      </w:r>
      <w:r w:rsidRPr="00346651">
        <w:rPr>
          <w:rFonts w:ascii="Times New Roman" w:hAnsi="Times New Roman" w:cs="Times New Roman"/>
          <w:color w:val="000000"/>
          <w:sz w:val="24"/>
          <w:szCs w:val="24"/>
          <w:u w:val="single"/>
        </w:rPr>
        <w:t>(§ 178 odst. 1, § 180 a § 270 odst. 1 a 2)</w:t>
      </w:r>
    </w:p>
    <w:p w14:paraId="190086CE" w14:textId="77777777" w:rsidR="008A5EC8" w:rsidRPr="008824A7" w:rsidRDefault="008A5EC8" w:rsidP="00B174BE">
      <w:pPr>
        <w:spacing w:before="120" w:after="0" w:line="240" w:lineRule="auto"/>
        <w:jc w:val="both"/>
        <w:rPr>
          <w:rFonts w:ascii="Times New Roman" w:eastAsia="Calibri" w:hAnsi="Times New Roman" w:cs="Times New Roman"/>
          <w:sz w:val="24"/>
          <w:szCs w:val="24"/>
        </w:rPr>
      </w:pPr>
      <w:r w:rsidRPr="0075748D">
        <w:rPr>
          <w:rFonts w:ascii="Times New Roman" w:hAnsi="Times New Roman" w:cs="Times New Roman"/>
          <w:color w:val="000000"/>
          <w:sz w:val="24"/>
          <w:szCs w:val="24"/>
        </w:rPr>
        <w:t>Odůvodňované novelizační body reagují na skutečnost, že k vymáhání pohledávek uvedených v § 178 odst. 1,</w:t>
      </w:r>
      <w:r w:rsidRPr="00C73914">
        <w:rPr>
          <w:rFonts w:ascii="Times New Roman" w:hAnsi="Times New Roman" w:cs="Times New Roman"/>
          <w:color w:val="000000"/>
          <w:sz w:val="24"/>
          <w:szCs w:val="24"/>
        </w:rPr>
        <w:t xml:space="preserve"> § 180 a § 270 odst. 1 a 2 ZMJS budou napříště příslušné celní úřady.</w:t>
      </w:r>
      <w:r w:rsidR="007501D0" w:rsidRPr="004C4D15">
        <w:rPr>
          <w:rFonts w:ascii="Times New Roman" w:hAnsi="Times New Roman" w:cs="Times New Roman"/>
          <w:color w:val="000000"/>
          <w:sz w:val="24"/>
          <w:szCs w:val="24"/>
        </w:rPr>
        <w:t xml:space="preserve"> </w:t>
      </w:r>
      <w:r w:rsidR="000E3EDA" w:rsidRPr="003A3B7D">
        <w:rPr>
          <w:rFonts w:ascii="Times New Roman" w:hAnsi="Times New Roman" w:cs="Times New Roman"/>
          <w:sz w:val="24"/>
          <w:szCs w:val="24"/>
        </w:rPr>
        <w:t>Jde-li o</w:t>
      </w:r>
      <w:r w:rsidR="000E3EDA" w:rsidRPr="002D07D4">
        <w:rPr>
          <w:rFonts w:ascii="Times New Roman" w:hAnsi="Times New Roman" w:cs="Times New Roman"/>
          <w:sz w:val="24"/>
          <w:szCs w:val="24"/>
        </w:rPr>
        <w:t> </w:t>
      </w:r>
      <w:r w:rsidR="007501D0" w:rsidRPr="002D07D4">
        <w:rPr>
          <w:rFonts w:ascii="Times New Roman" w:hAnsi="Times New Roman" w:cs="Times New Roman"/>
          <w:sz w:val="24"/>
          <w:szCs w:val="24"/>
        </w:rPr>
        <w:t>výkon rozhodnutí mezinárodního soudu, kterým byl uložen peněžitý trest, připadá p</w:t>
      </w:r>
      <w:r w:rsidR="000E3EDA" w:rsidRPr="00E8290B">
        <w:rPr>
          <w:rFonts w:ascii="Times New Roman" w:hAnsi="Times New Roman" w:cs="Times New Roman"/>
          <w:sz w:val="24"/>
          <w:szCs w:val="24"/>
        </w:rPr>
        <w:t>odle § </w:t>
      </w:r>
      <w:r w:rsidR="007501D0" w:rsidRPr="006C159B">
        <w:rPr>
          <w:rFonts w:ascii="Times New Roman" w:hAnsi="Times New Roman" w:cs="Times New Roman"/>
          <w:sz w:val="24"/>
          <w:szCs w:val="24"/>
        </w:rPr>
        <w:t>178 ZMJS částka, která byla výkonem jeho rozhodnutí</w:t>
      </w:r>
      <w:r w:rsidR="000E3EDA" w:rsidRPr="00A80754">
        <w:rPr>
          <w:rFonts w:ascii="Times New Roman" w:hAnsi="Times New Roman" w:cs="Times New Roman"/>
          <w:sz w:val="24"/>
          <w:szCs w:val="24"/>
        </w:rPr>
        <w:t xml:space="preserve"> získána, mezinárodnímu soudu a</w:t>
      </w:r>
      <w:r w:rsidR="000E3EDA" w:rsidRPr="008824A7">
        <w:rPr>
          <w:rFonts w:ascii="Times New Roman" w:hAnsi="Times New Roman" w:cs="Times New Roman"/>
          <w:sz w:val="24"/>
          <w:szCs w:val="24"/>
        </w:rPr>
        <w:t> </w:t>
      </w:r>
      <w:r w:rsidR="007501D0" w:rsidRPr="008824A7">
        <w:rPr>
          <w:rFonts w:ascii="Times New Roman" w:hAnsi="Times New Roman" w:cs="Times New Roman"/>
          <w:sz w:val="24"/>
          <w:szCs w:val="24"/>
        </w:rPr>
        <w:t xml:space="preserve">orgán, který ji vybral nebo vymohl, ji převede mezinárodnímu soudu nebo tomu, koho mezinárodní soud určí, na jimi stanovený účet. </w:t>
      </w:r>
      <w:r w:rsidR="007501D0" w:rsidRPr="008824A7">
        <w:rPr>
          <w:rFonts w:ascii="Times New Roman" w:eastAsia="Calibri" w:hAnsi="Times New Roman" w:cs="Times New Roman"/>
          <w:sz w:val="24"/>
          <w:szCs w:val="24"/>
        </w:rPr>
        <w:t>Částka získ</w:t>
      </w:r>
      <w:r w:rsidR="007501D0" w:rsidRPr="008824A7">
        <w:rPr>
          <w:rFonts w:ascii="Times New Roman" w:hAnsi="Times New Roman" w:cs="Times New Roman"/>
          <w:sz w:val="24"/>
          <w:szCs w:val="24"/>
        </w:rPr>
        <w:t>a</w:t>
      </w:r>
      <w:r w:rsidR="007501D0" w:rsidRPr="008824A7">
        <w:rPr>
          <w:rFonts w:ascii="Times New Roman" w:eastAsia="Calibri" w:hAnsi="Times New Roman" w:cs="Times New Roman"/>
          <w:sz w:val="24"/>
          <w:szCs w:val="24"/>
        </w:rPr>
        <w:t>n</w:t>
      </w:r>
      <w:r w:rsidR="007501D0" w:rsidRPr="008824A7">
        <w:rPr>
          <w:rFonts w:ascii="Times New Roman" w:hAnsi="Times New Roman" w:cs="Times New Roman"/>
          <w:sz w:val="24"/>
          <w:szCs w:val="24"/>
        </w:rPr>
        <w:t>á</w:t>
      </w:r>
      <w:r w:rsidR="007501D0" w:rsidRPr="008824A7">
        <w:rPr>
          <w:rFonts w:ascii="Times New Roman" w:eastAsia="Calibri" w:hAnsi="Times New Roman" w:cs="Times New Roman"/>
          <w:sz w:val="24"/>
          <w:szCs w:val="24"/>
        </w:rPr>
        <w:t xml:space="preserve"> výkonem tohoto rozhodnutí se tedy převede na příslušný účet (buď mezinárodního soudu</w:t>
      </w:r>
      <w:r w:rsidR="007501D0" w:rsidRPr="008824A7">
        <w:rPr>
          <w:rFonts w:ascii="Times New Roman" w:hAnsi="Times New Roman" w:cs="Times New Roman"/>
          <w:sz w:val="24"/>
          <w:szCs w:val="24"/>
        </w:rPr>
        <w:t>,</w:t>
      </w:r>
      <w:r w:rsidR="007501D0" w:rsidRPr="008824A7">
        <w:rPr>
          <w:rFonts w:ascii="Times New Roman" w:eastAsia="Calibri" w:hAnsi="Times New Roman" w:cs="Times New Roman"/>
          <w:sz w:val="24"/>
          <w:szCs w:val="24"/>
        </w:rPr>
        <w:t xml:space="preserve"> nebo</w:t>
      </w:r>
      <w:r w:rsidR="007501D0" w:rsidRPr="008824A7">
        <w:rPr>
          <w:rFonts w:ascii="Times New Roman" w:hAnsi="Times New Roman" w:cs="Times New Roman"/>
          <w:sz w:val="24"/>
          <w:szCs w:val="24"/>
        </w:rPr>
        <w:t xml:space="preserve"> toho, koho mezinárodní soud určí)</w:t>
      </w:r>
      <w:r w:rsidR="007501D0" w:rsidRPr="008824A7">
        <w:rPr>
          <w:rFonts w:ascii="Times New Roman" w:eastAsia="Calibri" w:hAnsi="Times New Roman" w:cs="Times New Roman"/>
          <w:sz w:val="24"/>
          <w:szCs w:val="24"/>
        </w:rPr>
        <w:t>, přičemž příslušné kontaktní údaje předá celnímu úřadu soud zároveň s postoupením pohledávky k vymáhání (tj. nebude zapotřebí provádění žádných zvláštních úkonů ze strany celního úřadu vůči mezinárodnímu soudu nebo příjemci vym</w:t>
      </w:r>
      <w:r w:rsidR="000E3EDA" w:rsidRPr="008824A7">
        <w:rPr>
          <w:rFonts w:ascii="Times New Roman" w:eastAsia="Calibri" w:hAnsi="Times New Roman" w:cs="Times New Roman"/>
          <w:sz w:val="24"/>
          <w:szCs w:val="24"/>
        </w:rPr>
        <w:t>ožené částky).  Totéž platí pro </w:t>
      </w:r>
      <w:r w:rsidR="007501D0" w:rsidRPr="008824A7">
        <w:rPr>
          <w:rFonts w:ascii="Times New Roman" w:eastAsia="Calibri" w:hAnsi="Times New Roman" w:cs="Times New Roman"/>
          <w:sz w:val="24"/>
          <w:szCs w:val="24"/>
        </w:rPr>
        <w:t xml:space="preserve">postup podle § 180 ZMJS. </w:t>
      </w:r>
      <w:r w:rsidR="007501D0" w:rsidRPr="008824A7">
        <w:rPr>
          <w:rFonts w:ascii="Times New Roman" w:hAnsi="Times New Roman" w:cs="Times New Roman"/>
          <w:sz w:val="24"/>
          <w:szCs w:val="24"/>
        </w:rPr>
        <w:t xml:space="preserve"> </w:t>
      </w:r>
    </w:p>
    <w:p w14:paraId="444039B8" w14:textId="77777777" w:rsidR="008A5EC8" w:rsidRPr="004B0313" w:rsidRDefault="008A5EC8" w:rsidP="00B174BE">
      <w:pPr>
        <w:spacing w:before="120" w:after="0" w:line="240" w:lineRule="auto"/>
        <w:jc w:val="both"/>
        <w:rPr>
          <w:rFonts w:ascii="Times New Roman" w:hAnsi="Times New Roman" w:cs="Times New Roman"/>
          <w:color w:val="000000"/>
          <w:sz w:val="24"/>
          <w:szCs w:val="24"/>
        </w:rPr>
      </w:pPr>
    </w:p>
    <w:p w14:paraId="6EF31A1D" w14:textId="77777777" w:rsidR="008A5EC8" w:rsidRPr="00377E20" w:rsidRDefault="008A5EC8" w:rsidP="00B174BE">
      <w:pPr>
        <w:spacing w:before="120" w:after="0" w:line="240" w:lineRule="auto"/>
        <w:jc w:val="both"/>
        <w:rPr>
          <w:rFonts w:ascii="Times New Roman" w:hAnsi="Times New Roman" w:cs="Times New Roman"/>
          <w:color w:val="000000"/>
          <w:sz w:val="24"/>
          <w:szCs w:val="24"/>
          <w:u w:val="single"/>
        </w:rPr>
      </w:pPr>
      <w:r w:rsidRPr="004B0313">
        <w:rPr>
          <w:rFonts w:ascii="Times New Roman" w:hAnsi="Times New Roman" w:cs="Times New Roman"/>
          <w:color w:val="000000"/>
          <w:sz w:val="24"/>
          <w:szCs w:val="24"/>
          <w:u w:val="single"/>
        </w:rPr>
        <w:t xml:space="preserve">K bodu </w:t>
      </w:r>
      <w:r w:rsidR="004B0313">
        <w:rPr>
          <w:rFonts w:ascii="Times New Roman" w:hAnsi="Times New Roman" w:cs="Times New Roman"/>
          <w:color w:val="000000"/>
          <w:sz w:val="24"/>
          <w:szCs w:val="24"/>
          <w:u w:val="single"/>
        </w:rPr>
        <w:t>4</w:t>
      </w:r>
      <w:r w:rsidR="003F6D92" w:rsidRPr="004B0313">
        <w:rPr>
          <w:rFonts w:ascii="Times New Roman" w:hAnsi="Times New Roman" w:cs="Times New Roman"/>
          <w:color w:val="000000"/>
          <w:sz w:val="24"/>
          <w:szCs w:val="24"/>
          <w:u w:val="single"/>
        </w:rPr>
        <w:t xml:space="preserve"> </w:t>
      </w:r>
      <w:r w:rsidRPr="00377E20">
        <w:rPr>
          <w:rFonts w:ascii="Times New Roman" w:hAnsi="Times New Roman" w:cs="Times New Roman"/>
          <w:color w:val="000000"/>
          <w:sz w:val="24"/>
          <w:szCs w:val="24"/>
          <w:u w:val="single"/>
        </w:rPr>
        <w:t>(§ 271 odst. 3)</w:t>
      </w:r>
    </w:p>
    <w:p w14:paraId="7F3DB54E" w14:textId="77777777" w:rsidR="008A5EC8" w:rsidRPr="000E3EDA" w:rsidRDefault="008A5EC8" w:rsidP="00B174BE">
      <w:pPr>
        <w:pStyle w:val="center"/>
        <w:spacing w:before="120" w:beforeAutospacing="0" w:after="0" w:afterAutospacing="0"/>
        <w:jc w:val="both"/>
        <w:outlineLvl w:val="1"/>
      </w:pPr>
      <w:r w:rsidRPr="000E3EDA">
        <w:t xml:space="preserve">Aby samosoudce mohl řádně informovat </w:t>
      </w:r>
      <w:r w:rsidRPr="000E3EDA">
        <w:rPr>
          <w:color w:val="000000"/>
        </w:rPr>
        <w:t>příslušný orgán jiného členského státu</w:t>
      </w:r>
      <w:r w:rsidRPr="000E3EDA">
        <w:t xml:space="preserve"> o skutečnostech uvedených v návaznosti na čl. 14 </w:t>
      </w:r>
      <w:r w:rsidRPr="000E3EDA">
        <w:rPr>
          <w:color w:val="000000"/>
        </w:rPr>
        <w:t>rámcového rozhodnutí Rady 2005/214/SVV ze dne 24. února 2005 o uplatňování zásady vzájemného uznávání peněžitých trestů a pokut v § 271 odst. 1</w:t>
      </w:r>
      <w:r w:rsidR="003E63D4" w:rsidRPr="000E3EDA">
        <w:rPr>
          <w:color w:val="000000"/>
        </w:rPr>
        <w:t xml:space="preserve"> ZMJS</w:t>
      </w:r>
      <w:r w:rsidRPr="000E3EDA">
        <w:rPr>
          <w:color w:val="000000"/>
        </w:rPr>
        <w:t xml:space="preserve">, stanoví se povinnost celního úřadu, </w:t>
      </w:r>
      <w:r w:rsidRPr="000E3EDA">
        <w:t>který vymáhá peněžitou sankci nebo jiné peněžité plnění podle této hlavy, vyrozumět bez zbytečného odkladu soud o tom, že tato peněžitá sankce nebo jiné peněži</w:t>
      </w:r>
      <w:r w:rsidR="0001090F" w:rsidRPr="000E3EDA">
        <w:t>té plnění bylo vykonáno nebo že </w:t>
      </w:r>
      <w:r w:rsidRPr="000E3EDA">
        <w:t>vymožení peněžité sankce nebo jiného peněžitého plnění by mohlo být zmařeno a z jakých důvodů. Toto ustanovení navazuje na informační povinnost celního úřadu podle trestního řádu (§ 343a odst. 3 tr. ř.), která se ale týká pouze peněžitých trestů, a je nezbytné i pro řádnou reakci soudu v rámci vykonávacího řízení (tato obligatorní informační povinnost tedy představuje určitou věcně odůvodnitelnou odchylku od obecného ustanovení § 162 odst. 4 daňového řádu).</w:t>
      </w:r>
      <w:r w:rsidR="00086E02" w:rsidRPr="000E3EDA">
        <w:t xml:space="preserve"> Tímto ustanovením není dotčena informační povinnost p</w:t>
      </w:r>
      <w:r w:rsidR="00870736">
        <w:t>odle trestního řádu, </w:t>
      </w:r>
      <w:r w:rsidR="00086E02" w:rsidRPr="000E3EDA">
        <w:t>je-li takto uznán a</w:t>
      </w:r>
      <w:r w:rsidR="006509A4">
        <w:t> </w:t>
      </w:r>
      <w:r w:rsidR="00086E02" w:rsidRPr="000E3EDA">
        <w:t>vykonáván peněžitý trest [viz i § 270 odst. 1 písm. a) ZMJS].</w:t>
      </w:r>
    </w:p>
    <w:p w14:paraId="7D616B64" w14:textId="77777777" w:rsidR="008A5EC8" w:rsidRPr="00E8290B" w:rsidRDefault="008A5EC8" w:rsidP="00B174BE">
      <w:pPr>
        <w:spacing w:before="120" w:after="0" w:line="240" w:lineRule="auto"/>
        <w:jc w:val="both"/>
        <w:rPr>
          <w:rFonts w:ascii="Times New Roman" w:hAnsi="Times New Roman" w:cs="Times New Roman"/>
          <w:color w:val="000000"/>
          <w:sz w:val="24"/>
          <w:szCs w:val="24"/>
        </w:rPr>
      </w:pPr>
    </w:p>
    <w:p w14:paraId="1D61D77D" w14:textId="77777777" w:rsidR="008A5EC8" w:rsidRPr="00E8290B" w:rsidRDefault="008A5EC8" w:rsidP="00B174BE">
      <w:pPr>
        <w:spacing w:before="120" w:after="0" w:line="240" w:lineRule="auto"/>
        <w:jc w:val="both"/>
        <w:rPr>
          <w:rFonts w:ascii="Times New Roman" w:hAnsi="Times New Roman" w:cs="Times New Roman"/>
          <w:color w:val="000000"/>
          <w:sz w:val="24"/>
          <w:szCs w:val="24"/>
          <w:u w:val="single"/>
        </w:rPr>
      </w:pPr>
      <w:r w:rsidRPr="00E8290B">
        <w:rPr>
          <w:rFonts w:ascii="Times New Roman" w:hAnsi="Times New Roman" w:cs="Times New Roman"/>
          <w:color w:val="000000"/>
          <w:sz w:val="24"/>
          <w:szCs w:val="24"/>
          <w:u w:val="single"/>
        </w:rPr>
        <w:t>K přechodnému ustanovení</w:t>
      </w:r>
    </w:p>
    <w:p w14:paraId="4D948923" w14:textId="77777777" w:rsidR="008A5EC8" w:rsidRDefault="008A5EC8" w:rsidP="00B174BE">
      <w:pPr>
        <w:spacing w:before="120" w:after="0" w:line="240" w:lineRule="auto"/>
        <w:jc w:val="both"/>
        <w:rPr>
          <w:rFonts w:ascii="Times New Roman" w:hAnsi="Times New Roman" w:cs="Times New Roman"/>
          <w:color w:val="000000"/>
          <w:sz w:val="24"/>
          <w:szCs w:val="24"/>
        </w:rPr>
      </w:pPr>
      <w:r w:rsidRPr="00430F97">
        <w:rPr>
          <w:rFonts w:ascii="Times New Roman" w:hAnsi="Times New Roman" w:cs="Times New Roman"/>
          <w:color w:val="000000"/>
          <w:sz w:val="24"/>
          <w:szCs w:val="24"/>
        </w:rPr>
        <w:t>Kompeten</w:t>
      </w:r>
      <w:r w:rsidR="00822931" w:rsidRPr="00430F97">
        <w:rPr>
          <w:rFonts w:ascii="Times New Roman" w:hAnsi="Times New Roman" w:cs="Times New Roman"/>
          <w:color w:val="000000"/>
          <w:sz w:val="24"/>
          <w:szCs w:val="24"/>
        </w:rPr>
        <w:t>tní k vymáhání pohledávek soudů</w:t>
      </w:r>
      <w:r w:rsidRPr="004B0313">
        <w:rPr>
          <w:rFonts w:ascii="Times New Roman" w:hAnsi="Times New Roman" w:cs="Times New Roman"/>
          <w:color w:val="000000"/>
          <w:sz w:val="24"/>
          <w:szCs w:val="24"/>
        </w:rPr>
        <w:t>, jejichž správa</w:t>
      </w:r>
      <w:r w:rsidR="00870736">
        <w:rPr>
          <w:rFonts w:ascii="Times New Roman" w:hAnsi="Times New Roman" w:cs="Times New Roman"/>
          <w:color w:val="000000"/>
          <w:sz w:val="24"/>
          <w:szCs w:val="24"/>
        </w:rPr>
        <w:t xml:space="preserve"> placení se řídí daňovým řádem, </w:t>
      </w:r>
      <w:r w:rsidRPr="004B0313">
        <w:rPr>
          <w:rFonts w:ascii="Times New Roman" w:hAnsi="Times New Roman" w:cs="Times New Roman"/>
          <w:color w:val="000000"/>
          <w:sz w:val="24"/>
          <w:szCs w:val="24"/>
        </w:rPr>
        <w:t>bude Celní správa příslušná pouze v případě těch pohledávek, kt</w:t>
      </w:r>
      <w:r w:rsidRPr="00A80754">
        <w:rPr>
          <w:rFonts w:ascii="Times New Roman" w:hAnsi="Times New Roman" w:cs="Times New Roman"/>
          <w:color w:val="000000"/>
          <w:sz w:val="24"/>
          <w:szCs w:val="24"/>
        </w:rPr>
        <w:t>eré vzniknou (které se staly splatnými) ode dne nabytí účinnosti tohoto zákona. Pří</w:t>
      </w:r>
      <w:r w:rsidR="00870736">
        <w:rPr>
          <w:rFonts w:ascii="Times New Roman" w:hAnsi="Times New Roman" w:cs="Times New Roman"/>
          <w:color w:val="000000"/>
          <w:sz w:val="24"/>
          <w:szCs w:val="24"/>
        </w:rPr>
        <w:t>slušnost k vymáhání pohledávek, </w:t>
      </w:r>
      <w:r w:rsidRPr="00A80754">
        <w:rPr>
          <w:rFonts w:ascii="Times New Roman" w:hAnsi="Times New Roman" w:cs="Times New Roman"/>
          <w:color w:val="000000"/>
          <w:sz w:val="24"/>
          <w:szCs w:val="24"/>
        </w:rPr>
        <w:t>které vznikly přede dnem účinnosti tohoto zákona, se nemění, tj. tyto pohledávky i nadále budou vymáhány přímo soudy nebo prostřednictvím sou</w:t>
      </w:r>
      <w:r w:rsidRPr="008824A7">
        <w:rPr>
          <w:rFonts w:ascii="Times New Roman" w:hAnsi="Times New Roman" w:cs="Times New Roman"/>
          <w:color w:val="000000"/>
          <w:sz w:val="24"/>
          <w:szCs w:val="24"/>
        </w:rPr>
        <w:t>dního exekutora.</w:t>
      </w:r>
    </w:p>
    <w:p w14:paraId="565DDC6E" w14:textId="77777777" w:rsidR="00FC7E65" w:rsidRPr="008824A7" w:rsidRDefault="00FC7E65" w:rsidP="00B174BE">
      <w:pPr>
        <w:spacing w:before="120" w:after="0" w:line="240" w:lineRule="auto"/>
        <w:jc w:val="both"/>
        <w:rPr>
          <w:rFonts w:ascii="Times New Roman" w:hAnsi="Times New Roman" w:cs="Times New Roman"/>
          <w:color w:val="000000"/>
          <w:sz w:val="24"/>
          <w:szCs w:val="24"/>
        </w:rPr>
      </w:pPr>
    </w:p>
    <w:p w14:paraId="0EEB2302" w14:textId="77777777" w:rsidR="008A5EC8" w:rsidRPr="000E3EDA" w:rsidRDefault="008A5EC8" w:rsidP="00B174BE">
      <w:pPr>
        <w:pStyle w:val="NADPISSTI"/>
        <w:spacing w:before="120"/>
        <w:jc w:val="both"/>
        <w:rPr>
          <w:szCs w:val="24"/>
        </w:rPr>
      </w:pPr>
      <w:r w:rsidRPr="000E3EDA">
        <w:rPr>
          <w:szCs w:val="24"/>
        </w:rPr>
        <w:lastRenderedPageBreak/>
        <w:t xml:space="preserve">K části </w:t>
      </w:r>
      <w:r w:rsidR="00377E20">
        <w:rPr>
          <w:szCs w:val="24"/>
          <w:lang w:val="cs-CZ"/>
        </w:rPr>
        <w:t>deváté</w:t>
      </w:r>
      <w:r w:rsidRPr="000E3EDA">
        <w:rPr>
          <w:szCs w:val="24"/>
        </w:rPr>
        <w:t xml:space="preserve"> – změna zákona o zvláštních řízeních soudních</w:t>
      </w:r>
    </w:p>
    <w:p w14:paraId="6DAACC54" w14:textId="77777777" w:rsidR="008A5EC8" w:rsidRPr="00C4756C" w:rsidRDefault="008A5EC8" w:rsidP="00B174BE">
      <w:pPr>
        <w:spacing w:before="120" w:after="0" w:line="240" w:lineRule="auto"/>
        <w:jc w:val="both"/>
        <w:rPr>
          <w:rFonts w:ascii="Times New Roman" w:hAnsi="Times New Roman" w:cs="Times New Roman"/>
          <w:sz w:val="24"/>
          <w:szCs w:val="24"/>
        </w:rPr>
      </w:pPr>
      <w:r w:rsidRPr="0004360C">
        <w:rPr>
          <w:rFonts w:ascii="Times New Roman" w:hAnsi="Times New Roman" w:cs="Times New Roman"/>
          <w:sz w:val="24"/>
          <w:szCs w:val="24"/>
        </w:rPr>
        <w:t xml:space="preserve">Podle stávající právní úpravy pokuty, které byly uloženy při výkonu rozhodnutí o péči o nezletilé děti, vymáhá soud. Oproti jiným pokutám, které jsou ukládány soudy, však není stanoveno, že se při správě jejich placení postupuje podle daňového řádu, přičemž pro odchylný procesní režim u těchto justičních pohledávek není dán racionální důvod. Za účelem unifikace postupu při vymáhání justičních pohledávek se tedy i zde navrhuje, aby i tyto pokuty podléhaly daňovému režimu a orgánem příslušným k jejich vymáhání byla Celní správa. </w:t>
      </w:r>
    </w:p>
    <w:p w14:paraId="4C6DB318" w14:textId="77777777" w:rsidR="008A5EC8" w:rsidRPr="00E8290B" w:rsidRDefault="008A5EC8" w:rsidP="00B174BE">
      <w:pPr>
        <w:spacing w:before="120" w:after="0" w:line="240" w:lineRule="auto"/>
        <w:jc w:val="both"/>
        <w:rPr>
          <w:rFonts w:ascii="Times New Roman" w:hAnsi="Times New Roman" w:cs="Times New Roman"/>
          <w:sz w:val="24"/>
          <w:szCs w:val="24"/>
        </w:rPr>
      </w:pPr>
      <w:r w:rsidRPr="0075748D">
        <w:rPr>
          <w:rFonts w:ascii="Times New Roman" w:hAnsi="Times New Roman" w:cs="Times New Roman"/>
          <w:sz w:val="24"/>
          <w:szCs w:val="24"/>
        </w:rPr>
        <w:t>Podle § 507 z.ř.s. lze na návrh zákonného zástupce nebo opatrovníka nezletilého dítěte na základě rozhodnutí soudu čerpat peněžní pros</w:t>
      </w:r>
      <w:r w:rsidR="0001090F" w:rsidRPr="00C73914">
        <w:rPr>
          <w:rFonts w:ascii="Times New Roman" w:hAnsi="Times New Roman" w:cs="Times New Roman"/>
          <w:sz w:val="24"/>
          <w:szCs w:val="24"/>
        </w:rPr>
        <w:t>tředky k náhradě v</w:t>
      </w:r>
      <w:r w:rsidR="0001090F" w:rsidRPr="004C4D15">
        <w:rPr>
          <w:rFonts w:ascii="Times New Roman" w:hAnsi="Times New Roman" w:cs="Times New Roman"/>
          <w:sz w:val="24"/>
          <w:szCs w:val="24"/>
        </w:rPr>
        <w:t>ynaložených a </w:t>
      </w:r>
      <w:r w:rsidRPr="003A3B7D">
        <w:rPr>
          <w:rFonts w:ascii="Times New Roman" w:hAnsi="Times New Roman" w:cs="Times New Roman"/>
          <w:sz w:val="24"/>
          <w:szCs w:val="24"/>
        </w:rPr>
        <w:t>prokázaných nákladů, slouží-li k uspokojení nezbytných potřeb dítěte, a to do výše částky vymožených pokut. Vzhledem k tomu, že tyto pohledávky napříště nebudou vymáhány soudy, zrušuje se povinnost soudů evidovat částku vymožených pokut; info</w:t>
      </w:r>
      <w:r w:rsidRPr="00E8290B">
        <w:rPr>
          <w:rFonts w:ascii="Times New Roman" w:hAnsi="Times New Roman" w:cs="Times New Roman"/>
          <w:sz w:val="24"/>
          <w:szCs w:val="24"/>
        </w:rPr>
        <w:t xml:space="preserve">rmaci o výši částky vymožené pokuty Celní správa sdělí soudu v rámci součinnosti stanovené daňovým řádem. </w:t>
      </w:r>
    </w:p>
    <w:p w14:paraId="277C6DDF" w14:textId="77777777" w:rsidR="008A5EC8" w:rsidRPr="00A80754" w:rsidRDefault="008A5EC8" w:rsidP="00B174BE">
      <w:pPr>
        <w:spacing w:before="120" w:after="0" w:line="240" w:lineRule="auto"/>
        <w:jc w:val="both"/>
        <w:rPr>
          <w:rFonts w:ascii="Times New Roman" w:hAnsi="Times New Roman" w:cs="Times New Roman"/>
          <w:sz w:val="24"/>
          <w:szCs w:val="24"/>
        </w:rPr>
      </w:pPr>
    </w:p>
    <w:p w14:paraId="6B8FC8CB" w14:textId="77777777" w:rsidR="008A5EC8" w:rsidRPr="008824A7" w:rsidRDefault="008A5EC8" w:rsidP="00B174BE">
      <w:pPr>
        <w:spacing w:before="120" w:after="0" w:line="240" w:lineRule="auto"/>
        <w:jc w:val="both"/>
        <w:rPr>
          <w:rFonts w:ascii="Times New Roman" w:hAnsi="Times New Roman" w:cs="Times New Roman"/>
          <w:sz w:val="24"/>
          <w:szCs w:val="24"/>
          <w:u w:val="single"/>
        </w:rPr>
      </w:pPr>
      <w:r w:rsidRPr="008824A7">
        <w:rPr>
          <w:rFonts w:ascii="Times New Roman" w:hAnsi="Times New Roman" w:cs="Times New Roman"/>
          <w:sz w:val="24"/>
          <w:szCs w:val="24"/>
          <w:u w:val="single"/>
        </w:rPr>
        <w:t xml:space="preserve">K přechodným ustanovením </w:t>
      </w:r>
    </w:p>
    <w:p w14:paraId="06170A36" w14:textId="77777777" w:rsidR="008A5EC8" w:rsidRPr="008824A7" w:rsidRDefault="008A5EC8" w:rsidP="00B174BE">
      <w:pPr>
        <w:spacing w:before="120" w:after="0" w:line="240" w:lineRule="auto"/>
        <w:jc w:val="both"/>
        <w:rPr>
          <w:rFonts w:ascii="Times New Roman" w:hAnsi="Times New Roman" w:cs="Times New Roman"/>
          <w:sz w:val="24"/>
          <w:szCs w:val="24"/>
        </w:rPr>
      </w:pPr>
      <w:r w:rsidRPr="008824A7">
        <w:rPr>
          <w:rFonts w:ascii="Times New Roman" w:hAnsi="Times New Roman" w:cs="Times New Roman"/>
          <w:sz w:val="24"/>
          <w:szCs w:val="24"/>
        </w:rPr>
        <w:t>K vymáhání pokut, které byly uloženy při výkonu rozhodnutí o péči o nezletilé děti, bude Celní správa příslušná pouze v případě těch pohledávek, které vzniknou (které se staly splatnými) ode dne nabytí účinnosti tohoto zákona. Příslušnost k vymáhání pohledávek, které vznikly přede dnem účinnosti tohoto zákona, se nemění, tj. tyto pohledávky i nadále budou vymáhány přímo soudy nebo prostřednictvím soudního exekutora. U pohledávek které vznikly přede dnem účinnosti tohoto zákona, se nemění ani jejich procesní režim (daňový řád se bude vztahovat až na pokuty, které byly uloženy při výkonu rozhodnutí o péči o nezletilé děti, které se staly splatnými ode dne nabytí účinnosti tohoto zákona).</w:t>
      </w:r>
    </w:p>
    <w:p w14:paraId="3CEF73D6" w14:textId="77777777" w:rsidR="008A5EC8" w:rsidRPr="008824A7" w:rsidRDefault="008A5EC8" w:rsidP="00B174BE">
      <w:pPr>
        <w:spacing w:before="120" w:after="0" w:line="240" w:lineRule="auto"/>
        <w:jc w:val="both"/>
        <w:rPr>
          <w:rFonts w:ascii="Times New Roman" w:hAnsi="Times New Roman" w:cs="Times New Roman"/>
          <w:i/>
          <w:sz w:val="24"/>
          <w:szCs w:val="24"/>
        </w:rPr>
      </w:pPr>
      <w:r w:rsidRPr="008824A7">
        <w:rPr>
          <w:rFonts w:ascii="Times New Roman" w:hAnsi="Times New Roman" w:cs="Times New Roman"/>
          <w:i/>
          <w:sz w:val="24"/>
          <w:szCs w:val="24"/>
        </w:rPr>
        <w:t xml:space="preserve"> </w:t>
      </w:r>
    </w:p>
    <w:p w14:paraId="493BB7C0" w14:textId="77777777" w:rsidR="008A5EC8" w:rsidRPr="000E3EDA" w:rsidRDefault="008A5EC8" w:rsidP="00B174BE">
      <w:pPr>
        <w:pStyle w:val="NADPISSTI"/>
        <w:spacing w:before="120"/>
        <w:jc w:val="both"/>
        <w:rPr>
          <w:szCs w:val="24"/>
        </w:rPr>
      </w:pPr>
      <w:r w:rsidRPr="000E3EDA">
        <w:rPr>
          <w:szCs w:val="24"/>
        </w:rPr>
        <w:t xml:space="preserve">K části </w:t>
      </w:r>
      <w:r w:rsidR="008A662C">
        <w:rPr>
          <w:szCs w:val="24"/>
          <w:lang w:val="cs-CZ"/>
        </w:rPr>
        <w:t>desáté</w:t>
      </w:r>
      <w:r w:rsidRPr="000E3EDA">
        <w:rPr>
          <w:szCs w:val="24"/>
        </w:rPr>
        <w:t xml:space="preserve"> – změna zákona o použití peněžních prostředků z majetkových trestních sankcí uložených v trestním řízení</w:t>
      </w:r>
    </w:p>
    <w:p w14:paraId="130526E1" w14:textId="77777777" w:rsidR="008A5EC8" w:rsidRPr="008A662C" w:rsidRDefault="008A5EC8" w:rsidP="00B174BE">
      <w:pPr>
        <w:spacing w:before="120" w:after="0" w:line="240" w:lineRule="auto"/>
        <w:jc w:val="both"/>
        <w:rPr>
          <w:rFonts w:ascii="Times New Roman" w:hAnsi="Times New Roman" w:cs="Times New Roman"/>
          <w:sz w:val="24"/>
          <w:szCs w:val="24"/>
        </w:rPr>
      </w:pPr>
      <w:r w:rsidRPr="0004360C">
        <w:rPr>
          <w:rFonts w:ascii="Times New Roman" w:hAnsi="Times New Roman" w:cs="Times New Roman"/>
          <w:sz w:val="24"/>
          <w:szCs w:val="24"/>
        </w:rPr>
        <w:t>Novelizované ustanovení upravuje nakládání s peněžními prostředky získanými výkonem uloženého peněžitého trestu a peněžitého opatření v řízení o trestném činu, v důsledku jehož spáchání vznikl poškozenému, který není státem, majetkový nárok, tj. které odsouzený pachatel dobrovolně uhradil, nebo které na něm byly vymoženy. Peněžní prostředky zí</w:t>
      </w:r>
      <w:r w:rsidRPr="00C4756C">
        <w:rPr>
          <w:rFonts w:ascii="Times New Roman" w:hAnsi="Times New Roman" w:cs="Times New Roman"/>
          <w:sz w:val="24"/>
          <w:szCs w:val="24"/>
        </w:rPr>
        <w:t>skané výkonem tohoto trestu zašle ten, kdo je v rámci výkonu získal, na zvláštní účet Ministerstva spravedlnosti zřízený podle zákona o použití peněžních prostředků z majetkových trestních sankcí uložených v trestním řízení. Dosavadní textace počítala s tí</w:t>
      </w:r>
      <w:r w:rsidR="000B0268">
        <w:rPr>
          <w:rFonts w:ascii="Times New Roman" w:hAnsi="Times New Roman" w:cs="Times New Roman"/>
          <w:sz w:val="24"/>
          <w:szCs w:val="24"/>
        </w:rPr>
        <w:t>m, že jediným orgánem, </w:t>
      </w:r>
      <w:r w:rsidRPr="0075748D">
        <w:rPr>
          <w:rFonts w:ascii="Times New Roman" w:hAnsi="Times New Roman" w:cs="Times New Roman"/>
          <w:sz w:val="24"/>
          <w:szCs w:val="24"/>
        </w:rPr>
        <w:t>který je příslušný k výkonu peněžitého trestu nebo peněžitého opatření, je soud. Ustanovení § 4 odst. 1 tak musí reflektovat změny, které jsou navrženy</w:t>
      </w:r>
      <w:r w:rsidRPr="00C73914">
        <w:rPr>
          <w:rFonts w:ascii="Times New Roman" w:hAnsi="Times New Roman" w:cs="Times New Roman"/>
          <w:sz w:val="24"/>
          <w:szCs w:val="24"/>
        </w:rPr>
        <w:t xml:space="preserve"> v zároveň předkládané novele trestního řádu, podle které k vymáhání těchto majetkových sankcí budou napříště příslušné celní úřady. Peněžní prostředky získané výkonem peněžit</w:t>
      </w:r>
      <w:r w:rsidR="0001090F" w:rsidRPr="00E8290B">
        <w:rPr>
          <w:rFonts w:ascii="Times New Roman" w:hAnsi="Times New Roman" w:cs="Times New Roman"/>
          <w:sz w:val="24"/>
          <w:szCs w:val="24"/>
        </w:rPr>
        <w:t>ého trestu tak budou zasílat na </w:t>
      </w:r>
      <w:r w:rsidRPr="00E8290B">
        <w:rPr>
          <w:rFonts w:ascii="Times New Roman" w:hAnsi="Times New Roman" w:cs="Times New Roman"/>
          <w:sz w:val="24"/>
          <w:szCs w:val="24"/>
        </w:rPr>
        <w:t>zvláštní účet Ministerstva spravedlnost jednak so</w:t>
      </w:r>
      <w:r w:rsidRPr="00A80754">
        <w:rPr>
          <w:rFonts w:ascii="Times New Roman" w:hAnsi="Times New Roman" w:cs="Times New Roman"/>
          <w:sz w:val="24"/>
          <w:szCs w:val="24"/>
        </w:rPr>
        <w:t>udy (částky peněžitého trestu zaplacené na výzvu soudu) a jednak příslušné celní úřady (částky peněžitého trestu vymožené Celní správou).</w:t>
      </w:r>
    </w:p>
    <w:p w14:paraId="47B14F51" w14:textId="77777777" w:rsidR="008A5EC8" w:rsidRDefault="008A5EC8" w:rsidP="00B174BE">
      <w:pPr>
        <w:spacing w:before="120" w:after="0" w:line="240" w:lineRule="auto"/>
        <w:jc w:val="both"/>
        <w:rPr>
          <w:rFonts w:ascii="Times New Roman" w:hAnsi="Times New Roman" w:cs="Times New Roman"/>
          <w:sz w:val="24"/>
          <w:szCs w:val="24"/>
        </w:rPr>
      </w:pPr>
    </w:p>
    <w:p w14:paraId="783CBE80" w14:textId="77777777" w:rsidR="00FC7E65" w:rsidRDefault="00FC7E65" w:rsidP="00B174BE">
      <w:pPr>
        <w:spacing w:before="120" w:after="0" w:line="240" w:lineRule="auto"/>
        <w:jc w:val="both"/>
        <w:rPr>
          <w:rFonts w:ascii="Times New Roman" w:hAnsi="Times New Roman" w:cs="Times New Roman"/>
          <w:sz w:val="24"/>
          <w:szCs w:val="24"/>
        </w:rPr>
      </w:pPr>
    </w:p>
    <w:p w14:paraId="4D6519CD" w14:textId="77777777" w:rsidR="00FC7E65" w:rsidRPr="008A662C" w:rsidRDefault="00FC7E65" w:rsidP="00B174BE">
      <w:pPr>
        <w:spacing w:before="120" w:after="0" w:line="240" w:lineRule="auto"/>
        <w:jc w:val="both"/>
        <w:rPr>
          <w:rFonts w:ascii="Times New Roman" w:hAnsi="Times New Roman" w:cs="Times New Roman"/>
          <w:sz w:val="24"/>
          <w:szCs w:val="24"/>
        </w:rPr>
      </w:pPr>
    </w:p>
    <w:p w14:paraId="3A9BBD7E" w14:textId="77777777" w:rsidR="008A5EC8" w:rsidRPr="008A662C" w:rsidRDefault="008A5EC8" w:rsidP="00B174BE">
      <w:pPr>
        <w:spacing w:before="120" w:after="0" w:line="240" w:lineRule="auto"/>
        <w:jc w:val="both"/>
        <w:rPr>
          <w:rFonts w:ascii="Times New Roman" w:hAnsi="Times New Roman" w:cs="Times New Roman"/>
          <w:b/>
          <w:sz w:val="24"/>
          <w:szCs w:val="24"/>
        </w:rPr>
      </w:pPr>
      <w:r w:rsidRPr="008A662C">
        <w:rPr>
          <w:rFonts w:ascii="Times New Roman" w:hAnsi="Times New Roman" w:cs="Times New Roman"/>
          <w:b/>
          <w:sz w:val="24"/>
          <w:szCs w:val="24"/>
        </w:rPr>
        <w:lastRenderedPageBreak/>
        <w:t xml:space="preserve">K části </w:t>
      </w:r>
      <w:r w:rsidR="008A662C">
        <w:rPr>
          <w:rFonts w:ascii="Times New Roman" w:hAnsi="Times New Roman" w:cs="Times New Roman"/>
          <w:b/>
          <w:sz w:val="24"/>
          <w:szCs w:val="24"/>
        </w:rPr>
        <w:t>jedenácté</w:t>
      </w:r>
      <w:r w:rsidRPr="008A662C">
        <w:rPr>
          <w:rFonts w:ascii="Times New Roman" w:hAnsi="Times New Roman" w:cs="Times New Roman"/>
          <w:b/>
          <w:sz w:val="24"/>
          <w:szCs w:val="24"/>
        </w:rPr>
        <w:t xml:space="preserve"> – účinnost</w:t>
      </w:r>
    </w:p>
    <w:p w14:paraId="03C15375" w14:textId="1A147C5A" w:rsidR="00E905BE" w:rsidRPr="00176BD9" w:rsidRDefault="008A5EC8" w:rsidP="00FC7E65">
      <w:pPr>
        <w:spacing w:before="120" w:after="0" w:line="240" w:lineRule="auto"/>
        <w:jc w:val="both"/>
        <w:rPr>
          <w:b/>
        </w:rPr>
      </w:pPr>
      <w:r w:rsidRPr="008A662C">
        <w:rPr>
          <w:rFonts w:ascii="Times New Roman" w:hAnsi="Times New Roman" w:cs="Times New Roman"/>
          <w:sz w:val="24"/>
          <w:szCs w:val="24"/>
        </w:rPr>
        <w:t>Účinnost návrhu zákona se na</w:t>
      </w:r>
      <w:r w:rsidR="008A662C">
        <w:rPr>
          <w:rFonts w:ascii="Times New Roman" w:hAnsi="Times New Roman" w:cs="Times New Roman"/>
          <w:sz w:val="24"/>
          <w:szCs w:val="24"/>
        </w:rPr>
        <w:t xml:space="preserve">vrhuje </w:t>
      </w:r>
      <w:r w:rsidR="00FC7E65">
        <w:rPr>
          <w:rFonts w:ascii="Times New Roman" w:hAnsi="Times New Roman" w:cs="Times New Roman"/>
          <w:sz w:val="24"/>
          <w:szCs w:val="24"/>
        </w:rPr>
        <w:t>s ohledem na požadavky § 3 odst. 3 zákona č. </w:t>
      </w:r>
      <w:r w:rsidR="00FC7E65" w:rsidRPr="00D04528">
        <w:rPr>
          <w:rFonts w:ascii="Times New Roman" w:hAnsi="Times New Roman" w:cs="Times New Roman"/>
          <w:sz w:val="24"/>
          <w:szCs w:val="24"/>
        </w:rPr>
        <w:t>309/1999</w:t>
      </w:r>
      <w:r w:rsidR="00FC7E65">
        <w:rPr>
          <w:rFonts w:ascii="Times New Roman" w:hAnsi="Times New Roman" w:cs="Times New Roman"/>
          <w:sz w:val="24"/>
          <w:szCs w:val="24"/>
        </w:rPr>
        <w:t> </w:t>
      </w:r>
      <w:r w:rsidR="00FC7E65" w:rsidRPr="00D04528">
        <w:rPr>
          <w:rFonts w:ascii="Times New Roman" w:hAnsi="Times New Roman" w:cs="Times New Roman"/>
          <w:sz w:val="24"/>
          <w:szCs w:val="24"/>
        </w:rPr>
        <w:t>Sb., o Sbírce zákonů a o Sbírce mezinárodních smluv, ve znění zákona č.</w:t>
      </w:r>
      <w:r w:rsidR="00FC7E65">
        <w:rPr>
          <w:rFonts w:ascii="Times New Roman" w:hAnsi="Times New Roman" w:cs="Times New Roman"/>
          <w:sz w:val="24"/>
          <w:szCs w:val="24"/>
        </w:rPr>
        <w:t> </w:t>
      </w:r>
      <w:r w:rsidR="00FC7E65" w:rsidRPr="00D04528">
        <w:rPr>
          <w:rFonts w:ascii="Times New Roman" w:hAnsi="Times New Roman" w:cs="Times New Roman"/>
          <w:sz w:val="24"/>
          <w:szCs w:val="24"/>
        </w:rPr>
        <w:t>277/2019 Sb.</w:t>
      </w:r>
      <w:r w:rsidR="00FC7E65">
        <w:rPr>
          <w:rFonts w:ascii="Times New Roman" w:hAnsi="Times New Roman" w:cs="Times New Roman"/>
          <w:sz w:val="24"/>
          <w:szCs w:val="24"/>
        </w:rPr>
        <w:t xml:space="preserve"> a s přihlédnutím k potřebné délce legisvakance nezbytné pro </w:t>
      </w:r>
      <w:r w:rsidRPr="008A662C">
        <w:rPr>
          <w:rFonts w:ascii="Times New Roman" w:hAnsi="Times New Roman" w:cs="Times New Roman"/>
          <w:sz w:val="24"/>
          <w:szCs w:val="24"/>
        </w:rPr>
        <w:t>personální</w:t>
      </w:r>
      <w:r w:rsidR="00FC7E65">
        <w:rPr>
          <w:rFonts w:ascii="Times New Roman" w:hAnsi="Times New Roman" w:cs="Times New Roman"/>
          <w:sz w:val="24"/>
          <w:szCs w:val="24"/>
        </w:rPr>
        <w:t xml:space="preserve"> </w:t>
      </w:r>
      <w:r w:rsidRPr="008A662C">
        <w:rPr>
          <w:rFonts w:ascii="Times New Roman" w:hAnsi="Times New Roman" w:cs="Times New Roman"/>
          <w:sz w:val="24"/>
          <w:szCs w:val="24"/>
        </w:rPr>
        <w:t>zajištění</w:t>
      </w:r>
      <w:r w:rsidR="008A662C">
        <w:rPr>
          <w:rFonts w:ascii="Times New Roman" w:hAnsi="Times New Roman" w:cs="Times New Roman"/>
          <w:sz w:val="24"/>
          <w:szCs w:val="24"/>
        </w:rPr>
        <w:t xml:space="preserve"> rozšíření agendy Celní správy </w:t>
      </w:r>
      <w:r w:rsidRPr="008A662C">
        <w:rPr>
          <w:rFonts w:ascii="Times New Roman" w:hAnsi="Times New Roman" w:cs="Times New Roman"/>
          <w:sz w:val="24"/>
          <w:szCs w:val="24"/>
        </w:rPr>
        <w:t xml:space="preserve">a </w:t>
      </w:r>
      <w:r w:rsidR="00FC7E65">
        <w:rPr>
          <w:rFonts w:ascii="Times New Roman" w:hAnsi="Times New Roman" w:cs="Times New Roman"/>
          <w:sz w:val="24"/>
          <w:szCs w:val="24"/>
        </w:rPr>
        <w:t xml:space="preserve">pro </w:t>
      </w:r>
      <w:r w:rsidRPr="008A662C">
        <w:rPr>
          <w:rFonts w:ascii="Times New Roman" w:hAnsi="Times New Roman" w:cs="Times New Roman"/>
          <w:sz w:val="24"/>
          <w:szCs w:val="24"/>
        </w:rPr>
        <w:t>novelizac</w:t>
      </w:r>
      <w:r w:rsidR="00FC7E65">
        <w:rPr>
          <w:rFonts w:ascii="Times New Roman" w:hAnsi="Times New Roman" w:cs="Times New Roman"/>
          <w:sz w:val="24"/>
          <w:szCs w:val="24"/>
        </w:rPr>
        <w:t>i</w:t>
      </w:r>
      <w:r w:rsidRPr="008A662C">
        <w:rPr>
          <w:rFonts w:ascii="Times New Roman" w:hAnsi="Times New Roman" w:cs="Times New Roman"/>
          <w:sz w:val="24"/>
          <w:szCs w:val="24"/>
        </w:rPr>
        <w:t xml:space="preserve"> interních r</w:t>
      </w:r>
      <w:bookmarkStart w:id="1" w:name="_GoBack"/>
      <w:bookmarkEnd w:id="1"/>
      <w:r w:rsidRPr="008A662C">
        <w:rPr>
          <w:rFonts w:ascii="Times New Roman" w:hAnsi="Times New Roman" w:cs="Times New Roman"/>
          <w:sz w:val="24"/>
          <w:szCs w:val="24"/>
        </w:rPr>
        <w:t>esortních předpisů.</w:t>
      </w:r>
    </w:p>
    <w:sectPr w:rsidR="00E905BE" w:rsidRPr="00176BD9">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B78F6" w16cid:durableId="219E46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4ECC" w14:textId="77777777" w:rsidR="00EE04E9" w:rsidRDefault="00EE04E9" w:rsidP="006A676B">
      <w:pPr>
        <w:spacing w:after="0" w:line="240" w:lineRule="auto"/>
      </w:pPr>
      <w:r>
        <w:separator/>
      </w:r>
    </w:p>
  </w:endnote>
  <w:endnote w:type="continuationSeparator" w:id="0">
    <w:p w14:paraId="5723147F" w14:textId="77777777" w:rsidR="00EE04E9" w:rsidRDefault="00EE04E9" w:rsidP="006A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125191"/>
      <w:docPartObj>
        <w:docPartGallery w:val="Page Numbers (Bottom of Page)"/>
        <w:docPartUnique/>
      </w:docPartObj>
    </w:sdtPr>
    <w:sdtEndPr/>
    <w:sdtContent>
      <w:p w14:paraId="7A2C4D5A" w14:textId="1A9C6F79" w:rsidR="002E7310" w:rsidRDefault="002E7310">
        <w:pPr>
          <w:pStyle w:val="Zpat"/>
          <w:jc w:val="center"/>
        </w:pPr>
        <w:r>
          <w:fldChar w:fldCharType="begin"/>
        </w:r>
        <w:r>
          <w:instrText>PAGE   \* MERGEFORMAT</w:instrText>
        </w:r>
        <w:r>
          <w:fldChar w:fldCharType="separate"/>
        </w:r>
        <w:r w:rsidR="00984FC8">
          <w:rPr>
            <w:noProof/>
          </w:rPr>
          <w:t>1</w:t>
        </w:r>
        <w:r>
          <w:fldChar w:fldCharType="end"/>
        </w:r>
      </w:p>
    </w:sdtContent>
  </w:sdt>
  <w:p w14:paraId="10A07DB2" w14:textId="77777777" w:rsidR="002E7310" w:rsidRDefault="002E7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3BF59" w14:textId="77777777" w:rsidR="00EE04E9" w:rsidRDefault="00EE04E9" w:rsidP="006A676B">
      <w:pPr>
        <w:spacing w:after="0" w:line="240" w:lineRule="auto"/>
      </w:pPr>
      <w:r>
        <w:separator/>
      </w:r>
    </w:p>
  </w:footnote>
  <w:footnote w:type="continuationSeparator" w:id="0">
    <w:p w14:paraId="0AC92BC3" w14:textId="77777777" w:rsidR="00EE04E9" w:rsidRDefault="00EE04E9" w:rsidP="006A676B">
      <w:pPr>
        <w:spacing w:after="0" w:line="240" w:lineRule="auto"/>
      </w:pPr>
      <w:r>
        <w:continuationSeparator/>
      </w:r>
    </w:p>
  </w:footnote>
  <w:footnote w:id="1">
    <w:p w14:paraId="3F443839" w14:textId="77777777" w:rsidR="002E7310" w:rsidRDefault="002E7310" w:rsidP="00DE234F">
      <w:pPr>
        <w:pStyle w:val="Textpoznpodarou"/>
        <w:jc w:val="both"/>
      </w:pPr>
      <w:r>
        <w:rPr>
          <w:rStyle w:val="Znakapoznpodarou"/>
        </w:rPr>
        <w:footnoteRef/>
      </w:r>
      <w:r>
        <w:t xml:space="preserve"> </w:t>
      </w:r>
      <w:r w:rsidRPr="00D513B1">
        <w:rPr>
          <w:rFonts w:ascii="Times New Roman" w:hAnsi="Times New Roman"/>
          <w:sz w:val="18"/>
          <w:szCs w:val="18"/>
        </w:rPr>
        <w:t xml:space="preserve">S vymoženými peněžitými tresty, jež majetkovou trestní sankci podle zákona č. 59/2017 Sb. představují, bude naloženo podle </w:t>
      </w:r>
      <w:r>
        <w:rPr>
          <w:rFonts w:ascii="Times New Roman" w:hAnsi="Times New Roman"/>
          <w:sz w:val="18"/>
          <w:szCs w:val="18"/>
        </w:rPr>
        <w:t>pravidel</w:t>
      </w:r>
      <w:r w:rsidRPr="00D513B1">
        <w:rPr>
          <w:rFonts w:ascii="Times New Roman" w:hAnsi="Times New Roman"/>
          <w:sz w:val="18"/>
          <w:szCs w:val="18"/>
        </w:rPr>
        <w:t xml:space="preserve"> uvedeného zákona, především jeho § 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2CB30BC5"/>
    <w:multiLevelType w:val="hybridMultilevel"/>
    <w:tmpl w:val="EBC22B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B767CA"/>
    <w:multiLevelType w:val="hybridMultilevel"/>
    <w:tmpl w:val="C4EADE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FA794C"/>
    <w:multiLevelType w:val="hybridMultilevel"/>
    <w:tmpl w:val="BB3EB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6745A7"/>
    <w:multiLevelType w:val="hybridMultilevel"/>
    <w:tmpl w:val="4DE0FB88"/>
    <w:lvl w:ilvl="0" w:tplc="883036E4">
      <w:start w:val="1"/>
      <w:numFmt w:val="lowerLetter"/>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554EF1"/>
    <w:multiLevelType w:val="hybridMultilevel"/>
    <w:tmpl w:val="76644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FD0FDD"/>
    <w:multiLevelType w:val="hybridMultilevel"/>
    <w:tmpl w:val="BB3EB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FF5559"/>
    <w:multiLevelType w:val="hybridMultilevel"/>
    <w:tmpl w:val="99F8557E"/>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1C2331"/>
    <w:multiLevelType w:val="hybridMultilevel"/>
    <w:tmpl w:val="0D64004C"/>
    <w:lvl w:ilvl="0" w:tplc="867850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A87919"/>
    <w:multiLevelType w:val="hybridMultilevel"/>
    <w:tmpl w:val="E7BCB3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551153"/>
    <w:multiLevelType w:val="hybridMultilevel"/>
    <w:tmpl w:val="ABB81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1069AD"/>
    <w:multiLevelType w:val="hybridMultilevel"/>
    <w:tmpl w:val="A656DCB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8A5595"/>
    <w:multiLevelType w:val="hybridMultilevel"/>
    <w:tmpl w:val="27DA4C2A"/>
    <w:lvl w:ilvl="0" w:tplc="ABCEB0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88133E"/>
    <w:multiLevelType w:val="hybridMultilevel"/>
    <w:tmpl w:val="BC36FF8C"/>
    <w:lvl w:ilvl="0" w:tplc="19EA8E2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CA508B1"/>
    <w:multiLevelType w:val="hybridMultilevel"/>
    <w:tmpl w:val="4484DE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13"/>
  </w:num>
  <w:num w:numId="6">
    <w:abstractNumId w:val="10"/>
  </w:num>
  <w:num w:numId="7">
    <w:abstractNumId w:val="14"/>
  </w:num>
  <w:num w:numId="8">
    <w:abstractNumId w:val="12"/>
  </w:num>
  <w:num w:numId="9">
    <w:abstractNumId w:val="7"/>
  </w:num>
  <w:num w:numId="10">
    <w:abstractNumId w:val="2"/>
  </w:num>
  <w:num w:numId="11">
    <w:abstractNumId w:val="8"/>
  </w:num>
  <w:num w:numId="12">
    <w:abstractNumId w:val="4"/>
  </w:num>
  <w:num w:numId="13">
    <w:abstractNumId w:val="9"/>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63"/>
    <w:rsid w:val="000007E7"/>
    <w:rsid w:val="0000665A"/>
    <w:rsid w:val="0001090F"/>
    <w:rsid w:val="000152C9"/>
    <w:rsid w:val="000303F8"/>
    <w:rsid w:val="000324C1"/>
    <w:rsid w:val="000348A6"/>
    <w:rsid w:val="0004360C"/>
    <w:rsid w:val="00044854"/>
    <w:rsid w:val="000455F8"/>
    <w:rsid w:val="00051F83"/>
    <w:rsid w:val="00054E98"/>
    <w:rsid w:val="000735DB"/>
    <w:rsid w:val="000865F5"/>
    <w:rsid w:val="00086E02"/>
    <w:rsid w:val="000A0E99"/>
    <w:rsid w:val="000A1D5A"/>
    <w:rsid w:val="000B0268"/>
    <w:rsid w:val="000B3E56"/>
    <w:rsid w:val="000B3E85"/>
    <w:rsid w:val="000C3F37"/>
    <w:rsid w:val="000C464B"/>
    <w:rsid w:val="000E1D24"/>
    <w:rsid w:val="000E3EDA"/>
    <w:rsid w:val="000E5D1A"/>
    <w:rsid w:val="000E64E6"/>
    <w:rsid w:val="000F6300"/>
    <w:rsid w:val="00132608"/>
    <w:rsid w:val="00136D98"/>
    <w:rsid w:val="001524E6"/>
    <w:rsid w:val="001679A5"/>
    <w:rsid w:val="00175D50"/>
    <w:rsid w:val="00176BD9"/>
    <w:rsid w:val="0018130A"/>
    <w:rsid w:val="00195A4B"/>
    <w:rsid w:val="001A2870"/>
    <w:rsid w:val="001A6D6D"/>
    <w:rsid w:val="001B437A"/>
    <w:rsid w:val="001B4DEC"/>
    <w:rsid w:val="001C41E5"/>
    <w:rsid w:val="001C463F"/>
    <w:rsid w:val="001D06F1"/>
    <w:rsid w:val="001E0DD3"/>
    <w:rsid w:val="001E5093"/>
    <w:rsid w:val="001E7C31"/>
    <w:rsid w:val="00211C15"/>
    <w:rsid w:val="00211C6C"/>
    <w:rsid w:val="00221E42"/>
    <w:rsid w:val="00226739"/>
    <w:rsid w:val="002342F9"/>
    <w:rsid w:val="00266D15"/>
    <w:rsid w:val="00292E61"/>
    <w:rsid w:val="002A1B7B"/>
    <w:rsid w:val="002D07D4"/>
    <w:rsid w:val="002D2131"/>
    <w:rsid w:val="002D4763"/>
    <w:rsid w:val="002E1353"/>
    <w:rsid w:val="002E2B98"/>
    <w:rsid w:val="002E3C63"/>
    <w:rsid w:val="002E7064"/>
    <w:rsid w:val="002E7310"/>
    <w:rsid w:val="002F06F8"/>
    <w:rsid w:val="002F2D6E"/>
    <w:rsid w:val="003015A2"/>
    <w:rsid w:val="00303F6C"/>
    <w:rsid w:val="0031223C"/>
    <w:rsid w:val="0032322E"/>
    <w:rsid w:val="00330702"/>
    <w:rsid w:val="00335088"/>
    <w:rsid w:val="00340905"/>
    <w:rsid w:val="00346651"/>
    <w:rsid w:val="00357D72"/>
    <w:rsid w:val="00366E8D"/>
    <w:rsid w:val="00367CBA"/>
    <w:rsid w:val="0037070F"/>
    <w:rsid w:val="003728DF"/>
    <w:rsid w:val="00373663"/>
    <w:rsid w:val="00377E20"/>
    <w:rsid w:val="0038651C"/>
    <w:rsid w:val="00392A62"/>
    <w:rsid w:val="003A3B7D"/>
    <w:rsid w:val="003B7684"/>
    <w:rsid w:val="003C0EFD"/>
    <w:rsid w:val="003D2B8A"/>
    <w:rsid w:val="003E63D4"/>
    <w:rsid w:val="003E77CE"/>
    <w:rsid w:val="003F4145"/>
    <w:rsid w:val="003F69E6"/>
    <w:rsid w:val="003F6D92"/>
    <w:rsid w:val="004101DA"/>
    <w:rsid w:val="00413F2E"/>
    <w:rsid w:val="00430F97"/>
    <w:rsid w:val="00435307"/>
    <w:rsid w:val="00454C04"/>
    <w:rsid w:val="00455152"/>
    <w:rsid w:val="0046165C"/>
    <w:rsid w:val="0047052E"/>
    <w:rsid w:val="00475E39"/>
    <w:rsid w:val="00484790"/>
    <w:rsid w:val="00496D10"/>
    <w:rsid w:val="004A2CCF"/>
    <w:rsid w:val="004B0313"/>
    <w:rsid w:val="004B4EA7"/>
    <w:rsid w:val="004C003F"/>
    <w:rsid w:val="004C1AD0"/>
    <w:rsid w:val="004C4B7E"/>
    <w:rsid w:val="004C4D15"/>
    <w:rsid w:val="004C50D1"/>
    <w:rsid w:val="004E247D"/>
    <w:rsid w:val="004E4C6A"/>
    <w:rsid w:val="004F01A9"/>
    <w:rsid w:val="004F25FC"/>
    <w:rsid w:val="004F44AA"/>
    <w:rsid w:val="0051689B"/>
    <w:rsid w:val="0052365B"/>
    <w:rsid w:val="005310BE"/>
    <w:rsid w:val="00562777"/>
    <w:rsid w:val="00567CD6"/>
    <w:rsid w:val="00573C89"/>
    <w:rsid w:val="0057716E"/>
    <w:rsid w:val="005775A0"/>
    <w:rsid w:val="00591E83"/>
    <w:rsid w:val="0059557D"/>
    <w:rsid w:val="00595931"/>
    <w:rsid w:val="005B1645"/>
    <w:rsid w:val="005B6CF2"/>
    <w:rsid w:val="005C39F7"/>
    <w:rsid w:val="005C7231"/>
    <w:rsid w:val="005E0AE3"/>
    <w:rsid w:val="005E3B93"/>
    <w:rsid w:val="005E403B"/>
    <w:rsid w:val="0061098B"/>
    <w:rsid w:val="006159EE"/>
    <w:rsid w:val="0061798B"/>
    <w:rsid w:val="00627635"/>
    <w:rsid w:val="0063432D"/>
    <w:rsid w:val="00641B2D"/>
    <w:rsid w:val="00647F00"/>
    <w:rsid w:val="006509A4"/>
    <w:rsid w:val="006560CB"/>
    <w:rsid w:val="00665A54"/>
    <w:rsid w:val="0067564D"/>
    <w:rsid w:val="00677D6A"/>
    <w:rsid w:val="00692372"/>
    <w:rsid w:val="006943E4"/>
    <w:rsid w:val="0069670F"/>
    <w:rsid w:val="006A37C9"/>
    <w:rsid w:val="006A676B"/>
    <w:rsid w:val="006B0BB6"/>
    <w:rsid w:val="006C159B"/>
    <w:rsid w:val="006C4CC0"/>
    <w:rsid w:val="006D4726"/>
    <w:rsid w:val="006D68F5"/>
    <w:rsid w:val="006E5D14"/>
    <w:rsid w:val="006F5B73"/>
    <w:rsid w:val="006F6860"/>
    <w:rsid w:val="00701114"/>
    <w:rsid w:val="0070557A"/>
    <w:rsid w:val="00710F6C"/>
    <w:rsid w:val="00712220"/>
    <w:rsid w:val="00713AC6"/>
    <w:rsid w:val="0071513C"/>
    <w:rsid w:val="00715AB5"/>
    <w:rsid w:val="0072715E"/>
    <w:rsid w:val="00731825"/>
    <w:rsid w:val="007319BE"/>
    <w:rsid w:val="0073387C"/>
    <w:rsid w:val="00735495"/>
    <w:rsid w:val="007366FB"/>
    <w:rsid w:val="00736AA3"/>
    <w:rsid w:val="007501D0"/>
    <w:rsid w:val="00751EAB"/>
    <w:rsid w:val="00756F80"/>
    <w:rsid w:val="0075748D"/>
    <w:rsid w:val="00760605"/>
    <w:rsid w:val="00770C38"/>
    <w:rsid w:val="00777BD2"/>
    <w:rsid w:val="00786D08"/>
    <w:rsid w:val="007877DA"/>
    <w:rsid w:val="007904CD"/>
    <w:rsid w:val="007926EE"/>
    <w:rsid w:val="007963E1"/>
    <w:rsid w:val="007A0043"/>
    <w:rsid w:val="007A5DF5"/>
    <w:rsid w:val="007B646D"/>
    <w:rsid w:val="007C1397"/>
    <w:rsid w:val="007E62AC"/>
    <w:rsid w:val="007E7511"/>
    <w:rsid w:val="008048FD"/>
    <w:rsid w:val="00814BE3"/>
    <w:rsid w:val="0081699C"/>
    <w:rsid w:val="00817EA1"/>
    <w:rsid w:val="00822931"/>
    <w:rsid w:val="0084012B"/>
    <w:rsid w:val="00843EDF"/>
    <w:rsid w:val="00846CB3"/>
    <w:rsid w:val="00853954"/>
    <w:rsid w:val="00861C79"/>
    <w:rsid w:val="00870736"/>
    <w:rsid w:val="008719CA"/>
    <w:rsid w:val="00876AF3"/>
    <w:rsid w:val="008824A7"/>
    <w:rsid w:val="00882B03"/>
    <w:rsid w:val="00885234"/>
    <w:rsid w:val="008926A9"/>
    <w:rsid w:val="00896BA5"/>
    <w:rsid w:val="008A2359"/>
    <w:rsid w:val="008A5EC8"/>
    <w:rsid w:val="008A662C"/>
    <w:rsid w:val="008B5EDD"/>
    <w:rsid w:val="008D15B0"/>
    <w:rsid w:val="008D1A09"/>
    <w:rsid w:val="008F4DF3"/>
    <w:rsid w:val="008F500B"/>
    <w:rsid w:val="00904A82"/>
    <w:rsid w:val="009143A3"/>
    <w:rsid w:val="00916967"/>
    <w:rsid w:val="009200CE"/>
    <w:rsid w:val="00931F85"/>
    <w:rsid w:val="0093617D"/>
    <w:rsid w:val="00944928"/>
    <w:rsid w:val="00944E55"/>
    <w:rsid w:val="00947201"/>
    <w:rsid w:val="00955EB0"/>
    <w:rsid w:val="00956186"/>
    <w:rsid w:val="00965E41"/>
    <w:rsid w:val="00980E7C"/>
    <w:rsid w:val="00984FC8"/>
    <w:rsid w:val="009856F9"/>
    <w:rsid w:val="009A0001"/>
    <w:rsid w:val="009A15CD"/>
    <w:rsid w:val="009A496D"/>
    <w:rsid w:val="009B1E6F"/>
    <w:rsid w:val="009B320C"/>
    <w:rsid w:val="009C2B36"/>
    <w:rsid w:val="009D4ED9"/>
    <w:rsid w:val="009E429D"/>
    <w:rsid w:val="00A25840"/>
    <w:rsid w:val="00A33AA9"/>
    <w:rsid w:val="00A41134"/>
    <w:rsid w:val="00A4286F"/>
    <w:rsid w:val="00A4461A"/>
    <w:rsid w:val="00A6197E"/>
    <w:rsid w:val="00A63E32"/>
    <w:rsid w:val="00A651A7"/>
    <w:rsid w:val="00A70FAC"/>
    <w:rsid w:val="00A77D2A"/>
    <w:rsid w:val="00A80754"/>
    <w:rsid w:val="00A96606"/>
    <w:rsid w:val="00AB16C9"/>
    <w:rsid w:val="00AB71DC"/>
    <w:rsid w:val="00AD7343"/>
    <w:rsid w:val="00AE341B"/>
    <w:rsid w:val="00AF2042"/>
    <w:rsid w:val="00AF2358"/>
    <w:rsid w:val="00AF43EA"/>
    <w:rsid w:val="00B11E15"/>
    <w:rsid w:val="00B143FD"/>
    <w:rsid w:val="00B14D83"/>
    <w:rsid w:val="00B15DDB"/>
    <w:rsid w:val="00B174BE"/>
    <w:rsid w:val="00B93FED"/>
    <w:rsid w:val="00B94525"/>
    <w:rsid w:val="00B96214"/>
    <w:rsid w:val="00BA4E52"/>
    <w:rsid w:val="00BB721E"/>
    <w:rsid w:val="00BB7845"/>
    <w:rsid w:val="00BC23BA"/>
    <w:rsid w:val="00BC3376"/>
    <w:rsid w:val="00BC79A3"/>
    <w:rsid w:val="00BD5C29"/>
    <w:rsid w:val="00BE3E06"/>
    <w:rsid w:val="00BE4879"/>
    <w:rsid w:val="00BE4964"/>
    <w:rsid w:val="00BE5C68"/>
    <w:rsid w:val="00BE74CE"/>
    <w:rsid w:val="00BF749C"/>
    <w:rsid w:val="00C10927"/>
    <w:rsid w:val="00C12AE7"/>
    <w:rsid w:val="00C33914"/>
    <w:rsid w:val="00C34B27"/>
    <w:rsid w:val="00C41317"/>
    <w:rsid w:val="00C468CD"/>
    <w:rsid w:val="00C4756C"/>
    <w:rsid w:val="00C5280D"/>
    <w:rsid w:val="00C54E40"/>
    <w:rsid w:val="00C629E9"/>
    <w:rsid w:val="00C73914"/>
    <w:rsid w:val="00C76BDB"/>
    <w:rsid w:val="00C772D8"/>
    <w:rsid w:val="00C94FDE"/>
    <w:rsid w:val="00CA2585"/>
    <w:rsid w:val="00CA2D15"/>
    <w:rsid w:val="00CC03EA"/>
    <w:rsid w:val="00CC4521"/>
    <w:rsid w:val="00CD14D0"/>
    <w:rsid w:val="00CE0BFA"/>
    <w:rsid w:val="00CE0CD5"/>
    <w:rsid w:val="00CE11B9"/>
    <w:rsid w:val="00CE31A9"/>
    <w:rsid w:val="00CE3D53"/>
    <w:rsid w:val="00D02699"/>
    <w:rsid w:val="00D04528"/>
    <w:rsid w:val="00D305FF"/>
    <w:rsid w:val="00D32915"/>
    <w:rsid w:val="00D35CCF"/>
    <w:rsid w:val="00D437E3"/>
    <w:rsid w:val="00D442FE"/>
    <w:rsid w:val="00D73CB8"/>
    <w:rsid w:val="00D848FB"/>
    <w:rsid w:val="00D9303B"/>
    <w:rsid w:val="00DA0504"/>
    <w:rsid w:val="00DA53C3"/>
    <w:rsid w:val="00DB5E92"/>
    <w:rsid w:val="00DC0FEA"/>
    <w:rsid w:val="00DC6E78"/>
    <w:rsid w:val="00DE0737"/>
    <w:rsid w:val="00DE234F"/>
    <w:rsid w:val="00DE2FF8"/>
    <w:rsid w:val="00DF013F"/>
    <w:rsid w:val="00DF1B01"/>
    <w:rsid w:val="00DF1B5E"/>
    <w:rsid w:val="00E002DF"/>
    <w:rsid w:val="00E1753F"/>
    <w:rsid w:val="00E54F6D"/>
    <w:rsid w:val="00E605C0"/>
    <w:rsid w:val="00E60D06"/>
    <w:rsid w:val="00E60E5E"/>
    <w:rsid w:val="00E6481E"/>
    <w:rsid w:val="00E675A6"/>
    <w:rsid w:val="00E7617E"/>
    <w:rsid w:val="00E8290B"/>
    <w:rsid w:val="00E905BE"/>
    <w:rsid w:val="00EC3375"/>
    <w:rsid w:val="00ED1642"/>
    <w:rsid w:val="00ED4EE9"/>
    <w:rsid w:val="00EE04E9"/>
    <w:rsid w:val="00EE5273"/>
    <w:rsid w:val="00EE7A4B"/>
    <w:rsid w:val="00EF09BF"/>
    <w:rsid w:val="00EF0DAA"/>
    <w:rsid w:val="00EF635B"/>
    <w:rsid w:val="00F03485"/>
    <w:rsid w:val="00F075A7"/>
    <w:rsid w:val="00F10663"/>
    <w:rsid w:val="00F10830"/>
    <w:rsid w:val="00F109FB"/>
    <w:rsid w:val="00F1395A"/>
    <w:rsid w:val="00F27597"/>
    <w:rsid w:val="00F304F1"/>
    <w:rsid w:val="00F420BE"/>
    <w:rsid w:val="00F668FB"/>
    <w:rsid w:val="00F71E96"/>
    <w:rsid w:val="00F7206E"/>
    <w:rsid w:val="00F97EDD"/>
    <w:rsid w:val="00FC5E18"/>
    <w:rsid w:val="00FC74A6"/>
    <w:rsid w:val="00FC7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0EFD"/>
  <w15:docId w15:val="{2F91887B-75F3-4A26-A3D5-733B6F40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3AC6"/>
  </w:style>
  <w:style w:type="paragraph" w:styleId="Nadpis4">
    <w:name w:val="heading 4"/>
    <w:basedOn w:val="Normln"/>
    <w:link w:val="Nadpis4Char"/>
    <w:uiPriority w:val="9"/>
    <w:qFormat/>
    <w:rsid w:val="007A004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A676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676B"/>
    <w:rPr>
      <w:sz w:val="20"/>
      <w:szCs w:val="20"/>
    </w:rPr>
  </w:style>
  <w:style w:type="character" w:styleId="Znakapoznpodarou">
    <w:name w:val="footnote reference"/>
    <w:aliases w:val="fr,Značka pozn. pod čarou1"/>
    <w:basedOn w:val="Standardnpsmoodstavce"/>
    <w:uiPriority w:val="99"/>
    <w:unhideWhenUsed/>
    <w:rsid w:val="006A676B"/>
    <w:rPr>
      <w:vertAlign w:val="superscript"/>
    </w:rPr>
  </w:style>
  <w:style w:type="paragraph" w:styleId="Odstavecseseznamem">
    <w:name w:val="List Paragraph"/>
    <w:basedOn w:val="Normln"/>
    <w:uiPriority w:val="34"/>
    <w:qFormat/>
    <w:rsid w:val="006A676B"/>
    <w:pPr>
      <w:ind w:left="720"/>
      <w:contextualSpacing/>
    </w:pPr>
  </w:style>
  <w:style w:type="paragraph" w:customStyle="1" w:styleId="Oddl">
    <w:name w:val="Oddíl"/>
    <w:basedOn w:val="Normln"/>
    <w:next w:val="Normln"/>
    <w:rsid w:val="00C33914"/>
    <w:pPr>
      <w:keepNext/>
      <w:keepLines/>
      <w:spacing w:before="240" w:after="0" w:line="240" w:lineRule="auto"/>
      <w:jc w:val="center"/>
      <w:outlineLvl w:val="4"/>
    </w:pPr>
    <w:rPr>
      <w:rFonts w:ascii="Times New Roman" w:eastAsia="Times New Roman" w:hAnsi="Times New Roman" w:cs="Times New Roman"/>
      <w:sz w:val="24"/>
      <w:szCs w:val="20"/>
      <w:lang w:eastAsia="cs-CZ"/>
    </w:rPr>
  </w:style>
  <w:style w:type="paragraph" w:customStyle="1" w:styleId="Oznaenpozmn">
    <w:name w:val="Označení pozm.n."/>
    <w:basedOn w:val="Normln"/>
    <w:next w:val="Normln"/>
    <w:rsid w:val="00C33914"/>
    <w:pPr>
      <w:numPr>
        <w:numId w:val="3"/>
      </w:numPr>
      <w:spacing w:after="120" w:line="240" w:lineRule="auto"/>
      <w:jc w:val="both"/>
    </w:pPr>
    <w:rPr>
      <w:rFonts w:ascii="Times New Roman" w:eastAsia="Times New Roman" w:hAnsi="Times New Roman" w:cs="Times New Roman"/>
      <w:b/>
      <w:sz w:val="24"/>
      <w:szCs w:val="20"/>
      <w:lang w:eastAsia="cs-CZ"/>
    </w:rPr>
  </w:style>
  <w:style w:type="paragraph" w:styleId="Normlnweb">
    <w:name w:val="Normal (Web)"/>
    <w:basedOn w:val="Normln"/>
    <w:uiPriority w:val="99"/>
    <w:semiHidden/>
    <w:unhideWhenUsed/>
    <w:rsid w:val="007151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1513C"/>
    <w:rPr>
      <w:i/>
      <w:iCs/>
    </w:rPr>
  </w:style>
  <w:style w:type="character" w:styleId="Hypertextovodkaz">
    <w:name w:val="Hyperlink"/>
    <w:basedOn w:val="Standardnpsmoodstavce"/>
    <w:uiPriority w:val="99"/>
    <w:unhideWhenUsed/>
    <w:rsid w:val="0071513C"/>
    <w:rPr>
      <w:color w:val="0563C1" w:themeColor="hyperlink"/>
      <w:u w:val="single"/>
    </w:rPr>
  </w:style>
  <w:style w:type="table" w:styleId="Mkatabulky">
    <w:name w:val="Table Grid"/>
    <w:basedOn w:val="Normlntabulka"/>
    <w:uiPriority w:val="39"/>
    <w:rsid w:val="0076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C03EA"/>
    <w:rPr>
      <w:color w:val="954F72" w:themeColor="followedHyperlink"/>
      <w:u w:val="single"/>
    </w:rPr>
  </w:style>
  <w:style w:type="paragraph" w:styleId="Zhlav">
    <w:name w:val="header"/>
    <w:basedOn w:val="Normln"/>
    <w:link w:val="ZhlavChar"/>
    <w:uiPriority w:val="99"/>
    <w:unhideWhenUsed/>
    <w:rsid w:val="00C413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317"/>
  </w:style>
  <w:style w:type="paragraph" w:styleId="Zpat">
    <w:name w:val="footer"/>
    <w:basedOn w:val="Normln"/>
    <w:link w:val="ZpatChar"/>
    <w:uiPriority w:val="99"/>
    <w:unhideWhenUsed/>
    <w:rsid w:val="00C41317"/>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317"/>
  </w:style>
  <w:style w:type="character" w:customStyle="1" w:styleId="Nadpis4Char">
    <w:name w:val="Nadpis 4 Char"/>
    <w:basedOn w:val="Standardnpsmoodstavce"/>
    <w:link w:val="Nadpis4"/>
    <w:uiPriority w:val="9"/>
    <w:rsid w:val="007A0043"/>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4C50D1"/>
    <w:pPr>
      <w:spacing w:after="0" w:line="360" w:lineRule="auto"/>
      <w:ind w:left="540"/>
      <w:jc w:val="both"/>
    </w:pPr>
    <w:rPr>
      <w:rFonts w:ascii="Arial" w:eastAsia="Times New Roman" w:hAnsi="Arial" w:cs="Arial"/>
      <w:lang w:eastAsia="cs-CZ"/>
    </w:rPr>
  </w:style>
  <w:style w:type="character" w:customStyle="1" w:styleId="ZkladntextodsazenChar">
    <w:name w:val="Základní text odsazený Char"/>
    <w:basedOn w:val="Standardnpsmoodstavce"/>
    <w:link w:val="Zkladntextodsazen"/>
    <w:rsid w:val="004C50D1"/>
    <w:rPr>
      <w:rFonts w:ascii="Arial" w:eastAsia="Times New Roman" w:hAnsi="Arial" w:cs="Arial"/>
      <w:lang w:eastAsia="cs-CZ"/>
    </w:rPr>
  </w:style>
  <w:style w:type="paragraph" w:styleId="Zkladntext2">
    <w:name w:val="Body Text 2"/>
    <w:basedOn w:val="Normln"/>
    <w:link w:val="Zkladntext2Char"/>
    <w:uiPriority w:val="99"/>
    <w:semiHidden/>
    <w:unhideWhenUsed/>
    <w:rsid w:val="00710F6C"/>
    <w:pPr>
      <w:widowControl w:val="0"/>
      <w:suppressAutoHyphens/>
      <w:spacing w:after="120" w:line="480" w:lineRule="auto"/>
      <w:jc w:val="both"/>
    </w:pPr>
    <w:rPr>
      <w:rFonts w:ascii="Garamond" w:eastAsia="Arial Unicode MS" w:hAnsi="Garamond" w:cs="Times New Roman"/>
      <w:sz w:val="24"/>
      <w:szCs w:val="24"/>
      <w:lang w:eastAsia="cs-CZ"/>
    </w:rPr>
  </w:style>
  <w:style w:type="character" w:customStyle="1" w:styleId="Zkladntext2Char">
    <w:name w:val="Základní text 2 Char"/>
    <w:basedOn w:val="Standardnpsmoodstavce"/>
    <w:link w:val="Zkladntext2"/>
    <w:uiPriority w:val="99"/>
    <w:semiHidden/>
    <w:rsid w:val="00710F6C"/>
    <w:rPr>
      <w:rFonts w:ascii="Garamond" w:eastAsia="Arial Unicode MS" w:hAnsi="Garamond" w:cs="Times New Roman"/>
      <w:sz w:val="24"/>
      <w:szCs w:val="24"/>
      <w:lang w:eastAsia="cs-CZ"/>
    </w:rPr>
  </w:style>
  <w:style w:type="paragraph" w:customStyle="1" w:styleId="NADPISSTI">
    <w:name w:val="NADPIS ČÁSTI"/>
    <w:basedOn w:val="Normln"/>
    <w:next w:val="Normln"/>
    <w:link w:val="NADPISSTIChar"/>
    <w:rsid w:val="008A5EC8"/>
    <w:pPr>
      <w:keepNext/>
      <w:keepLines/>
      <w:spacing w:after="0" w:line="240" w:lineRule="auto"/>
      <w:jc w:val="center"/>
      <w:outlineLvl w:val="1"/>
    </w:pPr>
    <w:rPr>
      <w:rFonts w:ascii="Times New Roman" w:eastAsia="Times New Roman" w:hAnsi="Times New Roman" w:cs="Times New Roman"/>
      <w:b/>
      <w:sz w:val="24"/>
      <w:szCs w:val="20"/>
      <w:lang w:val="x-none" w:eastAsia="x-none"/>
    </w:rPr>
  </w:style>
  <w:style w:type="character" w:customStyle="1" w:styleId="NADPISSTIChar">
    <w:name w:val="NADPIS ČÁSTI Char"/>
    <w:link w:val="NADPISSTI"/>
    <w:rsid w:val="008A5EC8"/>
    <w:rPr>
      <w:rFonts w:ascii="Times New Roman" w:eastAsia="Times New Roman" w:hAnsi="Times New Roman" w:cs="Times New Roman"/>
      <w:b/>
      <w:sz w:val="24"/>
      <w:szCs w:val="20"/>
      <w:lang w:val="x-none" w:eastAsia="x-none"/>
    </w:rPr>
  </w:style>
  <w:style w:type="paragraph" w:customStyle="1" w:styleId="center">
    <w:name w:val="center"/>
    <w:basedOn w:val="Normln"/>
    <w:rsid w:val="008A5EC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35C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CCF"/>
    <w:rPr>
      <w:rFonts w:ascii="Tahoma" w:hAnsi="Tahoma" w:cs="Tahoma"/>
      <w:sz w:val="16"/>
      <w:szCs w:val="16"/>
    </w:rPr>
  </w:style>
  <w:style w:type="character" w:styleId="Odkaznakoment">
    <w:name w:val="annotation reference"/>
    <w:basedOn w:val="Standardnpsmoodstavce"/>
    <w:uiPriority w:val="99"/>
    <w:semiHidden/>
    <w:unhideWhenUsed/>
    <w:rsid w:val="000B3E56"/>
    <w:rPr>
      <w:sz w:val="16"/>
      <w:szCs w:val="16"/>
    </w:rPr>
  </w:style>
  <w:style w:type="paragraph" w:styleId="Textkomente">
    <w:name w:val="annotation text"/>
    <w:basedOn w:val="Normln"/>
    <w:link w:val="TextkomenteChar"/>
    <w:uiPriority w:val="99"/>
    <w:semiHidden/>
    <w:unhideWhenUsed/>
    <w:rsid w:val="000B3E56"/>
    <w:pPr>
      <w:spacing w:line="240" w:lineRule="auto"/>
    </w:pPr>
    <w:rPr>
      <w:sz w:val="20"/>
      <w:szCs w:val="20"/>
    </w:rPr>
  </w:style>
  <w:style w:type="character" w:customStyle="1" w:styleId="TextkomenteChar">
    <w:name w:val="Text komentáře Char"/>
    <w:basedOn w:val="Standardnpsmoodstavce"/>
    <w:link w:val="Textkomente"/>
    <w:uiPriority w:val="99"/>
    <w:semiHidden/>
    <w:rsid w:val="000B3E56"/>
    <w:rPr>
      <w:sz w:val="20"/>
      <w:szCs w:val="20"/>
    </w:rPr>
  </w:style>
  <w:style w:type="paragraph" w:styleId="Pedmtkomente">
    <w:name w:val="annotation subject"/>
    <w:basedOn w:val="Textkomente"/>
    <w:next w:val="Textkomente"/>
    <w:link w:val="PedmtkomenteChar"/>
    <w:uiPriority w:val="99"/>
    <w:semiHidden/>
    <w:unhideWhenUsed/>
    <w:rsid w:val="000B3E56"/>
    <w:rPr>
      <w:b/>
      <w:bCs/>
    </w:rPr>
  </w:style>
  <w:style w:type="character" w:customStyle="1" w:styleId="PedmtkomenteChar">
    <w:name w:val="Předmět komentáře Char"/>
    <w:basedOn w:val="TextkomenteChar"/>
    <w:link w:val="Pedmtkomente"/>
    <w:uiPriority w:val="99"/>
    <w:semiHidden/>
    <w:rsid w:val="000B3E56"/>
    <w:rPr>
      <w:b/>
      <w:bCs/>
      <w:sz w:val="20"/>
      <w:szCs w:val="20"/>
    </w:rPr>
  </w:style>
  <w:style w:type="paragraph" w:styleId="Revize">
    <w:name w:val="Revision"/>
    <w:hidden/>
    <w:uiPriority w:val="99"/>
    <w:semiHidden/>
    <w:rsid w:val="003B7684"/>
    <w:pPr>
      <w:spacing w:after="0" w:line="240" w:lineRule="auto"/>
    </w:pPr>
  </w:style>
  <w:style w:type="table" w:customStyle="1" w:styleId="Mkatabulky1">
    <w:name w:val="Mřížka tabulky1"/>
    <w:basedOn w:val="Normlntabulka"/>
    <w:next w:val="Mkatabulky"/>
    <w:uiPriority w:val="59"/>
    <w:rsid w:val="008F4DF3"/>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
    <w:rsid w:val="00931F8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23">
      <w:bodyDiv w:val="1"/>
      <w:marLeft w:val="0"/>
      <w:marRight w:val="0"/>
      <w:marTop w:val="0"/>
      <w:marBottom w:val="0"/>
      <w:divBdr>
        <w:top w:val="none" w:sz="0" w:space="0" w:color="auto"/>
        <w:left w:val="none" w:sz="0" w:space="0" w:color="auto"/>
        <w:bottom w:val="none" w:sz="0" w:space="0" w:color="auto"/>
        <w:right w:val="none" w:sz="0" w:space="0" w:color="auto"/>
      </w:divBdr>
    </w:div>
    <w:div w:id="166336361">
      <w:bodyDiv w:val="1"/>
      <w:marLeft w:val="0"/>
      <w:marRight w:val="0"/>
      <w:marTop w:val="0"/>
      <w:marBottom w:val="0"/>
      <w:divBdr>
        <w:top w:val="none" w:sz="0" w:space="0" w:color="auto"/>
        <w:left w:val="none" w:sz="0" w:space="0" w:color="auto"/>
        <w:bottom w:val="none" w:sz="0" w:space="0" w:color="auto"/>
        <w:right w:val="none" w:sz="0" w:space="0" w:color="auto"/>
      </w:divBdr>
    </w:div>
    <w:div w:id="357975231">
      <w:bodyDiv w:val="1"/>
      <w:marLeft w:val="0"/>
      <w:marRight w:val="0"/>
      <w:marTop w:val="0"/>
      <w:marBottom w:val="0"/>
      <w:divBdr>
        <w:top w:val="none" w:sz="0" w:space="0" w:color="auto"/>
        <w:left w:val="none" w:sz="0" w:space="0" w:color="auto"/>
        <w:bottom w:val="none" w:sz="0" w:space="0" w:color="auto"/>
        <w:right w:val="none" w:sz="0" w:space="0" w:color="auto"/>
      </w:divBdr>
      <w:divsChild>
        <w:div w:id="1122652907">
          <w:marLeft w:val="0"/>
          <w:marRight w:val="0"/>
          <w:marTop w:val="0"/>
          <w:marBottom w:val="0"/>
          <w:divBdr>
            <w:top w:val="none" w:sz="0" w:space="0" w:color="auto"/>
            <w:left w:val="none" w:sz="0" w:space="0" w:color="auto"/>
            <w:bottom w:val="none" w:sz="0" w:space="0" w:color="auto"/>
            <w:right w:val="none" w:sz="0" w:space="0" w:color="auto"/>
          </w:divBdr>
        </w:div>
      </w:divsChild>
    </w:div>
    <w:div w:id="551579476">
      <w:bodyDiv w:val="1"/>
      <w:marLeft w:val="0"/>
      <w:marRight w:val="0"/>
      <w:marTop w:val="0"/>
      <w:marBottom w:val="0"/>
      <w:divBdr>
        <w:top w:val="none" w:sz="0" w:space="0" w:color="auto"/>
        <w:left w:val="none" w:sz="0" w:space="0" w:color="auto"/>
        <w:bottom w:val="none" w:sz="0" w:space="0" w:color="auto"/>
        <w:right w:val="none" w:sz="0" w:space="0" w:color="auto"/>
      </w:divBdr>
    </w:div>
    <w:div w:id="907302314">
      <w:bodyDiv w:val="1"/>
      <w:marLeft w:val="0"/>
      <w:marRight w:val="0"/>
      <w:marTop w:val="0"/>
      <w:marBottom w:val="0"/>
      <w:divBdr>
        <w:top w:val="none" w:sz="0" w:space="0" w:color="auto"/>
        <w:left w:val="none" w:sz="0" w:space="0" w:color="auto"/>
        <w:bottom w:val="none" w:sz="0" w:space="0" w:color="auto"/>
        <w:right w:val="none" w:sz="0" w:space="0" w:color="auto"/>
      </w:divBdr>
    </w:div>
    <w:div w:id="1001733607">
      <w:bodyDiv w:val="1"/>
      <w:marLeft w:val="0"/>
      <w:marRight w:val="0"/>
      <w:marTop w:val="0"/>
      <w:marBottom w:val="0"/>
      <w:divBdr>
        <w:top w:val="none" w:sz="0" w:space="0" w:color="auto"/>
        <w:left w:val="none" w:sz="0" w:space="0" w:color="auto"/>
        <w:bottom w:val="none" w:sz="0" w:space="0" w:color="auto"/>
        <w:right w:val="none" w:sz="0" w:space="0" w:color="auto"/>
      </w:divBdr>
    </w:div>
    <w:div w:id="1241329530">
      <w:bodyDiv w:val="1"/>
      <w:marLeft w:val="0"/>
      <w:marRight w:val="0"/>
      <w:marTop w:val="0"/>
      <w:marBottom w:val="0"/>
      <w:divBdr>
        <w:top w:val="none" w:sz="0" w:space="0" w:color="auto"/>
        <w:left w:val="none" w:sz="0" w:space="0" w:color="auto"/>
        <w:bottom w:val="none" w:sz="0" w:space="0" w:color="auto"/>
        <w:right w:val="none" w:sz="0" w:space="0" w:color="auto"/>
      </w:divBdr>
    </w:div>
    <w:div w:id="1830553796">
      <w:bodyDiv w:val="1"/>
      <w:marLeft w:val="0"/>
      <w:marRight w:val="0"/>
      <w:marTop w:val="0"/>
      <w:marBottom w:val="0"/>
      <w:divBdr>
        <w:top w:val="none" w:sz="0" w:space="0" w:color="auto"/>
        <w:left w:val="none" w:sz="0" w:space="0" w:color="auto"/>
        <w:bottom w:val="none" w:sz="0" w:space="0" w:color="auto"/>
        <w:right w:val="none" w:sz="0" w:space="0" w:color="auto"/>
      </w:divBdr>
    </w:div>
    <w:div w:id="19236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C8BB-64BF-47D9-BB37-56C19CED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EDE938E8</Template>
  <TotalTime>83</TotalTime>
  <Pages>22</Pages>
  <Words>7978</Words>
  <Characters>47077</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54946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PForejt</dc:creator>
  <cp:lastModifiedBy>Forejt Petr Mgr.</cp:lastModifiedBy>
  <cp:revision>4</cp:revision>
  <cp:lastPrinted>2019-12-10T10:37:00Z</cp:lastPrinted>
  <dcterms:created xsi:type="dcterms:W3CDTF">2019-12-13T18:15:00Z</dcterms:created>
  <dcterms:modified xsi:type="dcterms:W3CDTF">2019-12-16T08:01:00Z</dcterms:modified>
</cp:coreProperties>
</file>