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CA0" w:rsidRDefault="006635D2" w:rsidP="006635D2">
      <w:pPr>
        <w:spacing w:before="120"/>
        <w:jc w:val="right"/>
        <w:rPr>
          <w:bCs/>
        </w:rPr>
      </w:pPr>
      <w:r>
        <w:rPr>
          <w:bCs/>
        </w:rPr>
        <w:t>I</w:t>
      </w:r>
      <w:r w:rsidR="00934CA0">
        <w:rPr>
          <w:bCs/>
        </w:rPr>
        <w:t>V.</w:t>
      </w:r>
    </w:p>
    <w:p w:rsidR="00934CA0" w:rsidRPr="006A1672" w:rsidRDefault="00934CA0" w:rsidP="006635D2">
      <w:pPr>
        <w:spacing w:before="120"/>
        <w:jc w:val="right"/>
        <w:rPr>
          <w:bCs/>
        </w:rPr>
      </w:pPr>
      <w:bookmarkStart w:id="0" w:name="_GoBack"/>
      <w:bookmarkEnd w:id="0"/>
    </w:p>
    <w:p w:rsidR="00934CA0" w:rsidRDefault="00934CA0" w:rsidP="006635D2">
      <w:pPr>
        <w:spacing w:before="120"/>
        <w:jc w:val="center"/>
        <w:rPr>
          <w:b/>
        </w:rPr>
      </w:pPr>
      <w:r>
        <w:rPr>
          <w:b/>
        </w:rPr>
        <w:t xml:space="preserve">Platné znění </w:t>
      </w:r>
      <w:r w:rsidRPr="003731AD">
        <w:rPr>
          <w:b/>
        </w:rPr>
        <w:t>vyhlášky č.</w:t>
      </w:r>
      <w:r>
        <w:rPr>
          <w:b/>
        </w:rPr>
        <w:t xml:space="preserve"> </w:t>
      </w:r>
      <w:r w:rsidRPr="003731AD">
        <w:rPr>
          <w:b/>
        </w:rPr>
        <w:t>109/1994 Sb., kterou se vydává řád výkonu vazby</w:t>
      </w:r>
      <w:r>
        <w:rPr>
          <w:b/>
        </w:rPr>
        <w:t>,</w:t>
      </w:r>
      <w:r w:rsidR="006635D2">
        <w:rPr>
          <w:b/>
        </w:rPr>
        <w:t xml:space="preserve"> </w:t>
      </w:r>
      <w:r>
        <w:rPr>
          <w:b/>
        </w:rPr>
        <w:t>s vyznačením navrhovaných změn</w:t>
      </w:r>
    </w:p>
    <w:p w:rsidR="006635D2" w:rsidRDefault="006635D2" w:rsidP="006635D2">
      <w:pPr>
        <w:spacing w:before="120"/>
        <w:jc w:val="center"/>
        <w:rPr>
          <w:b/>
          <w:szCs w:val="22"/>
        </w:rPr>
      </w:pPr>
    </w:p>
    <w:p w:rsidR="00934CA0" w:rsidRPr="00E256AC" w:rsidRDefault="00934CA0" w:rsidP="006635D2">
      <w:pPr>
        <w:spacing w:before="120"/>
        <w:jc w:val="center"/>
      </w:pPr>
      <w:r w:rsidRPr="00E256AC">
        <w:t>Základní vybavení cel</w:t>
      </w:r>
    </w:p>
    <w:p w:rsidR="00934CA0" w:rsidRPr="00E256AC" w:rsidRDefault="00934CA0" w:rsidP="006635D2">
      <w:pPr>
        <w:spacing w:before="120"/>
        <w:jc w:val="center"/>
      </w:pPr>
      <w:r w:rsidRPr="00E256AC">
        <w:t>§ 14</w:t>
      </w:r>
    </w:p>
    <w:p w:rsidR="00934CA0" w:rsidRPr="002E7F6B" w:rsidRDefault="00934CA0" w:rsidP="006635D2">
      <w:pPr>
        <w:spacing w:before="120"/>
        <w:ind w:firstLine="426"/>
        <w:jc w:val="both"/>
        <w:rPr>
          <w:strike/>
        </w:rPr>
      </w:pPr>
      <w:r w:rsidRPr="002E7F6B">
        <w:t xml:space="preserve">(1) </w:t>
      </w:r>
      <w:r w:rsidRPr="007163E1">
        <w:t>Kromě vybavení uvedeného v § 9 zákona musí být</w:t>
      </w:r>
      <w:r>
        <w:t xml:space="preserve"> </w:t>
      </w:r>
      <w:r w:rsidRPr="002E7F6B">
        <w:rPr>
          <w:strike/>
        </w:rPr>
        <w:t>v cele</w:t>
      </w:r>
      <w:r>
        <w:t xml:space="preserve"> </w:t>
      </w:r>
      <w:r w:rsidRPr="002E7F6B">
        <w:rPr>
          <w:b/>
        </w:rPr>
        <w:t xml:space="preserve">cela vybavena sociálním zařízením, které zahrnuje záchod a </w:t>
      </w:r>
      <w:r>
        <w:t>u</w:t>
      </w:r>
      <w:r w:rsidRPr="007163E1">
        <w:t>myvadlo s tekoucí vodou.</w:t>
      </w:r>
    </w:p>
    <w:p w:rsidR="00934CA0" w:rsidRDefault="00934CA0" w:rsidP="006635D2">
      <w:pPr>
        <w:spacing w:before="120"/>
        <w:ind w:firstLine="426"/>
        <w:jc w:val="both"/>
      </w:pPr>
      <w:r>
        <w:t xml:space="preserve">(2) </w:t>
      </w:r>
      <w:r w:rsidRPr="00E256AC">
        <w:t>Cely musí být denně dostatečně větrány, vytápěny a osvětlovány podle obecně platných norem, přičemž v době od večerky do budíčku lze v odůvodněných případech užívat tlumené osvětlení.</w:t>
      </w:r>
    </w:p>
    <w:p w:rsidR="00934CA0" w:rsidRDefault="00934CA0" w:rsidP="006635D2">
      <w:pPr>
        <w:spacing w:before="120"/>
        <w:ind w:firstLine="426"/>
        <w:jc w:val="both"/>
      </w:pPr>
      <w:r>
        <w:t xml:space="preserve">(3) </w:t>
      </w:r>
      <w:r w:rsidRPr="00E256AC">
        <w:t>Jednopatrová lůžka na cele lze užívat, jen bude-li mezi ložnými plochami dolního a</w:t>
      </w:r>
      <w:r>
        <w:t> </w:t>
      </w:r>
      <w:r w:rsidRPr="00E256AC">
        <w:t>horního lůžka zachována vzdálenost nejméně 80 cm a bude-li na jednoho obviněného připadat nejméně 7 m</w:t>
      </w:r>
      <w:r w:rsidRPr="002E7F6B">
        <w:rPr>
          <w:vertAlign w:val="superscript"/>
        </w:rPr>
        <w:t>3</w:t>
      </w:r>
      <w:r w:rsidRPr="00E256AC">
        <w:t xml:space="preserve"> vzduchu. Horní lůžko musí být opatřeno podložkou, která nepropouští prach.</w:t>
      </w:r>
    </w:p>
    <w:p w:rsidR="00934CA0" w:rsidRPr="00E256AC" w:rsidRDefault="00934CA0" w:rsidP="006635D2">
      <w:pPr>
        <w:spacing w:before="120"/>
        <w:ind w:firstLine="426"/>
        <w:jc w:val="both"/>
      </w:pPr>
      <w:r>
        <w:t xml:space="preserve">(4) </w:t>
      </w:r>
      <w:r w:rsidRPr="00E256AC">
        <w:t>K udržování pořádku, čistoty a hygieny v celách se obviněným vydávají v potřebném množství běžné čisticí a dezinfekční prostředky.</w:t>
      </w:r>
    </w:p>
    <w:p w:rsidR="00934CA0" w:rsidRDefault="00934CA0" w:rsidP="006635D2">
      <w:pPr>
        <w:spacing w:before="120"/>
        <w:rPr>
          <w:b/>
        </w:rPr>
      </w:pPr>
    </w:p>
    <w:p w:rsidR="00934CA0" w:rsidRPr="006A1672" w:rsidRDefault="00934CA0" w:rsidP="006635D2">
      <w:pPr>
        <w:spacing w:before="120"/>
        <w:jc w:val="center"/>
        <w:rPr>
          <w:bCs/>
          <w:strike/>
        </w:rPr>
      </w:pPr>
      <w:r w:rsidRPr="006A1672">
        <w:rPr>
          <w:bCs/>
          <w:strike/>
        </w:rPr>
        <w:t>§ 15</w:t>
      </w:r>
    </w:p>
    <w:p w:rsidR="00934CA0" w:rsidRPr="006A1672" w:rsidRDefault="00934CA0" w:rsidP="006635D2">
      <w:pPr>
        <w:spacing w:before="120"/>
        <w:ind w:firstLine="426"/>
        <w:jc w:val="both"/>
        <w:rPr>
          <w:strike/>
        </w:rPr>
      </w:pPr>
      <w:r w:rsidRPr="006A1672">
        <w:rPr>
          <w:strike/>
        </w:rPr>
        <w:t>(1) V cele určené pro ubytování více obviněných musí na jednoho obviněného připadat ubytovací plocha nejméně 4 m</w:t>
      </w:r>
      <w:r w:rsidRPr="006A1672">
        <w:rPr>
          <w:strike/>
          <w:vertAlign w:val="superscript"/>
        </w:rPr>
        <w:t>2</w:t>
      </w:r>
      <w:r w:rsidRPr="006A1672">
        <w:rPr>
          <w:strike/>
        </w:rPr>
        <w:t>. Cela určená k ubytování pouze jedné osoby nesmí mít ubytovací plochu menší než 6 m</w:t>
      </w:r>
      <w:r w:rsidRPr="006A1672">
        <w:rPr>
          <w:strike/>
          <w:vertAlign w:val="superscript"/>
        </w:rPr>
        <w:t>2</w:t>
      </w:r>
      <w:r w:rsidRPr="006A1672">
        <w:rPr>
          <w:strike/>
        </w:rPr>
        <w:t>.</w:t>
      </w:r>
    </w:p>
    <w:p w:rsidR="00934CA0" w:rsidRPr="006A1672" w:rsidRDefault="00934CA0" w:rsidP="006635D2">
      <w:pPr>
        <w:spacing w:before="120"/>
        <w:ind w:firstLine="426"/>
        <w:jc w:val="both"/>
        <w:rPr>
          <w:strike/>
        </w:rPr>
      </w:pPr>
      <w:r w:rsidRPr="006A1672">
        <w:rPr>
          <w:strike/>
        </w:rPr>
        <w:t>(2) Umístit obviněného do cely, v níž na něho připadne ubytovací plocha menší než 4 m</w:t>
      </w:r>
      <w:r w:rsidRPr="006A1672">
        <w:rPr>
          <w:strike/>
          <w:vertAlign w:val="superscript"/>
        </w:rPr>
        <w:t>2</w:t>
      </w:r>
      <w:r w:rsidRPr="006A1672">
        <w:rPr>
          <w:strike/>
        </w:rPr>
        <w:t>, lze pouze tehdy, když celkový počet obviněných v rámci obvodu vrchního soudu překročí ubytovací kapacitu věznic stanovenou tak, aby na jednoho obviněného připadala ubytovací plocha alespoň 4 m</w:t>
      </w:r>
      <w:r w:rsidRPr="006A1672">
        <w:rPr>
          <w:strike/>
          <w:vertAlign w:val="superscript"/>
        </w:rPr>
        <w:t>2</w:t>
      </w:r>
      <w:r w:rsidRPr="006A1672">
        <w:rPr>
          <w:strike/>
        </w:rPr>
        <w:t>; ubytovací plocha připadající na jednoho obviněného však nesmí být menší než 3 m</w:t>
      </w:r>
      <w:r w:rsidRPr="006A1672">
        <w:rPr>
          <w:strike/>
          <w:vertAlign w:val="superscript"/>
        </w:rPr>
        <w:t>2</w:t>
      </w:r>
      <w:r w:rsidRPr="006A1672">
        <w:rPr>
          <w:strike/>
        </w:rPr>
        <w:t>.</w:t>
      </w:r>
    </w:p>
    <w:p w:rsidR="00934CA0" w:rsidRDefault="00934CA0" w:rsidP="006635D2">
      <w:pPr>
        <w:spacing w:before="120"/>
        <w:rPr>
          <w:b/>
        </w:rPr>
      </w:pPr>
    </w:p>
    <w:p w:rsidR="00934CA0" w:rsidRPr="00E256AC" w:rsidRDefault="00934CA0" w:rsidP="006635D2">
      <w:pPr>
        <w:spacing w:before="120"/>
        <w:jc w:val="center"/>
        <w:rPr>
          <w:b/>
        </w:rPr>
      </w:pPr>
      <w:r w:rsidRPr="00E256AC">
        <w:rPr>
          <w:b/>
        </w:rPr>
        <w:t>§ 15</w:t>
      </w:r>
    </w:p>
    <w:p w:rsidR="00934CA0" w:rsidRPr="002E7F6B" w:rsidRDefault="00934CA0" w:rsidP="006635D2">
      <w:pPr>
        <w:spacing w:before="120"/>
        <w:ind w:firstLine="426"/>
        <w:jc w:val="both"/>
        <w:rPr>
          <w:b/>
        </w:rPr>
      </w:pPr>
      <w:bookmarkStart w:id="1" w:name="_Hlk37178302"/>
      <w:r w:rsidRPr="002E7F6B">
        <w:rPr>
          <w:b/>
        </w:rPr>
        <w:t>(1</w:t>
      </w:r>
      <w:r>
        <w:rPr>
          <w:b/>
        </w:rPr>
        <w:t xml:space="preserve">) </w:t>
      </w:r>
      <w:r w:rsidRPr="002E7F6B">
        <w:rPr>
          <w:b/>
        </w:rPr>
        <w:t>V cele</w:t>
      </w:r>
      <w:r w:rsidRPr="002E7F6B">
        <w:rPr>
          <w:b/>
          <w:bCs/>
        </w:rPr>
        <w:t xml:space="preserve"> nebo ložnici</w:t>
      </w:r>
      <w:r w:rsidRPr="002E7F6B">
        <w:rPr>
          <w:b/>
        </w:rPr>
        <w:t xml:space="preserve"> určené pro ubytování více obviněných musí na </w:t>
      </w:r>
      <w:r w:rsidRPr="002E7F6B">
        <w:rPr>
          <w:b/>
          <w:bCs/>
        </w:rPr>
        <w:t>prvního</w:t>
      </w:r>
      <w:r w:rsidRPr="002E7F6B">
        <w:rPr>
          <w:b/>
        </w:rPr>
        <w:t xml:space="preserve"> obviněného připadat ubytovací plocha nejméně </w:t>
      </w:r>
      <w:r w:rsidRPr="002E7F6B">
        <w:rPr>
          <w:b/>
          <w:bCs/>
        </w:rPr>
        <w:t>6</w:t>
      </w:r>
      <w:r w:rsidRPr="002E7F6B">
        <w:rPr>
          <w:b/>
        </w:rPr>
        <w:t xml:space="preserve"> m</w:t>
      </w:r>
      <w:r w:rsidRPr="002E7F6B">
        <w:rPr>
          <w:b/>
          <w:vertAlign w:val="superscript"/>
        </w:rPr>
        <w:t>2</w:t>
      </w:r>
      <w:r w:rsidRPr="002E7F6B">
        <w:rPr>
          <w:b/>
          <w:bCs/>
        </w:rPr>
        <w:t xml:space="preserve"> a na každého dalšího nejméně 4 m</w:t>
      </w:r>
      <w:r w:rsidRPr="002E7F6B">
        <w:rPr>
          <w:b/>
          <w:bCs/>
          <w:vertAlign w:val="superscript"/>
        </w:rPr>
        <w:t>2</w:t>
      </w:r>
      <w:r w:rsidRPr="002E7F6B">
        <w:rPr>
          <w:b/>
        </w:rPr>
        <w:t xml:space="preserve">. Cela </w:t>
      </w:r>
      <w:r w:rsidRPr="002E7F6B">
        <w:rPr>
          <w:b/>
          <w:bCs/>
        </w:rPr>
        <w:t xml:space="preserve">nebo ložnice </w:t>
      </w:r>
      <w:r w:rsidRPr="002E7F6B">
        <w:rPr>
          <w:b/>
        </w:rPr>
        <w:t xml:space="preserve">určená k ubytování pouze </w:t>
      </w:r>
      <w:r w:rsidR="00366E99">
        <w:rPr>
          <w:b/>
        </w:rPr>
        <w:t>jednoho obviněného</w:t>
      </w:r>
      <w:r w:rsidRPr="002E7F6B">
        <w:rPr>
          <w:b/>
        </w:rPr>
        <w:t xml:space="preserve"> nesmí mít ubytovací plochu menší než 6 m</w:t>
      </w:r>
      <w:r w:rsidRPr="002E7F6B">
        <w:rPr>
          <w:b/>
          <w:vertAlign w:val="superscript"/>
        </w:rPr>
        <w:t>2</w:t>
      </w:r>
      <w:r w:rsidRPr="002E7F6B">
        <w:rPr>
          <w:b/>
        </w:rPr>
        <w:t>.</w:t>
      </w:r>
    </w:p>
    <w:p w:rsidR="00934CA0" w:rsidRPr="00E256AC" w:rsidRDefault="00934CA0" w:rsidP="006635D2">
      <w:pPr>
        <w:spacing w:before="120"/>
        <w:ind w:firstLine="426"/>
        <w:jc w:val="both"/>
        <w:rPr>
          <w:b/>
        </w:rPr>
      </w:pPr>
      <w:bookmarkStart w:id="2" w:name="_Hlk37184917"/>
      <w:r>
        <w:rPr>
          <w:b/>
        </w:rPr>
        <w:t xml:space="preserve">(2) </w:t>
      </w:r>
      <w:r w:rsidRPr="00E256AC">
        <w:rPr>
          <w:b/>
        </w:rPr>
        <w:t>Umístit obviněného do cely nebo ložnice, v níž na něho připadne ubytovací plocha menší, než je uvedeno v odstavci 1, lze pouze tehdy, když celkový počet obviněných v</w:t>
      </w:r>
      <w:r>
        <w:rPr>
          <w:b/>
        </w:rPr>
        <w:t> </w:t>
      </w:r>
      <w:r w:rsidRPr="00E256AC">
        <w:rPr>
          <w:b/>
        </w:rPr>
        <w:t>rámci obvodu vrchního soudu překročí ubytovací kapacitu věznic stanovenou podle odstavce 1; ubytovací plocha připadající na jednoho obviněného však nesmí být menší než</w:t>
      </w:r>
      <w:r>
        <w:rPr>
          <w:b/>
        </w:rPr>
        <w:t> </w:t>
      </w:r>
      <w:r w:rsidRPr="00E256AC">
        <w:rPr>
          <w:b/>
        </w:rPr>
        <w:t>3 m</w:t>
      </w:r>
      <w:r w:rsidRPr="00E256AC">
        <w:rPr>
          <w:b/>
          <w:vertAlign w:val="superscript"/>
        </w:rPr>
        <w:t>2</w:t>
      </w:r>
      <w:r w:rsidRPr="00E256AC">
        <w:rPr>
          <w:b/>
        </w:rPr>
        <w:t>.</w:t>
      </w:r>
    </w:p>
    <w:bookmarkEnd w:id="2"/>
    <w:p w:rsidR="00934CA0" w:rsidRPr="00E256AC" w:rsidRDefault="00934CA0" w:rsidP="006635D2">
      <w:pPr>
        <w:spacing w:before="120"/>
        <w:ind w:firstLine="426"/>
        <w:jc w:val="both"/>
        <w:rPr>
          <w:b/>
          <w:bCs/>
        </w:rPr>
      </w:pPr>
      <w:r>
        <w:rPr>
          <w:b/>
          <w:bCs/>
        </w:rPr>
        <w:t xml:space="preserve">(3) </w:t>
      </w:r>
      <w:r w:rsidRPr="00E256AC">
        <w:rPr>
          <w:b/>
          <w:bCs/>
        </w:rPr>
        <w:t>Do ubytovací plochy se nezapočítává plocha sociálního zařízení.</w:t>
      </w:r>
    </w:p>
    <w:bookmarkEnd w:id="1"/>
    <w:p w:rsidR="00934CA0" w:rsidRDefault="00934CA0" w:rsidP="006635D2">
      <w:pPr>
        <w:spacing w:before="120"/>
        <w:ind w:firstLine="426"/>
        <w:jc w:val="center"/>
        <w:rPr>
          <w:b/>
        </w:rPr>
      </w:pPr>
    </w:p>
    <w:p w:rsidR="00934CA0" w:rsidRDefault="00934CA0" w:rsidP="006635D2">
      <w:pPr>
        <w:spacing w:before="120"/>
        <w:jc w:val="center"/>
      </w:pPr>
    </w:p>
    <w:p w:rsidR="00934CA0" w:rsidRPr="001C60BB" w:rsidRDefault="00934CA0" w:rsidP="006635D2">
      <w:pPr>
        <w:spacing w:before="120"/>
        <w:jc w:val="center"/>
      </w:pPr>
      <w:r w:rsidRPr="001C60BB">
        <w:lastRenderedPageBreak/>
        <w:t>§ 43a</w:t>
      </w:r>
    </w:p>
    <w:p w:rsidR="00934CA0" w:rsidRPr="001C60BB" w:rsidRDefault="00934CA0" w:rsidP="006635D2">
      <w:pPr>
        <w:spacing w:before="120"/>
        <w:jc w:val="center"/>
      </w:pPr>
      <w:r w:rsidRPr="001C60BB">
        <w:t>Užívání telefonu</w:t>
      </w:r>
    </w:p>
    <w:p w:rsidR="00934CA0" w:rsidRPr="001C60BB" w:rsidRDefault="00934CA0" w:rsidP="006635D2">
      <w:pPr>
        <w:spacing w:before="120"/>
        <w:ind w:firstLine="426"/>
        <w:jc w:val="both"/>
      </w:pPr>
      <w:r w:rsidRPr="001C60BB">
        <w:t>(1) Před povolením užívat telefon je zaměstnanec pověřený ředitelem věznice povinen zkontrolovat správnost všech údajů uvedených v žádosti obviněného.</w:t>
      </w:r>
    </w:p>
    <w:p w:rsidR="00934CA0" w:rsidRPr="001C60BB" w:rsidRDefault="00934CA0" w:rsidP="006635D2">
      <w:pPr>
        <w:spacing w:before="120"/>
        <w:ind w:firstLine="426"/>
        <w:jc w:val="both"/>
      </w:pPr>
      <w:r w:rsidRPr="001C60BB">
        <w:t xml:space="preserve">(2) O umožnění telefonického hovoru na povolené telefonní číslo obviněný žádá vrchního dozorce. Nejedná-li se o telefonický hovor s osobou uvedenou v § 13a odst. 3 zákona, vrchní dozorce u obviněného ve výkonu vazby z důvodu podle § 67 písm. b) trestního řádu telefonický hovor nepovolí, pokud příslušný orgán činný v trestním řízení nerozhodl jinak. </w:t>
      </w:r>
      <w:r w:rsidRPr="001C60BB">
        <w:rPr>
          <w:strike/>
        </w:rPr>
        <w:t>Veškeré žádosti obviněného o umožnění telefonického hovoru se zakládají do jeho osobního spisu.</w:t>
      </w:r>
    </w:p>
    <w:p w:rsidR="00934CA0" w:rsidRPr="001C60BB" w:rsidRDefault="00934CA0" w:rsidP="006635D2">
      <w:pPr>
        <w:spacing w:before="120"/>
        <w:ind w:firstLine="426"/>
        <w:jc w:val="both"/>
      </w:pPr>
      <w:r w:rsidRPr="001C60BB">
        <w:t>(3) Oprávnění Vězeňské služby seznamovat se s obsahem telefonátů je realizováno zpravidla kontrolou záznamu telefonátů na záznamovém médiu, výjimečně přímým odposlechem zaměstnancem Vězeňské služby pověřeným ředitelem věznice. Pokud obsah telefonátu zakládá podezření, že je připravován nebo páchán trestný čin, Vězeňská služba předá záznam telefonátu orgánu činnému v trestním řízení, v případě přímého odposlechu hovor přeruší a událost oznámí. Stejně Vězeňská služba postupuje v případě, zjistí-li, že komunikace probíhá s jinou než povolenou osobou, nebo v případě, kdy hovor vede k</w:t>
      </w:r>
      <w:r>
        <w:t> </w:t>
      </w:r>
      <w:r w:rsidRPr="001C60BB">
        <w:t>narušení důvodu vazby.</w:t>
      </w:r>
    </w:p>
    <w:p w:rsidR="00934CA0" w:rsidRPr="001C60BB" w:rsidRDefault="00934CA0" w:rsidP="006635D2">
      <w:pPr>
        <w:spacing w:before="120"/>
        <w:ind w:firstLine="426"/>
        <w:jc w:val="both"/>
      </w:pPr>
      <w:r w:rsidRPr="001C60BB">
        <w:t>(4) Zjistí-li Vězeňská služba při kontrole záznamu telefonátů nebo přímém odposlechu, že</w:t>
      </w:r>
      <w:r>
        <w:t> </w:t>
      </w:r>
      <w:r w:rsidRPr="001C60BB">
        <w:t>obviněný komunikuje se svým obhájcem nebo osobou uvedenou v § 13 odst. 3, § 14 odst.</w:t>
      </w:r>
      <w:r>
        <w:t> </w:t>
      </w:r>
      <w:r w:rsidRPr="001C60BB">
        <w:t>10 nebo § 26 odst. 6 zákona, je povinna odposlech ihned zrušit, záznam o jeho obsahu zničit a</w:t>
      </w:r>
      <w:r>
        <w:t> </w:t>
      </w:r>
      <w:r w:rsidRPr="001C60BB">
        <w:t>informace, které se v této souvislosti dozvěděla, nijak nepoužít.</w:t>
      </w:r>
    </w:p>
    <w:p w:rsidR="00934CA0" w:rsidRPr="001C60BB" w:rsidRDefault="00934CA0" w:rsidP="006635D2">
      <w:pPr>
        <w:spacing w:before="120"/>
        <w:ind w:firstLine="426"/>
        <w:jc w:val="both"/>
      </w:pPr>
      <w:r w:rsidRPr="001C60BB">
        <w:t>(5) Veškeré telefonáty obviněného se evidují.</w:t>
      </w:r>
    </w:p>
    <w:p w:rsidR="00934CA0" w:rsidRDefault="00934CA0" w:rsidP="006635D2">
      <w:pPr>
        <w:spacing w:before="120"/>
        <w:ind w:firstLine="426"/>
        <w:jc w:val="center"/>
        <w:rPr>
          <w:b/>
        </w:rPr>
      </w:pPr>
    </w:p>
    <w:p w:rsidR="00934CA0" w:rsidRPr="0005021F" w:rsidRDefault="00934CA0" w:rsidP="006635D2">
      <w:pPr>
        <w:spacing w:before="120"/>
        <w:jc w:val="center"/>
      </w:pPr>
      <w:r w:rsidRPr="0005021F">
        <w:t>§ 48</w:t>
      </w:r>
    </w:p>
    <w:p w:rsidR="00934CA0" w:rsidRPr="0005021F" w:rsidRDefault="00934CA0" w:rsidP="006635D2">
      <w:pPr>
        <w:spacing w:before="120"/>
        <w:ind w:firstLine="426"/>
        <w:jc w:val="both"/>
      </w:pPr>
      <w:r w:rsidRPr="0005021F">
        <w:t>(1) Obviněnému může být balíček zaslán poštou nebo předán při návštěvě (§</w:t>
      </w:r>
      <w:r>
        <w:t> </w:t>
      </w:r>
      <w:r w:rsidRPr="0005021F">
        <w:t>46</w:t>
      </w:r>
      <w:r>
        <w:t> </w:t>
      </w:r>
      <w:r w:rsidRPr="0005021F">
        <w:t>odst.</w:t>
      </w:r>
      <w:r>
        <w:t> </w:t>
      </w:r>
      <w:r w:rsidRPr="0005021F">
        <w:t>1</w:t>
      </w:r>
      <w:r>
        <w:t> </w:t>
      </w:r>
      <w:r w:rsidRPr="0005021F">
        <w:t>a</w:t>
      </w:r>
      <w:r>
        <w:t> </w:t>
      </w:r>
      <w:r w:rsidRPr="0005021F">
        <w:t>§</w:t>
      </w:r>
      <w:r>
        <w:t> </w:t>
      </w:r>
      <w:r w:rsidRPr="0005021F">
        <w:t>47 odst. 2). Ředitel věznice nebo jím pověřený zaměstnanec Vězeňské služby může povolit přijetí balíčku za dobu kratší.</w:t>
      </w:r>
    </w:p>
    <w:p w:rsidR="00934CA0" w:rsidRPr="0005021F" w:rsidRDefault="00934CA0" w:rsidP="006635D2">
      <w:pPr>
        <w:spacing w:before="120"/>
        <w:ind w:firstLine="426"/>
        <w:jc w:val="both"/>
      </w:pPr>
      <w:r w:rsidRPr="0005021F">
        <w:t>(2) Balíček nesmí obsahovat cennosti, peníze, zbraně a střelivo, mobilní telekomunikační techniku, telekomunikační a radiokomunikační techniku, záznamovou a výpočetní techniku a</w:t>
      </w:r>
      <w:r>
        <w:t> </w:t>
      </w:r>
      <w:r w:rsidRPr="0005021F">
        <w:t>jejich součásti, návykové látky včetně rostlin nebo chemikálií k jejich přípravě, jedy, potraviny určené pro sportovce a pro osoby při zvýšeném tělesném výkonu, pomůcky k</w:t>
      </w:r>
      <w:r>
        <w:t> </w:t>
      </w:r>
      <w:r w:rsidRPr="0005021F">
        <w:t xml:space="preserve">provádění tetování, výbušné nebo pyrotechnické látky, výbušné předměty, nástražné výbušné systémy, léčiva, alkoholické nápoje (včetně piva), výrobky obsahující líh a jiné těkavé látky, výrobky ve skleněném obalu, potraviny podléhající rychlé zkáze, </w:t>
      </w:r>
      <w:r>
        <w:rPr>
          <w:b/>
          <w:bCs/>
        </w:rPr>
        <w:t xml:space="preserve">potraviny obsahující semena máku setého, </w:t>
      </w:r>
      <w:r w:rsidRPr="0005021F">
        <w:t>výrobky v tlakových nádobách (spreje), tiskoviny nebo materiály propagující národnostní, etnickou, rasovou, náboženskou nebo sociální nesnášenlivost, hnutí směřující k potlačení práv a svobod člověka, násilí a hrubost, tiskoviny nebo materiály obsahující popis výroby a použití jedů, výbušnin, zbraní a střeliva, jakož i</w:t>
      </w:r>
      <w:r>
        <w:t> </w:t>
      </w:r>
      <w:r w:rsidRPr="0005021F">
        <w:t>tiskoviny nebo materiály obsahující popis výroby návykových látek.</w:t>
      </w:r>
    </w:p>
    <w:p w:rsidR="00934CA0" w:rsidRPr="0005021F" w:rsidRDefault="00934CA0" w:rsidP="006635D2">
      <w:pPr>
        <w:spacing w:before="120"/>
        <w:ind w:firstLine="426"/>
        <w:jc w:val="both"/>
      </w:pPr>
      <w:r w:rsidRPr="0005021F">
        <w:t xml:space="preserve">(3) V případě, že balíček má vyšší než povolenou hmotnost, obsahuje věci, které není dovoleno mít na cele, anebo obviněný balíček po rozbalení odmítne převzít, vrátí se balíček nebo jeho nepředaná část odesilateli, nezakládá-li obsah balíčku nebo jeho nepředaná část důvodné podezření ze spáchání přestupku nebo jiného správního deliktu anebo trestného činu odesílatelem balíčku, jako nová zásilka na náklady obviněného, pokud k vrácení nedošlo již při návštěvě (§ 46 odst. 1 a § 47 odst. 2). Zakládá-li obsah balíčku nebo jeho nepředaná část </w:t>
      </w:r>
      <w:r w:rsidRPr="0005021F">
        <w:lastRenderedPageBreak/>
        <w:t>důvodné podezření ze spáchání přestupku nebo jiného správního deliktu anebo trestného činu odesílatelem balíčku, balíček nebo jeho nepředaná část se spolu s oznámením předá orgánu Policie nebo jinému příslušnému orgánu, a jde-li o podezření ze spáchání trestného činu, příslušnému orgánu činnému v trestním řízení.</w:t>
      </w:r>
    </w:p>
    <w:p w:rsidR="00934CA0" w:rsidRPr="0005021F" w:rsidRDefault="00934CA0" w:rsidP="006635D2">
      <w:pPr>
        <w:spacing w:before="120"/>
        <w:ind w:firstLine="426"/>
        <w:jc w:val="both"/>
      </w:pPr>
      <w:r w:rsidRPr="0005021F">
        <w:t>(4) O nepředání balíčku nebo jeho části se vyhotoví záznam s uvedením důvodu nepředání; s obsahem záznamu se obviněný proti podpisu seznámí.</w:t>
      </w:r>
    </w:p>
    <w:p w:rsidR="00934CA0" w:rsidRDefault="00934CA0" w:rsidP="006635D2">
      <w:pPr>
        <w:spacing w:before="120"/>
        <w:rPr>
          <w:b/>
        </w:rPr>
      </w:pPr>
    </w:p>
    <w:p w:rsidR="00934CA0" w:rsidRDefault="00934CA0" w:rsidP="006635D2">
      <w:pPr>
        <w:spacing w:before="120"/>
        <w:jc w:val="center"/>
      </w:pPr>
      <w:r w:rsidRPr="0023629D">
        <w:t>§ 76</w:t>
      </w:r>
    </w:p>
    <w:p w:rsidR="00934CA0" w:rsidRDefault="00934CA0" w:rsidP="006635D2">
      <w:pPr>
        <w:spacing w:before="120"/>
        <w:ind w:firstLine="426"/>
        <w:jc w:val="both"/>
      </w:pPr>
      <w:r w:rsidRPr="0023629D">
        <w:rPr>
          <w:b/>
          <w:bCs/>
        </w:rPr>
        <w:t>(1</w:t>
      </w:r>
      <w:r>
        <w:t xml:space="preserve">) </w:t>
      </w:r>
      <w:r w:rsidRPr="0023629D">
        <w:t>Pokud tato hlava neobsahuje ustanovení zvláštní, užije se na výkon vazby obviněných žen včetně mladistvých ostatních ustanovení vyhlášky.</w:t>
      </w:r>
    </w:p>
    <w:p w:rsidR="00934CA0" w:rsidRDefault="00934CA0" w:rsidP="006635D2">
      <w:pPr>
        <w:spacing w:before="120"/>
        <w:ind w:firstLine="426"/>
        <w:jc w:val="both"/>
      </w:pPr>
      <w:r>
        <w:rPr>
          <w:b/>
          <w:bCs/>
        </w:rPr>
        <w:t xml:space="preserve">(2) </w:t>
      </w:r>
      <w:r w:rsidRPr="0023629D">
        <w:rPr>
          <w:b/>
          <w:bCs/>
        </w:rPr>
        <w:t>Vnitřní řád</w:t>
      </w:r>
      <w:r>
        <w:rPr>
          <w:b/>
          <w:bCs/>
        </w:rPr>
        <w:t xml:space="preserve"> a </w:t>
      </w:r>
      <w:r w:rsidRPr="0023629D">
        <w:rPr>
          <w:b/>
          <w:bCs/>
        </w:rPr>
        <w:t>nabí</w:t>
      </w:r>
      <w:r>
        <w:rPr>
          <w:b/>
          <w:bCs/>
        </w:rPr>
        <w:t xml:space="preserve">dka </w:t>
      </w:r>
      <w:r w:rsidRPr="0023629D">
        <w:rPr>
          <w:b/>
          <w:bCs/>
        </w:rPr>
        <w:t xml:space="preserve">preventivně výchovných, </w:t>
      </w:r>
      <w:r>
        <w:rPr>
          <w:b/>
          <w:bCs/>
        </w:rPr>
        <w:t xml:space="preserve">vzdělávacích, </w:t>
      </w:r>
      <w:r w:rsidRPr="0023629D">
        <w:rPr>
          <w:b/>
          <w:bCs/>
        </w:rPr>
        <w:t>zájmových a</w:t>
      </w:r>
      <w:r>
        <w:rPr>
          <w:b/>
          <w:bCs/>
        </w:rPr>
        <w:t> </w:t>
      </w:r>
      <w:r w:rsidRPr="0023629D">
        <w:rPr>
          <w:b/>
          <w:bCs/>
        </w:rPr>
        <w:t>sportovních programů přihlížejí k psychickým a fyziologickým zvláštnostem žen</w:t>
      </w:r>
      <w:r>
        <w:rPr>
          <w:b/>
          <w:bCs/>
        </w:rPr>
        <w:t xml:space="preserve"> a </w:t>
      </w:r>
      <w:r w:rsidRPr="0023629D">
        <w:rPr>
          <w:b/>
          <w:bCs/>
        </w:rPr>
        <w:t>zvláštním potřebám těhotných žen, žen krátce po porodu a kojících matek.</w:t>
      </w:r>
    </w:p>
    <w:p w:rsidR="00934CA0" w:rsidRPr="0023629D" w:rsidRDefault="00934CA0" w:rsidP="006635D2">
      <w:pPr>
        <w:spacing w:before="120"/>
        <w:jc w:val="center"/>
      </w:pPr>
    </w:p>
    <w:p w:rsidR="00934CA0" w:rsidRPr="003731AD" w:rsidRDefault="00934CA0" w:rsidP="006635D2">
      <w:pPr>
        <w:spacing w:before="120"/>
        <w:jc w:val="center"/>
      </w:pPr>
      <w:r w:rsidRPr="003731AD">
        <w:t>§ 78a</w:t>
      </w:r>
    </w:p>
    <w:p w:rsidR="00934CA0" w:rsidRPr="00B12B3B" w:rsidRDefault="00934CA0" w:rsidP="006635D2">
      <w:pPr>
        <w:pStyle w:val="Odstavecseseznamem"/>
        <w:spacing w:before="120"/>
        <w:ind w:left="0" w:firstLine="426"/>
        <w:contextualSpacing w:val="0"/>
        <w:jc w:val="both"/>
      </w:pPr>
      <w:r>
        <w:t xml:space="preserve">(1) </w:t>
      </w:r>
      <w:r w:rsidRPr="00B12B3B">
        <w:t>Při rozhodování o povolení mít u sebe a starat se o své nezletilé dítě přihlíží ředitel věznice k tomu, zda matka o toto dítě nebo jiné své děti předtím, než byla vzata do vazby, řádně pečovala</w:t>
      </w:r>
      <w:r w:rsidRPr="00661F56">
        <w:rPr>
          <w:b/>
          <w:bCs/>
        </w:rPr>
        <w:t xml:space="preserve"> </w:t>
      </w:r>
      <w:r w:rsidRPr="00661F56">
        <w:rPr>
          <w:strike/>
        </w:rPr>
        <w:t>a zda má dostatek vlastních prostředků, aby o dítě mohla řádně pečovat</w:t>
      </w:r>
      <w:r w:rsidRPr="00661F56">
        <w:rPr>
          <w:b/>
          <w:bCs/>
        </w:rPr>
        <w:t xml:space="preserve">, zda je schopná řádně o své dítě pečovat a zda na řádnou péči o </w:t>
      </w:r>
      <w:r>
        <w:rPr>
          <w:b/>
          <w:bCs/>
        </w:rPr>
        <w:t xml:space="preserve">ně </w:t>
      </w:r>
      <w:r w:rsidRPr="00661F56">
        <w:rPr>
          <w:b/>
          <w:bCs/>
        </w:rPr>
        <w:t xml:space="preserve">má dostatek </w:t>
      </w:r>
      <w:r>
        <w:rPr>
          <w:b/>
          <w:bCs/>
        </w:rPr>
        <w:t xml:space="preserve">peněžních </w:t>
      </w:r>
      <w:r w:rsidRPr="00661F56">
        <w:rPr>
          <w:b/>
          <w:bCs/>
        </w:rPr>
        <w:t>prostředků</w:t>
      </w:r>
      <w:r w:rsidRPr="00B12B3B">
        <w:t>.</w:t>
      </w:r>
      <w:r>
        <w:t xml:space="preserve"> </w:t>
      </w:r>
    </w:p>
    <w:p w:rsidR="00934CA0" w:rsidRPr="003731AD" w:rsidRDefault="00934CA0" w:rsidP="006635D2">
      <w:pPr>
        <w:spacing w:before="120"/>
        <w:ind w:firstLine="426"/>
        <w:jc w:val="both"/>
      </w:pPr>
      <w:r>
        <w:t>(2)</w:t>
      </w:r>
      <w:r w:rsidRPr="003731AD">
        <w:t xml:space="preserve"> Matka, které bylo povoleno mít u sebe a starat se o své nezletilé dítě, o dítě celodenně pečuje. Celodenní péče zahrnuje zejména péči o jeho zdraví a o jeho tělesný, citový, rozumový a mravní vývoj, včetně přípravy stravy, zajištění hygien</w:t>
      </w:r>
      <w:r>
        <w:t>y, praní, žehlení, úklidu a </w:t>
      </w:r>
      <w:r w:rsidRPr="003731AD">
        <w:t>aktivního trávení času s dítětem formou her odpovídajících jeho věku.</w:t>
      </w:r>
    </w:p>
    <w:p w:rsidR="00934CA0" w:rsidRDefault="00934CA0" w:rsidP="006635D2">
      <w:pPr>
        <w:spacing w:before="120"/>
        <w:ind w:firstLine="426"/>
        <w:jc w:val="both"/>
      </w:pPr>
      <w:r w:rsidRPr="00B12B3B">
        <w:t>(</w:t>
      </w:r>
      <w:r>
        <w:t>3</w:t>
      </w:r>
      <w:r w:rsidRPr="00B12B3B">
        <w:t>)</w:t>
      </w:r>
      <w:r w:rsidRPr="00927403">
        <w:rPr>
          <w:b/>
          <w:bCs/>
        </w:rPr>
        <w:t xml:space="preserve"> </w:t>
      </w:r>
      <w:r w:rsidRPr="003731AD">
        <w:t xml:space="preserve">Zdravotní péči o dítě, o které matka pečuje ve věznici, </w:t>
      </w:r>
      <w:r w:rsidRPr="008A6CF1">
        <w:rPr>
          <w:strike/>
        </w:rPr>
        <w:t>zajišťuje Vězeňská služba</w:t>
      </w:r>
      <w:r w:rsidRPr="003731AD">
        <w:t xml:space="preserve"> </w:t>
      </w:r>
      <w:r w:rsidRPr="003731AD">
        <w:rPr>
          <w:strike/>
        </w:rPr>
        <w:t>zpravidla</w:t>
      </w:r>
      <w:r w:rsidRPr="008A6CF1">
        <w:t xml:space="preserve"> </w:t>
      </w:r>
      <w:r>
        <w:rPr>
          <w:b/>
        </w:rPr>
        <w:t xml:space="preserve">zabezpečuje Vězeňská služba </w:t>
      </w:r>
      <w:r w:rsidRPr="008A6CF1">
        <w:t>na základě smlouvy</w:t>
      </w:r>
      <w:r w:rsidRPr="003731AD">
        <w:t xml:space="preserve"> s poskytovatelem zdravotních služeb v oboru praktické lékařství pro děti a dorost</w:t>
      </w:r>
      <w:r w:rsidRPr="005A65BE">
        <w:rPr>
          <w:strike/>
        </w:rPr>
        <w:t xml:space="preserve"> nebo v oboru dětské lékařství</w:t>
      </w:r>
      <w:r w:rsidRPr="003731AD">
        <w:t>.</w:t>
      </w:r>
    </w:p>
    <w:p w:rsidR="00934CA0" w:rsidRPr="005A65BE" w:rsidRDefault="00934CA0" w:rsidP="006635D2">
      <w:pPr>
        <w:spacing w:before="120"/>
        <w:ind w:firstLine="426"/>
        <w:jc w:val="both"/>
        <w:rPr>
          <w:b/>
          <w:bCs/>
        </w:rPr>
      </w:pPr>
      <w:r w:rsidRPr="00DA4E32">
        <w:rPr>
          <w:bCs/>
        </w:rPr>
        <w:t>(4)</w:t>
      </w:r>
      <w:r w:rsidRPr="005A65BE">
        <w:rPr>
          <w:b/>
          <w:bCs/>
        </w:rPr>
        <w:t xml:space="preserve"> Matk</w:t>
      </w:r>
      <w:r>
        <w:rPr>
          <w:b/>
          <w:bCs/>
        </w:rPr>
        <w:t>a</w:t>
      </w:r>
      <w:r w:rsidRPr="005A65BE">
        <w:rPr>
          <w:b/>
          <w:bCs/>
        </w:rPr>
        <w:t>, kter</w:t>
      </w:r>
      <w:r>
        <w:rPr>
          <w:b/>
          <w:bCs/>
        </w:rPr>
        <w:t>é</w:t>
      </w:r>
      <w:r w:rsidRPr="005A65BE">
        <w:rPr>
          <w:b/>
          <w:bCs/>
        </w:rPr>
        <w:t xml:space="preserve"> bylo povoleno mít u sebe a starat se o své nezletilé dítě, vykonáv</w:t>
      </w:r>
      <w:r>
        <w:rPr>
          <w:b/>
          <w:bCs/>
        </w:rPr>
        <w:t>á</w:t>
      </w:r>
      <w:r w:rsidRPr="005A65BE">
        <w:rPr>
          <w:b/>
          <w:bCs/>
        </w:rPr>
        <w:t xml:space="preserve"> vazbu </w:t>
      </w:r>
      <w:r>
        <w:rPr>
          <w:b/>
          <w:bCs/>
        </w:rPr>
        <w:t xml:space="preserve">zpravidla </w:t>
      </w:r>
      <w:r w:rsidRPr="005A65BE">
        <w:rPr>
          <w:b/>
          <w:bCs/>
        </w:rPr>
        <w:t>v oddílu pro matky nezletilých dětí.</w:t>
      </w:r>
      <w:r w:rsidRPr="00BE5B8E">
        <w:t xml:space="preserve"> </w:t>
      </w:r>
      <w:r w:rsidRPr="003731AD">
        <w:t xml:space="preserve">Přemístění matky, které bylo povoleno mít u sebe a starat se o své nezletilé dítě (§ 28a odst. </w:t>
      </w:r>
      <w:r w:rsidRPr="00525933">
        <w:rPr>
          <w:strike/>
        </w:rPr>
        <w:t>3</w:t>
      </w:r>
      <w:r w:rsidRPr="003731AD">
        <w:t xml:space="preserve"> </w:t>
      </w:r>
      <w:r w:rsidRPr="00525933">
        <w:rPr>
          <w:b/>
          <w:bCs/>
        </w:rPr>
        <w:t>4</w:t>
      </w:r>
      <w:r>
        <w:t xml:space="preserve"> </w:t>
      </w:r>
      <w:r w:rsidRPr="003731AD">
        <w:t>zákona), do věznice, ve které je zřízen oddíl pro matky nezletilých dětí, je zvlášť odůvodněným případem ve smyslu § 20 odst. 2.</w:t>
      </w:r>
    </w:p>
    <w:p w:rsidR="00934CA0" w:rsidRPr="003731AD" w:rsidRDefault="00934CA0" w:rsidP="006635D2">
      <w:pPr>
        <w:spacing w:before="120"/>
        <w:ind w:firstLine="426"/>
        <w:jc w:val="both"/>
      </w:pPr>
      <w:r w:rsidRPr="00DA4E32">
        <w:rPr>
          <w:bCs/>
        </w:rPr>
        <w:t>(5)</w:t>
      </w:r>
      <w:r w:rsidRPr="003731AD">
        <w:t xml:space="preserve"> Matka zajišťuje veškeré potřeby pro dítě z vlastních prostředků. </w:t>
      </w:r>
    </w:p>
    <w:p w:rsidR="00934CA0" w:rsidRPr="003731AD" w:rsidRDefault="00934CA0" w:rsidP="006635D2">
      <w:pPr>
        <w:spacing w:before="120"/>
        <w:ind w:firstLine="426"/>
        <w:jc w:val="both"/>
      </w:pPr>
      <w:r w:rsidRPr="00DA4E32">
        <w:rPr>
          <w:bCs/>
        </w:rPr>
        <w:t>(6)</w:t>
      </w:r>
      <w:r w:rsidRPr="003731AD">
        <w:t xml:space="preserve"> Každá matka má dítě u sebe v samostatné ložnici, v níž je pro dítě postel s matrací, přebalovací stůl, skříň na dětské prádlo a kosmetiku, ohrádka a umyvadlo. </w:t>
      </w:r>
    </w:p>
    <w:p w:rsidR="00934CA0" w:rsidRPr="00DE0DAF" w:rsidRDefault="00934CA0" w:rsidP="006635D2">
      <w:pPr>
        <w:spacing w:before="120"/>
        <w:ind w:firstLine="426"/>
        <w:jc w:val="both"/>
      </w:pPr>
      <w:r w:rsidRPr="00DA4E32">
        <w:rPr>
          <w:bCs/>
        </w:rPr>
        <w:t>(</w:t>
      </w:r>
      <w:r>
        <w:rPr>
          <w:bCs/>
        </w:rPr>
        <w:t>7</w:t>
      </w:r>
      <w:r w:rsidRPr="00DA4E32">
        <w:rPr>
          <w:bCs/>
        </w:rPr>
        <w:t>)</w:t>
      </w:r>
      <w:r w:rsidRPr="003731AD">
        <w:t xml:space="preserve"> V případě, že se matka z důvodu nemoci, či z jiného závažného důvodu nemůže o dítě starat, převezme přechodně péči o dítě ředitelem věznice určený zaměstnanec. Při vzájemném předávání je dítě vždy prohlédnuto </w:t>
      </w:r>
      <w:r w:rsidRPr="00DE0DAF">
        <w:t>lékařem poskytovatele zdravotních služeb uvedeného v odstavci 3</w:t>
      </w:r>
      <w:r w:rsidRPr="00927403">
        <w:t xml:space="preserve">. </w:t>
      </w:r>
    </w:p>
    <w:p w:rsidR="00934CA0" w:rsidRPr="00927403" w:rsidRDefault="00934CA0" w:rsidP="006635D2">
      <w:pPr>
        <w:spacing w:before="120"/>
        <w:ind w:firstLine="426"/>
        <w:jc w:val="both"/>
        <w:rPr>
          <w:b/>
          <w:bCs/>
        </w:rPr>
      </w:pPr>
      <w:bookmarkStart w:id="3" w:name="_Hlk37177392"/>
      <w:r w:rsidRPr="00DA4E32">
        <w:rPr>
          <w:bCs/>
        </w:rPr>
        <w:t>(</w:t>
      </w:r>
      <w:r>
        <w:rPr>
          <w:bCs/>
        </w:rPr>
        <w:t>8</w:t>
      </w:r>
      <w:r w:rsidRPr="00D856C2">
        <w:rPr>
          <w:bCs/>
        </w:rPr>
        <w:t>)</w:t>
      </w:r>
      <w:r w:rsidRPr="00D856C2">
        <w:rPr>
          <w:b/>
          <w:bCs/>
        </w:rPr>
        <w:t xml:space="preserve"> </w:t>
      </w:r>
      <w:r w:rsidRPr="00D856C2">
        <w:rPr>
          <w:color w:val="000000"/>
        </w:rPr>
        <w:t xml:space="preserve">V případě pobytu matky mimo věznici, ve které je zřízen oddíl pro matky nezletilých dětí, se </w:t>
      </w:r>
      <w:r w:rsidRPr="00D856C2">
        <w:rPr>
          <w:strike/>
          <w:color w:val="000000"/>
        </w:rPr>
        <w:t>péče o dítě řeší</w:t>
      </w:r>
      <w:r w:rsidRPr="00D856C2">
        <w:rPr>
          <w:color w:val="000000"/>
        </w:rPr>
        <w:t xml:space="preserve"> </w:t>
      </w:r>
      <w:r w:rsidRPr="00D856C2">
        <w:rPr>
          <w:b/>
          <w:bCs/>
          <w:color w:val="000000"/>
        </w:rPr>
        <w:t>v případech uvedených v odstavci 7 řeší péče o dítě</w:t>
      </w:r>
      <w:r w:rsidRPr="00D856C2">
        <w:rPr>
          <w:color w:val="000000"/>
        </w:rPr>
        <w:t xml:space="preserve"> prostřednictvím orgánu sociálně-právní ochrany dětí.</w:t>
      </w:r>
    </w:p>
    <w:bookmarkEnd w:id="3"/>
    <w:p w:rsidR="005678F8" w:rsidRDefault="005678F8" w:rsidP="006635D2">
      <w:pPr>
        <w:spacing w:before="120"/>
      </w:pPr>
    </w:p>
    <w:sectPr w:rsidR="005678F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253" w:rsidRDefault="00CC0253" w:rsidP="006635D2">
      <w:r>
        <w:separator/>
      </w:r>
    </w:p>
  </w:endnote>
  <w:endnote w:type="continuationSeparator" w:id="0">
    <w:p w:rsidR="00CC0253" w:rsidRDefault="00CC0253" w:rsidP="0066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131476"/>
      <w:docPartObj>
        <w:docPartGallery w:val="Page Numbers (Bottom of Page)"/>
        <w:docPartUnique/>
      </w:docPartObj>
    </w:sdtPr>
    <w:sdtEndPr/>
    <w:sdtContent>
      <w:p w:rsidR="006635D2" w:rsidRDefault="006635D2">
        <w:pPr>
          <w:pStyle w:val="Zpat"/>
          <w:jc w:val="center"/>
        </w:pPr>
        <w:r>
          <w:fldChar w:fldCharType="begin"/>
        </w:r>
        <w:r>
          <w:instrText>PAGE   \* MERGEFORMAT</w:instrText>
        </w:r>
        <w:r>
          <w:fldChar w:fldCharType="separate"/>
        </w:r>
        <w:r w:rsidR="00CC377B">
          <w:rPr>
            <w:noProof/>
          </w:rPr>
          <w:t>3</w:t>
        </w:r>
        <w:r>
          <w:fldChar w:fldCharType="end"/>
        </w:r>
      </w:p>
    </w:sdtContent>
  </w:sdt>
  <w:p w:rsidR="006635D2" w:rsidRDefault="006635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253" w:rsidRDefault="00CC0253" w:rsidP="006635D2">
      <w:r>
        <w:separator/>
      </w:r>
    </w:p>
  </w:footnote>
  <w:footnote w:type="continuationSeparator" w:id="0">
    <w:p w:rsidR="00CC0253" w:rsidRDefault="00CC0253" w:rsidP="00663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A0"/>
    <w:rsid w:val="00366E99"/>
    <w:rsid w:val="005678F8"/>
    <w:rsid w:val="006524A7"/>
    <w:rsid w:val="006635D2"/>
    <w:rsid w:val="00934CA0"/>
    <w:rsid w:val="00CC0253"/>
    <w:rsid w:val="00CC37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4280"/>
  <w15:chartTrackingRefBased/>
  <w15:docId w15:val="{7FF234B0-14A3-40F0-BB40-B7C71166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4CA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34CA0"/>
    <w:pPr>
      <w:ind w:left="720"/>
      <w:contextualSpacing/>
    </w:pPr>
  </w:style>
  <w:style w:type="paragraph" w:styleId="Textbubliny">
    <w:name w:val="Balloon Text"/>
    <w:basedOn w:val="Normln"/>
    <w:link w:val="TextbublinyChar"/>
    <w:uiPriority w:val="99"/>
    <w:semiHidden/>
    <w:unhideWhenUsed/>
    <w:rsid w:val="006635D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35D2"/>
    <w:rPr>
      <w:rFonts w:ascii="Segoe UI" w:eastAsia="Times New Roman" w:hAnsi="Segoe UI" w:cs="Segoe UI"/>
      <w:sz w:val="18"/>
      <w:szCs w:val="18"/>
      <w:lang w:eastAsia="cs-CZ"/>
    </w:rPr>
  </w:style>
  <w:style w:type="paragraph" w:styleId="Zhlav">
    <w:name w:val="header"/>
    <w:basedOn w:val="Normln"/>
    <w:link w:val="ZhlavChar"/>
    <w:uiPriority w:val="99"/>
    <w:unhideWhenUsed/>
    <w:rsid w:val="006635D2"/>
    <w:pPr>
      <w:tabs>
        <w:tab w:val="center" w:pos="4536"/>
        <w:tab w:val="right" w:pos="9072"/>
      </w:tabs>
    </w:pPr>
  </w:style>
  <w:style w:type="character" w:customStyle="1" w:styleId="ZhlavChar">
    <w:name w:val="Záhlaví Char"/>
    <w:basedOn w:val="Standardnpsmoodstavce"/>
    <w:link w:val="Zhlav"/>
    <w:uiPriority w:val="99"/>
    <w:rsid w:val="00663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635D2"/>
    <w:pPr>
      <w:tabs>
        <w:tab w:val="center" w:pos="4536"/>
        <w:tab w:val="right" w:pos="9072"/>
      </w:tabs>
    </w:pPr>
  </w:style>
  <w:style w:type="character" w:customStyle="1" w:styleId="ZpatChar">
    <w:name w:val="Zápatí Char"/>
    <w:basedOn w:val="Standardnpsmoodstavce"/>
    <w:link w:val="Zpat"/>
    <w:uiPriority w:val="99"/>
    <w:rsid w:val="006635D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A37A3795</Template>
  <TotalTime>1</TotalTime>
  <Pages>3</Pages>
  <Words>1221</Words>
  <Characters>7209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Forejt</dc:creator>
  <cp:keywords/>
  <dc:description/>
  <cp:lastModifiedBy>Kučera Václav Mgr.</cp:lastModifiedBy>
  <cp:revision>2</cp:revision>
  <dcterms:created xsi:type="dcterms:W3CDTF">2020-04-27T11:08:00Z</dcterms:created>
  <dcterms:modified xsi:type="dcterms:W3CDTF">2020-04-27T11:08:00Z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-1295516763</vt:i4>
  </property>
  <property fmtid="{D5CDD505-2E9C-101B-9397-08002B2CF9AE}" pid="3" name="_NewReviewCycle">
    <vt:lpwstr/>
  </property>
  <property fmtid="{D5CDD505-2E9C-101B-9397-08002B2CF9AE}" pid="4" name="_EmailSubject">
    <vt:lpwstr>Novely vězeňských vyhlášek - web</vt:lpwstr>
  </property>
  <property fmtid="{D5CDD505-2E9C-101B-9397-08002B2CF9AE}" pid="5" name="_AuthorEmail">
    <vt:lpwstr>VKucera@msp.justice.cz</vt:lpwstr>
  </property>
  <property fmtid="{D5CDD505-2E9C-101B-9397-08002B2CF9AE}" pid="6" name="_AuthorEmailDisplayName">
    <vt:lpwstr>Kučera Václav Mgr.</vt:lpwstr>
  </property>
</Properties>
</file>