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777D" w14:textId="77777777" w:rsidR="00440307" w:rsidRPr="004B3DFC" w:rsidRDefault="00440307" w:rsidP="006D6F9C">
      <w:pPr>
        <w:shd w:val="clear" w:color="auto" w:fill="FFFFFF"/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B3D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ČÁST…</w:t>
      </w:r>
    </w:p>
    <w:p w14:paraId="5B62DB30" w14:textId="3C9B1000" w:rsidR="00440307" w:rsidRDefault="0088134E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ZAHLAZENÍ ODSOUZENÍ A </w:t>
      </w:r>
      <w:r w:rsidR="004850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ÚKONY SOUV</w:t>
      </w:r>
      <w:r w:rsidR="002F17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ISE</w:t>
      </w:r>
      <w:r w:rsidR="004850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JÍCÍ S TRESTNÍM ŘÍZENÍM</w:t>
      </w:r>
    </w:p>
    <w:p w14:paraId="23C192C3" w14:textId="7E196A7E" w:rsidR="00757149" w:rsidRDefault="00757149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Hlava I </w:t>
      </w:r>
    </w:p>
    <w:p w14:paraId="30176ADF" w14:textId="30007A1B" w:rsidR="00757149" w:rsidRDefault="00757149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Zahlazení odsouzení</w:t>
      </w:r>
    </w:p>
    <w:p w14:paraId="194DC1AD" w14:textId="6AE1C9EE" w:rsidR="00D0535A" w:rsidRDefault="00D0535A" w:rsidP="00D0535A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 z1</w:t>
      </w:r>
    </w:p>
    <w:p w14:paraId="730CA0F9" w14:textId="6F85766B" w:rsidR="005376EC" w:rsidRPr="005376EC" w:rsidRDefault="005376EC" w:rsidP="005376EC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o zahlazení odsouzení</w:t>
      </w:r>
    </w:p>
    <w:p w14:paraId="570BD586" w14:textId="59AE0ACB" w:rsidR="00D0535A" w:rsidRDefault="00D0535A" w:rsidP="00D0535A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o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zahlazení 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může podat odsouzený nebo </w:t>
      </w:r>
      <w:r w:rsidR="005376EC">
        <w:rPr>
          <w:rFonts w:ascii="Times New Roman" w:hAnsi="Times New Roman" w:cs="Times New Roman"/>
          <w:sz w:val="24"/>
          <w:szCs w:val="24"/>
        </w:rPr>
        <w:t>spolek, jiná</w:t>
      </w:r>
      <w:r w:rsidRPr="00D0535A">
        <w:rPr>
          <w:rFonts w:ascii="Times New Roman" w:hAnsi="Times New Roman" w:cs="Times New Roman"/>
          <w:sz w:val="24"/>
          <w:szCs w:val="24"/>
        </w:rPr>
        <w:t xml:space="preserve"> instituce nebo důvěryho</w:t>
      </w:r>
      <w:r w:rsidR="005376EC">
        <w:rPr>
          <w:rFonts w:ascii="Times New Roman" w:hAnsi="Times New Roman" w:cs="Times New Roman"/>
          <w:sz w:val="24"/>
          <w:szCs w:val="24"/>
        </w:rPr>
        <w:t xml:space="preserve">dná osoba uvedená v </w:t>
      </w:r>
      <w:r w:rsidR="005376EC" w:rsidRPr="005376EC">
        <w:rPr>
          <w:rFonts w:ascii="Times New Roman" w:hAnsi="Times New Roman" w:cs="Times New Roman"/>
          <w:sz w:val="24"/>
          <w:szCs w:val="24"/>
          <w:highlight w:val="yellow"/>
        </w:rPr>
        <w:t>§ 11g</w:t>
      </w:r>
      <w:r w:rsidRPr="005376E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>,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nejde-li 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případ uvedený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§ 105 odst. 3 trestního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zákoníku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též osob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 se samostatnými obhajovacími právy.</w:t>
      </w:r>
    </w:p>
    <w:p w14:paraId="04E0FE71" w14:textId="4DD1E705" w:rsidR="005376EC" w:rsidRDefault="005376EC" w:rsidP="005376EC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 z2</w:t>
      </w:r>
    </w:p>
    <w:p w14:paraId="670179D4" w14:textId="6B9FCA5C" w:rsidR="001C0E6D" w:rsidRDefault="005376EC" w:rsidP="001C0E6D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Rozhodnutí o zahlazení odsouzení</w:t>
      </w:r>
    </w:p>
    <w:p w14:paraId="1AAB03C8" w14:textId="19FB4262" w:rsidR="006D6F9C" w:rsidRPr="00DD6B50" w:rsidRDefault="006D6F9C" w:rsidP="006D6F9C">
      <w:pPr>
        <w:shd w:val="clear" w:color="auto" w:fill="FFFFFF"/>
        <w:spacing w:before="12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(1) </w:t>
      </w:r>
      <w:r w:rsidRPr="00DD6B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 zahlazení odsouzení rozhoduje předseda senátu okresního soudu,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jehož obvodu </w:t>
      </w:r>
      <w:r w:rsidRPr="00DD6B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odsouzený v době podání žádosti má nebo naposledy měl </w:t>
      </w:r>
    </w:p>
    <w:p w14:paraId="2DBCD664" w14:textId="3884C168" w:rsidR="006D6F9C" w:rsidRPr="006A76EB" w:rsidRDefault="006A76EB" w:rsidP="006A76EB">
      <w:pPr>
        <w:shd w:val="clear" w:color="auto" w:fill="FFFFFF"/>
        <w:spacing w:before="120" w:after="0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 </w:t>
      </w:r>
      <w:r w:rsidR="006D6F9C" w:rsidRPr="006A76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adresu evidovanou v informačním systému evidence obyvatel, na kterou mu mají být doručovány písemnosti a  není-li taková adresa evidována, adresu místa trvalého pobytu vedenou podle jiného právního předpisu, jde-li o občana České republiky,  </w:t>
      </w:r>
    </w:p>
    <w:p w14:paraId="34A8B78F" w14:textId="542F599C" w:rsidR="006D6F9C" w:rsidRPr="006A76EB" w:rsidRDefault="006A76EB" w:rsidP="006A76EB">
      <w:pPr>
        <w:shd w:val="clear" w:color="auto" w:fill="FFFFFF"/>
        <w:spacing w:before="12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b)   </w:t>
      </w:r>
      <w:r w:rsidR="006D6F9C" w:rsidRPr="006A76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adresu místa pobytu na území České republiky podle jiného právního předpisu, a nemá-li takovou adresu, adresu, na které se zdržuje nebo se naposledy zdržoval, jde-li o cizího státního příslušníka, osobu bez státní příslušnosti nebo osobu, jejíž státní příslušnost </w:t>
      </w:r>
      <w:r w:rsidR="006D6F9C" w:rsidRPr="006A76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>se nepodařilo zjistit.</w:t>
      </w:r>
    </w:p>
    <w:p w14:paraId="469A8060" w14:textId="4452E41C" w:rsidR="00D0535A" w:rsidRDefault="00D0535A" w:rsidP="005376E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(2) Proti rozhodnutí o zahlazení odsou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zení je přípustná stížnost, která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má odkladný účinek.</w:t>
      </w:r>
    </w:p>
    <w:p w14:paraId="3087521F" w14:textId="5926BAD4" w:rsidR="006D6F9C" w:rsidRDefault="0082650A" w:rsidP="000F365D">
      <w:pPr>
        <w:shd w:val="clear" w:color="auto" w:fill="FFFFFF"/>
        <w:spacing w:before="12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(3) Pokud byla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žádost o zahlazení odsouzení zamítnuta, může být znovu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odána teprve po uplynutí 1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 právní moci rozhodnutí o jejím zamítnutí; to neplatí, pokud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byla zamítnuta jen proto, 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 dosud neuplynula doba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stanovená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trestním zákonem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zahlazení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odsouzení. Žádost podanou před uplynutím doby uvedené ve větě první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soud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usnesením zamítne </w:t>
      </w:r>
      <w:r w:rsidR="00FE79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 šetření.</w:t>
      </w:r>
    </w:p>
    <w:p w14:paraId="0167173B" w14:textId="532AEB07" w:rsidR="00D0535A" w:rsidRDefault="005376EC" w:rsidP="005376EC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 z3</w:t>
      </w:r>
    </w:p>
    <w:p w14:paraId="70BEDC0E" w14:textId="2B86971C" w:rsidR="005376EC" w:rsidRPr="005376EC" w:rsidRDefault="005376EC" w:rsidP="005376EC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Zahlazení odsouzení cizího státu nebo mezinárodního soudního orgánu</w:t>
      </w:r>
    </w:p>
    <w:p w14:paraId="00BECC1A" w14:textId="52AC3E5F" w:rsidR="00D0535A" w:rsidRPr="00D0535A" w:rsidRDefault="00D0535A" w:rsidP="005376EC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(1)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Předseda 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senátu okresního soudu uvedený v </w:t>
      </w:r>
      <w:r w:rsidR="005376EC" w:rsidRPr="005376E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>§ z2 odst. 1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rozhoduje 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také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5376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zahlazení odsouzení</w:t>
      </w:r>
    </w:p>
    <w:p w14:paraId="0C5CDCFB" w14:textId="7375B5D8" w:rsidR="00D0535A" w:rsidRPr="00D0535A" w:rsidRDefault="005376EC" w:rsidP="00EF4812">
      <w:pPr>
        <w:shd w:val="clear" w:color="auto" w:fill="FFFFFF"/>
        <w:spacing w:before="120"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</w:t>
      </w:r>
      <w:r w:rsidR="00D0535A"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cizozemským soudem, mezinárodním trestním soudem, mezinárodním trestním tribunálem anebo obdobným mezinárodním soudním orgánem s působností v trestních věcech, které je zaznamenáno v evidenci Rejstříku trestů na základě uznání rozhodnutí cizozemského soudu nebo na základě rozhodnutí Nejvyššího soudu po</w:t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zákona upravujícího evidenci Rejstříku trestů</w:t>
      </w:r>
      <w:r w:rsidR="00D0535A"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nebo na které se na základě rozhodnutí Nejvyššího soudu podle </w:t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zákona upravujícího evidenci Rejstříku trestů</w:t>
      </w:r>
      <w:r w:rsidR="00460F31"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0535A"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hledí jako na odsouzení soudem České republiky,</w:t>
      </w:r>
    </w:p>
    <w:p w14:paraId="619645C3" w14:textId="242A6B8D" w:rsidR="00D0535A" w:rsidRPr="00D0535A" w:rsidRDefault="00D0535A" w:rsidP="00460F31">
      <w:pPr>
        <w:shd w:val="clear" w:color="auto" w:fill="FFFFFF"/>
        <w:spacing w:before="120"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b) zahlazení odsouzení zaznamenaných v evidenci Rejstříku trestů na základě Smlouvy mezi vládou České republiky a vládou Slovenské republiky o výměně údajů z informačních fond</w:t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 obsažených v rejstříku trestů.</w:t>
      </w:r>
    </w:p>
    <w:p w14:paraId="1A40CD79" w14:textId="084BB594" w:rsidR="00394ACB" w:rsidRDefault="00D0535A" w:rsidP="001858BF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(2) Rozhodnutí o zahlazení odsouzení podle odstavce 1 může mít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účinky v ci</w:t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zině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pouze tehdy,</w:t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pokud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tak </w:t>
      </w:r>
      <w:r w:rsidR="00460F3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stanoví </w:t>
      </w:r>
      <w:r w:rsidRPr="00D053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mezinárodní smlouva.</w:t>
      </w:r>
    </w:p>
    <w:p w14:paraId="4D0F2F07" w14:textId="1D6DD994" w:rsidR="0082650A" w:rsidRDefault="0082650A" w:rsidP="0082650A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§ z4</w:t>
      </w:r>
    </w:p>
    <w:p w14:paraId="413373B3" w14:textId="63DE75A0" w:rsidR="0082650A" w:rsidRPr="00FE7913" w:rsidRDefault="0082650A" w:rsidP="00FE7913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Vyrozumění o zahlazení odsouzení</w:t>
      </w:r>
      <w:r w:rsidR="00FE79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E2CF609" w14:textId="4A1D19E8" w:rsidR="00FE7913" w:rsidRPr="00FE7913" w:rsidRDefault="00FE7913" w:rsidP="00FE7913">
      <w:pPr>
        <w:shd w:val="clear" w:color="auto" w:fill="FFFFFF"/>
        <w:spacing w:before="120"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(1) </w:t>
      </w:r>
      <w:r w:rsidR="00D0535A" w:rsidRPr="00FE79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Jakmile rozhodnutí o zahlazení odsouzení nabylo právní moci, vyrozumí předseda </w:t>
      </w:r>
      <w:r w:rsidRPr="00FE79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senátu odsouzeného, žadatele a orgán, který vede Rejstřík trestů.</w:t>
      </w:r>
    </w:p>
    <w:p w14:paraId="1D592F7C" w14:textId="52D68022" w:rsidR="00D0535A" w:rsidRPr="00FE7913" w:rsidRDefault="00FE7913" w:rsidP="00D0535A">
      <w:pPr>
        <w:pStyle w:val="Odstavecseseznamem"/>
        <w:numPr>
          <w:ilvl w:val="0"/>
          <w:numId w:val="7"/>
        </w:num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E79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D0535A" w:rsidRPr="00FE79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ahlazen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 odsouzení nesmí být uvedeno ve výpisu z Rejstříku trestů.</w:t>
      </w:r>
    </w:p>
    <w:p w14:paraId="7035A034" w14:textId="77777777" w:rsidR="00394ACB" w:rsidRDefault="00394ACB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A7FA609" w14:textId="23438442" w:rsidR="008A37CF" w:rsidRDefault="008A37CF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A37C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Hlava I</w:t>
      </w:r>
      <w:r w:rsidR="007571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</w:p>
    <w:p w14:paraId="640649FF" w14:textId="6F8402C2" w:rsidR="00757149" w:rsidRDefault="00757149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Úkony související s trestním řízením</w:t>
      </w:r>
    </w:p>
    <w:p w14:paraId="366AD166" w14:textId="573B5FEF" w:rsidR="00757149" w:rsidRPr="00757149" w:rsidRDefault="00757149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Díl 1</w:t>
      </w:r>
    </w:p>
    <w:p w14:paraId="0E11B32A" w14:textId="77777777" w:rsidR="008A37CF" w:rsidRDefault="008A37CF" w:rsidP="00440307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Milost</w:t>
      </w:r>
    </w:p>
    <w:p w14:paraId="58130A87" w14:textId="43149CE6" w:rsidR="00440307" w:rsidRPr="00440307" w:rsidRDefault="004B3DFC" w:rsidP="004B3DF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B3D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</w:t>
      </w:r>
      <w:r w:rsidR="009976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z5</w:t>
      </w:r>
    </w:p>
    <w:p w14:paraId="6D87C6B0" w14:textId="1DAFE211" w:rsidR="00440307" w:rsidRPr="00440307" w:rsidRDefault="00CB49DC" w:rsidP="004B3DFC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Přenesení pravomoci</w:t>
      </w:r>
    </w:p>
    <w:p w14:paraId="0CE358AC" w14:textId="779F9F01" w:rsidR="00440307" w:rsidRDefault="00CB49DC" w:rsidP="006B53D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Prezident republiky stanoví, v</w:t>
      </w:r>
      <w:r w:rsidR="0039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kterých případech může Ministerstvo 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 w:rsidR="0039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provést 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řízení </w:t>
      </w:r>
      <w:r w:rsidR="0039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žádosti o milost </w:t>
      </w:r>
      <w:r w:rsidR="00D40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39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ministr spravedlnosti </w:t>
      </w:r>
      <w:r w:rsidR="001941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</w:t>
      </w:r>
      <w:r w:rsidR="0039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zamítnout </w:t>
      </w:r>
      <w:r w:rsidR="00D40D94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="000B7A6E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důvodnou žádost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F833D5D" w14:textId="552A399C" w:rsidR="00CB49DC" w:rsidRDefault="009976A8" w:rsidP="00CB49D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z6</w:t>
      </w:r>
    </w:p>
    <w:p w14:paraId="7BA76E0E" w14:textId="1D4CA2A8" w:rsidR="00CB49DC" w:rsidRPr="00CB49DC" w:rsidRDefault="00CB49DC" w:rsidP="00CB49D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B49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Pozastavení řízení</w:t>
      </w:r>
    </w:p>
    <w:p w14:paraId="08CD77F5" w14:textId="04D98D16" w:rsidR="00996D21" w:rsidRDefault="00B95E3A" w:rsidP="00996D21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Nařídí-li to v řízení o udělení mil</w:t>
      </w:r>
      <w:r w:rsidR="00996D21">
        <w:rPr>
          <w:rFonts w:ascii="Times New Roman" w:eastAsia="Times New Roman" w:hAnsi="Times New Roman" w:cs="Times New Roman"/>
          <w:sz w:val="24"/>
          <w:szCs w:val="24"/>
          <w:lang w:eastAsia="cs-CZ"/>
        </w:rPr>
        <w:t>osti prez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ident republiky</w:t>
      </w:r>
      <w:r w:rsidR="00CB49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ministr spravedlnosti v případech, v nichž je oprávněn takové řízení provést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4D7FB1B1" w14:textId="77777777" w:rsidR="00996D21" w:rsidRDefault="00996D21" w:rsidP="00996D2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FA01F5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stíhání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nezahájí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B45B6C1" w14:textId="77777777" w:rsidR="00B95E3A" w:rsidRDefault="00996D21" w:rsidP="00996D21">
      <w:pPr>
        <w:shd w:val="clear" w:color="auto" w:fill="FFFFFF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FA01F5">
        <w:rPr>
          <w:rFonts w:ascii="Times New Roman" w:eastAsia="Times New Roman" w:hAnsi="Times New Roman" w:cs="Times New Roman"/>
          <w:sz w:val="24"/>
          <w:szCs w:val="24"/>
          <w:lang w:eastAsia="cs-CZ"/>
        </w:rPr>
        <w:t>v zahájeném trestním stíhání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nepokračuje</w:t>
      </w:r>
      <w:r w:rsidR="00B95E3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6D0BC47" w14:textId="4DA81815" w:rsidR="00996D21" w:rsidRDefault="00B95E3A" w:rsidP="00996D21">
      <w:pPr>
        <w:shd w:val="clear" w:color="auto" w:fill="FFFFFF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obviněný se propustí z</w:t>
      </w:r>
      <w:r w:rsidR="00996D2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vazby, nebo </w:t>
      </w:r>
    </w:p>
    <w:p w14:paraId="00D3B5A1" w14:textId="0F40B9AB" w:rsidR="00FA01F5" w:rsidRPr="00FA01F5" w:rsidRDefault="00394ACB" w:rsidP="00FA01F5">
      <w:pPr>
        <w:shd w:val="clear" w:color="auto" w:fill="FFFFFF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96D2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44030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výkon trestu </w:t>
      </w:r>
      <w:r w:rsidR="00186D30">
        <w:rPr>
          <w:rFonts w:ascii="Times New Roman" w:eastAsia="Times New Roman" w:hAnsi="Times New Roman" w:cs="Times New Roman"/>
          <w:sz w:val="24"/>
          <w:szCs w:val="24"/>
          <w:lang w:eastAsia="cs-CZ"/>
        </w:rPr>
        <w:t>se odloží nebo přeruší</w:t>
      </w:r>
      <w:r w:rsidR="00FA01F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4EBA00D" w14:textId="041B8CF5" w:rsidR="008A37CF" w:rsidRDefault="00FA01F5" w:rsidP="001036AA">
      <w:pPr>
        <w:pStyle w:val="l5"/>
        <w:tabs>
          <w:tab w:val="left" w:pos="5730"/>
        </w:tabs>
        <w:spacing w:before="12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a to až do doby, než</w:t>
      </w:r>
      <w:r w:rsidRPr="007E5F0F">
        <w:rPr>
          <w:color w:val="000000"/>
        </w:rPr>
        <w:t xml:space="preserve"> bude žádost o milost vyřízena.</w:t>
      </w:r>
      <w:r w:rsidR="001036AA">
        <w:rPr>
          <w:color w:val="000000"/>
        </w:rPr>
        <w:tab/>
      </w:r>
    </w:p>
    <w:p w14:paraId="11B86102" w14:textId="120D74CF" w:rsidR="001036AA" w:rsidRDefault="001036AA" w:rsidP="001036AA">
      <w:pPr>
        <w:pStyle w:val="l5"/>
        <w:tabs>
          <w:tab w:val="left" w:pos="709"/>
          <w:tab w:val="left" w:pos="5730"/>
        </w:tabs>
        <w:spacing w:before="120" w:after="0"/>
        <w:ind w:firstLine="284"/>
        <w:jc w:val="both"/>
        <w:rPr>
          <w:bCs/>
          <w:color w:val="000000"/>
        </w:rPr>
      </w:pPr>
      <w:r>
        <w:rPr>
          <w:color w:val="000000"/>
        </w:rPr>
        <w:tab/>
        <w:t>(2)</w:t>
      </w:r>
      <w:r w:rsidR="002E777D">
        <w:rPr>
          <w:color w:val="000000"/>
        </w:rPr>
        <w:t xml:space="preserve"> V případě uvedeném v odstavci 1</w:t>
      </w:r>
      <w:r>
        <w:rPr>
          <w:color w:val="000000"/>
        </w:rPr>
        <w:t xml:space="preserve"> písm. a) policejní orgán dočasně odloží trestní stíhání a vyrozumí o tom státního zástupce. </w:t>
      </w:r>
      <w:r>
        <w:rPr>
          <w:bCs/>
          <w:color w:val="000000"/>
        </w:rPr>
        <w:t>Neudělí</w:t>
      </w:r>
      <w:r w:rsidR="00B66BD5">
        <w:rPr>
          <w:bCs/>
          <w:color w:val="000000"/>
        </w:rPr>
        <w:t>-li prezident republiky podezřelému</w:t>
      </w:r>
      <w:r>
        <w:rPr>
          <w:bCs/>
          <w:color w:val="000000"/>
        </w:rPr>
        <w:t xml:space="preserve"> milost,</w:t>
      </w:r>
      <w:r w:rsidRPr="001036AA">
        <w:rPr>
          <w:bCs/>
          <w:color w:val="000000"/>
        </w:rPr>
        <w:t xml:space="preserve"> </w:t>
      </w:r>
      <w:r>
        <w:rPr>
          <w:bCs/>
          <w:color w:val="000000"/>
        </w:rPr>
        <w:t>policejní or</w:t>
      </w:r>
      <w:r w:rsidR="00A94D3E">
        <w:rPr>
          <w:bCs/>
          <w:color w:val="000000"/>
        </w:rPr>
        <w:t>gán pokračuje v trestním řízení.</w:t>
      </w:r>
    </w:p>
    <w:p w14:paraId="3E454062" w14:textId="7DA71360" w:rsidR="00A94D3E" w:rsidRPr="00A94D3E" w:rsidRDefault="001036AA" w:rsidP="00A94D3E">
      <w:pPr>
        <w:pStyle w:val="l5"/>
        <w:tabs>
          <w:tab w:val="left" w:pos="709"/>
          <w:tab w:val="left" w:pos="5730"/>
        </w:tabs>
        <w:spacing w:before="120" w:after="0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(3) </w:t>
      </w:r>
      <w:r w:rsidR="002E777D">
        <w:rPr>
          <w:color w:val="000000"/>
        </w:rPr>
        <w:t>V případě uvedeném v odstavci 1</w:t>
      </w:r>
      <w:r>
        <w:rPr>
          <w:color w:val="000000"/>
        </w:rPr>
        <w:t xml:space="preserve"> písm. b) státní zástupce a v řízení před soudem předseda senátu přeruší tr</w:t>
      </w:r>
      <w:r w:rsidR="00A94D3E">
        <w:rPr>
          <w:color w:val="000000"/>
        </w:rPr>
        <w:t xml:space="preserve">estní stíhání; </w:t>
      </w:r>
      <w:r w:rsidR="00A94D3E" w:rsidRPr="00A94D3E">
        <w:rPr>
          <w:color w:val="000000"/>
          <w:highlight w:val="yellow"/>
        </w:rPr>
        <w:t xml:space="preserve">§ x26 odst. 2/§ 173 odst. 2 starého </w:t>
      </w:r>
      <w:proofErr w:type="spellStart"/>
      <w:proofErr w:type="gramStart"/>
      <w:r w:rsidR="00A94D3E" w:rsidRPr="00A94D3E">
        <w:rPr>
          <w:color w:val="000000"/>
          <w:highlight w:val="yellow"/>
        </w:rPr>
        <w:t>tr</w:t>
      </w:r>
      <w:proofErr w:type="gramEnd"/>
      <w:r w:rsidR="00A94D3E" w:rsidRPr="00A94D3E">
        <w:rPr>
          <w:color w:val="000000"/>
          <w:highlight w:val="yellow"/>
        </w:rPr>
        <w:t>.</w:t>
      </w:r>
      <w:proofErr w:type="gramStart"/>
      <w:r w:rsidR="00A94D3E" w:rsidRPr="00A94D3E">
        <w:rPr>
          <w:color w:val="000000"/>
          <w:highlight w:val="yellow"/>
        </w:rPr>
        <w:t>ř</w:t>
      </w:r>
      <w:proofErr w:type="spellEnd"/>
      <w:r w:rsidR="00A94D3E" w:rsidRPr="00A94D3E">
        <w:rPr>
          <w:color w:val="000000"/>
          <w:highlight w:val="yellow"/>
        </w:rPr>
        <w:t>.</w:t>
      </w:r>
      <w:proofErr w:type="gramEnd"/>
      <w:r w:rsidR="00A94D3E">
        <w:rPr>
          <w:color w:val="000000"/>
        </w:rPr>
        <w:t xml:space="preserve"> se použije obdobně. </w:t>
      </w:r>
      <w:r w:rsidR="00A94D3E" w:rsidRPr="006641D6">
        <w:t>O přerušení trestního stíhání je třeba vyro</w:t>
      </w:r>
      <w:r w:rsidR="00A94D3E">
        <w:t xml:space="preserve">zumět poškozeného, je-li znám. </w:t>
      </w:r>
      <w:r w:rsidR="00A94D3E">
        <w:rPr>
          <w:bCs/>
          <w:color w:val="000000"/>
        </w:rPr>
        <w:t xml:space="preserve">Neudělí-li prezident republiky žadateli milost, </w:t>
      </w:r>
      <w:r w:rsidR="00A94D3E" w:rsidRPr="00A94D3E">
        <w:rPr>
          <w:bCs/>
          <w:color w:val="000000"/>
        </w:rPr>
        <w:t xml:space="preserve">státní zástupce </w:t>
      </w:r>
      <w:r w:rsidR="00A94D3E">
        <w:rPr>
          <w:bCs/>
          <w:color w:val="000000"/>
        </w:rPr>
        <w:t xml:space="preserve">a v řízení před soudem předseda senátu </w:t>
      </w:r>
      <w:r w:rsidR="00A94D3E" w:rsidRPr="00A94D3E">
        <w:rPr>
          <w:bCs/>
          <w:color w:val="000000"/>
        </w:rPr>
        <w:t xml:space="preserve">rozhodne, že </w:t>
      </w:r>
      <w:r w:rsidR="00A94D3E">
        <w:rPr>
          <w:bCs/>
          <w:color w:val="000000"/>
        </w:rPr>
        <w:t>se v trestním stíhání pokračuje;</w:t>
      </w:r>
      <w:r w:rsidR="00A94D3E" w:rsidRPr="00A94D3E">
        <w:rPr>
          <w:bCs/>
          <w:color w:val="000000"/>
        </w:rPr>
        <w:t xml:space="preserve"> </w:t>
      </w:r>
      <w:r w:rsidR="00A94D3E">
        <w:rPr>
          <w:bCs/>
          <w:color w:val="000000"/>
        </w:rPr>
        <w:t>n</w:t>
      </w:r>
      <w:r w:rsidR="00A94D3E" w:rsidRPr="00A94D3E">
        <w:rPr>
          <w:bCs/>
          <w:color w:val="000000"/>
        </w:rPr>
        <w:t>astane-li během přerušení důvod pro zastavení trestního stíhání</w:t>
      </w:r>
      <w:r w:rsidR="00A94D3E">
        <w:rPr>
          <w:bCs/>
          <w:color w:val="000000"/>
        </w:rPr>
        <w:t xml:space="preserve">, </w:t>
      </w:r>
      <w:r w:rsidR="00A94D3E" w:rsidRPr="00A94D3E">
        <w:rPr>
          <w:bCs/>
          <w:color w:val="000000"/>
        </w:rPr>
        <w:t>rozhodne o zastavení trestního stíhání.</w:t>
      </w:r>
    </w:p>
    <w:p w14:paraId="37B3B01B" w14:textId="46E2FD29" w:rsidR="001036AA" w:rsidRDefault="009B01BC" w:rsidP="009B01BC">
      <w:pPr>
        <w:pStyle w:val="l5"/>
        <w:tabs>
          <w:tab w:val="left" w:pos="709"/>
          <w:tab w:val="left" w:pos="5730"/>
        </w:tabs>
        <w:spacing w:before="120" w:after="0"/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(4) </w:t>
      </w:r>
      <w:r w:rsidR="002E777D">
        <w:rPr>
          <w:color w:val="000000"/>
        </w:rPr>
        <w:t>V případě uvedeném v odstavci 1</w:t>
      </w:r>
      <w:r>
        <w:rPr>
          <w:color w:val="000000"/>
        </w:rPr>
        <w:t xml:space="preserve"> písm. c) orgán příslušný k rozhodování o vazbě vydá příkaz k propuštění obviněného z vazby. </w:t>
      </w:r>
      <w:r>
        <w:rPr>
          <w:bCs/>
          <w:color w:val="000000"/>
        </w:rPr>
        <w:t>Neudělí-li prez</w:t>
      </w:r>
      <w:r w:rsidR="00B66BD5">
        <w:rPr>
          <w:bCs/>
          <w:color w:val="000000"/>
        </w:rPr>
        <w:t xml:space="preserve">ident republiky obviněnému milost a důvody vazby trvají, je policejní orgán oprávněn obviněného zadržet; přitom postupuje podle ustanovení </w:t>
      </w:r>
      <w:proofErr w:type="spellStart"/>
      <w:r w:rsidR="00B66BD5">
        <w:rPr>
          <w:bCs/>
          <w:color w:val="000000"/>
        </w:rPr>
        <w:t>trestněprocesního</w:t>
      </w:r>
      <w:proofErr w:type="spellEnd"/>
      <w:r w:rsidR="00B66BD5">
        <w:rPr>
          <w:bCs/>
          <w:color w:val="000000"/>
        </w:rPr>
        <w:t xml:space="preserve"> zákona o zadržení obviněného.</w:t>
      </w:r>
    </w:p>
    <w:p w14:paraId="44F2AEFE" w14:textId="226924DB" w:rsidR="001036AA" w:rsidRPr="00F7000F" w:rsidRDefault="00B66BD5" w:rsidP="00F7000F">
      <w:pPr>
        <w:pStyle w:val="l5"/>
        <w:tabs>
          <w:tab w:val="left" w:pos="709"/>
          <w:tab w:val="left" w:pos="5730"/>
        </w:tabs>
        <w:spacing w:before="120" w:after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ab/>
        <w:t xml:space="preserve">(5) </w:t>
      </w:r>
      <w:r w:rsidR="002E777D">
        <w:rPr>
          <w:color w:val="000000"/>
        </w:rPr>
        <w:t>V případě uvedeném v odstavci 1</w:t>
      </w:r>
      <w:r>
        <w:rPr>
          <w:color w:val="000000"/>
        </w:rPr>
        <w:t xml:space="preserve"> písm. d) předseda senátu rozhodne o odložení nebo přerušení výkonu trestu.</w:t>
      </w:r>
      <w:r w:rsidR="00F7000F">
        <w:rPr>
          <w:color w:val="000000"/>
        </w:rPr>
        <w:t xml:space="preserve"> Pokud prezident udělí odsouzenému milost, předseda senátu </w:t>
      </w:r>
      <w:r w:rsidR="00F7000F">
        <w:t xml:space="preserve">upustí </w:t>
      </w:r>
      <w:r w:rsidR="00F7000F" w:rsidRPr="00EF1056">
        <w:t>od</w:t>
      </w:r>
      <w:r w:rsidR="00F7000F">
        <w:t xml:space="preserve"> výkonu trestu nebo jeho zbytku; </w:t>
      </w:r>
      <w:r w:rsidR="00F7000F" w:rsidRPr="00EF1056">
        <w:t xml:space="preserve"> jinak rozhodne, že se trest n</w:t>
      </w:r>
      <w:r w:rsidR="00F7000F">
        <w:t xml:space="preserve">ebo jeho zbytek vykoná. </w:t>
      </w:r>
    </w:p>
    <w:p w14:paraId="6FA20B2A" w14:textId="76B667EC" w:rsidR="009B6955" w:rsidRDefault="009976A8" w:rsidP="009B6955">
      <w:pPr>
        <w:pStyle w:val="l5"/>
        <w:spacing w:before="120" w:beforeAutospacing="0" w:after="0" w:afterAutospacing="0"/>
        <w:jc w:val="center"/>
        <w:rPr>
          <w:color w:val="000000"/>
        </w:rPr>
      </w:pPr>
      <w:r>
        <w:rPr>
          <w:color w:val="000000"/>
        </w:rPr>
        <w:t>§ z7</w:t>
      </w:r>
    </w:p>
    <w:p w14:paraId="5AF2286E" w14:textId="51E27053" w:rsidR="009B6955" w:rsidRDefault="00554F10" w:rsidP="009B6955">
      <w:pPr>
        <w:pStyle w:val="l5"/>
        <w:spacing w:before="12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Žádost ve prospěch jiné osoby</w:t>
      </w:r>
    </w:p>
    <w:p w14:paraId="4EA9F283" w14:textId="1B7EE25D" w:rsidR="00394ACB" w:rsidRDefault="009B6955" w:rsidP="00AA543C">
      <w:pPr>
        <w:pStyle w:val="l5"/>
        <w:spacing w:before="12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 w:rsidR="00554F10">
        <w:rPr>
          <w:color w:val="000000"/>
        </w:rPr>
        <w:t xml:space="preserve">K </w:t>
      </w:r>
      <w:r>
        <w:rPr>
          <w:color w:val="000000"/>
        </w:rPr>
        <w:t xml:space="preserve">žádosti </w:t>
      </w:r>
      <w:r w:rsidR="00554F10">
        <w:rPr>
          <w:color w:val="000000"/>
        </w:rPr>
        <w:t>o milost</w:t>
      </w:r>
      <w:r w:rsidR="00DB3D01">
        <w:rPr>
          <w:color w:val="000000"/>
        </w:rPr>
        <w:t xml:space="preserve"> podané </w:t>
      </w:r>
      <w:r w:rsidR="00554F10">
        <w:rPr>
          <w:color w:val="000000"/>
        </w:rPr>
        <w:t xml:space="preserve">ve prospěch osoby </w:t>
      </w:r>
      <w:r w:rsidR="00DB3D01">
        <w:rPr>
          <w:color w:val="000000"/>
        </w:rPr>
        <w:t xml:space="preserve">odlišné žadatele </w:t>
      </w:r>
      <w:r w:rsidR="00554F10">
        <w:rPr>
          <w:color w:val="000000"/>
        </w:rPr>
        <w:t xml:space="preserve">se nepřihlíží, pokud osoba, které se žádost o milost týká, prohlásí, že si nepřeje, aby jí byla milost udělena. </w:t>
      </w:r>
    </w:p>
    <w:p w14:paraId="2EF55139" w14:textId="25191792" w:rsidR="00396CA9" w:rsidRDefault="009976A8" w:rsidP="00396CA9">
      <w:pPr>
        <w:pStyle w:val="l5"/>
        <w:spacing w:before="120" w:beforeAutospacing="0" w:after="0" w:afterAutospacing="0"/>
        <w:jc w:val="center"/>
        <w:rPr>
          <w:color w:val="000000"/>
        </w:rPr>
      </w:pPr>
      <w:r>
        <w:rPr>
          <w:color w:val="000000"/>
        </w:rPr>
        <w:t>§ z8</w:t>
      </w:r>
    </w:p>
    <w:p w14:paraId="06E6F388" w14:textId="003E7874" w:rsidR="00396CA9" w:rsidRDefault="00194165" w:rsidP="00396CA9">
      <w:pPr>
        <w:pStyle w:val="l5"/>
        <w:spacing w:before="12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Zajištění výkonu rozhodnutí</w:t>
      </w:r>
    </w:p>
    <w:p w14:paraId="3BD3927E" w14:textId="2E84FE76" w:rsidR="001858BF" w:rsidRPr="00AA543C" w:rsidRDefault="00396CA9" w:rsidP="00AA543C">
      <w:pPr>
        <w:pStyle w:val="l5"/>
        <w:spacing w:before="12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Není-li dále stanoveno jinak, výkon rozhodnutí prezidenta zajišťuje Ministerstvo spravedlnosti </w:t>
      </w:r>
      <w:r w:rsidR="005F4A77">
        <w:rPr>
          <w:color w:val="000000"/>
        </w:rPr>
        <w:t xml:space="preserve">v součinnosti s orgány činnými v trestním </w:t>
      </w:r>
      <w:r w:rsidR="00194165">
        <w:rPr>
          <w:color w:val="000000"/>
        </w:rPr>
        <w:t>řízení a příslušnou věznicí.</w:t>
      </w:r>
      <w:r w:rsidR="005F4A77">
        <w:rPr>
          <w:color w:val="000000"/>
        </w:rPr>
        <w:t xml:space="preserve"> </w:t>
      </w:r>
    </w:p>
    <w:p w14:paraId="3D0FD8FA" w14:textId="0B00E165" w:rsidR="0090267A" w:rsidRDefault="009976A8" w:rsidP="0090267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 z9</w:t>
      </w:r>
    </w:p>
    <w:p w14:paraId="2403B2A2" w14:textId="57589778" w:rsidR="0090267A" w:rsidRPr="00440307" w:rsidRDefault="0090267A" w:rsidP="0090267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Sledování plnění podmínek milosti</w:t>
      </w:r>
      <w:r w:rsidR="00501B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návazné rozhodnutí </w:t>
      </w:r>
    </w:p>
    <w:p w14:paraId="3CE8B317" w14:textId="05A757E2" w:rsidR="00EB5747" w:rsidRDefault="008A37CF" w:rsidP="00EB5747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90267A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Byl-li </w:t>
      </w:r>
      <w:bookmarkStart w:id="0" w:name="_Hlk55407751"/>
      <w:r w:rsidR="0090267A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trest nebo jeho zbytek při udělení milosti prominut jen pod stanoveným</w:t>
      </w:r>
      <w:r w:rsidR="00244550">
        <w:rPr>
          <w:rFonts w:ascii="Times New Roman" w:eastAsia="Times New Roman" w:hAnsi="Times New Roman" w:cs="Times New Roman"/>
          <w:sz w:val="24"/>
          <w:szCs w:val="24"/>
          <w:lang w:eastAsia="cs-CZ"/>
        </w:rPr>
        <w:t>i podmínkami</w:t>
      </w:r>
      <w:bookmarkEnd w:id="0"/>
      <w:r w:rsidR="002445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plnění podmínek </w:t>
      </w:r>
      <w:r w:rsidR="0090267A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sleduje soud, který ve věci rozhodoval v prvním stupni. </w:t>
      </w:r>
      <w:r w:rsidR="00975C65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Vykonával</w:t>
      </w:r>
      <w:r w:rsidR="00EB57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-li </w:t>
      </w:r>
      <w:r w:rsidR="00FC6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však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>odsouzený v</w:t>
      </w:r>
      <w:r w:rsidR="00975C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>době</w:t>
      </w:r>
      <w:r w:rsidR="00975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udělení milosti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nepodmíněný </w:t>
      </w:r>
      <w:r w:rsidR="00EB574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trest odnětí svobody</w:t>
      </w:r>
      <w:r w:rsidR="00FC6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mu byl tento trest přerušen anebo z něj byl podmíněně propuštěn</w:t>
      </w:r>
      <w:r w:rsidR="00EB574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B57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sleduje plnění podmínek okresní </w:t>
      </w:r>
      <w:r w:rsidR="00EB574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soud, v jehož obvodu se </w:t>
      </w:r>
      <w:r w:rsidR="00FC6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nepodmíněný </w:t>
      </w:r>
      <w:r w:rsidR="00EB574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trest </w:t>
      </w:r>
      <w:r w:rsidR="00FC6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odnětí svobody </w:t>
      </w:r>
      <w:r w:rsidR="00EB574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</w:t>
      </w:r>
      <w:r w:rsidR="00FC6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naposledy vykonával</w:t>
      </w:r>
      <w:r w:rsidR="00EB5747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B55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 </w:t>
      </w:r>
      <w:proofErr w:type="spellStart"/>
      <w:r w:rsidR="00AB55B7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trestněprocesního</w:t>
      </w:r>
      <w:proofErr w:type="spellEnd"/>
      <w:r w:rsidR="00AB55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o spolupráci se spolky, institucemi </w:t>
      </w:r>
      <w:r w:rsidR="001A37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55B7">
        <w:rPr>
          <w:rFonts w:ascii="Times New Roman" w:eastAsia="Times New Roman" w:hAnsi="Times New Roman" w:cs="Times New Roman"/>
          <w:sz w:val="24"/>
          <w:szCs w:val="24"/>
          <w:lang w:eastAsia="cs-CZ"/>
        </w:rPr>
        <w:t>a důvěryhodnými osobami ve vykonávacím řízení se použijí přiměřeně.</w:t>
      </w:r>
    </w:p>
    <w:p w14:paraId="1A533952" w14:textId="6312470F" w:rsidR="0088415E" w:rsidRPr="0088415E" w:rsidRDefault="0088415E" w:rsidP="00EB5747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(2) Pokud </w:t>
      </w:r>
      <w:r w:rsidRPr="0088415E">
        <w:rPr>
          <w:rFonts w:ascii="Times New Roman" w:hAnsi="Times New Roman" w:cs="Times New Roman"/>
          <w:bCs/>
          <w:iCs/>
          <w:sz w:val="24"/>
          <w:szCs w:val="24"/>
        </w:rPr>
        <w:t xml:space="preserve">odsouzený, jemuž byl při udělení milosti trest nebo jeho zbytek prominut jen pod stanovenými podmínkami, těmto podmínkám vyhověl, předseda senátu na návrh odsouzeného, státního zástupce nebo i bez takového návrhu ve veřejném zasedání rozhodne </w:t>
      </w:r>
      <w:r w:rsidR="000E3719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88415E">
        <w:rPr>
          <w:rFonts w:ascii="Times New Roman" w:hAnsi="Times New Roman" w:cs="Times New Roman"/>
          <w:bCs/>
          <w:iCs/>
          <w:sz w:val="24"/>
          <w:szCs w:val="24"/>
        </w:rPr>
        <w:t xml:space="preserve">o tom, že se odsouzený osvědčil, jinak rozhodne, </w:t>
      </w:r>
      <w:r w:rsidR="000F365D" w:rsidRPr="000F365D">
        <w:rPr>
          <w:rFonts w:ascii="Times New Roman" w:hAnsi="Times New Roman" w:cs="Times New Roman"/>
          <w:bCs/>
          <w:iCs/>
          <w:sz w:val="24"/>
          <w:szCs w:val="24"/>
        </w:rPr>
        <w:t xml:space="preserve">a to popřípadě již během doby, na kterou byly podmínky </w:t>
      </w:r>
      <w:r w:rsidR="000F365D">
        <w:rPr>
          <w:rFonts w:ascii="Times New Roman" w:hAnsi="Times New Roman" w:cs="Times New Roman"/>
          <w:bCs/>
          <w:iCs/>
          <w:sz w:val="24"/>
          <w:szCs w:val="24"/>
        </w:rPr>
        <w:t xml:space="preserve">pro </w:t>
      </w:r>
      <w:r w:rsidR="000F365D" w:rsidRPr="000F365D">
        <w:rPr>
          <w:rFonts w:ascii="Times New Roman" w:hAnsi="Times New Roman" w:cs="Times New Roman"/>
          <w:bCs/>
          <w:iCs/>
          <w:sz w:val="24"/>
          <w:szCs w:val="24"/>
        </w:rPr>
        <w:t xml:space="preserve">prominutí trestu nebo jeho zbytku stanoveny, </w:t>
      </w:r>
      <w:r w:rsidRPr="000F365D">
        <w:rPr>
          <w:rFonts w:ascii="Times New Roman" w:hAnsi="Times New Roman" w:cs="Times New Roman"/>
          <w:bCs/>
          <w:iCs/>
          <w:sz w:val="24"/>
          <w:szCs w:val="24"/>
        </w:rPr>
        <w:t>že se trest nebo jeho zbytek vykoná. Mimo veřejné zasedání může předseda senátu rozhodnout</w:t>
      </w:r>
      <w:r w:rsidRPr="0088415E">
        <w:rPr>
          <w:rFonts w:ascii="Times New Roman" w:hAnsi="Times New Roman" w:cs="Times New Roman"/>
          <w:bCs/>
          <w:iCs/>
          <w:sz w:val="24"/>
          <w:szCs w:val="24"/>
        </w:rPr>
        <w:t xml:space="preserve"> o zamítnutí tohoto návrhu </w:t>
      </w:r>
      <w:r w:rsidR="000F365D">
        <w:rPr>
          <w:rFonts w:ascii="Times New Roman" w:hAnsi="Times New Roman" w:cs="Times New Roman"/>
          <w:bCs/>
          <w:iCs/>
          <w:sz w:val="24"/>
          <w:szCs w:val="24"/>
        </w:rPr>
        <w:br/>
      </w:r>
      <w:bookmarkStart w:id="1" w:name="_GoBack"/>
      <w:bookmarkEnd w:id="1"/>
      <w:r w:rsidRPr="0088415E">
        <w:rPr>
          <w:rFonts w:ascii="Times New Roman" w:hAnsi="Times New Roman" w:cs="Times New Roman"/>
          <w:bCs/>
          <w:iCs/>
          <w:sz w:val="24"/>
          <w:szCs w:val="24"/>
        </w:rPr>
        <w:t>z důvodu, že dosud neuplynula doba, po jejímž uplynutí může být rozhodnuto o osvědčení odsouzeného, nebo se souhlasem státního zástupce o osvědčení odsouzeného.</w:t>
      </w:r>
      <w:r w:rsidR="00D06EC0">
        <w:rPr>
          <w:rFonts w:ascii="Times New Roman" w:hAnsi="Times New Roman" w:cs="Times New Roman"/>
          <w:bCs/>
          <w:iCs/>
          <w:sz w:val="24"/>
          <w:szCs w:val="24"/>
        </w:rPr>
        <w:t xml:space="preserve"> Jestliže do 1</w:t>
      </w:r>
      <w:r w:rsidR="00D06EC0" w:rsidRPr="00D06EC0">
        <w:rPr>
          <w:rFonts w:ascii="Times New Roman" w:hAnsi="Times New Roman" w:cs="Times New Roman"/>
          <w:bCs/>
          <w:iCs/>
          <w:sz w:val="24"/>
          <w:szCs w:val="24"/>
        </w:rPr>
        <w:t xml:space="preserve"> roku od </w:t>
      </w:r>
      <w:r w:rsidR="001D0C58">
        <w:rPr>
          <w:rFonts w:ascii="Times New Roman" w:hAnsi="Times New Roman" w:cs="Times New Roman"/>
          <w:bCs/>
          <w:iCs/>
          <w:sz w:val="24"/>
          <w:szCs w:val="24"/>
        </w:rPr>
        <w:t>uplynutí doby pro splnění stanovených podmínek</w:t>
      </w:r>
      <w:r w:rsidR="00D06EC0" w:rsidRPr="00D06EC0">
        <w:rPr>
          <w:rFonts w:ascii="Times New Roman" w:hAnsi="Times New Roman" w:cs="Times New Roman"/>
          <w:bCs/>
          <w:iCs/>
          <w:sz w:val="24"/>
          <w:szCs w:val="24"/>
        </w:rPr>
        <w:t xml:space="preserve"> nebyl</w:t>
      </w:r>
      <w:r w:rsidR="00D06EC0">
        <w:rPr>
          <w:rFonts w:ascii="Times New Roman" w:hAnsi="Times New Roman" w:cs="Times New Roman"/>
          <w:bCs/>
          <w:iCs/>
          <w:sz w:val="24"/>
          <w:szCs w:val="24"/>
        </w:rPr>
        <w:t>o učiněno rozhodnutí podle věty první, aniž na tom měl odsouzený</w:t>
      </w:r>
      <w:r w:rsidR="00D06EC0" w:rsidRPr="00D06EC0">
        <w:rPr>
          <w:rFonts w:ascii="Times New Roman" w:hAnsi="Times New Roman" w:cs="Times New Roman"/>
          <w:bCs/>
          <w:iCs/>
          <w:sz w:val="24"/>
          <w:szCs w:val="24"/>
        </w:rPr>
        <w:t xml:space="preserve"> vinu, má se za to, že se osvědčil.</w:t>
      </w:r>
    </w:p>
    <w:p w14:paraId="22A5FEF8" w14:textId="6A8563D1" w:rsidR="00EB5747" w:rsidRPr="00E83EC6" w:rsidRDefault="00E83EC6" w:rsidP="00EB5747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(3</w:t>
      </w:r>
      <w:r w:rsidR="00EB5747" w:rsidRPr="00E83EC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Proti rozhodnutí podle odstavce</w:t>
      </w:r>
      <w:r w:rsidR="00EB5747" w:rsidRPr="00E83EC6">
        <w:rPr>
          <w:rFonts w:ascii="Times New Roman" w:hAnsi="Times New Roman" w:cs="Times New Roman"/>
          <w:bCs/>
          <w:sz w:val="24"/>
          <w:szCs w:val="24"/>
        </w:rPr>
        <w:t xml:space="preserve"> 2 je přípustná stížnost, která má odkladný účinek.</w:t>
      </w:r>
    </w:p>
    <w:p w14:paraId="7FE32083" w14:textId="77777777" w:rsidR="00975C65" w:rsidRDefault="00975C65" w:rsidP="00194165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AAB32E1" w14:textId="4EB66C78" w:rsidR="00625022" w:rsidRPr="008A37CF" w:rsidRDefault="00757149" w:rsidP="00625022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Díl 2</w:t>
      </w:r>
    </w:p>
    <w:p w14:paraId="19CF92FF" w14:textId="3CF432B1" w:rsidR="006F6F04" w:rsidRPr="006F6F04" w:rsidRDefault="00625022" w:rsidP="006F6F04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Amnestie</w:t>
      </w:r>
    </w:p>
    <w:p w14:paraId="37F062FE" w14:textId="0EFCF855" w:rsidR="008A37CF" w:rsidRPr="002907A5" w:rsidRDefault="00AB55B7" w:rsidP="00756BB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§ </w:t>
      </w:r>
      <w:r w:rsidR="009976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z10</w:t>
      </w:r>
    </w:p>
    <w:p w14:paraId="1C128DDB" w14:textId="771F1782" w:rsidR="00296A8C" w:rsidRPr="00440307" w:rsidRDefault="002907A5" w:rsidP="00756BBE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07A5">
        <w:rPr>
          <w:rFonts w:ascii="Times New Roman" w:hAnsi="Times New Roman" w:cs="Times New Roman"/>
          <w:b/>
          <w:sz w:val="24"/>
          <w:szCs w:val="24"/>
        </w:rPr>
        <w:t>Rozhodnutí</w:t>
      </w:r>
      <w:r w:rsidR="00E458F3">
        <w:rPr>
          <w:rFonts w:ascii="Times New Roman" w:hAnsi="Times New Roman" w:cs="Times New Roman"/>
          <w:b/>
          <w:sz w:val="24"/>
          <w:szCs w:val="24"/>
        </w:rPr>
        <w:t xml:space="preserve"> o účasti na amnestii</w:t>
      </w:r>
    </w:p>
    <w:p w14:paraId="0ED8CD66" w14:textId="09EC21DC" w:rsidR="008A37CF" w:rsidRDefault="00E458F3" w:rsidP="00756BB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>K r</w:t>
      </w:r>
      <w:r w:rsidR="008A37CF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ozhodn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>utí o tom, zda a do jaké míry se</w:t>
      </w:r>
      <w:r w:rsidR="008A37CF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osoba, jíž byl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>pravomocně uložen trest, účastní</w:t>
      </w:r>
      <w:r w:rsidR="008A37CF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amnestie, je příslušný soud, který ve věci rozhodoval </w:t>
      </w:r>
      <w:r w:rsidR="008A37CF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prvním stupni.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>Vyk</w:t>
      </w:r>
      <w:r w:rsidR="00270F38">
        <w:rPr>
          <w:rFonts w:ascii="Times New Roman" w:eastAsia="Times New Roman" w:hAnsi="Times New Roman" w:cs="Times New Roman"/>
          <w:sz w:val="24"/>
          <w:szCs w:val="24"/>
          <w:lang w:eastAsia="cs-CZ"/>
        </w:rPr>
        <w:t>onával</w:t>
      </w:r>
      <w:r w:rsidR="00975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-li však odsouzený v době </w:t>
      </w:r>
      <w:r w:rsidR="00270F38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o amnestii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nepodmíněný </w:t>
      </w:r>
      <w:r w:rsidR="00701231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trest odnětí svobody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mu byl tento trest přerušen anebo z něj byl podmíněně propuštěn</w:t>
      </w:r>
      <w:r w:rsidR="00701231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k rozhodnutí příslušný okresní </w:t>
      </w:r>
      <w:r w:rsidR="00701231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soud, v jehož obvodu se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nepodmíněný </w:t>
      </w:r>
      <w:r w:rsidR="00701231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trest 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odnětí svobody </w:t>
      </w:r>
      <w:r w:rsidR="00701231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naposledy vykonával</w:t>
      </w:r>
      <w:r w:rsidR="00701231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A37CF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rozhod</w:t>
      </w:r>
      <w:r w:rsidR="00701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nutí je přípustná stížnost, která </w:t>
      </w:r>
      <w:r w:rsidR="008A37CF"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má odkladný účinek.</w:t>
      </w:r>
    </w:p>
    <w:p w14:paraId="2D64EA6C" w14:textId="3347EC79" w:rsidR="006F6F04" w:rsidRDefault="00E458F3" w:rsidP="006F6F04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(2) Pokud je osoba účastna amnestie jen </w:t>
      </w:r>
      <w:r w:rsidR="007D18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stanovený</w:t>
      </w:r>
      <w:r w:rsidR="007D18B3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</w:t>
      </w:r>
      <w:r w:rsidR="007D18B3">
        <w:rPr>
          <w:rFonts w:ascii="Times New Roman" w:eastAsia="Times New Roman" w:hAnsi="Times New Roman" w:cs="Times New Roman"/>
          <w:sz w:val="24"/>
          <w:szCs w:val="24"/>
          <w:lang w:eastAsia="cs-CZ"/>
        </w:rPr>
        <w:t>kami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použije se obdobně </w:t>
      </w:r>
      <w:r w:rsidRPr="00E458F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§ </w:t>
      </w:r>
      <w:r w:rsidR="00BF5309" w:rsidRPr="00E458F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z</w:t>
      </w:r>
      <w:r w:rsidR="009976A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9</w:t>
      </w:r>
      <w:r w:rsidRPr="00E458F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</w:p>
    <w:p w14:paraId="5C9B50EE" w14:textId="2D2E70BC" w:rsidR="00E458F3" w:rsidRDefault="00E458F3" w:rsidP="00E458F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 w:rsidR="009976A8">
        <w:rPr>
          <w:rFonts w:ascii="Times New Roman" w:eastAsia="Times New Roman" w:hAnsi="Times New Roman" w:cs="Times New Roman"/>
          <w:sz w:val="24"/>
          <w:szCs w:val="24"/>
          <w:lang w:eastAsia="cs-CZ"/>
        </w:rPr>
        <w:t>z11</w:t>
      </w:r>
    </w:p>
    <w:p w14:paraId="4D7CA0BD" w14:textId="77777777" w:rsidR="00E458F3" w:rsidRPr="007C2AE2" w:rsidRDefault="00E458F3" w:rsidP="00E458F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výměry trestu</w:t>
      </w:r>
    </w:p>
    <w:p w14:paraId="130808DE" w14:textId="1C0DF315" w:rsidR="006F6F04" w:rsidRPr="007229FE" w:rsidRDefault="00E458F3" w:rsidP="007229F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2A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(1)</w:t>
      </w:r>
      <w:r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Byl-li amnestií zcela nebo zčásti prominut trest jen za některý z trestných činů, </w:t>
      </w:r>
      <w:r w:rsidR="006F6F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za něž byl uložen úhrnný nebo souhrnný trest, který nebyl dosud zcela vykonán, stanoví soud podle vzájemného poměru závažnosti přiměřený trest za trestné činy amnestií nedotčené. Proti tomuto rozho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dnutí je přípustná stížnost, která</w:t>
      </w:r>
      <w:r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odkladný účinek.</w:t>
      </w:r>
    </w:p>
    <w:p w14:paraId="47E641C7" w14:textId="7CCCB6CC" w:rsidR="00171537" w:rsidRDefault="006F6F04" w:rsidP="0062705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2A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(2)</w:t>
      </w:r>
      <w:r w:rsidRPr="00440307">
        <w:rPr>
          <w:rFonts w:ascii="Times New Roman" w:eastAsia="Times New Roman" w:hAnsi="Times New Roman" w:cs="Times New Roman"/>
          <w:sz w:val="24"/>
          <w:szCs w:val="24"/>
          <w:lang w:eastAsia="cs-CZ"/>
        </w:rPr>
        <w:t> Rozhodnutí podle odstavce 1 činí ve veřejném 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sedání soud uvedený </w:t>
      </w:r>
      <w:r w:rsidRPr="00501B7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 § z10</w:t>
      </w:r>
      <w:r w:rsidR="00501B79" w:rsidRPr="00501B7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odst. 1</w:t>
      </w:r>
      <w:r w:rsidRPr="00501B7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</w:p>
    <w:p w14:paraId="7FF879FA" w14:textId="4A3E022C" w:rsidR="003E1905" w:rsidRDefault="00757149" w:rsidP="00584CCF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Díl 3</w:t>
      </w:r>
    </w:p>
    <w:p w14:paraId="319D257B" w14:textId="2652BFF2" w:rsidR="00584CCF" w:rsidRPr="00584CCF" w:rsidRDefault="003E1905" w:rsidP="00584CCF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Zpracování osobních údajů Ministerstvem spravedlnosti</w:t>
      </w:r>
    </w:p>
    <w:p w14:paraId="74CEFB87" w14:textId="76ED4FF7" w:rsidR="003E1905" w:rsidRPr="00584CCF" w:rsidRDefault="00584CCF" w:rsidP="00584CCF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 xml:space="preserve">§ </w:t>
      </w:r>
      <w:r w:rsidR="009976A8">
        <w:rPr>
          <w:rFonts w:ascii="Times New Roman" w:hAnsi="Times New Roman" w:cs="Times New Roman"/>
          <w:sz w:val="24"/>
          <w:szCs w:val="24"/>
        </w:rPr>
        <w:t>z12</w:t>
      </w:r>
    </w:p>
    <w:p w14:paraId="1D2A6B7F" w14:textId="25F7C0A4" w:rsidR="003E1905" w:rsidRPr="00584CCF" w:rsidRDefault="00584CCF" w:rsidP="00584CC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CCF">
        <w:rPr>
          <w:rFonts w:ascii="Times New Roman" w:hAnsi="Times New Roman" w:cs="Times New Roman"/>
          <w:b/>
          <w:sz w:val="24"/>
          <w:szCs w:val="24"/>
        </w:rPr>
        <w:t>Zvláštní ustanovení o zpracová</w:t>
      </w:r>
      <w:r w:rsidR="003E1905" w:rsidRPr="00584CCF">
        <w:rPr>
          <w:rFonts w:ascii="Times New Roman" w:hAnsi="Times New Roman" w:cs="Times New Roman"/>
          <w:b/>
          <w:sz w:val="24"/>
          <w:szCs w:val="24"/>
        </w:rPr>
        <w:t>ní osobních údajů Ministerstvem spravedlnosti</w:t>
      </w:r>
    </w:p>
    <w:p w14:paraId="37474FE2" w14:textId="23ED9BF7" w:rsidR="003E1905" w:rsidRPr="00584CCF" w:rsidRDefault="003E1905" w:rsidP="00584CC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ab/>
        <w:t xml:space="preserve">(1) Ministerstvo spravedlnosti může, je-li to nezbytné pro výkon jeho působnosti </w:t>
      </w:r>
      <w:r w:rsidR="00584CCF">
        <w:rPr>
          <w:rFonts w:ascii="Times New Roman" w:hAnsi="Times New Roman" w:cs="Times New Roman"/>
          <w:sz w:val="24"/>
          <w:szCs w:val="24"/>
        </w:rPr>
        <w:br/>
      </w:r>
      <w:r w:rsidRPr="00584CCF">
        <w:rPr>
          <w:rFonts w:ascii="Times New Roman" w:hAnsi="Times New Roman" w:cs="Times New Roman"/>
          <w:sz w:val="24"/>
          <w:szCs w:val="24"/>
        </w:rPr>
        <w:t>v trestním řízení, zpracovávat osobní údaje. Osobní údaje může zpracovávat i k jinému účelu, než pro který byly původně shromážděny.</w:t>
      </w:r>
    </w:p>
    <w:p w14:paraId="285A81DF" w14:textId="5CA302CE" w:rsidR="00584CCF" w:rsidRDefault="003E1905" w:rsidP="00584CC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ab/>
        <w:t>(2) Ministerstvo spravedlnosti může předávat nebo zpřístupňovat osobní údaje orgánům příslušným k předcházení, vyhledávání a odhalování trestné činnosti a stíhání trestných činů, výkonu trestů a ochranných opatření, zajišťování bezpečnosti České republiky, veřejného pořádku a vnitřní bezpečnosti, včetně pátrání po osobách a věcech.</w:t>
      </w:r>
    </w:p>
    <w:p w14:paraId="5CF47AB3" w14:textId="208B52ED" w:rsidR="00584CCF" w:rsidRPr="00584CCF" w:rsidRDefault="009976A8" w:rsidP="00584CCF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z13</w:t>
      </w:r>
    </w:p>
    <w:p w14:paraId="7C705A22" w14:textId="153B9E15" w:rsidR="003E1905" w:rsidRPr="00584CCF" w:rsidRDefault="003E1905" w:rsidP="00584CC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CCF">
        <w:rPr>
          <w:rFonts w:ascii="Times New Roman" w:hAnsi="Times New Roman" w:cs="Times New Roman"/>
          <w:b/>
          <w:sz w:val="24"/>
          <w:szCs w:val="24"/>
        </w:rPr>
        <w:t>Pověřenec pro ochranu osobních údajů</w:t>
      </w:r>
    </w:p>
    <w:p w14:paraId="6DC511B5" w14:textId="67FE8B22" w:rsidR="003E1905" w:rsidRPr="00584CCF" w:rsidRDefault="00584CCF" w:rsidP="00584CC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Pověřencem</w:t>
      </w:r>
      <w:r w:rsidR="003E1905" w:rsidRPr="00584CCF">
        <w:rPr>
          <w:rFonts w:ascii="Times New Roman" w:hAnsi="Times New Roman" w:cs="Times New Roman"/>
          <w:sz w:val="24"/>
          <w:szCs w:val="24"/>
        </w:rPr>
        <w:t xml:space="preserve"> pro ochranu osobních údajů, které Ministerstvo spravedlnosti zpracovává při výkonu své působnosti v oblasti předcházení, vyhledávání a odhalování trestné činnosti a stíhání trestných činů, výkonu trestů a ochranných opatření, zajišťování bezpečnosti České republiky, veřejného pořádku a vnitřní bezpečnosti, včet</w:t>
      </w:r>
      <w:r>
        <w:rPr>
          <w:rFonts w:ascii="Times New Roman" w:hAnsi="Times New Roman" w:cs="Times New Roman"/>
          <w:sz w:val="24"/>
          <w:szCs w:val="24"/>
        </w:rPr>
        <w:t xml:space="preserve">ně pátrání po osobách a věcech, </w:t>
      </w:r>
      <w:r w:rsidR="003E1905" w:rsidRPr="00584CCF">
        <w:rPr>
          <w:rFonts w:ascii="Times New Roman" w:hAnsi="Times New Roman" w:cs="Times New Roman"/>
          <w:sz w:val="24"/>
          <w:szCs w:val="24"/>
        </w:rPr>
        <w:t xml:space="preserve">(dále jen „pověřenec“) jmenuje ministr spravedlnosti státního zaměstnance zařazeného </w:t>
      </w:r>
      <w:r>
        <w:rPr>
          <w:rFonts w:ascii="Times New Roman" w:hAnsi="Times New Roman" w:cs="Times New Roman"/>
          <w:sz w:val="24"/>
          <w:szCs w:val="24"/>
        </w:rPr>
        <w:br/>
      </w:r>
      <w:r w:rsidR="003E1905" w:rsidRPr="00584CCF">
        <w:rPr>
          <w:rFonts w:ascii="Times New Roman" w:hAnsi="Times New Roman" w:cs="Times New Roman"/>
          <w:sz w:val="24"/>
          <w:szCs w:val="24"/>
        </w:rPr>
        <w:t>v Ministerstvu spravedlnosti, který je odborně připraven pro plnění úkolů uvedených v odstavci 2.</w:t>
      </w:r>
    </w:p>
    <w:p w14:paraId="459B534F" w14:textId="59C9C457" w:rsidR="003E1905" w:rsidRPr="00584CCF" w:rsidRDefault="00584CCF" w:rsidP="00584CC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Pověřenec</w:t>
      </w:r>
    </w:p>
    <w:p w14:paraId="5C8BC547" w14:textId="1A9C4C42" w:rsidR="003E1905" w:rsidRPr="00584CCF" w:rsidRDefault="003E1905" w:rsidP="00584CCF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>a) poskytuje v Ministerstvu spravedlnosti informace a poradenství o povinnostech v oblasti ochrany osobních údajů, včetně posouzení vlivu na ochranu osobních údajů podle zákona upravují</w:t>
      </w:r>
      <w:r w:rsidR="00584CCF">
        <w:rPr>
          <w:rFonts w:ascii="Times New Roman" w:hAnsi="Times New Roman" w:cs="Times New Roman"/>
          <w:sz w:val="24"/>
          <w:szCs w:val="24"/>
        </w:rPr>
        <w:t>cího zpracování osobních údajů,</w:t>
      </w:r>
    </w:p>
    <w:p w14:paraId="4863C0BE" w14:textId="5695D2B1" w:rsidR="003E1905" w:rsidRPr="00584CCF" w:rsidRDefault="003E1905" w:rsidP="00584CCF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>b) kontroluje s přihlédnutím k rizikovosti, povaze a rozsahu činností zpracování plnění povinností v oblasti ochrany osobníc</w:t>
      </w:r>
      <w:r w:rsidR="00584CCF">
        <w:rPr>
          <w:rFonts w:ascii="Times New Roman" w:hAnsi="Times New Roman" w:cs="Times New Roman"/>
          <w:sz w:val="24"/>
          <w:szCs w:val="24"/>
        </w:rPr>
        <w:t>h údajů a</w:t>
      </w:r>
    </w:p>
    <w:p w14:paraId="5634FC8B" w14:textId="38AB271A" w:rsidR="003E1905" w:rsidRPr="00584CCF" w:rsidRDefault="003E1905" w:rsidP="00584CCF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 xml:space="preserve">c) je v záležitostech týkajících se zpracování osobních údajů kontaktním místem pro Úřad pro </w:t>
      </w:r>
      <w:r w:rsidR="00584CCF">
        <w:rPr>
          <w:rFonts w:ascii="Times New Roman" w:hAnsi="Times New Roman" w:cs="Times New Roman"/>
          <w:sz w:val="24"/>
          <w:szCs w:val="24"/>
        </w:rPr>
        <w:t xml:space="preserve"> </w:t>
      </w:r>
      <w:r w:rsidRPr="00584CCF">
        <w:rPr>
          <w:rFonts w:ascii="Times New Roman" w:hAnsi="Times New Roman" w:cs="Times New Roman"/>
          <w:sz w:val="24"/>
          <w:szCs w:val="24"/>
        </w:rPr>
        <w:t>ochranu osobních údajů a spolupracuje s ním.</w:t>
      </w:r>
    </w:p>
    <w:p w14:paraId="241DD85E" w14:textId="7392B382" w:rsidR="003E1905" w:rsidRDefault="003E1905" w:rsidP="00584CCF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CCF">
        <w:rPr>
          <w:rFonts w:ascii="Times New Roman" w:hAnsi="Times New Roman" w:cs="Times New Roman"/>
          <w:sz w:val="24"/>
          <w:szCs w:val="24"/>
        </w:rPr>
        <w:t>(3) Ministerstvo spravedlnosti zajistí pověřenci odpovídající podmínky k řádnému plnění jeho úkolů, včetně přístupu k osobním údajům a jejich zpracování a možnosti udržovat odborné vědomosti a dovednosti. Ministerstvo spravedlnosti dále zajistí, aby byl pověřenec informován o všech připravovaných a prováděných činnostech zpracování osobních údajů</w:t>
      </w:r>
      <w:r w:rsidR="002D18C7">
        <w:rPr>
          <w:rFonts w:ascii="Times New Roman" w:hAnsi="Times New Roman" w:cs="Times New Roman"/>
          <w:sz w:val="24"/>
          <w:szCs w:val="24"/>
        </w:rPr>
        <w:t>.</w:t>
      </w:r>
    </w:p>
    <w:p w14:paraId="5DFD8068" w14:textId="29723FBF" w:rsidR="009976A8" w:rsidRDefault="009976A8" w:rsidP="00584CCF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824C7" w14:textId="28FB12B0" w:rsidR="006F6F04" w:rsidRDefault="006F6F04" w:rsidP="009976A8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8C1D4" w14:textId="77777777" w:rsidR="0062705E" w:rsidRDefault="0062705E" w:rsidP="009976A8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45A94" w14:textId="5AAF088E" w:rsidR="009976A8" w:rsidRDefault="009976A8" w:rsidP="009976A8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</w:t>
      </w:r>
    </w:p>
    <w:p w14:paraId="652553F3" w14:textId="3B93EA25" w:rsidR="009976A8" w:rsidRDefault="009976A8" w:rsidP="003320BA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.. – Zahlazení odsouzení a úkony související s trestním řízením</w:t>
      </w:r>
    </w:p>
    <w:p w14:paraId="44112B75" w14:textId="0EA4BE74" w:rsidR="009976A8" w:rsidRDefault="009976A8" w:rsidP="003320BA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Hlava I – Zahlazení odsouzení</w:t>
      </w:r>
    </w:p>
    <w:p w14:paraId="5BEF21AA" w14:textId="3A24D6DC" w:rsidR="00F90013" w:rsidRDefault="003320BA" w:rsidP="00F9001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D6F9C">
        <w:rPr>
          <w:rFonts w:ascii="Times New Roman" w:eastAsia="Times New Roman" w:hAnsi="Times New Roman" w:cs="Times New Roman"/>
          <w:sz w:val="24"/>
          <w:szCs w:val="24"/>
          <w:lang w:eastAsia="cs-CZ"/>
        </w:rPr>
        <w:t>távající úpravu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zahlazení odsouze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se </w:t>
      </w:r>
      <w:r w:rsidR="006D6F9C"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 modifikovat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v otázce příslušnosti soudu k rozhodnutí o zahlazení odsouzení. Navrhuje se opustit kritérium posledního bydliště odsouzeného ve smyslu § 80 občanského zákoníku, které je pro soud mnohdy obtížně zjistitelné a nedá se použít ve vztahu k cizinci, který v ČR bydliště nikdy neměl. </w:t>
      </w:r>
      <w:r w:rsidR="00A649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Nově se navrhuje vycházet 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r w:rsidR="00394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evidenční adresy 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10b odst. 1 zákona </w:t>
      </w:r>
      <w:r w:rsidR="00394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7436F" w:rsidRPr="00F81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133/2000 Sb., o evidenci obyvatel </w:t>
      </w:r>
      <w:r w:rsidR="00A649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7436F" w:rsidRPr="00F81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rodných číslech, 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</w:t>
      </w:r>
      <w:r w:rsidR="009A0F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(tzv. doručovací adresa)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r w:rsidR="00394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nemá-li odsouzený takovou adresu evidovanou, od adresy 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(posledního) trvalého pobytu o</w:t>
      </w:r>
      <w:r w:rsidR="00394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dsouzeného 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území České republiky podle </w:t>
      </w:r>
      <w:r w:rsidR="006B27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 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uvedeného 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</w:t>
      </w:r>
      <w:r w:rsidR="0087436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9C5307" w14:textId="0596E3D8" w:rsidR="00F90013" w:rsidRDefault="00F810F5" w:rsidP="00F9001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Místem trvalého pobytu se rozumí adresa pobytu občana v České republice, která je vedena 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10F5">
        <w:rPr>
          <w:rFonts w:ascii="Times New Roman" w:eastAsia="Times New Roman" w:hAnsi="Times New Roman" w:cs="Times New Roman"/>
          <w:sz w:val="24"/>
          <w:szCs w:val="24"/>
          <w:lang w:eastAsia="cs-CZ"/>
        </w:rPr>
        <w:t>v základním registru obyvatel ve formě referenční vazby (kódu adresního místa) na referenční údaj o adrese v základním registru územní identifikace, adres a nemovitostí, kterou si občan zvolí zpravidla v místě, kde má rodinu, rodiče, byt nebo zaměstnání. Občan může mít jen jedno místo trvalého pobytu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v objektu, který je</w:t>
      </w:r>
      <w:r w:rsidRPr="00F81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označen číslem popisným nebo evidenčním, popřípadě orientačním číslem a který je určen pro bydlení, ubytování nebo individuá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lní rekreaci</w:t>
      </w:r>
      <w:r w:rsidRPr="00F810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nelze zjistit místo trvaléh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o pobytu odsouzeného</w:t>
      </w:r>
      <w:r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, rozumí se míst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em trvalého pobytu tohoto odsouzeného</w:t>
      </w:r>
      <w:r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sídlo ohlašovny, 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v jejímž územním obvodu se odsouzený</w:t>
      </w:r>
      <w:r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narodil, nebo sídlo zvláštní matri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 </w:t>
      </w:r>
      <w:r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narodil v cizině</w:t>
      </w:r>
      <w:r w:rsid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D88F828" w14:textId="0E38BD77" w:rsidR="00F810F5" w:rsidRDefault="006B273D" w:rsidP="00F9001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jde o odsouzeného, který není občanem ČR, je </w:t>
      </w:r>
      <w:r w:rsidR="009A0F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příslušný soud, v jehož obvodu odsouzený v době podání žádosti má nebo naposledy měl pobyt ve smyslu </w:t>
      </w:r>
      <w:r w:rsidR="00F810F5"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810F5" w:rsidRPr="00F900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326/1999 Sb., o pobytu cizinců na území České republiky.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jej nikdy neměl, vychází se z místa, kde se zdržuje, nebo naposledy zdržoval.</w:t>
      </w:r>
    </w:p>
    <w:p w14:paraId="20473DF4" w14:textId="3E6AC7F1" w:rsidR="003320BA" w:rsidRDefault="003320BA" w:rsidP="003320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Hlava II – Úkony související s trestním řízením</w:t>
      </w:r>
    </w:p>
    <w:p w14:paraId="2B1ACC32" w14:textId="043C2252" w:rsidR="003320BA" w:rsidRDefault="003320BA" w:rsidP="003320B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této hlavě je obsažena úprava úkonů, které nejsou prováděny v trestním řízení, ale s trestním řízením úzce souvisejí. Jde o řízen</w:t>
      </w:r>
      <w:r w:rsidR="00F82D44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milosti a amnestii, které je řízením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generis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dále pak o zpracování osobních údajů Ministerstvem spravedlnosti ve vztahu k trestnímu řízení.</w:t>
      </w:r>
    </w:p>
    <w:p w14:paraId="35E54C80" w14:textId="27457343" w:rsidR="00352EF0" w:rsidRDefault="00352EF0" w:rsidP="003320B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dílu 1 – milost</w:t>
      </w:r>
    </w:p>
    <w:p w14:paraId="51B54E5E" w14:textId="1045E1CA" w:rsidR="00F82D44" w:rsidRPr="00F82D44" w:rsidRDefault="00F82D44" w:rsidP="00F82D4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44">
        <w:rPr>
          <w:rFonts w:ascii="Times New Roman" w:hAnsi="Times New Roman" w:cs="Times New Roman"/>
          <w:sz w:val="24"/>
          <w:szCs w:val="24"/>
        </w:rPr>
        <w:t>V roce 2013 pověřil prezident Miloš Zeman ministra spravedlnosti vyřizováním žádostí o milost (rozhodnutí prezidenta republiky č. 378/2013 Sb., o přenesení pravomoci v řízení o udělení milosti). V tomto rozhodnutí prezident nastavil podmínky, za kterých mu musí být ministrem spravedlnosti žádost o milost předložena – jedná se o podmínku závažné choroby nebo nevyléčitelné choroby bezprostředně ohrožující život žadatele (respektive odsouzeného či trestně stíhaného, v jehož prospěch je o milost žádáno). Všechny žádosti, které tuto podmínku nesplňují, je ministr spravedlnosti oprávněn zamítnout. Veškerými žádostmi o milost se zabývá oddělení milostí</w:t>
      </w:r>
      <w:r w:rsidR="00753D52">
        <w:rPr>
          <w:rFonts w:ascii="Times New Roman" w:hAnsi="Times New Roman" w:cs="Times New Roman"/>
          <w:sz w:val="24"/>
          <w:szCs w:val="24"/>
        </w:rPr>
        <w:t xml:space="preserve"> Ministerstva spravedlnosti</w:t>
      </w:r>
      <w:r w:rsidRPr="00F82D44">
        <w:rPr>
          <w:rFonts w:ascii="Times New Roman" w:hAnsi="Times New Roman" w:cs="Times New Roman"/>
          <w:sz w:val="24"/>
          <w:szCs w:val="24"/>
        </w:rPr>
        <w:t xml:space="preserve">, které provádí řízení o každé takové žádosti. </w:t>
      </w:r>
    </w:p>
    <w:p w14:paraId="2B25EF23" w14:textId="7DB60963" w:rsidR="008B73F7" w:rsidRDefault="00F82D44" w:rsidP="003320B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jde o počty podaných žádostí o milost, z údajů Ministerstva spravedlnosti vyplývá, že se jedná v průměru o 600 žádostí ročně. S ohledem na objem této agendy se proto nepředpokládá její přesun na Kancelář prezidenta republiky.</w:t>
      </w:r>
    </w:p>
    <w:p w14:paraId="292D88F8" w14:textId="65B24F98" w:rsidR="00FE511E" w:rsidRPr="00020622" w:rsidRDefault="00FE511E" w:rsidP="00FE511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Stávající úprava </w:t>
      </w:r>
      <w:r w:rsidR="00CB0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podmíněně udělené milosti se doplňuje v návaznosti na </w:t>
      </w:r>
      <w:r w:rsidR="00CB037F">
        <w:rPr>
          <w:rFonts w:ascii="Times New Roman" w:hAnsi="Times New Roman"/>
          <w:sz w:val="24"/>
        </w:rPr>
        <w:t>principy obsažené</w:t>
      </w:r>
      <w:r w:rsidR="00020622">
        <w:rPr>
          <w:rFonts w:ascii="Times New Roman" w:hAnsi="Times New Roman"/>
          <w:sz w:val="24"/>
        </w:rPr>
        <w:t xml:space="preserve"> v nálezu </w:t>
      </w:r>
      <w:r w:rsidR="00020622" w:rsidRPr="00020622">
        <w:rPr>
          <w:rFonts w:ascii="Times New Roman" w:hAnsi="Times New Roman"/>
          <w:sz w:val="24"/>
        </w:rPr>
        <w:t xml:space="preserve">Ústavního soudu ze dne 19. 6. 2018, </w:t>
      </w:r>
      <w:proofErr w:type="spellStart"/>
      <w:r w:rsidR="00020622" w:rsidRPr="00020622">
        <w:rPr>
          <w:rFonts w:ascii="Times New Roman" w:hAnsi="Times New Roman"/>
          <w:sz w:val="24"/>
        </w:rPr>
        <w:t>sp</w:t>
      </w:r>
      <w:proofErr w:type="spellEnd"/>
      <w:r w:rsidR="00020622" w:rsidRPr="00020622">
        <w:rPr>
          <w:rFonts w:ascii="Times New Roman" w:hAnsi="Times New Roman"/>
          <w:sz w:val="24"/>
        </w:rPr>
        <w:t xml:space="preserve">. zn. </w:t>
      </w:r>
      <w:proofErr w:type="spellStart"/>
      <w:r w:rsidR="00020622" w:rsidRPr="00020622">
        <w:rPr>
          <w:rFonts w:ascii="Times New Roman" w:hAnsi="Times New Roman"/>
          <w:sz w:val="24"/>
        </w:rPr>
        <w:t>Pl</w:t>
      </w:r>
      <w:proofErr w:type="spellEnd"/>
      <w:r w:rsidR="00020622" w:rsidRPr="00020622">
        <w:rPr>
          <w:rFonts w:ascii="Times New Roman" w:hAnsi="Times New Roman"/>
          <w:sz w:val="24"/>
        </w:rPr>
        <w:t>. ÚS 36/17,</w:t>
      </w:r>
      <w:r w:rsidR="00020622">
        <w:rPr>
          <w:rFonts w:ascii="Times New Roman" w:hAnsi="Times New Roman"/>
          <w:sz w:val="24"/>
        </w:rPr>
        <w:t xml:space="preserve"> ve vztahu </w:t>
      </w:r>
      <w:r w:rsidR="00CB037F">
        <w:rPr>
          <w:rFonts w:ascii="Times New Roman" w:hAnsi="Times New Roman"/>
          <w:sz w:val="24"/>
        </w:rPr>
        <w:t>k podmíněné amnestii, neboť je třeba tyto principy uplatnit i na podmíněnou milost.</w:t>
      </w:r>
    </w:p>
    <w:p w14:paraId="5A631675" w14:textId="1A4AB4A5" w:rsidR="00FE511E" w:rsidRDefault="00020622" w:rsidP="008B73F7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Citovaný</w:t>
      </w:r>
      <w:r w:rsidR="00FE511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nález</w:t>
      </w:r>
      <w:r w:rsidR="00FE511E" w:rsidRPr="00094272">
        <w:rPr>
          <w:rFonts w:ascii="Times New Roman" w:hAnsi="Times New Roman"/>
          <w:sz w:val="24"/>
        </w:rPr>
        <w:t xml:space="preserve"> Ústavního soudu </w:t>
      </w:r>
      <w:r>
        <w:rPr>
          <w:rFonts w:ascii="Times New Roman" w:hAnsi="Times New Roman"/>
          <w:sz w:val="24"/>
        </w:rPr>
        <w:t>popřel předchozí praxi</w:t>
      </w:r>
      <w:r w:rsidR="00BF10A4">
        <w:rPr>
          <w:rFonts w:ascii="Times New Roman" w:hAnsi="Times New Roman"/>
          <w:sz w:val="24"/>
        </w:rPr>
        <w:t>, podle níž</w:t>
      </w:r>
      <w:r w:rsidR="00FE511E">
        <w:rPr>
          <w:rFonts w:ascii="Times New Roman" w:hAnsi="Times New Roman"/>
          <w:sz w:val="24"/>
        </w:rPr>
        <w:t xml:space="preserve"> porušení podmínky amnestie konstatoval prezident republiky na základě podkladů dodaných mu ze strany soudů prostřednictvím Ministerstva spravedlnosti, a soudy </w:t>
      </w:r>
      <w:r>
        <w:rPr>
          <w:rFonts w:ascii="Times New Roman" w:hAnsi="Times New Roman"/>
          <w:sz w:val="24"/>
        </w:rPr>
        <w:t xml:space="preserve">pouze nařizovaly výkon zbytku trestu. Ústavní soud konstatoval, že </w:t>
      </w:r>
      <w:r w:rsidR="00FE511E" w:rsidRPr="00094272">
        <w:rPr>
          <w:rFonts w:ascii="Times New Roman" w:hAnsi="Times New Roman"/>
          <w:sz w:val="24"/>
        </w:rPr>
        <w:t xml:space="preserve">o porušení podmínky amnestie </w:t>
      </w:r>
      <w:r>
        <w:rPr>
          <w:rFonts w:ascii="Times New Roman" w:hAnsi="Times New Roman"/>
          <w:sz w:val="24"/>
        </w:rPr>
        <w:t>mají rozhodovat</w:t>
      </w:r>
      <w:r w:rsidR="00FE511E" w:rsidRPr="00094272">
        <w:rPr>
          <w:rFonts w:ascii="Times New Roman" w:hAnsi="Times New Roman"/>
          <w:sz w:val="24"/>
        </w:rPr>
        <w:t xml:space="preserve"> </w:t>
      </w:r>
      <w:r w:rsidR="00FE511E" w:rsidRPr="00020622">
        <w:rPr>
          <w:rFonts w:ascii="Times New Roman" w:hAnsi="Times New Roman"/>
          <w:sz w:val="24"/>
        </w:rPr>
        <w:t>soudy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 xml:space="preserve">a rozhodnutí o porušení amnestijní podmínky má být činěno ve veřejném zasedání. </w:t>
      </w:r>
      <w:r w:rsidRPr="0059266B">
        <w:rPr>
          <w:rFonts w:ascii="Times New Roman" w:hAnsi="Times New Roman"/>
          <w:sz w:val="24"/>
        </w:rPr>
        <w:t>Rozhodnutí o tom, zda a do jaké míry je osoba, jíž byl pravomocně u</w:t>
      </w:r>
      <w:r>
        <w:rPr>
          <w:rFonts w:ascii="Times New Roman" w:hAnsi="Times New Roman"/>
          <w:sz w:val="24"/>
        </w:rPr>
        <w:t>ložen trest, účastna amnestie, má činit</w:t>
      </w:r>
      <w:r w:rsidRPr="0059266B">
        <w:rPr>
          <w:rFonts w:ascii="Times New Roman" w:hAnsi="Times New Roman"/>
          <w:sz w:val="24"/>
        </w:rPr>
        <w:t xml:space="preserve"> soud, který rozhodl v prvním stupni. Odpykává-li si taková osoba v době roz</w:t>
      </w:r>
      <w:r>
        <w:rPr>
          <w:rFonts w:ascii="Times New Roman" w:hAnsi="Times New Roman"/>
          <w:sz w:val="24"/>
        </w:rPr>
        <w:t xml:space="preserve">hodování trest odnětí svobody, </w:t>
      </w:r>
      <w:r w:rsidRPr="0059266B">
        <w:rPr>
          <w:rFonts w:ascii="Times New Roman" w:hAnsi="Times New Roman"/>
          <w:sz w:val="24"/>
        </w:rPr>
        <w:t>činí rozhodnutí soud, v jehož obvodu se trest vykonává</w:t>
      </w:r>
      <w:r>
        <w:rPr>
          <w:rFonts w:ascii="Times New Roman" w:hAnsi="Times New Roman"/>
          <w:sz w:val="24"/>
        </w:rPr>
        <w:t>.</w:t>
      </w:r>
    </w:p>
    <w:p w14:paraId="3B576C34" w14:textId="77777777" w:rsidR="00E76F40" w:rsidRDefault="00E76F40" w:rsidP="00E76F40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Vzhledem k uvedenému se navrhuje, aby o porušení podmínky milosti rozhodoval předseda senátu vždy ve veřejném zasedání (jde o rozhodnutí v neprospěch obviněného a je třeba uplatnit </w:t>
      </w:r>
      <w:r w:rsidRPr="00B9708B">
        <w:rPr>
          <w:rFonts w:ascii="Times New Roman" w:hAnsi="Times New Roman"/>
          <w:sz w:val="24"/>
        </w:rPr>
        <w:t xml:space="preserve">princip kontradiktornosti, </w:t>
      </w:r>
      <w:r>
        <w:rPr>
          <w:rFonts w:ascii="Times New Roman" w:hAnsi="Times New Roman"/>
          <w:sz w:val="24"/>
        </w:rPr>
        <w:t xml:space="preserve">zajistit </w:t>
      </w:r>
      <w:r w:rsidRPr="00B9708B">
        <w:rPr>
          <w:rFonts w:ascii="Times New Roman" w:hAnsi="Times New Roman"/>
          <w:sz w:val="24"/>
        </w:rPr>
        <w:t>práv</w:t>
      </w:r>
      <w:r>
        <w:rPr>
          <w:rFonts w:ascii="Times New Roman" w:hAnsi="Times New Roman"/>
          <w:sz w:val="24"/>
        </w:rPr>
        <w:t>o na obhajobu a princip</w:t>
      </w:r>
      <w:r w:rsidRPr="00B9708B">
        <w:rPr>
          <w:rFonts w:ascii="Times New Roman" w:hAnsi="Times New Roman"/>
          <w:sz w:val="24"/>
        </w:rPr>
        <w:t xml:space="preserve"> rovnosti účastníků řízení</w:t>
      </w:r>
      <w:r>
        <w:rPr>
          <w:rFonts w:ascii="Times New Roman" w:hAnsi="Times New Roman"/>
          <w:sz w:val="24"/>
        </w:rPr>
        <w:t xml:space="preserve"> (bod 45 nálezu ÚS)</w:t>
      </w:r>
      <w:r w:rsidRPr="00B9708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88415E">
        <w:rPr>
          <w:rFonts w:ascii="Times New Roman" w:hAnsi="Times New Roman" w:cs="Times New Roman"/>
          <w:bCs/>
          <w:iCs/>
          <w:sz w:val="24"/>
          <w:szCs w:val="24"/>
        </w:rPr>
        <w:t>Mimo veřejné zasedání může rozhodnout o zamítnutí návrhu z důvodu, že dosud neuplynula doba, po jejímž uplynutí může být rozhodnuto o osvědčení odsouzeného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(není tedy rozhodováno věcně)</w:t>
      </w:r>
      <w:r w:rsidRPr="0088415E">
        <w:rPr>
          <w:rFonts w:ascii="Times New Roman" w:hAnsi="Times New Roman" w:cs="Times New Roman"/>
          <w:bCs/>
          <w:iCs/>
          <w:sz w:val="24"/>
          <w:szCs w:val="24"/>
        </w:rPr>
        <w:t>, nebo o osvědčení odsouzeného</w:t>
      </w:r>
      <w:r>
        <w:rPr>
          <w:rFonts w:ascii="Times New Roman" w:hAnsi="Times New Roman" w:cs="Times New Roman"/>
          <w:bCs/>
          <w:iCs/>
          <w:sz w:val="24"/>
          <w:szCs w:val="24"/>
        </w:rPr>
        <w:t>, pokud s tím souhlasí státní zástupce (rozhodnutí ve prospěch odsouzeného)</w:t>
      </w:r>
      <w:r w:rsidRPr="0088415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DF2CC9" w14:textId="03A6F3FA" w:rsidR="00FE511E" w:rsidRPr="009F08D5" w:rsidRDefault="00E76F40" w:rsidP="00E76F40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Také zde se stanoví, že pokud </w:t>
      </w:r>
      <w:r w:rsidR="00FE511E">
        <w:rPr>
          <w:rFonts w:ascii="Times New Roman" w:hAnsi="Times New Roman"/>
          <w:sz w:val="24"/>
        </w:rPr>
        <w:t xml:space="preserve">do jednoho roku od uplynutí </w:t>
      </w:r>
      <w:r>
        <w:rPr>
          <w:rFonts w:ascii="Times New Roman" w:hAnsi="Times New Roman"/>
          <w:sz w:val="24"/>
        </w:rPr>
        <w:t xml:space="preserve">doby pro splnění podmínky milosti předseda senátu bez viny odsouzeného nerozhodne </w:t>
      </w:r>
      <w:r w:rsidR="00FE511E">
        <w:rPr>
          <w:rFonts w:ascii="Times New Roman" w:hAnsi="Times New Roman"/>
          <w:sz w:val="24"/>
        </w:rPr>
        <w:t>o splnění či porušení podmínky</w:t>
      </w:r>
      <w:r>
        <w:rPr>
          <w:rFonts w:ascii="Times New Roman" w:hAnsi="Times New Roman"/>
          <w:sz w:val="24"/>
        </w:rPr>
        <w:t xml:space="preserve"> milosti</w:t>
      </w:r>
      <w:r w:rsidR="00FE511E">
        <w:rPr>
          <w:rFonts w:ascii="Times New Roman" w:hAnsi="Times New Roman"/>
          <w:sz w:val="24"/>
        </w:rPr>
        <w:t xml:space="preserve">, </w:t>
      </w:r>
      <w:r w:rsidR="009F08D5" w:rsidRPr="009F08D5">
        <w:rPr>
          <w:rFonts w:ascii="Times New Roman" w:hAnsi="Times New Roman"/>
          <w:sz w:val="24"/>
        </w:rPr>
        <w:t xml:space="preserve">uplatní se </w:t>
      </w:r>
      <w:r w:rsidR="00FE511E" w:rsidRPr="009F08D5">
        <w:rPr>
          <w:rFonts w:ascii="Times New Roman" w:hAnsi="Times New Roman"/>
          <w:sz w:val="24"/>
        </w:rPr>
        <w:t>ex lege fikce osvědčení</w:t>
      </w:r>
      <w:r w:rsidR="009F08D5" w:rsidRPr="009F08D5">
        <w:rPr>
          <w:rFonts w:ascii="Times New Roman" w:hAnsi="Times New Roman"/>
          <w:sz w:val="24"/>
        </w:rPr>
        <w:t>.</w:t>
      </w:r>
    </w:p>
    <w:p w14:paraId="7AE2E5C8" w14:textId="5DE15319" w:rsidR="00FE511E" w:rsidRDefault="001858BF" w:rsidP="0002062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D63AA4">
        <w:rPr>
          <w:rFonts w:ascii="Times New Roman" w:eastAsia="Times New Roman" w:hAnsi="Times New Roman" w:cs="Times New Roman"/>
          <w:sz w:val="24"/>
          <w:szCs w:val="24"/>
          <w:lang w:eastAsia="cs-CZ"/>
        </w:rPr>
        <w:t>prava pozastavení řízení se doplňuje o procesní postup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rgánů činných v trestním řízení (dočasné odložení trestního stíhání, přerušení trestního stíhání, odložení nebo přerušení výkonu trestu).</w:t>
      </w:r>
    </w:p>
    <w:p w14:paraId="335325A2" w14:textId="29452E44" w:rsidR="00473F23" w:rsidRDefault="00473F23" w:rsidP="0002062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návaznosti na praktické zkušenosti se doplňuje úprava, kdo zajišťuje výkon rozhodnutí prezidenta o udělení milosti a výslovně se upravuje postup ve vztahu k žádostem o milost podaným jinými osobami ve prospěch odsouzeného. </w:t>
      </w:r>
    </w:p>
    <w:p w14:paraId="701A19EC" w14:textId="0CEA93D3" w:rsidR="00473F23" w:rsidRDefault="00473F23" w:rsidP="00473F2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dílu 2 – amnestie</w:t>
      </w:r>
    </w:p>
    <w:p w14:paraId="2004BCCD" w14:textId="5282B6A1" w:rsidR="00DD6B50" w:rsidRDefault="004471EE" w:rsidP="0062705E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0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Úprava příslušnosti </w:t>
      </w:r>
      <w:r w:rsidR="0062705E" w:rsidRPr="006270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soudu k rozhodnutí o účasti odsouzeného na amnestii je nastavena shodně s úpravou obsaženou v </w:t>
      </w:r>
      <w:r w:rsidR="0062705E" w:rsidRPr="0062705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>novele trestního řádu č…(sněmovní tisk 624).</w:t>
      </w:r>
      <w:r w:rsidR="0062705E" w:rsidRPr="006270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Tato novela </w:t>
      </w:r>
      <w:r w:rsidR="006270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změnila věcnou příslušnost rozhodování soudu ve vztahu k trestu odnětí svobody, neboť </w:t>
      </w:r>
      <w:r w:rsidR="0062705E" w:rsidRPr="006270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stanovila, že  </w:t>
      </w:r>
      <w:r w:rsidR="00DD6B50" w:rsidRPr="0062705E">
        <w:rPr>
          <w:rFonts w:ascii="Times New Roman" w:hAnsi="Times New Roman" w:cs="Times New Roman"/>
          <w:sz w:val="24"/>
          <w:szCs w:val="24"/>
        </w:rPr>
        <w:t xml:space="preserve">stejně jako v ostatních případech rozhodování souvisejícího s výkonem trestu odnětí svobody osob, které jsou ve výkonu trestu, </w:t>
      </w:r>
      <w:r w:rsidR="0062705E">
        <w:rPr>
          <w:rFonts w:ascii="Times New Roman" w:hAnsi="Times New Roman" w:cs="Times New Roman"/>
          <w:sz w:val="24"/>
          <w:szCs w:val="24"/>
        </w:rPr>
        <w:t xml:space="preserve">je </w:t>
      </w:r>
      <w:r w:rsidR="00DD6B50" w:rsidRPr="0062705E">
        <w:rPr>
          <w:rFonts w:ascii="Times New Roman" w:hAnsi="Times New Roman" w:cs="Times New Roman"/>
          <w:sz w:val="24"/>
          <w:szCs w:val="24"/>
        </w:rPr>
        <w:t>příslušný okresní</w:t>
      </w:r>
      <w:r w:rsidR="00DD6B50" w:rsidRPr="00627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B50" w:rsidRPr="0062705E">
        <w:rPr>
          <w:rFonts w:ascii="Times New Roman" w:hAnsi="Times New Roman" w:cs="Times New Roman"/>
          <w:sz w:val="24"/>
          <w:szCs w:val="24"/>
        </w:rPr>
        <w:t xml:space="preserve">soud, v jehož obvodu se trest vykonává. </w:t>
      </w:r>
    </w:p>
    <w:p w14:paraId="4B6E1A0F" w14:textId="0B317AA4" w:rsidR="00DD6B50" w:rsidRDefault="0062705E" w:rsidP="00473F2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V této souvislosti se navrhuje obdobně změnit příslušnost soudu k rozhodování podle </w:t>
      </w:r>
      <w:r w:rsidRPr="0062705E">
        <w:rPr>
          <w:rFonts w:ascii="Times New Roman" w:hAnsi="Times New Roman" w:cs="Times New Roman"/>
          <w:sz w:val="24"/>
          <w:szCs w:val="24"/>
          <w:highlight w:val="yellow"/>
        </w:rPr>
        <w:t>§ z11</w:t>
      </w:r>
      <w:r>
        <w:rPr>
          <w:rFonts w:ascii="Times New Roman" w:hAnsi="Times New Roman" w:cs="Times New Roman"/>
          <w:sz w:val="24"/>
          <w:szCs w:val="24"/>
        </w:rPr>
        <w:t xml:space="preserve">, neboť se jeví být vhodné nastavit jednotnou příslušnost soudu tak, aby o všech otázkách spojených s amnestií rozhodoval stejný soud a nebyla činěna rozhodnutí různými soudy. </w:t>
      </w:r>
    </w:p>
    <w:p w14:paraId="30041543" w14:textId="398ACCC3" w:rsidR="00473F23" w:rsidRPr="005912D1" w:rsidRDefault="005912D1" w:rsidP="00473F2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2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Stávající ustanovení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amnestii se </w:t>
      </w:r>
      <w:r w:rsidR="00DD6B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doplňují o podrobnější úpravu postupu při udělení podmíněné amnestie (která byla vyhlášena např. v </w:t>
      </w:r>
      <w:r w:rsidRPr="00094272">
        <w:rPr>
          <w:rFonts w:ascii="Times New Roman" w:hAnsi="Times New Roman"/>
          <w:sz w:val="24"/>
        </w:rPr>
        <w:t xml:space="preserve">čl. III rozhodnutí prezidenta republiky </w:t>
      </w:r>
      <w:r w:rsidR="00D27A1D">
        <w:rPr>
          <w:rFonts w:ascii="Times New Roman" w:hAnsi="Times New Roman"/>
          <w:sz w:val="24"/>
        </w:rPr>
        <w:br/>
      </w:r>
      <w:r w:rsidRPr="00094272">
        <w:rPr>
          <w:rFonts w:ascii="Times New Roman" w:hAnsi="Times New Roman"/>
          <w:sz w:val="24"/>
        </w:rPr>
        <w:t>o amnestii ze dne 1. 1. 2013 (č. 1/2013 Sb.)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uplatní se stejné principy, jako jsou výše popsány u podmíněné milosti.</w:t>
      </w:r>
    </w:p>
    <w:p w14:paraId="5E0CA27F" w14:textId="545AD47C" w:rsidR="00473F23" w:rsidRDefault="005912D1" w:rsidP="0002062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dílu 3 – zpracování osobních údajů Ministerstvem spravedlnosti</w:t>
      </w:r>
    </w:p>
    <w:p w14:paraId="5658FAB2" w14:textId="77777777" w:rsidR="00D27A1D" w:rsidRDefault="00EE3E6A" w:rsidP="00020622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Přebírá se stávající úprava obsažená v </w:t>
      </w:r>
      <w:r w:rsidR="005912D1" w:rsidRPr="00EE3E6A">
        <w:rPr>
          <w:rFonts w:ascii="Times New Roman" w:eastAsia="Times New Roman" w:hAnsi="Times New Roman" w:cs="Times New Roman"/>
          <w:sz w:val="24"/>
          <w:szCs w:val="24"/>
          <w:lang w:eastAsia="cs-CZ"/>
        </w:rPr>
        <w:t>§ 466b a § 466c</w:t>
      </w:r>
      <w:r w:rsidRPr="00EE3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trestního řádu, kterou je implementována </w:t>
      </w:r>
      <w:r w:rsidR="005F2BC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E3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měrnice Evropského parlamentu a Rady (EU) 2016/680 ze dne 27. dubna 2016 o ochraně fyzických osob v souvislosti se zpracováním osobních údajů příslušnými orgány za účelem prevence, vyšetřování, odhalování či stíhání trestných činů nebo výkonu trestů, o volném </w:t>
      </w:r>
      <w:r w:rsidRPr="00EE3E6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pohybu těchto údajů a o zrušení rámcového rozhodnutí Rady 2008/977/SVV</w:t>
      </w:r>
      <w:r w:rsidR="009F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ve vztahu k údajům zpracovávaným Ministerstvem spravedlnosti. </w:t>
      </w:r>
    </w:p>
    <w:p w14:paraId="3B968D43" w14:textId="4E095043" w:rsidR="005912D1" w:rsidRPr="00EE3E6A" w:rsidRDefault="009F7645" w:rsidP="0002062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Úprava zpracování osobních údajů pro orgány činné v trestním řízení je obsažena v hlavě II zákona č. 110/2019 Sb.</w:t>
      </w:r>
    </w:p>
    <w:sectPr w:rsidR="005912D1" w:rsidRPr="00EE3E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05B1F" w14:textId="77777777" w:rsidR="009B01BC" w:rsidRDefault="009B01BC" w:rsidP="00757149">
      <w:pPr>
        <w:spacing w:after="0" w:line="240" w:lineRule="auto"/>
      </w:pPr>
      <w:r>
        <w:separator/>
      </w:r>
    </w:p>
  </w:endnote>
  <w:endnote w:type="continuationSeparator" w:id="0">
    <w:p w14:paraId="4E4B6BFD" w14:textId="77777777" w:rsidR="009B01BC" w:rsidRDefault="009B01BC" w:rsidP="007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820790"/>
      <w:docPartObj>
        <w:docPartGallery w:val="Page Numbers (Bottom of Page)"/>
        <w:docPartUnique/>
      </w:docPartObj>
    </w:sdtPr>
    <w:sdtEndPr/>
    <w:sdtContent>
      <w:p w14:paraId="158612E8" w14:textId="0CCE8E21" w:rsidR="009B01BC" w:rsidRDefault="009B01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65D">
          <w:rPr>
            <w:noProof/>
          </w:rPr>
          <w:t>7</w:t>
        </w:r>
        <w:r>
          <w:fldChar w:fldCharType="end"/>
        </w:r>
      </w:p>
    </w:sdtContent>
  </w:sdt>
  <w:p w14:paraId="02B332B1" w14:textId="77777777" w:rsidR="009B01BC" w:rsidRDefault="009B0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0CAA5" w14:textId="77777777" w:rsidR="009B01BC" w:rsidRDefault="009B01BC" w:rsidP="00757149">
      <w:pPr>
        <w:spacing w:after="0" w:line="240" w:lineRule="auto"/>
      </w:pPr>
      <w:r>
        <w:separator/>
      </w:r>
    </w:p>
  </w:footnote>
  <w:footnote w:type="continuationSeparator" w:id="0">
    <w:p w14:paraId="1FCF07B3" w14:textId="77777777" w:rsidR="009B01BC" w:rsidRDefault="009B01BC" w:rsidP="0075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B7D"/>
    <w:multiLevelType w:val="hybridMultilevel"/>
    <w:tmpl w:val="AFD888F0"/>
    <w:lvl w:ilvl="0" w:tplc="AA5877F6">
      <w:start w:val="1"/>
      <w:numFmt w:val="decimal"/>
      <w:lvlText w:val="(%1)"/>
      <w:lvlJc w:val="left"/>
      <w:pPr>
        <w:ind w:left="1758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85437"/>
    <w:multiLevelType w:val="hybridMultilevel"/>
    <w:tmpl w:val="81C6257E"/>
    <w:lvl w:ilvl="0" w:tplc="11E4C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093E"/>
    <w:multiLevelType w:val="hybridMultilevel"/>
    <w:tmpl w:val="3AFC324C"/>
    <w:lvl w:ilvl="0" w:tplc="6C92B39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0524F0"/>
    <w:multiLevelType w:val="hybridMultilevel"/>
    <w:tmpl w:val="E59E75E8"/>
    <w:lvl w:ilvl="0" w:tplc="F6DE65E8">
      <w:start w:val="2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637EA"/>
    <w:multiLevelType w:val="hybridMultilevel"/>
    <w:tmpl w:val="FA646E1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B1651"/>
    <w:multiLevelType w:val="multilevel"/>
    <w:tmpl w:val="B28E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810D5"/>
    <w:multiLevelType w:val="hybridMultilevel"/>
    <w:tmpl w:val="A5B80068"/>
    <w:lvl w:ilvl="0" w:tplc="CC8CC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B7775"/>
    <w:multiLevelType w:val="hybridMultilevel"/>
    <w:tmpl w:val="E38E73A8"/>
    <w:lvl w:ilvl="0" w:tplc="A4306C9A">
      <w:start w:val="2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1A4A60"/>
    <w:multiLevelType w:val="hybridMultilevel"/>
    <w:tmpl w:val="0504E530"/>
    <w:lvl w:ilvl="0" w:tplc="4080C4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6E326D"/>
    <w:multiLevelType w:val="hybridMultilevel"/>
    <w:tmpl w:val="551C97EA"/>
    <w:lvl w:ilvl="0" w:tplc="DF22ABA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C50593"/>
    <w:multiLevelType w:val="hybridMultilevel"/>
    <w:tmpl w:val="EED03652"/>
    <w:lvl w:ilvl="0" w:tplc="4080C4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C158FE"/>
    <w:multiLevelType w:val="hybridMultilevel"/>
    <w:tmpl w:val="48900EB8"/>
    <w:lvl w:ilvl="0" w:tplc="7E92141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92545D4"/>
    <w:multiLevelType w:val="hybridMultilevel"/>
    <w:tmpl w:val="B86A2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85802"/>
    <w:multiLevelType w:val="hybridMultilevel"/>
    <w:tmpl w:val="98CC3C1A"/>
    <w:lvl w:ilvl="0" w:tplc="CB88C3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24"/>
    <w:rsid w:val="00020622"/>
    <w:rsid w:val="000620AD"/>
    <w:rsid w:val="000B7A6E"/>
    <w:rsid w:val="000D3814"/>
    <w:rsid w:val="000E3719"/>
    <w:rsid w:val="000F365D"/>
    <w:rsid w:val="00101C8D"/>
    <w:rsid w:val="001036AA"/>
    <w:rsid w:val="00110522"/>
    <w:rsid w:val="00154BEF"/>
    <w:rsid w:val="00171537"/>
    <w:rsid w:val="001858BF"/>
    <w:rsid w:val="00186D30"/>
    <w:rsid w:val="00193318"/>
    <w:rsid w:val="00194165"/>
    <w:rsid w:val="001A375C"/>
    <w:rsid w:val="001A3BA5"/>
    <w:rsid w:val="001C0E6D"/>
    <w:rsid w:val="001D0C58"/>
    <w:rsid w:val="001F2DE8"/>
    <w:rsid w:val="00244550"/>
    <w:rsid w:val="00264902"/>
    <w:rsid w:val="00265673"/>
    <w:rsid w:val="0026665C"/>
    <w:rsid w:val="00270F38"/>
    <w:rsid w:val="002907A5"/>
    <w:rsid w:val="00296A8C"/>
    <w:rsid w:val="002D18C7"/>
    <w:rsid w:val="002D5699"/>
    <w:rsid w:val="002E777D"/>
    <w:rsid w:val="002F177B"/>
    <w:rsid w:val="003007F2"/>
    <w:rsid w:val="003320BA"/>
    <w:rsid w:val="00337293"/>
    <w:rsid w:val="00352EF0"/>
    <w:rsid w:val="00366E70"/>
    <w:rsid w:val="00394ACB"/>
    <w:rsid w:val="0039611C"/>
    <w:rsid w:val="00396CA9"/>
    <w:rsid w:val="003E1905"/>
    <w:rsid w:val="00440307"/>
    <w:rsid w:val="004471EE"/>
    <w:rsid w:val="00460F31"/>
    <w:rsid w:val="00473F23"/>
    <w:rsid w:val="004850B6"/>
    <w:rsid w:val="004B3DFC"/>
    <w:rsid w:val="004C1DE1"/>
    <w:rsid w:val="00501B79"/>
    <w:rsid w:val="005376EC"/>
    <w:rsid w:val="00554F10"/>
    <w:rsid w:val="00584CCF"/>
    <w:rsid w:val="005912D1"/>
    <w:rsid w:val="005A3A24"/>
    <w:rsid w:val="005C570C"/>
    <w:rsid w:val="005E39F4"/>
    <w:rsid w:val="005F2BCF"/>
    <w:rsid w:val="005F4A77"/>
    <w:rsid w:val="0062245F"/>
    <w:rsid w:val="0062478C"/>
    <w:rsid w:val="00625022"/>
    <w:rsid w:val="0062705E"/>
    <w:rsid w:val="006A76EB"/>
    <w:rsid w:val="006B273D"/>
    <w:rsid w:val="006B53D8"/>
    <w:rsid w:val="006D6F9C"/>
    <w:rsid w:val="006F6F04"/>
    <w:rsid w:val="00701231"/>
    <w:rsid w:val="007229FE"/>
    <w:rsid w:val="00753D52"/>
    <w:rsid w:val="00754196"/>
    <w:rsid w:val="00756BBE"/>
    <w:rsid w:val="00757149"/>
    <w:rsid w:val="00781224"/>
    <w:rsid w:val="007C2AE2"/>
    <w:rsid w:val="007D18B3"/>
    <w:rsid w:val="007E1E5B"/>
    <w:rsid w:val="007E5F0F"/>
    <w:rsid w:val="0082650A"/>
    <w:rsid w:val="008562BA"/>
    <w:rsid w:val="0087436F"/>
    <w:rsid w:val="0088134E"/>
    <w:rsid w:val="0088415E"/>
    <w:rsid w:val="008A37CF"/>
    <w:rsid w:val="008B73F7"/>
    <w:rsid w:val="008C446F"/>
    <w:rsid w:val="008D3F64"/>
    <w:rsid w:val="008E0480"/>
    <w:rsid w:val="0090267A"/>
    <w:rsid w:val="00975C65"/>
    <w:rsid w:val="009864D1"/>
    <w:rsid w:val="009913AE"/>
    <w:rsid w:val="00996D21"/>
    <w:rsid w:val="009976A8"/>
    <w:rsid w:val="009A0F97"/>
    <w:rsid w:val="009B01BC"/>
    <w:rsid w:val="009B6955"/>
    <w:rsid w:val="009F08D5"/>
    <w:rsid w:val="009F7645"/>
    <w:rsid w:val="00A208D4"/>
    <w:rsid w:val="00A6499E"/>
    <w:rsid w:val="00A82C6E"/>
    <w:rsid w:val="00A94D3E"/>
    <w:rsid w:val="00AA543C"/>
    <w:rsid w:val="00AB250C"/>
    <w:rsid w:val="00AB4E0C"/>
    <w:rsid w:val="00AB55B7"/>
    <w:rsid w:val="00AC2A9B"/>
    <w:rsid w:val="00B34613"/>
    <w:rsid w:val="00B42D7E"/>
    <w:rsid w:val="00B66BD5"/>
    <w:rsid w:val="00B95E3A"/>
    <w:rsid w:val="00BF10A4"/>
    <w:rsid w:val="00BF5309"/>
    <w:rsid w:val="00CB037F"/>
    <w:rsid w:val="00CB49DC"/>
    <w:rsid w:val="00D0535A"/>
    <w:rsid w:val="00D06EC0"/>
    <w:rsid w:val="00D10817"/>
    <w:rsid w:val="00D27A1D"/>
    <w:rsid w:val="00D40D94"/>
    <w:rsid w:val="00D63AA4"/>
    <w:rsid w:val="00DA1848"/>
    <w:rsid w:val="00DB3D01"/>
    <w:rsid w:val="00DD272E"/>
    <w:rsid w:val="00DD6B50"/>
    <w:rsid w:val="00DE00A7"/>
    <w:rsid w:val="00E26789"/>
    <w:rsid w:val="00E458F3"/>
    <w:rsid w:val="00E76F40"/>
    <w:rsid w:val="00E77FD1"/>
    <w:rsid w:val="00E83EC6"/>
    <w:rsid w:val="00EA001D"/>
    <w:rsid w:val="00EB5747"/>
    <w:rsid w:val="00EC7D59"/>
    <w:rsid w:val="00EE3E6A"/>
    <w:rsid w:val="00EF4812"/>
    <w:rsid w:val="00F3062F"/>
    <w:rsid w:val="00F7000F"/>
    <w:rsid w:val="00F810F5"/>
    <w:rsid w:val="00F82D44"/>
    <w:rsid w:val="00F8558C"/>
    <w:rsid w:val="00F90013"/>
    <w:rsid w:val="00F90971"/>
    <w:rsid w:val="00FA01F5"/>
    <w:rsid w:val="00FC62F9"/>
    <w:rsid w:val="00FE511E"/>
    <w:rsid w:val="00FE5B6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1095"/>
  <w15:docId w15:val="{154DCBCD-1D45-43B9-9076-36D22085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BBE"/>
  </w:style>
  <w:style w:type="paragraph" w:styleId="Nadpis3">
    <w:name w:val="heading 3"/>
    <w:basedOn w:val="Normln"/>
    <w:link w:val="Nadpis3Char"/>
    <w:uiPriority w:val="9"/>
    <w:qFormat/>
    <w:rsid w:val="00440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4030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1">
    <w:name w:val="l1"/>
    <w:basedOn w:val="Normln"/>
    <w:rsid w:val="004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4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4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40307"/>
    <w:rPr>
      <w:i/>
      <w:iCs/>
    </w:rPr>
  </w:style>
  <w:style w:type="paragraph" w:customStyle="1" w:styleId="l5">
    <w:name w:val="l5"/>
    <w:basedOn w:val="Normln"/>
    <w:rsid w:val="004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3D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D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D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D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D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D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052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A37C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5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7149"/>
  </w:style>
  <w:style w:type="paragraph" w:styleId="Zpat">
    <w:name w:val="footer"/>
    <w:basedOn w:val="Normln"/>
    <w:link w:val="ZpatChar"/>
    <w:uiPriority w:val="99"/>
    <w:unhideWhenUsed/>
    <w:rsid w:val="0075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714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511E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511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E5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2483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Karlenik</dc:creator>
  <cp:keywords/>
  <dc:description/>
  <cp:lastModifiedBy>Trešlová Lenka Mgr.</cp:lastModifiedBy>
  <cp:revision>6</cp:revision>
  <dcterms:created xsi:type="dcterms:W3CDTF">2021-06-21T09:09:00Z</dcterms:created>
  <dcterms:modified xsi:type="dcterms:W3CDTF">2021-06-21T09:16:00Z</dcterms:modified>
</cp:coreProperties>
</file>