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0789" w14:textId="77777777" w:rsidR="003500C0" w:rsidRDefault="003500C0" w:rsidP="003500C0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14:paraId="30B6F574" w14:textId="77777777" w:rsidR="003500C0" w:rsidRPr="00004E3F" w:rsidRDefault="003500C0" w:rsidP="003500C0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14:paraId="75F31F28" w14:textId="77777777" w:rsidR="003500C0" w:rsidRPr="00004E3F" w:rsidRDefault="003500C0" w:rsidP="003500C0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004E3F">
        <w:rPr>
          <w:rFonts w:eastAsia="Calibri"/>
          <w:b/>
          <w:sz w:val="36"/>
          <w:szCs w:val="36"/>
          <w:lang w:eastAsia="en-US"/>
        </w:rPr>
        <w:t>U S N E S E N Í</w:t>
      </w:r>
    </w:p>
    <w:p w14:paraId="0AFF2E55" w14:textId="77777777" w:rsidR="003500C0" w:rsidRPr="00004E3F" w:rsidRDefault="003500C0" w:rsidP="003500C0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14:paraId="7AA11C76" w14:textId="744D173C" w:rsidR="003500C0" w:rsidRPr="00004E3F" w:rsidRDefault="003500C0" w:rsidP="003500C0">
      <w:pPr>
        <w:spacing w:after="200"/>
        <w:rPr>
          <w:rFonts w:eastAsia="Calibri"/>
          <w:lang w:eastAsia="en-US"/>
        </w:rPr>
      </w:pPr>
      <w:r w:rsidRPr="00004E3F">
        <w:rPr>
          <w:rFonts w:eastAsia="Calibri"/>
          <w:lang w:eastAsia="en-US"/>
        </w:rPr>
        <w:t xml:space="preserve">Krajský soud v Brně rozhodl dne 16. srpna 2021 v trestní věci obžalovaného </w:t>
      </w:r>
      <w:r w:rsidR="00CC24EF">
        <w:rPr>
          <w:rFonts w:eastAsia="Calibri"/>
          <w:lang w:eastAsia="en-US"/>
        </w:rPr>
        <w:t>R.D.</w:t>
      </w:r>
      <w:r w:rsidRPr="00004E3F">
        <w:rPr>
          <w:rFonts w:eastAsia="Calibri"/>
          <w:lang w:eastAsia="en-US"/>
        </w:rPr>
        <w:t xml:space="preserve">, nar. </w:t>
      </w:r>
      <w:r w:rsidR="00CC24EF">
        <w:rPr>
          <w:rFonts w:eastAsia="Calibri"/>
          <w:lang w:eastAsia="en-US"/>
        </w:rPr>
        <w:t>XXXXX</w:t>
      </w:r>
      <w:r w:rsidRPr="00004E3F">
        <w:rPr>
          <w:rFonts w:eastAsia="Calibri"/>
          <w:lang w:eastAsia="en-US"/>
        </w:rPr>
        <w:t xml:space="preserve"> v </w:t>
      </w:r>
      <w:r w:rsidR="00CC24EF">
        <w:rPr>
          <w:rFonts w:eastAsia="Calibri"/>
          <w:lang w:eastAsia="en-US"/>
        </w:rPr>
        <w:t>XXXXX</w:t>
      </w:r>
      <w:r w:rsidRPr="00004E3F">
        <w:rPr>
          <w:rFonts w:eastAsia="Calibri"/>
          <w:lang w:eastAsia="en-US"/>
        </w:rPr>
        <w:t xml:space="preserve">, bytem </w:t>
      </w:r>
      <w:r w:rsidR="00CC24EF">
        <w:rPr>
          <w:rFonts w:eastAsia="Calibri"/>
          <w:lang w:eastAsia="en-US"/>
        </w:rPr>
        <w:t>XXXXX</w:t>
      </w:r>
      <w:r w:rsidRPr="00004E3F">
        <w:rPr>
          <w:rFonts w:eastAsia="Calibri"/>
          <w:lang w:eastAsia="en-US"/>
        </w:rPr>
        <w:t xml:space="preserve">, t. č. ve výkonu trestu odnětí svobody ve věznici </w:t>
      </w:r>
      <w:r w:rsidR="00CC24EF" w:rsidRPr="00633999">
        <w:rPr>
          <w:rFonts w:eastAsia="Calibri"/>
          <w:lang w:eastAsia="en-US"/>
        </w:rPr>
        <w:t>XXXXX</w:t>
      </w:r>
      <w:r w:rsidRPr="00004E3F">
        <w:rPr>
          <w:rFonts w:eastAsia="Calibri"/>
          <w:lang w:eastAsia="en-US"/>
        </w:rPr>
        <w:t>,</w:t>
      </w:r>
    </w:p>
    <w:p w14:paraId="11CDD3CE" w14:textId="77777777" w:rsidR="003500C0" w:rsidRPr="00004E3F" w:rsidRDefault="003500C0" w:rsidP="003500C0">
      <w:pPr>
        <w:spacing w:after="200" w:line="276" w:lineRule="auto"/>
        <w:jc w:val="center"/>
        <w:rPr>
          <w:rFonts w:eastAsia="Calibri"/>
          <w:lang w:eastAsia="en-US"/>
        </w:rPr>
      </w:pPr>
      <w:r w:rsidRPr="00004E3F">
        <w:rPr>
          <w:rFonts w:eastAsia="Calibri"/>
          <w:b/>
          <w:lang w:eastAsia="en-US"/>
        </w:rPr>
        <w:t>takto</w:t>
      </w:r>
      <w:r w:rsidRPr="00004E3F">
        <w:rPr>
          <w:rFonts w:eastAsia="Calibri"/>
          <w:lang w:eastAsia="en-US"/>
        </w:rPr>
        <w:t>:</w:t>
      </w:r>
    </w:p>
    <w:p w14:paraId="20433FE8" w14:textId="77777777" w:rsidR="003500C0" w:rsidRPr="00004E3F" w:rsidRDefault="003500C0" w:rsidP="003500C0">
      <w:pPr>
        <w:spacing w:after="0" w:line="360" w:lineRule="auto"/>
        <w:rPr>
          <w:rFonts w:eastAsia="Calibri"/>
          <w:lang w:eastAsia="en-US"/>
        </w:rPr>
      </w:pPr>
      <w:r w:rsidRPr="00004E3F">
        <w:rPr>
          <w:rFonts w:eastAsia="Calibri"/>
          <w:lang w:eastAsia="en-US"/>
        </w:rPr>
        <w:t>Podle § 131 odst. 1 trestního řádu se opravuje písemné vyhotovení rozsudku Krajského soudu v Brně ze dne 20. května 2021, sp. zn. 50 T 7/2020, tak, že:</w:t>
      </w:r>
    </w:p>
    <w:p w14:paraId="4EF7785A" w14:textId="77777777" w:rsidR="003500C0" w:rsidRPr="00004E3F" w:rsidRDefault="003500C0" w:rsidP="003500C0">
      <w:pPr>
        <w:spacing w:after="0" w:line="360" w:lineRule="auto"/>
        <w:rPr>
          <w:rFonts w:eastAsia="Calibri"/>
          <w:lang w:eastAsia="en-US"/>
        </w:rPr>
      </w:pPr>
    </w:p>
    <w:p w14:paraId="06D10312" w14:textId="77777777" w:rsidR="003500C0" w:rsidRDefault="003500C0" w:rsidP="003500C0">
      <w:pPr>
        <w:spacing w:after="0" w:line="360" w:lineRule="auto"/>
        <w:rPr>
          <w:rFonts w:eastAsia="Calibri"/>
          <w:lang w:eastAsia="en-US"/>
        </w:rPr>
      </w:pPr>
      <w:r w:rsidRPr="00004E3F">
        <w:rPr>
          <w:rFonts w:eastAsia="Calibri"/>
          <w:lang w:eastAsia="en-US"/>
        </w:rPr>
        <w:t xml:space="preserve">v bodě 55) výroku o vině bude namísto: ,,ke škodě obchodní společnosti </w:t>
      </w:r>
      <w:r w:rsidRPr="00004E3F">
        <w:rPr>
          <w:rFonts w:eastAsia="Calibri"/>
          <w:b/>
          <w:lang w:eastAsia="en-US"/>
        </w:rPr>
        <w:t>BNP Paribas Personal Finance SA, IČ: 038 14 742, se sídlem Praha 5, Smíchov, Karla Engliše 3208/5,</w:t>
      </w:r>
      <w:r w:rsidRPr="00004E3F">
        <w:rPr>
          <w:rFonts w:eastAsia="Calibri"/>
          <w:lang w:eastAsia="en-US"/>
        </w:rPr>
        <w:t xml:space="preserve"> prostřednictvím internetu na webu </w:t>
      </w:r>
      <w:hyperlink r:id="rId4" w:history="1">
        <w:r w:rsidRPr="00004E3F">
          <w:rPr>
            <w:rFonts w:eastAsia="Calibri"/>
            <w:color w:val="0000FF"/>
            <w:u w:val="single"/>
            <w:lang w:eastAsia="en-US"/>
          </w:rPr>
          <w:t>www.cetelem.cz</w:t>
        </w:r>
      </w:hyperlink>
      <w:r w:rsidRPr="00004E3F">
        <w:rPr>
          <w:rFonts w:eastAsia="Calibri"/>
          <w:lang w:eastAsia="en-US"/>
        </w:rPr>
        <w:t xml:space="preserve"> s touto společností jednal a uzavřel:“ správně uvedeno ,, ke škodě obchodní společnosti </w:t>
      </w:r>
      <w:r w:rsidRPr="00004E3F">
        <w:rPr>
          <w:rFonts w:eastAsia="Calibri"/>
          <w:b/>
          <w:lang w:eastAsia="en-US"/>
        </w:rPr>
        <w:t>BNP Paribas Personal Finance, se sídlem 1 boulevard Haussman, 750 09 Paříž, Francie, registrační číslo 542 097 902</w:t>
      </w:r>
      <w:r w:rsidRPr="00004E3F">
        <w:rPr>
          <w:rFonts w:eastAsia="Calibri"/>
          <w:lang w:eastAsia="en-US"/>
        </w:rPr>
        <w:t xml:space="preserve">, prostřednictvím internetu na webu </w:t>
      </w:r>
      <w:hyperlink r:id="rId5" w:history="1">
        <w:r w:rsidRPr="00004E3F">
          <w:rPr>
            <w:rFonts w:eastAsia="Calibri"/>
            <w:color w:val="0000FF"/>
            <w:u w:val="single"/>
            <w:lang w:eastAsia="en-US"/>
          </w:rPr>
          <w:t>www.cetelem.cz</w:t>
        </w:r>
      </w:hyperlink>
      <w:r w:rsidRPr="00004E3F">
        <w:rPr>
          <w:rFonts w:eastAsia="Calibri"/>
          <w:lang w:eastAsia="en-US"/>
        </w:rPr>
        <w:t xml:space="preserve"> s touto společností jednal a uzavřel:“ a dále ve výroku o náhradě škody bude na místo „- </w:t>
      </w:r>
      <w:r w:rsidRPr="00004E3F">
        <w:rPr>
          <w:rFonts w:eastAsia="Calibri"/>
          <w:b/>
          <w:lang w:eastAsia="en-US"/>
        </w:rPr>
        <w:t xml:space="preserve">BNP Paribas Personal Finance SA, odštěpný závod, IČ: 038 14 742, se sídlem Praha 5, Smíchov, Karla Engliše 3208/5, </w:t>
      </w:r>
      <w:r w:rsidRPr="00004E3F">
        <w:rPr>
          <w:rFonts w:eastAsia="Calibri"/>
          <w:lang w:eastAsia="en-US"/>
        </w:rPr>
        <w:t>ve výši 562.000 Kč“ správně uvedeno „-</w:t>
      </w:r>
      <w:r w:rsidRPr="00004E3F">
        <w:rPr>
          <w:rFonts w:eastAsia="Calibri"/>
          <w:b/>
          <w:lang w:eastAsia="en-US"/>
        </w:rPr>
        <w:t xml:space="preserve">BNP Paribas Personal Finance, se sídlem 1 boulevard Haussman, 750 09 Paříž, Francie, registrační číslo 542 097 902, </w:t>
      </w:r>
      <w:r w:rsidRPr="00004E3F">
        <w:rPr>
          <w:rFonts w:eastAsia="Calibri"/>
          <w:lang w:eastAsia="en-US"/>
        </w:rPr>
        <w:t>ve výši 562.000 Kč“.</w:t>
      </w:r>
    </w:p>
    <w:p w14:paraId="1B6F6C02" w14:textId="77777777" w:rsidR="003500C0" w:rsidRPr="00004E3F" w:rsidRDefault="003500C0" w:rsidP="003500C0">
      <w:pPr>
        <w:spacing w:after="0" w:line="360" w:lineRule="auto"/>
        <w:rPr>
          <w:rFonts w:eastAsia="Calibri"/>
          <w:lang w:eastAsia="en-US"/>
        </w:rPr>
      </w:pPr>
      <w:r w:rsidRPr="00004E3F">
        <w:rPr>
          <w:rFonts w:eastAsia="Calibri"/>
          <w:lang w:eastAsia="en-US"/>
        </w:rPr>
        <w:tab/>
      </w:r>
      <w:r w:rsidRPr="00004E3F">
        <w:rPr>
          <w:rFonts w:eastAsia="Calibri"/>
          <w:lang w:eastAsia="en-US"/>
        </w:rPr>
        <w:tab/>
      </w:r>
      <w:r w:rsidRPr="00004E3F">
        <w:rPr>
          <w:rFonts w:eastAsia="Calibri"/>
          <w:lang w:eastAsia="en-US"/>
        </w:rPr>
        <w:tab/>
      </w:r>
      <w:r w:rsidRPr="00004E3F">
        <w:rPr>
          <w:rFonts w:eastAsia="Calibri"/>
          <w:lang w:eastAsia="en-US"/>
        </w:rPr>
        <w:tab/>
      </w:r>
    </w:p>
    <w:p w14:paraId="1C8F517C" w14:textId="77777777" w:rsidR="003500C0" w:rsidRPr="00004E3F" w:rsidRDefault="003500C0" w:rsidP="003500C0">
      <w:pPr>
        <w:spacing w:after="0" w:line="276" w:lineRule="auto"/>
        <w:ind w:firstLine="708"/>
        <w:jc w:val="left"/>
        <w:rPr>
          <w:rFonts w:eastAsia="Calibri"/>
          <w:b/>
          <w:lang w:eastAsia="en-US"/>
        </w:rPr>
      </w:pPr>
      <w:r w:rsidRPr="00004E3F">
        <w:rPr>
          <w:rFonts w:eastAsia="Calibri"/>
          <w:b/>
          <w:lang w:eastAsia="en-US"/>
        </w:rPr>
        <w:t xml:space="preserve">                                                   </w:t>
      </w:r>
    </w:p>
    <w:p w14:paraId="4135C3D6" w14:textId="77777777" w:rsidR="003500C0" w:rsidRPr="00004E3F" w:rsidRDefault="003500C0" w:rsidP="003500C0">
      <w:pPr>
        <w:spacing w:after="0"/>
        <w:ind w:left="1416" w:firstLine="708"/>
        <w:jc w:val="left"/>
        <w:rPr>
          <w:rFonts w:eastAsia="Calibri"/>
          <w:b/>
          <w:lang w:eastAsia="en-US"/>
        </w:rPr>
      </w:pPr>
      <w:r w:rsidRPr="00004E3F">
        <w:rPr>
          <w:rFonts w:eastAsia="Calibri"/>
          <w:b/>
          <w:lang w:eastAsia="en-US"/>
        </w:rPr>
        <w:t xml:space="preserve">                          Odůvodnění:</w:t>
      </w:r>
    </w:p>
    <w:p w14:paraId="46A6AEA6" w14:textId="77777777" w:rsidR="003500C0" w:rsidRPr="00004E3F" w:rsidRDefault="003500C0" w:rsidP="003500C0">
      <w:pPr>
        <w:spacing w:after="0"/>
        <w:rPr>
          <w:rFonts w:eastAsia="Calibri"/>
          <w:lang w:eastAsia="en-US"/>
        </w:rPr>
      </w:pPr>
    </w:p>
    <w:p w14:paraId="03870235" w14:textId="4326E092" w:rsidR="003500C0" w:rsidRPr="00004E3F" w:rsidRDefault="003500C0" w:rsidP="003500C0">
      <w:pPr>
        <w:spacing w:after="200"/>
        <w:rPr>
          <w:rFonts w:eastAsia="Calibri"/>
          <w:lang w:eastAsia="en-US"/>
        </w:rPr>
      </w:pPr>
      <w:r w:rsidRPr="00004E3F">
        <w:rPr>
          <w:rFonts w:eastAsia="Calibri"/>
          <w:lang w:eastAsia="en-US"/>
        </w:rPr>
        <w:t xml:space="preserve">Shora uvedeným rozsudkem Krajského soudu v Brně ze dne 20. 5. 2021, sp. zn. 50 T 7/2020, byl obžalovaný </w:t>
      </w:r>
      <w:r w:rsidR="00CC24EF">
        <w:rPr>
          <w:rFonts w:eastAsia="Calibri"/>
          <w:lang w:eastAsia="en-US"/>
        </w:rPr>
        <w:t>R.</w:t>
      </w:r>
      <w:r w:rsidRPr="00004E3F">
        <w:rPr>
          <w:rFonts w:eastAsia="Calibri"/>
          <w:lang w:eastAsia="en-US"/>
        </w:rPr>
        <w:t xml:space="preserve"> </w:t>
      </w:r>
      <w:r w:rsidR="00CC24EF">
        <w:rPr>
          <w:rFonts w:eastAsia="Calibri"/>
          <w:lang w:eastAsia="en-US"/>
        </w:rPr>
        <w:t>D.</w:t>
      </w:r>
      <w:r w:rsidRPr="00004E3F">
        <w:rPr>
          <w:rFonts w:eastAsia="Calibri"/>
          <w:lang w:eastAsia="en-US"/>
        </w:rPr>
        <w:t xml:space="preserve"> uznán vinným ze spáchání zločinu úvěrového podvodu podle § 211 odst. 1, odst. 3, odst. 5 písm. c) trestního zákoníku, dílem dokonaný a dílem ve stadiu pokusu ve smyslu § 21 odst. 1 trestního zákoníku, přečinu poškození cizích práv podle §181 odst. 1 písm. a) trestního zákoníku, přečinu úvěrového podvodu podle §211 odst. 1, 3, 4 trestního zákoníku ve formě pomoci ve smyslu § 24 odst. 1 písm. c) trestního zákoníku, přečinu úvěrového podvodu podle §211 odst. 1,3 trestního zákoníku ve formě pomoci ve smyslu § 24 odst. 1 písm. c) trestního zákoníku, zločinu podvodu podle § 209 odst. 1, 2, 4 písm. d) trestního zákoníku a byl mu uložen společný souhrnný trest odnětí svobody v trvání 6 let.</w:t>
      </w:r>
    </w:p>
    <w:p w14:paraId="6D6C4DF1" w14:textId="77777777" w:rsidR="003500C0" w:rsidRPr="00004E3F" w:rsidRDefault="003500C0" w:rsidP="003500C0">
      <w:pPr>
        <w:spacing w:after="0"/>
        <w:rPr>
          <w:rFonts w:eastAsia="Calibri"/>
          <w:lang w:eastAsia="en-US"/>
        </w:rPr>
      </w:pPr>
      <w:r w:rsidRPr="00004E3F">
        <w:rPr>
          <w:rFonts w:eastAsia="Calibri"/>
          <w:lang w:eastAsia="en-US"/>
        </w:rPr>
        <w:t>Aby byly opraveny zřejmé nesprávnosti, k nimž došlo v označení poškozené společnosti BNP Paribas Personal Finance, rozhodl Krajský soud v Brně v souladu s ustanovením § 131 odst. 1 trestního řádu o opravě vyhotovení tohoto rozsudku tak, jak je uvedeno ve výroku tohoto usnesení.</w:t>
      </w:r>
    </w:p>
    <w:p w14:paraId="6EF71A92" w14:textId="77777777" w:rsidR="003500C0" w:rsidRPr="00004E3F" w:rsidRDefault="003500C0" w:rsidP="003500C0">
      <w:pPr>
        <w:spacing w:after="200"/>
        <w:ind w:left="993" w:hanging="993"/>
        <w:rPr>
          <w:rFonts w:eastAsia="Calibri"/>
          <w:b/>
          <w:lang w:eastAsia="en-US"/>
        </w:rPr>
      </w:pPr>
    </w:p>
    <w:p w14:paraId="18C35558" w14:textId="77777777" w:rsidR="003500C0" w:rsidRPr="00004E3F" w:rsidRDefault="003500C0" w:rsidP="003500C0">
      <w:pPr>
        <w:spacing w:after="200"/>
        <w:ind w:left="993" w:hanging="993"/>
        <w:jc w:val="center"/>
        <w:rPr>
          <w:rFonts w:eastAsia="Calibri"/>
          <w:lang w:eastAsia="en-US"/>
        </w:rPr>
      </w:pPr>
      <w:r w:rsidRPr="00004E3F">
        <w:rPr>
          <w:rFonts w:eastAsia="Calibri"/>
          <w:b/>
          <w:lang w:eastAsia="en-US"/>
        </w:rPr>
        <w:t>Poučení:</w:t>
      </w:r>
    </w:p>
    <w:p w14:paraId="18ADBFA7" w14:textId="77777777" w:rsidR="003500C0" w:rsidRPr="00004E3F" w:rsidRDefault="003500C0" w:rsidP="003500C0">
      <w:pPr>
        <w:spacing w:after="200"/>
        <w:rPr>
          <w:rFonts w:eastAsia="Calibri"/>
          <w:lang w:eastAsia="en-US"/>
        </w:rPr>
      </w:pPr>
      <w:r w:rsidRPr="00004E3F">
        <w:rPr>
          <w:rFonts w:eastAsia="Calibri"/>
          <w:lang w:eastAsia="en-US"/>
        </w:rPr>
        <w:t xml:space="preserve">Proti tomuto usnesení je přípustná stížnost, kterou lze podat ve lhůtě tří dnů ode dne jeho oznámení k Vrchnímu soudu v Olomouci prostřednictvím Krajského soudu v Brně. </w:t>
      </w:r>
    </w:p>
    <w:p w14:paraId="5C9E235D" w14:textId="77777777" w:rsidR="003500C0" w:rsidRPr="00004E3F" w:rsidRDefault="003500C0" w:rsidP="003500C0">
      <w:pPr>
        <w:spacing w:after="200"/>
        <w:rPr>
          <w:rFonts w:eastAsia="Calibri"/>
          <w:lang w:eastAsia="en-US"/>
        </w:rPr>
      </w:pPr>
    </w:p>
    <w:p w14:paraId="39BF7B61" w14:textId="77777777" w:rsidR="003500C0" w:rsidRPr="00004E3F" w:rsidRDefault="003500C0" w:rsidP="003500C0">
      <w:pPr>
        <w:keepNext/>
        <w:spacing w:before="240" w:after="60"/>
        <w:jc w:val="left"/>
        <w:outlineLvl w:val="0"/>
        <w:rPr>
          <w:bCs/>
          <w:kern w:val="32"/>
          <w:lang w:eastAsia="en-US"/>
        </w:rPr>
      </w:pPr>
      <w:r w:rsidRPr="00004E3F">
        <w:rPr>
          <w:bCs/>
          <w:kern w:val="32"/>
          <w:lang w:eastAsia="en-US"/>
        </w:rPr>
        <w:t>Brno 16. srpna 2021</w:t>
      </w:r>
    </w:p>
    <w:p w14:paraId="01ED14DB" w14:textId="77777777" w:rsidR="003500C0" w:rsidRPr="00004E3F" w:rsidRDefault="003500C0" w:rsidP="003500C0">
      <w:pPr>
        <w:spacing w:after="0"/>
        <w:ind w:right="-1" w:hanging="283"/>
        <w:jc w:val="left"/>
        <w:outlineLvl w:val="0"/>
      </w:pPr>
      <w:r w:rsidRPr="00004E3F">
        <w:t xml:space="preserve">                                                                                                       Mgr. Ing. Dagmar Bordovská</w:t>
      </w:r>
      <w:r>
        <w:t xml:space="preserve"> v.r.</w:t>
      </w:r>
    </w:p>
    <w:p w14:paraId="7F45B626" w14:textId="77777777" w:rsidR="003500C0" w:rsidRPr="00004E3F" w:rsidRDefault="003500C0" w:rsidP="003500C0">
      <w:pPr>
        <w:spacing w:after="0"/>
        <w:ind w:right="-1" w:hanging="283"/>
        <w:jc w:val="left"/>
      </w:pPr>
      <w:r w:rsidRPr="00004E3F">
        <w:t xml:space="preserve">                                                                                                                      předsedkyně senátu</w:t>
      </w:r>
    </w:p>
    <w:p w14:paraId="551400E4" w14:textId="77777777" w:rsidR="00282005" w:rsidRDefault="00282005"/>
    <w:sectPr w:rsidR="00282005" w:rsidSect="00004E3F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95D9" w14:textId="77777777" w:rsidR="005673FA" w:rsidRPr="005673FA" w:rsidRDefault="00CC24EF">
    <w:pPr>
      <w:pStyle w:val="Zpat"/>
      <w:rPr>
        <w:sz w:val="20"/>
        <w:szCs w:val="20"/>
      </w:rPr>
    </w:pPr>
    <w:r w:rsidRPr="005673FA">
      <w:rPr>
        <w:sz w:val="20"/>
        <w:szCs w:val="20"/>
      </w:rPr>
      <w:t xml:space="preserve">Shodu </w:t>
    </w:r>
    <w:r w:rsidRPr="005673FA">
      <w:rPr>
        <w:sz w:val="20"/>
        <w:szCs w:val="20"/>
      </w:rPr>
      <w:t>s prvopisem potvrzuje: Jitka Břenková, DiS.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D089" w14:textId="77777777" w:rsidR="005673FA" w:rsidRDefault="00CC24EF" w:rsidP="005673FA">
    <w:pPr>
      <w:pStyle w:val="Zhlav"/>
      <w:jc w:val="right"/>
    </w:pPr>
    <w:r>
      <w:t>50T 7/2020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505E" w14:textId="77777777" w:rsidR="00004E3F" w:rsidRDefault="00CC24EF" w:rsidP="00004E3F">
    <w:pPr>
      <w:pStyle w:val="Zhlav"/>
      <w:jc w:val="right"/>
    </w:pPr>
    <w:r>
      <w:t>50T 7/2020</w:t>
    </w:r>
    <w:r>
      <w:t xml:space="preserve"> </w:t>
    </w:r>
    <w:r>
      <w:t>-</w:t>
    </w:r>
    <w:r>
      <w:t xml:space="preserve"> </w:t>
    </w:r>
    <w:r>
      <w:t>7912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C0"/>
    <w:rsid w:val="00282005"/>
    <w:rsid w:val="003500C0"/>
    <w:rsid w:val="00397888"/>
    <w:rsid w:val="00C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EAF8"/>
  <w15:chartTrackingRefBased/>
  <w15:docId w15:val="{05DC66EE-1BAA-4469-802E-67B4D8F1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0C0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350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0C0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0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0C0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cetelem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etele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cp:lastPrinted>2023-03-01T13:13:00Z</cp:lastPrinted>
  <dcterms:created xsi:type="dcterms:W3CDTF">2023-03-01T13:10:00Z</dcterms:created>
  <dcterms:modified xsi:type="dcterms:W3CDTF">2023-03-01T13:13:00Z</dcterms:modified>
</cp:coreProperties>
</file>