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2D5C" w14:textId="77777777" w:rsidR="003864CC" w:rsidRPr="008A73EC" w:rsidRDefault="003864CC" w:rsidP="003864CC">
      <w:pPr>
        <w:spacing w:after="960" w:line="276" w:lineRule="auto"/>
        <w:ind w:left="6372" w:firstLine="708"/>
        <w:rPr>
          <w:rFonts w:eastAsia="Calibri"/>
          <w:b/>
          <w:lang w:eastAsia="en-US"/>
        </w:rPr>
      </w:pPr>
      <w:r w:rsidRPr="008A73EC">
        <w:rPr>
          <w:b/>
          <w:bCs/>
        </w:rPr>
        <w:t>74</w:t>
      </w:r>
      <w:r w:rsidRPr="008A73EC">
        <w:rPr>
          <w:rFonts w:eastAsia="Calibri"/>
          <w:b/>
          <w:lang w:eastAsia="en-US"/>
        </w:rPr>
        <w:t xml:space="preserve"> Co 229/2022-</w:t>
      </w:r>
      <w:r>
        <w:rPr>
          <w:rFonts w:eastAsia="Calibri"/>
          <w:b/>
          <w:lang w:eastAsia="en-US"/>
        </w:rPr>
        <w:t>453</w:t>
      </w:r>
    </w:p>
    <w:p w14:paraId="2A2AF79E" w14:textId="77777777" w:rsidR="003864CC" w:rsidRPr="008A73EC" w:rsidRDefault="003864CC" w:rsidP="003864CC">
      <w:pPr>
        <w:spacing w:after="200" w:line="276" w:lineRule="auto"/>
        <w:ind w:left="2832" w:firstLine="708"/>
        <w:rPr>
          <w:rFonts w:eastAsia="Calibri"/>
          <w:b/>
          <w:sz w:val="40"/>
          <w:szCs w:val="40"/>
          <w:lang w:eastAsia="en-US"/>
        </w:rPr>
      </w:pPr>
      <w:r w:rsidRPr="008A73EC">
        <w:rPr>
          <w:rFonts w:eastAsia="Calibri"/>
          <w:b/>
          <w:sz w:val="40"/>
          <w:szCs w:val="40"/>
          <w:lang w:eastAsia="en-US"/>
        </w:rPr>
        <w:t>USNESENÍ</w:t>
      </w:r>
    </w:p>
    <w:p w14:paraId="4D6A3008" w14:textId="77777777" w:rsidR="003864CC" w:rsidRPr="008A73EC" w:rsidRDefault="003864CC" w:rsidP="003864CC">
      <w:pPr>
        <w:ind w:firstLine="708"/>
        <w:rPr>
          <w:rFonts w:eastAsia="Garamond"/>
          <w:color w:val="FF0000"/>
        </w:rPr>
      </w:pPr>
    </w:p>
    <w:p w14:paraId="7DC16F41" w14:textId="77777777" w:rsidR="003864CC" w:rsidRPr="008A73EC" w:rsidRDefault="003864CC" w:rsidP="003864CC">
      <w:pPr>
        <w:spacing w:after="240"/>
        <w:rPr>
          <w:lang w:val="it-IT"/>
        </w:rPr>
      </w:pPr>
      <w:r w:rsidRPr="008A73EC">
        <w:t xml:space="preserve">Krajský soud v Brně rozhodl </w:t>
      </w:r>
      <w:r w:rsidRPr="008A73EC">
        <w:rPr>
          <w:bdr w:val="none" w:sz="0" w:space="0" w:color="auto" w:frame="1"/>
        </w:rPr>
        <w:t>v senátě složeném z předsedkyně Mgr. Evy Krčmářové a soudců JUDr. Miroslava Řezáče a JUDr. Petra Ševčíka, LL. M., ve věci</w:t>
      </w:r>
    </w:p>
    <w:p w14:paraId="00D61457" w14:textId="77777777" w:rsidR="003864CC" w:rsidRPr="008A73EC" w:rsidRDefault="003864CC" w:rsidP="003864CC">
      <w:pPr>
        <w:ind w:firstLine="708"/>
        <w:rPr>
          <w:rFonts w:eastAsia="Calibri"/>
          <w:color w:val="FF0000"/>
        </w:rPr>
      </w:pPr>
    </w:p>
    <w:p w14:paraId="2FD70DAC" w14:textId="77777777" w:rsidR="003864CC" w:rsidRPr="008A73EC" w:rsidRDefault="003864CC" w:rsidP="003864CC">
      <w:pPr>
        <w:spacing w:after="0"/>
        <w:ind w:left="1701" w:hanging="1701"/>
        <w:jc w:val="left"/>
        <w:rPr>
          <w:bdr w:val="none" w:sz="0" w:space="0" w:color="auto" w:frame="1"/>
        </w:rPr>
      </w:pPr>
      <w:proofErr w:type="gramStart"/>
      <w:r w:rsidRPr="008A73EC">
        <w:rPr>
          <w:bdr w:val="none" w:sz="0" w:space="0" w:color="auto" w:frame="1"/>
        </w:rPr>
        <w:t>žalobce:   </w:t>
      </w:r>
      <w:proofErr w:type="gramEnd"/>
      <w:r w:rsidRPr="008A73EC">
        <w:rPr>
          <w:bdr w:val="none" w:sz="0" w:space="0" w:color="auto" w:frame="1"/>
        </w:rPr>
        <w:t xml:space="preserve">            </w:t>
      </w:r>
      <w:bookmarkStart w:id="0" w:name="_Hlk121285828"/>
      <w:r w:rsidRPr="008A73EC">
        <w:rPr>
          <w:b/>
          <w:bCs/>
          <w:bdr w:val="none" w:sz="0" w:space="0" w:color="auto" w:frame="1"/>
        </w:rPr>
        <w:t>Mgr. Miroslav Lahoda</w:t>
      </w:r>
      <w:r w:rsidRPr="008A73EC">
        <w:rPr>
          <w:bdr w:val="none" w:sz="0" w:space="0" w:color="auto" w:frame="1"/>
        </w:rPr>
        <w:t>, IČO 72015802</w:t>
      </w:r>
      <w:bookmarkEnd w:id="0"/>
      <w:r w:rsidRPr="008A73EC">
        <w:rPr>
          <w:bdr w:val="none" w:sz="0" w:space="0" w:color="auto" w:frame="1"/>
        </w:rPr>
        <w:t>,</w:t>
      </w:r>
      <w:r w:rsidRPr="008A73EC">
        <w:rPr>
          <w:bdr w:val="none" w:sz="0" w:space="0" w:color="auto" w:frame="1"/>
        </w:rPr>
        <w:br/>
        <w:t xml:space="preserve">sídlem nám. Komenského 124, 666 01 Tišnov, </w:t>
      </w:r>
    </w:p>
    <w:p w14:paraId="68343E93" w14:textId="77777777" w:rsidR="003864CC" w:rsidRPr="008A73EC" w:rsidRDefault="003864CC" w:rsidP="003864CC">
      <w:pPr>
        <w:spacing w:after="0"/>
        <w:ind w:left="1701" w:hanging="1701"/>
        <w:jc w:val="left"/>
        <w:rPr>
          <w:bdr w:val="none" w:sz="0" w:space="0" w:color="auto" w:frame="1"/>
        </w:rPr>
      </w:pPr>
      <w:r w:rsidRPr="008A73EC">
        <w:rPr>
          <w:bdr w:val="none" w:sz="0" w:space="0" w:color="auto" w:frame="1"/>
        </w:rPr>
        <w:t xml:space="preserve">                            jako insolvenční správce dlužníka </w:t>
      </w:r>
      <w:proofErr w:type="spellStart"/>
      <w:r w:rsidRPr="008A73EC">
        <w:rPr>
          <w:bdr w:val="none" w:sz="0" w:space="0" w:color="auto" w:frame="1"/>
        </w:rPr>
        <w:t>Tasman</w:t>
      </w:r>
      <w:proofErr w:type="spellEnd"/>
      <w:r w:rsidRPr="008A73EC">
        <w:rPr>
          <w:bdr w:val="none" w:sz="0" w:space="0" w:color="auto" w:frame="1"/>
        </w:rPr>
        <w:t xml:space="preserve"> – stav s.r.o. v likvidaci, </w:t>
      </w:r>
    </w:p>
    <w:p w14:paraId="3751707F" w14:textId="77777777" w:rsidR="003864CC" w:rsidRPr="008A73EC" w:rsidRDefault="003864CC" w:rsidP="003864CC">
      <w:pPr>
        <w:spacing w:after="0"/>
        <w:ind w:left="1701"/>
        <w:jc w:val="left"/>
        <w:rPr>
          <w:bdr w:val="none" w:sz="0" w:space="0" w:color="auto" w:frame="1"/>
        </w:rPr>
      </w:pPr>
      <w:r w:rsidRPr="008A73EC">
        <w:rPr>
          <w:bdr w:val="none" w:sz="0" w:space="0" w:color="auto" w:frame="1"/>
        </w:rPr>
        <w:t>IČO 27660770, sídlem Kartouzská 224/4, 612 00 Brno,</w:t>
      </w:r>
    </w:p>
    <w:p w14:paraId="4A558743" w14:textId="77777777" w:rsidR="003864CC" w:rsidRPr="008A73EC" w:rsidRDefault="003864CC" w:rsidP="003864CC">
      <w:pPr>
        <w:spacing w:after="0"/>
        <w:ind w:left="1701"/>
        <w:jc w:val="left"/>
        <w:rPr>
          <w:bdr w:val="none" w:sz="0" w:space="0" w:color="auto" w:frame="1"/>
        </w:rPr>
      </w:pPr>
      <w:r w:rsidRPr="008A73EC">
        <w:rPr>
          <w:bdr w:val="none" w:sz="0" w:space="0" w:color="auto" w:frame="1"/>
        </w:rPr>
        <w:t xml:space="preserve">zastoupený advokátem JUDr. Karlem </w:t>
      </w:r>
      <w:proofErr w:type="spellStart"/>
      <w:r w:rsidRPr="008A73EC">
        <w:rPr>
          <w:bdr w:val="none" w:sz="0" w:space="0" w:color="auto" w:frame="1"/>
        </w:rPr>
        <w:t>Maláskou</w:t>
      </w:r>
      <w:proofErr w:type="spellEnd"/>
      <w:r w:rsidRPr="008A73EC">
        <w:rPr>
          <w:bdr w:val="none" w:sz="0" w:space="0" w:color="auto" w:frame="1"/>
        </w:rPr>
        <w:t>,</w:t>
      </w:r>
      <w:r w:rsidRPr="008A73EC">
        <w:rPr>
          <w:bdr w:val="none" w:sz="0" w:space="0" w:color="auto" w:frame="1"/>
        </w:rPr>
        <w:br/>
        <w:t xml:space="preserve">sídlem </w:t>
      </w:r>
      <w:r w:rsidRPr="008A73EC">
        <w:rPr>
          <w:color w:val="444444"/>
          <w:bdr w:val="none" w:sz="0" w:space="0" w:color="auto" w:frame="1"/>
        </w:rPr>
        <w:t>nám. Komenského 124</w:t>
      </w:r>
      <w:r w:rsidRPr="008A73EC">
        <w:rPr>
          <w:bdr w:val="none" w:sz="0" w:space="0" w:color="auto" w:frame="1"/>
        </w:rPr>
        <w:t>, 666 01 Tišnov,</w:t>
      </w:r>
    </w:p>
    <w:p w14:paraId="4E32E7FC" w14:textId="77777777" w:rsidR="003864CC" w:rsidRPr="008A73EC" w:rsidRDefault="003864CC" w:rsidP="003864CC">
      <w:pPr>
        <w:rPr>
          <w:bdr w:val="none" w:sz="0" w:space="0" w:color="auto" w:frame="1"/>
        </w:rPr>
      </w:pPr>
      <w:r w:rsidRPr="008A73EC">
        <w:rPr>
          <w:bdr w:val="none" w:sz="0" w:space="0" w:color="auto" w:frame="1"/>
        </w:rPr>
        <w:t>proti</w:t>
      </w:r>
    </w:p>
    <w:p w14:paraId="11FA95CD" w14:textId="047EFBC0" w:rsidR="003864CC" w:rsidRPr="008A73EC" w:rsidRDefault="003864CC" w:rsidP="003864CC">
      <w:pPr>
        <w:spacing w:after="240"/>
        <w:ind w:left="1701" w:hanging="1701"/>
        <w:jc w:val="left"/>
        <w:rPr>
          <w:bdr w:val="none" w:sz="0" w:space="0" w:color="auto" w:frame="1"/>
        </w:rPr>
      </w:pPr>
      <w:r w:rsidRPr="008A73EC">
        <w:rPr>
          <w:bdr w:val="none" w:sz="0" w:space="0" w:color="auto" w:frame="1"/>
        </w:rPr>
        <w:t xml:space="preserve">žalovanému:        </w:t>
      </w:r>
      <w:bookmarkStart w:id="1" w:name="_Hlk121285848"/>
      <w:r>
        <w:rPr>
          <w:b/>
          <w:bCs/>
          <w:bdr w:val="none" w:sz="0" w:space="0" w:color="auto" w:frame="1"/>
        </w:rPr>
        <w:t>K.L.</w:t>
      </w:r>
      <w:r w:rsidRPr="008A73EC">
        <w:rPr>
          <w:bdr w:val="none" w:sz="0" w:space="0" w:color="auto" w:frame="1"/>
        </w:rPr>
        <w:t>, IČO </w:t>
      </w:r>
      <w:bookmarkEnd w:id="1"/>
      <w:r>
        <w:rPr>
          <w:bdr w:val="none" w:sz="0" w:space="0" w:color="auto" w:frame="1"/>
        </w:rPr>
        <w:t>XXXXX</w:t>
      </w:r>
      <w:r w:rsidRPr="008A73EC">
        <w:rPr>
          <w:bdr w:val="none" w:sz="0" w:space="0" w:color="auto" w:frame="1"/>
        </w:rPr>
        <w:t>,</w:t>
      </w:r>
      <w:r w:rsidRPr="008A73EC">
        <w:rPr>
          <w:bdr w:val="none" w:sz="0" w:space="0" w:color="auto" w:frame="1"/>
        </w:rPr>
        <w:br/>
        <w:t xml:space="preserve">sídlem </w:t>
      </w:r>
      <w:r>
        <w:rPr>
          <w:bdr w:val="none" w:sz="0" w:space="0" w:color="auto" w:frame="1"/>
        </w:rPr>
        <w:t>XXXXX</w:t>
      </w:r>
      <w:r w:rsidRPr="008A73EC">
        <w:rPr>
          <w:bdr w:val="none" w:sz="0" w:space="0" w:color="auto" w:frame="1"/>
        </w:rPr>
        <w:t>,</w:t>
      </w:r>
      <w:r w:rsidRPr="008A73EC">
        <w:rPr>
          <w:bdr w:val="none" w:sz="0" w:space="0" w:color="auto" w:frame="1"/>
        </w:rPr>
        <w:br/>
        <w:t>zastoupený advokátem JUDr. Petrem Pyšným,</w:t>
      </w:r>
      <w:r w:rsidRPr="008A73EC">
        <w:rPr>
          <w:bdr w:val="none" w:sz="0" w:space="0" w:color="auto" w:frame="1"/>
        </w:rPr>
        <w:br/>
        <w:t>sídlem Občanská 1115/16, 710 00</w:t>
      </w:r>
      <w:r w:rsidRPr="008A73EC">
        <w:rPr>
          <w:bdr w:val="none" w:sz="0" w:space="0" w:color="auto" w:frame="1"/>
        </w:rPr>
        <w:t> </w:t>
      </w:r>
      <w:r w:rsidRPr="008A73EC">
        <w:rPr>
          <w:bdr w:val="none" w:sz="0" w:space="0" w:color="auto" w:frame="1"/>
        </w:rPr>
        <w:t xml:space="preserve"> Ostrava,</w:t>
      </w:r>
    </w:p>
    <w:p w14:paraId="5551987D" w14:textId="77777777" w:rsidR="003864CC" w:rsidRPr="008A73EC" w:rsidRDefault="003864CC" w:rsidP="003864CC">
      <w:pPr>
        <w:spacing w:after="240"/>
        <w:ind w:right="-113"/>
        <w:rPr>
          <w:b/>
        </w:rPr>
      </w:pPr>
      <w:bookmarkStart w:id="2" w:name="_Hlk121285861"/>
      <w:r w:rsidRPr="008A73EC">
        <w:rPr>
          <w:b/>
        </w:rPr>
        <w:t xml:space="preserve">o zaplacení 4 684 486,30 Kč s příslušenstvím, </w:t>
      </w:r>
      <w:r w:rsidRPr="008A73EC">
        <w:t>o odvolání žalobce proti rozsudku Okresního soudu v Břeclavi ze dne 22. června 2022, č.j. 117 C 36/2015-428,</w:t>
      </w:r>
    </w:p>
    <w:bookmarkEnd w:id="2"/>
    <w:p w14:paraId="3653C409" w14:textId="77777777" w:rsidR="003864CC" w:rsidRPr="008A73EC" w:rsidRDefault="003864CC" w:rsidP="003864CC">
      <w:pPr>
        <w:spacing w:line="276" w:lineRule="auto"/>
        <w:jc w:val="center"/>
        <w:rPr>
          <w:rFonts w:eastAsia="Calibri"/>
          <w:b/>
          <w:lang w:eastAsia="en-US"/>
        </w:rPr>
      </w:pPr>
      <w:r w:rsidRPr="008A73EC">
        <w:rPr>
          <w:rFonts w:eastAsia="Calibri"/>
          <w:b/>
          <w:lang w:eastAsia="en-US"/>
        </w:rPr>
        <w:t>takto:</w:t>
      </w:r>
    </w:p>
    <w:p w14:paraId="469451D4" w14:textId="77777777" w:rsidR="003864CC" w:rsidRPr="008A73EC" w:rsidRDefault="003864CC" w:rsidP="003864CC">
      <w:pPr>
        <w:spacing w:after="200" w:line="276" w:lineRule="auto"/>
        <w:rPr>
          <w:b/>
          <w:bCs/>
        </w:rPr>
      </w:pPr>
      <w:bookmarkStart w:id="3" w:name="_Hlk121285881"/>
      <w:r w:rsidRPr="008A73EC">
        <w:rPr>
          <w:b/>
          <w:bCs/>
        </w:rPr>
        <w:t>I.</w:t>
      </w:r>
      <w:r w:rsidRPr="008A73EC">
        <w:t xml:space="preserve"> Rozsudek soudu prvního stupně </w:t>
      </w:r>
      <w:r w:rsidRPr="008A73EC">
        <w:rPr>
          <w:b/>
          <w:bCs/>
        </w:rPr>
        <w:t xml:space="preserve">se zrušuje </w:t>
      </w:r>
      <w:r w:rsidRPr="008A73EC">
        <w:t>a řízení</w:t>
      </w:r>
      <w:r w:rsidRPr="008A73EC">
        <w:rPr>
          <w:b/>
          <w:bCs/>
        </w:rPr>
        <w:t> </w:t>
      </w:r>
      <w:r w:rsidRPr="008A73EC">
        <w:t xml:space="preserve">se </w:t>
      </w:r>
      <w:r w:rsidRPr="008A73EC">
        <w:rPr>
          <w:b/>
          <w:bCs/>
        </w:rPr>
        <w:t>zastavuje. </w:t>
      </w:r>
    </w:p>
    <w:p w14:paraId="43141393" w14:textId="77777777" w:rsidR="003864CC" w:rsidRPr="008A73EC" w:rsidRDefault="003864CC" w:rsidP="003864CC">
      <w:pPr>
        <w:spacing w:before="120" w:after="240"/>
        <w:rPr>
          <w:b/>
          <w:bCs/>
        </w:rPr>
      </w:pPr>
      <w:r w:rsidRPr="008A73EC">
        <w:rPr>
          <w:b/>
          <w:bCs/>
        </w:rPr>
        <w:t xml:space="preserve">II. </w:t>
      </w:r>
      <w:r w:rsidRPr="008A73EC">
        <w:rPr>
          <w:rStyle w:val="tree-node-text-jud"/>
        </w:rPr>
        <w:t xml:space="preserve">Žádný z účastníků nemá právo na náhradu nákladů </w:t>
      </w:r>
      <w:r w:rsidRPr="008A73EC">
        <w:t>před soudy obou stupňů.</w:t>
      </w:r>
    </w:p>
    <w:bookmarkEnd w:id="3"/>
    <w:p w14:paraId="743FB4E8" w14:textId="77777777" w:rsidR="003864CC" w:rsidRPr="008A73EC" w:rsidRDefault="003864CC" w:rsidP="003864CC">
      <w:pPr>
        <w:pStyle w:val="Zkladntext"/>
        <w:spacing w:after="120" w:line="240" w:lineRule="auto"/>
        <w:jc w:val="center"/>
        <w:rPr>
          <w:rStyle w:val="Siln"/>
          <w:rFonts w:ascii="Garamond" w:hAnsi="Garamond" w:cs="Times New Roman"/>
        </w:rPr>
      </w:pPr>
      <w:r w:rsidRPr="008A73EC">
        <w:rPr>
          <w:rStyle w:val="Siln"/>
          <w:rFonts w:ascii="Garamond" w:hAnsi="Garamond" w:cs="Times New Roman"/>
        </w:rPr>
        <w:t>Odůvodnění:</w:t>
      </w:r>
    </w:p>
    <w:p w14:paraId="4B0C2590" w14:textId="77777777" w:rsidR="003864CC" w:rsidRPr="008A73EC" w:rsidRDefault="003864CC" w:rsidP="003864CC">
      <w:pPr>
        <w:pStyle w:val="Zkladntext"/>
        <w:numPr>
          <w:ilvl w:val="0"/>
          <w:numId w:val="2"/>
        </w:numPr>
        <w:spacing w:after="240" w:line="240" w:lineRule="auto"/>
        <w:ind w:left="247" w:right="-283"/>
        <w:jc w:val="both"/>
        <w:rPr>
          <w:rFonts w:ascii="Garamond" w:hAnsi="Garamond" w:cs="Times New Roman"/>
        </w:rPr>
      </w:pPr>
      <w:r w:rsidRPr="008A73EC">
        <w:rPr>
          <w:rStyle w:val="tree-node-text-jud"/>
          <w:rFonts w:ascii="Garamond" w:hAnsi="Garamond" w:cs="Times New Roman"/>
        </w:rPr>
        <w:t xml:space="preserve">V záhlaví označeným rozsudkem soud prvního stupně zamítl žalobu o zaplacení </w:t>
      </w:r>
      <w:r w:rsidRPr="008A73EC">
        <w:rPr>
          <w:rFonts w:ascii="Garamond" w:hAnsi="Garamond"/>
        </w:rPr>
        <w:t>částky 1</w:t>
      </w:r>
      <w:r>
        <w:rPr>
          <w:rFonts w:ascii="Garamond" w:hAnsi="Garamond"/>
        </w:rPr>
        <w:t> </w:t>
      </w:r>
      <w:r w:rsidRPr="008A73EC">
        <w:rPr>
          <w:rFonts w:ascii="Garamond" w:hAnsi="Garamond"/>
        </w:rPr>
        <w:t>642</w:t>
      </w:r>
      <w:r>
        <w:rPr>
          <w:rFonts w:ascii="Garamond" w:hAnsi="Garamond"/>
        </w:rPr>
        <w:t> </w:t>
      </w:r>
      <w:r w:rsidRPr="008A73EC">
        <w:rPr>
          <w:rFonts w:ascii="Garamond" w:hAnsi="Garamond"/>
        </w:rPr>
        <w:t>487,50 Kč s úrokem z prodlení ve výši 7,05 % ročně od 6. 3. 2013 do zaplacení</w:t>
      </w:r>
      <w:r w:rsidRPr="008A73EC">
        <w:rPr>
          <w:rStyle w:val="TextkomenteChar"/>
          <w:rFonts w:eastAsia="Arial Unicode MS"/>
        </w:rPr>
        <w:t xml:space="preserve"> </w:t>
      </w:r>
      <w:r w:rsidRPr="008A73EC">
        <w:rPr>
          <w:rStyle w:val="tree-node-text-jud"/>
          <w:rFonts w:ascii="Garamond" w:hAnsi="Garamond" w:cs="Times New Roman"/>
        </w:rPr>
        <w:t xml:space="preserve">(I. </w:t>
      </w:r>
      <w:proofErr w:type="gramStart"/>
      <w:r w:rsidRPr="008A73EC">
        <w:rPr>
          <w:rStyle w:val="tree-node-text-jud"/>
          <w:rFonts w:ascii="Garamond" w:hAnsi="Garamond" w:cs="Times New Roman"/>
        </w:rPr>
        <w:t>výrok)</w:t>
      </w:r>
      <w:r>
        <w:rPr>
          <w:rStyle w:val="tree-node-text-jud"/>
          <w:rFonts w:ascii="Garamond" w:hAnsi="Garamond" w:cs="Times New Roman"/>
        </w:rPr>
        <w:t xml:space="preserve">  </w:t>
      </w:r>
      <w:r w:rsidRPr="008A73EC">
        <w:rPr>
          <w:rStyle w:val="tree-node-text-jud"/>
          <w:rFonts w:ascii="Garamond" w:hAnsi="Garamond" w:cs="Times New Roman"/>
        </w:rPr>
        <w:t xml:space="preserve"> </w:t>
      </w:r>
      <w:proofErr w:type="gramEnd"/>
      <w:r w:rsidRPr="008A73EC">
        <w:rPr>
          <w:rStyle w:val="tree-node-text-jud"/>
          <w:rFonts w:ascii="Garamond" w:hAnsi="Garamond" w:cs="Times New Roman"/>
        </w:rPr>
        <w:t xml:space="preserve">a uložil žalobci nahradit žalovanému náklady řízení ve výši </w:t>
      </w:r>
      <w:r w:rsidRPr="008A73EC">
        <w:rPr>
          <w:rFonts w:ascii="Garamond" w:hAnsi="Garamond" w:cs="Times New Roman"/>
        </w:rPr>
        <w:t>493 392,20 </w:t>
      </w:r>
      <w:r w:rsidRPr="008A73EC">
        <w:rPr>
          <w:rStyle w:val="tree-node-text-jud"/>
          <w:rFonts w:ascii="Garamond" w:hAnsi="Garamond" w:cs="Times New Roman"/>
        </w:rPr>
        <w:t xml:space="preserve">Kč (II. výrok). </w:t>
      </w:r>
    </w:p>
    <w:p w14:paraId="2C09D3C4" w14:textId="77777777" w:rsidR="003864CC" w:rsidRPr="008A73EC" w:rsidRDefault="003864CC" w:rsidP="003864CC">
      <w:pPr>
        <w:pStyle w:val="Zkladntext"/>
        <w:numPr>
          <w:ilvl w:val="0"/>
          <w:numId w:val="2"/>
        </w:numPr>
        <w:spacing w:after="240" w:line="240" w:lineRule="auto"/>
        <w:ind w:left="247" w:right="-283"/>
        <w:jc w:val="both"/>
        <w:rPr>
          <w:rStyle w:val="tree-node-text-jud"/>
          <w:rFonts w:ascii="Garamond" w:hAnsi="Garamond" w:cs="Times New Roman"/>
        </w:rPr>
      </w:pPr>
      <w:r w:rsidRPr="008A73EC">
        <w:rPr>
          <w:rStyle w:val="tree-node-text-jud"/>
          <w:rFonts w:ascii="Garamond" w:hAnsi="Garamond" w:cs="Times New Roman"/>
        </w:rPr>
        <w:t xml:space="preserve">Proti rozsudku podal žalobce dne 12. 9. 2022 odvolání. </w:t>
      </w:r>
    </w:p>
    <w:p w14:paraId="100DC080" w14:textId="77777777" w:rsidR="003864CC" w:rsidRPr="008A73EC" w:rsidRDefault="003864CC" w:rsidP="003864CC">
      <w:pPr>
        <w:pStyle w:val="Zkladntext"/>
        <w:numPr>
          <w:ilvl w:val="0"/>
          <w:numId w:val="2"/>
        </w:numPr>
        <w:spacing w:after="240" w:line="240" w:lineRule="auto"/>
        <w:ind w:left="247" w:right="-283"/>
        <w:jc w:val="both"/>
        <w:rPr>
          <w:rStyle w:val="tree-node-text-jud"/>
          <w:rFonts w:ascii="Garamond" w:hAnsi="Garamond" w:cs="Times New Roman"/>
        </w:rPr>
      </w:pPr>
      <w:r w:rsidRPr="008A73EC">
        <w:rPr>
          <w:rStyle w:val="tree-node-text-jud"/>
          <w:rFonts w:ascii="Garamond" w:hAnsi="Garamond" w:cs="Times New Roman"/>
        </w:rPr>
        <w:t xml:space="preserve">Podáním doručeným soudu dne 11. 11. 2022 vzal žalobce žalobu v celém rozsahu zpět a vzdal </w:t>
      </w:r>
      <w:r>
        <w:rPr>
          <w:rStyle w:val="tree-node-text-jud"/>
          <w:rFonts w:ascii="Garamond" w:hAnsi="Garamond" w:cs="Times New Roman"/>
        </w:rPr>
        <w:t xml:space="preserve">  </w:t>
      </w:r>
      <w:r w:rsidRPr="008A73EC">
        <w:rPr>
          <w:rStyle w:val="tree-node-text-jud"/>
          <w:rFonts w:ascii="Garamond" w:hAnsi="Garamond" w:cs="Times New Roman"/>
        </w:rPr>
        <w:t>se práva na náhradu veškerých nároků na náklady řízení. Uvedl, že důvodem zpětvzetí žaloby je dohoda o narovnání uzavřená dne 10. 11. 2022.</w:t>
      </w:r>
    </w:p>
    <w:p w14:paraId="7A9EAE1C" w14:textId="77777777" w:rsidR="003864CC" w:rsidRPr="008A73EC" w:rsidRDefault="003864CC" w:rsidP="003864CC">
      <w:pPr>
        <w:pStyle w:val="Zkladntext"/>
        <w:numPr>
          <w:ilvl w:val="0"/>
          <w:numId w:val="2"/>
        </w:numPr>
        <w:spacing w:after="240" w:line="240" w:lineRule="auto"/>
        <w:ind w:left="247" w:right="-283"/>
        <w:jc w:val="both"/>
        <w:rPr>
          <w:rFonts w:ascii="Garamond" w:hAnsi="Garamond" w:cs="Times New Roman"/>
        </w:rPr>
      </w:pPr>
      <w:r w:rsidRPr="008A73EC">
        <w:rPr>
          <w:rStyle w:val="tree-node-text-jud"/>
          <w:rFonts w:ascii="Garamond" w:hAnsi="Garamond" w:cs="Times New Roman"/>
        </w:rPr>
        <w:t>V podání ze dne 14. 11. 2022 žalovaný se zpětvzetím žaloby souhlasil a vzdal se práva na náhradu nákladů řízení.</w:t>
      </w:r>
    </w:p>
    <w:p w14:paraId="348A708B" w14:textId="77777777" w:rsidR="003864CC" w:rsidRPr="008A73EC" w:rsidRDefault="003864CC" w:rsidP="003864CC">
      <w:pPr>
        <w:pStyle w:val="Zkladntext"/>
        <w:numPr>
          <w:ilvl w:val="0"/>
          <w:numId w:val="2"/>
        </w:numPr>
        <w:spacing w:after="240" w:line="240" w:lineRule="auto"/>
        <w:ind w:left="247" w:right="-283"/>
        <w:jc w:val="both"/>
        <w:rPr>
          <w:rFonts w:ascii="Garamond" w:hAnsi="Garamond" w:cs="Times New Roman"/>
        </w:rPr>
      </w:pPr>
      <w:r w:rsidRPr="008A73EC">
        <w:rPr>
          <w:rStyle w:val="tree-node-text-jud"/>
          <w:rFonts w:ascii="Garamond" w:hAnsi="Garamond" w:cs="Times New Roman"/>
        </w:rPr>
        <w:t>Podle ustanovení § 222a odst. 1 zákona č. 99/1963 Sb., občanského soudního řádu (dále jen „o. s. ř.</w:t>
      </w:r>
      <w:r w:rsidRPr="008A73EC">
        <w:rPr>
          <w:rStyle w:val="tree-node-text-jud"/>
          <w:rFonts w:ascii="Garamond" w:hAnsi="Garamond" w:cs="Times New Roman"/>
          <w:rtl/>
        </w:rPr>
        <w:t>“</w:t>
      </w:r>
      <w:r w:rsidRPr="008A73EC">
        <w:rPr>
          <w:rStyle w:val="tree-node-text-jud"/>
          <w:rFonts w:ascii="Garamond" w:hAnsi="Garamond" w:cs="Times New Roman"/>
        </w:rPr>
        <w:t xml:space="preserve">) vezme-li žalobce (navrhovatel) za odvolacího řízení zpět návrh na zahájení řízení, odvolací soud zcela, popřípadě v rozsahu zpětvzetí návrhu, </w:t>
      </w:r>
      <w:proofErr w:type="gramStart"/>
      <w:r w:rsidRPr="008A73EC">
        <w:rPr>
          <w:rStyle w:val="tree-node-text-jud"/>
          <w:rFonts w:ascii="Garamond" w:hAnsi="Garamond" w:cs="Times New Roman"/>
        </w:rPr>
        <w:t>zruší</w:t>
      </w:r>
      <w:proofErr w:type="gramEnd"/>
      <w:r w:rsidRPr="008A73EC">
        <w:rPr>
          <w:rStyle w:val="tree-node-text-jud"/>
          <w:rFonts w:ascii="Garamond" w:hAnsi="Garamond" w:cs="Times New Roman"/>
        </w:rPr>
        <w:t xml:space="preserve"> rozhodnutí soudu prvního stupně a řízení zastaví; to neplatí, bylo-li odvolání podáno opožděně nebo někým, kdo k odvolání nebyl oprávněn anebo proti rozhodnutí, proti němuž není přípustné. Podle odstavce 2 téhož ustanovení, </w:t>
      </w:r>
      <w:r w:rsidRPr="008A73EC">
        <w:rPr>
          <w:rStyle w:val="tree-node-text-jud"/>
          <w:rFonts w:ascii="Garamond" w:hAnsi="Garamond" w:cs="Times New Roman"/>
        </w:rPr>
        <w:lastRenderedPageBreak/>
        <w:t>jestliže ostatní účastníci se zpětvzetím návrhu z vážných důvodů nesouhlasí, odvolací soud rozhodne, že zpětvzetí návrhu není účinné; v takovém případě po právní moci usnesení pokračuje v odvolacím řízení</w:t>
      </w:r>
    </w:p>
    <w:p w14:paraId="3E0C4E73" w14:textId="77777777" w:rsidR="003864CC" w:rsidRPr="008A73EC" w:rsidRDefault="003864CC" w:rsidP="003864CC">
      <w:pPr>
        <w:pStyle w:val="Zkladntext"/>
        <w:numPr>
          <w:ilvl w:val="0"/>
          <w:numId w:val="2"/>
        </w:numPr>
        <w:spacing w:after="240" w:line="240" w:lineRule="auto"/>
        <w:ind w:left="247" w:right="-283"/>
        <w:jc w:val="both"/>
        <w:rPr>
          <w:rStyle w:val="tree-node-text-jud"/>
          <w:rFonts w:ascii="Garamond" w:hAnsi="Garamond" w:cs="Times New Roman"/>
        </w:rPr>
      </w:pPr>
      <w:r w:rsidRPr="008A73EC">
        <w:rPr>
          <w:rStyle w:val="tree-node-text-jud"/>
          <w:rFonts w:ascii="Garamond" w:hAnsi="Garamond" w:cs="Times New Roman"/>
        </w:rPr>
        <w:t xml:space="preserve">Odvolání žalobce proti rozsudku bylo podáno včas a směřovalo proti rozhodnutí, proti němuž </w:t>
      </w:r>
      <w:r>
        <w:rPr>
          <w:rStyle w:val="tree-node-text-jud"/>
          <w:rFonts w:ascii="Garamond" w:hAnsi="Garamond" w:cs="Times New Roman"/>
        </w:rPr>
        <w:t xml:space="preserve">  </w:t>
      </w:r>
      <w:r w:rsidRPr="008A73EC">
        <w:rPr>
          <w:rStyle w:val="tree-node-text-jud"/>
          <w:rFonts w:ascii="Garamond" w:hAnsi="Garamond" w:cs="Times New Roman"/>
        </w:rPr>
        <w:t>je přípustné. Žaloba byla vzata zpět v průběhu odvolacího řízení a žalovaní se zpětvzetím žaloby souhlasili. Odvolací soud proto podle § 222a o. s. ř. zrušil rozsudek soudu prvního stupně a řízení zastavil (I. výrok tohoto usnesení).</w:t>
      </w:r>
    </w:p>
    <w:p w14:paraId="792A7654" w14:textId="77777777" w:rsidR="003864CC" w:rsidRPr="008A73EC" w:rsidRDefault="003864CC" w:rsidP="003864CC">
      <w:pPr>
        <w:pStyle w:val="Zkladntext"/>
        <w:numPr>
          <w:ilvl w:val="0"/>
          <w:numId w:val="2"/>
        </w:numPr>
        <w:spacing w:after="240" w:line="240" w:lineRule="auto"/>
        <w:ind w:left="247" w:right="-283"/>
        <w:jc w:val="both"/>
        <w:rPr>
          <w:rFonts w:ascii="Garamond" w:hAnsi="Garamond" w:cs="Times New Roman"/>
        </w:rPr>
      </w:pPr>
      <w:r w:rsidRPr="008A73EC">
        <w:rPr>
          <w:rFonts w:ascii="Garamond" w:hAnsi="Garamond"/>
        </w:rPr>
        <w:t>K zastavení řízení došlo v důsledku zpětvzetí žaloby, které je výsledkem mimosoudního jednání, na jehož základě se účastníci p</w:t>
      </w:r>
      <w:r w:rsidRPr="008A73EC">
        <w:rPr>
          <w:rStyle w:val="highlight"/>
          <w:rFonts w:ascii="Garamond" w:hAnsi="Garamond"/>
        </w:rPr>
        <w:t>ráva</w:t>
      </w:r>
      <w:r w:rsidRPr="008A73EC">
        <w:rPr>
          <w:rFonts w:ascii="Garamond" w:hAnsi="Garamond"/>
        </w:rPr>
        <w:t xml:space="preserve"> </w:t>
      </w:r>
      <w:r w:rsidRPr="008A73EC">
        <w:rPr>
          <w:rStyle w:val="highlight"/>
          <w:rFonts w:ascii="Garamond" w:hAnsi="Garamond"/>
        </w:rPr>
        <w:t>na</w:t>
      </w:r>
      <w:r w:rsidRPr="008A73EC">
        <w:rPr>
          <w:rFonts w:ascii="Garamond" w:hAnsi="Garamond"/>
        </w:rPr>
        <w:t xml:space="preserve"> náhradu </w:t>
      </w:r>
      <w:r w:rsidRPr="008A73EC">
        <w:rPr>
          <w:rStyle w:val="highlight"/>
          <w:rFonts w:ascii="Garamond" w:hAnsi="Garamond"/>
        </w:rPr>
        <w:t>nákladů</w:t>
      </w:r>
      <w:r w:rsidRPr="008A73EC">
        <w:rPr>
          <w:rFonts w:ascii="Garamond" w:hAnsi="Garamond"/>
        </w:rPr>
        <w:t xml:space="preserve"> </w:t>
      </w:r>
      <w:r w:rsidRPr="008A73EC">
        <w:rPr>
          <w:rStyle w:val="highlight"/>
          <w:rFonts w:ascii="Garamond" w:hAnsi="Garamond"/>
        </w:rPr>
        <w:t>řízení</w:t>
      </w:r>
      <w:r w:rsidRPr="008A73EC">
        <w:rPr>
          <w:rFonts w:ascii="Garamond" w:hAnsi="Garamond"/>
        </w:rPr>
        <w:t xml:space="preserve"> výslovně vzdali. Odvolací soud proto rozhodl, že žádný z účastníků nemá právo na náhradu nákladů řízení před soudy obou stupňů dle § 146 odst. 1 písm. b) o. s. ř. </w:t>
      </w:r>
      <w:r w:rsidRPr="008A73EC">
        <w:rPr>
          <w:rFonts w:ascii="Garamond" w:hAnsi="Garamond"/>
          <w:bCs/>
          <w:bdr w:val="none" w:sz="0" w:space="0" w:color="auto" w:frame="1"/>
        </w:rPr>
        <w:t>(II. výrok</w:t>
      </w:r>
      <w:r w:rsidRPr="008A73EC">
        <w:rPr>
          <w:rFonts w:ascii="Garamond" w:hAnsi="Garamond"/>
        </w:rPr>
        <w:t xml:space="preserve"> tohoto usnesení</w:t>
      </w:r>
      <w:r w:rsidRPr="008A73EC">
        <w:rPr>
          <w:rFonts w:ascii="Garamond" w:hAnsi="Garamond"/>
          <w:bCs/>
          <w:bdr w:val="none" w:sz="0" w:space="0" w:color="auto" w:frame="1"/>
        </w:rPr>
        <w:t>).</w:t>
      </w:r>
    </w:p>
    <w:p w14:paraId="6D0A6B93" w14:textId="77777777" w:rsidR="003864CC" w:rsidRDefault="003864CC" w:rsidP="003864CC">
      <w:pPr>
        <w:jc w:val="center"/>
        <w:rPr>
          <w:b/>
          <w:bCs/>
        </w:rPr>
      </w:pPr>
      <w:r w:rsidRPr="008A73EC">
        <w:rPr>
          <w:b/>
          <w:bCs/>
        </w:rPr>
        <w:t>P</w:t>
      </w:r>
      <w:r>
        <w:rPr>
          <w:b/>
          <w:bCs/>
        </w:rPr>
        <w:t>oučení:</w:t>
      </w:r>
    </w:p>
    <w:p w14:paraId="43CDD85E" w14:textId="77777777" w:rsidR="003864CC" w:rsidRPr="008A73EC" w:rsidRDefault="003864CC" w:rsidP="003864CC">
      <w:pPr>
        <w:ind w:left="-57" w:right="-283"/>
      </w:pPr>
      <w:r w:rsidRPr="008A73EC">
        <w:t>Proti tomuto rozhodnutí</w:t>
      </w:r>
      <w:r w:rsidRPr="008A73EC">
        <w:rPr>
          <w:b/>
          <w:bCs/>
        </w:rPr>
        <w:t xml:space="preserve"> je </w:t>
      </w:r>
      <w:r w:rsidRPr="008A73EC">
        <w:t>dovolání přípustné, jestliže Nejvyšší soud dospěje k závěru, že napadené rozhodnutí závisí na vyřešení otázky hmotného nebo procesního práva, při jejímž řešení se odvolací soud odchýlil od ustálené rozhodovací praxe dovolacího soudu nebo která v </w:t>
      </w:r>
      <w:proofErr w:type="gramStart"/>
      <w:r w:rsidRPr="008A73EC">
        <w:t xml:space="preserve">rozhodování </w:t>
      </w:r>
      <w:r>
        <w:t xml:space="preserve"> </w:t>
      </w:r>
      <w:r w:rsidRPr="008A73EC">
        <w:t>dovolacího</w:t>
      </w:r>
      <w:proofErr w:type="gramEnd"/>
      <w:r w:rsidRPr="008A73EC">
        <w:t xml:space="preserve"> soudu dosud nebyla vyřešena nebo je dovolacím soudem rozhodována rozdílně anebo má-li být dovolacím soudem vyřešená právní otázka posouzena jinak. Dovolání se podává k Nejvyššímu soudu prostřednictvím soudu, který rozhodoval ve věci v prvním stupni, ve lhůtě do dvou měsíců od doručení rozhodnutí odvolacího soudu.</w:t>
      </w:r>
    </w:p>
    <w:p w14:paraId="4AF272A0" w14:textId="77777777" w:rsidR="003864CC" w:rsidRPr="008A73EC" w:rsidRDefault="003864CC" w:rsidP="003864CC">
      <w:pPr>
        <w:spacing w:before="120" w:after="360"/>
        <w:ind w:left="-57" w:right="-283"/>
      </w:pPr>
      <w:r w:rsidRPr="008A73EC">
        <w:t xml:space="preserve">Proti rozhodnutí o náhradě nákladů řízení není dovolání samostatně přípustné [§ 238 odst. 1 písm. </w:t>
      </w:r>
      <w:r>
        <w:t xml:space="preserve"> </w:t>
      </w:r>
      <w:r w:rsidRPr="008A73EC">
        <w:t>h) o. s. ř.].</w:t>
      </w:r>
    </w:p>
    <w:p w14:paraId="52245438" w14:textId="77777777" w:rsidR="003864CC" w:rsidRDefault="003864CC" w:rsidP="003864CC">
      <w:pPr>
        <w:ind w:left="1503" w:right="-113" w:hanging="1560"/>
      </w:pPr>
      <w:r w:rsidRPr="008A73EC">
        <w:t xml:space="preserve">Brno 6. </w:t>
      </w:r>
      <w:r>
        <w:t>prosince</w:t>
      </w:r>
      <w:r w:rsidRPr="008A73EC">
        <w:t xml:space="preserve"> 2022</w:t>
      </w:r>
    </w:p>
    <w:p w14:paraId="56BFB7FE" w14:textId="77777777" w:rsidR="003864CC" w:rsidRDefault="003864CC" w:rsidP="003864CC">
      <w:pPr>
        <w:ind w:left="1560" w:right="-113" w:hanging="1560"/>
      </w:pPr>
    </w:p>
    <w:p w14:paraId="14026856" w14:textId="77777777" w:rsidR="003864CC" w:rsidRDefault="003864CC" w:rsidP="003864CC">
      <w:pPr>
        <w:ind w:left="1560" w:right="-113" w:hanging="1560"/>
      </w:pPr>
    </w:p>
    <w:p w14:paraId="3B6975A6" w14:textId="77777777" w:rsidR="003864CC" w:rsidRDefault="003864CC" w:rsidP="003864CC">
      <w:pPr>
        <w:spacing w:after="0"/>
        <w:ind w:left="1503" w:right="-113" w:hanging="1560"/>
      </w:pPr>
      <w:r>
        <w:t>Mgr. Eva Krčmářová</w:t>
      </w:r>
      <w:r>
        <w:tab/>
      </w:r>
    </w:p>
    <w:p w14:paraId="57D322F1" w14:textId="77777777" w:rsidR="003864CC" w:rsidRPr="008A73EC" w:rsidRDefault="003864CC" w:rsidP="003864CC">
      <w:pPr>
        <w:ind w:left="1503" w:right="-113" w:hanging="1560"/>
      </w:pPr>
      <w:r>
        <w:t>předsedkyně senátu</w:t>
      </w:r>
    </w:p>
    <w:p w14:paraId="59F055E2" w14:textId="77777777" w:rsidR="003864CC" w:rsidRPr="008A73EC" w:rsidRDefault="003864CC" w:rsidP="003864CC">
      <w:pPr>
        <w:rPr>
          <w:rStyle w:val="tree-node-text-jud"/>
        </w:rPr>
      </w:pPr>
    </w:p>
    <w:p w14:paraId="741BB33D" w14:textId="77777777" w:rsidR="003864CC" w:rsidRPr="008A73EC" w:rsidRDefault="003864CC" w:rsidP="003864CC">
      <w:r w:rsidRPr="008A73EC">
        <w:t xml:space="preserve">   </w:t>
      </w:r>
      <w:r w:rsidRPr="008A73EC">
        <w:tab/>
        <w:t xml:space="preserve"> </w:t>
      </w:r>
      <w:r w:rsidRPr="008A73EC">
        <w:tab/>
      </w:r>
      <w:r w:rsidRPr="008A73EC">
        <w:tab/>
      </w:r>
      <w:r w:rsidRPr="008A73EC">
        <w:tab/>
      </w:r>
      <w:r w:rsidRPr="008A73EC">
        <w:tab/>
      </w:r>
      <w:r w:rsidRPr="008A73EC">
        <w:tab/>
      </w:r>
      <w:r w:rsidRPr="008A73EC">
        <w:tab/>
      </w:r>
      <w:r w:rsidRPr="008A73EC">
        <w:tab/>
      </w:r>
      <w:r w:rsidRPr="008A73EC">
        <w:tab/>
        <w:t xml:space="preserve">   </w:t>
      </w:r>
    </w:p>
    <w:p w14:paraId="65B819D4" w14:textId="77777777" w:rsidR="003864CC" w:rsidRPr="008A73EC" w:rsidRDefault="003864CC" w:rsidP="003864CC">
      <w:r w:rsidRPr="008A73EC">
        <w:tab/>
      </w:r>
      <w:r w:rsidRPr="008A73EC">
        <w:tab/>
      </w:r>
      <w:r w:rsidRPr="008A73EC">
        <w:tab/>
      </w:r>
      <w:r w:rsidRPr="008A73EC">
        <w:tab/>
        <w:t xml:space="preserve">                       </w:t>
      </w:r>
      <w:r w:rsidRPr="008A73EC">
        <w:tab/>
      </w:r>
      <w:r w:rsidRPr="008A73EC">
        <w:tab/>
      </w:r>
      <w:r w:rsidRPr="008A73EC">
        <w:tab/>
      </w:r>
      <w:r w:rsidRPr="008A73EC">
        <w:tab/>
        <w:t xml:space="preserve">     </w:t>
      </w:r>
    </w:p>
    <w:p w14:paraId="62C3BECB" w14:textId="77777777" w:rsidR="003864CC" w:rsidRPr="008A73EC" w:rsidRDefault="003864CC" w:rsidP="003864CC">
      <w:pPr>
        <w:rPr>
          <w:rStyle w:val="tree-node-text-jud"/>
        </w:rPr>
      </w:pPr>
    </w:p>
    <w:p w14:paraId="0A7B575A" w14:textId="77777777" w:rsidR="003864CC" w:rsidRPr="008A73EC" w:rsidRDefault="003864CC" w:rsidP="003864CC">
      <w:pPr>
        <w:rPr>
          <w:rStyle w:val="tree-node-text-jud"/>
        </w:rPr>
      </w:pPr>
    </w:p>
    <w:p w14:paraId="38D2D6DC" w14:textId="77777777" w:rsidR="003864CC" w:rsidRPr="008A73EC" w:rsidRDefault="003864CC" w:rsidP="003864CC"/>
    <w:p w14:paraId="0B89947C" w14:textId="77777777" w:rsidR="003864CC" w:rsidRDefault="003864CC" w:rsidP="003864CC"/>
    <w:p w14:paraId="3812155D" w14:textId="77777777" w:rsidR="003864CC" w:rsidRPr="00A4678C" w:rsidRDefault="003864CC" w:rsidP="003864CC"/>
    <w:p w14:paraId="1AD2121C" w14:textId="77777777" w:rsidR="00282005" w:rsidRDefault="00282005"/>
    <w:sectPr w:rsidR="00282005" w:rsidSect="00F23FE9">
      <w:headerReference w:type="default" r:id="rId5"/>
      <w:footerReference w:type="default" r:id="rId6"/>
      <w:footerReference w:type="first" r:id="rId7"/>
      <w:pgSz w:w="11900" w:h="16840"/>
      <w:pgMar w:top="1417" w:right="1417" w:bottom="1134" w:left="1417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2225" w14:textId="77777777" w:rsidR="00121D68" w:rsidRPr="00121D68" w:rsidRDefault="003864CC">
    <w:pPr>
      <w:pStyle w:val="Zpat"/>
      <w:rPr>
        <w:rFonts w:ascii="Garamond" w:hAnsi="Garamond"/>
        <w:sz w:val="20"/>
        <w:szCs w:val="20"/>
      </w:rPr>
    </w:pPr>
    <w:r w:rsidRPr="00121D68">
      <w:rPr>
        <w:rFonts w:ascii="Garamond" w:hAnsi="Garamond"/>
        <w:sz w:val="20"/>
        <w:szCs w:val="20"/>
      </w:rPr>
      <w:t>Shodu s prvopisem potvrzuje Michaela Říhová.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8BC2" w14:textId="77777777" w:rsidR="00121D68" w:rsidRPr="00121D68" w:rsidRDefault="003864CC">
    <w:pPr>
      <w:pStyle w:val="Zpat"/>
      <w:rPr>
        <w:rFonts w:ascii="Garamond" w:hAnsi="Garamond"/>
        <w:sz w:val="20"/>
        <w:szCs w:val="20"/>
      </w:rPr>
    </w:pPr>
    <w:r w:rsidRPr="00121D68">
      <w:rPr>
        <w:rFonts w:ascii="Garamond" w:hAnsi="Garamond"/>
        <w:sz w:val="20"/>
        <w:szCs w:val="20"/>
      </w:rPr>
      <w:t xml:space="preserve">Shodu s </w:t>
    </w:r>
    <w:r w:rsidRPr="00121D68">
      <w:rPr>
        <w:rFonts w:ascii="Garamond" w:hAnsi="Garamond"/>
        <w:sz w:val="20"/>
        <w:szCs w:val="20"/>
      </w:rPr>
      <w:t>prvopisem potvrzuje Michaela Říhová.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7318" w14:textId="77777777" w:rsidR="005E2667" w:rsidRPr="005E2667" w:rsidRDefault="003864CC" w:rsidP="00F23FE9">
    <w:pPr>
      <w:pStyle w:val="Zhlav"/>
      <w:tabs>
        <w:tab w:val="clear" w:pos="9072"/>
        <w:tab w:val="right" w:pos="9066"/>
      </w:tabs>
      <w:rPr>
        <w:rFonts w:ascii="Garamond" w:hAnsi="Garamond"/>
        <w:sz w:val="24"/>
        <w:szCs w:val="24"/>
      </w:rPr>
    </w:pPr>
    <w:r w:rsidRPr="005E2667">
      <w:rPr>
        <w:rStyle w:val="slostrnky"/>
        <w:rFonts w:ascii="Garamond" w:hAnsi="Garamond"/>
        <w:sz w:val="24"/>
        <w:szCs w:val="24"/>
      </w:rPr>
      <w:tab/>
    </w:r>
    <w:r w:rsidRPr="005E2667">
      <w:rPr>
        <w:rStyle w:val="slostrnky"/>
        <w:rFonts w:ascii="Garamond" w:hAnsi="Garamond"/>
        <w:sz w:val="24"/>
        <w:szCs w:val="24"/>
      </w:rPr>
      <w:fldChar w:fldCharType="begin"/>
    </w:r>
    <w:r w:rsidRPr="005E2667">
      <w:rPr>
        <w:rStyle w:val="slostrnky"/>
        <w:rFonts w:ascii="Garamond" w:hAnsi="Garamond"/>
        <w:sz w:val="24"/>
        <w:szCs w:val="24"/>
      </w:rPr>
      <w:instrText xml:space="preserve"> PAGE </w:instrText>
    </w:r>
    <w:r w:rsidRPr="005E2667">
      <w:rPr>
        <w:rStyle w:val="slostrnky"/>
        <w:rFonts w:ascii="Garamond" w:hAnsi="Garamond"/>
        <w:sz w:val="24"/>
        <w:szCs w:val="24"/>
      </w:rPr>
      <w:fldChar w:fldCharType="separate"/>
    </w:r>
    <w:r w:rsidRPr="005E2667">
      <w:rPr>
        <w:rStyle w:val="slostrnky"/>
        <w:rFonts w:ascii="Garamond" w:hAnsi="Garamond"/>
        <w:noProof/>
        <w:sz w:val="24"/>
        <w:szCs w:val="24"/>
      </w:rPr>
      <w:t>2</w:t>
    </w:r>
    <w:r w:rsidRPr="005E2667">
      <w:rPr>
        <w:rStyle w:val="slostrnky"/>
        <w:rFonts w:ascii="Garamond" w:hAnsi="Garamond"/>
        <w:sz w:val="24"/>
        <w:szCs w:val="24"/>
      </w:rPr>
      <w:fldChar w:fldCharType="end"/>
    </w:r>
    <w:r w:rsidRPr="005E2667">
      <w:rPr>
        <w:rFonts w:ascii="Garamond" w:hAnsi="Garamond"/>
        <w:sz w:val="24"/>
        <w:szCs w:val="24"/>
      </w:rPr>
      <w:tab/>
    </w:r>
    <w:r w:rsidRPr="005E2667">
      <w:rPr>
        <w:rFonts w:ascii="Garamond" w:hAnsi="Garamond"/>
        <w:sz w:val="24"/>
        <w:szCs w:val="24"/>
      </w:rPr>
      <w:t>74 Co 229/2022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515"/>
    <w:multiLevelType w:val="hybridMultilevel"/>
    <w:tmpl w:val="FA705CA6"/>
    <w:styleLink w:val="Importovanstyl1"/>
    <w:lvl w:ilvl="0" w:tplc="C748884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5ACF2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66622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12EF5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C4DD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B075A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864A7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6CED0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32D38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C53E1C"/>
    <w:multiLevelType w:val="hybridMultilevel"/>
    <w:tmpl w:val="FA705CA6"/>
    <w:numStyleLink w:val="Importovanstyl1"/>
  </w:abstractNum>
  <w:num w:numId="1" w16cid:durableId="1578780833">
    <w:abstractNumId w:val="0"/>
  </w:num>
  <w:num w:numId="2" w16cid:durableId="28542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CC"/>
    <w:rsid w:val="00282005"/>
    <w:rsid w:val="003864CC"/>
    <w:rsid w:val="003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635B"/>
  <w15:chartTrackingRefBased/>
  <w15:docId w15:val="{0451F607-553D-49A8-9E4B-684E5F5C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C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tree-node-text-jud">
    <w:name w:val="tree-node-text-jud"/>
    <w:rsid w:val="003864CC"/>
  </w:style>
  <w:style w:type="paragraph" w:customStyle="1" w:styleId="Zkladntext">
    <w:name w:val="Základní text~"/>
    <w:rsid w:val="003864C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styleId="Siln">
    <w:name w:val="Strong"/>
    <w:uiPriority w:val="22"/>
    <w:qFormat/>
    <w:rsid w:val="003864CC"/>
    <w:rPr>
      <w:rFonts w:ascii="Times New Roman" w:hAnsi="Times New Roman"/>
      <w:b/>
      <w:bCs/>
    </w:rPr>
  </w:style>
  <w:style w:type="numbering" w:customStyle="1" w:styleId="Importovanstyl1">
    <w:name w:val="Importovaný styl 1"/>
    <w:rsid w:val="003864CC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3864CC"/>
    <w:pPr>
      <w:tabs>
        <w:tab w:val="center" w:pos="4536"/>
        <w:tab w:val="right" w:pos="9072"/>
      </w:tabs>
      <w:autoSpaceDE w:val="0"/>
      <w:autoSpaceDN w:val="0"/>
      <w:adjustRightInd w:val="0"/>
      <w:spacing w:after="0"/>
      <w:jc w:val="left"/>
    </w:pPr>
    <w:rPr>
      <w:rFonts w:ascii="Times New Roman" w:hAnsi="Times New Roman"/>
      <w:u w:color="000000"/>
    </w:rPr>
  </w:style>
  <w:style w:type="character" w:customStyle="1" w:styleId="ZpatChar">
    <w:name w:val="Zápatí Char"/>
    <w:basedOn w:val="Standardnpsmoodstavce"/>
    <w:link w:val="Zpat"/>
    <w:uiPriority w:val="99"/>
    <w:rsid w:val="003864CC"/>
    <w:rPr>
      <w:rFonts w:ascii="Times New Roman" w:eastAsia="Times New Roman" w:hAnsi="Times New Roman" w:cs="Times New Roman"/>
      <w:sz w:val="24"/>
      <w:szCs w:val="24"/>
      <w:u w:color="000000"/>
      <w:lang w:eastAsia="cs-CZ"/>
    </w:rPr>
  </w:style>
  <w:style w:type="character" w:customStyle="1" w:styleId="highlight">
    <w:name w:val="highlight"/>
    <w:basedOn w:val="Standardnpsmoodstavce"/>
    <w:rsid w:val="003864CC"/>
  </w:style>
  <w:style w:type="paragraph" w:styleId="Textkomente">
    <w:name w:val="annotation text"/>
    <w:basedOn w:val="Normln"/>
    <w:link w:val="TextkomenteChar"/>
    <w:uiPriority w:val="99"/>
    <w:semiHidden/>
    <w:unhideWhenUsed/>
    <w:rsid w:val="003864CC"/>
    <w:pPr>
      <w:overflowPunct w:val="0"/>
      <w:autoSpaceDE w:val="0"/>
      <w:autoSpaceDN w:val="0"/>
      <w:adjustRightInd w:val="0"/>
    </w:pPr>
    <w:rPr>
      <w:sz w:val="20"/>
      <w:szCs w:val="20"/>
      <w:u w:color="00000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4CC"/>
    <w:rPr>
      <w:rFonts w:ascii="Garamond" w:eastAsia="Times New Roman" w:hAnsi="Garamond" w:cs="Times New Roman"/>
      <w:sz w:val="20"/>
      <w:szCs w:val="20"/>
      <w:u w:color="00000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64C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/>
      <w:jc w:val="left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3864C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38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1</cp:revision>
  <dcterms:created xsi:type="dcterms:W3CDTF">2023-08-28T08:34:00Z</dcterms:created>
  <dcterms:modified xsi:type="dcterms:W3CDTF">2023-08-28T08:36:00Z</dcterms:modified>
</cp:coreProperties>
</file>