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DBE4" w14:textId="3CE6932C" w:rsidR="007D4CA1" w:rsidRPr="00445B52" w:rsidRDefault="007D4CA1" w:rsidP="007D4CA1">
      <w:pPr>
        <w:pStyle w:val="Nadpisvrozhodnut"/>
        <w:spacing w:before="0" w:after="240"/>
        <w:rPr>
          <w:b w:val="0"/>
          <w:sz w:val="32"/>
          <w:szCs w:val="32"/>
        </w:rPr>
      </w:pPr>
      <w:r>
        <w:rPr>
          <w:b w:val="0"/>
          <w:noProof/>
          <w:sz w:val="32"/>
          <w:szCs w:val="32"/>
        </w:rPr>
        <w:drawing>
          <wp:anchor distT="1800225" distB="360045" distL="114300" distR="114300" simplePos="0" relativeHeight="251659264" behindDoc="0" locked="0" layoutInCell="1" allowOverlap="1" wp14:anchorId="5A86A5A0" wp14:editId="695D572F">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08DCA1D5" w14:textId="77777777" w:rsidR="007D4CA1" w:rsidRPr="009629F0" w:rsidRDefault="007D4CA1" w:rsidP="007D4CA1">
      <w:pPr>
        <w:jc w:val="center"/>
        <w:rPr>
          <w:rFonts w:eastAsia="Calibri"/>
          <w:b/>
          <w:bCs/>
          <w:sz w:val="40"/>
          <w:szCs w:val="40"/>
        </w:rPr>
      </w:pPr>
      <w:r w:rsidRPr="009629F0">
        <w:rPr>
          <w:rFonts w:eastAsia="Calibri"/>
          <w:b/>
          <w:bCs/>
          <w:sz w:val="40"/>
          <w:szCs w:val="40"/>
        </w:rPr>
        <w:t>ROZSUDEK</w:t>
      </w:r>
    </w:p>
    <w:p w14:paraId="1339205A" w14:textId="77777777" w:rsidR="007D4CA1" w:rsidRPr="009629F0" w:rsidRDefault="007D4CA1" w:rsidP="007D4CA1">
      <w:pPr>
        <w:spacing w:after="480"/>
        <w:jc w:val="center"/>
        <w:rPr>
          <w:rFonts w:eastAsia="Calibri"/>
          <w:b/>
          <w:bCs/>
        </w:rPr>
      </w:pPr>
      <w:r w:rsidRPr="009629F0">
        <w:rPr>
          <w:rFonts w:eastAsia="Calibri"/>
          <w:b/>
          <w:bCs/>
          <w:sz w:val="40"/>
          <w:szCs w:val="40"/>
        </w:rPr>
        <w:t>JMÉNEM REPUBLIKY</w:t>
      </w:r>
    </w:p>
    <w:p w14:paraId="119AEA79" w14:textId="77777777" w:rsidR="007D4CA1" w:rsidRPr="000D6720" w:rsidRDefault="007D4CA1" w:rsidP="007D4CA1">
      <w:r>
        <w:t xml:space="preserve">Krajský </w:t>
      </w:r>
      <w:r w:rsidRPr="009101B7">
        <w:t xml:space="preserve">soud </w:t>
      </w:r>
      <w:r>
        <w:t xml:space="preserve">v Brně rozhodl v senátě složeném z předsedy senátu Mgr. Michala Kadlečka a soudců Mgr. Kláry Cáskové a JUDr. Leoše Nováka </w:t>
      </w:r>
      <w:r w:rsidRPr="000D6720">
        <w:t>ve věci</w:t>
      </w:r>
    </w:p>
    <w:p w14:paraId="7F21EC42" w14:textId="77777777" w:rsidR="007D4CA1" w:rsidRDefault="007D4CA1" w:rsidP="007D4CA1">
      <w:pPr>
        <w:tabs>
          <w:tab w:val="left" w:pos="0"/>
          <w:tab w:val="left" w:pos="1984"/>
        </w:tabs>
        <w:spacing w:after="0"/>
        <w:ind w:firstLine="1"/>
        <w:jc w:val="left"/>
        <w:rPr>
          <w:rFonts w:eastAsia="Calibri"/>
        </w:rPr>
      </w:pPr>
      <w:r>
        <w:rPr>
          <w:rFonts w:eastAsia="Calibri"/>
        </w:rPr>
        <w:t>žalobce</w:t>
      </w:r>
      <w:r w:rsidRPr="000D6720">
        <w:rPr>
          <w:rFonts w:eastAsia="Calibri"/>
        </w:rPr>
        <w:t>:</w:t>
      </w:r>
      <w:r>
        <w:rPr>
          <w:rFonts w:eastAsia="Calibri"/>
        </w:rPr>
        <w:tab/>
      </w:r>
      <w:r w:rsidRPr="00657C81">
        <w:rPr>
          <w:rFonts w:eastAsia="Calibri"/>
          <w:b/>
          <w:bCs/>
        </w:rPr>
        <w:t>M &amp; M reality holding a. s.,</w:t>
      </w:r>
      <w:r>
        <w:rPr>
          <w:rFonts w:eastAsia="Calibri"/>
        </w:rPr>
        <w:t xml:space="preserve"> IČO 27487768</w:t>
      </w:r>
    </w:p>
    <w:p w14:paraId="5371AB0B" w14:textId="77777777" w:rsidR="007D4CA1" w:rsidRDefault="007D4CA1" w:rsidP="007D4CA1">
      <w:pPr>
        <w:tabs>
          <w:tab w:val="left" w:pos="0"/>
          <w:tab w:val="left" w:pos="1984"/>
        </w:tabs>
        <w:spacing w:after="0"/>
        <w:ind w:firstLine="1"/>
        <w:jc w:val="left"/>
        <w:rPr>
          <w:rFonts w:eastAsia="Calibri"/>
        </w:rPr>
      </w:pPr>
      <w:r>
        <w:rPr>
          <w:rFonts w:eastAsia="Calibri"/>
        </w:rPr>
        <w:tab/>
        <w:t>sídlem Krakovská 1675/2, 110 00 Praha 1</w:t>
      </w:r>
    </w:p>
    <w:p w14:paraId="4ABBA3A1" w14:textId="77777777" w:rsidR="007D4CA1" w:rsidRDefault="007D4CA1" w:rsidP="007D4CA1">
      <w:pPr>
        <w:tabs>
          <w:tab w:val="left" w:pos="0"/>
          <w:tab w:val="left" w:pos="1984"/>
        </w:tabs>
        <w:spacing w:after="0"/>
        <w:ind w:firstLine="1"/>
        <w:jc w:val="left"/>
        <w:rPr>
          <w:rFonts w:eastAsia="Calibri"/>
        </w:rPr>
      </w:pPr>
      <w:r>
        <w:rPr>
          <w:rFonts w:eastAsia="Calibri"/>
        </w:rPr>
        <w:tab/>
        <w:t>zastoupený advokátem Mgr. Peterem Harmečkem</w:t>
      </w:r>
    </w:p>
    <w:p w14:paraId="1B814124" w14:textId="77777777" w:rsidR="007D4CA1" w:rsidRDefault="007D4CA1" w:rsidP="007D4CA1">
      <w:pPr>
        <w:tabs>
          <w:tab w:val="left" w:pos="0"/>
          <w:tab w:val="left" w:pos="1984"/>
        </w:tabs>
        <w:spacing w:after="0"/>
        <w:ind w:firstLine="1"/>
        <w:jc w:val="left"/>
        <w:rPr>
          <w:rFonts w:eastAsia="Calibri"/>
        </w:rPr>
      </w:pPr>
      <w:r>
        <w:rPr>
          <w:rFonts w:eastAsia="Calibri"/>
        </w:rPr>
        <w:tab/>
        <w:t xml:space="preserve">sídlem Macharova 302/13, 702 00 Ostrava </w:t>
      </w:r>
    </w:p>
    <w:p w14:paraId="48ACB9E6" w14:textId="77777777" w:rsidR="007D4CA1" w:rsidRDefault="007D4CA1" w:rsidP="007D4CA1">
      <w:pPr>
        <w:tabs>
          <w:tab w:val="left" w:pos="0"/>
          <w:tab w:val="left" w:pos="1984"/>
        </w:tabs>
        <w:spacing w:after="0"/>
        <w:ind w:firstLine="1"/>
        <w:jc w:val="left"/>
        <w:rPr>
          <w:rFonts w:eastAsia="Calibri"/>
        </w:rPr>
      </w:pPr>
      <w:r>
        <w:rPr>
          <w:rFonts w:eastAsia="Calibri"/>
        </w:rPr>
        <w:t>proti</w:t>
      </w:r>
      <w:r>
        <w:rPr>
          <w:rFonts w:eastAsia="Calibri"/>
        </w:rPr>
        <w:tab/>
      </w:r>
    </w:p>
    <w:p w14:paraId="256492C2" w14:textId="74892178" w:rsidR="007D4CA1" w:rsidRDefault="007D4CA1" w:rsidP="007D4CA1">
      <w:pPr>
        <w:tabs>
          <w:tab w:val="left" w:pos="0"/>
          <w:tab w:val="left" w:pos="1985"/>
        </w:tabs>
        <w:spacing w:after="0"/>
        <w:ind w:firstLine="1"/>
        <w:jc w:val="left"/>
        <w:rPr>
          <w:rFonts w:eastAsia="Calibri"/>
        </w:rPr>
      </w:pPr>
      <w:r>
        <w:rPr>
          <w:rFonts w:eastAsia="Calibri"/>
        </w:rPr>
        <w:t>žalovaným:</w:t>
      </w:r>
      <w:r>
        <w:rPr>
          <w:rFonts w:eastAsia="Calibri"/>
        </w:rPr>
        <w:tab/>
      </w:r>
      <w:r w:rsidRPr="00657C81">
        <w:rPr>
          <w:rFonts w:eastAsia="Calibri"/>
          <w:b/>
          <w:bCs/>
        </w:rPr>
        <w:t xml:space="preserve">1/ </w:t>
      </w:r>
      <w:r w:rsidR="00882584">
        <w:rPr>
          <w:rFonts w:eastAsia="Calibri"/>
          <w:b/>
          <w:bCs/>
        </w:rPr>
        <w:t>K.H.</w:t>
      </w:r>
      <w:r w:rsidRPr="00657C81">
        <w:rPr>
          <w:rFonts w:eastAsia="Calibri"/>
          <w:b/>
          <w:bCs/>
        </w:rPr>
        <w:t>,</w:t>
      </w:r>
      <w:r>
        <w:rPr>
          <w:rFonts w:eastAsia="Calibri"/>
        </w:rPr>
        <w:t xml:space="preserve"> narozený </w:t>
      </w:r>
      <w:r w:rsidR="00882584">
        <w:rPr>
          <w:rFonts w:eastAsia="Calibri"/>
        </w:rPr>
        <w:t>XXXXX</w:t>
      </w:r>
    </w:p>
    <w:p w14:paraId="1E5EED07" w14:textId="6A6A2F69" w:rsidR="007D4CA1" w:rsidRDefault="007D4CA1" w:rsidP="007D4CA1">
      <w:pPr>
        <w:tabs>
          <w:tab w:val="left" w:pos="0"/>
          <w:tab w:val="left" w:pos="1985"/>
        </w:tabs>
        <w:spacing w:after="0"/>
        <w:ind w:firstLine="1"/>
        <w:jc w:val="left"/>
        <w:rPr>
          <w:rFonts w:eastAsia="Calibri"/>
        </w:rPr>
      </w:pPr>
      <w:r>
        <w:rPr>
          <w:rFonts w:eastAsia="Calibri"/>
        </w:rPr>
        <w:tab/>
        <w:t xml:space="preserve">bytem </w:t>
      </w:r>
      <w:r w:rsidR="00882584">
        <w:rPr>
          <w:rFonts w:eastAsia="Calibri"/>
        </w:rPr>
        <w:t>XXXXX</w:t>
      </w:r>
      <w:r>
        <w:rPr>
          <w:rFonts w:eastAsia="Calibri"/>
        </w:rPr>
        <w:t xml:space="preserve"> </w:t>
      </w:r>
    </w:p>
    <w:p w14:paraId="3AB7E322" w14:textId="77777777" w:rsidR="007D4CA1" w:rsidRDefault="007D4CA1" w:rsidP="007D4CA1">
      <w:pPr>
        <w:tabs>
          <w:tab w:val="left" w:pos="0"/>
          <w:tab w:val="left" w:pos="1985"/>
        </w:tabs>
        <w:spacing w:after="0"/>
        <w:ind w:firstLine="1"/>
        <w:jc w:val="left"/>
        <w:rPr>
          <w:rFonts w:eastAsia="Calibri"/>
        </w:rPr>
      </w:pPr>
    </w:p>
    <w:p w14:paraId="3B917508" w14:textId="0BFEA6B9" w:rsidR="007D4CA1" w:rsidRDefault="007D4CA1" w:rsidP="007D4CA1">
      <w:pPr>
        <w:tabs>
          <w:tab w:val="left" w:pos="0"/>
          <w:tab w:val="left" w:pos="1985"/>
        </w:tabs>
        <w:spacing w:after="0"/>
        <w:ind w:firstLine="1"/>
        <w:jc w:val="left"/>
        <w:rPr>
          <w:rFonts w:eastAsia="Calibri"/>
        </w:rPr>
      </w:pPr>
      <w:r>
        <w:rPr>
          <w:rFonts w:eastAsia="Calibri"/>
        </w:rPr>
        <w:tab/>
      </w:r>
      <w:r w:rsidRPr="00657C81">
        <w:rPr>
          <w:rFonts w:eastAsia="Calibri"/>
          <w:b/>
          <w:bCs/>
        </w:rPr>
        <w:t xml:space="preserve">2/ </w:t>
      </w:r>
      <w:r w:rsidR="00882584">
        <w:rPr>
          <w:rFonts w:eastAsia="Calibri"/>
          <w:b/>
          <w:bCs/>
        </w:rPr>
        <w:t>E.H.</w:t>
      </w:r>
      <w:r w:rsidRPr="00657C81">
        <w:rPr>
          <w:rFonts w:eastAsia="Calibri"/>
          <w:b/>
          <w:bCs/>
        </w:rPr>
        <w:t>,</w:t>
      </w:r>
      <w:r>
        <w:rPr>
          <w:rFonts w:eastAsia="Calibri"/>
        </w:rPr>
        <w:t xml:space="preserve"> narozená </w:t>
      </w:r>
      <w:r w:rsidR="00882584">
        <w:rPr>
          <w:rFonts w:eastAsia="Calibri"/>
        </w:rPr>
        <w:t>XXXXX</w:t>
      </w:r>
    </w:p>
    <w:p w14:paraId="56437A0A" w14:textId="3A288AA7" w:rsidR="007D4CA1" w:rsidRDefault="007D4CA1" w:rsidP="007D4CA1">
      <w:pPr>
        <w:tabs>
          <w:tab w:val="left" w:pos="0"/>
          <w:tab w:val="left" w:pos="1985"/>
        </w:tabs>
        <w:spacing w:after="0"/>
        <w:ind w:firstLine="1"/>
        <w:jc w:val="left"/>
        <w:rPr>
          <w:rFonts w:eastAsia="Calibri"/>
        </w:rPr>
      </w:pPr>
      <w:r>
        <w:rPr>
          <w:rFonts w:eastAsia="Calibri"/>
        </w:rPr>
        <w:tab/>
        <w:t xml:space="preserve">bytem </w:t>
      </w:r>
      <w:r w:rsidR="00882584">
        <w:rPr>
          <w:rFonts w:eastAsia="Calibri"/>
        </w:rPr>
        <w:t>XXXXX</w:t>
      </w:r>
      <w:r>
        <w:rPr>
          <w:rFonts w:eastAsia="Calibri"/>
        </w:rPr>
        <w:t xml:space="preserve"> </w:t>
      </w:r>
    </w:p>
    <w:p w14:paraId="75ADAC11" w14:textId="77777777" w:rsidR="007D4CA1" w:rsidRDefault="007D4CA1" w:rsidP="007D4CA1">
      <w:pPr>
        <w:tabs>
          <w:tab w:val="left" w:pos="0"/>
          <w:tab w:val="left" w:pos="1985"/>
        </w:tabs>
        <w:spacing w:after="0"/>
        <w:jc w:val="left"/>
        <w:rPr>
          <w:rFonts w:eastAsia="Calibri"/>
        </w:rPr>
      </w:pPr>
      <w:r>
        <w:rPr>
          <w:rFonts w:eastAsia="Calibri"/>
        </w:rPr>
        <w:tab/>
      </w:r>
      <w:r>
        <w:rPr>
          <w:rFonts w:eastAsia="Calibri"/>
        </w:rPr>
        <w:tab/>
        <w:t xml:space="preserve"> </w:t>
      </w:r>
      <w:r>
        <w:rPr>
          <w:rFonts w:eastAsia="Calibri"/>
        </w:rPr>
        <w:tab/>
        <w:t xml:space="preserve"> </w:t>
      </w:r>
    </w:p>
    <w:p w14:paraId="22AF1199" w14:textId="77777777" w:rsidR="007D4CA1" w:rsidRPr="001E331B" w:rsidRDefault="007D4CA1" w:rsidP="007D4CA1">
      <w:pPr>
        <w:tabs>
          <w:tab w:val="left" w:pos="0"/>
          <w:tab w:val="left" w:pos="1985"/>
        </w:tabs>
        <w:spacing w:after="0"/>
        <w:ind w:firstLine="1"/>
        <w:jc w:val="left"/>
        <w:rPr>
          <w:rFonts w:eastAsia="Calibri"/>
          <w:b/>
        </w:rPr>
      </w:pPr>
      <w:r w:rsidRPr="001E331B">
        <w:rPr>
          <w:rFonts w:eastAsia="Calibri"/>
          <w:b/>
        </w:rPr>
        <w:t>o</w:t>
      </w:r>
      <w:r>
        <w:rPr>
          <w:rFonts w:eastAsia="Calibri"/>
          <w:b/>
        </w:rPr>
        <w:t xml:space="preserve"> 49.500 Kč s příslušenstvím</w:t>
      </w:r>
    </w:p>
    <w:p w14:paraId="3142D327" w14:textId="77777777" w:rsidR="007D4CA1" w:rsidRPr="00AB6241" w:rsidRDefault="007D4CA1" w:rsidP="007D4CA1">
      <w:pPr>
        <w:tabs>
          <w:tab w:val="left" w:pos="0"/>
          <w:tab w:val="left" w:pos="1985"/>
        </w:tabs>
        <w:spacing w:after="0"/>
        <w:ind w:firstLine="1"/>
        <w:rPr>
          <w:rFonts w:eastAsia="Calibri"/>
        </w:rPr>
      </w:pPr>
      <w:r>
        <w:rPr>
          <w:rFonts w:eastAsia="Calibri"/>
        </w:rPr>
        <w:t>o odvolání žalobce proti rozsudku Okresního soudu ve Znojmě ze dne 20. 12. 2021, č. j. 11 C 238/2021-31,</w:t>
      </w:r>
    </w:p>
    <w:p w14:paraId="6BAB5E53" w14:textId="77777777" w:rsidR="007D4CA1" w:rsidRPr="00657C81" w:rsidRDefault="007D4CA1" w:rsidP="007D4CA1">
      <w:pPr>
        <w:pStyle w:val="Nadpisvrozhodnut"/>
        <w:spacing w:before="120" w:after="240"/>
        <w:rPr>
          <w:spacing w:val="50"/>
        </w:rPr>
      </w:pPr>
      <w:r w:rsidRPr="000D6720">
        <w:t>takto</w:t>
      </w:r>
      <w:r w:rsidRPr="009629F0">
        <w:rPr>
          <w:spacing w:val="50"/>
        </w:rPr>
        <w:t>:</w:t>
      </w:r>
    </w:p>
    <w:p w14:paraId="284E8A38" w14:textId="77777777" w:rsidR="007D4CA1" w:rsidRDefault="007D4CA1" w:rsidP="007D4CA1">
      <w:pPr>
        <w:pStyle w:val="Vrok"/>
      </w:pPr>
      <w:r>
        <w:t xml:space="preserve">Rozsudek soudu I. stupně </w:t>
      </w:r>
      <w:r w:rsidRPr="00D61A75">
        <w:rPr>
          <w:b/>
        </w:rPr>
        <w:t>se potvrzuje</w:t>
      </w:r>
      <w:r>
        <w:t>.</w:t>
      </w:r>
    </w:p>
    <w:p w14:paraId="681947C1" w14:textId="77777777" w:rsidR="007D4CA1" w:rsidRPr="00657C81" w:rsidRDefault="007D4CA1" w:rsidP="007D4CA1">
      <w:pPr>
        <w:pStyle w:val="Vrok"/>
      </w:pPr>
      <w:r>
        <w:t>Žádný z účastníků nemá právo na náhradu nákladů odvolacího řízení.</w:t>
      </w:r>
    </w:p>
    <w:p w14:paraId="2CE2A6E8" w14:textId="77777777" w:rsidR="007D4CA1" w:rsidRDefault="007D4CA1" w:rsidP="007D4CA1">
      <w:pPr>
        <w:pStyle w:val="Nadpisvrozhodnut"/>
        <w:rPr>
          <w:spacing w:val="30"/>
        </w:rPr>
      </w:pPr>
      <w:bookmarkStart w:id="0" w:name="Začátek"/>
      <w:bookmarkEnd w:id="0"/>
      <w:r w:rsidRPr="009629F0">
        <w:t>Odůvodnění</w:t>
      </w:r>
      <w:r w:rsidRPr="009629F0">
        <w:rPr>
          <w:spacing w:val="30"/>
        </w:rPr>
        <w:t>:</w:t>
      </w:r>
    </w:p>
    <w:p w14:paraId="0E29EC6C" w14:textId="0BD4C59D" w:rsidR="007D4CA1" w:rsidRDefault="007D4CA1" w:rsidP="007D4CA1">
      <w:pPr>
        <w:pStyle w:val="Textodvodnn"/>
        <w:ind w:left="0" w:hanging="284"/>
        <w:rPr>
          <w:lang w:bidi="ar-SA"/>
        </w:rPr>
      </w:pPr>
      <w:r>
        <w:rPr>
          <w:lang w:bidi="ar-SA"/>
        </w:rPr>
        <w:t xml:space="preserve">Napadeným rozsudkem soud I. stupně zamítl návrh, aby žalovaní 1/ a 2/ byli povinni společně a nerozdílně zaplatit žalobci 49.500 Kč se zákonnými úroky z prodlení ve výši 8,25 % ročně od 30. 5. 2021 do zaplacení (výrok I) a žádnému z účastníků nepřiznal právo na náhradu nákladů řízení </w:t>
      </w:r>
      <w:r>
        <w:rPr>
          <w:lang w:bidi="ar-SA"/>
        </w:rPr>
        <w:lastRenderedPageBreak/>
        <w:t xml:space="preserve">(výrok II). Rozhodl tak o žalobě v řízení zahájeném návrhem na vydání elektronického platebního rozkazu, kdy žalovaného plnění se žalobce domáhal na základě Výhradní dohody o zprostředkování ze dne 27. 8. 2020, jejíž podmínky žalovaní porušili a žalovaná jistina je smluvní pokutou ve výši 5 % z kupní ceny nemovitostí, jejich prodej měl žalobce zprostředkovat. Soud I. stupně posuzoval obsah listin „Dohody o koupi nemovitosti“ ze dne 7. 9. 2020 a „Výhradní dohody o zprostředkování“ ze dne 27. 8. 2020, vyslechl žalované a svědka </w:t>
      </w:r>
      <w:r w:rsidR="00882584">
        <w:rPr>
          <w:lang w:bidi="ar-SA"/>
        </w:rPr>
        <w:t>P.F.</w:t>
      </w:r>
      <w:r>
        <w:rPr>
          <w:lang w:bidi="ar-SA"/>
        </w:rPr>
        <w:t>, a dospěl k závěru, že žaloba není důvodná. Uzavřel, že „nebyly splněny podmínky určitosti a vážnosti vůle žalovaných při uzavírání smlouvy, neboť žalovaní podepisovali smlouvu, kdy při podpisu nebyl elektronicky zajištěn jejich kontakt s textem smlouvy, vzhledem k tomu, že účastníci neměli mezi sebou zavedenou tuto praxi“, že žalobce neprokázal „vážný projev vůle ze strany žalovaných, neboť smlouva nebyla podepsána v listinné podobě a nebyla podepsána pod samotný text smlouvy“, a nebyly podle něj dodrženy podmínky ustanovení § 562 odst. 1 o. z., neboť „technický prostředek k uzavírání smlouvy neumožňuje zachycení jejího obsahu a určení jednající osoby, tedy vztah mezi podpisem a textem smlouvy“. Za nadbytečné považoval zabývat se podmínkou příslibu zajištění náhradního bydlení žalovaným. O nákladech řízení rozhodl s ohledem na skutečnost, že žalovaným v řízení žádné náklady nevznikly.</w:t>
      </w:r>
    </w:p>
    <w:p w14:paraId="795FB26A" w14:textId="22C1C8B1" w:rsidR="007D4CA1" w:rsidRDefault="007D4CA1" w:rsidP="007D4CA1">
      <w:pPr>
        <w:pStyle w:val="Textodvodnn"/>
        <w:ind w:left="0" w:hanging="284"/>
        <w:rPr>
          <w:lang w:bidi="ar-SA"/>
        </w:rPr>
      </w:pPr>
      <w:r>
        <w:rPr>
          <w:lang w:bidi="ar-SA"/>
        </w:rPr>
        <w:t xml:space="preserve">Proti rozsudku podal odvolání žalobce a domáhal se jeho změny a vyhovění žalobě v celém rozsahu. Měl za to, že rozsudek spočívá na nesprávném právním posouzení věci. Soud I. stupně věc posuzoval podle § 562 odst. 1 o. z., kdy podle něj nebyly splněny podmínky uvedeného ustanovení. Žalobce s odůvodněním rozsudku soudu I. stupně nesouhlasí. Poukázal na § 559 o. z., podle kterého každý si může pro své právní jednání zvolit libovolnou formu, není-li ve volbě formy omezen ujednáním nebo zákonem. Dále na ustanovení § 574 o. z., podle kterého je třeba na jednání spíše hledět jako na platná než jako neplatná. Podle nařízení Evropského parlamentu a Rady (EU) č. 910/2014 elektronickému podpisu nesmějí být upírány právní účinky a nesmí být odmítán jako důkaz u soudu a v soudním a správním řízení jen z důvodu, že má elektronickou podobu nebo že nesplňuje požadavky na kvalifikovaný elektronický podpis. Za klíčovou označil výpověď svědka </w:t>
      </w:r>
      <w:r w:rsidR="00882584">
        <w:rPr>
          <w:lang w:bidi="ar-SA"/>
        </w:rPr>
        <w:t>F.</w:t>
      </w:r>
      <w:r>
        <w:rPr>
          <w:lang w:bidi="ar-SA"/>
        </w:rPr>
        <w:t>, ze které vyplynulo, že žalovaní měli možnost vidět a přečíst si obsah smlouvy, makléř neměl v terénu tiskárnu. Soud v rozsudku opomněl uvést, že následně smlouvu vytiskl a předal žalovaným v listinné podobě, měli tak dostatek prostoru se s ní seznámit, pokud nesouhlasili, mohli se dovolat jejího zrušení, případně relativní neplatnosti. Rozsudek označil za nepřípustně formální, vyznívající archaicky a rigidně ve vztahu ke zvolené formě právního jednání.</w:t>
      </w:r>
    </w:p>
    <w:p w14:paraId="674C7BC6" w14:textId="77777777" w:rsidR="007D4CA1" w:rsidRPr="00B36B27" w:rsidRDefault="007D4CA1" w:rsidP="007D4CA1">
      <w:pPr>
        <w:pStyle w:val="Textodvodnn"/>
        <w:ind w:left="0" w:hanging="284"/>
        <w:rPr>
          <w:lang w:bidi="ar-SA"/>
        </w:rPr>
      </w:pPr>
      <w:r>
        <w:rPr>
          <w:lang w:bidi="ar-SA"/>
        </w:rPr>
        <w:t xml:space="preserve">Žalovaní se k odvolání žalobce písemně nevyjádřili. </w:t>
      </w:r>
    </w:p>
    <w:p w14:paraId="7C355117" w14:textId="77777777" w:rsidR="007D4CA1" w:rsidRDefault="007D4CA1" w:rsidP="007D4CA1">
      <w:pPr>
        <w:pStyle w:val="Textodvodnn"/>
        <w:ind w:left="0" w:hanging="284"/>
        <w:rPr>
          <w:szCs w:val="24"/>
        </w:rPr>
      </w:pPr>
      <w:r>
        <w:rPr>
          <w:szCs w:val="24"/>
        </w:rPr>
        <w:t xml:space="preserve">Krajský soud v Brně jako soud odvolací (§ 10 odst. 1 o. s. ř.) po zjištění, že odvolání bylo podáno včas (§ 204 odst. 1 o. s. ř.), osobou oprávněnou (§ 201 o. s. ř.) a je přípustné (§ 201, § 202 o. s. ř. a contrario), přezkoumal rozsudek soudu I. stupně, řízení jeho vydání předcházející, k projednání odvolání svolal jednání (§ 214 odst. 1 o. s. ř.), u kterého zopakoval dokazování, a dospěl k závěru, že rozsudek soudu I. stupně je ve výroku správný a jako takový jej podle § 219 o. s. ř. potvrdil. </w:t>
      </w:r>
    </w:p>
    <w:p w14:paraId="2474CA5B" w14:textId="019CE33E" w:rsidR="007D4CA1" w:rsidRDefault="007D4CA1" w:rsidP="007D4CA1">
      <w:pPr>
        <w:pStyle w:val="Textodvodnn"/>
        <w:ind w:left="0" w:hanging="284"/>
        <w:rPr>
          <w:szCs w:val="24"/>
        </w:rPr>
      </w:pPr>
      <w:r>
        <w:rPr>
          <w:szCs w:val="24"/>
        </w:rPr>
        <w:t xml:space="preserve">Odvolací soud zopakoval dokazování dopisem žalovaných žalobci ze dne 1. 3. 2021, ve kterém tito poukazují na to, že prodej domu zrušili, neboť jim </w:t>
      </w:r>
      <w:r w:rsidR="00882584">
        <w:rPr>
          <w:szCs w:val="24"/>
        </w:rPr>
        <w:t>P.</w:t>
      </w:r>
      <w:r>
        <w:rPr>
          <w:szCs w:val="24"/>
        </w:rPr>
        <w:t xml:space="preserve"> „</w:t>
      </w:r>
      <w:r w:rsidR="00882584">
        <w:rPr>
          <w:szCs w:val="24"/>
        </w:rPr>
        <w:t>F.</w:t>
      </w:r>
      <w:r>
        <w:rPr>
          <w:szCs w:val="24"/>
        </w:rPr>
        <w:t xml:space="preserve">“ nezajistil náhradní dům, přestože to slíbil, z uvedeného důvodu nemají zájem na podepsání kupní smlouvy. Z „Výhradní dohody o zprostředkování“ vyplývá, že tuto uzavřel žalobce, zastoupený </w:t>
      </w:r>
      <w:r w:rsidR="00882584">
        <w:rPr>
          <w:szCs w:val="24"/>
        </w:rPr>
        <w:t>P.F.</w:t>
      </w:r>
      <w:r>
        <w:rPr>
          <w:szCs w:val="24"/>
        </w:rPr>
        <w:t xml:space="preserve">, se žalovanými jako klienty, jejím předmětem bylo obstarat klientům příležitost k uzavření kupní smlouvy ohledně blíže označené nemovitosti v k. ú. </w:t>
      </w:r>
      <w:r w:rsidR="003D6540">
        <w:rPr>
          <w:szCs w:val="24"/>
        </w:rPr>
        <w:t>XXXXX</w:t>
      </w:r>
      <w:r>
        <w:rPr>
          <w:szCs w:val="24"/>
        </w:rPr>
        <w:t xml:space="preserve"> za kupní cenu 990.000 Kč. V článku 9. byly vypočteny povinnosti klientů (mj. poskytnout součinnost potřebnou ke sjednání a uzavření smlouvy se zájemcem) a v článku 10. ujednání o smluvní pokutě v případě, že klient poruší některou z povinností uvedených v článku 9., je povinen zaplatit realitní kanceláři smluvní pokutu ve výši 5 % z kupní ceny. Smlouva je datována dnem 27. 8. 2020 a na dalším samostatném listě jsou v obdélnících uvedeny podpisy </w:t>
      </w:r>
      <w:r w:rsidR="00882584">
        <w:rPr>
          <w:szCs w:val="24"/>
        </w:rPr>
        <w:t>P.F.</w:t>
      </w:r>
      <w:r>
        <w:rPr>
          <w:szCs w:val="24"/>
        </w:rPr>
        <w:t xml:space="preserve"> jako zprostředkovatele a obou žalovaných jako klientů. </w:t>
      </w:r>
    </w:p>
    <w:p w14:paraId="2F83C739" w14:textId="1C5F2658" w:rsidR="007D4CA1" w:rsidRDefault="007D4CA1" w:rsidP="007D4CA1">
      <w:pPr>
        <w:pStyle w:val="Textodvodnn"/>
        <w:ind w:left="0" w:hanging="284"/>
        <w:rPr>
          <w:szCs w:val="24"/>
        </w:rPr>
      </w:pPr>
      <w:r>
        <w:rPr>
          <w:szCs w:val="24"/>
        </w:rPr>
        <w:lastRenderedPageBreak/>
        <w:t xml:space="preserve">Nárok žalobce na zaplacení smluvní pokuty je založen „Výhradní dohodou o zprostředkování“, jejíž ujednání – poskytnutí součinnosti při zprostředkovatelské činnosti žalobce – měli žalovaní porušit. Tato dohoda při jejím uzavření neexistovala v listinné podobě, ale byla realitním makléřem </w:t>
      </w:r>
      <w:r w:rsidR="00882584">
        <w:rPr>
          <w:szCs w:val="24"/>
        </w:rPr>
        <w:t>P.F.</w:t>
      </w:r>
      <w:r>
        <w:rPr>
          <w:szCs w:val="24"/>
        </w:rPr>
        <w:t xml:space="preserve"> žalovaným zobrazena na tabletu jako elektronický dokument, na kterém byla následně jejími účastníky i podepsána. O jejím obsahu však nebyla mezi účastníky shoda, žalobce odkazoval na písemný dokument a zejména na povinnosti klientů uvedené v článku 9., žalovaní svoji součinnost podmiňovali příslibem zajištění náhradní bydlení, který měl realitní makléř ústní formou učinit. Proti sobě tak stál obsah následně vytištěné listiny „Výhradní dohody o zprostředkování“, podpořený výpovědí realitního makléře </w:t>
      </w:r>
      <w:r w:rsidR="00882584">
        <w:rPr>
          <w:szCs w:val="24"/>
        </w:rPr>
        <w:t>P.F.</w:t>
      </w:r>
      <w:r>
        <w:rPr>
          <w:szCs w:val="24"/>
        </w:rPr>
        <w:t>, slyšeného v řízení jako svědka a tvrzení a účastnické výpovědi žalovaných. Žalobce u jednání odvolacího soudu k obsahu ujednání účastníků žádné další důkazy neoznačil, navrhl pouze doplnit dokazování předvoláním znalce, který se zaměřuje na biometrické podpisy, ve vztahu k tomu, zda dokument byl na tabletu podepsán žalovanými. Tato skutečnost však rozporována nebyla, proto odvolací soud tento důkaz neprovedl.</w:t>
      </w:r>
    </w:p>
    <w:p w14:paraId="6D7E9817" w14:textId="77777777" w:rsidR="007D4CA1" w:rsidRDefault="007D4CA1" w:rsidP="007D4CA1">
      <w:pPr>
        <w:pStyle w:val="Textodvodnn"/>
        <w:ind w:left="0" w:hanging="284"/>
        <w:rPr>
          <w:szCs w:val="24"/>
        </w:rPr>
      </w:pPr>
      <w:r>
        <w:rPr>
          <w:szCs w:val="24"/>
        </w:rPr>
        <w:t xml:space="preserve">Soud I. stupně věc nesprávně (jak bude rozebráno níže) právně posoudil jako nesplnění podmínek vážnosti a vůle při právním jednání, při kterém účastníci neměli při podpisu „elektronicky zajištěn kontakt s textem smlouvy“ a neměli mezi sebou zavedenu tuto praxi. </w:t>
      </w:r>
    </w:p>
    <w:p w14:paraId="2C9DA803" w14:textId="77777777" w:rsidR="007D4CA1" w:rsidRDefault="007D4CA1" w:rsidP="007D4CA1">
      <w:pPr>
        <w:pStyle w:val="Textodvodnn"/>
        <w:ind w:left="0" w:hanging="284"/>
        <w:rPr>
          <w:szCs w:val="24"/>
        </w:rPr>
      </w:pPr>
      <w:r>
        <w:rPr>
          <w:szCs w:val="24"/>
        </w:rPr>
        <w:t xml:space="preserve">Smluvní pokutu upravují v občanském zákoníku (zákon č. 89/2012 Sb., dále jen „o. z.“) ustanovení § 2048 až 2052. Smluvní pokuta utvrzuje splnění povinnosti založené smlouvou (zde „Výhradní dohodou o zprostředkování“), ve vazbě, na kterou vzniká a zaniká – má k ní akcesorickou povahu. Mezi účastníky řízení existence hlavního závazku (dohody o zprostředkování) sporná nebyla, neshoda panovala ohledně povinností, pro jejichž porušení byla smluvní pokuta sjednána. Na rozdíl od dřívější úpravy (zákona č. 40/1964 Sb.) nový občanský zákoník účinný od 1. 1. 2014 nevyžaduje pro platnost ujednání o smluvní pokutě písemnou formu. Podmínky, pro jejichž porušení byla smluvní pokuta sjednána, tak mohly být dohodnuty i ústně.   </w:t>
      </w:r>
    </w:p>
    <w:p w14:paraId="37434618" w14:textId="706B8C6C" w:rsidR="007D4CA1" w:rsidRPr="00D6293E" w:rsidRDefault="007D4CA1" w:rsidP="007D4CA1">
      <w:pPr>
        <w:pStyle w:val="Textodvodnn"/>
        <w:ind w:left="0" w:hanging="284"/>
        <w:rPr>
          <w:szCs w:val="24"/>
        </w:rPr>
      </w:pPr>
      <w:r w:rsidRPr="00D6293E">
        <w:rPr>
          <w:szCs w:val="24"/>
        </w:rPr>
        <w:t>V případě podpisu dohody o zprostředkování na tabletu za situace, kdy se jedná o tzv. prostý elektronický podpis, jehož v právních předpisech definovány (na rozdíl od elektronických podpisů kvalifikovaných, uznávaných či zaručených – srov. zákon č. 297/2016 S., o službách vytvářejících důvěru pro elektronické transakce; nařízení Evropského parlamentu a Rady (EU) č. 910/2014 ze dne 23. 7. 2014 - eIDAS). Kvalifikované a uznávané elektronické podpisy zaručují identitu podepsané osoby, prostý elektronický podpis tuto vlastnost nemá. Prostým elektronickým podpisem je v praxi nejčastěji biometrický podpis (příp. dynamický biometrický podpis), který představuje do dokumentu vložená biometrická data, nejčastěji nasnímané křivky vlastnoručního podpisu (na destičce či tabletu), u dynamického biometrického podpisu včetně snímání dynamiky podepisování – tj. jeho rychlosti a přítlaku). Vždy se jedná o vzorek, který je v různé míře unikátní a charakteristický pro určitou osobu, avšak nejedná se o podepsání konkrétního dokumentu. Kvalifikované, uznávané a zaručené elektronické podpisy neexistují samy o sobě (jsou závislé na tom, co je podepisováno), nelze je vytvořit dopředu, jsou nepřenosné a podpisující osoba rozhodne o tom, co podepisuje – žádná z těchto vlastností však není spojena s „prostým“ elektronickým podpisem, který může existovat sám o sobě, lze jej vytvořit dopředu, je přenosný – není vázán na konkrétní dokument. Obecně platí, že podpis stvrzuje nejen to, kdo jednal, ale také jaké konkrétní jednání svým podpisem stvrdil. Zde</w:t>
      </w:r>
      <w:r>
        <w:rPr>
          <w:szCs w:val="24"/>
        </w:rPr>
        <w:t xml:space="preserve"> </w:t>
      </w:r>
      <w:r w:rsidRPr="00D6293E">
        <w:rPr>
          <w:szCs w:val="24"/>
        </w:rPr>
        <w:t xml:space="preserve">byla sice písemná forma jednání ve smyslu § 562 o. z. zachována, prostý elektronický podpis však není přiřazen k dokumentu, který je takto podepisován, disponuje s ním pouze jedna strana. </w:t>
      </w:r>
      <w:r>
        <w:rPr>
          <w:szCs w:val="24"/>
        </w:rPr>
        <w:t>V tomto případě</w:t>
      </w:r>
      <w:r w:rsidRPr="00D6293E">
        <w:rPr>
          <w:szCs w:val="24"/>
        </w:rPr>
        <w:t xml:space="preserve"> j</w:t>
      </w:r>
      <w:r>
        <w:rPr>
          <w:szCs w:val="24"/>
        </w:rPr>
        <w:t>d</w:t>
      </w:r>
      <w:r w:rsidRPr="00D6293E">
        <w:rPr>
          <w:szCs w:val="24"/>
        </w:rPr>
        <w:t xml:space="preserve">e rozpor o obsahu povinností vyplývajících ze smlouvy mezi žalovanými a svědkem </w:t>
      </w:r>
      <w:r w:rsidR="00882584">
        <w:rPr>
          <w:szCs w:val="24"/>
        </w:rPr>
        <w:t>F.</w:t>
      </w:r>
      <w:r w:rsidRPr="00D6293E">
        <w:rPr>
          <w:szCs w:val="24"/>
        </w:rPr>
        <w:t>, resp. povinnostmi uvedenými v</w:t>
      </w:r>
      <w:r>
        <w:rPr>
          <w:szCs w:val="24"/>
        </w:rPr>
        <w:t> </w:t>
      </w:r>
      <w:r w:rsidRPr="00D6293E">
        <w:rPr>
          <w:szCs w:val="24"/>
        </w:rPr>
        <w:t>listině</w:t>
      </w:r>
      <w:r>
        <w:rPr>
          <w:szCs w:val="24"/>
        </w:rPr>
        <w:t>, za jejichž porušení je dovozován vznik nároku na zaplacení smluvní pokuty, a ž</w:t>
      </w:r>
      <w:r w:rsidRPr="00D6293E">
        <w:rPr>
          <w:szCs w:val="24"/>
        </w:rPr>
        <w:t>alobce jiný důkaz v tomto směru nenabídl. Z</w:t>
      </w:r>
      <w:r>
        <w:rPr>
          <w:szCs w:val="24"/>
        </w:rPr>
        <w:t>a této situace</w:t>
      </w:r>
      <w:r w:rsidRPr="00D6293E">
        <w:rPr>
          <w:szCs w:val="24"/>
        </w:rPr>
        <w:t>, kdy nárok žalobce na zaplacení částky 49.500 Kč jako smluvní pokuty vyplývá z </w:t>
      </w:r>
      <w:r>
        <w:rPr>
          <w:szCs w:val="24"/>
        </w:rPr>
        <w:t>V</w:t>
      </w:r>
      <w:r w:rsidRPr="00D6293E">
        <w:rPr>
          <w:szCs w:val="24"/>
        </w:rPr>
        <w:t>ýhradní dohody o zprostředkování ze dne 27. 8. 2020,</w:t>
      </w:r>
      <w:r>
        <w:rPr>
          <w:szCs w:val="24"/>
        </w:rPr>
        <w:t xml:space="preserve"> a</w:t>
      </w:r>
      <w:r w:rsidRPr="00D6293E">
        <w:rPr>
          <w:szCs w:val="24"/>
        </w:rPr>
        <w:t xml:space="preserve"> kdy prostý elektronický podpis</w:t>
      </w:r>
      <w:r>
        <w:rPr>
          <w:szCs w:val="24"/>
        </w:rPr>
        <w:t xml:space="preserve"> n</w:t>
      </w:r>
      <w:r w:rsidRPr="00D6293E">
        <w:rPr>
          <w:szCs w:val="24"/>
        </w:rPr>
        <w:t xml:space="preserve">ezaručuje </w:t>
      </w:r>
      <w:r>
        <w:rPr>
          <w:szCs w:val="24"/>
        </w:rPr>
        <w:t xml:space="preserve">jaké právní jednání jím bylo stvrzeno, neboť </w:t>
      </w:r>
      <w:r w:rsidRPr="00D6293E">
        <w:rPr>
          <w:szCs w:val="24"/>
        </w:rPr>
        <w:t>je přenosný a nemá vazbu s tím, co je podepisováno, resp. uvedené utváří</w:t>
      </w:r>
      <w:r>
        <w:rPr>
          <w:szCs w:val="24"/>
        </w:rPr>
        <w:t xml:space="preserve"> výhradně</w:t>
      </w:r>
      <w:r w:rsidRPr="00D6293E">
        <w:rPr>
          <w:szCs w:val="24"/>
        </w:rPr>
        <w:t xml:space="preserve"> druhá strana, která s tímto může libovolně nakládat</w:t>
      </w:r>
      <w:r>
        <w:rPr>
          <w:szCs w:val="24"/>
        </w:rPr>
        <w:t xml:space="preserve">, </w:t>
      </w:r>
      <w:r w:rsidRPr="00D6293E">
        <w:rPr>
          <w:szCs w:val="24"/>
        </w:rPr>
        <w:t xml:space="preserve">nebyla </w:t>
      </w:r>
      <w:r>
        <w:rPr>
          <w:szCs w:val="24"/>
        </w:rPr>
        <w:t xml:space="preserve">žalobcem </w:t>
      </w:r>
      <w:r w:rsidRPr="00D6293E">
        <w:rPr>
          <w:szCs w:val="24"/>
        </w:rPr>
        <w:t xml:space="preserve">prokázána dohoda o </w:t>
      </w:r>
      <w:r>
        <w:rPr>
          <w:szCs w:val="24"/>
        </w:rPr>
        <w:t>jím tvrzeném</w:t>
      </w:r>
      <w:r w:rsidRPr="00D6293E">
        <w:rPr>
          <w:szCs w:val="24"/>
        </w:rPr>
        <w:t xml:space="preserve"> obsahu</w:t>
      </w:r>
      <w:r>
        <w:rPr>
          <w:szCs w:val="24"/>
        </w:rPr>
        <w:t xml:space="preserve">. Proti sobě stojí </w:t>
      </w:r>
      <w:r w:rsidRPr="00D6293E">
        <w:rPr>
          <w:szCs w:val="24"/>
        </w:rPr>
        <w:t xml:space="preserve">výpověď </w:t>
      </w:r>
      <w:r w:rsidRPr="00D6293E">
        <w:rPr>
          <w:szCs w:val="24"/>
        </w:rPr>
        <w:lastRenderedPageBreak/>
        <w:t>žalovaných a</w:t>
      </w:r>
      <w:r>
        <w:rPr>
          <w:szCs w:val="24"/>
        </w:rPr>
        <w:t> </w:t>
      </w:r>
      <w:r w:rsidRPr="00D6293E">
        <w:rPr>
          <w:szCs w:val="24"/>
        </w:rPr>
        <w:t xml:space="preserve">výpověď </w:t>
      </w:r>
      <w:r>
        <w:rPr>
          <w:szCs w:val="24"/>
        </w:rPr>
        <w:t xml:space="preserve">realitního makléře </w:t>
      </w:r>
      <w:r w:rsidR="00882584">
        <w:rPr>
          <w:szCs w:val="24"/>
        </w:rPr>
        <w:t>P.F.</w:t>
      </w:r>
      <w:r w:rsidRPr="00D6293E">
        <w:rPr>
          <w:szCs w:val="24"/>
        </w:rPr>
        <w:t>, který je</w:t>
      </w:r>
      <w:r>
        <w:rPr>
          <w:szCs w:val="24"/>
        </w:rPr>
        <w:t xml:space="preserve"> však</w:t>
      </w:r>
      <w:r w:rsidRPr="00D6293E">
        <w:rPr>
          <w:szCs w:val="24"/>
        </w:rPr>
        <w:t xml:space="preserve"> osobou zainteresovanou, byť v řízení vystupoval jako svědek, na jednání, resp. ekonomické činnosti žalobce se však jako realitní makléř podílel a</w:t>
      </w:r>
      <w:r>
        <w:rPr>
          <w:szCs w:val="24"/>
        </w:rPr>
        <w:t> </w:t>
      </w:r>
      <w:r w:rsidRPr="00D6293E">
        <w:rPr>
          <w:szCs w:val="24"/>
        </w:rPr>
        <w:t xml:space="preserve">má </w:t>
      </w:r>
      <w:r>
        <w:rPr>
          <w:szCs w:val="24"/>
        </w:rPr>
        <w:t xml:space="preserve">na ní </w:t>
      </w:r>
      <w:r w:rsidRPr="00D6293E">
        <w:rPr>
          <w:szCs w:val="24"/>
        </w:rPr>
        <w:t>svůj obchodní zájem.</w:t>
      </w:r>
      <w:r>
        <w:rPr>
          <w:szCs w:val="24"/>
        </w:rPr>
        <w:t xml:space="preserve"> Pominout nelze ani to, že žalobce je v této činnosti profesionálem a měl by jednat s náležitou znalostí a pečlivostí, která je s výkonem jeho činnosti spojena (srov. § 5 odst. 1 o. z.).</w:t>
      </w:r>
      <w:r w:rsidRPr="00D6293E">
        <w:rPr>
          <w:szCs w:val="24"/>
        </w:rPr>
        <w:t xml:space="preserve"> </w:t>
      </w:r>
      <w:r>
        <w:rPr>
          <w:szCs w:val="24"/>
        </w:rPr>
        <w:t>O</w:t>
      </w:r>
      <w:r w:rsidRPr="00D6293E">
        <w:rPr>
          <w:szCs w:val="24"/>
        </w:rPr>
        <w:t xml:space="preserve">dvolací soud </w:t>
      </w:r>
      <w:r>
        <w:rPr>
          <w:szCs w:val="24"/>
        </w:rPr>
        <w:t xml:space="preserve">tak </w:t>
      </w:r>
      <w:r w:rsidRPr="00D6293E">
        <w:rPr>
          <w:szCs w:val="24"/>
        </w:rPr>
        <w:t>neshledává žalobu za důvodnou a</w:t>
      </w:r>
      <w:r>
        <w:rPr>
          <w:szCs w:val="24"/>
        </w:rPr>
        <w:t> </w:t>
      </w:r>
      <w:r w:rsidRPr="00D6293E">
        <w:rPr>
          <w:szCs w:val="24"/>
        </w:rPr>
        <w:t>soud I.</w:t>
      </w:r>
      <w:r>
        <w:rPr>
          <w:szCs w:val="24"/>
        </w:rPr>
        <w:t> </w:t>
      </w:r>
      <w:r w:rsidRPr="00D6293E">
        <w:rPr>
          <w:szCs w:val="24"/>
        </w:rPr>
        <w:t xml:space="preserve">stupně ji správně, byť </w:t>
      </w:r>
      <w:r>
        <w:rPr>
          <w:szCs w:val="24"/>
        </w:rPr>
        <w:t xml:space="preserve">s </w:t>
      </w:r>
      <w:r w:rsidRPr="00D6293E">
        <w:rPr>
          <w:szCs w:val="24"/>
        </w:rPr>
        <w:t>jeho odůvodnění</w:t>
      </w:r>
      <w:r>
        <w:rPr>
          <w:szCs w:val="24"/>
        </w:rPr>
        <w:t xml:space="preserve">m o nedostatku určitosti a vážnosti vůle žalovaných při uzavření smlouvy </w:t>
      </w:r>
      <w:r w:rsidRPr="00D6293E">
        <w:rPr>
          <w:szCs w:val="24"/>
        </w:rPr>
        <w:t>nelze</w:t>
      </w:r>
      <w:r>
        <w:rPr>
          <w:szCs w:val="24"/>
        </w:rPr>
        <w:t xml:space="preserve"> souhlasit</w:t>
      </w:r>
      <w:r w:rsidRPr="00D6293E">
        <w:rPr>
          <w:szCs w:val="24"/>
        </w:rPr>
        <w:t>, zamítl. Odvolací soud rozsudek soudu I. stupně potvrdil, a</w:t>
      </w:r>
      <w:r>
        <w:rPr>
          <w:szCs w:val="24"/>
        </w:rPr>
        <w:t> </w:t>
      </w:r>
      <w:r w:rsidRPr="00D6293E">
        <w:rPr>
          <w:szCs w:val="24"/>
        </w:rPr>
        <w:t xml:space="preserve">to včetně výroku o náhradě nákladů (§ 219 o. s. ř.). </w:t>
      </w:r>
    </w:p>
    <w:p w14:paraId="2AE4D9BE" w14:textId="77777777" w:rsidR="007D4CA1" w:rsidRPr="00B36B27" w:rsidRDefault="007D4CA1" w:rsidP="007D4CA1">
      <w:pPr>
        <w:pStyle w:val="Textodvodnn"/>
        <w:ind w:left="0" w:hanging="284"/>
        <w:rPr>
          <w:szCs w:val="24"/>
        </w:rPr>
      </w:pPr>
      <w:r>
        <w:rPr>
          <w:szCs w:val="24"/>
        </w:rPr>
        <w:t xml:space="preserve">Úspěšným žalovaným v odvolacím řízení náklady nevznikly, proto bylo vysloveno, že žádný z účastníků nemá právo na náhradu nákladů odvolacího řízení. </w:t>
      </w:r>
    </w:p>
    <w:p w14:paraId="28820B64" w14:textId="77777777" w:rsidR="007D4CA1" w:rsidRDefault="007D4CA1" w:rsidP="007D4CA1">
      <w:pPr>
        <w:pStyle w:val="Nadpisvrozhodnut"/>
      </w:pPr>
      <w:r>
        <w:t>Poučení:</w:t>
      </w:r>
    </w:p>
    <w:p w14:paraId="1FFBCC1A" w14:textId="77777777" w:rsidR="007D4CA1" w:rsidRDefault="007D4CA1" w:rsidP="007D4CA1">
      <w:r>
        <w:t xml:space="preserve">Proti tomuto rozsudku je dovolání přípustné za předpokladu, 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Dovolání se podává k Nejvyššímu soudu prostřednictvím soudu, který rozhodoval ve věci v I. stupni, ve lhůtě do 2 měsíců od doručení rozhodnutí odvolacího soudu. </w:t>
      </w:r>
    </w:p>
    <w:p w14:paraId="19D1D3F2" w14:textId="77777777" w:rsidR="007D4CA1" w:rsidRPr="00015CD5" w:rsidRDefault="007D4CA1" w:rsidP="007D4CA1">
      <w:pPr>
        <w:spacing w:after="0"/>
      </w:pPr>
    </w:p>
    <w:p w14:paraId="21BC9DDE" w14:textId="77777777" w:rsidR="007D4CA1" w:rsidRDefault="007D4CA1" w:rsidP="007D4CA1">
      <w:pPr>
        <w:rPr>
          <w:rFonts w:eastAsia="Calibri"/>
        </w:rPr>
      </w:pPr>
      <w:r>
        <w:rPr>
          <w:rFonts w:eastAsia="Calibri"/>
        </w:rPr>
        <w:t xml:space="preserve">Brno 29. listopadu 2022 </w:t>
      </w:r>
    </w:p>
    <w:p w14:paraId="5C0114E7" w14:textId="77777777" w:rsidR="007D4CA1" w:rsidRDefault="007D4CA1" w:rsidP="007D4CA1"/>
    <w:p w14:paraId="308BD828" w14:textId="77777777" w:rsidR="007D4CA1" w:rsidRDefault="007D4CA1" w:rsidP="007D4CA1"/>
    <w:p w14:paraId="7FF04221" w14:textId="77777777" w:rsidR="007D4CA1" w:rsidRDefault="007D4CA1" w:rsidP="007D4CA1">
      <w:pPr>
        <w:spacing w:after="0"/>
      </w:pPr>
    </w:p>
    <w:p w14:paraId="3F25F6C1" w14:textId="77777777" w:rsidR="007D4CA1" w:rsidRDefault="007D4CA1" w:rsidP="007D4CA1">
      <w:pPr>
        <w:spacing w:after="0"/>
      </w:pPr>
      <w:r>
        <w:t>Mgr. Michal Kadleček v. r.</w:t>
      </w:r>
    </w:p>
    <w:p w14:paraId="2E78333D" w14:textId="77777777" w:rsidR="007D4CA1" w:rsidRDefault="007D4CA1" w:rsidP="007D4CA1">
      <w:r>
        <w:t>předseda senátu</w:t>
      </w:r>
    </w:p>
    <w:p w14:paraId="54527EEE" w14:textId="77777777" w:rsidR="007D4CA1" w:rsidRPr="00A4678C" w:rsidRDefault="007D4CA1" w:rsidP="007D4CA1"/>
    <w:p w14:paraId="17B6C9BE" w14:textId="77777777" w:rsidR="00282005" w:rsidRDefault="00282005"/>
    <w:sectPr w:rsidR="00282005" w:rsidSect="00FD5280">
      <w:headerReference w:type="default" r:id="rId6"/>
      <w:footerReference w:type="default" r:id="rId7"/>
      <w:headerReference w:type="first" r:id="rId8"/>
      <w:footerReference w:type="first" r:id="rId9"/>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BECF" w14:textId="77777777" w:rsidR="00A105FD" w:rsidRDefault="003D6540">
    <w:pPr>
      <w:pStyle w:val="Zpat"/>
    </w:pPr>
    <w:r>
      <w:t xml:space="preserve">Shodu s prvopisem potvrzuje Simona Procházková.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B3CD" w14:textId="77777777" w:rsidR="00A105FD" w:rsidRDefault="003D6540">
    <w:pPr>
      <w:pStyle w:val="Zpat"/>
    </w:pPr>
    <w:r>
      <w:t xml:space="preserve">Shodu s prvopisem </w:t>
    </w:r>
    <w:r>
      <w:t xml:space="preserve">potvrzuje Simona Procházková.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4D25" w14:textId="77777777" w:rsidR="00FD5280" w:rsidRPr="0019000B" w:rsidRDefault="003D6540"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D8878BB" w14:textId="77777777" w:rsidR="00FD5280" w:rsidRPr="0019000B" w:rsidRDefault="003D6540" w:rsidP="00FD5280">
    <w:pPr>
      <w:pStyle w:val="Zhlav"/>
    </w:pPr>
    <w:r w:rsidRPr="0019000B">
      <w:tab/>
    </w:r>
    <w:r w:rsidRPr="0019000B">
      <w:tab/>
    </w:r>
    <w:r>
      <w:t xml:space="preserve">18 Co 78/2022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38BD" w14:textId="77777777" w:rsidR="00FD5280" w:rsidRDefault="003D6540" w:rsidP="00FD5280">
    <w:pPr>
      <w:jc w:val="right"/>
    </w:pPr>
    <w:r>
      <w:rPr>
        <w:rFonts w:eastAsia="Calibri"/>
      </w:rPr>
      <w:t>č. j. 18 Co 78/2022 - 66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8013416">
    <w:abstractNumId w:val="0"/>
  </w:num>
  <w:num w:numId="2" w16cid:durableId="57435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A1"/>
    <w:rsid w:val="00282005"/>
    <w:rsid w:val="00397888"/>
    <w:rsid w:val="003D6540"/>
    <w:rsid w:val="007D4CA1"/>
    <w:rsid w:val="00882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34EBA"/>
  <w15:chartTrackingRefBased/>
  <w15:docId w15:val="{49CFC0C2-2274-4DB0-B04D-F2D773B3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4CA1"/>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7D4CA1"/>
    <w:pPr>
      <w:tabs>
        <w:tab w:val="center" w:pos="4536"/>
        <w:tab w:val="right" w:pos="9072"/>
      </w:tabs>
    </w:pPr>
    <w:rPr>
      <w:sz w:val="20"/>
      <w:szCs w:val="20"/>
    </w:rPr>
  </w:style>
  <w:style w:type="character" w:customStyle="1" w:styleId="ZhlavChar">
    <w:name w:val="Záhlaví Char"/>
    <w:basedOn w:val="Standardnpsmoodstavce"/>
    <w:link w:val="Zhlav"/>
    <w:uiPriority w:val="99"/>
    <w:rsid w:val="007D4CA1"/>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7D4CA1"/>
    <w:pPr>
      <w:tabs>
        <w:tab w:val="center" w:pos="4536"/>
        <w:tab w:val="right" w:pos="9072"/>
      </w:tabs>
    </w:pPr>
    <w:rPr>
      <w:sz w:val="20"/>
      <w:szCs w:val="20"/>
    </w:rPr>
  </w:style>
  <w:style w:type="character" w:customStyle="1" w:styleId="ZpatChar">
    <w:name w:val="Zápatí Char"/>
    <w:basedOn w:val="Standardnpsmoodstavce"/>
    <w:link w:val="Zpat"/>
    <w:uiPriority w:val="99"/>
    <w:rsid w:val="007D4CA1"/>
    <w:rPr>
      <w:rFonts w:ascii="Garamond" w:eastAsia="Times New Roman" w:hAnsi="Garamond" w:cs="Times New Roman"/>
      <w:sz w:val="20"/>
      <w:szCs w:val="20"/>
      <w:lang w:eastAsia="cs-CZ"/>
    </w:rPr>
  </w:style>
  <w:style w:type="character" w:styleId="slostrnky">
    <w:name w:val="page number"/>
    <w:uiPriority w:val="99"/>
    <w:semiHidden/>
    <w:unhideWhenUsed/>
    <w:rsid w:val="007D4CA1"/>
  </w:style>
  <w:style w:type="paragraph" w:customStyle="1" w:styleId="Nadpisvrozhodnut">
    <w:name w:val="Nadpis v rozhodnutí"/>
    <w:basedOn w:val="Normln"/>
    <w:next w:val="Normln"/>
    <w:link w:val="NadpisvrozhodnutChar"/>
    <w:qFormat/>
    <w:rsid w:val="007D4CA1"/>
    <w:pPr>
      <w:spacing w:before="240"/>
      <w:jc w:val="center"/>
    </w:pPr>
    <w:rPr>
      <w:rFonts w:eastAsia="Calibri"/>
      <w:b/>
      <w:szCs w:val="22"/>
      <w:lang w:eastAsia="en-US"/>
    </w:rPr>
  </w:style>
  <w:style w:type="character" w:customStyle="1" w:styleId="NadpisvrozhodnutChar">
    <w:name w:val="Nadpis v rozhodnutí Char"/>
    <w:link w:val="Nadpisvrozhodnut"/>
    <w:rsid w:val="007D4CA1"/>
    <w:rPr>
      <w:rFonts w:ascii="Garamond" w:eastAsia="Calibri" w:hAnsi="Garamond" w:cs="Times New Roman"/>
      <w:b/>
      <w:sz w:val="24"/>
    </w:rPr>
  </w:style>
  <w:style w:type="paragraph" w:customStyle="1" w:styleId="Vrok">
    <w:name w:val="Výrok"/>
    <w:basedOn w:val="Normln"/>
    <w:link w:val="VrokChar"/>
    <w:qFormat/>
    <w:rsid w:val="007D4CA1"/>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7D4CA1"/>
    <w:pPr>
      <w:numPr>
        <w:numId w:val="2"/>
      </w:numPr>
    </w:pPr>
    <w:rPr>
      <w:szCs w:val="22"/>
      <w:lang w:eastAsia="en-US" w:bidi="en-US"/>
    </w:rPr>
  </w:style>
  <w:style w:type="character" w:customStyle="1" w:styleId="VrokChar">
    <w:name w:val="Výrok Char"/>
    <w:link w:val="Vrok"/>
    <w:rsid w:val="007D4CA1"/>
    <w:rPr>
      <w:rFonts w:ascii="Garamond" w:eastAsia="Calibri" w:hAnsi="Garamond" w:cs="Times New Roman"/>
      <w:sz w:val="24"/>
    </w:rPr>
  </w:style>
  <w:style w:type="character" w:customStyle="1" w:styleId="TextodvodnnChar">
    <w:name w:val="Text odůvodnění Char"/>
    <w:link w:val="Textodvodnn"/>
    <w:rsid w:val="007D4CA1"/>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1671</Words>
  <Characters>9929</Characters>
  <Application>Microsoft Office Word</Application>
  <DocSecurity>0</DocSecurity>
  <Lines>242</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2023-11-09T11:49:00Z</dcterms:created>
  <dcterms:modified xsi:type="dcterms:W3CDTF">2023-11-09T12:11:00Z</dcterms:modified>
</cp:coreProperties>
</file>