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136A" w14:textId="1D2F6733" w:rsidR="00FC4BEC" w:rsidRPr="00EB345A" w:rsidRDefault="00FC4BEC" w:rsidP="00FC4BEC">
      <w:pPr>
        <w:jc w:val="center"/>
        <w:rPr>
          <w:sz w:val="32"/>
          <w:szCs w:val="32"/>
        </w:rPr>
      </w:pPr>
      <w:r w:rsidRPr="00EB345A">
        <w:rPr>
          <w:noProof/>
          <w:sz w:val="32"/>
          <w:szCs w:val="32"/>
        </w:rPr>
        <w:drawing>
          <wp:anchor distT="1800225" distB="360045" distL="114300" distR="114300" simplePos="0" relativeHeight="251659264" behindDoc="0" locked="0" layoutInCell="1" allowOverlap="1" wp14:anchorId="0647B792" wp14:editId="7802C43E">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345A">
        <w:rPr>
          <w:sz w:val="32"/>
          <w:szCs w:val="32"/>
        </w:rPr>
        <w:t>ČESKÁ REPUBLIKA</w:t>
      </w:r>
    </w:p>
    <w:p w14:paraId="02A785E7" w14:textId="77777777" w:rsidR="00FC4BEC" w:rsidRPr="009629F0" w:rsidRDefault="00FC4BEC" w:rsidP="00FC4BEC">
      <w:pPr>
        <w:jc w:val="center"/>
        <w:rPr>
          <w:rFonts w:eastAsia="Calibri"/>
          <w:b/>
          <w:bCs/>
          <w:sz w:val="40"/>
          <w:szCs w:val="40"/>
        </w:rPr>
      </w:pPr>
      <w:r w:rsidRPr="009629F0">
        <w:rPr>
          <w:rFonts w:eastAsia="Calibri"/>
          <w:b/>
          <w:bCs/>
          <w:sz w:val="40"/>
          <w:szCs w:val="40"/>
        </w:rPr>
        <w:t>ROZSUDEK</w:t>
      </w:r>
    </w:p>
    <w:p w14:paraId="6FC8B1D4" w14:textId="77777777" w:rsidR="00FC4BEC" w:rsidRPr="009629F0" w:rsidRDefault="00FC4BEC" w:rsidP="00FC4BEC">
      <w:pPr>
        <w:spacing w:after="480"/>
        <w:jc w:val="center"/>
        <w:rPr>
          <w:rFonts w:eastAsia="Calibri"/>
          <w:b/>
          <w:bCs/>
        </w:rPr>
      </w:pPr>
      <w:r w:rsidRPr="009629F0">
        <w:rPr>
          <w:rFonts w:eastAsia="Calibri"/>
          <w:b/>
          <w:bCs/>
          <w:sz w:val="40"/>
          <w:szCs w:val="40"/>
        </w:rPr>
        <w:t>JMÉNEM REPUBLIKY</w:t>
      </w:r>
    </w:p>
    <w:p w14:paraId="015AF3BB" w14:textId="77777777" w:rsidR="00FC4BEC" w:rsidRDefault="00FC4BEC" w:rsidP="00FC4BEC">
      <w:r>
        <w:t xml:space="preserve">Krajský </w:t>
      </w:r>
      <w:r w:rsidRPr="009101B7">
        <w:t xml:space="preserve">soud </w:t>
      </w:r>
      <w:r>
        <w:t xml:space="preserve">v Brně rozhodl v senátě složeném  z předsedy JUDr. Petra Sladkého a soudců JUDr. Jana Zavřela a JUDr. Petry Flídrové   </w:t>
      </w:r>
      <w:r w:rsidRPr="000D6720">
        <w:t>ve věci</w:t>
      </w:r>
    </w:p>
    <w:p w14:paraId="1944EBBB" w14:textId="77777777" w:rsidR="00FC4BEC" w:rsidRDefault="00FC4BEC" w:rsidP="00FC4BEC"/>
    <w:tbl>
      <w:tblPr>
        <w:tblW w:w="9212" w:type="dxa"/>
        <w:tblLayout w:type="fixed"/>
        <w:tblCellMar>
          <w:left w:w="70" w:type="dxa"/>
          <w:right w:w="70" w:type="dxa"/>
        </w:tblCellMar>
        <w:tblLook w:val="0000" w:firstRow="0" w:lastRow="0" w:firstColumn="0" w:lastColumn="0" w:noHBand="0" w:noVBand="0"/>
      </w:tblPr>
      <w:tblGrid>
        <w:gridCol w:w="2197"/>
        <w:gridCol w:w="7015"/>
      </w:tblGrid>
      <w:tr w:rsidR="00FC4BEC" w:rsidRPr="00FF391B" w14:paraId="18442FCC" w14:textId="77777777" w:rsidTr="00436BC8">
        <w:tc>
          <w:tcPr>
            <w:tcW w:w="2197" w:type="dxa"/>
            <w:tcBorders>
              <w:top w:val="nil"/>
              <w:left w:val="nil"/>
              <w:bottom w:val="nil"/>
              <w:right w:val="nil"/>
            </w:tcBorders>
          </w:tcPr>
          <w:p w14:paraId="04143184" w14:textId="77777777" w:rsidR="00FC4BEC" w:rsidRPr="00FF391B" w:rsidRDefault="00FC4BEC" w:rsidP="00436BC8">
            <w:pPr>
              <w:spacing w:after="0"/>
            </w:pPr>
            <w:r w:rsidRPr="00FF391B">
              <w:t xml:space="preserve">žalobkyně: </w:t>
            </w:r>
          </w:p>
        </w:tc>
        <w:tc>
          <w:tcPr>
            <w:tcW w:w="7015" w:type="dxa"/>
            <w:tcBorders>
              <w:top w:val="nil"/>
              <w:left w:val="nil"/>
              <w:bottom w:val="nil"/>
              <w:right w:val="nil"/>
            </w:tcBorders>
          </w:tcPr>
          <w:p w14:paraId="15BC45FF" w14:textId="77777777" w:rsidR="00FC4BEC" w:rsidRDefault="00FC4BEC" w:rsidP="00436BC8">
            <w:pPr>
              <w:spacing w:after="0"/>
              <w:rPr>
                <w:bCs/>
              </w:rPr>
            </w:pPr>
            <w:r w:rsidRPr="00FF391B">
              <w:rPr>
                <w:b/>
                <w:bCs/>
              </w:rPr>
              <w:t xml:space="preserve">T.S.nemovitosti s.r.o., </w:t>
            </w:r>
            <w:r>
              <w:rPr>
                <w:bCs/>
              </w:rPr>
              <w:t>IČ: 29317991</w:t>
            </w:r>
            <w:r w:rsidRPr="00FF391B">
              <w:rPr>
                <w:bCs/>
              </w:rPr>
              <w:t xml:space="preserve"> </w:t>
            </w:r>
          </w:p>
          <w:p w14:paraId="72D609D5" w14:textId="77777777" w:rsidR="00FC4BEC" w:rsidRPr="00FF391B" w:rsidRDefault="00FC4BEC" w:rsidP="00436BC8">
            <w:pPr>
              <w:spacing w:after="0"/>
              <w:rPr>
                <w:b/>
                <w:bCs/>
              </w:rPr>
            </w:pPr>
            <w:r w:rsidRPr="00FF391B">
              <w:rPr>
                <w:bCs/>
              </w:rPr>
              <w:t>se sídlem Údolní 5, 602 00, Brno</w:t>
            </w:r>
          </w:p>
        </w:tc>
      </w:tr>
      <w:tr w:rsidR="00FC4BEC" w:rsidRPr="00FF391B" w14:paraId="34058E46" w14:textId="77777777" w:rsidTr="00436BC8">
        <w:tc>
          <w:tcPr>
            <w:tcW w:w="2197" w:type="dxa"/>
            <w:tcBorders>
              <w:top w:val="nil"/>
              <w:left w:val="nil"/>
              <w:bottom w:val="nil"/>
              <w:right w:val="nil"/>
            </w:tcBorders>
          </w:tcPr>
          <w:p w14:paraId="0AEA6746" w14:textId="77777777" w:rsidR="00FC4BEC" w:rsidRPr="00FF391B" w:rsidRDefault="00FC4BEC" w:rsidP="00436BC8">
            <w:pPr>
              <w:spacing w:after="0"/>
            </w:pPr>
            <w:r w:rsidRPr="00FF391B">
              <w:t xml:space="preserve">zastoupené: </w:t>
            </w:r>
          </w:p>
        </w:tc>
        <w:tc>
          <w:tcPr>
            <w:tcW w:w="7015" w:type="dxa"/>
            <w:tcBorders>
              <w:top w:val="nil"/>
              <w:left w:val="nil"/>
              <w:bottom w:val="nil"/>
              <w:right w:val="nil"/>
            </w:tcBorders>
          </w:tcPr>
          <w:p w14:paraId="5D88AAD1" w14:textId="77777777" w:rsidR="00FC4BEC" w:rsidRDefault="00FC4BEC" w:rsidP="00436BC8">
            <w:pPr>
              <w:spacing w:after="0"/>
              <w:rPr>
                <w:bCs/>
              </w:rPr>
            </w:pPr>
            <w:r w:rsidRPr="00FF391B">
              <w:rPr>
                <w:bCs/>
              </w:rPr>
              <w:t>JUDr. Pavl</w:t>
            </w:r>
            <w:r>
              <w:rPr>
                <w:bCs/>
              </w:rPr>
              <w:t>em</w:t>
            </w:r>
            <w:r w:rsidRPr="00FF391B">
              <w:rPr>
                <w:bCs/>
              </w:rPr>
              <w:t xml:space="preserve"> Knitl</w:t>
            </w:r>
            <w:r>
              <w:rPr>
                <w:bCs/>
              </w:rPr>
              <w:t>em</w:t>
            </w:r>
            <w:r w:rsidRPr="00FF391B">
              <w:rPr>
                <w:bCs/>
              </w:rPr>
              <w:t>, advokát</w:t>
            </w:r>
            <w:r>
              <w:rPr>
                <w:bCs/>
              </w:rPr>
              <w:t>em</w:t>
            </w:r>
            <w:r w:rsidRPr="00FF391B">
              <w:rPr>
                <w:bCs/>
              </w:rPr>
              <w:t xml:space="preserve"> </w:t>
            </w:r>
          </w:p>
          <w:p w14:paraId="5F0DEB37" w14:textId="77777777" w:rsidR="00FC4BEC" w:rsidRPr="00FF391B" w:rsidRDefault="00FC4BEC" w:rsidP="00436BC8">
            <w:pPr>
              <w:spacing w:after="0"/>
              <w:rPr>
                <w:bCs/>
              </w:rPr>
            </w:pPr>
            <w:r w:rsidRPr="00FF391B">
              <w:rPr>
                <w:bCs/>
              </w:rPr>
              <w:t>se sídlem Údolní 222/5, 602 00, Brno</w:t>
            </w:r>
          </w:p>
        </w:tc>
      </w:tr>
    </w:tbl>
    <w:p w14:paraId="542FDF7B" w14:textId="77777777" w:rsidR="00FC4BEC" w:rsidRPr="00A00282" w:rsidRDefault="00FC4BEC" w:rsidP="00FC4BEC">
      <w:pPr>
        <w:spacing w:after="0"/>
        <w:rPr>
          <w:rStyle w:val="Nadpis1Char"/>
          <w:b w:val="0"/>
          <w:bCs w:val="0"/>
        </w:rPr>
      </w:pPr>
      <w:r w:rsidRPr="00A00282">
        <w:rPr>
          <w:rStyle w:val="Nadpis1Char"/>
          <w:b w:val="0"/>
          <w:bCs w:val="0"/>
        </w:rPr>
        <w:t>proti</w:t>
      </w:r>
    </w:p>
    <w:p w14:paraId="4B9D5989" w14:textId="77777777" w:rsidR="00FC4BEC" w:rsidRPr="00FF391B" w:rsidRDefault="00FC4BEC" w:rsidP="00FC4BEC">
      <w:pPr>
        <w:spacing w:after="0"/>
        <w:rPr>
          <w:rStyle w:val="Nadpis1Char"/>
          <w:b w:val="0"/>
          <w:bCs w:val="0"/>
        </w:rPr>
      </w:pPr>
    </w:p>
    <w:tbl>
      <w:tblPr>
        <w:tblW w:w="9212" w:type="dxa"/>
        <w:tblLayout w:type="fixed"/>
        <w:tblCellMar>
          <w:left w:w="70" w:type="dxa"/>
          <w:right w:w="70" w:type="dxa"/>
        </w:tblCellMar>
        <w:tblLook w:val="0000" w:firstRow="0" w:lastRow="0" w:firstColumn="0" w:lastColumn="0" w:noHBand="0" w:noVBand="0"/>
      </w:tblPr>
      <w:tblGrid>
        <w:gridCol w:w="2197"/>
        <w:gridCol w:w="7015"/>
      </w:tblGrid>
      <w:tr w:rsidR="00FC4BEC" w:rsidRPr="00FF391B" w14:paraId="405F3319" w14:textId="77777777" w:rsidTr="00436BC8">
        <w:tc>
          <w:tcPr>
            <w:tcW w:w="2197" w:type="dxa"/>
            <w:tcBorders>
              <w:top w:val="nil"/>
              <w:left w:val="nil"/>
              <w:bottom w:val="nil"/>
              <w:right w:val="nil"/>
            </w:tcBorders>
          </w:tcPr>
          <w:p w14:paraId="6E80AD2A" w14:textId="77777777" w:rsidR="00FC4BEC" w:rsidRPr="00FF391B" w:rsidRDefault="00FC4BEC" w:rsidP="00436BC8">
            <w:pPr>
              <w:spacing w:after="0"/>
            </w:pPr>
            <w:r w:rsidRPr="00FF391B">
              <w:t xml:space="preserve">žalované: </w:t>
            </w:r>
          </w:p>
        </w:tc>
        <w:tc>
          <w:tcPr>
            <w:tcW w:w="7015" w:type="dxa"/>
            <w:tcBorders>
              <w:top w:val="nil"/>
              <w:left w:val="nil"/>
              <w:bottom w:val="nil"/>
              <w:right w:val="nil"/>
            </w:tcBorders>
          </w:tcPr>
          <w:p w14:paraId="598020A3" w14:textId="06ADA0B0" w:rsidR="00FC4BEC" w:rsidRDefault="005D36F7" w:rsidP="00436BC8">
            <w:pPr>
              <w:spacing w:after="0"/>
              <w:rPr>
                <w:b/>
                <w:bCs/>
              </w:rPr>
            </w:pPr>
            <w:r>
              <w:rPr>
                <w:b/>
                <w:bCs/>
              </w:rPr>
              <w:t>J. H.</w:t>
            </w:r>
            <w:r w:rsidR="00FC4BEC" w:rsidRPr="00FF391B">
              <w:rPr>
                <w:b/>
                <w:bCs/>
              </w:rPr>
              <w:t xml:space="preserve"> </w:t>
            </w:r>
            <w:r w:rsidR="00FC4BEC" w:rsidRPr="00FF391B">
              <w:rPr>
                <w:bCs/>
              </w:rPr>
              <w:t xml:space="preserve">IČ: </w:t>
            </w:r>
            <w:r>
              <w:rPr>
                <w:bCs/>
              </w:rPr>
              <w:t>XXXX</w:t>
            </w:r>
          </w:p>
          <w:p w14:paraId="2370FB23" w14:textId="19181224" w:rsidR="00FC4BEC" w:rsidRPr="00FF391B" w:rsidRDefault="00FC4BEC" w:rsidP="00436BC8">
            <w:pPr>
              <w:spacing w:after="0"/>
              <w:rPr>
                <w:bCs/>
              </w:rPr>
            </w:pPr>
            <w:r w:rsidRPr="00FF391B">
              <w:rPr>
                <w:bCs/>
              </w:rPr>
              <w:t xml:space="preserve">se sídlem </w:t>
            </w:r>
            <w:r w:rsidR="005D36F7">
              <w:rPr>
                <w:bCs/>
              </w:rPr>
              <w:t>XXXX</w:t>
            </w:r>
          </w:p>
        </w:tc>
      </w:tr>
      <w:tr w:rsidR="00FC4BEC" w:rsidRPr="00FF391B" w14:paraId="7B222FE3" w14:textId="77777777" w:rsidTr="00436BC8">
        <w:tc>
          <w:tcPr>
            <w:tcW w:w="2197" w:type="dxa"/>
            <w:tcBorders>
              <w:top w:val="nil"/>
              <w:left w:val="nil"/>
              <w:bottom w:val="nil"/>
              <w:right w:val="nil"/>
            </w:tcBorders>
          </w:tcPr>
          <w:p w14:paraId="1F382791" w14:textId="77777777" w:rsidR="00FC4BEC" w:rsidRPr="00FF391B" w:rsidRDefault="00FC4BEC" w:rsidP="00436BC8">
            <w:pPr>
              <w:spacing w:after="0"/>
            </w:pPr>
            <w:r w:rsidRPr="00FF391B">
              <w:t xml:space="preserve">zastoupené: </w:t>
            </w:r>
          </w:p>
        </w:tc>
        <w:tc>
          <w:tcPr>
            <w:tcW w:w="7015" w:type="dxa"/>
            <w:tcBorders>
              <w:top w:val="nil"/>
              <w:left w:val="nil"/>
              <w:bottom w:val="nil"/>
              <w:right w:val="nil"/>
            </w:tcBorders>
          </w:tcPr>
          <w:p w14:paraId="4852A537" w14:textId="77777777" w:rsidR="00FC4BEC" w:rsidRDefault="00FC4BEC" w:rsidP="00436BC8">
            <w:pPr>
              <w:spacing w:after="0"/>
              <w:rPr>
                <w:bCs/>
              </w:rPr>
            </w:pPr>
            <w:r w:rsidRPr="00FF391B">
              <w:rPr>
                <w:bCs/>
              </w:rPr>
              <w:t xml:space="preserve">JUDr. </w:t>
            </w:r>
            <w:r>
              <w:rPr>
                <w:bCs/>
              </w:rPr>
              <w:t>Kárimem Titzem,</w:t>
            </w:r>
            <w:r w:rsidRPr="00FF391B">
              <w:rPr>
                <w:bCs/>
              </w:rPr>
              <w:t xml:space="preserve"> advokát</w:t>
            </w:r>
            <w:r>
              <w:rPr>
                <w:bCs/>
              </w:rPr>
              <w:t>em</w:t>
            </w:r>
            <w:r w:rsidRPr="00FF391B">
              <w:rPr>
                <w:bCs/>
              </w:rPr>
              <w:t xml:space="preserve"> </w:t>
            </w:r>
          </w:p>
          <w:p w14:paraId="25990A05" w14:textId="77777777" w:rsidR="00FC4BEC" w:rsidRPr="00FF391B" w:rsidRDefault="00FC4BEC" w:rsidP="00436BC8">
            <w:pPr>
              <w:spacing w:after="0"/>
              <w:rPr>
                <w:bCs/>
              </w:rPr>
            </w:pPr>
            <w:r w:rsidRPr="00FF391B">
              <w:rPr>
                <w:bCs/>
              </w:rPr>
              <w:t xml:space="preserve">se sídlem </w:t>
            </w:r>
            <w:r>
              <w:rPr>
                <w:bCs/>
              </w:rPr>
              <w:t>Kobližná 47/19</w:t>
            </w:r>
            <w:r w:rsidRPr="00FF391B">
              <w:rPr>
                <w:bCs/>
              </w:rPr>
              <w:t>, 602 00, Brno</w:t>
            </w:r>
          </w:p>
        </w:tc>
      </w:tr>
      <w:tr w:rsidR="00FC4BEC" w:rsidRPr="00FF391B" w14:paraId="022155EC" w14:textId="77777777" w:rsidTr="00436BC8">
        <w:tc>
          <w:tcPr>
            <w:tcW w:w="2197" w:type="dxa"/>
            <w:tcBorders>
              <w:top w:val="nil"/>
              <w:left w:val="nil"/>
              <w:bottom w:val="nil"/>
              <w:right w:val="nil"/>
            </w:tcBorders>
          </w:tcPr>
          <w:p w14:paraId="69942201" w14:textId="77777777" w:rsidR="00FC4BEC" w:rsidRPr="00FF391B" w:rsidRDefault="00FC4BEC" w:rsidP="00436BC8">
            <w:pPr>
              <w:spacing w:after="0"/>
            </w:pPr>
          </w:p>
        </w:tc>
        <w:tc>
          <w:tcPr>
            <w:tcW w:w="7015" w:type="dxa"/>
            <w:tcBorders>
              <w:top w:val="nil"/>
              <w:left w:val="nil"/>
              <w:bottom w:val="nil"/>
              <w:right w:val="nil"/>
            </w:tcBorders>
          </w:tcPr>
          <w:p w14:paraId="72E97B05" w14:textId="77777777" w:rsidR="00FC4BEC" w:rsidRPr="00FF391B" w:rsidRDefault="00FC4BEC" w:rsidP="00436BC8">
            <w:pPr>
              <w:rPr>
                <w:b/>
                <w:bCs/>
              </w:rPr>
            </w:pPr>
          </w:p>
        </w:tc>
      </w:tr>
    </w:tbl>
    <w:p w14:paraId="53E9EFD0" w14:textId="77777777" w:rsidR="00FC4BEC" w:rsidRDefault="00FC4BEC" w:rsidP="00FC4BEC">
      <w:pPr>
        <w:spacing w:after="0"/>
        <w:rPr>
          <w:b/>
        </w:rPr>
      </w:pPr>
      <w:r w:rsidRPr="00FF391B">
        <w:rPr>
          <w:b/>
        </w:rPr>
        <w:t>o 400.000 Kč s přísl</w:t>
      </w:r>
      <w:r>
        <w:rPr>
          <w:b/>
        </w:rPr>
        <w:t>ušenstvím,</w:t>
      </w:r>
      <w:r w:rsidRPr="00FF391B">
        <w:rPr>
          <w:b/>
        </w:rPr>
        <w:t xml:space="preserve"> </w:t>
      </w:r>
    </w:p>
    <w:p w14:paraId="50A1D76E" w14:textId="77777777" w:rsidR="00FC4BEC" w:rsidRDefault="00FC4BEC" w:rsidP="00FC4BEC">
      <w:pPr>
        <w:spacing w:after="0"/>
      </w:pPr>
      <w:r>
        <w:t xml:space="preserve">o odvolání žalované </w:t>
      </w:r>
      <w:r w:rsidRPr="00FF391B">
        <w:t>proti rozsudku Městského soudu v Brně ze dne 21.2.2017 č.j. 2104 C  44/2015-73,</w:t>
      </w:r>
    </w:p>
    <w:p w14:paraId="6BD271C6" w14:textId="77777777" w:rsidR="00FC4BEC" w:rsidRPr="000D6720" w:rsidRDefault="00FC4BEC" w:rsidP="00FC4BEC">
      <w:pPr>
        <w:spacing w:after="0"/>
      </w:pPr>
    </w:p>
    <w:p w14:paraId="03639878" w14:textId="77777777" w:rsidR="00FC4BEC" w:rsidRDefault="00FC4BEC" w:rsidP="00FC4BEC">
      <w:pPr>
        <w:pStyle w:val="Nadpisvrozhodnut"/>
        <w:rPr>
          <w:spacing w:val="50"/>
        </w:rPr>
      </w:pPr>
      <w:r w:rsidRPr="000D6720">
        <w:t>takto</w:t>
      </w:r>
      <w:r w:rsidRPr="009629F0">
        <w:rPr>
          <w:spacing w:val="50"/>
        </w:rPr>
        <w:t>:</w:t>
      </w:r>
    </w:p>
    <w:p w14:paraId="1EDCD77D" w14:textId="77777777" w:rsidR="00FC4BEC" w:rsidRPr="00FF391B" w:rsidRDefault="00FC4BEC" w:rsidP="00FC4BEC"/>
    <w:p w14:paraId="19438A1D" w14:textId="77777777" w:rsidR="00FC4BEC" w:rsidRDefault="00FC4BEC" w:rsidP="00FC4BEC">
      <w:pPr>
        <w:spacing w:line="360" w:lineRule="auto"/>
        <w:rPr>
          <w:b/>
        </w:rPr>
      </w:pPr>
      <w:r>
        <w:t xml:space="preserve">I.  Rozsudek soudu prvního stupně </w:t>
      </w:r>
      <w:r w:rsidRPr="002D3C00">
        <w:rPr>
          <w:b/>
        </w:rPr>
        <w:t>s</w:t>
      </w:r>
      <w:r>
        <w:rPr>
          <w:b/>
        </w:rPr>
        <w:t>e</w:t>
      </w:r>
      <w:r w:rsidRPr="002D3C00">
        <w:rPr>
          <w:b/>
        </w:rPr>
        <w:t xml:space="preserve"> pot</w:t>
      </w:r>
      <w:r>
        <w:rPr>
          <w:b/>
        </w:rPr>
        <w:t>v</w:t>
      </w:r>
      <w:r w:rsidRPr="002D3C00">
        <w:rPr>
          <w:b/>
        </w:rPr>
        <w:t>rzuj</w:t>
      </w:r>
      <w:r>
        <w:rPr>
          <w:b/>
        </w:rPr>
        <w:t>e.</w:t>
      </w:r>
    </w:p>
    <w:p w14:paraId="4F163AC0" w14:textId="77777777" w:rsidR="00FC4BEC" w:rsidRDefault="00FC4BEC" w:rsidP="00FC4BEC">
      <w:pPr>
        <w:spacing w:line="360" w:lineRule="auto"/>
      </w:pPr>
      <w:r>
        <w:lastRenderedPageBreak/>
        <w:t xml:space="preserve">II. </w:t>
      </w:r>
      <w:r w:rsidRPr="002D3C00">
        <w:t xml:space="preserve">Žalovaná je povinna zaplatit žalobkyni </w:t>
      </w:r>
      <w:r>
        <w:t xml:space="preserve">na náhradě nákladů odvolacího řízení </w:t>
      </w:r>
      <w:r>
        <w:rPr>
          <w:rFonts w:eastAsia="Calibri"/>
        </w:rPr>
        <w:t>12.342</w:t>
      </w:r>
      <w:r w:rsidRPr="008E6036">
        <w:rPr>
          <w:rFonts w:eastAsia="Calibri"/>
        </w:rPr>
        <w:t xml:space="preserve"> Kč</w:t>
      </w:r>
      <w:r>
        <w:t xml:space="preserve"> do 15 dnů od právní moci tohoto rozsudku, k rukám advokáta JUDr. Pavla Knitla.</w:t>
      </w:r>
    </w:p>
    <w:p w14:paraId="22D8A4C7" w14:textId="77777777" w:rsidR="00FC4BEC" w:rsidRDefault="00FC4BEC" w:rsidP="00FC4BEC"/>
    <w:p w14:paraId="6C3635A4" w14:textId="77777777" w:rsidR="00FC4BEC" w:rsidRPr="00030437" w:rsidRDefault="00FC4BEC" w:rsidP="00FC4BEC"/>
    <w:p w14:paraId="76B4BC20" w14:textId="77777777" w:rsidR="00FC4BEC" w:rsidRDefault="00FC4BEC" w:rsidP="00FC4BEC">
      <w:pPr>
        <w:pStyle w:val="Nadpisvrozhodnut"/>
        <w:rPr>
          <w:spacing w:val="30"/>
        </w:rPr>
      </w:pPr>
      <w:bookmarkStart w:id="0" w:name="Začátek"/>
      <w:bookmarkEnd w:id="0"/>
      <w:r w:rsidRPr="009629F0">
        <w:t>Odůvodnění</w:t>
      </w:r>
      <w:r w:rsidRPr="009629F0">
        <w:rPr>
          <w:spacing w:val="30"/>
        </w:rPr>
        <w:t>:</w:t>
      </w:r>
    </w:p>
    <w:p w14:paraId="0EA21908" w14:textId="77777777" w:rsidR="00FC4BEC" w:rsidRPr="00004908" w:rsidRDefault="00FC4BEC" w:rsidP="00FC4BEC"/>
    <w:p w14:paraId="7BA6EFB1" w14:textId="77777777" w:rsidR="00FC4BEC" w:rsidRDefault="00FC4BEC" w:rsidP="00FC4BEC"/>
    <w:p w14:paraId="4E464473" w14:textId="77777777" w:rsidR="00FC4BEC" w:rsidRDefault="00FC4BEC" w:rsidP="00FC4BEC">
      <w:pPr>
        <w:pStyle w:val="Textodvodnn"/>
      </w:pPr>
      <w:r>
        <w:rPr>
          <w:lang w:bidi="ar-SA"/>
        </w:rPr>
        <w:t xml:space="preserve"> V záhlaví označeným rozsudkem soud rozhodl, že ž</w:t>
      </w:r>
      <w:r w:rsidRPr="00067D99">
        <w:t xml:space="preserve">alovaná </w:t>
      </w:r>
      <w:r w:rsidRPr="004002FC">
        <w:t>je povinna</w:t>
      </w:r>
      <w:r w:rsidRPr="00067D99">
        <w:rPr>
          <w:b/>
        </w:rPr>
        <w:t xml:space="preserve"> </w:t>
      </w:r>
      <w:r w:rsidRPr="00067D99">
        <w:t xml:space="preserve">zaplatit žalobkyni </w:t>
      </w:r>
      <w:r w:rsidRPr="004002FC">
        <w:t>400.000 Kč</w:t>
      </w:r>
      <w:r w:rsidRPr="00067D99">
        <w:t xml:space="preserve"> se zákonným úrokem z pr</w:t>
      </w:r>
      <w:r>
        <w:t>odlení ve výši 8,</w:t>
      </w:r>
      <w:r w:rsidRPr="00067D99">
        <w:t>05 % ročně z částky 400.000 Kč od 26.11.2014 do zaplacení, vše do tří dnů od právní moci tohoto rozsudku</w:t>
      </w:r>
      <w:r>
        <w:t xml:space="preserve"> (výrok I.)</w:t>
      </w:r>
      <w:r w:rsidRPr="00067D99">
        <w:t xml:space="preserve">. </w:t>
      </w:r>
      <w:r>
        <w:t>Dále soud žalované uložil povinnost zaplatit žalobkyni na n</w:t>
      </w:r>
      <w:r w:rsidRPr="00067D99">
        <w:t>áhrad</w:t>
      </w:r>
      <w:r>
        <w:t>ě</w:t>
      </w:r>
      <w:r w:rsidRPr="00067D99">
        <w:t xml:space="preserve"> nákladů řízení </w:t>
      </w:r>
      <w:r w:rsidRPr="0020452D">
        <w:rPr>
          <w:bCs/>
        </w:rPr>
        <w:t>75.720,50 Kč</w:t>
      </w:r>
      <w:r>
        <w:t xml:space="preserve">, </w:t>
      </w:r>
      <w:r w:rsidRPr="00067D99">
        <w:t>do tří dnů od právní moci tohoto rozsudku</w:t>
      </w:r>
      <w:r>
        <w:t>,</w:t>
      </w:r>
      <w:r w:rsidRPr="00067D99">
        <w:t xml:space="preserve"> </w:t>
      </w:r>
      <w:r>
        <w:t>k rukám zástupce žalobkyně.</w:t>
      </w:r>
    </w:p>
    <w:p w14:paraId="78BCC006" w14:textId="1AF4F2EB" w:rsidR="00FC4BEC" w:rsidRDefault="00FC4BEC" w:rsidP="00FC4BEC">
      <w:pPr>
        <w:pStyle w:val="Textodvodnn"/>
      </w:pPr>
      <w:r>
        <w:rPr>
          <w:bCs/>
        </w:rPr>
        <w:t xml:space="preserve"> Soud vyšel z toho, že</w:t>
      </w:r>
      <w:r w:rsidRPr="00C05779">
        <w:t xml:space="preserve"> </w:t>
      </w:r>
      <w:r>
        <w:t>m</w:t>
      </w:r>
      <w:r w:rsidRPr="00C05779">
        <w:t xml:space="preserve">ezi </w:t>
      </w:r>
      <w:r w:rsidR="005D36F7">
        <w:t>D. S.</w:t>
      </w:r>
      <w:r w:rsidRPr="00C05779">
        <w:t xml:space="preserve">, </w:t>
      </w:r>
      <w:r w:rsidR="005D36F7">
        <w:t>K. A.</w:t>
      </w:r>
      <w:r w:rsidRPr="00C05779">
        <w:t xml:space="preserve"> a žalovanou </w:t>
      </w:r>
      <w:r w:rsidR="005D36F7">
        <w:t>J. H.</w:t>
      </w:r>
      <w:r w:rsidRPr="00C05779">
        <w:t xml:space="preserve"> byla </w:t>
      </w:r>
      <w:r>
        <w:t xml:space="preserve">dne 7. 4. 2014 </w:t>
      </w:r>
      <w:r w:rsidRPr="00C05779">
        <w:t>platně uzavřena tzv. svěřenecká smlouva</w:t>
      </w:r>
      <w:r>
        <w:t xml:space="preserve"> (jako </w:t>
      </w:r>
      <w:r w:rsidRPr="00C05779">
        <w:t>smlouv</w:t>
      </w:r>
      <w:r>
        <w:t>a</w:t>
      </w:r>
      <w:r w:rsidRPr="00C05779">
        <w:t xml:space="preserve"> nepojmenovan</w:t>
      </w:r>
      <w:r>
        <w:t>á</w:t>
      </w:r>
      <w:r w:rsidRPr="00C05779">
        <w:t xml:space="preserve"> dle ust. § 1746 o.z.</w:t>
      </w:r>
      <w:r>
        <w:t>),</w:t>
      </w:r>
      <w:r w:rsidRPr="00C05779">
        <w:t xml:space="preserve"> s prvky smlouvy o úschově dle § 2402 o.</w:t>
      </w:r>
      <w:r>
        <w:t xml:space="preserve"> </w:t>
      </w:r>
      <w:r w:rsidRPr="00C05779">
        <w:t>z., nejedn</w:t>
      </w:r>
      <w:r>
        <w:t>alo se</w:t>
      </w:r>
      <w:r w:rsidRPr="00C05779">
        <w:t xml:space="preserve"> o smlouvu o úschově</w:t>
      </w:r>
      <w:r>
        <w:t xml:space="preserve"> (byť byl nazvána jako smlouva o advokátní úschově)</w:t>
      </w:r>
      <w:r w:rsidRPr="00C05779">
        <w:t>, neboť ta zakládá právní vztah pouze mezi advokátem a jeho klientem (</w:t>
      </w:r>
      <w:r>
        <w:t xml:space="preserve">viz. </w:t>
      </w:r>
      <w:r w:rsidRPr="00C05779">
        <w:t>rozsudek Nejvyššího soudu z</w:t>
      </w:r>
      <w:r>
        <w:t xml:space="preserve"> </w:t>
      </w:r>
      <w:r w:rsidRPr="00C05779">
        <w:t>28.</w:t>
      </w:r>
      <w:r>
        <w:t xml:space="preserve"> </w:t>
      </w:r>
      <w:r w:rsidRPr="00C05779">
        <w:t>3.</w:t>
      </w:r>
      <w:r>
        <w:t xml:space="preserve"> </w:t>
      </w:r>
      <w:r w:rsidRPr="00C05779">
        <w:t>2012, sp.zn. 33 Cdo 4053/2010).</w:t>
      </w:r>
      <w:r>
        <w:t xml:space="preserve"> </w:t>
      </w:r>
      <w:r>
        <w:rPr>
          <w:bCs/>
        </w:rPr>
        <w:t>Předmětná smlouva byla uzavřena v souvislosti s tím, že se</w:t>
      </w:r>
      <w:r w:rsidRPr="00067D99">
        <w:rPr>
          <w:bCs/>
        </w:rPr>
        <w:t xml:space="preserve"> </w:t>
      </w:r>
      <w:r w:rsidR="005D36F7">
        <w:rPr>
          <w:bCs/>
        </w:rPr>
        <w:t>P. S.</w:t>
      </w:r>
      <w:r w:rsidRPr="00067D99">
        <w:rPr>
          <w:bCs/>
        </w:rPr>
        <w:t xml:space="preserve"> a </w:t>
      </w:r>
      <w:r w:rsidR="005D36F7">
        <w:rPr>
          <w:bCs/>
        </w:rPr>
        <w:t>K. A.</w:t>
      </w:r>
      <w:r w:rsidRPr="00067D99">
        <w:rPr>
          <w:bCs/>
        </w:rPr>
        <w:t xml:space="preserve"> dohodli na výměně bytů užívaných na základě nájemních smluv </w:t>
      </w:r>
      <w:r>
        <w:rPr>
          <w:bCs/>
        </w:rPr>
        <w:t>(</w:t>
      </w:r>
      <w:r w:rsidR="005D36F7">
        <w:rPr>
          <w:bCs/>
        </w:rPr>
        <w:t>D. S.</w:t>
      </w:r>
      <w:r w:rsidRPr="00067D99">
        <w:rPr>
          <w:bCs/>
        </w:rPr>
        <w:t xml:space="preserve"> bytu č. </w:t>
      </w:r>
      <w:r w:rsidR="005D36F7">
        <w:rPr>
          <w:bCs/>
        </w:rPr>
        <w:t>XXXX</w:t>
      </w:r>
      <w:r w:rsidRPr="00067D99">
        <w:rPr>
          <w:bCs/>
        </w:rPr>
        <w:t xml:space="preserve"> na adrese </w:t>
      </w:r>
      <w:r w:rsidR="005D36F7">
        <w:rPr>
          <w:bCs/>
        </w:rPr>
        <w:t>XXXX</w:t>
      </w:r>
      <w:r>
        <w:rPr>
          <w:bCs/>
        </w:rPr>
        <w:t xml:space="preserve">, </w:t>
      </w:r>
      <w:r w:rsidR="005D36F7">
        <w:rPr>
          <w:bCs/>
        </w:rPr>
        <w:t>K. A.</w:t>
      </w:r>
      <w:r w:rsidRPr="00067D99">
        <w:rPr>
          <w:bCs/>
        </w:rPr>
        <w:t xml:space="preserve"> bytu č. </w:t>
      </w:r>
      <w:r w:rsidR="005D36F7">
        <w:rPr>
          <w:bCs/>
        </w:rPr>
        <w:t>XXXX</w:t>
      </w:r>
      <w:r w:rsidRPr="00067D99">
        <w:rPr>
          <w:bCs/>
        </w:rPr>
        <w:t xml:space="preserve"> na adrese </w:t>
      </w:r>
      <w:r w:rsidR="005D36F7">
        <w:rPr>
          <w:bCs/>
        </w:rPr>
        <w:t>XXXX</w:t>
      </w:r>
      <w:r>
        <w:rPr>
          <w:bCs/>
        </w:rPr>
        <w:t>)</w:t>
      </w:r>
      <w:r w:rsidRPr="00067D99">
        <w:rPr>
          <w:bCs/>
        </w:rPr>
        <w:t xml:space="preserve">. </w:t>
      </w:r>
      <w:r w:rsidR="005D36F7">
        <w:rPr>
          <w:bCs/>
        </w:rPr>
        <w:t>D. S.</w:t>
      </w:r>
      <w:r w:rsidRPr="00067D99">
        <w:rPr>
          <w:bCs/>
        </w:rPr>
        <w:t xml:space="preserve"> </w:t>
      </w:r>
      <w:r>
        <w:rPr>
          <w:bCs/>
        </w:rPr>
        <w:t>na základě předmětné smlouvy</w:t>
      </w:r>
      <w:r w:rsidRPr="00067D99">
        <w:rPr>
          <w:bCs/>
        </w:rPr>
        <w:t xml:space="preserve"> složi</w:t>
      </w:r>
      <w:r>
        <w:rPr>
          <w:bCs/>
        </w:rPr>
        <w:t>l</w:t>
      </w:r>
      <w:r w:rsidRPr="00067D99">
        <w:rPr>
          <w:bCs/>
        </w:rPr>
        <w:t xml:space="preserve"> do úschovy žalované částku 550.000 Kč. Žalovaná se </w:t>
      </w:r>
      <w:r>
        <w:rPr>
          <w:bCs/>
        </w:rPr>
        <w:t>(</w:t>
      </w:r>
      <w:r w:rsidRPr="00067D99">
        <w:rPr>
          <w:bCs/>
        </w:rPr>
        <w:t>mimo jiné</w:t>
      </w:r>
      <w:r>
        <w:rPr>
          <w:bCs/>
        </w:rPr>
        <w:t>)</w:t>
      </w:r>
      <w:r w:rsidRPr="00067D99">
        <w:rPr>
          <w:bCs/>
        </w:rPr>
        <w:t xml:space="preserve"> zavázala vyplatit část peněz ve výši 150.000 Kč na účet </w:t>
      </w:r>
      <w:r w:rsidR="005D36F7">
        <w:rPr>
          <w:bCs/>
        </w:rPr>
        <w:t>K. A.</w:t>
      </w:r>
      <w:r w:rsidRPr="00067D99">
        <w:rPr>
          <w:bCs/>
        </w:rPr>
        <w:t>, označený ve smlouvě</w:t>
      </w:r>
      <w:r>
        <w:rPr>
          <w:bCs/>
        </w:rPr>
        <w:t>,</w:t>
      </w:r>
      <w:r w:rsidRPr="00067D99">
        <w:rPr>
          <w:bCs/>
        </w:rPr>
        <w:t xml:space="preserve"> a to po předložení schválené dohody o výměně bytů. </w:t>
      </w:r>
      <w:r>
        <w:rPr>
          <w:bCs/>
        </w:rPr>
        <w:t>Č</w:t>
      </w:r>
      <w:r w:rsidRPr="00067D99">
        <w:rPr>
          <w:bCs/>
        </w:rPr>
        <w:t xml:space="preserve">ástka 400.000 Kč </w:t>
      </w:r>
      <w:r>
        <w:rPr>
          <w:bCs/>
        </w:rPr>
        <w:t xml:space="preserve">měla být </w:t>
      </w:r>
      <w:r w:rsidRPr="00067D99">
        <w:rPr>
          <w:bCs/>
        </w:rPr>
        <w:t xml:space="preserve">vyplacena </w:t>
      </w:r>
      <w:r w:rsidR="005D36F7">
        <w:rPr>
          <w:bCs/>
        </w:rPr>
        <w:t>K. A.</w:t>
      </w:r>
      <w:r w:rsidRPr="00067D99">
        <w:rPr>
          <w:bCs/>
        </w:rPr>
        <w:t xml:space="preserve"> z úschovy </w:t>
      </w:r>
      <w:r>
        <w:rPr>
          <w:bCs/>
        </w:rPr>
        <w:t>„</w:t>
      </w:r>
      <w:r w:rsidRPr="00067D99">
        <w:rPr>
          <w:bCs/>
        </w:rPr>
        <w:t xml:space="preserve">po schválení prodeje domu vč. </w:t>
      </w:r>
      <w:r>
        <w:rPr>
          <w:bCs/>
        </w:rPr>
        <w:t>p</w:t>
      </w:r>
      <w:r w:rsidRPr="00067D99">
        <w:rPr>
          <w:bCs/>
        </w:rPr>
        <w:t xml:space="preserve">ozemků na ul. </w:t>
      </w:r>
      <w:r w:rsidR="005D36F7">
        <w:rPr>
          <w:bCs/>
        </w:rPr>
        <w:t>XXXX</w:t>
      </w:r>
      <w:r w:rsidRPr="00067D99">
        <w:rPr>
          <w:bCs/>
        </w:rPr>
        <w:t xml:space="preserve"> Zastupitelstvem města Brna</w:t>
      </w:r>
      <w:r>
        <w:rPr>
          <w:bCs/>
        </w:rPr>
        <w:t>“. Dále bylo ujednáno, že případě, kdy</w:t>
      </w:r>
      <w:r w:rsidRPr="00067D99">
        <w:rPr>
          <w:bCs/>
        </w:rPr>
        <w:t xml:space="preserve"> prodej této nemovitosti nebude do 31.10.2014 Zastupitelstvem </w:t>
      </w:r>
      <w:r>
        <w:rPr>
          <w:bCs/>
        </w:rPr>
        <w:t xml:space="preserve">města </w:t>
      </w:r>
      <w:r w:rsidRPr="00557388">
        <w:t xml:space="preserve"> Brna</w:t>
      </w:r>
      <w:r>
        <w:rPr>
          <w:b/>
          <w:bCs/>
        </w:rPr>
        <w:t xml:space="preserve"> </w:t>
      </w:r>
      <w:r w:rsidRPr="00067D99">
        <w:rPr>
          <w:bCs/>
        </w:rPr>
        <w:t>schválen, zavázala se žalovaná zaslat 400.000</w:t>
      </w:r>
      <w:r>
        <w:rPr>
          <w:bCs/>
        </w:rPr>
        <w:t xml:space="preserve"> </w:t>
      </w:r>
      <w:r w:rsidRPr="00067D99">
        <w:rPr>
          <w:bCs/>
        </w:rPr>
        <w:t xml:space="preserve">Kč z uložené částky na účet </w:t>
      </w:r>
      <w:r>
        <w:rPr>
          <w:bCs/>
        </w:rPr>
        <w:t>s</w:t>
      </w:r>
      <w:r w:rsidRPr="00067D99">
        <w:rPr>
          <w:bCs/>
        </w:rPr>
        <w:t xml:space="preserve">ložitele </w:t>
      </w:r>
      <w:r w:rsidR="005D36F7">
        <w:rPr>
          <w:bCs/>
        </w:rPr>
        <w:t>D. S.</w:t>
      </w:r>
      <w:r w:rsidRPr="00067D99">
        <w:rPr>
          <w:bCs/>
        </w:rPr>
        <w:t xml:space="preserve">, a to nejpozději do dvou pracovních dnů. Dále bylo ujednáno, že žalovaná považuje sjednané dispozice s předmětem úschovy za závazné, </w:t>
      </w:r>
      <w:r>
        <w:rPr>
          <w:bCs/>
        </w:rPr>
        <w:t xml:space="preserve">a že </w:t>
      </w:r>
      <w:r w:rsidRPr="00067D99">
        <w:rPr>
          <w:bCs/>
        </w:rPr>
        <w:t>je možné je měnit pouze na základě pí</w:t>
      </w:r>
      <w:r>
        <w:rPr>
          <w:bCs/>
        </w:rPr>
        <w:t xml:space="preserve">semného dodatku k této smlouvě. </w:t>
      </w:r>
      <w:r>
        <w:t>V</w:t>
      </w:r>
      <w:r w:rsidRPr="00C05779">
        <w:t xml:space="preserve"> souladu se smlouvou </w:t>
      </w:r>
      <w:r>
        <w:t xml:space="preserve">žalovaná </w:t>
      </w:r>
      <w:r w:rsidRPr="00C05779">
        <w:t xml:space="preserve">vyplatila za splnění dohodnutých podmínek </w:t>
      </w:r>
      <w:r w:rsidR="005D36F7">
        <w:t>K. A.</w:t>
      </w:r>
      <w:r w:rsidRPr="00C05779">
        <w:t xml:space="preserve"> 150.000 Kč. Vzhledem k tomu, že ke dni 31.10.2014  nebyl Zastupitelstvem města Brna schválen prodej domu vč. pozemků na ulici </w:t>
      </w:r>
      <w:r w:rsidR="005D36F7">
        <w:t>XXXX</w:t>
      </w:r>
      <w:r w:rsidRPr="00C05779">
        <w:t xml:space="preserve"> </w:t>
      </w:r>
      <w:r>
        <w:t>(</w:t>
      </w:r>
      <w:r w:rsidRPr="00C05779">
        <w:t>a nestalo se tak ani k dnešnímu dni</w:t>
      </w:r>
      <w:r>
        <w:t>)</w:t>
      </w:r>
      <w:r w:rsidRPr="00C05779">
        <w:t xml:space="preserve">, byla žalovaná povinna vyplatit z přijatých peněz částku 400.000 Kč na účet </w:t>
      </w:r>
      <w:r w:rsidR="005D36F7">
        <w:t>D. S.</w:t>
      </w:r>
      <w:r w:rsidRPr="00C05779">
        <w:t>, uvedený ve smlouvě a to nejpozději do dvou pracovních dnů</w:t>
      </w:r>
      <w:r>
        <w:t xml:space="preserve"> (</w:t>
      </w:r>
      <w:r w:rsidRPr="00C05779">
        <w:t>tj. do 4.11.2014</w:t>
      </w:r>
      <w:r>
        <w:t>)</w:t>
      </w:r>
      <w:r w:rsidRPr="00C05779">
        <w:t xml:space="preserve">. Žalovaná však tuto svou smluvní povinnost nesplnila a neučinila tak ani na výzvu oprávněného. </w:t>
      </w:r>
      <w:r w:rsidR="005D36F7">
        <w:t>D.  S.</w:t>
      </w:r>
      <w:r w:rsidRPr="00C05779">
        <w:t xml:space="preserve"> </w:t>
      </w:r>
      <w:r>
        <w:t xml:space="preserve">následně </w:t>
      </w:r>
      <w:r w:rsidRPr="00C05779">
        <w:t>postoupil pohledávku za žalovanou na žalobkyni v souladu s ust. § 1879 a nás</w:t>
      </w:r>
      <w:r>
        <w:t>l.</w:t>
      </w:r>
      <w:r w:rsidRPr="00121FB6">
        <w:t xml:space="preserve"> </w:t>
      </w:r>
      <w:r w:rsidRPr="00C05779">
        <w:t>o.z</w:t>
      </w:r>
      <w:r>
        <w:t xml:space="preserve">. </w:t>
      </w:r>
      <w:r w:rsidRPr="00C05779">
        <w:t>Nebylo zjištěno, že by podmínky „svěřenecké smlouvy“ pro výplatu peněz byly všemi stranami tohoto smluvního vztahu písemně změněny, tak jak tvrdila žalovaná, žádná taková dohoda nebyla soudu předložena</w:t>
      </w:r>
      <w:r>
        <w:t>,</w:t>
      </w:r>
      <w:r w:rsidRPr="00062916">
        <w:t xml:space="preserve"> </w:t>
      </w:r>
      <w:r w:rsidRPr="00C05779">
        <w:t>soudem proto bylo žalobě vyhověno</w:t>
      </w:r>
      <w:r>
        <w:t>, včetně</w:t>
      </w:r>
      <w:r w:rsidRPr="00C05779">
        <w:t xml:space="preserve"> nárok</w:t>
      </w:r>
      <w:r>
        <w:t>u</w:t>
      </w:r>
      <w:r w:rsidRPr="00C05779">
        <w:t xml:space="preserve"> na zákonný úrok z prodlení v souladu s ust. § 1970 o.z.</w:t>
      </w:r>
      <w:r>
        <w:t>),</w:t>
      </w:r>
      <w:r w:rsidRPr="00C05779">
        <w:t xml:space="preserve"> v</w:t>
      </w:r>
      <w:r>
        <w:t>e </w:t>
      </w:r>
      <w:r w:rsidRPr="00C05779">
        <w:t xml:space="preserve"> výši stanovené nařízením vlády č. 351/2013 Sb. ode dne uplynutí dodatečné lhůty k plnění </w:t>
      </w:r>
      <w:r>
        <w:t>(</w:t>
      </w:r>
      <w:r w:rsidRPr="00C05779">
        <w:t>tj. 26.11.2014</w:t>
      </w:r>
      <w:r>
        <w:t>)</w:t>
      </w:r>
      <w:r w:rsidRPr="00C05779">
        <w:t>.</w:t>
      </w:r>
    </w:p>
    <w:p w14:paraId="7C1F949F" w14:textId="14936DDE" w:rsidR="00FC4BEC" w:rsidRDefault="00FC4BEC" w:rsidP="00FC4BEC">
      <w:pPr>
        <w:pStyle w:val="Textodvodnn"/>
      </w:pPr>
      <w:r>
        <w:t xml:space="preserve"> </w:t>
      </w:r>
      <w:r w:rsidRPr="00201AFC">
        <w:t xml:space="preserve">Proti tomuto rozsudku podala žalovaná odvolání, kterým se domáhala jeho změny tak, že bude žaloba zamítnuta. Namítla, že není pasivně věcně legitimována, neboť částkou, která byla žalobkyní složena do její úschovy, již nedisponuje, když jí vyplatila </w:t>
      </w:r>
      <w:r w:rsidR="005D36F7">
        <w:t>K. A</w:t>
      </w:r>
      <w:r w:rsidRPr="00201AFC">
        <w:t xml:space="preserve">. V případě, že by soud dospěl k závěru o její pasivní věcné legitimaci ve sporu, pak namítá, že předmětná smlouva o úschově byla uzavřena v souvislosti s dohodou mezi </w:t>
      </w:r>
      <w:r w:rsidR="005D36F7">
        <w:t>D. S.</w:t>
      </w:r>
      <w:r w:rsidRPr="00201AFC">
        <w:t xml:space="preserve"> a </w:t>
      </w:r>
      <w:r w:rsidR="005D36F7">
        <w:t>K. A.</w:t>
      </w:r>
      <w:r w:rsidRPr="00201AFC">
        <w:t xml:space="preserve"> o výměně bytů</w:t>
      </w:r>
      <w:r w:rsidRPr="00AB4AE9">
        <w:t xml:space="preserve"> </w:t>
      </w:r>
      <w:r>
        <w:t>(</w:t>
      </w:r>
      <w:r w:rsidRPr="00201AFC">
        <w:t xml:space="preserve">nacházejících se </w:t>
      </w:r>
      <w:r>
        <w:t xml:space="preserve">v </w:t>
      </w:r>
      <w:r w:rsidR="005D36F7">
        <w:t>XXXX</w:t>
      </w:r>
      <w:r w:rsidRPr="00201AFC">
        <w:t xml:space="preserve"> na adresách </w:t>
      </w:r>
      <w:r w:rsidR="005D36F7">
        <w:t>XXXX</w:t>
      </w:r>
      <w:r w:rsidRPr="00201AFC">
        <w:t xml:space="preserve"> a </w:t>
      </w:r>
      <w:r w:rsidR="005D36F7">
        <w:t>XXXX</w:t>
      </w:r>
      <w:r>
        <w:t>)</w:t>
      </w:r>
      <w:r w:rsidRPr="00201AFC">
        <w:t xml:space="preserve">, které </w:t>
      </w:r>
      <w:r>
        <w:t xml:space="preserve">tito </w:t>
      </w:r>
      <w:r w:rsidRPr="00201AFC">
        <w:t xml:space="preserve">užívali na základě nájemních smluv, </w:t>
      </w:r>
      <w:r>
        <w:t xml:space="preserve">a </w:t>
      </w:r>
      <w:r w:rsidRPr="00201AFC">
        <w:t xml:space="preserve">v souvislosti s ponecháním zařízení v bytě na adrese </w:t>
      </w:r>
      <w:r w:rsidR="005D36F7">
        <w:t>XXXX</w:t>
      </w:r>
      <w:r>
        <w:t xml:space="preserve">. </w:t>
      </w:r>
      <w:r w:rsidR="005D36F7">
        <w:t>K. A.</w:t>
      </w:r>
      <w:r>
        <w:t xml:space="preserve"> jí</w:t>
      </w:r>
      <w:r w:rsidRPr="00201AFC">
        <w:t xml:space="preserve"> 14. 7. 2014 sdělil, že</w:t>
      </w:r>
      <w:r>
        <w:t xml:space="preserve"> došlo k </w:t>
      </w:r>
      <w:r>
        <w:lastRenderedPageBreak/>
        <w:t>předání a převzetí bytů</w:t>
      </w:r>
      <w:r w:rsidRPr="00201AFC">
        <w:t xml:space="preserve">, včetně zařízení, což doložil listinami, a požádal o vyplacení částky z advokátní úschovy. Vycházela ze předložených dokumentů, kdy mezi </w:t>
      </w:r>
      <w:r w:rsidR="005D36F7">
        <w:t>K. A.</w:t>
      </w:r>
      <w:r w:rsidRPr="00201AFC">
        <w:t xml:space="preserve"> na straně jedné a </w:t>
      </w:r>
      <w:r w:rsidR="005D36F7">
        <w:t>D. S.</w:t>
      </w:r>
      <w:r>
        <w:t xml:space="preserve"> </w:t>
      </w:r>
      <w:r w:rsidRPr="00201AFC">
        <w:t xml:space="preserve">a </w:t>
      </w:r>
      <w:r w:rsidR="005D36F7">
        <w:t>Ž. S.</w:t>
      </w:r>
      <w:r w:rsidRPr="00201AFC">
        <w:t xml:space="preserve"> na straně druhé, byla uzavřena 23. 4. 2014 dohoda o vzájemném vypořádání práv a povinn</w:t>
      </w:r>
      <w:r>
        <w:t>ostí, ve které výslovně prohlásili</w:t>
      </w:r>
      <w:r w:rsidRPr="00201AFC">
        <w:t xml:space="preserve">, že ke dni 9. 4. 2014 vzájemně vypořádali práva a povinností k bytům (shora </w:t>
      </w:r>
      <w:r>
        <w:t>označeným)</w:t>
      </w:r>
      <w:r w:rsidRPr="00201AFC">
        <w:t xml:space="preserve"> a nebude požadována žádná kompenzace za stavební úpravy provedené v bytě na ulici </w:t>
      </w:r>
      <w:r w:rsidR="005D36F7">
        <w:t>XXXX</w:t>
      </w:r>
      <w:r w:rsidRPr="00201AFC">
        <w:t xml:space="preserve"> po městské části Brno</w:t>
      </w:r>
      <w:r>
        <w:t xml:space="preserve"> -</w:t>
      </w:r>
      <w:r w:rsidRPr="00201AFC">
        <w:t xml:space="preserve"> střed. </w:t>
      </w:r>
      <w:r>
        <w:t xml:space="preserve">Žalovaná uvedla, že tímto </w:t>
      </w:r>
      <w:r w:rsidRPr="00201AFC">
        <w:t>úkonem došlo ke změně smlouvy o úschově ze 7. 4. 2014 (podle § 555 odst. 1 obč</w:t>
      </w:r>
      <w:r>
        <w:t xml:space="preserve">. </w:t>
      </w:r>
      <w:r w:rsidRPr="00201AFC">
        <w:t>zák</w:t>
      </w:r>
      <w:r>
        <w:t>.</w:t>
      </w:r>
      <w:r w:rsidRPr="00201AFC">
        <w:t xml:space="preserve"> se právní jednání posuzuje podle svého obsahu) jelikož účastníci výslovně prohlásili, že jej</w:t>
      </w:r>
      <w:r>
        <w:t>ich</w:t>
      </w:r>
      <w:r w:rsidRPr="00201AFC">
        <w:t xml:space="preserve"> vzájemná práva již byla vypořádána. Byla proto povinna vyplatit </w:t>
      </w:r>
      <w:r w:rsidR="005D36F7">
        <w:t>K. A.</w:t>
      </w:r>
      <w:r w:rsidRPr="00201AFC">
        <w:t>, jakožto oprávněnému, celou částku z advokátní úschovy.</w:t>
      </w:r>
      <w:r w:rsidRPr="00013E54">
        <w:t xml:space="preserve"> </w:t>
      </w:r>
    </w:p>
    <w:p w14:paraId="62958E12" w14:textId="77777777" w:rsidR="00FC4BEC" w:rsidRDefault="00FC4BEC" w:rsidP="00FC4BEC">
      <w:pPr>
        <w:pStyle w:val="Textodvodnn"/>
        <w:rPr>
          <w:rFonts w:eastAsia="Calibri"/>
          <w:szCs w:val="24"/>
        </w:rPr>
      </w:pPr>
      <w:r w:rsidRPr="00132BCD">
        <w:rPr>
          <w:rFonts w:eastAsia="Calibri"/>
          <w:szCs w:val="24"/>
        </w:rPr>
        <w:t>Krajský soud v Brně, jako soud odvolací (§ 10 odst. 1 zákon</w:t>
      </w:r>
      <w:r>
        <w:rPr>
          <w:rFonts w:eastAsia="Calibri"/>
          <w:szCs w:val="24"/>
        </w:rPr>
        <w:t xml:space="preserve">a č. 99/1963 Sb. </w:t>
      </w:r>
      <w:r w:rsidRPr="00132BCD">
        <w:rPr>
          <w:rFonts w:eastAsia="Calibri"/>
          <w:szCs w:val="24"/>
        </w:rPr>
        <w:t xml:space="preserve">– občanského soudního řádu, ve znění pozdějších předpisů, dále jen „o.s.ř.“), po zjištění, že odvolání bylo podáno osobou k tomu oprávněnou (§ 201 o.s.ř.) v zákonem stanovené lhůtě (§ 204 odst. 1 o.s.ř.) a směřuje proti </w:t>
      </w:r>
      <w:r>
        <w:rPr>
          <w:rFonts w:eastAsia="Calibri"/>
          <w:szCs w:val="24"/>
        </w:rPr>
        <w:t>rozhodnutí</w:t>
      </w:r>
      <w:r w:rsidRPr="00132BCD">
        <w:rPr>
          <w:rFonts w:eastAsia="Calibri"/>
          <w:szCs w:val="24"/>
        </w:rPr>
        <w:t>, proti němuž je odvolání přípustné (§ 202 o.s.ř. a contrario), přezkoumal napadený rozsudek, jakož i řízení, které jeho vydání předcházelo.</w:t>
      </w:r>
    </w:p>
    <w:p w14:paraId="1E78418D" w14:textId="77777777" w:rsidR="00FC4BEC" w:rsidRDefault="00FC4BEC" w:rsidP="00FC4BEC">
      <w:pPr>
        <w:pStyle w:val="Textodvodnn"/>
        <w:rPr>
          <w:rFonts w:eastAsia="Calibri"/>
          <w:szCs w:val="24"/>
        </w:rPr>
      </w:pPr>
      <w:r>
        <w:rPr>
          <w:rFonts w:eastAsia="Calibri"/>
          <w:szCs w:val="24"/>
        </w:rPr>
        <w:t xml:space="preserve"> </w:t>
      </w:r>
      <w:r w:rsidRPr="00013E54">
        <w:rPr>
          <w:rFonts w:eastAsia="Calibri"/>
          <w:szCs w:val="24"/>
        </w:rPr>
        <w:t>Přijetí předmětu závazk</w:t>
      </w:r>
      <w:r>
        <w:rPr>
          <w:rFonts w:eastAsia="Calibri"/>
          <w:szCs w:val="24"/>
        </w:rPr>
        <w:t>u</w:t>
      </w:r>
      <w:r w:rsidRPr="00013E54">
        <w:rPr>
          <w:rFonts w:eastAsia="Calibri"/>
          <w:szCs w:val="24"/>
        </w:rPr>
        <w:t xml:space="preserve"> (peněz</w:t>
      </w:r>
      <w:r>
        <w:rPr>
          <w:rFonts w:eastAsia="Calibri"/>
          <w:szCs w:val="24"/>
        </w:rPr>
        <w:t>)</w:t>
      </w:r>
      <w:r w:rsidRPr="00013E54">
        <w:rPr>
          <w:rFonts w:eastAsia="Calibri"/>
          <w:szCs w:val="24"/>
        </w:rPr>
        <w:t xml:space="preserve"> advokátem v rámci jeho činnosti podle § 50 </w:t>
      </w:r>
      <w:r>
        <w:rPr>
          <w:rFonts w:eastAsia="Calibri"/>
          <w:szCs w:val="24"/>
        </w:rPr>
        <w:t xml:space="preserve">a </w:t>
      </w:r>
      <w:r w:rsidRPr="00013E54">
        <w:rPr>
          <w:rFonts w:eastAsia="Calibri"/>
          <w:szCs w:val="24"/>
        </w:rPr>
        <w:t>56a zákona č. 85/1996 Sb., je výrazem správy cizího majetku, která se uskutečňuje na základě smlouvy s klientem. Příjme</w:t>
      </w:r>
      <w:r>
        <w:rPr>
          <w:rFonts w:eastAsia="Calibri"/>
          <w:szCs w:val="24"/>
        </w:rPr>
        <w:t>-li</w:t>
      </w:r>
      <w:r w:rsidRPr="00013E54">
        <w:rPr>
          <w:rFonts w:eastAsia="Calibri"/>
          <w:szCs w:val="24"/>
        </w:rPr>
        <w:t xml:space="preserve"> advokát do </w:t>
      </w:r>
      <w:r>
        <w:rPr>
          <w:rFonts w:eastAsia="Calibri"/>
          <w:szCs w:val="24"/>
        </w:rPr>
        <w:t>„</w:t>
      </w:r>
      <w:r w:rsidRPr="00013E54">
        <w:rPr>
          <w:rFonts w:eastAsia="Calibri"/>
          <w:szCs w:val="24"/>
        </w:rPr>
        <w:t>úschovy</w:t>
      </w:r>
      <w:r>
        <w:rPr>
          <w:rFonts w:eastAsia="Calibri"/>
          <w:szCs w:val="24"/>
        </w:rPr>
        <w:t>“</w:t>
      </w:r>
      <w:r w:rsidRPr="00013E54">
        <w:rPr>
          <w:rFonts w:eastAsia="Calibri"/>
          <w:szCs w:val="24"/>
        </w:rPr>
        <w:t xml:space="preserve"> peníze klienta, tedy spravuje jeho majetek, popřípadě část majetku účelově vymezenou, nestá</w:t>
      </w:r>
      <w:r>
        <w:rPr>
          <w:rFonts w:eastAsia="Calibri"/>
          <w:szCs w:val="24"/>
        </w:rPr>
        <w:t>vá se tím dlužníkem osoby, které</w:t>
      </w:r>
      <w:r w:rsidRPr="00013E54">
        <w:rPr>
          <w:rFonts w:eastAsia="Calibri"/>
          <w:szCs w:val="24"/>
        </w:rPr>
        <w:t xml:space="preserve"> má podle ujednání s klientem peníze vydat; tato osoba totiž není účastníkem právního vztahu advokáta a jeho klienta. </w:t>
      </w:r>
    </w:p>
    <w:p w14:paraId="06777F1D" w14:textId="77777777" w:rsidR="00FC4BEC" w:rsidRPr="00013E54" w:rsidRDefault="00FC4BEC" w:rsidP="00FC4BEC">
      <w:pPr>
        <w:pStyle w:val="Textodvodnn"/>
        <w:rPr>
          <w:rFonts w:eastAsia="Calibri"/>
          <w:szCs w:val="24"/>
        </w:rPr>
      </w:pPr>
      <w:r>
        <w:rPr>
          <w:rFonts w:eastAsia="Calibri"/>
          <w:szCs w:val="24"/>
        </w:rPr>
        <w:t xml:space="preserve"> </w:t>
      </w:r>
      <w:r w:rsidRPr="00013E54">
        <w:rPr>
          <w:rFonts w:eastAsia="Calibri"/>
          <w:szCs w:val="24"/>
        </w:rPr>
        <w:t>Na rozdíl od této situace</w:t>
      </w:r>
      <w:r>
        <w:rPr>
          <w:rFonts w:eastAsia="Calibri"/>
          <w:szCs w:val="24"/>
        </w:rPr>
        <w:t>, pro kterou je určující absence</w:t>
      </w:r>
      <w:r w:rsidRPr="00013E54">
        <w:rPr>
          <w:rFonts w:eastAsia="Calibri"/>
          <w:szCs w:val="24"/>
        </w:rPr>
        <w:t xml:space="preserve"> práv a povinností třetí osoby (oprávněného příjemce složených finančních prostředků</w:t>
      </w:r>
      <w:r>
        <w:rPr>
          <w:rFonts w:eastAsia="Calibri"/>
          <w:szCs w:val="24"/>
        </w:rPr>
        <w:t>)</w:t>
      </w:r>
      <w:r w:rsidRPr="00013E54">
        <w:rPr>
          <w:rFonts w:eastAsia="Calibri"/>
          <w:szCs w:val="24"/>
        </w:rPr>
        <w:t>, soudní praxe připustila trojstranné právní vztahy založené tzv. svěřenec</w:t>
      </w:r>
      <w:r>
        <w:rPr>
          <w:rFonts w:eastAsia="Calibri"/>
          <w:szCs w:val="24"/>
        </w:rPr>
        <w:t>kou</w:t>
      </w:r>
      <w:r w:rsidRPr="00013E54">
        <w:rPr>
          <w:rFonts w:eastAsia="Calibri"/>
          <w:szCs w:val="24"/>
        </w:rPr>
        <w:t xml:space="preserve"> smlouv</w:t>
      </w:r>
      <w:r>
        <w:rPr>
          <w:rFonts w:eastAsia="Calibri"/>
          <w:szCs w:val="24"/>
        </w:rPr>
        <w:t>ou</w:t>
      </w:r>
      <w:r w:rsidRPr="00013E54">
        <w:rPr>
          <w:rFonts w:eastAsia="Calibri"/>
          <w:szCs w:val="24"/>
        </w:rPr>
        <w:t xml:space="preserve">, který uzavírají s advokátem všechny strany závazkového právního vztahu, </w:t>
      </w:r>
      <w:r>
        <w:rPr>
          <w:rFonts w:eastAsia="Calibri"/>
          <w:szCs w:val="24"/>
        </w:rPr>
        <w:t xml:space="preserve">a </w:t>
      </w:r>
      <w:r w:rsidRPr="00013E54">
        <w:rPr>
          <w:rFonts w:eastAsia="Calibri"/>
          <w:szCs w:val="24"/>
        </w:rPr>
        <w:t>důsledkem kterého je, že složením peněžních prostředků na depozitní účet advo</w:t>
      </w:r>
      <w:r>
        <w:rPr>
          <w:rFonts w:eastAsia="Calibri"/>
          <w:szCs w:val="24"/>
        </w:rPr>
        <w:t>káta</w:t>
      </w:r>
      <w:r w:rsidRPr="00013E54">
        <w:rPr>
          <w:rFonts w:eastAsia="Calibri"/>
          <w:szCs w:val="24"/>
        </w:rPr>
        <w:t xml:space="preserve"> dlužník dosáhne toho, že jeho závazek - bez ohledu na to, zda se peněžní prostředky dostanou (řádně a včas</w:t>
      </w:r>
      <w:r>
        <w:rPr>
          <w:rFonts w:eastAsia="Calibri"/>
          <w:szCs w:val="24"/>
        </w:rPr>
        <w:t xml:space="preserve">) </w:t>
      </w:r>
      <w:r w:rsidRPr="00013E54">
        <w:rPr>
          <w:rFonts w:eastAsia="Calibri"/>
          <w:szCs w:val="24"/>
        </w:rPr>
        <w:t>do dispozice věřitele - zanikne.</w:t>
      </w:r>
      <w:r>
        <w:rPr>
          <w:rFonts w:eastAsia="Calibri"/>
          <w:szCs w:val="24"/>
        </w:rPr>
        <w:t xml:space="preserve"> </w:t>
      </w:r>
      <w:r w:rsidRPr="00013E54">
        <w:rPr>
          <w:rFonts w:eastAsia="Calibri"/>
          <w:szCs w:val="24"/>
        </w:rPr>
        <w:t xml:space="preserve">Jde o inominátní kontrakt ve smyslu </w:t>
      </w:r>
      <w:r>
        <w:rPr>
          <w:rFonts w:eastAsia="Calibri"/>
          <w:szCs w:val="24"/>
        </w:rPr>
        <w:t>§ 1746 odst. 2</w:t>
      </w:r>
      <w:r w:rsidRPr="00013E54">
        <w:rPr>
          <w:rFonts w:eastAsia="Calibri"/>
          <w:szCs w:val="24"/>
        </w:rPr>
        <w:t xml:space="preserve"> o</w:t>
      </w:r>
      <w:r>
        <w:rPr>
          <w:rFonts w:eastAsia="Calibri"/>
          <w:szCs w:val="24"/>
        </w:rPr>
        <w:t>bč.</w:t>
      </w:r>
      <w:r w:rsidRPr="00013E54">
        <w:rPr>
          <w:rFonts w:eastAsia="Calibri"/>
          <w:szCs w:val="24"/>
        </w:rPr>
        <w:t xml:space="preserve"> zák</w:t>
      </w:r>
      <w:r>
        <w:rPr>
          <w:rFonts w:eastAsia="Calibri"/>
          <w:szCs w:val="24"/>
        </w:rPr>
        <w:t>.</w:t>
      </w:r>
      <w:r w:rsidRPr="00013E54">
        <w:rPr>
          <w:rFonts w:eastAsia="Calibri"/>
          <w:szCs w:val="24"/>
        </w:rPr>
        <w:t>, který uzavírají s advokátem všechny strany závazkového právního vztahu a jehož účelem (kauzou</w:t>
      </w:r>
      <w:r>
        <w:rPr>
          <w:rFonts w:eastAsia="Calibri"/>
          <w:szCs w:val="24"/>
        </w:rPr>
        <w:t>)</w:t>
      </w:r>
      <w:r w:rsidRPr="00013E54">
        <w:rPr>
          <w:rFonts w:eastAsia="Calibri"/>
          <w:szCs w:val="24"/>
        </w:rPr>
        <w:t xml:space="preserve"> </w:t>
      </w:r>
      <w:r>
        <w:rPr>
          <w:rFonts w:eastAsia="Calibri"/>
          <w:szCs w:val="24"/>
        </w:rPr>
        <w:t>je</w:t>
      </w:r>
      <w:r w:rsidRPr="00013E54">
        <w:rPr>
          <w:rFonts w:eastAsia="Calibri"/>
          <w:szCs w:val="24"/>
        </w:rPr>
        <w:t xml:space="preserve"> zvýšená o</w:t>
      </w:r>
      <w:r>
        <w:rPr>
          <w:rFonts w:eastAsia="Calibri"/>
          <w:szCs w:val="24"/>
        </w:rPr>
        <w:t>chrana</w:t>
      </w:r>
      <w:r w:rsidRPr="00013E54">
        <w:rPr>
          <w:rFonts w:eastAsia="Calibri"/>
          <w:szCs w:val="24"/>
        </w:rPr>
        <w:t xml:space="preserve"> subjektivních práv a povinností účastníků daného hmotněprávního vztahu. Dlužník </w:t>
      </w:r>
      <w:r>
        <w:rPr>
          <w:rFonts w:eastAsia="Calibri"/>
          <w:szCs w:val="24"/>
        </w:rPr>
        <w:t xml:space="preserve">se </w:t>
      </w:r>
      <w:r w:rsidRPr="00013E54">
        <w:rPr>
          <w:rFonts w:eastAsia="Calibri"/>
          <w:szCs w:val="24"/>
        </w:rPr>
        <w:t>jistí tím, že složením peněžních prostředků na depozitní účet advokáta dosáhne toho, že jeho závazek bez ohledu na to, z</w:t>
      </w:r>
      <w:r>
        <w:rPr>
          <w:rFonts w:eastAsia="Calibri"/>
          <w:szCs w:val="24"/>
        </w:rPr>
        <w:t>d</w:t>
      </w:r>
      <w:r w:rsidRPr="00013E54">
        <w:rPr>
          <w:rFonts w:eastAsia="Calibri"/>
          <w:szCs w:val="24"/>
        </w:rPr>
        <w:t>a</w:t>
      </w:r>
      <w:r>
        <w:rPr>
          <w:rFonts w:eastAsia="Calibri"/>
          <w:szCs w:val="24"/>
        </w:rPr>
        <w:t xml:space="preserve"> se peněžní prostředky dostanou </w:t>
      </w:r>
      <w:r w:rsidRPr="00013E54">
        <w:rPr>
          <w:rFonts w:eastAsia="Calibri"/>
          <w:szCs w:val="24"/>
        </w:rPr>
        <w:t>do dispozice věřitele, zanikne; věřitel</w:t>
      </w:r>
      <w:r>
        <w:rPr>
          <w:rFonts w:eastAsia="Calibri"/>
          <w:szCs w:val="24"/>
        </w:rPr>
        <w:t xml:space="preserve"> </w:t>
      </w:r>
      <w:r w:rsidRPr="00013E54">
        <w:rPr>
          <w:rFonts w:eastAsia="Calibri"/>
          <w:szCs w:val="24"/>
        </w:rPr>
        <w:t xml:space="preserve">tímto způsobem zajišťuje své právo na výplatu peněžních prostředků od </w:t>
      </w:r>
      <w:r>
        <w:rPr>
          <w:rFonts w:eastAsia="Calibri"/>
          <w:szCs w:val="24"/>
        </w:rPr>
        <w:t>„</w:t>
      </w:r>
      <w:r w:rsidRPr="00013E54">
        <w:rPr>
          <w:rFonts w:eastAsia="Calibri"/>
          <w:szCs w:val="24"/>
        </w:rPr>
        <w:t>nes</w:t>
      </w:r>
      <w:r>
        <w:rPr>
          <w:rFonts w:eastAsia="Calibri"/>
          <w:szCs w:val="24"/>
        </w:rPr>
        <w:t>tranné“</w:t>
      </w:r>
      <w:r w:rsidRPr="00013E54">
        <w:rPr>
          <w:rFonts w:eastAsia="Calibri"/>
          <w:szCs w:val="24"/>
        </w:rPr>
        <w:t xml:space="preserve"> a </w:t>
      </w:r>
      <w:r>
        <w:rPr>
          <w:rFonts w:eastAsia="Calibri"/>
          <w:szCs w:val="24"/>
        </w:rPr>
        <w:t>„</w:t>
      </w:r>
      <w:r w:rsidRPr="00013E54">
        <w:rPr>
          <w:rFonts w:eastAsia="Calibri"/>
          <w:szCs w:val="24"/>
        </w:rPr>
        <w:t>důvěryhodné</w:t>
      </w:r>
      <w:r>
        <w:rPr>
          <w:rFonts w:eastAsia="Calibri"/>
          <w:szCs w:val="24"/>
        </w:rPr>
        <w:t>“</w:t>
      </w:r>
      <w:r w:rsidRPr="00013E54">
        <w:rPr>
          <w:rFonts w:eastAsia="Calibri"/>
          <w:szCs w:val="24"/>
        </w:rPr>
        <w:t xml:space="preserve"> osoby, na níž se oba účastníci závazkového právního vztahu shodli</w:t>
      </w:r>
      <w:r>
        <w:rPr>
          <w:rFonts w:eastAsia="Calibri"/>
          <w:szCs w:val="24"/>
        </w:rPr>
        <w:t xml:space="preserve"> (srovnej rozhodnutí Nejvyššího soudu, např. rozsudek z 28. 3. 2012 sp. zn. 33 Cdo 4053/2010, usnesení z 20. 6. 2012 sp. zn. 33 Cdo 4980/2010; dostupné na www.nsoud.cz). </w:t>
      </w:r>
    </w:p>
    <w:p w14:paraId="31543A8D" w14:textId="77777777" w:rsidR="00FC4BEC" w:rsidRDefault="00FC4BEC" w:rsidP="00FC4BEC">
      <w:pPr>
        <w:pStyle w:val="Textodvodnn"/>
        <w:rPr>
          <w:rFonts w:eastAsia="Calibri"/>
          <w:szCs w:val="24"/>
        </w:rPr>
      </w:pPr>
      <w:r>
        <w:rPr>
          <w:rFonts w:eastAsia="Calibri"/>
          <w:szCs w:val="24"/>
        </w:rPr>
        <w:t xml:space="preserve"> </w:t>
      </w:r>
      <w:r w:rsidRPr="00273B04">
        <w:rPr>
          <w:rFonts w:eastAsia="Calibri"/>
          <w:szCs w:val="24"/>
        </w:rPr>
        <w:t xml:space="preserve">Právním posouzením obsahu </w:t>
      </w:r>
      <w:r>
        <w:rPr>
          <w:rFonts w:eastAsia="Calibri"/>
          <w:szCs w:val="24"/>
        </w:rPr>
        <w:t>Smlouvy o advokátní úschově ze 7. 4. 2014</w:t>
      </w:r>
      <w:r w:rsidRPr="00273B04">
        <w:rPr>
          <w:rFonts w:eastAsia="Calibri"/>
          <w:szCs w:val="24"/>
        </w:rPr>
        <w:t xml:space="preserve"> (jako interpretací projevu vůle smluvních stran</w:t>
      </w:r>
      <w:r>
        <w:rPr>
          <w:rFonts w:eastAsia="Calibri"/>
          <w:szCs w:val="24"/>
        </w:rPr>
        <w:t>)</w:t>
      </w:r>
      <w:r w:rsidRPr="00273B04">
        <w:rPr>
          <w:rFonts w:eastAsia="Calibri"/>
          <w:szCs w:val="24"/>
        </w:rPr>
        <w:t xml:space="preserve"> dospěl odvolací soud k</w:t>
      </w:r>
      <w:r>
        <w:rPr>
          <w:rFonts w:eastAsia="Calibri"/>
          <w:szCs w:val="24"/>
        </w:rPr>
        <w:t xml:space="preserve"> odlišnému </w:t>
      </w:r>
      <w:r w:rsidRPr="00273B04">
        <w:rPr>
          <w:rFonts w:eastAsia="Calibri"/>
          <w:szCs w:val="24"/>
        </w:rPr>
        <w:t>závěru</w:t>
      </w:r>
      <w:r>
        <w:rPr>
          <w:rFonts w:eastAsia="Calibri"/>
          <w:szCs w:val="24"/>
        </w:rPr>
        <w:t xml:space="preserve"> o právní povaze uvedeného smluvního ujednání, než učinil soud prvního stupně, který však ve výsledku neznamenal odlišné hodnocení důvodnosti žalobou uplatněného nároku.</w:t>
      </w:r>
    </w:p>
    <w:p w14:paraId="075703D9" w14:textId="5D9F2B50" w:rsidR="00FC4BEC" w:rsidRDefault="00FC4BEC" w:rsidP="00FC4BEC">
      <w:pPr>
        <w:pStyle w:val="Textodvodnn"/>
        <w:rPr>
          <w:rFonts w:eastAsia="Calibri"/>
          <w:szCs w:val="24"/>
        </w:rPr>
      </w:pPr>
      <w:r>
        <w:rPr>
          <w:rFonts w:eastAsia="Calibri"/>
          <w:szCs w:val="24"/>
        </w:rPr>
        <w:t xml:space="preserve"> Z vymezení práv a povinností vyplývajících pro osoby označené jako subjekty uzavírající „Smlouvu o advokátní úschově“, které také smlouvu podepsaly,</w:t>
      </w:r>
      <w:r w:rsidRPr="00013E54">
        <w:rPr>
          <w:rFonts w:eastAsia="Calibri"/>
          <w:szCs w:val="24"/>
        </w:rPr>
        <w:t xml:space="preserve"> nevyplývá, </w:t>
      </w:r>
      <w:r>
        <w:rPr>
          <w:rFonts w:eastAsia="Calibri"/>
          <w:szCs w:val="24"/>
        </w:rPr>
        <w:t xml:space="preserve">že by bylo vůli složitele </w:t>
      </w:r>
      <w:r w:rsidR="005D36F7">
        <w:rPr>
          <w:bCs/>
        </w:rPr>
        <w:t>D. S.</w:t>
      </w:r>
      <w:r>
        <w:rPr>
          <w:rFonts w:eastAsia="Calibri"/>
          <w:szCs w:val="24"/>
        </w:rPr>
        <w:t xml:space="preserve"> dosáhnout zániku závazku vůči oprávněnému </w:t>
      </w:r>
      <w:r w:rsidR="005D36F7">
        <w:rPr>
          <w:bCs/>
        </w:rPr>
        <w:t>K. A.</w:t>
      </w:r>
      <w:r w:rsidRPr="00067D99">
        <w:rPr>
          <w:bCs/>
        </w:rPr>
        <w:t xml:space="preserve"> </w:t>
      </w:r>
      <w:r>
        <w:rPr>
          <w:rFonts w:eastAsia="Calibri"/>
          <w:szCs w:val="24"/>
        </w:rPr>
        <w:t>jejich složením do úschovy. Část úschovy (150.000 Kč) měla být oprávněnému vydána na základě předložení schválené dohody o výměně bytů (kterou předtím označení účastníci dohody odevzdali uschovateli, aby ji tento, „oproti“ složení částky do úschovy, vydal složiteli k jejímu předložení majiteli bytů ke schválení výměny),</w:t>
      </w:r>
      <w:r w:rsidRPr="00E43447">
        <w:rPr>
          <w:rFonts w:eastAsia="Calibri"/>
          <w:szCs w:val="24"/>
        </w:rPr>
        <w:t xml:space="preserve"> </w:t>
      </w:r>
      <w:r>
        <w:rPr>
          <w:rFonts w:eastAsia="Calibri"/>
          <w:szCs w:val="24"/>
        </w:rPr>
        <w:t xml:space="preserve">zbývající část </w:t>
      </w:r>
      <w:r w:rsidRPr="00013E54">
        <w:rPr>
          <w:rFonts w:eastAsia="Calibri"/>
          <w:szCs w:val="24"/>
        </w:rPr>
        <w:t>ve výši 400.000 Kč</w:t>
      </w:r>
      <w:r>
        <w:rPr>
          <w:rFonts w:eastAsia="Calibri"/>
          <w:szCs w:val="24"/>
        </w:rPr>
        <w:t>, pak měla být oprávněnému vydána po schválení p</w:t>
      </w:r>
      <w:r w:rsidRPr="00013E54">
        <w:rPr>
          <w:rFonts w:eastAsia="Calibri"/>
          <w:szCs w:val="24"/>
        </w:rPr>
        <w:t>rodej</w:t>
      </w:r>
      <w:r>
        <w:rPr>
          <w:rFonts w:eastAsia="Calibri"/>
          <w:szCs w:val="24"/>
        </w:rPr>
        <w:t>e</w:t>
      </w:r>
      <w:r w:rsidRPr="00013E54">
        <w:rPr>
          <w:rFonts w:eastAsia="Calibri"/>
          <w:szCs w:val="24"/>
        </w:rPr>
        <w:t xml:space="preserve"> domu (včetně pozemků</w:t>
      </w:r>
      <w:r>
        <w:rPr>
          <w:rFonts w:eastAsia="Calibri"/>
          <w:szCs w:val="24"/>
        </w:rPr>
        <w:t>)</w:t>
      </w:r>
      <w:r w:rsidRPr="00013E54">
        <w:rPr>
          <w:rFonts w:eastAsia="Calibri"/>
          <w:szCs w:val="24"/>
        </w:rPr>
        <w:t xml:space="preserve"> na ulici </w:t>
      </w:r>
      <w:r w:rsidR="005D36F7">
        <w:rPr>
          <w:rFonts w:eastAsia="Calibri"/>
          <w:szCs w:val="24"/>
        </w:rPr>
        <w:t>XXXX</w:t>
      </w:r>
      <w:r w:rsidRPr="00013E54">
        <w:rPr>
          <w:rFonts w:eastAsia="Calibri"/>
          <w:szCs w:val="24"/>
        </w:rPr>
        <w:t xml:space="preserve"> v</w:t>
      </w:r>
      <w:r>
        <w:rPr>
          <w:rFonts w:eastAsia="Calibri"/>
          <w:szCs w:val="24"/>
        </w:rPr>
        <w:t> </w:t>
      </w:r>
      <w:r w:rsidR="005D36F7">
        <w:rPr>
          <w:rFonts w:eastAsia="Calibri"/>
          <w:szCs w:val="24"/>
        </w:rPr>
        <w:t>XXXX</w:t>
      </w:r>
      <w:r>
        <w:rPr>
          <w:rFonts w:eastAsia="Calibri"/>
          <w:szCs w:val="24"/>
        </w:rPr>
        <w:t xml:space="preserve">, k. ú. </w:t>
      </w:r>
      <w:r w:rsidR="005D36F7">
        <w:rPr>
          <w:rFonts w:eastAsia="Calibri"/>
          <w:szCs w:val="24"/>
        </w:rPr>
        <w:t>XXXX</w:t>
      </w:r>
      <w:r>
        <w:rPr>
          <w:rFonts w:eastAsia="Calibri"/>
          <w:szCs w:val="24"/>
        </w:rPr>
        <w:t xml:space="preserve"> </w:t>
      </w:r>
      <w:r w:rsidRPr="00013E54">
        <w:rPr>
          <w:rFonts w:eastAsia="Calibri"/>
          <w:szCs w:val="24"/>
        </w:rPr>
        <w:t xml:space="preserve">(v němž se nachází </w:t>
      </w:r>
      <w:r>
        <w:rPr>
          <w:rFonts w:eastAsia="Calibri"/>
          <w:szCs w:val="24"/>
        </w:rPr>
        <w:t>jeden</w:t>
      </w:r>
      <w:r w:rsidRPr="00013E54">
        <w:rPr>
          <w:rFonts w:eastAsia="Calibri"/>
          <w:szCs w:val="24"/>
        </w:rPr>
        <w:t xml:space="preserve"> ze směňovaných bytů</w:t>
      </w:r>
      <w:r>
        <w:rPr>
          <w:rFonts w:eastAsia="Calibri"/>
          <w:szCs w:val="24"/>
        </w:rPr>
        <w:t>)</w:t>
      </w:r>
      <w:r w:rsidRPr="00013E54">
        <w:rPr>
          <w:rFonts w:eastAsia="Calibri"/>
          <w:szCs w:val="24"/>
        </w:rPr>
        <w:t xml:space="preserve"> </w:t>
      </w:r>
      <w:r>
        <w:rPr>
          <w:rFonts w:eastAsia="Calibri"/>
          <w:szCs w:val="24"/>
        </w:rPr>
        <w:t>Z</w:t>
      </w:r>
      <w:r w:rsidRPr="00013E54">
        <w:rPr>
          <w:rFonts w:eastAsia="Calibri"/>
          <w:szCs w:val="24"/>
        </w:rPr>
        <w:t>astupitelstv</w:t>
      </w:r>
      <w:r>
        <w:rPr>
          <w:rFonts w:eastAsia="Calibri"/>
          <w:szCs w:val="24"/>
        </w:rPr>
        <w:t>em</w:t>
      </w:r>
      <w:r w:rsidRPr="00013E54">
        <w:rPr>
          <w:rFonts w:eastAsia="Calibri"/>
          <w:szCs w:val="24"/>
        </w:rPr>
        <w:t xml:space="preserve"> města Brna</w:t>
      </w:r>
      <w:r>
        <w:rPr>
          <w:rFonts w:eastAsia="Calibri"/>
          <w:szCs w:val="24"/>
        </w:rPr>
        <w:t>,</w:t>
      </w:r>
      <w:r w:rsidRPr="00013E54">
        <w:rPr>
          <w:rFonts w:eastAsia="Calibri"/>
          <w:szCs w:val="24"/>
        </w:rPr>
        <w:t xml:space="preserve"> v době do 31. 10. 2014.</w:t>
      </w:r>
      <w:r>
        <w:rPr>
          <w:rFonts w:eastAsia="Calibri"/>
          <w:szCs w:val="24"/>
        </w:rPr>
        <w:t xml:space="preserve"> Z uvedeného je zřejmé, že k naplnění účelu dohody o výměně bytů došlo jejím schválením vlastníkem bytů a </w:t>
      </w:r>
      <w:r>
        <w:rPr>
          <w:rFonts w:eastAsia="Calibri"/>
          <w:szCs w:val="24"/>
        </w:rPr>
        <w:lastRenderedPageBreak/>
        <w:t>s touto skutečností (jejím prokázáním oprávněným uschovateli) pak bylo spojeno vydání první částky 150.000 Kč z úschovy. S</w:t>
      </w:r>
      <w:r w:rsidRPr="00013E54">
        <w:rPr>
          <w:rFonts w:eastAsia="Calibri"/>
          <w:szCs w:val="24"/>
        </w:rPr>
        <w:t xml:space="preserve">ložitel </w:t>
      </w:r>
      <w:r>
        <w:rPr>
          <w:rFonts w:eastAsia="Calibri"/>
          <w:szCs w:val="24"/>
        </w:rPr>
        <w:t xml:space="preserve">však </w:t>
      </w:r>
      <w:r w:rsidRPr="00013E54">
        <w:rPr>
          <w:rFonts w:eastAsia="Calibri"/>
          <w:szCs w:val="24"/>
        </w:rPr>
        <w:t xml:space="preserve">ve smlouvě vymínil </w:t>
      </w:r>
      <w:r>
        <w:rPr>
          <w:rFonts w:eastAsia="Calibri"/>
          <w:szCs w:val="24"/>
        </w:rPr>
        <w:t xml:space="preserve">jednak vrácení uvedené první části úschovy v případě, že dohoda o výměně bytů nebude schválena, a zejména pak vrácení zbývající </w:t>
      </w:r>
      <w:r w:rsidRPr="00013E54">
        <w:rPr>
          <w:rFonts w:eastAsia="Calibri"/>
          <w:szCs w:val="24"/>
        </w:rPr>
        <w:t xml:space="preserve">složené částky ve výši 400.000 Kč, nebude-li splněna podmínka spočívající </w:t>
      </w:r>
      <w:r>
        <w:rPr>
          <w:rFonts w:eastAsia="Calibri"/>
          <w:szCs w:val="24"/>
        </w:rPr>
        <w:t xml:space="preserve">ve skutečnosti, že </w:t>
      </w:r>
      <w:r w:rsidRPr="00013E54">
        <w:rPr>
          <w:rFonts w:eastAsia="Calibri"/>
          <w:szCs w:val="24"/>
        </w:rPr>
        <w:t>zastupitelstv</w:t>
      </w:r>
      <w:r>
        <w:rPr>
          <w:rFonts w:eastAsia="Calibri"/>
          <w:szCs w:val="24"/>
        </w:rPr>
        <w:t>o</w:t>
      </w:r>
      <w:r w:rsidRPr="00013E54">
        <w:rPr>
          <w:rFonts w:eastAsia="Calibri"/>
          <w:szCs w:val="24"/>
        </w:rPr>
        <w:t xml:space="preserve"> města Brna </w:t>
      </w:r>
      <w:r>
        <w:rPr>
          <w:rFonts w:eastAsia="Calibri"/>
          <w:szCs w:val="24"/>
        </w:rPr>
        <w:t>schválí p</w:t>
      </w:r>
      <w:r w:rsidRPr="00013E54">
        <w:rPr>
          <w:rFonts w:eastAsia="Calibri"/>
          <w:szCs w:val="24"/>
        </w:rPr>
        <w:t>rodej domu (včetně pozemků</w:t>
      </w:r>
      <w:r>
        <w:rPr>
          <w:rFonts w:eastAsia="Calibri"/>
          <w:szCs w:val="24"/>
        </w:rPr>
        <w:t>)</w:t>
      </w:r>
      <w:r w:rsidRPr="00013E54">
        <w:rPr>
          <w:rFonts w:eastAsia="Calibri"/>
          <w:szCs w:val="24"/>
        </w:rPr>
        <w:t xml:space="preserve"> na ulici </w:t>
      </w:r>
      <w:r w:rsidR="005D36F7">
        <w:rPr>
          <w:rFonts w:eastAsia="Calibri"/>
          <w:szCs w:val="24"/>
        </w:rPr>
        <w:t>XXXX</w:t>
      </w:r>
      <w:r w:rsidRPr="00013E54">
        <w:rPr>
          <w:rFonts w:eastAsia="Calibri"/>
          <w:szCs w:val="24"/>
        </w:rPr>
        <w:t xml:space="preserve"> v</w:t>
      </w:r>
      <w:r>
        <w:rPr>
          <w:rFonts w:eastAsia="Calibri"/>
          <w:szCs w:val="24"/>
        </w:rPr>
        <w:t> </w:t>
      </w:r>
      <w:r w:rsidR="005D36F7">
        <w:rPr>
          <w:rFonts w:eastAsia="Calibri"/>
          <w:szCs w:val="24"/>
        </w:rPr>
        <w:t>XXXX</w:t>
      </w:r>
      <w:r>
        <w:rPr>
          <w:rFonts w:eastAsia="Calibri"/>
          <w:szCs w:val="24"/>
        </w:rPr>
        <w:t xml:space="preserve"> </w:t>
      </w:r>
      <w:r w:rsidRPr="00013E54">
        <w:rPr>
          <w:rFonts w:eastAsia="Calibri"/>
          <w:szCs w:val="24"/>
        </w:rPr>
        <w:t>do 31. 10. 2014.</w:t>
      </w:r>
    </w:p>
    <w:p w14:paraId="303B6065" w14:textId="77777777" w:rsidR="00FC4BEC" w:rsidRDefault="00FC4BEC" w:rsidP="00FC4BEC">
      <w:pPr>
        <w:pStyle w:val="Textodvodnn"/>
        <w:rPr>
          <w:rFonts w:eastAsia="Calibri"/>
          <w:szCs w:val="24"/>
        </w:rPr>
      </w:pPr>
      <w:r>
        <w:rPr>
          <w:rFonts w:eastAsia="Calibri"/>
          <w:szCs w:val="24"/>
        </w:rPr>
        <w:t xml:space="preserve"> Z uvedeného vyplývá, že uschovatel měl hospodařením s majetkem složitele (uvedenou finanční částkou), zajišťovat jednak naplnění účelu dohody o výměně bytů a dále pak, v závislosti na rozhodnutí Zastupitelstva města Brna o schválení prodeje domu (v němž se nacházel jeden ze směňovaných bytů), vyplatit zbývající částku (která je předmětem tohoto řízení) při naplnění určité skutečnosti (představující pro složitele získání určité „kvality“ či vlastnosti“ domu), případně ji vrátit složiteli při nenaplnění uvedené skutečnosti ve stanovené době, což však se završením dohody o výměně bytů (naplněním jejího účelu) zjevně nesouvisí. </w:t>
      </w:r>
    </w:p>
    <w:p w14:paraId="70EDBDE2" w14:textId="7CB853FF" w:rsidR="00FC4BEC" w:rsidRDefault="00FC4BEC" w:rsidP="00FC4BEC">
      <w:pPr>
        <w:pStyle w:val="Textodvodnn"/>
        <w:rPr>
          <w:rFonts w:eastAsia="Calibri"/>
          <w:szCs w:val="24"/>
        </w:rPr>
      </w:pPr>
      <w:r>
        <w:rPr>
          <w:rFonts w:eastAsia="Calibri"/>
          <w:szCs w:val="24"/>
        </w:rPr>
        <w:t xml:space="preserve"> Právní vztah z předmětné smlouvy mezi </w:t>
      </w:r>
      <w:r w:rsidR="005D36F7">
        <w:rPr>
          <w:rFonts w:eastAsia="Calibri"/>
          <w:szCs w:val="24"/>
        </w:rPr>
        <w:t>D. S.</w:t>
      </w:r>
      <w:r>
        <w:rPr>
          <w:rFonts w:eastAsia="Calibri"/>
          <w:szCs w:val="24"/>
        </w:rPr>
        <w:t xml:space="preserve"> a žalovanou je vztahem vycházejícím z činnosti advokáta </w:t>
      </w:r>
      <w:r w:rsidRPr="00013E54">
        <w:rPr>
          <w:rFonts w:eastAsia="Calibri"/>
          <w:szCs w:val="24"/>
        </w:rPr>
        <w:t xml:space="preserve">podle § 50 </w:t>
      </w:r>
      <w:r>
        <w:rPr>
          <w:rFonts w:eastAsia="Calibri"/>
          <w:szCs w:val="24"/>
        </w:rPr>
        <w:t xml:space="preserve">a </w:t>
      </w:r>
      <w:r w:rsidRPr="00013E54">
        <w:rPr>
          <w:rFonts w:eastAsia="Calibri"/>
          <w:szCs w:val="24"/>
        </w:rPr>
        <w:t>56a zákona č. 85/1996 Sb.</w:t>
      </w:r>
      <w:r>
        <w:rPr>
          <w:rFonts w:eastAsia="Calibri"/>
          <w:szCs w:val="24"/>
        </w:rPr>
        <w:t>, tedy ze správy majetku svěřeného složitelem žalované (jako advokátce) za ujednaných podmínek, mezi které patřilo vydání předmětné částky konkrétně určené osobě (</w:t>
      </w:r>
      <w:r w:rsidR="005D36F7">
        <w:rPr>
          <w:rFonts w:eastAsia="Calibri"/>
          <w:szCs w:val="24"/>
        </w:rPr>
        <w:t>K. A.</w:t>
      </w:r>
      <w:r>
        <w:rPr>
          <w:rFonts w:eastAsia="Calibri"/>
          <w:szCs w:val="24"/>
        </w:rPr>
        <w:t xml:space="preserve">), za splnění konkrétní podmínky (viz shora). Postavení </w:t>
      </w:r>
      <w:r w:rsidR="005D36F7">
        <w:rPr>
          <w:rFonts w:eastAsia="Calibri"/>
          <w:szCs w:val="24"/>
        </w:rPr>
        <w:t>K. A.</w:t>
      </w:r>
      <w:r>
        <w:rPr>
          <w:rFonts w:eastAsia="Calibri"/>
          <w:szCs w:val="24"/>
        </w:rPr>
        <w:t xml:space="preserve">, na jehož účet byla žalovaná oprávněna převést složenou částku (shora popsaným způsobem), za splnění ujednaných podmínek, a z jehož účasti na předmětném smluvním ujednání lze dovodit akceptaci podmínek vyplacení peněž z úschovy, na uvedených závěrech nic nemění.   </w:t>
      </w:r>
    </w:p>
    <w:p w14:paraId="6B9A73F8" w14:textId="516C887C" w:rsidR="00FC4BEC" w:rsidRDefault="00FC4BEC" w:rsidP="00FC4BEC">
      <w:pPr>
        <w:pStyle w:val="Textodvodnn"/>
        <w:rPr>
          <w:lang w:bidi="ar-SA"/>
        </w:rPr>
      </w:pPr>
      <w:r>
        <w:rPr>
          <w:lang w:bidi="ar-SA"/>
        </w:rPr>
        <w:t xml:space="preserve"> Žalovanou namítaná „Dohoda o vzájemném vypořádání práv a povinností v souvislosti s podpisem návrhu na uzavření dohody o postoupení nájemní smlouvy k bytu“ uzavřená 23. 4. 2014 mezi </w:t>
      </w:r>
      <w:r w:rsidR="005D36F7">
        <w:rPr>
          <w:lang w:bidi="ar-SA"/>
        </w:rPr>
        <w:t>K. A.</w:t>
      </w:r>
      <w:r>
        <w:rPr>
          <w:lang w:bidi="ar-SA"/>
        </w:rPr>
        <w:t xml:space="preserve"> a </w:t>
      </w:r>
      <w:r w:rsidR="005D36F7">
        <w:rPr>
          <w:lang w:bidi="ar-SA"/>
        </w:rPr>
        <w:t>D. S.</w:t>
      </w:r>
      <w:r>
        <w:rPr>
          <w:lang w:bidi="ar-SA"/>
        </w:rPr>
        <w:t xml:space="preserve"> a </w:t>
      </w:r>
      <w:r w:rsidR="005D36F7">
        <w:rPr>
          <w:lang w:bidi="ar-SA"/>
        </w:rPr>
        <w:t>Ž. S.</w:t>
      </w:r>
      <w:r>
        <w:rPr>
          <w:lang w:bidi="ar-SA"/>
        </w:rPr>
        <w:t xml:space="preserve">, v níž tito prohlásili, že ke dni 9. 4. 2014 vzájemně vypořádali práva a povinnosti k označeným bytům, a že nebude po městské části Brno - střed, Dominikánské náměstí 2, Brno, požadována žádná kompenzace za stavební úpravy provedené v bytě </w:t>
      </w:r>
      <w:r w:rsidR="005D36F7">
        <w:rPr>
          <w:lang w:bidi="ar-SA"/>
        </w:rPr>
        <w:t>XXXX</w:t>
      </w:r>
      <w:r>
        <w:rPr>
          <w:lang w:bidi="ar-SA"/>
        </w:rPr>
        <w:t xml:space="preserve"> na ulici </w:t>
      </w:r>
      <w:r w:rsidR="005D36F7">
        <w:rPr>
          <w:lang w:bidi="ar-SA"/>
        </w:rPr>
        <w:t>XXXX</w:t>
      </w:r>
      <w:r>
        <w:rPr>
          <w:lang w:bidi="ar-SA"/>
        </w:rPr>
        <w:t xml:space="preserve"> v </w:t>
      </w:r>
      <w:r w:rsidR="005D36F7">
        <w:rPr>
          <w:lang w:bidi="ar-SA"/>
        </w:rPr>
        <w:t>XXXX</w:t>
      </w:r>
      <w:r>
        <w:rPr>
          <w:lang w:bidi="ar-SA"/>
        </w:rPr>
        <w:t>, není svým obsahem změnou Smlouvy o advokátní úschově ze 7. 4. 2014, neboť má odlišný okruh účastníků a neobsahuje žádné změny či jiné zmínky o dispozicích s předmětem úschovy, jak byly sjednány v uvedené smlouvě, které bylo možno měnit jen na základě písemných dodatků ke smlouvě.</w:t>
      </w:r>
    </w:p>
    <w:p w14:paraId="1F5FEE73" w14:textId="649758D9" w:rsidR="00FC4BEC" w:rsidRDefault="00FC4BEC" w:rsidP="00FC4BEC">
      <w:pPr>
        <w:pStyle w:val="Textodvodnn"/>
        <w:rPr>
          <w:lang w:bidi="ar-SA"/>
        </w:rPr>
      </w:pPr>
      <w:r>
        <w:rPr>
          <w:rFonts w:eastAsia="Calibri"/>
          <w:szCs w:val="24"/>
        </w:rPr>
        <w:t xml:space="preserve"> </w:t>
      </w:r>
      <w:r w:rsidRPr="00013E54">
        <w:rPr>
          <w:rFonts w:eastAsia="Calibri"/>
          <w:szCs w:val="24"/>
        </w:rPr>
        <w:t>Doložen</w:t>
      </w:r>
      <w:r>
        <w:rPr>
          <w:rFonts w:eastAsia="Calibri"/>
          <w:szCs w:val="24"/>
        </w:rPr>
        <w:t>ý</w:t>
      </w:r>
      <w:r w:rsidRPr="00013E54">
        <w:rPr>
          <w:rFonts w:eastAsia="Calibri"/>
          <w:szCs w:val="24"/>
        </w:rPr>
        <w:t xml:space="preserve"> souhlas </w:t>
      </w:r>
      <w:r>
        <w:rPr>
          <w:rFonts w:eastAsia="Calibri"/>
          <w:szCs w:val="24"/>
        </w:rPr>
        <w:t>Z</w:t>
      </w:r>
      <w:r w:rsidRPr="00013E54">
        <w:rPr>
          <w:rFonts w:eastAsia="Calibri"/>
          <w:szCs w:val="24"/>
        </w:rPr>
        <w:t xml:space="preserve">astupitelstva městské části Brno </w:t>
      </w:r>
      <w:r>
        <w:rPr>
          <w:rFonts w:eastAsia="Calibri"/>
          <w:szCs w:val="24"/>
        </w:rPr>
        <w:t xml:space="preserve">– střed </w:t>
      </w:r>
      <w:r w:rsidRPr="00013E54">
        <w:rPr>
          <w:rFonts w:eastAsia="Calibri"/>
          <w:szCs w:val="24"/>
        </w:rPr>
        <w:t xml:space="preserve">s přeřazením </w:t>
      </w:r>
      <w:r>
        <w:rPr>
          <w:rFonts w:eastAsia="Calibri"/>
          <w:szCs w:val="24"/>
        </w:rPr>
        <w:t xml:space="preserve">domu </w:t>
      </w:r>
      <w:r>
        <w:rPr>
          <w:lang w:bidi="ar-SA"/>
        </w:rPr>
        <w:t xml:space="preserve">na ulici </w:t>
      </w:r>
      <w:r w:rsidR="000A2E6A">
        <w:rPr>
          <w:lang w:bidi="ar-SA"/>
        </w:rPr>
        <w:t>XXXX</w:t>
      </w:r>
      <w:r>
        <w:rPr>
          <w:lang w:bidi="ar-SA"/>
        </w:rPr>
        <w:t xml:space="preserve"> v </w:t>
      </w:r>
      <w:r w:rsidR="000A2E6A">
        <w:rPr>
          <w:lang w:bidi="ar-SA"/>
        </w:rPr>
        <w:t>XXXX</w:t>
      </w:r>
      <w:r>
        <w:rPr>
          <w:lang w:bidi="ar-SA"/>
        </w:rPr>
        <w:t xml:space="preserve"> a funkčně spjatých nemovitostí</w:t>
      </w:r>
      <w:r w:rsidRPr="00013E54">
        <w:rPr>
          <w:rFonts w:eastAsia="Calibri"/>
          <w:szCs w:val="24"/>
        </w:rPr>
        <w:t xml:space="preserve"> </w:t>
      </w:r>
      <w:r>
        <w:rPr>
          <w:rFonts w:eastAsia="Calibri"/>
          <w:szCs w:val="24"/>
        </w:rPr>
        <w:t>(dále specifikovaných pozemků) ze „seznamu domů</w:t>
      </w:r>
      <w:r w:rsidRPr="00013E54">
        <w:rPr>
          <w:rFonts w:eastAsia="Calibri"/>
          <w:szCs w:val="24"/>
        </w:rPr>
        <w:t xml:space="preserve"> nedoporučen</w:t>
      </w:r>
      <w:r>
        <w:rPr>
          <w:rFonts w:eastAsia="Calibri"/>
          <w:szCs w:val="24"/>
        </w:rPr>
        <w:t>ých</w:t>
      </w:r>
      <w:r w:rsidRPr="00013E54">
        <w:rPr>
          <w:rFonts w:eastAsia="Calibri"/>
          <w:szCs w:val="24"/>
        </w:rPr>
        <w:t xml:space="preserve"> do seznamu do</w:t>
      </w:r>
      <w:r>
        <w:rPr>
          <w:rFonts w:eastAsia="Calibri"/>
          <w:szCs w:val="24"/>
        </w:rPr>
        <w:t>mů</w:t>
      </w:r>
      <w:r w:rsidRPr="00013E54">
        <w:rPr>
          <w:rFonts w:eastAsia="Calibri"/>
          <w:szCs w:val="24"/>
        </w:rPr>
        <w:t xml:space="preserve"> doporučených do prodeje</w:t>
      </w:r>
      <w:r>
        <w:rPr>
          <w:rFonts w:eastAsia="Calibri"/>
          <w:szCs w:val="24"/>
        </w:rPr>
        <w:t xml:space="preserve"> dle Pravidel“ za </w:t>
      </w:r>
      <w:r w:rsidRPr="00013E54">
        <w:rPr>
          <w:rFonts w:eastAsia="Calibri"/>
          <w:szCs w:val="24"/>
        </w:rPr>
        <w:t>splnění dále uvedených podmínek</w:t>
      </w:r>
      <w:r>
        <w:rPr>
          <w:rFonts w:eastAsia="Calibri"/>
          <w:szCs w:val="24"/>
        </w:rPr>
        <w:t xml:space="preserve">, odvolací soud (shodně se soudem prvního stupně) nepovažuje za </w:t>
      </w:r>
      <w:r w:rsidRPr="00013E54">
        <w:rPr>
          <w:rFonts w:eastAsia="Calibri"/>
          <w:szCs w:val="24"/>
        </w:rPr>
        <w:t>splněn</w:t>
      </w:r>
      <w:r>
        <w:rPr>
          <w:rFonts w:eastAsia="Calibri"/>
          <w:szCs w:val="24"/>
        </w:rPr>
        <w:t xml:space="preserve">í podmínky vyplacení předmětné částky z úschovy, </w:t>
      </w:r>
      <w:r w:rsidRPr="00013E54">
        <w:rPr>
          <w:rFonts w:eastAsia="Calibri"/>
          <w:szCs w:val="24"/>
        </w:rPr>
        <w:t xml:space="preserve">spočívající </w:t>
      </w:r>
      <w:r>
        <w:rPr>
          <w:rFonts w:eastAsia="Calibri"/>
          <w:szCs w:val="24"/>
        </w:rPr>
        <w:t xml:space="preserve">ve skutečnosti, že </w:t>
      </w:r>
      <w:r w:rsidRPr="00013E54">
        <w:rPr>
          <w:rFonts w:eastAsia="Calibri"/>
          <w:szCs w:val="24"/>
        </w:rPr>
        <w:t>zastupitelstv</w:t>
      </w:r>
      <w:r>
        <w:rPr>
          <w:rFonts w:eastAsia="Calibri"/>
          <w:szCs w:val="24"/>
        </w:rPr>
        <w:t>o</w:t>
      </w:r>
      <w:r w:rsidRPr="00013E54">
        <w:rPr>
          <w:rFonts w:eastAsia="Calibri"/>
          <w:szCs w:val="24"/>
        </w:rPr>
        <w:t xml:space="preserve"> města Brna </w:t>
      </w:r>
      <w:r>
        <w:rPr>
          <w:rFonts w:eastAsia="Calibri"/>
          <w:szCs w:val="24"/>
        </w:rPr>
        <w:t>schválí p</w:t>
      </w:r>
      <w:r w:rsidRPr="00013E54">
        <w:rPr>
          <w:rFonts w:eastAsia="Calibri"/>
          <w:szCs w:val="24"/>
        </w:rPr>
        <w:t>rodej domu (včetně pozemků</w:t>
      </w:r>
      <w:r>
        <w:rPr>
          <w:rFonts w:eastAsia="Calibri"/>
          <w:szCs w:val="24"/>
        </w:rPr>
        <w:t>)</w:t>
      </w:r>
      <w:r w:rsidRPr="00013E54">
        <w:rPr>
          <w:rFonts w:eastAsia="Calibri"/>
          <w:szCs w:val="24"/>
        </w:rPr>
        <w:t xml:space="preserve"> na ulici </w:t>
      </w:r>
      <w:r w:rsidR="000A2E6A">
        <w:rPr>
          <w:rFonts w:eastAsia="Calibri"/>
          <w:szCs w:val="24"/>
        </w:rPr>
        <w:t>XXXX</w:t>
      </w:r>
      <w:r w:rsidRPr="00013E54">
        <w:rPr>
          <w:rFonts w:eastAsia="Calibri"/>
          <w:szCs w:val="24"/>
        </w:rPr>
        <w:t xml:space="preserve"> v</w:t>
      </w:r>
      <w:r>
        <w:rPr>
          <w:rFonts w:eastAsia="Calibri"/>
          <w:szCs w:val="24"/>
        </w:rPr>
        <w:t> </w:t>
      </w:r>
      <w:r w:rsidR="000A2E6A">
        <w:rPr>
          <w:rFonts w:eastAsia="Calibri"/>
          <w:szCs w:val="24"/>
        </w:rPr>
        <w:t>XXXX</w:t>
      </w:r>
      <w:r>
        <w:rPr>
          <w:rFonts w:eastAsia="Calibri"/>
          <w:szCs w:val="24"/>
        </w:rPr>
        <w:t xml:space="preserve"> </w:t>
      </w:r>
      <w:r w:rsidRPr="00013E54">
        <w:rPr>
          <w:rFonts w:eastAsia="Calibri"/>
          <w:szCs w:val="24"/>
        </w:rPr>
        <w:t>do 31. 10. 2014.</w:t>
      </w:r>
    </w:p>
    <w:p w14:paraId="3E4B8745" w14:textId="77777777" w:rsidR="00FC4BEC" w:rsidRDefault="00FC4BEC" w:rsidP="00FC4BEC">
      <w:pPr>
        <w:pStyle w:val="Textodvodnn"/>
        <w:rPr>
          <w:rFonts w:eastAsia="Calibri"/>
          <w:szCs w:val="24"/>
        </w:rPr>
      </w:pPr>
      <w:r>
        <w:rPr>
          <w:rFonts w:eastAsia="Calibri"/>
          <w:szCs w:val="24"/>
        </w:rPr>
        <w:t xml:space="preserve"> Pokud pak tato podmínka splněna nebyla, nastoupila sjednaná povinnost žalované vrátit částku 400.000 Kč složiteli. Pohledávka z této nesplněné povinnosti pak byla složitelem platně postoupena žalobci. </w:t>
      </w:r>
    </w:p>
    <w:p w14:paraId="72914592" w14:textId="77777777" w:rsidR="00FC4BEC" w:rsidRPr="008E6036" w:rsidRDefault="00FC4BEC" w:rsidP="00FC4BEC">
      <w:pPr>
        <w:pStyle w:val="Textodvodnn"/>
        <w:rPr>
          <w:rFonts w:eastAsia="Calibri"/>
          <w:szCs w:val="24"/>
        </w:rPr>
      </w:pPr>
      <w:r>
        <w:rPr>
          <w:rFonts w:eastAsia="Calibri"/>
          <w:szCs w:val="24"/>
        </w:rPr>
        <w:t xml:space="preserve"> </w:t>
      </w:r>
      <w:r w:rsidRPr="008E6036">
        <w:rPr>
          <w:rFonts w:eastAsia="Calibri"/>
          <w:szCs w:val="24"/>
        </w:rPr>
        <w:t>Z uvedených důvodů odvolací soud rozsudek soudu prvního stupně jako věcně správný potvrdil (§ 219 o.s.ř.), včetně správného výroku o nákladech řízení účastníků (§ 142 odst. 1 o.s.ř.).</w:t>
      </w:r>
    </w:p>
    <w:p w14:paraId="4A26D445" w14:textId="77777777" w:rsidR="00FC4BEC" w:rsidRDefault="00FC4BEC" w:rsidP="00FC4BEC">
      <w:pPr>
        <w:pStyle w:val="Textodvodnn"/>
        <w:rPr>
          <w:rFonts w:eastAsia="Calibri"/>
          <w:szCs w:val="24"/>
        </w:rPr>
      </w:pPr>
      <w:r>
        <w:rPr>
          <w:rFonts w:eastAsia="Calibri"/>
          <w:szCs w:val="24"/>
        </w:rPr>
        <w:t xml:space="preserve"> </w:t>
      </w:r>
      <w:r w:rsidRPr="008E6036">
        <w:rPr>
          <w:rFonts w:eastAsia="Calibri"/>
          <w:szCs w:val="24"/>
        </w:rPr>
        <w:t>Rozhodnutí o náhradě nákladů odvolacího řízení je odůvodněno ustanovením § 224 odst. 1 ve spojení s § 142 odst. 1 o.s.ř., když v odvolacím řízení neúspěšn</w:t>
      </w:r>
      <w:r>
        <w:rPr>
          <w:rFonts w:eastAsia="Calibri"/>
          <w:szCs w:val="24"/>
        </w:rPr>
        <w:t>ou</w:t>
      </w:r>
      <w:r w:rsidRPr="008E6036">
        <w:rPr>
          <w:rFonts w:eastAsia="Calibri"/>
          <w:szCs w:val="24"/>
        </w:rPr>
        <w:t xml:space="preserve"> žalovan</w:t>
      </w:r>
      <w:r>
        <w:rPr>
          <w:rFonts w:eastAsia="Calibri"/>
          <w:szCs w:val="24"/>
        </w:rPr>
        <w:t>ou</w:t>
      </w:r>
      <w:r w:rsidRPr="008E6036">
        <w:rPr>
          <w:rFonts w:eastAsia="Calibri"/>
          <w:szCs w:val="24"/>
        </w:rPr>
        <w:t xml:space="preserve"> stíhá povinnost nahradit žalob</w:t>
      </w:r>
      <w:r>
        <w:rPr>
          <w:rFonts w:eastAsia="Calibri"/>
          <w:szCs w:val="24"/>
        </w:rPr>
        <w:t>kyni</w:t>
      </w:r>
      <w:r w:rsidRPr="008E6036">
        <w:rPr>
          <w:rFonts w:eastAsia="Calibri"/>
          <w:szCs w:val="24"/>
        </w:rPr>
        <w:t xml:space="preserve"> účelně vynaložené náklady odvolacího řízení. Tyto náklady spočívají u žalob</w:t>
      </w:r>
      <w:r>
        <w:rPr>
          <w:rFonts w:eastAsia="Calibri"/>
          <w:szCs w:val="24"/>
        </w:rPr>
        <w:t>kyně</w:t>
      </w:r>
      <w:r w:rsidRPr="008E6036">
        <w:rPr>
          <w:rFonts w:eastAsia="Calibri"/>
          <w:szCs w:val="24"/>
        </w:rPr>
        <w:t xml:space="preserve"> v mimosmluvní odměně advokáta za </w:t>
      </w:r>
      <w:r>
        <w:rPr>
          <w:rFonts w:eastAsia="Calibri"/>
          <w:szCs w:val="24"/>
        </w:rPr>
        <w:t>jeden úkon</w:t>
      </w:r>
      <w:r w:rsidRPr="008E6036">
        <w:rPr>
          <w:rFonts w:eastAsia="Calibri"/>
          <w:szCs w:val="24"/>
        </w:rPr>
        <w:t xml:space="preserve"> právní služby </w:t>
      </w:r>
      <w:r>
        <w:rPr>
          <w:rFonts w:eastAsia="Calibri"/>
          <w:szCs w:val="24"/>
        </w:rPr>
        <w:t>za 9.900 Kč</w:t>
      </w:r>
      <w:r w:rsidRPr="008E6036">
        <w:rPr>
          <w:rFonts w:eastAsia="Calibri"/>
          <w:szCs w:val="24"/>
        </w:rPr>
        <w:t xml:space="preserve"> </w:t>
      </w:r>
      <w:r>
        <w:rPr>
          <w:rFonts w:eastAsia="Calibri"/>
          <w:szCs w:val="24"/>
        </w:rPr>
        <w:t>(</w:t>
      </w:r>
      <w:r w:rsidRPr="008E6036">
        <w:rPr>
          <w:rFonts w:eastAsia="Calibri"/>
          <w:szCs w:val="24"/>
        </w:rPr>
        <w:t xml:space="preserve">účast u </w:t>
      </w:r>
      <w:r>
        <w:rPr>
          <w:rFonts w:eastAsia="Calibri"/>
          <w:szCs w:val="24"/>
        </w:rPr>
        <w:t xml:space="preserve">odvolacího </w:t>
      </w:r>
      <w:r w:rsidRPr="008E6036">
        <w:rPr>
          <w:rFonts w:eastAsia="Calibri"/>
          <w:szCs w:val="24"/>
        </w:rPr>
        <w:t>jednání</w:t>
      </w:r>
      <w:r>
        <w:rPr>
          <w:rFonts w:eastAsia="Calibri"/>
          <w:szCs w:val="24"/>
        </w:rPr>
        <w:t>,</w:t>
      </w:r>
      <w:r w:rsidRPr="008E6036">
        <w:rPr>
          <w:rFonts w:eastAsia="Calibri"/>
          <w:szCs w:val="24"/>
        </w:rPr>
        <w:t xml:space="preserve"> § 7 bod </w:t>
      </w:r>
      <w:r>
        <w:rPr>
          <w:rFonts w:eastAsia="Calibri"/>
          <w:szCs w:val="24"/>
        </w:rPr>
        <w:t>6</w:t>
      </w:r>
      <w:r w:rsidRPr="008E6036">
        <w:rPr>
          <w:rFonts w:eastAsia="Calibri"/>
          <w:szCs w:val="24"/>
        </w:rPr>
        <w:t xml:space="preserve">, § 11 odst. 1 písm. g/, advokátního tarifu) a </w:t>
      </w:r>
      <w:r>
        <w:rPr>
          <w:rFonts w:eastAsia="Calibri"/>
          <w:szCs w:val="24"/>
        </w:rPr>
        <w:t>jedné</w:t>
      </w:r>
      <w:r w:rsidRPr="008E6036">
        <w:rPr>
          <w:rFonts w:eastAsia="Calibri"/>
          <w:szCs w:val="24"/>
        </w:rPr>
        <w:t xml:space="preserve"> paušální náhrad</w:t>
      </w:r>
      <w:r>
        <w:rPr>
          <w:rFonts w:eastAsia="Calibri"/>
          <w:szCs w:val="24"/>
        </w:rPr>
        <w:t>ě</w:t>
      </w:r>
      <w:r w:rsidRPr="008E6036">
        <w:rPr>
          <w:rFonts w:eastAsia="Calibri"/>
          <w:szCs w:val="24"/>
        </w:rPr>
        <w:t xml:space="preserve"> režijních nákladů </w:t>
      </w:r>
      <w:r>
        <w:rPr>
          <w:rFonts w:eastAsia="Calibri"/>
          <w:szCs w:val="24"/>
        </w:rPr>
        <w:t xml:space="preserve">za </w:t>
      </w:r>
      <w:r w:rsidRPr="008E6036">
        <w:rPr>
          <w:rFonts w:eastAsia="Calibri"/>
          <w:szCs w:val="24"/>
        </w:rPr>
        <w:t>300 Kč (§ 13 odst. 3 advokátního tarifu), což činí, včetně 21 % náhrady DPH</w:t>
      </w:r>
      <w:r>
        <w:rPr>
          <w:rFonts w:eastAsia="Calibri"/>
          <w:szCs w:val="24"/>
        </w:rPr>
        <w:t xml:space="preserve">, </w:t>
      </w:r>
      <w:r w:rsidRPr="008E6036">
        <w:rPr>
          <w:rFonts w:eastAsia="Calibri"/>
          <w:szCs w:val="24"/>
        </w:rPr>
        <w:t xml:space="preserve">celkem </w:t>
      </w:r>
      <w:r>
        <w:rPr>
          <w:rFonts w:eastAsia="Calibri"/>
          <w:szCs w:val="24"/>
        </w:rPr>
        <w:t>12.342</w:t>
      </w:r>
      <w:r w:rsidRPr="008E6036">
        <w:rPr>
          <w:rFonts w:eastAsia="Calibri"/>
          <w:szCs w:val="24"/>
        </w:rPr>
        <w:t xml:space="preserve"> Kč. Uvedenou částku je žalovan</w:t>
      </w:r>
      <w:r>
        <w:rPr>
          <w:rFonts w:eastAsia="Calibri"/>
          <w:szCs w:val="24"/>
        </w:rPr>
        <w:t>á povin</w:t>
      </w:r>
      <w:r w:rsidRPr="008E6036">
        <w:rPr>
          <w:rFonts w:eastAsia="Calibri"/>
          <w:szCs w:val="24"/>
        </w:rPr>
        <w:t>n</w:t>
      </w:r>
      <w:r>
        <w:rPr>
          <w:rFonts w:eastAsia="Calibri"/>
          <w:szCs w:val="24"/>
        </w:rPr>
        <w:t>a</w:t>
      </w:r>
      <w:r w:rsidRPr="008E6036">
        <w:rPr>
          <w:rFonts w:eastAsia="Calibri"/>
          <w:szCs w:val="24"/>
        </w:rPr>
        <w:t xml:space="preserve"> zaplatit k </w:t>
      </w:r>
      <w:r>
        <w:rPr>
          <w:rFonts w:eastAsia="Calibri"/>
          <w:szCs w:val="24"/>
        </w:rPr>
        <w:t>rukám advokáta, zástupce žalobkyně</w:t>
      </w:r>
      <w:r w:rsidRPr="008E6036">
        <w:rPr>
          <w:rFonts w:eastAsia="Calibri"/>
          <w:szCs w:val="24"/>
        </w:rPr>
        <w:t>, na základě plné moci udělené pro celé řízení (§ 224 odst. 1, § 149 odst. 1 o.s.ř.).</w:t>
      </w:r>
    </w:p>
    <w:p w14:paraId="4EAA3A00" w14:textId="77777777" w:rsidR="00FC4BEC" w:rsidRDefault="00FC4BEC" w:rsidP="00FC4BEC">
      <w:pPr>
        <w:rPr>
          <w:rFonts w:eastAsia="Calibri"/>
        </w:rPr>
      </w:pPr>
    </w:p>
    <w:p w14:paraId="737FF128" w14:textId="77777777" w:rsidR="00FC4BEC" w:rsidRDefault="00FC4BEC" w:rsidP="00FC4BEC">
      <w:pPr>
        <w:pStyle w:val="Nadpisvrozhodnut"/>
      </w:pPr>
      <w:r>
        <w:t>Poučení:</w:t>
      </w:r>
    </w:p>
    <w:p w14:paraId="0E537F99" w14:textId="77777777" w:rsidR="00FC4BEC" w:rsidRPr="00030437" w:rsidRDefault="00FC4BEC" w:rsidP="00FC4BEC"/>
    <w:p w14:paraId="3452D1FF" w14:textId="77777777" w:rsidR="00FC4BEC" w:rsidRPr="008E29F3" w:rsidRDefault="00FC4BEC" w:rsidP="00FC4BEC">
      <w:pPr>
        <w:rPr>
          <w:rFonts w:eastAsia="Calibri"/>
        </w:rPr>
      </w:pPr>
      <w:r w:rsidRPr="00132BCD">
        <w:t xml:space="preserve">Proti tomuto usnesení lze podat dovolání do dvou měsíců ode dne jeho doručení k Nejvyššímu soudu, prostřednictvím Městského soudu v Brně, za splnění podmínek uvedených v § 237 o.s.ř., tedy jestliže napadené rozhodnutí závisí na vyřešení otázky hmotného nebo procesního práva, při jejímž řešení se odvolací soud odchýlil od ustálené rozhodovací praxe dovolacího soudu nebo která do rozhodování dovolacího soudu dosud nebyla vyřešena nebo je dovolacím soudem rozhodována rozdílně anebo má-li být dovolacím soudem vyřešená právní otázka posouzena jinak. </w:t>
      </w:r>
      <w:r w:rsidRPr="00132BCD">
        <w:rPr>
          <w:rFonts w:eastAsia="Calibri"/>
        </w:rPr>
        <w:t>Přípustnost dovolání je oprávněn zkoumat jen</w:t>
      </w:r>
      <w:r>
        <w:rPr>
          <w:rFonts w:eastAsia="Calibri"/>
        </w:rPr>
        <w:t xml:space="preserve"> dovolací soud (§ 239 o.s.ř.). </w:t>
      </w:r>
    </w:p>
    <w:p w14:paraId="684EED10" w14:textId="77777777" w:rsidR="00FC4BEC" w:rsidRDefault="00FC4BEC" w:rsidP="00FC4BEC">
      <w:pPr>
        <w:keepNext/>
        <w:keepLines/>
        <w:spacing w:before="480"/>
        <w:rPr>
          <w:rFonts w:eastAsia="Calibri"/>
        </w:rPr>
      </w:pPr>
      <w:r>
        <w:rPr>
          <w:rFonts w:eastAsia="Calibri"/>
        </w:rPr>
        <w:t>Brno 24. května 2018</w:t>
      </w:r>
    </w:p>
    <w:p w14:paraId="36E97F51" w14:textId="77777777" w:rsidR="00FC4BEC" w:rsidRDefault="00FC4BEC" w:rsidP="00FC4BEC">
      <w:pPr>
        <w:keepNext/>
        <w:keepLines/>
        <w:spacing w:before="480"/>
        <w:rPr>
          <w:rFonts w:eastAsia="Calibri"/>
        </w:rPr>
      </w:pPr>
    </w:p>
    <w:p w14:paraId="36C60D9C" w14:textId="77777777" w:rsidR="00FC4BEC" w:rsidRDefault="00FC4BEC" w:rsidP="00FC4BEC">
      <w:pPr>
        <w:keepNext/>
        <w:keepLines/>
        <w:tabs>
          <w:tab w:val="left" w:pos="5103"/>
        </w:tabs>
        <w:spacing w:after="0"/>
        <w:jc w:val="left"/>
      </w:pPr>
      <w:r>
        <w:t>JUDr. Petr Sladký,v.r.</w:t>
      </w:r>
    </w:p>
    <w:p w14:paraId="6704E293" w14:textId="77777777" w:rsidR="00FC4BEC" w:rsidRDefault="00FC4BEC" w:rsidP="00FC4BEC">
      <w:pPr>
        <w:keepNext/>
        <w:keepLines/>
        <w:tabs>
          <w:tab w:val="left" w:pos="5103"/>
        </w:tabs>
        <w:spacing w:after="0"/>
        <w:jc w:val="left"/>
      </w:pPr>
      <w:r>
        <w:t>předseda senátu</w:t>
      </w:r>
    </w:p>
    <w:p w14:paraId="4175177D" w14:textId="77777777" w:rsidR="00FC4BEC" w:rsidRDefault="00FC4BEC" w:rsidP="00FC4BEC">
      <w:pPr>
        <w:keepNext/>
        <w:keepLines/>
        <w:tabs>
          <w:tab w:val="left" w:pos="5103"/>
        </w:tabs>
        <w:spacing w:after="0"/>
        <w:jc w:val="left"/>
      </w:pPr>
    </w:p>
    <w:p w14:paraId="4412FA71" w14:textId="77777777" w:rsidR="00FC4BEC" w:rsidRDefault="00FC4BEC" w:rsidP="00FC4BEC">
      <w:pPr>
        <w:keepNext/>
        <w:keepLines/>
        <w:tabs>
          <w:tab w:val="left" w:pos="5103"/>
        </w:tabs>
        <w:spacing w:after="0"/>
        <w:jc w:val="left"/>
      </w:pPr>
    </w:p>
    <w:p w14:paraId="271E8756" w14:textId="77777777" w:rsidR="00FC4BEC" w:rsidRDefault="00FC4BEC" w:rsidP="00FC4BEC">
      <w:pPr>
        <w:keepNext/>
        <w:keepLines/>
        <w:tabs>
          <w:tab w:val="left" w:pos="5103"/>
        </w:tabs>
        <w:spacing w:after="0"/>
        <w:jc w:val="left"/>
      </w:pPr>
    </w:p>
    <w:p w14:paraId="593AB041" w14:textId="77777777" w:rsidR="00FC4BEC" w:rsidRDefault="00FC4BEC" w:rsidP="00FC4BEC">
      <w:pPr>
        <w:keepNext/>
        <w:keepLines/>
        <w:tabs>
          <w:tab w:val="left" w:pos="5103"/>
        </w:tabs>
        <w:spacing w:after="0"/>
        <w:jc w:val="left"/>
      </w:pPr>
    </w:p>
    <w:p w14:paraId="3B88886D" w14:textId="77777777" w:rsidR="00FC4BEC" w:rsidRDefault="00FC4BEC" w:rsidP="00FC4BEC">
      <w:pPr>
        <w:keepNext/>
        <w:keepLines/>
        <w:tabs>
          <w:tab w:val="left" w:pos="5103"/>
        </w:tabs>
        <w:spacing w:after="0"/>
        <w:jc w:val="left"/>
      </w:pPr>
    </w:p>
    <w:p w14:paraId="7FE69D21" w14:textId="77777777" w:rsidR="00FC4BEC" w:rsidRDefault="00FC4BEC" w:rsidP="00FC4BEC">
      <w:pPr>
        <w:keepNext/>
        <w:keepLines/>
        <w:tabs>
          <w:tab w:val="left" w:pos="5103"/>
        </w:tabs>
        <w:spacing w:after="0"/>
        <w:jc w:val="left"/>
      </w:pPr>
    </w:p>
    <w:p w14:paraId="4D26EB88" w14:textId="77777777" w:rsidR="00FC4BEC" w:rsidRPr="00A4678C" w:rsidRDefault="00FC4BEC" w:rsidP="00FC4BEC"/>
    <w:p w14:paraId="30E42F42" w14:textId="77777777" w:rsidR="00282005" w:rsidRDefault="00282005"/>
    <w:sectPr w:rsidR="00282005" w:rsidSect="00F70613">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871E" w14:textId="77777777" w:rsidR="00000000" w:rsidRDefault="000A2E6A">
      <w:pPr>
        <w:spacing w:after="0"/>
      </w:pPr>
      <w:r>
        <w:separator/>
      </w:r>
    </w:p>
  </w:endnote>
  <w:endnote w:type="continuationSeparator" w:id="0">
    <w:p w14:paraId="337A1585" w14:textId="77777777" w:rsidR="00000000" w:rsidRDefault="000A2E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E4FE" w14:textId="77777777" w:rsidR="00F70613" w:rsidRPr="002D45AB" w:rsidRDefault="00FC4BEC">
    <w:pPr>
      <w:pStyle w:val="Zpat"/>
    </w:pPr>
    <w:r>
      <w:t>Shodu s prvopisem potvrzuje: Jarmila Vilkusová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A245" w14:textId="77777777" w:rsidR="00000000" w:rsidRDefault="000A2E6A">
      <w:pPr>
        <w:spacing w:after="0"/>
      </w:pPr>
      <w:r>
        <w:separator/>
      </w:r>
    </w:p>
  </w:footnote>
  <w:footnote w:type="continuationSeparator" w:id="0">
    <w:p w14:paraId="55F159BC" w14:textId="77777777" w:rsidR="00000000" w:rsidRDefault="000A2E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93A6" w14:textId="77777777" w:rsidR="00F70613" w:rsidRPr="0019000B" w:rsidRDefault="00FC4BEC" w:rsidP="00F70613">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07FB3FF1" w14:textId="77777777" w:rsidR="00F70613" w:rsidRPr="0019000B" w:rsidRDefault="00FC4BEC" w:rsidP="00F70613">
    <w:pPr>
      <w:pStyle w:val="Zhlav"/>
    </w:pPr>
    <w:r w:rsidRPr="0019000B">
      <w:tab/>
    </w:r>
    <w:r w:rsidRPr="0019000B">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A0591" w14:textId="77777777" w:rsidR="00F70613" w:rsidRDefault="00FC4BEC" w:rsidP="00F70613">
    <w:pPr>
      <w:jc w:val="right"/>
    </w:pPr>
    <w:r>
      <w:rPr>
        <w:rFonts w:eastAsia="Calibri"/>
      </w:rPr>
      <w:t>č. j.  18 Co 170/2017-92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205A6842"/>
    <w:lvl w:ilvl="0" w:tplc="C2222B8C">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482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EC"/>
    <w:rsid w:val="000A2E6A"/>
    <w:rsid w:val="00282005"/>
    <w:rsid w:val="00397888"/>
    <w:rsid w:val="005D36F7"/>
    <w:rsid w:val="00FC4B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5642"/>
  <w15:chartTrackingRefBased/>
  <w15:docId w15:val="{2E5FD960-01CE-4CC8-AAAC-74031E00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BEC"/>
    <w:pPr>
      <w:spacing w:after="120" w:line="240" w:lineRule="auto"/>
      <w:jc w:val="both"/>
    </w:pPr>
    <w:rPr>
      <w:rFonts w:ascii="Garamond" w:eastAsia="Times New Roman" w:hAnsi="Garamond" w:cs="Times New Roman"/>
      <w:sz w:val="24"/>
      <w:szCs w:val="24"/>
      <w:lang w:eastAsia="cs-CZ"/>
    </w:rPr>
  </w:style>
  <w:style w:type="paragraph" w:styleId="Nadpis1">
    <w:name w:val="heading 1"/>
    <w:basedOn w:val="Normln"/>
    <w:next w:val="Normln"/>
    <w:link w:val="Nadpis1Char"/>
    <w:uiPriority w:val="99"/>
    <w:qFormat/>
    <w:rsid w:val="00FC4BEC"/>
    <w:pPr>
      <w:keepNext/>
      <w:autoSpaceDE w:val="0"/>
      <w:autoSpaceDN w:val="0"/>
      <w:spacing w:before="240" w:after="60"/>
      <w:jc w:val="left"/>
      <w:outlineLvl w:val="0"/>
    </w:pPr>
    <w:rPr>
      <w:rFonts w:ascii="Arial" w:eastAsia="Arial Unicode MS" w:hAnsi="Arial" w:cs="Arial"/>
      <w:b/>
      <w:bCs/>
      <w:kern w:val="28"/>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uiPriority w:val="99"/>
    <w:rsid w:val="00FC4BEC"/>
    <w:rPr>
      <w:rFonts w:ascii="Arial" w:eastAsia="Arial Unicode MS" w:hAnsi="Arial" w:cs="Arial"/>
      <w:b/>
      <w:bCs/>
      <w:kern w:val="28"/>
      <w:sz w:val="32"/>
      <w:szCs w:val="32"/>
      <w:lang w:eastAsia="cs-CZ"/>
    </w:rPr>
  </w:style>
  <w:style w:type="paragraph" w:styleId="Zhlav">
    <w:name w:val="header"/>
    <w:basedOn w:val="Normln"/>
    <w:link w:val="ZhlavChar"/>
    <w:uiPriority w:val="99"/>
    <w:unhideWhenUsed/>
    <w:rsid w:val="00FC4BEC"/>
    <w:pPr>
      <w:tabs>
        <w:tab w:val="center" w:pos="4536"/>
        <w:tab w:val="right" w:pos="9072"/>
      </w:tabs>
    </w:pPr>
    <w:rPr>
      <w:sz w:val="20"/>
      <w:szCs w:val="20"/>
    </w:rPr>
  </w:style>
  <w:style w:type="character" w:customStyle="1" w:styleId="ZhlavChar">
    <w:name w:val="Záhlaví Char"/>
    <w:basedOn w:val="Standardnpsmoodstavce"/>
    <w:link w:val="Zhlav"/>
    <w:uiPriority w:val="99"/>
    <w:rsid w:val="00FC4BEC"/>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FC4BEC"/>
    <w:pPr>
      <w:tabs>
        <w:tab w:val="center" w:pos="4536"/>
        <w:tab w:val="right" w:pos="9072"/>
      </w:tabs>
    </w:pPr>
    <w:rPr>
      <w:sz w:val="20"/>
      <w:szCs w:val="20"/>
    </w:rPr>
  </w:style>
  <w:style w:type="character" w:customStyle="1" w:styleId="ZpatChar">
    <w:name w:val="Zápatí Char"/>
    <w:basedOn w:val="Standardnpsmoodstavce"/>
    <w:link w:val="Zpat"/>
    <w:uiPriority w:val="99"/>
    <w:rsid w:val="00FC4BEC"/>
    <w:rPr>
      <w:rFonts w:ascii="Garamond" w:eastAsia="Times New Roman" w:hAnsi="Garamond" w:cs="Times New Roman"/>
      <w:sz w:val="20"/>
      <w:szCs w:val="20"/>
      <w:lang w:eastAsia="cs-CZ"/>
    </w:rPr>
  </w:style>
  <w:style w:type="character" w:styleId="slostrnky">
    <w:name w:val="page number"/>
    <w:uiPriority w:val="99"/>
    <w:semiHidden/>
    <w:unhideWhenUsed/>
    <w:rsid w:val="00FC4BEC"/>
  </w:style>
  <w:style w:type="paragraph" w:customStyle="1" w:styleId="Nadpisvrozhodnut">
    <w:name w:val="Nadpis v rozhodnutí"/>
    <w:basedOn w:val="Normln"/>
    <w:next w:val="Normln"/>
    <w:link w:val="NadpisvrozhodnutChar"/>
    <w:qFormat/>
    <w:rsid w:val="00FC4BEC"/>
    <w:pPr>
      <w:spacing w:before="240"/>
      <w:jc w:val="center"/>
    </w:pPr>
    <w:rPr>
      <w:rFonts w:eastAsia="Calibri"/>
      <w:b/>
      <w:szCs w:val="22"/>
      <w:lang w:eastAsia="en-US"/>
    </w:rPr>
  </w:style>
  <w:style w:type="character" w:customStyle="1" w:styleId="NadpisvrozhodnutChar">
    <w:name w:val="Nadpis v rozhodnutí Char"/>
    <w:link w:val="Nadpisvrozhodnut"/>
    <w:rsid w:val="00FC4BEC"/>
    <w:rPr>
      <w:rFonts w:ascii="Garamond" w:eastAsia="Calibri" w:hAnsi="Garamond" w:cs="Times New Roman"/>
      <w:b/>
      <w:sz w:val="24"/>
    </w:rPr>
  </w:style>
  <w:style w:type="paragraph" w:customStyle="1" w:styleId="Textodvodnn">
    <w:name w:val="Text odůvodnění"/>
    <w:basedOn w:val="Normln"/>
    <w:link w:val="TextodvodnnChar"/>
    <w:qFormat/>
    <w:rsid w:val="00FC4BEC"/>
    <w:pPr>
      <w:numPr>
        <w:numId w:val="1"/>
      </w:numPr>
    </w:pPr>
    <w:rPr>
      <w:szCs w:val="22"/>
      <w:lang w:eastAsia="en-US" w:bidi="en-US"/>
    </w:rPr>
  </w:style>
  <w:style w:type="character" w:customStyle="1" w:styleId="TextodvodnnChar">
    <w:name w:val="Text odůvodnění Char"/>
    <w:link w:val="Textodvodnn"/>
    <w:rsid w:val="00FC4BEC"/>
    <w:rPr>
      <w:rFonts w:ascii="Garamond" w:eastAsia="Times New Roman" w:hAnsi="Garamond"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2025</Words>
  <Characters>11548</Characters>
  <Application>Microsoft Office Word</Application>
  <DocSecurity>0</DocSecurity>
  <Lines>222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Charvátová Martina Mgr.</cp:lastModifiedBy>
  <cp:revision>2</cp:revision>
  <dcterms:created xsi:type="dcterms:W3CDTF">2023-11-24T14:35:00Z</dcterms:created>
  <dcterms:modified xsi:type="dcterms:W3CDTF">2023-12-04T10:45:00Z</dcterms:modified>
</cp:coreProperties>
</file>