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30303"/>
          <w:sz w:val="24"/>
          <w:szCs w:val="24"/>
        </w:rPr>
        <w:t>Právní úprava</w:t>
      </w:r>
      <w:r w:rsidRPr="00872FA1">
        <w:rPr>
          <w:rFonts w:ascii="Times New Roman" w:eastAsia="Times New Roman" w:hAnsi="Times New Roman"/>
          <w:b/>
          <w:bCs/>
          <w:color w:val="030303"/>
          <w:sz w:val="24"/>
          <w:szCs w:val="24"/>
        </w:rPr>
        <w:t>: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§ 174a zákona č. 6/2002 Sb., o soudech, soudcích, přísedících a státní správě soudů a o změně některých dalších zákonů (zákon o soudech a soudcích), ve znění pozdějších předpisů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 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b/>
          <w:bCs/>
          <w:color w:val="030303"/>
          <w:sz w:val="24"/>
          <w:szCs w:val="24"/>
        </w:rPr>
        <w:t>§ 174a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 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            (1) Má-li účastník nebo ten, kdo je stranou řízení, za to, že v tomto řízení dochází k průtahům, může podat návrh soudu, aby určil lhůtu pro provedení procesního úkonu, u kterého podle jeho názoru dochází k průtahům v řízení (dále jen „návrh na určení lhůty“). Návrh na určení lhůty k provedení procesního úkonu není podmíněn podáním stížnosti dle § 164.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             (2) Návrh na určení lhůty se podává u soudu, vůči kterému jsou průtahy v řízení namítány. Z návrhu musí být patrno, kdo jej podává (dále jen "navrhovatel"), o jakou věc a jaký procesní úkon se jedná, v čem jsou podle navrhovatele spatřovány průtahy v řízení a čeho se navrhovatel domáhá; dále musí návrh obsahovat označení soudu, vůči němuž směřuje, musí být podepsán a datován.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 xml:space="preserve">             (3) Soud, vůči němuž jsou namítány průtahy v řízení, postoupí do 5 pracovních dnů ode dne doručení návrh na určení lhůty se svým vyjádřením soudu příslušnému o návrhu rozhodnout; o svém postupu soud navrhovatele informuje. To neplatí, pokud soud provede do 30 dnů ode dne doručení návrhu všechny procesní úkony, u nichž podle navrhovatele dochází k prodlení; v takovém případě se k návrhu dále nepřihlíží, ledaže navrhovatel výslovně </w:t>
      </w:r>
      <w:proofErr w:type="gramStart"/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ve</w:t>
      </w:r>
      <w:proofErr w:type="gramEnd"/>
      <w:r w:rsidRPr="00872FA1">
        <w:rPr>
          <w:rFonts w:ascii="Times New Roman" w:eastAsia="Times New Roman" w:hAnsi="Times New Roman"/>
          <w:color w:val="030303"/>
          <w:sz w:val="24"/>
          <w:szCs w:val="24"/>
        </w:rPr>
        <w:t xml:space="preserve"> lhůtě 3 dnů ode dne, kdy se o provedení úkonů dozví, prohlásí, že na návrhu trvá.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             (4) Soudem příslušným o návrhu rozhodnout je v občanském soudním a trestním řízení soud nejblíže vyššího stupně, směřuje-li návrh proti okresnímu, krajskému nebo vrchnímu soudu, a Nejvyšší správní soud, směřuje-li návrh proti krajskému soudu ve věci správního soudnictví; směřuje-li návrh proti Nejvyššímu soudu nebo Nejvyššímu správnímu soudu, rozhodne o něm jiný senát tohoto soudu, příslušný podle rozvrhu práce (dále jen „příslušný soud“).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             (5) Účastníkem řízení je navrhovatel. Nestanoví-li tento zákon jinak, použijí se pro řízení o návrhu na určení lhůty přiměřeně ustanovení části první a části třetí občanského soudního řádu.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             (6) Příslušný soud rozhoduje o návrhu na určení lhůty usnesením. Návrh odmítne, byl-li podán někým, kdo není k jeho podání oprávněn, anebo jestliže navrhovatel neopravil nebo nedoplnil řádně návrh v určené lhůtě, jinak o něm rozhodne bez jednání do 20 pracovních dnů ode dne, kdy mu byla věc předložena nebo kdy byl návrh řádně opraven nebo doplněn.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lastRenderedPageBreak/>
        <w:t xml:space="preserve">             (7) Pokud </w:t>
      </w:r>
      <w:proofErr w:type="gramStart"/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soud, vůči</w:t>
      </w:r>
      <w:proofErr w:type="gramEnd"/>
      <w:r w:rsidRPr="00872FA1">
        <w:rPr>
          <w:rFonts w:ascii="Times New Roman" w:eastAsia="Times New Roman" w:hAnsi="Times New Roman"/>
          <w:color w:val="030303"/>
          <w:sz w:val="24"/>
          <w:szCs w:val="24"/>
        </w:rPr>
        <w:t xml:space="preserve"> němuž návrh na určení lhůty směřuje, </w:t>
      </w:r>
      <w:proofErr w:type="gramStart"/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již</w:t>
      </w:r>
      <w:proofErr w:type="gramEnd"/>
      <w:r w:rsidRPr="00872FA1">
        <w:rPr>
          <w:rFonts w:ascii="Times New Roman" w:eastAsia="Times New Roman" w:hAnsi="Times New Roman"/>
          <w:color w:val="030303"/>
          <w:sz w:val="24"/>
          <w:szCs w:val="24"/>
        </w:rPr>
        <w:t xml:space="preserve"> procesní úkon, </w:t>
      </w:r>
      <w:bookmarkStart w:id="0" w:name="_GoBack"/>
      <w:bookmarkEnd w:id="0"/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u kterého jsou v návrhu namítány průtahy v řízení, učinil, příslušný soud návrh zamítne; stejně tak postupuje, dospěje-li k závěru, že k průtahům v řízení nedochází.</w:t>
      </w:r>
    </w:p>
    <w:p w:rsidR="00872FA1" w:rsidRPr="00872FA1" w:rsidRDefault="00872FA1" w:rsidP="00872FA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             (8) Dospěje-li příslušný soud k závěru, že návrh na určení lhůty je oprávněný, protože s ohledem na složitost věci, význam předmětu řízení pro navrhovatele, postup účastníků nebo stran řízení a na dosavadní postup soudu dochází v řízení k průtahům, určí lhůtu pro provedení procesního úkonu, u něhož jsou v návrhu namítány průtahy; touto lhůtou je soud, příslušný k provedení procesního úkonu, vázán. Je-li návrh uznán jako oprávněný, hradí náklady řízení o něm stát.</w:t>
      </w:r>
    </w:p>
    <w:p w:rsidR="00872FA1" w:rsidRPr="00872FA1" w:rsidRDefault="00872FA1" w:rsidP="00872FA1">
      <w:pPr>
        <w:shd w:val="clear" w:color="auto" w:fill="FFFFFF"/>
        <w:spacing w:after="100" w:line="384" w:lineRule="atLeast"/>
        <w:jc w:val="both"/>
        <w:rPr>
          <w:rFonts w:ascii="Times New Roman" w:eastAsia="Times New Roman" w:hAnsi="Times New Roman"/>
          <w:color w:val="030303"/>
          <w:sz w:val="24"/>
          <w:szCs w:val="24"/>
        </w:rPr>
      </w:pPr>
      <w:r w:rsidRPr="00872FA1">
        <w:rPr>
          <w:rFonts w:ascii="Times New Roman" w:eastAsia="Times New Roman" w:hAnsi="Times New Roman"/>
          <w:color w:val="030303"/>
          <w:sz w:val="24"/>
          <w:szCs w:val="24"/>
        </w:rPr>
        <w:t>             (9) Usnesení, kterým příslušný soud rozhodl o návrhu na určení lhůty, se doručí navrhovateli a soudu, proti němuž byl návrh podán. Proti rozhodnutí soudu o návrhu na určení lhůty nejsou přípustné opravné prostředky.</w:t>
      </w:r>
    </w:p>
    <w:p w:rsidR="00FE34B6" w:rsidRDefault="00FE34B6"/>
    <w:sectPr w:rsidR="00FE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A1"/>
    <w:rsid w:val="00872FA1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hAnsi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72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hAnsi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72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Hradci Králové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Matušková Iva</dc:creator>
  <cp:lastModifiedBy>Matušková Iva</cp:lastModifiedBy>
  <cp:revision>1</cp:revision>
  <dcterms:created xsi:type="dcterms:W3CDTF">2018-09-07T07:54:00Z</dcterms:created>
  <dcterms:modified xsi:type="dcterms:W3CDTF">2018-09-07T07:55:00Z</dcterms:modified>
</cp:coreProperties>
</file>