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8B9" w:rsidRPr="000778B9" w:rsidRDefault="00775A79" w:rsidP="000778B9">
      <w:pPr>
        <w:shd w:val="clear" w:color="auto" w:fill="FFFFFF"/>
        <w:spacing w:after="0" w:line="384" w:lineRule="atLeast"/>
        <w:jc w:val="both"/>
        <w:rPr>
          <w:rFonts w:ascii="Times New Roman" w:eastAsia="Times New Roman" w:hAnsi="Times New Roman"/>
          <w:color w:val="030303"/>
          <w:sz w:val="24"/>
          <w:szCs w:val="24"/>
        </w:rPr>
      </w:pPr>
      <w:r>
        <w:rPr>
          <w:rFonts w:ascii="Times New Roman" w:eastAsia="Times New Roman" w:hAnsi="Times New Roman"/>
          <w:b/>
          <w:bCs/>
          <w:color w:val="030303"/>
          <w:sz w:val="24"/>
          <w:szCs w:val="24"/>
        </w:rPr>
        <w:t>Právní úprava</w:t>
      </w:r>
      <w:r w:rsidR="000778B9" w:rsidRPr="000778B9">
        <w:rPr>
          <w:rFonts w:ascii="Times New Roman" w:eastAsia="Times New Roman" w:hAnsi="Times New Roman"/>
          <w:b/>
          <w:bCs/>
          <w:color w:val="030303"/>
          <w:sz w:val="24"/>
          <w:szCs w:val="24"/>
        </w:rPr>
        <w:t>:</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164 až  § 174 zákona č. 6/2002 Sb., o soudech, soudcích, přísedících a státní správě soudů a o změně některých dalších zákonů (zákon o soudech a soudcích), ve znění pozdějších předpisů</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xml:space="preserve">          </w:t>
      </w:r>
    </w:p>
    <w:p w:rsidR="000778B9" w:rsidRPr="000778B9" w:rsidRDefault="000778B9" w:rsidP="000778B9">
      <w:pPr>
        <w:shd w:val="clear" w:color="auto" w:fill="FFFFFF"/>
        <w:spacing w:after="0" w:line="384" w:lineRule="atLeast"/>
        <w:jc w:val="center"/>
        <w:rPr>
          <w:rFonts w:ascii="Times New Roman" w:eastAsia="Times New Roman" w:hAnsi="Times New Roman"/>
          <w:color w:val="030303"/>
          <w:sz w:val="24"/>
          <w:szCs w:val="24"/>
        </w:rPr>
      </w:pPr>
      <w:r w:rsidRPr="000778B9">
        <w:rPr>
          <w:rFonts w:ascii="Times New Roman" w:eastAsia="Times New Roman" w:hAnsi="Times New Roman"/>
          <w:b/>
          <w:bCs/>
          <w:color w:val="030303"/>
          <w:sz w:val="24"/>
          <w:szCs w:val="24"/>
        </w:rPr>
        <w:t>Podání stížnosti</w:t>
      </w:r>
    </w:p>
    <w:p w:rsidR="000778B9" w:rsidRPr="000778B9" w:rsidRDefault="000778B9" w:rsidP="000778B9">
      <w:pPr>
        <w:shd w:val="clear" w:color="auto" w:fill="FFFFFF"/>
        <w:spacing w:after="0" w:line="384" w:lineRule="atLeast"/>
        <w:jc w:val="center"/>
        <w:rPr>
          <w:rFonts w:ascii="Times New Roman" w:eastAsia="Times New Roman" w:hAnsi="Times New Roman"/>
          <w:color w:val="030303"/>
          <w:sz w:val="24"/>
          <w:szCs w:val="24"/>
        </w:rPr>
      </w:pPr>
      <w:r w:rsidRPr="000778B9">
        <w:rPr>
          <w:rFonts w:ascii="Times New Roman" w:eastAsia="Times New Roman" w:hAnsi="Times New Roman"/>
          <w:b/>
          <w:bCs/>
          <w:color w:val="030303"/>
          <w:sz w:val="24"/>
          <w:szCs w:val="24"/>
        </w:rPr>
        <w:t> </w:t>
      </w:r>
    </w:p>
    <w:p w:rsidR="000778B9" w:rsidRPr="000778B9" w:rsidRDefault="000778B9" w:rsidP="000778B9">
      <w:pPr>
        <w:shd w:val="clear" w:color="auto" w:fill="FFFFFF"/>
        <w:spacing w:after="0" w:line="384" w:lineRule="atLeast"/>
        <w:jc w:val="center"/>
        <w:rPr>
          <w:rFonts w:ascii="Times New Roman" w:eastAsia="Times New Roman" w:hAnsi="Times New Roman"/>
          <w:color w:val="030303"/>
          <w:sz w:val="24"/>
          <w:szCs w:val="24"/>
        </w:rPr>
      </w:pPr>
      <w:r w:rsidRPr="000778B9">
        <w:rPr>
          <w:rFonts w:ascii="Times New Roman" w:eastAsia="Times New Roman" w:hAnsi="Times New Roman"/>
          <w:b/>
          <w:bCs/>
          <w:color w:val="030303"/>
          <w:sz w:val="24"/>
          <w:szCs w:val="24"/>
        </w:rPr>
        <w:t>§ 164</w:t>
      </w:r>
    </w:p>
    <w:p w:rsidR="000778B9" w:rsidRPr="000778B9" w:rsidRDefault="000778B9" w:rsidP="000778B9">
      <w:pPr>
        <w:shd w:val="clear" w:color="auto" w:fill="FFFFFF"/>
        <w:spacing w:after="0" w:line="384" w:lineRule="atLeast"/>
        <w:jc w:val="center"/>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xml:space="preserve">            (1) Fyzické a právnické osoby (dále jen "stěžovatel") jsou oprávněny obracet se na orgány státní správy soudů se stížnostmi, jen jde-li o průtahy v řízení nebo o nevhodné chování soudních osob anebo narušování důstojnosti řízení před soudem. Zda jde o stížnost, </w:t>
      </w:r>
      <w:proofErr w:type="gramStart"/>
      <w:r w:rsidRPr="000778B9">
        <w:rPr>
          <w:rFonts w:ascii="Times New Roman" w:eastAsia="Times New Roman" w:hAnsi="Times New Roman"/>
          <w:color w:val="030303"/>
          <w:sz w:val="24"/>
          <w:szCs w:val="24"/>
        </w:rPr>
        <w:t>se posuzuje</w:t>
      </w:r>
      <w:proofErr w:type="gramEnd"/>
      <w:r w:rsidRPr="000778B9">
        <w:rPr>
          <w:rFonts w:ascii="Times New Roman" w:eastAsia="Times New Roman" w:hAnsi="Times New Roman"/>
          <w:color w:val="030303"/>
          <w:sz w:val="24"/>
          <w:szCs w:val="24"/>
        </w:rPr>
        <w:t xml:space="preserve"> podle obsahu podání bez ohledu na to, jak bylo označeno.</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(2) Stížností se nelze domáhat přezkoumání postupu soudu ve výkonu jeho nezávislé rozhodovací činnosti.</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(3) Anonymní podání se nevyřizují.</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w:t>
      </w:r>
    </w:p>
    <w:p w:rsidR="000778B9" w:rsidRPr="000778B9" w:rsidRDefault="000778B9" w:rsidP="000778B9">
      <w:pPr>
        <w:shd w:val="clear" w:color="auto" w:fill="FFFFFF"/>
        <w:spacing w:after="0" w:line="384" w:lineRule="atLeast"/>
        <w:jc w:val="center"/>
        <w:rPr>
          <w:rFonts w:ascii="Times New Roman" w:eastAsia="Times New Roman" w:hAnsi="Times New Roman"/>
          <w:color w:val="030303"/>
          <w:sz w:val="24"/>
          <w:szCs w:val="24"/>
        </w:rPr>
      </w:pPr>
      <w:r w:rsidRPr="000778B9">
        <w:rPr>
          <w:rFonts w:ascii="Times New Roman" w:eastAsia="Times New Roman" w:hAnsi="Times New Roman"/>
          <w:b/>
          <w:bCs/>
          <w:color w:val="030303"/>
          <w:sz w:val="24"/>
          <w:szCs w:val="24"/>
        </w:rPr>
        <w:t>§ 165</w:t>
      </w:r>
    </w:p>
    <w:p w:rsidR="000778B9" w:rsidRPr="000778B9" w:rsidRDefault="000778B9" w:rsidP="000778B9">
      <w:pPr>
        <w:shd w:val="clear" w:color="auto" w:fill="FFFFFF"/>
        <w:spacing w:after="0" w:line="384" w:lineRule="atLeast"/>
        <w:jc w:val="center"/>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Podání stížnosti nesmí být stěžovateli na újmu; to neplatí, jestliže se obsahem svého podání dopustí trestného činu nebo přestupku.</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w:t>
      </w:r>
    </w:p>
    <w:p w:rsidR="000778B9" w:rsidRPr="000778B9" w:rsidRDefault="000778B9" w:rsidP="000778B9">
      <w:pPr>
        <w:shd w:val="clear" w:color="auto" w:fill="FFFFFF"/>
        <w:spacing w:after="0" w:line="384" w:lineRule="atLeast"/>
        <w:jc w:val="center"/>
        <w:rPr>
          <w:rFonts w:ascii="Times New Roman" w:eastAsia="Times New Roman" w:hAnsi="Times New Roman"/>
          <w:color w:val="030303"/>
          <w:sz w:val="24"/>
          <w:szCs w:val="24"/>
        </w:rPr>
      </w:pPr>
      <w:r w:rsidRPr="000778B9">
        <w:rPr>
          <w:rFonts w:ascii="Times New Roman" w:eastAsia="Times New Roman" w:hAnsi="Times New Roman"/>
          <w:b/>
          <w:bCs/>
          <w:color w:val="030303"/>
          <w:sz w:val="24"/>
          <w:szCs w:val="24"/>
        </w:rPr>
        <w:t>§ 166</w:t>
      </w:r>
    </w:p>
    <w:p w:rsidR="000778B9" w:rsidRPr="000778B9" w:rsidRDefault="000778B9" w:rsidP="000778B9">
      <w:pPr>
        <w:shd w:val="clear" w:color="auto" w:fill="FFFFFF"/>
        <w:spacing w:after="0" w:line="384" w:lineRule="atLeast"/>
        <w:jc w:val="center"/>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(1) Stížnost lze podat písemně nebo ústně; je-li podána ústně stížnost, kterou nelze ihned vyřídit, sepíše o ní orgán státní správy soudu písemný záznam.</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(2) Stížnost se podává u toho orgánu státní správy soudu, který je příslušný k jejímu vyřízení. Je-li stížnost podána u orgánu státní správy soudu, kterému její vyřízení nepřísluší, postoupí ji neprodleně orgánu příslušnému.</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w:t>
      </w:r>
    </w:p>
    <w:p w:rsidR="000778B9" w:rsidRPr="000778B9" w:rsidRDefault="000778B9" w:rsidP="000778B9">
      <w:pPr>
        <w:shd w:val="clear" w:color="auto" w:fill="FFFFFF"/>
        <w:spacing w:after="0" w:line="384" w:lineRule="atLeast"/>
        <w:jc w:val="center"/>
        <w:rPr>
          <w:rFonts w:ascii="Times New Roman" w:eastAsia="Times New Roman" w:hAnsi="Times New Roman"/>
          <w:color w:val="030303"/>
          <w:sz w:val="24"/>
          <w:szCs w:val="24"/>
        </w:rPr>
      </w:pPr>
      <w:r w:rsidRPr="000778B9">
        <w:rPr>
          <w:rFonts w:ascii="Times New Roman" w:eastAsia="Times New Roman" w:hAnsi="Times New Roman"/>
          <w:b/>
          <w:bCs/>
          <w:color w:val="030303"/>
          <w:sz w:val="24"/>
          <w:szCs w:val="24"/>
        </w:rPr>
        <w:t>Postup při vyřizování stížnosti</w:t>
      </w:r>
    </w:p>
    <w:p w:rsidR="000778B9" w:rsidRPr="000778B9" w:rsidRDefault="000778B9" w:rsidP="000778B9">
      <w:pPr>
        <w:shd w:val="clear" w:color="auto" w:fill="FFFFFF"/>
        <w:spacing w:after="0" w:line="384" w:lineRule="atLeast"/>
        <w:jc w:val="center"/>
        <w:rPr>
          <w:rFonts w:ascii="Times New Roman" w:eastAsia="Times New Roman" w:hAnsi="Times New Roman"/>
          <w:color w:val="030303"/>
          <w:sz w:val="24"/>
          <w:szCs w:val="24"/>
        </w:rPr>
      </w:pPr>
      <w:r w:rsidRPr="000778B9">
        <w:rPr>
          <w:rFonts w:ascii="Times New Roman" w:eastAsia="Times New Roman" w:hAnsi="Times New Roman"/>
          <w:b/>
          <w:bCs/>
          <w:color w:val="030303"/>
          <w:sz w:val="24"/>
          <w:szCs w:val="24"/>
        </w:rPr>
        <w:t> </w:t>
      </w:r>
    </w:p>
    <w:p w:rsidR="000778B9" w:rsidRPr="000778B9" w:rsidRDefault="000778B9" w:rsidP="000778B9">
      <w:pPr>
        <w:shd w:val="clear" w:color="auto" w:fill="FFFFFF"/>
        <w:spacing w:after="0" w:line="384" w:lineRule="atLeast"/>
        <w:jc w:val="center"/>
        <w:rPr>
          <w:rFonts w:ascii="Times New Roman" w:eastAsia="Times New Roman" w:hAnsi="Times New Roman"/>
          <w:color w:val="030303"/>
          <w:sz w:val="24"/>
          <w:szCs w:val="24"/>
        </w:rPr>
      </w:pPr>
      <w:r w:rsidRPr="000778B9">
        <w:rPr>
          <w:rFonts w:ascii="Times New Roman" w:eastAsia="Times New Roman" w:hAnsi="Times New Roman"/>
          <w:b/>
          <w:bCs/>
          <w:color w:val="030303"/>
          <w:sz w:val="24"/>
          <w:szCs w:val="24"/>
        </w:rPr>
        <w:t>§ 167</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Ministerstvo vyřizuje</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lastRenderedPageBreak/>
        <w:t>a) stížnosti na postup vrchního a krajského soudu, obsa</w:t>
      </w:r>
      <w:bookmarkStart w:id="0" w:name="_GoBack"/>
      <w:bookmarkEnd w:id="0"/>
      <w:r w:rsidRPr="000778B9">
        <w:rPr>
          <w:rFonts w:ascii="Times New Roman" w:eastAsia="Times New Roman" w:hAnsi="Times New Roman"/>
          <w:color w:val="030303"/>
          <w:sz w:val="24"/>
          <w:szCs w:val="24"/>
        </w:rPr>
        <w:t>huje-li podání stížnost na průtahy v řízení nebo na nevhodné chování anebo narušování důstojnosti řízení předsedou soudu,</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b) podání, jejichž obsahem je nesouhlas se způsobem vyřízení stížnosti v téže věci, vyřizované předsedou Nejvyššího soudu, předsedou vrchního soudu nebo předsedou krajského soudu,</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c) stížnosti, k jejichž vyřízení je podle § 168 až 171 příslušný jiný orgán státní správy soudů, jestliže si jejich vyřízení vyhradilo.</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w:t>
      </w:r>
    </w:p>
    <w:p w:rsidR="000778B9" w:rsidRPr="000778B9" w:rsidRDefault="000778B9" w:rsidP="000778B9">
      <w:pPr>
        <w:shd w:val="clear" w:color="auto" w:fill="FFFFFF"/>
        <w:spacing w:after="0" w:line="384" w:lineRule="atLeast"/>
        <w:jc w:val="center"/>
        <w:rPr>
          <w:rFonts w:ascii="Times New Roman" w:eastAsia="Times New Roman" w:hAnsi="Times New Roman"/>
          <w:color w:val="030303"/>
          <w:sz w:val="24"/>
          <w:szCs w:val="24"/>
        </w:rPr>
      </w:pPr>
      <w:r w:rsidRPr="000778B9">
        <w:rPr>
          <w:rFonts w:ascii="Times New Roman" w:eastAsia="Times New Roman" w:hAnsi="Times New Roman"/>
          <w:b/>
          <w:bCs/>
          <w:color w:val="030303"/>
          <w:sz w:val="24"/>
          <w:szCs w:val="24"/>
        </w:rPr>
        <w:t>§ 168</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Předseda Nejvyššího soudu vyřizuje stížnosti, jejichž obsahem je stížnost na průtahy v řízení, na nevhodné chování nebo narušování důstojnosti řízení místopředsedy soudu, předsedy senátu, soudci, asistenty soudců a dalšími zaměstnanci působícími u Nejvyššího soudu, nebo předsedou vrchního soudu.</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w:t>
      </w:r>
    </w:p>
    <w:p w:rsidR="000778B9" w:rsidRPr="000778B9" w:rsidRDefault="000778B9" w:rsidP="000778B9">
      <w:pPr>
        <w:shd w:val="clear" w:color="auto" w:fill="FFFFFF"/>
        <w:spacing w:after="0" w:line="384" w:lineRule="atLeast"/>
        <w:jc w:val="center"/>
        <w:rPr>
          <w:rFonts w:ascii="Times New Roman" w:eastAsia="Times New Roman" w:hAnsi="Times New Roman"/>
          <w:color w:val="030303"/>
          <w:sz w:val="24"/>
          <w:szCs w:val="24"/>
        </w:rPr>
      </w:pPr>
      <w:r w:rsidRPr="000778B9">
        <w:rPr>
          <w:rFonts w:ascii="Times New Roman" w:eastAsia="Times New Roman" w:hAnsi="Times New Roman"/>
          <w:b/>
          <w:bCs/>
          <w:color w:val="030303"/>
          <w:sz w:val="24"/>
          <w:szCs w:val="24"/>
        </w:rPr>
        <w:t>§ 169</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Předseda vrchního soudu vyřizuje stížnosti, jejichž obsahem je stížnost na průtahy v řízení, na nevhodné chování nebo narušování důstojnosti řízení místopředsedou soudu, předsedy senátu, soudci, vyššími soudními úředníky, soudními tajemníky a jinými zaměstnanci působícími u vrchního soudu, nebo předsedou krajského soudu v obvodu tohoto soudu.</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w:t>
      </w:r>
    </w:p>
    <w:p w:rsidR="000778B9" w:rsidRPr="000778B9" w:rsidRDefault="000778B9" w:rsidP="000778B9">
      <w:pPr>
        <w:shd w:val="clear" w:color="auto" w:fill="FFFFFF"/>
        <w:spacing w:after="0" w:line="384" w:lineRule="atLeast"/>
        <w:jc w:val="center"/>
        <w:rPr>
          <w:rFonts w:ascii="Times New Roman" w:eastAsia="Times New Roman" w:hAnsi="Times New Roman"/>
          <w:color w:val="030303"/>
          <w:sz w:val="24"/>
          <w:szCs w:val="24"/>
        </w:rPr>
      </w:pPr>
      <w:r w:rsidRPr="000778B9">
        <w:rPr>
          <w:rFonts w:ascii="Times New Roman" w:eastAsia="Times New Roman" w:hAnsi="Times New Roman"/>
          <w:b/>
          <w:bCs/>
          <w:color w:val="030303"/>
          <w:sz w:val="24"/>
          <w:szCs w:val="24"/>
        </w:rPr>
        <w:t>§ 170</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Předseda krajského soudu vyřizuje</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a) stížnosti, jejichž obsahem je stížnost na průtahy v řízení nebo na nevhodné chování anebo narušování důstojnosti řízení místopředsedou soudu, předsedy senátu, soudci, přísedícími, vyššími soudními úředníky, soudními tajemníky a jinými zaměstnanci působícími u krajského soudu,</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b) podání, jejichž obsahem je nesouhlas se způsobem vyřízení stížnosti v téže věci, vyřizované předsedou okresního soudu, nejde-li o stížnosti na průtahy v řízení,</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c) stížnosti na postup okresního soudu, obsahuje-li podání stížnost na průtahy v řízení nebo na nevhodné chování nebo narušování důstojnosti řízení jeho předsedou,</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d) stížnosti, k jejichž vyřízení by byl podle § 171 příslušný předseda okresního soudu, je-li obsahem téže stížnosti i stížnost, k jejímuž vyřízení je příslušný podle písmena a) nebo c).</w:t>
      </w:r>
    </w:p>
    <w:p w:rsidR="000778B9" w:rsidRPr="000778B9" w:rsidRDefault="000778B9" w:rsidP="000778B9">
      <w:pPr>
        <w:shd w:val="clear" w:color="auto" w:fill="FFFFFF"/>
        <w:spacing w:after="0" w:line="384" w:lineRule="atLeast"/>
        <w:jc w:val="center"/>
        <w:rPr>
          <w:rFonts w:ascii="Times New Roman" w:eastAsia="Times New Roman" w:hAnsi="Times New Roman"/>
          <w:color w:val="030303"/>
          <w:sz w:val="24"/>
          <w:szCs w:val="24"/>
        </w:rPr>
      </w:pPr>
      <w:r w:rsidRPr="000778B9">
        <w:rPr>
          <w:rFonts w:ascii="Times New Roman" w:eastAsia="Times New Roman" w:hAnsi="Times New Roman"/>
          <w:b/>
          <w:bCs/>
          <w:color w:val="030303"/>
          <w:sz w:val="24"/>
          <w:szCs w:val="24"/>
        </w:rPr>
        <w:lastRenderedPageBreak/>
        <w:t>§ 171</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Předseda okresního soudu vyřizuje stížnosti, jejichž obsahem je stížnost na průtahy, na nevhodné chování nebo narušování důstojnosti řízení místopředsedou soudu, předsedy senátu, soudci, přísedícími, vyššími soudními úředníky, soudními tajemníky, soudními vykonavateli a jinými zaměstnanci působícími u okresního soudu.</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w:t>
      </w:r>
    </w:p>
    <w:p w:rsidR="000778B9" w:rsidRPr="000778B9" w:rsidRDefault="000778B9" w:rsidP="000778B9">
      <w:pPr>
        <w:shd w:val="clear" w:color="auto" w:fill="FFFFFF"/>
        <w:spacing w:after="0" w:line="384" w:lineRule="atLeast"/>
        <w:jc w:val="center"/>
        <w:rPr>
          <w:rFonts w:ascii="Times New Roman" w:eastAsia="Times New Roman" w:hAnsi="Times New Roman"/>
          <w:color w:val="030303"/>
          <w:sz w:val="24"/>
          <w:szCs w:val="24"/>
        </w:rPr>
      </w:pPr>
      <w:r w:rsidRPr="000778B9">
        <w:rPr>
          <w:rFonts w:ascii="Times New Roman" w:eastAsia="Times New Roman" w:hAnsi="Times New Roman"/>
          <w:b/>
          <w:bCs/>
          <w:color w:val="030303"/>
          <w:sz w:val="24"/>
          <w:szCs w:val="24"/>
        </w:rPr>
        <w:t>Vyřízení stížnosti</w:t>
      </w:r>
    </w:p>
    <w:p w:rsidR="000778B9" w:rsidRPr="000778B9" w:rsidRDefault="000778B9" w:rsidP="000778B9">
      <w:pPr>
        <w:shd w:val="clear" w:color="auto" w:fill="FFFFFF"/>
        <w:spacing w:after="0" w:line="384" w:lineRule="atLeast"/>
        <w:jc w:val="center"/>
        <w:rPr>
          <w:rFonts w:ascii="Times New Roman" w:eastAsia="Times New Roman" w:hAnsi="Times New Roman"/>
          <w:color w:val="030303"/>
          <w:sz w:val="24"/>
          <w:szCs w:val="24"/>
        </w:rPr>
      </w:pPr>
      <w:r w:rsidRPr="000778B9">
        <w:rPr>
          <w:rFonts w:ascii="Times New Roman" w:eastAsia="Times New Roman" w:hAnsi="Times New Roman"/>
          <w:b/>
          <w:bCs/>
          <w:color w:val="030303"/>
          <w:sz w:val="24"/>
          <w:szCs w:val="24"/>
        </w:rPr>
        <w:t> </w:t>
      </w:r>
    </w:p>
    <w:p w:rsidR="000778B9" w:rsidRPr="000778B9" w:rsidRDefault="000778B9" w:rsidP="000778B9">
      <w:pPr>
        <w:shd w:val="clear" w:color="auto" w:fill="FFFFFF"/>
        <w:spacing w:after="0" w:line="384" w:lineRule="atLeast"/>
        <w:jc w:val="center"/>
        <w:rPr>
          <w:rFonts w:ascii="Times New Roman" w:eastAsia="Times New Roman" w:hAnsi="Times New Roman"/>
          <w:color w:val="030303"/>
          <w:sz w:val="24"/>
          <w:szCs w:val="24"/>
        </w:rPr>
      </w:pPr>
      <w:r w:rsidRPr="000778B9">
        <w:rPr>
          <w:rFonts w:ascii="Times New Roman" w:eastAsia="Times New Roman" w:hAnsi="Times New Roman"/>
          <w:b/>
          <w:bCs/>
          <w:color w:val="030303"/>
          <w:sz w:val="24"/>
          <w:szCs w:val="24"/>
        </w:rPr>
        <w:t>§ 172</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Orgán státní správy soudu je povinen prošetřit skutečnosti ve stížnosti uvedené. Považuje-li to za vhodné, vyslechne stěžovatele, osoby, proti nimž stížnost směřuje, popřípadě další osoby, které mohou přispět k objasnění věci.</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w:t>
      </w:r>
    </w:p>
    <w:p w:rsidR="000778B9" w:rsidRPr="000778B9" w:rsidRDefault="000778B9" w:rsidP="000778B9">
      <w:pPr>
        <w:shd w:val="clear" w:color="auto" w:fill="FFFFFF"/>
        <w:spacing w:after="0" w:line="384" w:lineRule="atLeast"/>
        <w:jc w:val="center"/>
        <w:rPr>
          <w:rFonts w:ascii="Times New Roman" w:eastAsia="Times New Roman" w:hAnsi="Times New Roman"/>
          <w:color w:val="030303"/>
          <w:sz w:val="24"/>
          <w:szCs w:val="24"/>
        </w:rPr>
      </w:pPr>
      <w:r w:rsidRPr="000778B9">
        <w:rPr>
          <w:rFonts w:ascii="Times New Roman" w:eastAsia="Times New Roman" w:hAnsi="Times New Roman"/>
          <w:b/>
          <w:bCs/>
          <w:color w:val="030303"/>
          <w:sz w:val="24"/>
          <w:szCs w:val="24"/>
        </w:rPr>
        <w:t>§ 173</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(1) Stížnost musí být vyřízena do 2 měsíců, a jedná-li se o stížnost na průtahy v řízení, do 1 měsíce ode dne jejího doručení orgánu státní správy soudů příslušnému k jejímu vyřízení. O vyřízení stížnosti musí být stěžovatel v této lhůtě vyrozuměn.</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(2) Lhůtu stanovenou v odstavci 1 lze překročit jen tehdy, nelze-li v jejím průběhu zajistit podklady potřebné pro vyřízení stížnosti. O tom, že stížnost nelze vyřídit ve stanovené lhůtě, musí být stěžovatel písemně vyrozuměn.</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(3) Byla-li stížnost shledána důvodnou nebo částečně důvodnou, musí být stěžovatel vyrozuměn o tom, jaká opatření byla přijata k odstranění zjištěných závad. Byla-li porušena povinnost soudcem, platí ustanovení § 128 odst. 1.</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(4) Vyrozumění se zasílají stěžovateli na adresu uvedenou ve stížnosti, popřípadě na jinou adresu, která je příslušnému orgánu státní správy soudů známa.</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w:t>
      </w:r>
    </w:p>
    <w:p w:rsidR="000778B9" w:rsidRPr="000778B9" w:rsidRDefault="000778B9" w:rsidP="000778B9">
      <w:pPr>
        <w:shd w:val="clear" w:color="auto" w:fill="FFFFFF"/>
        <w:spacing w:after="0" w:line="384" w:lineRule="atLeast"/>
        <w:jc w:val="center"/>
        <w:rPr>
          <w:rFonts w:ascii="Times New Roman" w:eastAsia="Times New Roman" w:hAnsi="Times New Roman"/>
          <w:color w:val="030303"/>
          <w:sz w:val="24"/>
          <w:szCs w:val="24"/>
        </w:rPr>
      </w:pPr>
      <w:r w:rsidRPr="000778B9">
        <w:rPr>
          <w:rFonts w:ascii="Times New Roman" w:eastAsia="Times New Roman" w:hAnsi="Times New Roman"/>
          <w:b/>
          <w:bCs/>
          <w:color w:val="030303"/>
          <w:sz w:val="24"/>
          <w:szCs w:val="24"/>
        </w:rPr>
        <w:t>§ 174</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(1) Má-li stěžovatel zato, že stížnost na nevhodné chování soudních osob nebo narušování důstojnosti řízení, kterou podal u příslušného orgánu státní správy soudu, jím nebyla řádně vyřízena, může požádat</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a) ministerstvo, aby přešetřilo způsob vyřízení stížnosti vyřizované předsedou Nejvyššího soudu, předsedou vrchního soudu nebo předsedou krajského soudu,</w:t>
      </w:r>
    </w:p>
    <w:p w:rsidR="000778B9" w:rsidRPr="000778B9" w:rsidRDefault="000778B9" w:rsidP="000778B9">
      <w:pPr>
        <w:shd w:val="clear" w:color="auto" w:fill="FFFFFF"/>
        <w:spacing w:after="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lastRenderedPageBreak/>
        <w:t>b) předsedu krajského soudu, aby přešetřil způsob vyřízení stížnosti vyřizované předsedou okresního soudu.</w:t>
      </w:r>
    </w:p>
    <w:p w:rsidR="000778B9" w:rsidRPr="000778B9" w:rsidRDefault="000778B9" w:rsidP="000778B9">
      <w:pPr>
        <w:shd w:val="clear" w:color="auto" w:fill="FFFFFF"/>
        <w:spacing w:after="100" w:line="384" w:lineRule="atLeast"/>
        <w:jc w:val="both"/>
        <w:rPr>
          <w:rFonts w:ascii="Times New Roman" w:eastAsia="Times New Roman" w:hAnsi="Times New Roman"/>
          <w:color w:val="030303"/>
          <w:sz w:val="24"/>
          <w:szCs w:val="24"/>
        </w:rPr>
      </w:pPr>
      <w:r w:rsidRPr="000778B9">
        <w:rPr>
          <w:rFonts w:ascii="Times New Roman" w:eastAsia="Times New Roman" w:hAnsi="Times New Roman"/>
          <w:color w:val="030303"/>
          <w:sz w:val="24"/>
          <w:szCs w:val="24"/>
        </w:rPr>
        <w:t>             (2) Je-li v téže věci stěžovatelem podána další stížnost, aniž by obsahovala nové skutečnosti, není třeba ji prošetřovat.</w:t>
      </w:r>
    </w:p>
    <w:p w:rsidR="00FE34B6" w:rsidRDefault="00FE34B6"/>
    <w:sectPr w:rsidR="00FE34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8B9"/>
    <w:rsid w:val="000778B9"/>
    <w:rsid w:val="00775A79"/>
    <w:rsid w:val="00FE34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Calibri" w:hAnsi="Garamond" w:cs="Times New Roman"/>
        <w:sz w:val="24"/>
        <w:szCs w:val="24"/>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Calibri" w:hAnsi="Calibri"/>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Calibri" w:hAnsi="Garamond" w:cs="Times New Roman"/>
        <w:sz w:val="24"/>
        <w:szCs w:val="24"/>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Calibri" w:hAnsi="Calibri"/>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206461">
      <w:bodyDiv w:val="1"/>
      <w:marLeft w:val="0"/>
      <w:marRight w:val="0"/>
      <w:marTop w:val="0"/>
      <w:marBottom w:val="0"/>
      <w:divBdr>
        <w:top w:val="none" w:sz="0" w:space="0" w:color="auto"/>
        <w:left w:val="none" w:sz="0" w:space="0" w:color="auto"/>
        <w:bottom w:val="none" w:sz="0" w:space="0" w:color="auto"/>
        <w:right w:val="none" w:sz="0" w:space="0" w:color="auto"/>
      </w:divBdr>
      <w:divsChild>
        <w:div w:id="1254128412">
          <w:marLeft w:val="0"/>
          <w:marRight w:val="0"/>
          <w:marTop w:val="100"/>
          <w:marBottom w:val="100"/>
          <w:divBdr>
            <w:top w:val="none" w:sz="0" w:space="0" w:color="auto"/>
            <w:left w:val="none" w:sz="0" w:space="0" w:color="auto"/>
            <w:bottom w:val="none" w:sz="0" w:space="0" w:color="auto"/>
            <w:right w:val="none" w:sz="0" w:space="0" w:color="auto"/>
          </w:divBdr>
          <w:divsChild>
            <w:div w:id="231550284">
              <w:marLeft w:val="0"/>
              <w:marRight w:val="0"/>
              <w:marTop w:val="0"/>
              <w:marBottom w:val="0"/>
              <w:divBdr>
                <w:top w:val="none" w:sz="0" w:space="0" w:color="auto"/>
                <w:left w:val="none" w:sz="0" w:space="0" w:color="auto"/>
                <w:bottom w:val="none" w:sz="0" w:space="0" w:color="auto"/>
                <w:right w:val="none" w:sz="0" w:space="0" w:color="auto"/>
              </w:divBdr>
              <w:divsChild>
                <w:div w:id="509174231">
                  <w:marLeft w:val="0"/>
                  <w:marRight w:val="0"/>
                  <w:marTop w:val="0"/>
                  <w:marBottom w:val="0"/>
                  <w:divBdr>
                    <w:top w:val="none" w:sz="0" w:space="0" w:color="auto"/>
                    <w:left w:val="none" w:sz="0" w:space="0" w:color="auto"/>
                    <w:bottom w:val="none" w:sz="0" w:space="0" w:color="auto"/>
                    <w:right w:val="none" w:sz="0" w:space="0" w:color="auto"/>
                  </w:divBdr>
                  <w:divsChild>
                    <w:div w:id="1334188291">
                      <w:marLeft w:val="0"/>
                      <w:marRight w:val="0"/>
                      <w:marTop w:val="0"/>
                      <w:marBottom w:val="0"/>
                      <w:divBdr>
                        <w:top w:val="none" w:sz="0" w:space="0" w:color="auto"/>
                        <w:left w:val="none" w:sz="0" w:space="0" w:color="auto"/>
                        <w:bottom w:val="none" w:sz="0" w:space="0" w:color="auto"/>
                        <w:right w:val="none" w:sz="0" w:space="0" w:color="auto"/>
                      </w:divBdr>
                      <w:divsChild>
                        <w:div w:id="1793669550">
                          <w:marLeft w:val="0"/>
                          <w:marRight w:val="0"/>
                          <w:marTop w:val="0"/>
                          <w:marBottom w:val="0"/>
                          <w:divBdr>
                            <w:top w:val="none" w:sz="0" w:space="0" w:color="auto"/>
                            <w:left w:val="none" w:sz="0" w:space="0" w:color="auto"/>
                            <w:bottom w:val="none" w:sz="0" w:space="0" w:color="auto"/>
                            <w:right w:val="none" w:sz="0" w:space="0" w:color="auto"/>
                          </w:divBdr>
                          <w:divsChild>
                            <w:div w:id="408046039">
                              <w:marLeft w:val="0"/>
                              <w:marRight w:val="0"/>
                              <w:marTop w:val="0"/>
                              <w:marBottom w:val="0"/>
                              <w:divBdr>
                                <w:top w:val="none" w:sz="0" w:space="0" w:color="auto"/>
                                <w:left w:val="none" w:sz="0" w:space="0" w:color="auto"/>
                                <w:bottom w:val="none" w:sz="0" w:space="0" w:color="auto"/>
                                <w:right w:val="none" w:sz="0" w:space="0" w:color="auto"/>
                              </w:divBdr>
                              <w:divsChild>
                                <w:div w:id="8321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808</Words>
  <Characters>4768</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Krajský soud v Hradci Králové</Company>
  <LinksUpToDate>false</LinksUpToDate>
  <CharactersWithSpaces>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Matušková Iva</dc:creator>
  <cp:lastModifiedBy>Matušková Iva</cp:lastModifiedBy>
  <cp:revision>1</cp:revision>
  <dcterms:created xsi:type="dcterms:W3CDTF">2018-09-07T07:50:00Z</dcterms:created>
  <dcterms:modified xsi:type="dcterms:W3CDTF">2018-09-07T07:52:00Z</dcterms:modified>
</cp:coreProperties>
</file>