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BC" w:rsidRDefault="00941EBC" w:rsidP="00941EBC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>
        <w:rPr>
          <w:b/>
          <w:smallCaps/>
          <w:color w:val="000000"/>
          <w:sz w:val="32"/>
        </w:rPr>
        <w:t>Okresní soud v Českém Krumlově</w:t>
      </w:r>
    </w:p>
    <w:p w:rsidR="00941EBC" w:rsidRDefault="00941EBC" w:rsidP="00941EBC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>
        <w:rPr>
          <w:color w:val="000000"/>
        </w:rPr>
        <w:t> Linecká 284, 381 20 Český Krumlov </w:t>
      </w:r>
    </w:p>
    <w:p w:rsidR="00941EBC" w:rsidRDefault="00941EBC" w:rsidP="00941EBC">
      <w:pPr>
        <w:spacing w:before="120" w:after="360"/>
        <w:jc w:val="center"/>
        <w:rPr>
          <w:color w:val="000000"/>
        </w:rPr>
      </w:pPr>
      <w:r>
        <w:rPr>
          <w:color w:val="000000"/>
        </w:rPr>
        <w:t xml:space="preserve">tel.: 380 706 111, fax: 380 706 170, e-mail: podatelna@osoud.ckr.justice.cz, </w:t>
      </w:r>
      <w:r>
        <w:rPr>
          <w:color w:val="000000"/>
          <w:szCs w:val="18"/>
        </w:rPr>
        <w:t>ISDS: mzvabvm</w:t>
      </w:r>
    </w:p>
    <w:tbl>
      <w:tblPr>
        <w:tblW w:w="5033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00"/>
        <w:gridCol w:w="2730"/>
        <w:gridCol w:w="4519"/>
      </w:tblGrid>
      <w:tr w:rsidR="00941EBC" w:rsidTr="00941EBC">
        <w:trPr>
          <w:trHeight w:val="255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941EBC" w:rsidRDefault="00941EBC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caps/>
                <w:color w:val="000000"/>
                <w:szCs w:val="24"/>
              </w:rPr>
            </w:pPr>
            <w:r>
              <w:rPr>
                <w:b/>
                <w:caps/>
                <w:color w:val="000000"/>
              </w:rPr>
              <w:t>Naše značka</w:t>
            </w:r>
            <w:r>
              <w:rPr>
                <w:cap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41EBC" w:rsidRDefault="005027C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</w:rPr>
              <w:t>20 Si 72</w:t>
            </w:r>
            <w:r w:rsidR="00941EBC">
              <w:rPr>
                <w:color w:val="000000"/>
              </w:rPr>
              <w:t>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D86520" w:rsidRDefault="005027C9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JUDr. Ing. Jan Zrzavecký, Ph. D.</w:t>
            </w:r>
          </w:p>
          <w:p w:rsidR="005027C9" w:rsidRDefault="005027C9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advokát</w:t>
            </w:r>
          </w:p>
          <w:p w:rsidR="005027C9" w:rsidRDefault="005027C9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Vodičkova 710/31</w:t>
            </w:r>
          </w:p>
          <w:p w:rsidR="005027C9" w:rsidRDefault="005027C9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110 00 Praha 1</w:t>
            </w:r>
          </w:p>
          <w:p w:rsidR="00941EBC" w:rsidRDefault="00941EB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</w:tc>
      </w:tr>
      <w:tr w:rsidR="00941EBC" w:rsidTr="00941EBC">
        <w:trPr>
          <w:trHeight w:val="244"/>
        </w:trPr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941EBC" w:rsidRDefault="00941EBC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caps/>
                <w:color w:val="000000"/>
                <w:szCs w:val="24"/>
              </w:rPr>
            </w:pPr>
            <w:r>
              <w:rPr>
                <w:b/>
                <w:caps/>
                <w:color w:val="000000"/>
              </w:rPr>
              <w:t>Vyřizuje: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41EBC" w:rsidRDefault="00D86520" w:rsidP="00D86520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</w:rPr>
              <w:t>Mgr. Michaela Valenová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1EBC" w:rsidRDefault="00941EBC">
            <w:pPr>
              <w:spacing w:after="0"/>
              <w:jc w:val="left"/>
              <w:rPr>
                <w:color w:val="000000"/>
              </w:rPr>
            </w:pPr>
          </w:p>
        </w:tc>
      </w:tr>
      <w:tr w:rsidR="00941EBC" w:rsidTr="00941EBC">
        <w:trPr>
          <w:trHeight w:val="561"/>
        </w:trPr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941EBC" w:rsidRDefault="00941EBC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caps/>
                <w:color w:val="000000"/>
                <w:szCs w:val="24"/>
              </w:rPr>
            </w:pPr>
            <w:r>
              <w:rPr>
                <w:b/>
                <w:caps/>
                <w:color w:val="000000"/>
              </w:rPr>
              <w:t>DNE: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41EBC" w:rsidRDefault="005027C9" w:rsidP="005027C9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  <w:r w:rsidR="00941EB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září</w:t>
            </w:r>
            <w:r w:rsidR="00941EBC">
              <w:rPr>
                <w:color w:val="000000"/>
              </w:rPr>
              <w:t xml:space="preserve">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1EBC" w:rsidRDefault="00941EBC">
            <w:pPr>
              <w:spacing w:after="0"/>
              <w:jc w:val="left"/>
              <w:rPr>
                <w:color w:val="000000"/>
              </w:rPr>
            </w:pPr>
          </w:p>
        </w:tc>
      </w:tr>
    </w:tbl>
    <w:p w:rsidR="00941EBC" w:rsidRDefault="00941EBC" w:rsidP="00941EBC">
      <w:pPr>
        <w:pStyle w:val="Zkladntext"/>
      </w:pPr>
    </w:p>
    <w:p w:rsidR="00941EBC" w:rsidRDefault="00941EBC" w:rsidP="00941EBC">
      <w:pPr>
        <w:pStyle w:val="Zkladntext"/>
        <w:spacing w:before="120" w:after="120"/>
        <w:rPr>
          <w:rFonts w:ascii="Garamond" w:hAnsi="Garamond"/>
        </w:rPr>
      </w:pPr>
      <w:r>
        <w:rPr>
          <w:rFonts w:ascii="Garamond" w:hAnsi="Garamond"/>
        </w:rPr>
        <w:t xml:space="preserve">Okresní soud v Českém Krumlově na základě žádosti </w:t>
      </w:r>
      <w:r w:rsidR="00113349">
        <w:rPr>
          <w:rFonts w:ascii="Garamond" w:hAnsi="Garamond"/>
        </w:rPr>
        <w:t xml:space="preserve">o poskytnutí informací ze dne </w:t>
      </w:r>
      <w:r w:rsidR="005027C9">
        <w:rPr>
          <w:rFonts w:ascii="Garamond" w:hAnsi="Garamond"/>
        </w:rPr>
        <w:t>28. 8</w:t>
      </w:r>
      <w:r w:rsidR="00113349">
        <w:rPr>
          <w:rFonts w:ascii="Garamond" w:hAnsi="Garamond"/>
        </w:rPr>
        <w:t>. 2019</w:t>
      </w:r>
      <w:r w:rsidR="002A7244">
        <w:rPr>
          <w:rFonts w:ascii="Garamond" w:hAnsi="Garamond"/>
        </w:rPr>
        <w:t>,</w:t>
      </w:r>
      <w:r w:rsidR="00113349">
        <w:rPr>
          <w:rFonts w:ascii="Garamond" w:hAnsi="Garamond"/>
        </w:rPr>
        <w:t xml:space="preserve"> </w:t>
      </w:r>
      <w:r w:rsidR="005027C9">
        <w:rPr>
          <w:rFonts w:ascii="Garamond" w:hAnsi="Garamond"/>
        </w:rPr>
        <w:t>podané JUDr. Ing</w:t>
      </w:r>
      <w:r w:rsidR="007E1FCC">
        <w:rPr>
          <w:rFonts w:ascii="Garamond" w:hAnsi="Garamond"/>
        </w:rPr>
        <w:t>.</w:t>
      </w:r>
      <w:r w:rsidR="005027C9">
        <w:rPr>
          <w:rFonts w:ascii="Garamond" w:hAnsi="Garamond"/>
        </w:rPr>
        <w:t xml:space="preserve"> Janem Zrzaveckým, Ph. D., advokátem</w:t>
      </w:r>
      <w:r w:rsidR="00D86520">
        <w:rPr>
          <w:rFonts w:ascii="Garamond" w:hAnsi="Garamond"/>
        </w:rPr>
        <w:t>, se sídlem</w:t>
      </w:r>
      <w:r w:rsidR="002A7244">
        <w:rPr>
          <w:rFonts w:ascii="Garamond" w:hAnsi="Garamond"/>
        </w:rPr>
        <w:t xml:space="preserve"> </w:t>
      </w:r>
      <w:r w:rsidR="005027C9">
        <w:rPr>
          <w:rFonts w:ascii="Garamond" w:hAnsi="Garamond"/>
        </w:rPr>
        <w:t>Vodičkova 710/31, 1</w:t>
      </w:r>
      <w:r w:rsidR="007E1FCC">
        <w:rPr>
          <w:rFonts w:ascii="Garamond" w:hAnsi="Garamond"/>
        </w:rPr>
        <w:t>1</w:t>
      </w:r>
      <w:r w:rsidR="005027C9">
        <w:rPr>
          <w:rFonts w:ascii="Garamond" w:hAnsi="Garamond"/>
        </w:rPr>
        <w:t>0 00 Praha 1,</w:t>
      </w:r>
    </w:p>
    <w:p w:rsidR="00941EBC" w:rsidRDefault="00941EBC" w:rsidP="00941EBC">
      <w:pPr>
        <w:pStyle w:val="Zkladntext"/>
        <w:spacing w:before="120" w:after="120"/>
        <w:jc w:val="center"/>
        <w:rPr>
          <w:rFonts w:ascii="Garamond" w:hAnsi="Garamond"/>
        </w:rPr>
      </w:pPr>
      <w:r>
        <w:rPr>
          <w:rFonts w:ascii="Garamond" w:hAnsi="Garamond"/>
        </w:rPr>
        <w:t>vydává</w:t>
      </w:r>
    </w:p>
    <w:p w:rsidR="00941EBC" w:rsidRDefault="00941EBC" w:rsidP="00941EBC">
      <w:pPr>
        <w:pStyle w:val="Zkladntext"/>
        <w:spacing w:before="120" w:after="120"/>
        <w:rPr>
          <w:rFonts w:ascii="Garamond" w:hAnsi="Garamond"/>
        </w:rPr>
      </w:pPr>
      <w:r>
        <w:rPr>
          <w:rFonts w:ascii="Garamond" w:hAnsi="Garamond"/>
        </w:rPr>
        <w:t>podle § 15 odst. 1 a § 20 odst. 4 zákona č. 106/1999 Sb., o svobodném přístupu k informacím (dále jen „InfZ“), toto</w:t>
      </w:r>
    </w:p>
    <w:p w:rsidR="00941EBC" w:rsidRDefault="00941EBC" w:rsidP="00941EBC">
      <w:pPr>
        <w:pStyle w:val="Zkladntext"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rozhodnutí:</w:t>
      </w:r>
    </w:p>
    <w:p w:rsidR="00941EBC" w:rsidRDefault="00941EBC" w:rsidP="00941EBC">
      <w:pPr>
        <w:pStyle w:val="Zkladntext"/>
        <w:spacing w:before="120" w:after="120"/>
        <w:rPr>
          <w:rFonts w:ascii="Garamond" w:hAnsi="Garamond"/>
          <w:b/>
        </w:rPr>
      </w:pPr>
      <w:r>
        <w:rPr>
          <w:rFonts w:ascii="Garamond" w:hAnsi="Garamond"/>
          <w:b/>
        </w:rPr>
        <w:t>Podle § 8a a § 15 odst. 1 InfZ se žádost o informace v části</w:t>
      </w:r>
      <w:r>
        <w:rPr>
          <w:rFonts w:ascii="Garamond" w:hAnsi="Garamond"/>
        </w:rPr>
        <w:t xml:space="preserve"> </w:t>
      </w:r>
      <w:r w:rsidRPr="00025691">
        <w:rPr>
          <w:rFonts w:ascii="Garamond" w:hAnsi="Garamond"/>
          <w:b/>
        </w:rPr>
        <w:t>týkající se poskytnutí</w:t>
      </w:r>
      <w:r>
        <w:rPr>
          <w:rFonts w:ascii="Garamond" w:hAnsi="Garamond"/>
        </w:rPr>
        <w:t xml:space="preserve"> </w:t>
      </w:r>
      <w:r w:rsidRPr="00113349">
        <w:rPr>
          <w:rFonts w:ascii="Garamond" w:hAnsi="Garamond"/>
          <w:b/>
        </w:rPr>
        <w:t>osobních údajů</w:t>
      </w:r>
      <w:r w:rsidR="00347BF4">
        <w:rPr>
          <w:rFonts w:ascii="Garamond" w:hAnsi="Garamond"/>
          <w:b/>
        </w:rPr>
        <w:t xml:space="preserve"> vztahujících se k žalovanému 1.</w:t>
      </w:r>
      <w:r w:rsidR="00113349">
        <w:rPr>
          <w:rFonts w:ascii="Garamond" w:hAnsi="Garamond"/>
        </w:rPr>
        <w:t>,</w:t>
      </w:r>
      <w:r w:rsidR="00F73458">
        <w:rPr>
          <w:rFonts w:ascii="Garamond" w:hAnsi="Garamond"/>
        </w:rPr>
        <w:t xml:space="preserve"> </w:t>
      </w:r>
      <w:r w:rsidR="00113349">
        <w:rPr>
          <w:rFonts w:ascii="Garamond" w:hAnsi="Garamond"/>
        </w:rPr>
        <w:t>které jsou obsaženy v</w:t>
      </w:r>
      <w:r w:rsidR="00F73458">
        <w:rPr>
          <w:rFonts w:ascii="Garamond" w:hAnsi="Garamond"/>
        </w:rPr>
        <w:t xml:space="preserve"> </w:t>
      </w:r>
      <w:r w:rsidR="005027C9">
        <w:rPr>
          <w:rFonts w:ascii="Garamond" w:hAnsi="Garamond"/>
        </w:rPr>
        <w:t>rozhodnutí</w:t>
      </w:r>
      <w:r w:rsidR="00113349">
        <w:rPr>
          <w:rFonts w:ascii="Garamond" w:hAnsi="Garamond"/>
        </w:rPr>
        <w:t xml:space="preserve"> </w:t>
      </w:r>
      <w:r w:rsidR="005027C9">
        <w:rPr>
          <w:rFonts w:ascii="Garamond" w:hAnsi="Garamond"/>
        </w:rPr>
        <w:t>čj. 7 C 438/2015-493</w:t>
      </w:r>
      <w:r>
        <w:rPr>
          <w:rFonts w:ascii="Garamond" w:hAnsi="Garamond"/>
        </w:rPr>
        <w:t>,</w:t>
      </w:r>
      <w:r>
        <w:rPr>
          <w:rFonts w:ascii="Garamond" w:hAnsi="Garamond"/>
          <w:b/>
        </w:rPr>
        <w:t xml:space="preserve"> odmítá.</w:t>
      </w:r>
    </w:p>
    <w:p w:rsidR="00941EBC" w:rsidRDefault="00941EBC" w:rsidP="00941EBC">
      <w:pPr>
        <w:pStyle w:val="Zkladntext"/>
        <w:spacing w:before="120" w:after="120"/>
        <w:rPr>
          <w:rFonts w:ascii="Garamond" w:hAnsi="Garamond"/>
          <w:b/>
        </w:rPr>
      </w:pPr>
    </w:p>
    <w:p w:rsidR="00941EBC" w:rsidRDefault="00941EBC" w:rsidP="00941EBC">
      <w:pPr>
        <w:pStyle w:val="Zkladntext"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Odůvodnění:</w:t>
      </w:r>
    </w:p>
    <w:p w:rsidR="003B198A" w:rsidRDefault="005027C9" w:rsidP="003B198A">
      <w:pPr>
        <w:pStyle w:val="Zkladntext"/>
        <w:spacing w:before="120" w:after="120"/>
        <w:rPr>
          <w:rFonts w:ascii="Garamond" w:hAnsi="Garamond"/>
          <w:szCs w:val="24"/>
        </w:rPr>
      </w:pPr>
      <w:r>
        <w:rPr>
          <w:rFonts w:ascii="Garamond" w:hAnsi="Garamond"/>
        </w:rPr>
        <w:t>Dne 28. 8</w:t>
      </w:r>
      <w:r w:rsidR="00941EBC">
        <w:rPr>
          <w:rFonts w:ascii="Garamond" w:hAnsi="Garamond"/>
        </w:rPr>
        <w:t>. 2019 byla Okresnímu soudu v Českém Krumlově doručena žádost shora označené</w:t>
      </w:r>
      <w:r w:rsidR="005574AD">
        <w:rPr>
          <w:rFonts w:ascii="Garamond" w:hAnsi="Garamond"/>
        </w:rPr>
        <w:t xml:space="preserve">ho </w:t>
      </w:r>
      <w:r w:rsidR="005574AD" w:rsidRPr="00DB6BE2">
        <w:rPr>
          <w:rFonts w:ascii="Garamond" w:hAnsi="Garamond"/>
          <w:szCs w:val="24"/>
        </w:rPr>
        <w:t>žadatele</w:t>
      </w:r>
      <w:r w:rsidR="00941EBC" w:rsidRPr="00DB6BE2">
        <w:rPr>
          <w:rFonts w:ascii="Garamond" w:hAnsi="Garamond"/>
          <w:szCs w:val="24"/>
        </w:rPr>
        <w:t xml:space="preserve"> o </w:t>
      </w:r>
      <w:r>
        <w:rPr>
          <w:rFonts w:ascii="Garamond" w:hAnsi="Garamond"/>
          <w:szCs w:val="24"/>
        </w:rPr>
        <w:t xml:space="preserve">zaslání </w:t>
      </w:r>
      <w:r w:rsidR="003B198A">
        <w:rPr>
          <w:rFonts w:ascii="Garamond" w:hAnsi="Garamond"/>
          <w:szCs w:val="24"/>
        </w:rPr>
        <w:t xml:space="preserve">dosud nepravomocného </w:t>
      </w:r>
      <w:r>
        <w:rPr>
          <w:rFonts w:ascii="Garamond" w:hAnsi="Garamond"/>
          <w:szCs w:val="24"/>
        </w:rPr>
        <w:t xml:space="preserve">rozsudku ze dne 28. 1. 2019 ve věci sp. zn. </w:t>
      </w:r>
      <w:r w:rsidR="003B198A">
        <w:rPr>
          <w:rFonts w:ascii="Garamond" w:hAnsi="Garamond"/>
          <w:szCs w:val="24"/>
        </w:rPr>
        <w:t xml:space="preserve">                        </w:t>
      </w:r>
      <w:r>
        <w:rPr>
          <w:rFonts w:ascii="Garamond" w:hAnsi="Garamond"/>
          <w:szCs w:val="24"/>
        </w:rPr>
        <w:t>7 C 438/2015.</w:t>
      </w:r>
    </w:p>
    <w:p w:rsidR="00C7055F" w:rsidRDefault="00B22150" w:rsidP="003B198A">
      <w:pPr>
        <w:pStyle w:val="Zkladntext"/>
        <w:spacing w:before="120" w:after="120"/>
        <w:rPr>
          <w:rFonts w:ascii="Garamond" w:hAnsi="Garamond"/>
          <w:szCs w:val="24"/>
        </w:rPr>
      </w:pPr>
      <w:r w:rsidRPr="003B198A">
        <w:rPr>
          <w:rFonts w:ascii="Garamond" w:eastAsiaTheme="minorHAnsi" w:hAnsi="Garamond" w:cs="Garamond"/>
          <w:color w:val="000000"/>
          <w:szCs w:val="24"/>
        </w:rPr>
        <w:t xml:space="preserve">Primární povinností je s ohledem na § 14 odst. 5 písm. d) InfZ poskytnutí informace v souladu </w:t>
      </w:r>
      <w:r w:rsidR="00150B93">
        <w:rPr>
          <w:rFonts w:ascii="Garamond" w:eastAsiaTheme="minorHAnsi" w:hAnsi="Garamond" w:cs="Garamond"/>
          <w:color w:val="000000"/>
          <w:szCs w:val="24"/>
        </w:rPr>
        <w:t xml:space="preserve">           </w:t>
      </w:r>
      <w:r w:rsidRPr="003B198A">
        <w:rPr>
          <w:rFonts w:ascii="Garamond" w:eastAsiaTheme="minorHAnsi" w:hAnsi="Garamond" w:cs="Garamond"/>
          <w:color w:val="000000"/>
          <w:szCs w:val="24"/>
        </w:rPr>
        <w:t xml:space="preserve">s žádostí. K odmítnutí žádosti dotázaný povinný subjekt přistoupí </w:t>
      </w:r>
      <w:r>
        <w:rPr>
          <w:rFonts w:ascii="Garamond" w:eastAsiaTheme="minorHAnsi" w:hAnsi="Garamond" w:cs="Garamond"/>
          <w:color w:val="000000"/>
          <w:szCs w:val="24"/>
        </w:rPr>
        <w:t xml:space="preserve">až </w:t>
      </w:r>
      <w:r w:rsidRPr="003B198A">
        <w:rPr>
          <w:rFonts w:ascii="Garamond" w:eastAsiaTheme="minorHAnsi" w:hAnsi="Garamond" w:cs="Garamond"/>
          <w:color w:val="000000"/>
          <w:szCs w:val="24"/>
        </w:rPr>
        <w:t>tehdy, jestliže úspěšném</w:t>
      </w:r>
      <w:r w:rsidR="00452006">
        <w:rPr>
          <w:rFonts w:ascii="Garamond" w:eastAsiaTheme="minorHAnsi" w:hAnsi="Garamond" w:cs="Garamond"/>
          <w:color w:val="000000"/>
          <w:szCs w:val="24"/>
        </w:rPr>
        <w:t>u naplnění povinnosti po</w:t>
      </w:r>
      <w:r w:rsidR="00C7055F">
        <w:rPr>
          <w:rFonts w:ascii="Garamond" w:eastAsiaTheme="minorHAnsi" w:hAnsi="Garamond" w:cs="Garamond"/>
          <w:color w:val="000000"/>
          <w:szCs w:val="24"/>
        </w:rPr>
        <w:t>skytnout informace brání některé</w:t>
      </w:r>
      <w:r w:rsidRPr="003B198A">
        <w:rPr>
          <w:rFonts w:ascii="Garamond" w:eastAsiaTheme="minorHAnsi" w:hAnsi="Garamond" w:cs="Garamond"/>
          <w:color w:val="000000"/>
          <w:szCs w:val="24"/>
        </w:rPr>
        <w:t xml:space="preserve"> z omezení práva </w:t>
      </w:r>
      <w:r w:rsidRPr="003B198A">
        <w:rPr>
          <w:rFonts w:ascii="Garamond" w:hAnsi="Garamond"/>
          <w:szCs w:val="24"/>
        </w:rPr>
        <w:t xml:space="preserve">na informace, která jsou vymezena v ustanoveních § 7 až 12 InfZ. </w:t>
      </w:r>
    </w:p>
    <w:p w:rsidR="00FD352F" w:rsidRPr="009C7402" w:rsidRDefault="00A63A2A" w:rsidP="00FD352F">
      <w:pPr>
        <w:pStyle w:val="Zkladntext"/>
        <w:spacing w:before="120" w:after="1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Soud </w:t>
      </w:r>
      <w:r w:rsidR="00B22150">
        <w:rPr>
          <w:rFonts w:ascii="Garamond" w:hAnsi="Garamond"/>
          <w:szCs w:val="24"/>
        </w:rPr>
        <w:t>proto nejprve</w:t>
      </w:r>
      <w:r w:rsidR="00150B93">
        <w:rPr>
          <w:rFonts w:ascii="Garamond" w:hAnsi="Garamond"/>
          <w:szCs w:val="24"/>
        </w:rPr>
        <w:t xml:space="preserve"> zkoumal, zda</w:t>
      </w:r>
      <w:r w:rsidRPr="00036CB8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rozhodnutí</w:t>
      </w:r>
      <w:r w:rsidRPr="00A63A2A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neobsahuje</w:t>
      </w:r>
      <w:r w:rsidRPr="00036CB8">
        <w:rPr>
          <w:rFonts w:ascii="Garamond" w:hAnsi="Garamond"/>
          <w:szCs w:val="24"/>
        </w:rPr>
        <w:t xml:space="preserve"> některé z chráněných informací</w:t>
      </w:r>
      <w:r w:rsidRPr="00DB6BE2">
        <w:rPr>
          <w:rFonts w:ascii="Garamond" w:hAnsi="Garamond"/>
          <w:szCs w:val="24"/>
        </w:rPr>
        <w:t>, zejména</w:t>
      </w:r>
      <w:r w:rsidR="00B22150">
        <w:rPr>
          <w:rFonts w:ascii="Garamond" w:hAnsi="Garamond"/>
          <w:szCs w:val="24"/>
        </w:rPr>
        <w:t xml:space="preserve"> pak</w:t>
      </w:r>
      <w:r w:rsidRPr="00DB6BE2">
        <w:rPr>
          <w:rFonts w:ascii="Garamond" w:hAnsi="Garamond"/>
          <w:szCs w:val="24"/>
        </w:rPr>
        <w:t xml:space="preserve"> </w:t>
      </w:r>
      <w:r w:rsidRPr="00E451C0">
        <w:rPr>
          <w:rFonts w:ascii="Garamond" w:hAnsi="Garamond"/>
          <w:szCs w:val="24"/>
        </w:rPr>
        <w:t xml:space="preserve">osobní údaje </w:t>
      </w:r>
      <w:r w:rsidR="00452006" w:rsidRPr="00E451C0">
        <w:rPr>
          <w:rFonts w:ascii="Garamond" w:hAnsi="Garamond"/>
          <w:szCs w:val="24"/>
        </w:rPr>
        <w:t xml:space="preserve">či </w:t>
      </w:r>
      <w:r w:rsidRPr="00E451C0">
        <w:rPr>
          <w:rFonts w:ascii="Garamond" w:hAnsi="Garamond"/>
          <w:szCs w:val="24"/>
        </w:rPr>
        <w:t>informace</w:t>
      </w:r>
      <w:r w:rsidR="00452006" w:rsidRPr="00E451C0">
        <w:rPr>
          <w:rFonts w:ascii="Garamond" w:hAnsi="Garamond"/>
          <w:szCs w:val="24"/>
        </w:rPr>
        <w:t xml:space="preserve"> </w:t>
      </w:r>
      <w:r w:rsidRPr="00E451C0">
        <w:rPr>
          <w:rFonts w:ascii="Garamond" w:hAnsi="Garamond"/>
          <w:szCs w:val="24"/>
        </w:rPr>
        <w:t>o soukromí</w:t>
      </w:r>
      <w:r w:rsidR="00E451C0">
        <w:rPr>
          <w:rFonts w:ascii="Garamond" w:hAnsi="Garamond"/>
          <w:szCs w:val="24"/>
        </w:rPr>
        <w:t xml:space="preserve"> fyzické osoby</w:t>
      </w:r>
      <w:r w:rsidRPr="00601FB7">
        <w:rPr>
          <w:rFonts w:ascii="Garamond" w:hAnsi="Garamond"/>
          <w:szCs w:val="24"/>
        </w:rPr>
        <w:t xml:space="preserve"> </w:t>
      </w:r>
      <w:r w:rsidR="00E451C0">
        <w:rPr>
          <w:rFonts w:ascii="Garamond" w:hAnsi="Garamond"/>
          <w:szCs w:val="24"/>
        </w:rPr>
        <w:t xml:space="preserve">s tím, že </w:t>
      </w:r>
      <w:r w:rsidR="00E451C0">
        <w:rPr>
          <w:rFonts w:ascii="Garamond" w:hAnsi="Garamond"/>
        </w:rPr>
        <w:t>o</w:t>
      </w:r>
      <w:r w:rsidR="00B16A10">
        <w:rPr>
          <w:rFonts w:ascii="Garamond" w:hAnsi="Garamond"/>
          <w:szCs w:val="24"/>
        </w:rPr>
        <w:t>sobní údaje je</w:t>
      </w:r>
      <w:r w:rsidR="00C7489C">
        <w:rPr>
          <w:rFonts w:ascii="Garamond" w:hAnsi="Garamond"/>
          <w:szCs w:val="24"/>
        </w:rPr>
        <w:t xml:space="preserve"> </w:t>
      </w:r>
      <w:r w:rsidR="00B16A10">
        <w:rPr>
          <w:rFonts w:ascii="Garamond" w:hAnsi="Garamond"/>
          <w:szCs w:val="24"/>
        </w:rPr>
        <w:t>třeba vnímat šířeji, neboť</w:t>
      </w:r>
      <w:r w:rsidR="00853F90">
        <w:rPr>
          <w:rFonts w:ascii="Garamond" w:hAnsi="Garamond"/>
          <w:szCs w:val="24"/>
        </w:rPr>
        <w:t xml:space="preserve"> jsou</w:t>
      </w:r>
      <w:r w:rsidR="00B16A10">
        <w:rPr>
          <w:rFonts w:ascii="Garamond" w:hAnsi="Garamond"/>
          <w:szCs w:val="24"/>
        </w:rPr>
        <w:t xml:space="preserve"> to</w:t>
      </w:r>
      <w:r w:rsidR="00853F90">
        <w:rPr>
          <w:rFonts w:ascii="Garamond" w:hAnsi="Garamond"/>
          <w:szCs w:val="24"/>
        </w:rPr>
        <w:t xml:space="preserve"> </w:t>
      </w:r>
      <w:r w:rsidR="00853F90" w:rsidRPr="00DB6BE2">
        <w:rPr>
          <w:rFonts w:ascii="Garamond" w:hAnsi="Garamond"/>
          <w:szCs w:val="24"/>
        </w:rPr>
        <w:t xml:space="preserve">veškeré informace o identifikované nebo identifikovatelné fyzické osobě, kterou lze </w:t>
      </w:r>
      <w:r w:rsidR="00853F90" w:rsidRPr="00853F90">
        <w:rPr>
          <w:rFonts w:ascii="Garamond" w:hAnsi="Garamond"/>
          <w:szCs w:val="24"/>
        </w:rPr>
        <w:t>přímo či nepřímo</w:t>
      </w:r>
      <w:r w:rsidR="00853F90" w:rsidRPr="00DB6BE2">
        <w:rPr>
          <w:rFonts w:ascii="Garamond" w:hAnsi="Garamond"/>
          <w:szCs w:val="24"/>
        </w:rPr>
        <w:t xml:space="preserve"> identifikovat, zejména odkazem na určitý identifikátor </w:t>
      </w:r>
      <w:r w:rsidR="00853F90">
        <w:rPr>
          <w:rFonts w:ascii="Garamond" w:hAnsi="Garamond"/>
          <w:szCs w:val="24"/>
        </w:rPr>
        <w:t>(</w:t>
      </w:r>
      <w:r w:rsidR="00853F90" w:rsidRPr="00853F90">
        <w:rPr>
          <w:rFonts w:ascii="Garamond" w:hAnsi="Garamond"/>
          <w:szCs w:val="24"/>
        </w:rPr>
        <w:t>například</w:t>
      </w:r>
      <w:r w:rsidR="00853F90" w:rsidRPr="00DB6BE2">
        <w:rPr>
          <w:rFonts w:ascii="Garamond" w:hAnsi="Garamond"/>
          <w:szCs w:val="24"/>
        </w:rPr>
        <w:t xml:space="preserve"> jméno, identifikační číslo, lokační údaje, síťový identifikátor nebo na jeden či více zvláštních prvků fyzické, fyziologické, genetické, psychické, ekonomické, kulturní nebo společenské identity této fyzické osoby</w:t>
      </w:r>
      <w:r w:rsidR="00025691">
        <w:rPr>
          <w:rFonts w:ascii="Garamond" w:hAnsi="Garamond"/>
          <w:szCs w:val="24"/>
        </w:rPr>
        <w:t xml:space="preserve">). </w:t>
      </w:r>
      <w:r w:rsidR="00E451C0">
        <w:rPr>
          <w:rFonts w:ascii="Garamond" w:hAnsi="Garamond"/>
          <w:szCs w:val="24"/>
        </w:rPr>
        <w:t>Na základě toho pak povinný orgán dovodil, že</w:t>
      </w:r>
      <w:r w:rsidR="007E1FCC">
        <w:rPr>
          <w:rFonts w:ascii="Garamond" w:hAnsi="Garamond"/>
          <w:szCs w:val="24"/>
        </w:rPr>
        <w:t xml:space="preserve"> je třeba poskytnout ochranu</w:t>
      </w:r>
      <w:r w:rsidR="00853F90">
        <w:rPr>
          <w:rFonts w:ascii="Garamond" w:hAnsi="Garamond"/>
          <w:szCs w:val="24"/>
        </w:rPr>
        <w:t xml:space="preserve"> také těm údajům, na jejichž základě by mohlo dojít k identifikaci fyzických osob, jako je tomu s ohledem na</w:t>
      </w:r>
      <w:r w:rsidR="00B16A10">
        <w:rPr>
          <w:rFonts w:ascii="Garamond" w:hAnsi="Garamond"/>
          <w:szCs w:val="24"/>
        </w:rPr>
        <w:t xml:space="preserve"> veřejnost katastru nemovitostí</w:t>
      </w:r>
      <w:r w:rsidR="00C46593">
        <w:rPr>
          <w:rFonts w:ascii="Garamond" w:hAnsi="Garamond"/>
          <w:szCs w:val="24"/>
        </w:rPr>
        <w:t xml:space="preserve"> </w:t>
      </w:r>
      <w:r w:rsidR="00853F90">
        <w:rPr>
          <w:rFonts w:ascii="Garamond" w:hAnsi="Garamond"/>
          <w:szCs w:val="24"/>
        </w:rPr>
        <w:t>v </w:t>
      </w:r>
      <w:r w:rsidR="00DA3A9C">
        <w:rPr>
          <w:rFonts w:ascii="Garamond" w:hAnsi="Garamond"/>
          <w:szCs w:val="24"/>
        </w:rPr>
        <w:t>tomto</w:t>
      </w:r>
      <w:r w:rsidR="00FD352F">
        <w:rPr>
          <w:rFonts w:ascii="Garamond" w:hAnsi="Garamond"/>
          <w:szCs w:val="24"/>
        </w:rPr>
        <w:t xml:space="preserve"> posuzovaném případě, když</w:t>
      </w:r>
      <w:r w:rsidR="00853F90">
        <w:rPr>
          <w:rFonts w:ascii="Garamond" w:hAnsi="Garamond"/>
          <w:szCs w:val="24"/>
        </w:rPr>
        <w:t xml:space="preserve"> </w:t>
      </w:r>
      <w:r w:rsidR="003D4EEF" w:rsidRPr="009C7402">
        <w:rPr>
          <w:rFonts w:ascii="Garamond" w:hAnsi="Garamond"/>
          <w:szCs w:val="24"/>
        </w:rPr>
        <w:t xml:space="preserve">je třeba </w:t>
      </w:r>
      <w:r w:rsidR="00FD352F">
        <w:rPr>
          <w:rFonts w:ascii="Garamond" w:hAnsi="Garamond"/>
          <w:szCs w:val="24"/>
        </w:rPr>
        <w:t>současně</w:t>
      </w:r>
      <w:r w:rsidR="00FD352F" w:rsidRPr="009C7402">
        <w:rPr>
          <w:rFonts w:ascii="Garamond" w:hAnsi="Garamond"/>
          <w:szCs w:val="24"/>
        </w:rPr>
        <w:t xml:space="preserve"> vzít v potaz, že zveřejněním informace, která je v podstatě informací</w:t>
      </w:r>
      <w:r w:rsidR="00CE6DC2">
        <w:rPr>
          <w:rFonts w:ascii="Garamond" w:hAnsi="Garamond"/>
          <w:szCs w:val="24"/>
        </w:rPr>
        <w:t xml:space="preserve">           </w:t>
      </w:r>
      <w:r w:rsidR="00FD352F" w:rsidRPr="009C7402">
        <w:rPr>
          <w:rFonts w:ascii="Garamond" w:hAnsi="Garamond"/>
          <w:szCs w:val="24"/>
        </w:rPr>
        <w:t xml:space="preserve">o </w:t>
      </w:r>
      <w:r w:rsidR="00E451C0">
        <w:rPr>
          <w:rFonts w:ascii="Garamond" w:hAnsi="Garamond"/>
          <w:szCs w:val="24"/>
        </w:rPr>
        <w:t>majetkových poměrech konkrétní fyzické</w:t>
      </w:r>
      <w:r w:rsidR="00FD352F" w:rsidRPr="009C7402">
        <w:rPr>
          <w:rFonts w:ascii="Garamond" w:hAnsi="Garamond"/>
          <w:szCs w:val="24"/>
        </w:rPr>
        <w:t xml:space="preserve"> osob</w:t>
      </w:r>
      <w:r w:rsidR="00E451C0">
        <w:rPr>
          <w:rFonts w:ascii="Garamond" w:hAnsi="Garamond"/>
          <w:szCs w:val="24"/>
        </w:rPr>
        <w:t>y</w:t>
      </w:r>
      <w:r w:rsidR="00FD352F" w:rsidRPr="009C7402">
        <w:rPr>
          <w:rFonts w:ascii="Garamond" w:hAnsi="Garamond"/>
          <w:szCs w:val="24"/>
        </w:rPr>
        <w:t>, b</w:t>
      </w:r>
      <w:r w:rsidR="00E451C0">
        <w:rPr>
          <w:rFonts w:ascii="Garamond" w:hAnsi="Garamond"/>
          <w:szCs w:val="24"/>
        </w:rPr>
        <w:t>y mohlo dojít k zásahu do jejího</w:t>
      </w:r>
      <w:r w:rsidR="00FD352F" w:rsidRPr="009C7402">
        <w:rPr>
          <w:rFonts w:ascii="Garamond" w:hAnsi="Garamond"/>
          <w:szCs w:val="24"/>
        </w:rPr>
        <w:t xml:space="preserve"> soukromí. Na oba tyto případy pak dopadá ustanovení § 8a InfZ, podle něhož informace týkající se osobnosti, projevů osobnostní povahy, soukromí fyzické osoby a osobní údaje poskytují jen v souladu s právními předpisy upravujícími jejich ochranu. </w:t>
      </w:r>
    </w:p>
    <w:p w:rsidR="00853F90" w:rsidRPr="00853F90" w:rsidRDefault="00E053AD" w:rsidP="00DB6BE2">
      <w:pPr>
        <w:pStyle w:val="Zkladntext"/>
        <w:spacing w:before="120" w:after="120"/>
        <w:rPr>
          <w:rFonts w:ascii="Garamond" w:hAnsi="Garamond"/>
          <w:szCs w:val="24"/>
        </w:rPr>
      </w:pPr>
      <w:r>
        <w:rPr>
          <w:rFonts w:ascii="Garamond" w:hAnsi="Garamond"/>
        </w:rPr>
        <w:lastRenderedPageBreak/>
        <w:t xml:space="preserve">Povinný subjekt </w:t>
      </w:r>
      <w:r w:rsidR="00853F90">
        <w:rPr>
          <w:rFonts w:ascii="Garamond" w:hAnsi="Garamond"/>
          <w:szCs w:val="24"/>
        </w:rPr>
        <w:t>v</w:t>
      </w:r>
      <w:r w:rsidR="00853F90" w:rsidRPr="00826D4C">
        <w:rPr>
          <w:rFonts w:ascii="Garamond" w:hAnsi="Garamond"/>
          <w:szCs w:val="24"/>
        </w:rPr>
        <w:t xml:space="preserve"> rozsahu odpovídajícím výsledku </w:t>
      </w:r>
      <w:r w:rsidR="00025691">
        <w:rPr>
          <w:rFonts w:ascii="Garamond" w:hAnsi="Garamond"/>
          <w:szCs w:val="24"/>
        </w:rPr>
        <w:t xml:space="preserve">tohoto </w:t>
      </w:r>
      <w:r w:rsidR="00853F90">
        <w:rPr>
          <w:rFonts w:ascii="Garamond" w:hAnsi="Garamond"/>
          <w:szCs w:val="24"/>
        </w:rPr>
        <w:t>komplexního</w:t>
      </w:r>
      <w:r w:rsidR="00853F90" w:rsidRPr="00826D4C">
        <w:rPr>
          <w:rFonts w:ascii="Garamond" w:hAnsi="Garamond"/>
          <w:szCs w:val="24"/>
        </w:rPr>
        <w:t xml:space="preserve"> posouzení informace poskyt</w:t>
      </w:r>
      <w:r w:rsidR="00853F90">
        <w:rPr>
          <w:rFonts w:ascii="Garamond" w:hAnsi="Garamond"/>
          <w:szCs w:val="24"/>
        </w:rPr>
        <w:t>l,</w:t>
      </w:r>
      <w:r w:rsidR="00853F90" w:rsidRPr="00853F90">
        <w:rPr>
          <w:rFonts w:ascii="Garamond" w:hAnsi="Garamond"/>
        </w:rPr>
        <w:t xml:space="preserve"> </w:t>
      </w:r>
      <w:r w:rsidR="00853F90">
        <w:rPr>
          <w:rFonts w:ascii="Garamond" w:hAnsi="Garamond"/>
        </w:rPr>
        <w:t>přičemž ž</w:t>
      </w:r>
      <w:r w:rsidR="00853F90" w:rsidRPr="007E785A">
        <w:rPr>
          <w:rFonts w:ascii="Garamond" w:hAnsi="Garamond"/>
        </w:rPr>
        <w:t>adateli</w:t>
      </w:r>
      <w:r w:rsidR="00036CB8">
        <w:rPr>
          <w:rFonts w:ascii="Garamond" w:hAnsi="Garamond"/>
        </w:rPr>
        <w:t xml:space="preserve"> s odkazem na</w:t>
      </w:r>
      <w:r w:rsidR="00853F90" w:rsidRPr="007E785A">
        <w:rPr>
          <w:rFonts w:ascii="Garamond" w:hAnsi="Garamond"/>
        </w:rPr>
        <w:t xml:space="preserve"> </w:t>
      </w:r>
      <w:r w:rsidR="00036CB8" w:rsidRPr="007E785A">
        <w:rPr>
          <w:rFonts w:ascii="Garamond" w:hAnsi="Garamond"/>
        </w:rPr>
        <w:t>§ 15 odst. 1 InfZ</w:t>
      </w:r>
      <w:r w:rsidR="00036CB8">
        <w:rPr>
          <w:rFonts w:ascii="Garamond" w:hAnsi="Garamond"/>
        </w:rPr>
        <w:t xml:space="preserve"> </w:t>
      </w:r>
      <w:r w:rsidR="00853F90">
        <w:rPr>
          <w:rFonts w:ascii="Garamond" w:hAnsi="Garamond"/>
        </w:rPr>
        <w:t>vyhověl</w:t>
      </w:r>
      <w:r w:rsidR="00853F90" w:rsidRPr="007E785A">
        <w:rPr>
          <w:rFonts w:ascii="Garamond" w:hAnsi="Garamond"/>
        </w:rPr>
        <w:t xml:space="preserve"> jen co do poskytnutí rozhodnutí</w:t>
      </w:r>
      <w:r w:rsidR="00853F90">
        <w:rPr>
          <w:rFonts w:ascii="Garamond" w:hAnsi="Garamond"/>
        </w:rPr>
        <w:t xml:space="preserve"> v anonymizované podobě</w:t>
      </w:r>
      <w:r w:rsidR="00347BF4">
        <w:rPr>
          <w:rFonts w:ascii="Garamond" w:hAnsi="Garamond"/>
        </w:rPr>
        <w:t xml:space="preserve"> bez geometrického plánu.</w:t>
      </w:r>
    </w:p>
    <w:p w:rsidR="00853F90" w:rsidRDefault="00853F90" w:rsidP="00853F90">
      <w:pPr>
        <w:pStyle w:val="Zkladntext"/>
        <w:keepNext/>
        <w:spacing w:before="120" w:after="120"/>
        <w:jc w:val="center"/>
        <w:rPr>
          <w:rFonts w:ascii="Garamond" w:hAnsi="Garamond"/>
          <w:b/>
        </w:rPr>
      </w:pPr>
    </w:p>
    <w:p w:rsidR="00853F90" w:rsidRDefault="00853F90" w:rsidP="00853F90">
      <w:pPr>
        <w:pStyle w:val="Zkladntext"/>
        <w:keepNext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Poučení:</w:t>
      </w:r>
    </w:p>
    <w:p w:rsidR="00853F90" w:rsidRDefault="00853F90" w:rsidP="00853F90">
      <w:pPr>
        <w:pStyle w:val="Zkladntext"/>
        <w:spacing w:before="120" w:after="120"/>
        <w:rPr>
          <w:rFonts w:ascii="Garamond" w:hAnsi="Garamond"/>
        </w:rPr>
      </w:pPr>
      <w:r>
        <w:rPr>
          <w:rFonts w:ascii="Garamond" w:hAnsi="Garamond"/>
        </w:rPr>
        <w:t>Proti tomuto rozhodnutí lze podat do 15 dnů ode dne doručení prostřednictvím Okresního soudu v Českém Krumlově odvolání. O odvolání rozhoduje nadřízení orgán, jímž je Ministerstvo spravedlnosti ČR.</w:t>
      </w:r>
    </w:p>
    <w:p w:rsidR="00853F90" w:rsidRDefault="00853F90" w:rsidP="00853F90">
      <w:pPr>
        <w:spacing w:before="120"/>
      </w:pPr>
    </w:p>
    <w:p w:rsidR="00347BF4" w:rsidRDefault="00347BF4" w:rsidP="00853F90">
      <w:pPr>
        <w:spacing w:after="0"/>
      </w:pPr>
    </w:p>
    <w:p w:rsidR="00853F90" w:rsidRDefault="00853F90" w:rsidP="00853F90">
      <w:pPr>
        <w:spacing w:after="0"/>
      </w:pPr>
      <w:r>
        <w:t>JUDr. Milena Hrdličková</w:t>
      </w:r>
      <w:r w:rsidR="00FD0B1E">
        <w:t xml:space="preserve"> v. r. </w:t>
      </w:r>
    </w:p>
    <w:p w:rsidR="00853F90" w:rsidRDefault="00853F90" w:rsidP="00853F90">
      <w:pPr>
        <w:spacing w:after="0"/>
      </w:pPr>
      <w:r>
        <w:t>předsedkyně soudu</w:t>
      </w:r>
    </w:p>
    <w:p w:rsidR="00853F90" w:rsidRDefault="00853F90" w:rsidP="00DB6BE2">
      <w:pPr>
        <w:pStyle w:val="Zkladntext"/>
        <w:spacing w:before="120" w:after="120"/>
        <w:rPr>
          <w:rFonts w:ascii="Garamond" w:hAnsi="Garamond"/>
        </w:rPr>
      </w:pPr>
    </w:p>
    <w:p w:rsidR="00E053AD" w:rsidRPr="00853F90" w:rsidRDefault="00E053AD" w:rsidP="00DB6BE2">
      <w:pPr>
        <w:pStyle w:val="Zkladntext"/>
        <w:spacing w:before="120" w:after="120"/>
        <w:rPr>
          <w:rFonts w:ascii="Garamond" w:hAnsi="Garamond"/>
          <w:strike/>
          <w:szCs w:val="24"/>
        </w:rPr>
      </w:pPr>
    </w:p>
    <w:p w:rsidR="00E053AD" w:rsidRPr="00853F90" w:rsidRDefault="00E053AD" w:rsidP="00DB6BE2">
      <w:pPr>
        <w:pStyle w:val="Zkladntext"/>
        <w:spacing w:before="120" w:after="120"/>
        <w:rPr>
          <w:rFonts w:ascii="Garamond" w:hAnsi="Garamond"/>
          <w:strike/>
          <w:szCs w:val="24"/>
        </w:rPr>
      </w:pPr>
    </w:p>
    <w:p w:rsidR="00E053AD" w:rsidRPr="00853F90" w:rsidRDefault="00E053AD" w:rsidP="00DB6BE2">
      <w:pPr>
        <w:pStyle w:val="Zkladntext"/>
        <w:spacing w:before="120" w:after="120"/>
        <w:rPr>
          <w:rFonts w:ascii="Garamond" w:hAnsi="Garamond"/>
          <w:strike/>
          <w:szCs w:val="24"/>
        </w:rPr>
      </w:pPr>
    </w:p>
    <w:p w:rsidR="00E053AD" w:rsidRPr="00853F90" w:rsidRDefault="00E053AD" w:rsidP="00DB6BE2">
      <w:pPr>
        <w:pStyle w:val="Zkladntext"/>
        <w:spacing w:before="120" w:after="120"/>
        <w:rPr>
          <w:rFonts w:ascii="Garamond" w:hAnsi="Garamond"/>
          <w:strike/>
          <w:szCs w:val="24"/>
        </w:rPr>
      </w:pPr>
    </w:p>
    <w:p w:rsidR="00DB6BE2" w:rsidRPr="005574AD" w:rsidRDefault="00DB6BE2" w:rsidP="0019058D">
      <w:pPr>
        <w:pStyle w:val="Zkladntext"/>
        <w:spacing w:before="120" w:after="120"/>
        <w:rPr>
          <w:rFonts w:ascii="Garamond" w:hAnsi="Garamond"/>
        </w:rPr>
      </w:pPr>
      <w:r>
        <w:br/>
      </w:r>
      <w:r>
        <w:br/>
      </w:r>
    </w:p>
    <w:p w:rsidR="0019058D" w:rsidRDefault="0019058D" w:rsidP="007E785A">
      <w:pPr>
        <w:pStyle w:val="Zkladntext"/>
        <w:spacing w:before="120" w:after="120"/>
        <w:rPr>
          <w:i/>
        </w:rPr>
      </w:pPr>
    </w:p>
    <w:p w:rsidR="00941EBC" w:rsidRDefault="00941EBC" w:rsidP="00941EBC">
      <w:pPr>
        <w:spacing w:before="120"/>
      </w:pPr>
    </w:p>
    <w:p w:rsidR="00941EBC" w:rsidRDefault="00941EBC" w:rsidP="00941EBC"/>
    <w:p w:rsidR="006A1BD5" w:rsidRDefault="006A1BD5"/>
    <w:p w:rsidR="00FD0B1E" w:rsidRDefault="00FD0B1E"/>
    <w:p w:rsidR="00FD0B1E" w:rsidRDefault="00FD0B1E"/>
    <w:p w:rsidR="00FD0B1E" w:rsidRDefault="00FD0B1E"/>
    <w:p w:rsidR="00FD0B1E" w:rsidRDefault="00FD0B1E"/>
    <w:p w:rsidR="00FD0B1E" w:rsidRDefault="00FD0B1E"/>
    <w:p w:rsidR="00FD0B1E" w:rsidRDefault="00FD0B1E"/>
    <w:p w:rsidR="00FD0B1E" w:rsidRDefault="00FD0B1E"/>
    <w:p w:rsidR="00FD0B1E" w:rsidRDefault="00FD0B1E"/>
    <w:p w:rsidR="00FD0B1E" w:rsidRDefault="00FD0B1E"/>
    <w:p w:rsidR="00FD0B1E" w:rsidRDefault="00FD0B1E"/>
    <w:p w:rsidR="00FD0B1E" w:rsidRDefault="00FD0B1E"/>
    <w:p w:rsidR="00FD0B1E" w:rsidRDefault="00FD0B1E"/>
    <w:p w:rsidR="00FD0B1E" w:rsidRDefault="00FD0B1E">
      <w:bookmarkStart w:id="0" w:name="_GoBack"/>
      <w:bookmarkEnd w:id="0"/>
    </w:p>
    <w:p w:rsidR="00FD0B1E" w:rsidRDefault="00FD0B1E">
      <w:r>
        <w:t>Shodu s prvopisem potvrzuje Mgr. Michaela Valenová</w:t>
      </w:r>
    </w:p>
    <w:sectPr w:rsidR="00FD0B1E" w:rsidSect="0091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9B"/>
    <w:rsid w:val="00025691"/>
    <w:rsid w:val="00036CB8"/>
    <w:rsid w:val="00105A54"/>
    <w:rsid w:val="00113349"/>
    <w:rsid w:val="00150B93"/>
    <w:rsid w:val="0016331D"/>
    <w:rsid w:val="0019058D"/>
    <w:rsid w:val="001B6B15"/>
    <w:rsid w:val="002649DB"/>
    <w:rsid w:val="002A7244"/>
    <w:rsid w:val="00347BF4"/>
    <w:rsid w:val="00354BE2"/>
    <w:rsid w:val="0035730E"/>
    <w:rsid w:val="00363F76"/>
    <w:rsid w:val="003B198A"/>
    <w:rsid w:val="003B55B5"/>
    <w:rsid w:val="003C379B"/>
    <w:rsid w:val="003D4EEF"/>
    <w:rsid w:val="003D505C"/>
    <w:rsid w:val="003E2D1B"/>
    <w:rsid w:val="00452006"/>
    <w:rsid w:val="005027C9"/>
    <w:rsid w:val="00550A68"/>
    <w:rsid w:val="005574AD"/>
    <w:rsid w:val="00587A54"/>
    <w:rsid w:val="00601FB7"/>
    <w:rsid w:val="006474CD"/>
    <w:rsid w:val="00690E56"/>
    <w:rsid w:val="006A1BD5"/>
    <w:rsid w:val="006E4A4C"/>
    <w:rsid w:val="0078046C"/>
    <w:rsid w:val="007B3430"/>
    <w:rsid w:val="007E1FCC"/>
    <w:rsid w:val="007E785A"/>
    <w:rsid w:val="00816201"/>
    <w:rsid w:val="00853F90"/>
    <w:rsid w:val="00914F14"/>
    <w:rsid w:val="00941EBC"/>
    <w:rsid w:val="00990100"/>
    <w:rsid w:val="009C7402"/>
    <w:rsid w:val="00A63A2A"/>
    <w:rsid w:val="00A8270A"/>
    <w:rsid w:val="00A94387"/>
    <w:rsid w:val="00A945BC"/>
    <w:rsid w:val="00B16A10"/>
    <w:rsid w:val="00B22150"/>
    <w:rsid w:val="00C46593"/>
    <w:rsid w:val="00C7055F"/>
    <w:rsid w:val="00C7489C"/>
    <w:rsid w:val="00CE6DC2"/>
    <w:rsid w:val="00CF2A59"/>
    <w:rsid w:val="00D41E42"/>
    <w:rsid w:val="00D453D0"/>
    <w:rsid w:val="00D86520"/>
    <w:rsid w:val="00DA3A9C"/>
    <w:rsid w:val="00DB6BE2"/>
    <w:rsid w:val="00E053AD"/>
    <w:rsid w:val="00E451C0"/>
    <w:rsid w:val="00E47A59"/>
    <w:rsid w:val="00E74CD3"/>
    <w:rsid w:val="00F261FB"/>
    <w:rsid w:val="00F73458"/>
    <w:rsid w:val="00FD0B1E"/>
    <w:rsid w:val="00F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EBC"/>
    <w:pPr>
      <w:spacing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41EBC"/>
    <w:pPr>
      <w:spacing w:after="0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1EB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5574A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B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EBC"/>
    <w:pPr>
      <w:spacing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41EBC"/>
    <w:pPr>
      <w:spacing w:after="0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1EB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5574A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B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Valenová</dc:creator>
  <cp:lastModifiedBy>Valenová</cp:lastModifiedBy>
  <cp:revision>10</cp:revision>
  <cp:lastPrinted>2019-09-03T10:24:00Z</cp:lastPrinted>
  <dcterms:created xsi:type="dcterms:W3CDTF">2019-09-02T12:14:00Z</dcterms:created>
  <dcterms:modified xsi:type="dcterms:W3CDTF">2019-09-03T11:33:00Z</dcterms:modified>
</cp:coreProperties>
</file>