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C2E" w:rsidRPr="003C5432" w:rsidRDefault="00A71C2E" w:rsidP="00E74147">
      <w:pPr>
        <w:spacing w:before="120" w:after="120"/>
        <w:jc w:val="both"/>
        <w:rPr>
          <w:rFonts w:cstheme="minorHAnsi"/>
        </w:rPr>
      </w:pPr>
      <w:r w:rsidRPr="003C5432">
        <w:rPr>
          <w:rFonts w:cstheme="minorHAnsi"/>
        </w:rPr>
        <w:t>Okresní soud v Chebu</w:t>
      </w:r>
    </w:p>
    <w:p w:rsidR="00A71C2E" w:rsidRPr="003C5432" w:rsidRDefault="00A71C2E" w:rsidP="00A71C2E">
      <w:pPr>
        <w:spacing w:before="120" w:after="120"/>
        <w:rPr>
          <w:rFonts w:cstheme="minorHAnsi"/>
        </w:rPr>
      </w:pPr>
      <w:r w:rsidRPr="003C5432">
        <w:rPr>
          <w:rFonts w:cstheme="minorHAnsi"/>
        </w:rPr>
        <w:t>Lidická 1</w:t>
      </w:r>
    </w:p>
    <w:p w:rsidR="00A71C2E" w:rsidRPr="003C5432" w:rsidRDefault="00A71C2E" w:rsidP="00A71C2E">
      <w:pPr>
        <w:spacing w:before="120" w:after="120"/>
        <w:rPr>
          <w:rFonts w:cstheme="minorHAnsi"/>
        </w:rPr>
      </w:pPr>
      <w:r w:rsidRPr="003C5432">
        <w:rPr>
          <w:rFonts w:cstheme="minorHAnsi"/>
        </w:rPr>
        <w:t>350 60  Cheb</w:t>
      </w:r>
    </w:p>
    <w:p w:rsidR="00A71C2E" w:rsidRPr="003C5432" w:rsidRDefault="00A71C2E" w:rsidP="00385811">
      <w:pPr>
        <w:spacing w:before="120" w:after="120"/>
        <w:jc w:val="both"/>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r w:rsidRPr="003C5432">
        <w:rPr>
          <w:rFonts w:cstheme="minorHAnsi"/>
        </w:rPr>
        <w:t xml:space="preserve">Spr  </w:t>
      </w:r>
      <w:r w:rsidR="00246ECE">
        <w:rPr>
          <w:rFonts w:cstheme="minorHAnsi"/>
        </w:rPr>
        <w:t xml:space="preserve"> </w:t>
      </w:r>
      <w:r w:rsidR="008457AD">
        <w:rPr>
          <w:rFonts w:cstheme="minorHAnsi"/>
        </w:rPr>
        <w:t>66</w:t>
      </w:r>
      <w:r w:rsidR="00246ECE">
        <w:rPr>
          <w:rFonts w:cstheme="minorHAnsi"/>
        </w:rPr>
        <w:t xml:space="preserve"> </w:t>
      </w:r>
      <w:r w:rsidRPr="003C5432">
        <w:rPr>
          <w:rFonts w:cstheme="minorHAnsi"/>
        </w:rPr>
        <w:t>/202</w:t>
      </w:r>
      <w:r w:rsidR="00246ECE">
        <w:rPr>
          <w:rFonts w:cstheme="minorHAnsi"/>
        </w:rPr>
        <w:t>3</w:t>
      </w: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jc w:val="center"/>
        <w:rPr>
          <w:rFonts w:cstheme="minorHAnsi"/>
          <w:b/>
          <w:sz w:val="36"/>
        </w:rPr>
      </w:pPr>
      <w:r w:rsidRPr="003C5432">
        <w:rPr>
          <w:rFonts w:cstheme="minorHAnsi"/>
          <w:b/>
          <w:sz w:val="36"/>
        </w:rPr>
        <w:t>ROZBOR VÝSLEDKŮ ROZPOČTOVÉHO HOSPODAŘENÍ</w:t>
      </w:r>
    </w:p>
    <w:p w:rsidR="00A71C2E" w:rsidRPr="003C5432" w:rsidRDefault="00A71C2E" w:rsidP="00A71C2E">
      <w:pPr>
        <w:spacing w:before="120" w:after="120"/>
        <w:jc w:val="center"/>
        <w:rPr>
          <w:rFonts w:cstheme="minorHAnsi"/>
          <w:sz w:val="36"/>
        </w:rPr>
      </w:pPr>
      <w:r w:rsidRPr="003C5432">
        <w:rPr>
          <w:rFonts w:cstheme="minorHAnsi"/>
          <w:sz w:val="36"/>
        </w:rPr>
        <w:t>Okresního soudu v Chebu</w:t>
      </w:r>
    </w:p>
    <w:p w:rsidR="00A71C2E" w:rsidRDefault="00882331" w:rsidP="00A71C2E">
      <w:pPr>
        <w:spacing w:before="120" w:after="120"/>
        <w:jc w:val="center"/>
        <w:rPr>
          <w:rFonts w:cstheme="minorHAnsi"/>
          <w:sz w:val="36"/>
        </w:rPr>
      </w:pPr>
      <w:r>
        <w:rPr>
          <w:rFonts w:cstheme="minorHAnsi"/>
          <w:sz w:val="36"/>
        </w:rPr>
        <w:t>2022</w:t>
      </w:r>
    </w:p>
    <w:p w:rsidR="008C7C60" w:rsidRPr="003C5432" w:rsidRDefault="008C7C60" w:rsidP="00A71C2E">
      <w:pPr>
        <w:spacing w:before="120" w:after="120"/>
        <w:jc w:val="center"/>
        <w:rPr>
          <w:rFonts w:cstheme="minorHAnsi"/>
          <w:sz w:val="36"/>
        </w:rPr>
      </w:pPr>
    </w:p>
    <w:p w:rsidR="00A71C2E" w:rsidRPr="003C5432" w:rsidRDefault="00A71C2E" w:rsidP="00A71C2E">
      <w:pPr>
        <w:spacing w:before="120" w:after="120"/>
        <w:rPr>
          <w:rFonts w:cstheme="minorHAnsi"/>
          <w:b/>
          <w:sz w:val="36"/>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r w:rsidRPr="003C5432">
        <w:rPr>
          <w:rFonts w:cstheme="minorHAnsi"/>
        </w:rPr>
        <w:t>Za složku předkládá:</w:t>
      </w:r>
      <w:r w:rsidR="00BD6C7C" w:rsidRPr="003C5432">
        <w:rPr>
          <w:rFonts w:cstheme="minorHAnsi"/>
        </w:rPr>
        <w:t xml:space="preserve"> </w:t>
      </w:r>
      <w:r w:rsidR="003C5432">
        <w:rPr>
          <w:rFonts w:cstheme="minorHAnsi"/>
        </w:rPr>
        <w:tab/>
      </w:r>
      <w:r w:rsidR="00BD6C7C" w:rsidRPr="003C5432">
        <w:rPr>
          <w:rFonts w:cstheme="minorHAnsi"/>
        </w:rPr>
        <w:t xml:space="preserve">Mgr. </w:t>
      </w:r>
      <w:r w:rsidR="00246ECE">
        <w:rPr>
          <w:rFonts w:cstheme="minorHAnsi"/>
        </w:rPr>
        <w:t>Robert Plášil</w:t>
      </w:r>
      <w:r w:rsidR="00BD6C7C" w:rsidRPr="003C5432">
        <w:rPr>
          <w:rFonts w:cstheme="minorHAnsi"/>
        </w:rPr>
        <w:t>, předseda Okresního soudu v Chebu</w:t>
      </w:r>
    </w:p>
    <w:p w:rsidR="00A71C2E" w:rsidRPr="003C5432" w:rsidRDefault="00A71C2E" w:rsidP="00A71C2E">
      <w:pPr>
        <w:pStyle w:val="Bezmezer"/>
        <w:rPr>
          <w:rFonts w:cstheme="minorHAnsi"/>
        </w:rPr>
      </w:pPr>
      <w:r w:rsidRPr="003C5432">
        <w:rPr>
          <w:rFonts w:cstheme="minorHAnsi"/>
        </w:rPr>
        <w:t xml:space="preserve">Sestavil: </w:t>
      </w:r>
      <w:r w:rsidR="003C5432">
        <w:rPr>
          <w:rFonts w:cstheme="minorHAnsi"/>
        </w:rPr>
        <w:tab/>
      </w:r>
      <w:r w:rsidR="003C5432">
        <w:rPr>
          <w:rFonts w:cstheme="minorHAnsi"/>
        </w:rPr>
        <w:tab/>
      </w:r>
      <w:r w:rsidRPr="003C5432">
        <w:rPr>
          <w:rFonts w:cstheme="minorHAnsi"/>
        </w:rPr>
        <w:t>Naděžda Juhászová</w:t>
      </w:r>
      <w:r w:rsidR="00246ECE">
        <w:rPr>
          <w:rFonts w:cstheme="minorHAnsi"/>
        </w:rPr>
        <w:t>, referentka pro hospodářské věci</w:t>
      </w:r>
    </w:p>
    <w:p w:rsidR="00A71C2E" w:rsidRPr="003C5432" w:rsidRDefault="00A71C2E" w:rsidP="00A71C2E">
      <w:pPr>
        <w:pStyle w:val="Bezmezer"/>
        <w:rPr>
          <w:rFonts w:cstheme="minorHAnsi"/>
        </w:rPr>
      </w:pPr>
    </w:p>
    <w:p w:rsidR="001D6A41" w:rsidRPr="003C5432" w:rsidRDefault="001D6A41"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4A19B8" w:rsidRDefault="00A72C6C">
      <w:pPr>
        <w:pStyle w:val="Obsah1"/>
        <w:rPr>
          <w:rFonts w:asciiTheme="minorHAnsi" w:eastAsiaTheme="minorEastAsia" w:hAnsiTheme="minorHAnsi"/>
          <w:b w:val="0"/>
          <w:bCs w:val="0"/>
          <w:caps w:val="0"/>
          <w:noProof/>
          <w:sz w:val="22"/>
          <w:szCs w:val="22"/>
          <w:lang w:eastAsia="cs-CZ"/>
        </w:rPr>
      </w:pPr>
      <w:r w:rsidRPr="003C5432">
        <w:rPr>
          <w:rFonts w:asciiTheme="minorHAnsi" w:hAnsiTheme="minorHAnsi" w:cstheme="minorHAnsi"/>
        </w:rPr>
        <w:fldChar w:fldCharType="begin"/>
      </w:r>
      <w:r w:rsidRPr="003C5432">
        <w:rPr>
          <w:rFonts w:asciiTheme="minorHAnsi" w:hAnsiTheme="minorHAnsi" w:cstheme="minorHAnsi"/>
        </w:rPr>
        <w:instrText xml:space="preserve"> TOC \o "1-3" \h \z \u </w:instrText>
      </w:r>
      <w:r w:rsidRPr="003C5432">
        <w:rPr>
          <w:rFonts w:asciiTheme="minorHAnsi" w:hAnsiTheme="minorHAnsi" w:cstheme="minorHAnsi"/>
        </w:rPr>
        <w:fldChar w:fldCharType="separate"/>
      </w:r>
      <w:hyperlink w:anchor="_Toc124839814" w:history="1">
        <w:r w:rsidR="004A19B8" w:rsidRPr="00D45A7B">
          <w:rPr>
            <w:rStyle w:val="Hypertextovodkaz"/>
            <w:rFonts w:cstheme="minorHAnsi"/>
            <w:noProof/>
          </w:rPr>
          <w:t>1. Obecné informace</w:t>
        </w:r>
        <w:r w:rsidR="004A19B8">
          <w:rPr>
            <w:noProof/>
            <w:webHidden/>
          </w:rPr>
          <w:tab/>
        </w:r>
        <w:r w:rsidR="004A19B8">
          <w:rPr>
            <w:noProof/>
            <w:webHidden/>
          </w:rPr>
          <w:fldChar w:fldCharType="begin"/>
        </w:r>
        <w:r w:rsidR="004A19B8">
          <w:rPr>
            <w:noProof/>
            <w:webHidden/>
          </w:rPr>
          <w:instrText xml:space="preserve"> PAGEREF _Toc124839814 \h </w:instrText>
        </w:r>
        <w:r w:rsidR="004A19B8">
          <w:rPr>
            <w:noProof/>
            <w:webHidden/>
          </w:rPr>
        </w:r>
        <w:r w:rsidR="004A19B8">
          <w:rPr>
            <w:noProof/>
            <w:webHidden/>
          </w:rPr>
          <w:fldChar w:fldCharType="separate"/>
        </w:r>
        <w:r w:rsidR="00A22446">
          <w:rPr>
            <w:noProof/>
            <w:webHidden/>
          </w:rPr>
          <w:t>4</w:t>
        </w:r>
        <w:r w:rsidR="004A19B8">
          <w:rPr>
            <w:noProof/>
            <w:webHidden/>
          </w:rPr>
          <w:fldChar w:fldCharType="end"/>
        </w:r>
      </w:hyperlink>
    </w:p>
    <w:p w:rsidR="004A19B8" w:rsidRDefault="00B85DFE">
      <w:pPr>
        <w:pStyle w:val="Obsah1"/>
        <w:rPr>
          <w:rFonts w:asciiTheme="minorHAnsi" w:eastAsiaTheme="minorEastAsia" w:hAnsiTheme="minorHAnsi"/>
          <w:b w:val="0"/>
          <w:bCs w:val="0"/>
          <w:caps w:val="0"/>
          <w:noProof/>
          <w:sz w:val="22"/>
          <w:szCs w:val="22"/>
          <w:lang w:eastAsia="cs-CZ"/>
        </w:rPr>
      </w:pPr>
      <w:hyperlink w:anchor="_Toc124839815" w:history="1">
        <w:r w:rsidR="004A19B8" w:rsidRPr="00D45A7B">
          <w:rPr>
            <w:rStyle w:val="Hypertextovodkaz"/>
            <w:noProof/>
          </w:rPr>
          <w:t>2. Obsah a rozsah průvodní zprávy</w:t>
        </w:r>
        <w:r w:rsidR="004A19B8">
          <w:rPr>
            <w:noProof/>
            <w:webHidden/>
          </w:rPr>
          <w:tab/>
        </w:r>
        <w:r w:rsidR="004A19B8">
          <w:rPr>
            <w:noProof/>
            <w:webHidden/>
          </w:rPr>
          <w:fldChar w:fldCharType="begin"/>
        </w:r>
        <w:r w:rsidR="004A19B8">
          <w:rPr>
            <w:noProof/>
            <w:webHidden/>
          </w:rPr>
          <w:instrText xml:space="preserve"> PAGEREF _Toc124839815 \h </w:instrText>
        </w:r>
        <w:r w:rsidR="004A19B8">
          <w:rPr>
            <w:noProof/>
            <w:webHidden/>
          </w:rPr>
        </w:r>
        <w:r w:rsidR="004A19B8">
          <w:rPr>
            <w:noProof/>
            <w:webHidden/>
          </w:rPr>
          <w:fldChar w:fldCharType="separate"/>
        </w:r>
        <w:r w:rsidR="00A22446">
          <w:rPr>
            <w:noProof/>
            <w:webHidden/>
          </w:rPr>
          <w:t>5</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16" w:history="1">
        <w:r w:rsidR="004A19B8" w:rsidRPr="00D45A7B">
          <w:rPr>
            <w:rStyle w:val="Hypertextovodkaz"/>
            <w:noProof/>
          </w:rPr>
          <w:t>3.1</w:t>
        </w:r>
        <w:r w:rsidR="004A19B8">
          <w:rPr>
            <w:rFonts w:eastAsiaTheme="minorEastAsia"/>
            <w:smallCaps w:val="0"/>
            <w:noProof/>
            <w:sz w:val="22"/>
            <w:szCs w:val="22"/>
            <w:lang w:eastAsia="cs-CZ"/>
          </w:rPr>
          <w:tab/>
        </w:r>
        <w:r w:rsidR="004A19B8" w:rsidRPr="00D45A7B">
          <w:rPr>
            <w:rStyle w:val="Hypertextovodkaz"/>
            <w:noProof/>
          </w:rPr>
          <w:t>2.1 Zhodnocení plnění rozpočtu</w:t>
        </w:r>
        <w:r w:rsidR="004A19B8">
          <w:rPr>
            <w:noProof/>
            <w:webHidden/>
          </w:rPr>
          <w:tab/>
        </w:r>
        <w:r w:rsidR="004A19B8">
          <w:rPr>
            <w:noProof/>
            <w:webHidden/>
          </w:rPr>
          <w:fldChar w:fldCharType="begin"/>
        </w:r>
        <w:r w:rsidR="004A19B8">
          <w:rPr>
            <w:noProof/>
            <w:webHidden/>
          </w:rPr>
          <w:instrText xml:space="preserve"> PAGEREF _Toc124839816 \h </w:instrText>
        </w:r>
        <w:r w:rsidR="004A19B8">
          <w:rPr>
            <w:noProof/>
            <w:webHidden/>
          </w:rPr>
        </w:r>
        <w:r w:rsidR="004A19B8">
          <w:rPr>
            <w:noProof/>
            <w:webHidden/>
          </w:rPr>
          <w:fldChar w:fldCharType="separate"/>
        </w:r>
        <w:r w:rsidR="00A22446">
          <w:rPr>
            <w:noProof/>
            <w:webHidden/>
          </w:rPr>
          <w:t>5</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17" w:history="1">
        <w:r w:rsidR="004A19B8" w:rsidRPr="00D45A7B">
          <w:rPr>
            <w:rStyle w:val="Hypertextovodkaz"/>
            <w:noProof/>
          </w:rPr>
          <w:t>3.2</w:t>
        </w:r>
        <w:r w:rsidR="004A19B8">
          <w:rPr>
            <w:rFonts w:eastAsiaTheme="minorEastAsia"/>
            <w:smallCaps w:val="0"/>
            <w:noProof/>
            <w:sz w:val="22"/>
            <w:szCs w:val="22"/>
            <w:lang w:eastAsia="cs-CZ"/>
          </w:rPr>
          <w:tab/>
        </w:r>
        <w:r w:rsidR="004A19B8" w:rsidRPr="00D45A7B">
          <w:rPr>
            <w:rStyle w:val="Hypertextovodkaz"/>
            <w:noProof/>
          </w:rPr>
          <w:t>2.2 Rozpočtová opatření schvalovaná na MF</w:t>
        </w:r>
        <w:r w:rsidR="004A19B8">
          <w:rPr>
            <w:noProof/>
            <w:webHidden/>
          </w:rPr>
          <w:tab/>
        </w:r>
        <w:r w:rsidR="004A19B8">
          <w:rPr>
            <w:noProof/>
            <w:webHidden/>
          </w:rPr>
          <w:fldChar w:fldCharType="begin"/>
        </w:r>
        <w:r w:rsidR="004A19B8">
          <w:rPr>
            <w:noProof/>
            <w:webHidden/>
          </w:rPr>
          <w:instrText xml:space="preserve"> PAGEREF _Toc124839817 \h </w:instrText>
        </w:r>
        <w:r w:rsidR="004A19B8">
          <w:rPr>
            <w:noProof/>
            <w:webHidden/>
          </w:rPr>
        </w:r>
        <w:r w:rsidR="004A19B8">
          <w:rPr>
            <w:noProof/>
            <w:webHidden/>
          </w:rPr>
          <w:fldChar w:fldCharType="separate"/>
        </w:r>
        <w:r w:rsidR="00A22446">
          <w:rPr>
            <w:noProof/>
            <w:webHidden/>
          </w:rPr>
          <w:t>6</w:t>
        </w:r>
        <w:r w:rsidR="004A19B8">
          <w:rPr>
            <w:noProof/>
            <w:webHidden/>
          </w:rPr>
          <w:fldChar w:fldCharType="end"/>
        </w:r>
      </w:hyperlink>
    </w:p>
    <w:p w:rsidR="004A19B8" w:rsidRDefault="00B85DFE">
      <w:pPr>
        <w:pStyle w:val="Obsah1"/>
        <w:rPr>
          <w:rFonts w:asciiTheme="minorHAnsi" w:eastAsiaTheme="minorEastAsia" w:hAnsiTheme="minorHAnsi"/>
          <w:b w:val="0"/>
          <w:bCs w:val="0"/>
          <w:caps w:val="0"/>
          <w:noProof/>
          <w:sz w:val="22"/>
          <w:szCs w:val="22"/>
          <w:lang w:eastAsia="cs-CZ"/>
        </w:rPr>
      </w:pPr>
      <w:hyperlink w:anchor="_Toc124839818" w:history="1">
        <w:r w:rsidR="004A19B8" w:rsidRPr="00D45A7B">
          <w:rPr>
            <w:rStyle w:val="Hypertextovodkaz"/>
            <w:noProof/>
          </w:rPr>
          <w:t>3. Příjmy</w:t>
        </w:r>
        <w:r w:rsidR="004A19B8">
          <w:rPr>
            <w:noProof/>
            <w:webHidden/>
          </w:rPr>
          <w:tab/>
        </w:r>
        <w:r w:rsidR="004A19B8">
          <w:rPr>
            <w:noProof/>
            <w:webHidden/>
          </w:rPr>
          <w:fldChar w:fldCharType="begin"/>
        </w:r>
        <w:r w:rsidR="004A19B8">
          <w:rPr>
            <w:noProof/>
            <w:webHidden/>
          </w:rPr>
          <w:instrText xml:space="preserve"> PAGEREF _Toc124839818 \h </w:instrText>
        </w:r>
        <w:r w:rsidR="004A19B8">
          <w:rPr>
            <w:noProof/>
            <w:webHidden/>
          </w:rPr>
        </w:r>
        <w:r w:rsidR="004A19B8">
          <w:rPr>
            <w:noProof/>
            <w:webHidden/>
          </w:rPr>
          <w:fldChar w:fldCharType="separate"/>
        </w:r>
        <w:r w:rsidR="00A22446">
          <w:rPr>
            <w:noProof/>
            <w:webHidden/>
          </w:rPr>
          <w:t>6</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19" w:history="1">
        <w:r w:rsidR="004A19B8" w:rsidRPr="00D45A7B">
          <w:rPr>
            <w:rStyle w:val="Hypertextovodkaz"/>
            <w:noProof/>
          </w:rPr>
          <w:t>3.3</w:t>
        </w:r>
        <w:r w:rsidR="004A19B8">
          <w:rPr>
            <w:rFonts w:eastAsiaTheme="minorEastAsia"/>
            <w:smallCaps w:val="0"/>
            <w:noProof/>
            <w:sz w:val="22"/>
            <w:szCs w:val="22"/>
            <w:lang w:eastAsia="cs-CZ"/>
          </w:rPr>
          <w:tab/>
        </w:r>
        <w:r w:rsidR="004A19B8" w:rsidRPr="00D45A7B">
          <w:rPr>
            <w:rStyle w:val="Hypertextovodkaz"/>
            <w:noProof/>
          </w:rPr>
          <w:t>Zhodnocení celkových příjmů</w:t>
        </w:r>
        <w:r w:rsidR="004A19B8">
          <w:rPr>
            <w:noProof/>
            <w:webHidden/>
          </w:rPr>
          <w:tab/>
        </w:r>
        <w:r w:rsidR="004A19B8">
          <w:rPr>
            <w:noProof/>
            <w:webHidden/>
          </w:rPr>
          <w:fldChar w:fldCharType="begin"/>
        </w:r>
        <w:r w:rsidR="004A19B8">
          <w:rPr>
            <w:noProof/>
            <w:webHidden/>
          </w:rPr>
          <w:instrText xml:space="preserve"> PAGEREF _Toc124839819 \h </w:instrText>
        </w:r>
        <w:r w:rsidR="004A19B8">
          <w:rPr>
            <w:noProof/>
            <w:webHidden/>
          </w:rPr>
        </w:r>
        <w:r w:rsidR="004A19B8">
          <w:rPr>
            <w:noProof/>
            <w:webHidden/>
          </w:rPr>
          <w:fldChar w:fldCharType="separate"/>
        </w:r>
        <w:r w:rsidR="00A22446">
          <w:rPr>
            <w:noProof/>
            <w:webHidden/>
          </w:rPr>
          <w:t>6</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20" w:history="1">
        <w:r w:rsidR="004A19B8" w:rsidRPr="00D45A7B">
          <w:rPr>
            <w:rStyle w:val="Hypertextovodkaz"/>
            <w:noProof/>
          </w:rPr>
          <w:t>3.4</w:t>
        </w:r>
        <w:r w:rsidR="004A19B8">
          <w:rPr>
            <w:rFonts w:eastAsiaTheme="minorEastAsia"/>
            <w:smallCaps w:val="0"/>
            <w:noProof/>
            <w:sz w:val="22"/>
            <w:szCs w:val="22"/>
            <w:lang w:eastAsia="cs-CZ"/>
          </w:rPr>
          <w:tab/>
        </w:r>
        <w:r w:rsidR="004A19B8" w:rsidRPr="00D45A7B">
          <w:rPr>
            <w:rStyle w:val="Hypertextovodkaz"/>
            <w:noProof/>
          </w:rPr>
          <w:t>Hodnocení příjmů v členění podle rozpočtové skladby</w:t>
        </w:r>
        <w:r w:rsidR="004A19B8">
          <w:rPr>
            <w:noProof/>
            <w:webHidden/>
          </w:rPr>
          <w:tab/>
        </w:r>
        <w:r w:rsidR="004A19B8">
          <w:rPr>
            <w:noProof/>
            <w:webHidden/>
          </w:rPr>
          <w:fldChar w:fldCharType="begin"/>
        </w:r>
        <w:r w:rsidR="004A19B8">
          <w:rPr>
            <w:noProof/>
            <w:webHidden/>
          </w:rPr>
          <w:instrText xml:space="preserve"> PAGEREF _Toc124839820 \h </w:instrText>
        </w:r>
        <w:r w:rsidR="004A19B8">
          <w:rPr>
            <w:noProof/>
            <w:webHidden/>
          </w:rPr>
        </w:r>
        <w:r w:rsidR="004A19B8">
          <w:rPr>
            <w:noProof/>
            <w:webHidden/>
          </w:rPr>
          <w:fldChar w:fldCharType="separate"/>
        </w:r>
        <w:r w:rsidR="00A22446">
          <w:rPr>
            <w:noProof/>
            <w:webHidden/>
          </w:rPr>
          <w:t>6</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21" w:history="1">
        <w:r w:rsidR="004A19B8" w:rsidRPr="00D45A7B">
          <w:rPr>
            <w:rStyle w:val="Hypertextovodkaz"/>
            <w:noProof/>
          </w:rPr>
          <w:t>3.4.1</w:t>
        </w:r>
        <w:r w:rsidR="004A19B8">
          <w:rPr>
            <w:rFonts w:eastAsiaTheme="minorEastAsia"/>
            <w:i w:val="0"/>
            <w:iCs w:val="0"/>
            <w:noProof/>
            <w:sz w:val="22"/>
            <w:szCs w:val="22"/>
            <w:lang w:eastAsia="cs-CZ"/>
          </w:rPr>
          <w:tab/>
        </w:r>
        <w:r w:rsidR="004A19B8" w:rsidRPr="00D45A7B">
          <w:rPr>
            <w:rStyle w:val="Hypertextovodkaz"/>
            <w:noProof/>
          </w:rPr>
          <w:t>Daňové příjmy (soudní poplatky od 1. 1. 2021)</w:t>
        </w:r>
        <w:r w:rsidR="004A19B8">
          <w:rPr>
            <w:noProof/>
            <w:webHidden/>
          </w:rPr>
          <w:tab/>
        </w:r>
        <w:r w:rsidR="004A19B8">
          <w:rPr>
            <w:noProof/>
            <w:webHidden/>
          </w:rPr>
          <w:fldChar w:fldCharType="begin"/>
        </w:r>
        <w:r w:rsidR="004A19B8">
          <w:rPr>
            <w:noProof/>
            <w:webHidden/>
          </w:rPr>
          <w:instrText xml:space="preserve"> PAGEREF _Toc124839821 \h </w:instrText>
        </w:r>
        <w:r w:rsidR="004A19B8">
          <w:rPr>
            <w:noProof/>
            <w:webHidden/>
          </w:rPr>
        </w:r>
        <w:r w:rsidR="004A19B8">
          <w:rPr>
            <w:noProof/>
            <w:webHidden/>
          </w:rPr>
          <w:fldChar w:fldCharType="separate"/>
        </w:r>
        <w:r w:rsidR="00A22446">
          <w:rPr>
            <w:noProof/>
            <w:webHidden/>
          </w:rPr>
          <w:t>6</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22" w:history="1">
        <w:r w:rsidR="004A19B8" w:rsidRPr="00D45A7B">
          <w:rPr>
            <w:rStyle w:val="Hypertextovodkaz"/>
            <w:noProof/>
          </w:rPr>
          <w:t>3.4.2</w:t>
        </w:r>
        <w:r w:rsidR="004A19B8">
          <w:rPr>
            <w:rFonts w:eastAsiaTheme="minorEastAsia"/>
            <w:i w:val="0"/>
            <w:iCs w:val="0"/>
            <w:noProof/>
            <w:sz w:val="22"/>
            <w:szCs w:val="22"/>
            <w:lang w:eastAsia="cs-CZ"/>
          </w:rPr>
          <w:tab/>
        </w:r>
        <w:r w:rsidR="004A19B8" w:rsidRPr="00D45A7B">
          <w:rPr>
            <w:rStyle w:val="Hypertextovodkaz"/>
            <w:noProof/>
          </w:rPr>
          <w:t>Nedaňové příjmy</w:t>
        </w:r>
        <w:r w:rsidR="004A19B8">
          <w:rPr>
            <w:noProof/>
            <w:webHidden/>
          </w:rPr>
          <w:tab/>
        </w:r>
        <w:r w:rsidR="004A19B8">
          <w:rPr>
            <w:noProof/>
            <w:webHidden/>
          </w:rPr>
          <w:fldChar w:fldCharType="begin"/>
        </w:r>
        <w:r w:rsidR="004A19B8">
          <w:rPr>
            <w:noProof/>
            <w:webHidden/>
          </w:rPr>
          <w:instrText xml:space="preserve"> PAGEREF _Toc124839822 \h </w:instrText>
        </w:r>
        <w:r w:rsidR="004A19B8">
          <w:rPr>
            <w:noProof/>
            <w:webHidden/>
          </w:rPr>
        </w:r>
        <w:r w:rsidR="004A19B8">
          <w:rPr>
            <w:noProof/>
            <w:webHidden/>
          </w:rPr>
          <w:fldChar w:fldCharType="separate"/>
        </w:r>
        <w:r w:rsidR="00A22446">
          <w:rPr>
            <w:noProof/>
            <w:webHidden/>
          </w:rPr>
          <w:t>7</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23" w:history="1">
        <w:r w:rsidR="004A19B8" w:rsidRPr="00D45A7B">
          <w:rPr>
            <w:rStyle w:val="Hypertextovodkaz"/>
            <w:noProof/>
          </w:rPr>
          <w:t>3.4.3</w:t>
        </w:r>
        <w:r w:rsidR="004A19B8">
          <w:rPr>
            <w:rFonts w:eastAsiaTheme="minorEastAsia"/>
            <w:i w:val="0"/>
            <w:iCs w:val="0"/>
            <w:noProof/>
            <w:sz w:val="22"/>
            <w:szCs w:val="22"/>
            <w:lang w:eastAsia="cs-CZ"/>
          </w:rPr>
          <w:tab/>
        </w:r>
        <w:r w:rsidR="004A19B8" w:rsidRPr="00D45A7B">
          <w:rPr>
            <w:rStyle w:val="Hypertextovodkaz"/>
            <w:noProof/>
          </w:rPr>
          <w:t>Kapitálové příjmy</w:t>
        </w:r>
        <w:r w:rsidR="004A19B8">
          <w:rPr>
            <w:noProof/>
            <w:webHidden/>
          </w:rPr>
          <w:tab/>
        </w:r>
        <w:r w:rsidR="004A19B8">
          <w:rPr>
            <w:noProof/>
            <w:webHidden/>
          </w:rPr>
          <w:fldChar w:fldCharType="begin"/>
        </w:r>
        <w:r w:rsidR="004A19B8">
          <w:rPr>
            <w:noProof/>
            <w:webHidden/>
          </w:rPr>
          <w:instrText xml:space="preserve"> PAGEREF _Toc124839823 \h </w:instrText>
        </w:r>
        <w:r w:rsidR="004A19B8">
          <w:rPr>
            <w:noProof/>
            <w:webHidden/>
          </w:rPr>
        </w:r>
        <w:r w:rsidR="004A19B8">
          <w:rPr>
            <w:noProof/>
            <w:webHidden/>
          </w:rPr>
          <w:fldChar w:fldCharType="separate"/>
        </w:r>
        <w:r w:rsidR="00A22446">
          <w:rPr>
            <w:noProof/>
            <w:webHidden/>
          </w:rPr>
          <w:t>8</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24" w:history="1">
        <w:r w:rsidR="004A19B8" w:rsidRPr="00D45A7B">
          <w:rPr>
            <w:rStyle w:val="Hypertextovodkaz"/>
            <w:noProof/>
          </w:rPr>
          <w:t>3.4.4</w:t>
        </w:r>
        <w:r w:rsidR="004A19B8">
          <w:rPr>
            <w:rFonts w:eastAsiaTheme="minorEastAsia"/>
            <w:i w:val="0"/>
            <w:iCs w:val="0"/>
            <w:noProof/>
            <w:sz w:val="22"/>
            <w:szCs w:val="22"/>
            <w:lang w:eastAsia="cs-CZ"/>
          </w:rPr>
          <w:tab/>
        </w:r>
        <w:r w:rsidR="004A19B8" w:rsidRPr="00D45A7B">
          <w:rPr>
            <w:rStyle w:val="Hypertextovodkaz"/>
            <w:noProof/>
          </w:rPr>
          <w:t>Přijaté transfery</w:t>
        </w:r>
        <w:r w:rsidR="004A19B8">
          <w:rPr>
            <w:noProof/>
            <w:webHidden/>
          </w:rPr>
          <w:tab/>
        </w:r>
        <w:r w:rsidR="004A19B8">
          <w:rPr>
            <w:noProof/>
            <w:webHidden/>
          </w:rPr>
          <w:fldChar w:fldCharType="begin"/>
        </w:r>
        <w:r w:rsidR="004A19B8">
          <w:rPr>
            <w:noProof/>
            <w:webHidden/>
          </w:rPr>
          <w:instrText xml:space="preserve"> PAGEREF _Toc124839824 \h </w:instrText>
        </w:r>
        <w:r w:rsidR="004A19B8">
          <w:rPr>
            <w:noProof/>
            <w:webHidden/>
          </w:rPr>
        </w:r>
        <w:r w:rsidR="004A19B8">
          <w:rPr>
            <w:noProof/>
            <w:webHidden/>
          </w:rPr>
          <w:fldChar w:fldCharType="separate"/>
        </w:r>
        <w:r w:rsidR="00A22446">
          <w:rPr>
            <w:noProof/>
            <w:webHidden/>
          </w:rPr>
          <w:t>8</w:t>
        </w:r>
        <w:r w:rsidR="004A19B8">
          <w:rPr>
            <w:noProof/>
            <w:webHidden/>
          </w:rPr>
          <w:fldChar w:fldCharType="end"/>
        </w:r>
      </w:hyperlink>
    </w:p>
    <w:p w:rsidR="004A19B8" w:rsidRDefault="00B85DFE">
      <w:pPr>
        <w:pStyle w:val="Obsah1"/>
        <w:rPr>
          <w:rFonts w:asciiTheme="minorHAnsi" w:eastAsiaTheme="minorEastAsia" w:hAnsiTheme="minorHAnsi"/>
          <w:b w:val="0"/>
          <w:bCs w:val="0"/>
          <w:caps w:val="0"/>
          <w:noProof/>
          <w:sz w:val="22"/>
          <w:szCs w:val="22"/>
          <w:lang w:eastAsia="cs-CZ"/>
        </w:rPr>
      </w:pPr>
      <w:hyperlink w:anchor="_Toc124839825" w:history="1">
        <w:r w:rsidR="004A19B8" w:rsidRPr="00D45A7B">
          <w:rPr>
            <w:rStyle w:val="Hypertextovodkaz"/>
            <w:rFonts w:cstheme="minorHAnsi"/>
            <w:noProof/>
          </w:rPr>
          <w:t>4</w:t>
        </w:r>
        <w:r w:rsidR="004A19B8">
          <w:rPr>
            <w:rFonts w:asciiTheme="minorHAnsi" w:eastAsiaTheme="minorEastAsia" w:hAnsiTheme="minorHAnsi"/>
            <w:b w:val="0"/>
            <w:bCs w:val="0"/>
            <w:caps w:val="0"/>
            <w:noProof/>
            <w:sz w:val="22"/>
            <w:szCs w:val="22"/>
            <w:lang w:eastAsia="cs-CZ"/>
          </w:rPr>
          <w:tab/>
        </w:r>
        <w:r w:rsidR="004A19B8" w:rsidRPr="00D45A7B">
          <w:rPr>
            <w:rStyle w:val="Hypertextovodkaz"/>
            <w:rFonts w:cstheme="minorHAnsi"/>
            <w:noProof/>
          </w:rPr>
          <w:t>VÝDAJE</w:t>
        </w:r>
        <w:r w:rsidR="004A19B8">
          <w:rPr>
            <w:noProof/>
            <w:webHidden/>
          </w:rPr>
          <w:tab/>
        </w:r>
        <w:r w:rsidR="004A19B8">
          <w:rPr>
            <w:noProof/>
            <w:webHidden/>
          </w:rPr>
          <w:fldChar w:fldCharType="begin"/>
        </w:r>
        <w:r w:rsidR="004A19B8">
          <w:rPr>
            <w:noProof/>
            <w:webHidden/>
          </w:rPr>
          <w:instrText xml:space="preserve"> PAGEREF _Toc124839825 \h </w:instrText>
        </w:r>
        <w:r w:rsidR="004A19B8">
          <w:rPr>
            <w:noProof/>
            <w:webHidden/>
          </w:rPr>
        </w:r>
        <w:r w:rsidR="004A19B8">
          <w:rPr>
            <w:noProof/>
            <w:webHidden/>
          </w:rPr>
          <w:fldChar w:fldCharType="separate"/>
        </w:r>
        <w:r w:rsidR="00A22446">
          <w:rPr>
            <w:noProof/>
            <w:webHidden/>
          </w:rPr>
          <w:t>9</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26" w:history="1">
        <w:r w:rsidR="004A19B8" w:rsidRPr="00D45A7B">
          <w:rPr>
            <w:rStyle w:val="Hypertextovodkaz"/>
            <w:noProof/>
          </w:rPr>
          <w:t>4.1</w:t>
        </w:r>
        <w:r w:rsidR="004A19B8">
          <w:rPr>
            <w:rFonts w:eastAsiaTheme="minorEastAsia"/>
            <w:smallCaps w:val="0"/>
            <w:noProof/>
            <w:sz w:val="22"/>
            <w:szCs w:val="22"/>
            <w:lang w:eastAsia="cs-CZ"/>
          </w:rPr>
          <w:tab/>
        </w:r>
        <w:r w:rsidR="004A19B8" w:rsidRPr="00D45A7B">
          <w:rPr>
            <w:rStyle w:val="Hypertextovodkaz"/>
            <w:noProof/>
          </w:rPr>
          <w:t>Vyhodnocení výdajů</w:t>
        </w:r>
        <w:r w:rsidR="004A19B8">
          <w:rPr>
            <w:noProof/>
            <w:webHidden/>
          </w:rPr>
          <w:tab/>
        </w:r>
        <w:r w:rsidR="004A19B8">
          <w:rPr>
            <w:noProof/>
            <w:webHidden/>
          </w:rPr>
          <w:fldChar w:fldCharType="begin"/>
        </w:r>
        <w:r w:rsidR="004A19B8">
          <w:rPr>
            <w:noProof/>
            <w:webHidden/>
          </w:rPr>
          <w:instrText xml:space="preserve"> PAGEREF _Toc124839826 \h </w:instrText>
        </w:r>
        <w:r w:rsidR="004A19B8">
          <w:rPr>
            <w:noProof/>
            <w:webHidden/>
          </w:rPr>
        </w:r>
        <w:r w:rsidR="004A19B8">
          <w:rPr>
            <w:noProof/>
            <w:webHidden/>
          </w:rPr>
          <w:fldChar w:fldCharType="separate"/>
        </w:r>
        <w:r w:rsidR="00A22446">
          <w:rPr>
            <w:noProof/>
            <w:webHidden/>
          </w:rPr>
          <w:t>9</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27" w:history="1">
        <w:r w:rsidR="004A19B8" w:rsidRPr="00D45A7B">
          <w:rPr>
            <w:rStyle w:val="Hypertextovodkaz"/>
            <w:noProof/>
          </w:rPr>
          <w:t>4.1.1</w:t>
        </w:r>
        <w:r w:rsidR="004A19B8">
          <w:rPr>
            <w:rFonts w:eastAsiaTheme="minorEastAsia"/>
            <w:i w:val="0"/>
            <w:iCs w:val="0"/>
            <w:noProof/>
            <w:sz w:val="22"/>
            <w:szCs w:val="22"/>
            <w:lang w:eastAsia="cs-CZ"/>
          </w:rPr>
          <w:tab/>
        </w:r>
        <w:r w:rsidR="004A19B8" w:rsidRPr="00D45A7B">
          <w:rPr>
            <w:rStyle w:val="Hypertextovodkaz"/>
            <w:noProof/>
          </w:rPr>
          <w:t>Vázání běžných výdajů bez EDS/SMVS</w:t>
        </w:r>
        <w:r w:rsidR="004A19B8">
          <w:rPr>
            <w:noProof/>
            <w:webHidden/>
          </w:rPr>
          <w:tab/>
        </w:r>
        <w:r w:rsidR="004A19B8">
          <w:rPr>
            <w:noProof/>
            <w:webHidden/>
          </w:rPr>
          <w:fldChar w:fldCharType="begin"/>
        </w:r>
        <w:r w:rsidR="004A19B8">
          <w:rPr>
            <w:noProof/>
            <w:webHidden/>
          </w:rPr>
          <w:instrText xml:space="preserve"> PAGEREF _Toc124839827 \h </w:instrText>
        </w:r>
        <w:r w:rsidR="004A19B8">
          <w:rPr>
            <w:noProof/>
            <w:webHidden/>
          </w:rPr>
        </w:r>
        <w:r w:rsidR="004A19B8">
          <w:rPr>
            <w:noProof/>
            <w:webHidden/>
          </w:rPr>
          <w:fldChar w:fldCharType="separate"/>
        </w:r>
        <w:r w:rsidR="00A22446">
          <w:rPr>
            <w:noProof/>
            <w:webHidden/>
          </w:rPr>
          <w:t>12</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28" w:history="1">
        <w:r w:rsidR="004A19B8" w:rsidRPr="00D45A7B">
          <w:rPr>
            <w:rStyle w:val="Hypertextovodkaz"/>
            <w:noProof/>
          </w:rPr>
          <w:t>4.1.2</w:t>
        </w:r>
        <w:r w:rsidR="004A19B8">
          <w:rPr>
            <w:rFonts w:eastAsiaTheme="minorEastAsia"/>
            <w:i w:val="0"/>
            <w:iCs w:val="0"/>
            <w:noProof/>
            <w:sz w:val="22"/>
            <w:szCs w:val="22"/>
            <w:lang w:eastAsia="cs-CZ"/>
          </w:rPr>
          <w:tab/>
        </w:r>
        <w:r w:rsidR="004A19B8" w:rsidRPr="00D45A7B">
          <w:rPr>
            <w:rStyle w:val="Hypertextovodkaz"/>
            <w:noProof/>
          </w:rPr>
          <w:t>Mimorozpočtové zdroje</w:t>
        </w:r>
        <w:r w:rsidR="004A19B8">
          <w:rPr>
            <w:noProof/>
            <w:webHidden/>
          </w:rPr>
          <w:tab/>
        </w:r>
        <w:r w:rsidR="004A19B8">
          <w:rPr>
            <w:noProof/>
            <w:webHidden/>
          </w:rPr>
          <w:fldChar w:fldCharType="begin"/>
        </w:r>
        <w:r w:rsidR="004A19B8">
          <w:rPr>
            <w:noProof/>
            <w:webHidden/>
          </w:rPr>
          <w:instrText xml:space="preserve"> PAGEREF _Toc124839828 \h </w:instrText>
        </w:r>
        <w:r w:rsidR="004A19B8">
          <w:rPr>
            <w:noProof/>
            <w:webHidden/>
          </w:rPr>
        </w:r>
        <w:r w:rsidR="004A19B8">
          <w:rPr>
            <w:noProof/>
            <w:webHidden/>
          </w:rPr>
          <w:fldChar w:fldCharType="separate"/>
        </w:r>
        <w:r w:rsidR="00A22446">
          <w:rPr>
            <w:noProof/>
            <w:webHidden/>
          </w:rPr>
          <w:t>12</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29" w:history="1">
        <w:r w:rsidR="004A19B8" w:rsidRPr="00D45A7B">
          <w:rPr>
            <w:rStyle w:val="Hypertextovodkaz"/>
            <w:noProof/>
          </w:rPr>
          <w:t>4.2</w:t>
        </w:r>
        <w:r w:rsidR="004A19B8">
          <w:rPr>
            <w:rFonts w:eastAsiaTheme="minorEastAsia"/>
            <w:smallCaps w:val="0"/>
            <w:noProof/>
            <w:sz w:val="22"/>
            <w:szCs w:val="22"/>
            <w:lang w:eastAsia="cs-CZ"/>
          </w:rPr>
          <w:tab/>
        </w:r>
        <w:r w:rsidR="004A19B8" w:rsidRPr="00D45A7B">
          <w:rPr>
            <w:rStyle w:val="Hypertextovodkaz"/>
            <w:noProof/>
          </w:rPr>
          <w:t>Rozbor zaměstnanosti a čerpání mzdových prostředků</w:t>
        </w:r>
        <w:r w:rsidR="004A19B8">
          <w:rPr>
            <w:noProof/>
            <w:webHidden/>
          </w:rPr>
          <w:tab/>
        </w:r>
        <w:r w:rsidR="004A19B8">
          <w:rPr>
            <w:noProof/>
            <w:webHidden/>
          </w:rPr>
          <w:fldChar w:fldCharType="begin"/>
        </w:r>
        <w:r w:rsidR="004A19B8">
          <w:rPr>
            <w:noProof/>
            <w:webHidden/>
          </w:rPr>
          <w:instrText xml:space="preserve"> PAGEREF _Toc124839829 \h </w:instrText>
        </w:r>
        <w:r w:rsidR="004A19B8">
          <w:rPr>
            <w:noProof/>
            <w:webHidden/>
          </w:rPr>
        </w:r>
        <w:r w:rsidR="004A19B8">
          <w:rPr>
            <w:noProof/>
            <w:webHidden/>
          </w:rPr>
          <w:fldChar w:fldCharType="separate"/>
        </w:r>
        <w:r w:rsidR="00A22446">
          <w:rPr>
            <w:noProof/>
            <w:webHidden/>
          </w:rPr>
          <w:t>14</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0" w:history="1">
        <w:r w:rsidR="004A19B8" w:rsidRPr="00D45A7B">
          <w:rPr>
            <w:rStyle w:val="Hypertextovodkaz"/>
            <w:noProof/>
          </w:rPr>
          <w:t>4.3</w:t>
        </w:r>
        <w:r w:rsidR="004A19B8">
          <w:rPr>
            <w:rFonts w:eastAsiaTheme="minorEastAsia"/>
            <w:smallCaps w:val="0"/>
            <w:noProof/>
            <w:sz w:val="22"/>
            <w:szCs w:val="22"/>
            <w:lang w:eastAsia="cs-CZ"/>
          </w:rPr>
          <w:tab/>
        </w:r>
        <w:r w:rsidR="004A19B8" w:rsidRPr="00D45A7B">
          <w:rPr>
            <w:rStyle w:val="Hypertextovodkaz"/>
            <w:noProof/>
          </w:rPr>
          <w:t>Hodnocení hospodárnosti, efektivnosti a účelnosti vynakládání výdajů</w:t>
        </w:r>
        <w:r w:rsidR="004A19B8">
          <w:rPr>
            <w:noProof/>
            <w:webHidden/>
          </w:rPr>
          <w:tab/>
        </w:r>
        <w:r w:rsidR="004A19B8">
          <w:rPr>
            <w:noProof/>
            <w:webHidden/>
          </w:rPr>
          <w:fldChar w:fldCharType="begin"/>
        </w:r>
        <w:r w:rsidR="004A19B8">
          <w:rPr>
            <w:noProof/>
            <w:webHidden/>
          </w:rPr>
          <w:instrText xml:space="preserve"> PAGEREF _Toc124839830 \h </w:instrText>
        </w:r>
        <w:r w:rsidR="004A19B8">
          <w:rPr>
            <w:noProof/>
            <w:webHidden/>
          </w:rPr>
        </w:r>
        <w:r w:rsidR="004A19B8">
          <w:rPr>
            <w:noProof/>
            <w:webHidden/>
          </w:rPr>
          <w:fldChar w:fldCharType="separate"/>
        </w:r>
        <w:r w:rsidR="00A22446">
          <w:rPr>
            <w:noProof/>
            <w:webHidden/>
          </w:rPr>
          <w:t>18</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1" w:history="1">
        <w:r w:rsidR="004A19B8" w:rsidRPr="00D45A7B">
          <w:rPr>
            <w:rStyle w:val="Hypertextovodkaz"/>
            <w:noProof/>
          </w:rPr>
          <w:t>4.4</w:t>
        </w:r>
        <w:r w:rsidR="004A19B8">
          <w:rPr>
            <w:rFonts w:eastAsiaTheme="minorEastAsia"/>
            <w:smallCaps w:val="0"/>
            <w:noProof/>
            <w:sz w:val="22"/>
            <w:szCs w:val="22"/>
            <w:lang w:eastAsia="cs-CZ"/>
          </w:rPr>
          <w:tab/>
        </w:r>
        <w:r w:rsidR="004A19B8" w:rsidRPr="00D45A7B">
          <w:rPr>
            <w:rStyle w:val="Hypertextovodkaz"/>
            <w:noProof/>
          </w:rPr>
          <w:t>Stravování zaměstnanců</w:t>
        </w:r>
        <w:r w:rsidR="004A19B8">
          <w:rPr>
            <w:noProof/>
            <w:webHidden/>
          </w:rPr>
          <w:tab/>
        </w:r>
        <w:r w:rsidR="004A19B8">
          <w:rPr>
            <w:noProof/>
            <w:webHidden/>
          </w:rPr>
          <w:fldChar w:fldCharType="begin"/>
        </w:r>
        <w:r w:rsidR="004A19B8">
          <w:rPr>
            <w:noProof/>
            <w:webHidden/>
          </w:rPr>
          <w:instrText xml:space="preserve"> PAGEREF _Toc124839831 \h </w:instrText>
        </w:r>
        <w:r w:rsidR="004A19B8">
          <w:rPr>
            <w:noProof/>
            <w:webHidden/>
          </w:rPr>
        </w:r>
        <w:r w:rsidR="004A19B8">
          <w:rPr>
            <w:noProof/>
            <w:webHidden/>
          </w:rPr>
          <w:fldChar w:fldCharType="separate"/>
        </w:r>
        <w:r w:rsidR="00A22446">
          <w:rPr>
            <w:noProof/>
            <w:webHidden/>
          </w:rPr>
          <w:t>22</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2" w:history="1">
        <w:r w:rsidR="004A19B8" w:rsidRPr="00D45A7B">
          <w:rPr>
            <w:rStyle w:val="Hypertextovodkaz"/>
            <w:noProof/>
          </w:rPr>
          <w:t>4.5</w:t>
        </w:r>
        <w:r w:rsidR="004A19B8">
          <w:rPr>
            <w:rFonts w:eastAsiaTheme="minorEastAsia"/>
            <w:smallCaps w:val="0"/>
            <w:noProof/>
            <w:sz w:val="22"/>
            <w:szCs w:val="22"/>
            <w:lang w:eastAsia="cs-CZ"/>
          </w:rPr>
          <w:tab/>
        </w:r>
        <w:r w:rsidR="004A19B8" w:rsidRPr="00D45A7B">
          <w:rPr>
            <w:rStyle w:val="Hypertextovodkaz"/>
            <w:noProof/>
          </w:rPr>
          <w:t>Energie (plyn, elektrická energie a teplo)</w:t>
        </w:r>
        <w:r w:rsidR="004A19B8">
          <w:rPr>
            <w:noProof/>
            <w:webHidden/>
          </w:rPr>
          <w:tab/>
        </w:r>
        <w:r w:rsidR="004A19B8">
          <w:rPr>
            <w:noProof/>
            <w:webHidden/>
          </w:rPr>
          <w:fldChar w:fldCharType="begin"/>
        </w:r>
        <w:r w:rsidR="004A19B8">
          <w:rPr>
            <w:noProof/>
            <w:webHidden/>
          </w:rPr>
          <w:instrText xml:space="preserve"> PAGEREF _Toc124839832 \h </w:instrText>
        </w:r>
        <w:r w:rsidR="004A19B8">
          <w:rPr>
            <w:noProof/>
            <w:webHidden/>
          </w:rPr>
        </w:r>
        <w:r w:rsidR="004A19B8">
          <w:rPr>
            <w:noProof/>
            <w:webHidden/>
          </w:rPr>
          <w:fldChar w:fldCharType="separate"/>
        </w:r>
        <w:r w:rsidR="00A22446">
          <w:rPr>
            <w:noProof/>
            <w:webHidden/>
          </w:rPr>
          <w:t>24</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3" w:history="1">
        <w:r w:rsidR="004A19B8" w:rsidRPr="00D45A7B">
          <w:rPr>
            <w:rStyle w:val="Hypertextovodkaz"/>
            <w:noProof/>
          </w:rPr>
          <w:t>4.6</w:t>
        </w:r>
        <w:r w:rsidR="004A19B8">
          <w:rPr>
            <w:rFonts w:eastAsiaTheme="minorEastAsia"/>
            <w:smallCaps w:val="0"/>
            <w:noProof/>
            <w:sz w:val="22"/>
            <w:szCs w:val="22"/>
            <w:lang w:eastAsia="cs-CZ"/>
          </w:rPr>
          <w:tab/>
        </w:r>
        <w:r w:rsidR="004A19B8" w:rsidRPr="00D45A7B">
          <w:rPr>
            <w:rStyle w:val="Hypertextovodkaz"/>
            <w:noProof/>
          </w:rPr>
          <w:t>Rozlišovací znaky</w:t>
        </w:r>
        <w:r w:rsidR="004A19B8">
          <w:rPr>
            <w:noProof/>
            <w:webHidden/>
          </w:rPr>
          <w:tab/>
        </w:r>
        <w:r w:rsidR="004A19B8">
          <w:rPr>
            <w:noProof/>
            <w:webHidden/>
          </w:rPr>
          <w:fldChar w:fldCharType="begin"/>
        </w:r>
        <w:r w:rsidR="004A19B8">
          <w:rPr>
            <w:noProof/>
            <w:webHidden/>
          </w:rPr>
          <w:instrText xml:space="preserve"> PAGEREF _Toc124839833 \h </w:instrText>
        </w:r>
        <w:r w:rsidR="004A19B8">
          <w:rPr>
            <w:noProof/>
            <w:webHidden/>
          </w:rPr>
        </w:r>
        <w:r w:rsidR="004A19B8">
          <w:rPr>
            <w:noProof/>
            <w:webHidden/>
          </w:rPr>
          <w:fldChar w:fldCharType="separate"/>
        </w:r>
        <w:r w:rsidR="00A22446">
          <w:rPr>
            <w:noProof/>
            <w:webHidden/>
          </w:rPr>
          <w:t>26</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4" w:history="1">
        <w:r w:rsidR="004A19B8" w:rsidRPr="00D45A7B">
          <w:rPr>
            <w:rStyle w:val="Hypertextovodkaz"/>
            <w:noProof/>
          </w:rPr>
          <w:t>4.7</w:t>
        </w:r>
        <w:r w:rsidR="004A19B8">
          <w:rPr>
            <w:rFonts w:eastAsiaTheme="minorEastAsia"/>
            <w:smallCaps w:val="0"/>
            <w:noProof/>
            <w:sz w:val="22"/>
            <w:szCs w:val="22"/>
            <w:lang w:eastAsia="cs-CZ"/>
          </w:rPr>
          <w:tab/>
        </w:r>
        <w:r w:rsidR="004A19B8" w:rsidRPr="00D45A7B">
          <w:rPr>
            <w:rStyle w:val="Hypertextovodkaz"/>
            <w:noProof/>
          </w:rPr>
          <w:t>Rozbor IT</w:t>
        </w:r>
        <w:r w:rsidR="004A19B8">
          <w:rPr>
            <w:noProof/>
            <w:webHidden/>
          </w:rPr>
          <w:tab/>
        </w:r>
        <w:r w:rsidR="004A19B8">
          <w:rPr>
            <w:noProof/>
            <w:webHidden/>
          </w:rPr>
          <w:fldChar w:fldCharType="begin"/>
        </w:r>
        <w:r w:rsidR="004A19B8">
          <w:rPr>
            <w:noProof/>
            <w:webHidden/>
          </w:rPr>
          <w:instrText xml:space="preserve"> PAGEREF _Toc124839834 \h </w:instrText>
        </w:r>
        <w:r w:rsidR="004A19B8">
          <w:rPr>
            <w:noProof/>
            <w:webHidden/>
          </w:rPr>
        </w:r>
        <w:r w:rsidR="004A19B8">
          <w:rPr>
            <w:noProof/>
            <w:webHidden/>
          </w:rPr>
          <w:fldChar w:fldCharType="separate"/>
        </w:r>
        <w:r w:rsidR="00A22446">
          <w:rPr>
            <w:noProof/>
            <w:webHidden/>
          </w:rPr>
          <w:t>28</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5" w:history="1">
        <w:r w:rsidR="004A19B8" w:rsidRPr="00D45A7B">
          <w:rPr>
            <w:rStyle w:val="Hypertextovodkaz"/>
            <w:noProof/>
          </w:rPr>
          <w:t>4.8</w:t>
        </w:r>
        <w:r w:rsidR="004A19B8">
          <w:rPr>
            <w:rFonts w:eastAsiaTheme="minorEastAsia"/>
            <w:smallCaps w:val="0"/>
            <w:noProof/>
            <w:sz w:val="22"/>
            <w:szCs w:val="22"/>
            <w:lang w:eastAsia="cs-CZ"/>
          </w:rPr>
          <w:tab/>
        </w:r>
        <w:r w:rsidR="004A19B8" w:rsidRPr="00D45A7B">
          <w:rPr>
            <w:rStyle w:val="Hypertextovodkaz"/>
            <w:noProof/>
          </w:rPr>
          <w:t>Rozbor OBKŘ</w:t>
        </w:r>
        <w:r w:rsidR="004A19B8">
          <w:rPr>
            <w:noProof/>
            <w:webHidden/>
          </w:rPr>
          <w:tab/>
        </w:r>
        <w:r w:rsidR="004A19B8">
          <w:rPr>
            <w:noProof/>
            <w:webHidden/>
          </w:rPr>
          <w:fldChar w:fldCharType="begin"/>
        </w:r>
        <w:r w:rsidR="004A19B8">
          <w:rPr>
            <w:noProof/>
            <w:webHidden/>
          </w:rPr>
          <w:instrText xml:space="preserve"> PAGEREF _Toc124839835 \h </w:instrText>
        </w:r>
        <w:r w:rsidR="004A19B8">
          <w:rPr>
            <w:noProof/>
            <w:webHidden/>
          </w:rPr>
        </w:r>
        <w:r w:rsidR="004A19B8">
          <w:rPr>
            <w:noProof/>
            <w:webHidden/>
          </w:rPr>
          <w:fldChar w:fldCharType="separate"/>
        </w:r>
        <w:r w:rsidR="00A22446">
          <w:rPr>
            <w:noProof/>
            <w:webHidden/>
          </w:rPr>
          <w:t>29</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6" w:history="1">
        <w:r w:rsidR="004A19B8" w:rsidRPr="00D45A7B">
          <w:rPr>
            <w:rStyle w:val="Hypertextovodkaz"/>
            <w:noProof/>
          </w:rPr>
          <w:t>4.9</w:t>
        </w:r>
        <w:r w:rsidR="004A19B8">
          <w:rPr>
            <w:rFonts w:eastAsiaTheme="minorEastAsia"/>
            <w:smallCaps w:val="0"/>
            <w:noProof/>
            <w:sz w:val="22"/>
            <w:szCs w:val="22"/>
            <w:lang w:eastAsia="cs-CZ"/>
          </w:rPr>
          <w:tab/>
        </w:r>
        <w:r w:rsidR="004A19B8" w:rsidRPr="00D45A7B">
          <w:rPr>
            <w:rStyle w:val="Hypertextovodkaz"/>
            <w:noProof/>
          </w:rPr>
          <w:t>Dávky sociálního zabezpečení</w:t>
        </w:r>
        <w:r w:rsidR="004A19B8">
          <w:rPr>
            <w:noProof/>
            <w:webHidden/>
          </w:rPr>
          <w:tab/>
        </w:r>
        <w:r w:rsidR="004A19B8">
          <w:rPr>
            <w:noProof/>
            <w:webHidden/>
          </w:rPr>
          <w:fldChar w:fldCharType="begin"/>
        </w:r>
        <w:r w:rsidR="004A19B8">
          <w:rPr>
            <w:noProof/>
            <w:webHidden/>
          </w:rPr>
          <w:instrText xml:space="preserve"> PAGEREF _Toc124839836 \h </w:instrText>
        </w:r>
        <w:r w:rsidR="004A19B8">
          <w:rPr>
            <w:noProof/>
            <w:webHidden/>
          </w:rPr>
        </w:r>
        <w:r w:rsidR="004A19B8">
          <w:rPr>
            <w:noProof/>
            <w:webHidden/>
          </w:rPr>
          <w:fldChar w:fldCharType="separate"/>
        </w:r>
        <w:r w:rsidR="00A22446">
          <w:rPr>
            <w:noProof/>
            <w:webHidden/>
          </w:rPr>
          <w:t>30</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7" w:history="1">
        <w:r w:rsidR="004A19B8" w:rsidRPr="00D45A7B">
          <w:rPr>
            <w:rStyle w:val="Hypertextovodkaz"/>
            <w:noProof/>
          </w:rPr>
          <w:t>4.10</w:t>
        </w:r>
        <w:r w:rsidR="004A19B8">
          <w:rPr>
            <w:rFonts w:eastAsiaTheme="minorEastAsia"/>
            <w:smallCaps w:val="0"/>
            <w:noProof/>
            <w:sz w:val="22"/>
            <w:szCs w:val="22"/>
            <w:lang w:eastAsia="cs-CZ"/>
          </w:rPr>
          <w:tab/>
        </w:r>
        <w:r w:rsidR="004A19B8" w:rsidRPr="00D45A7B">
          <w:rPr>
            <w:rStyle w:val="Hypertextovodkaz"/>
            <w:noProof/>
          </w:rPr>
          <w:t>Projekty spolufinancované z EU/FM</w:t>
        </w:r>
        <w:r w:rsidR="004A19B8">
          <w:rPr>
            <w:noProof/>
            <w:webHidden/>
          </w:rPr>
          <w:tab/>
        </w:r>
        <w:r w:rsidR="004A19B8">
          <w:rPr>
            <w:noProof/>
            <w:webHidden/>
          </w:rPr>
          <w:fldChar w:fldCharType="begin"/>
        </w:r>
        <w:r w:rsidR="004A19B8">
          <w:rPr>
            <w:noProof/>
            <w:webHidden/>
          </w:rPr>
          <w:instrText xml:space="preserve"> PAGEREF _Toc124839837 \h </w:instrText>
        </w:r>
        <w:r w:rsidR="004A19B8">
          <w:rPr>
            <w:noProof/>
            <w:webHidden/>
          </w:rPr>
        </w:r>
        <w:r w:rsidR="004A19B8">
          <w:rPr>
            <w:noProof/>
            <w:webHidden/>
          </w:rPr>
          <w:fldChar w:fldCharType="separate"/>
        </w:r>
        <w:r w:rsidR="00A22446">
          <w:rPr>
            <w:noProof/>
            <w:webHidden/>
          </w:rPr>
          <w:t>30</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8" w:history="1">
        <w:r w:rsidR="004A19B8" w:rsidRPr="00D45A7B">
          <w:rPr>
            <w:rStyle w:val="Hypertextovodkaz"/>
            <w:noProof/>
          </w:rPr>
          <w:t>4.11</w:t>
        </w:r>
        <w:r w:rsidR="004A19B8">
          <w:rPr>
            <w:rFonts w:eastAsiaTheme="minorEastAsia"/>
            <w:smallCaps w:val="0"/>
            <w:noProof/>
            <w:sz w:val="22"/>
            <w:szCs w:val="22"/>
            <w:lang w:eastAsia="cs-CZ"/>
          </w:rPr>
          <w:tab/>
        </w:r>
        <w:r w:rsidR="004A19B8" w:rsidRPr="00D45A7B">
          <w:rPr>
            <w:rStyle w:val="Hypertextovodkaz"/>
            <w:noProof/>
          </w:rPr>
          <w:t>Hodnocení a vývoj transferů poskytnutých příspěvkovým a podobným organizacím</w:t>
        </w:r>
        <w:r w:rsidR="004A19B8">
          <w:rPr>
            <w:noProof/>
            <w:webHidden/>
          </w:rPr>
          <w:tab/>
        </w:r>
        <w:r w:rsidR="004A19B8">
          <w:rPr>
            <w:noProof/>
            <w:webHidden/>
          </w:rPr>
          <w:fldChar w:fldCharType="begin"/>
        </w:r>
        <w:r w:rsidR="004A19B8">
          <w:rPr>
            <w:noProof/>
            <w:webHidden/>
          </w:rPr>
          <w:instrText xml:space="preserve"> PAGEREF _Toc124839838 \h </w:instrText>
        </w:r>
        <w:r w:rsidR="004A19B8">
          <w:rPr>
            <w:noProof/>
            <w:webHidden/>
          </w:rPr>
        </w:r>
        <w:r w:rsidR="004A19B8">
          <w:rPr>
            <w:noProof/>
            <w:webHidden/>
          </w:rPr>
          <w:fldChar w:fldCharType="separate"/>
        </w:r>
        <w:r w:rsidR="00A22446">
          <w:rPr>
            <w:noProof/>
            <w:webHidden/>
          </w:rPr>
          <w:t>30</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39" w:history="1">
        <w:r w:rsidR="004A19B8" w:rsidRPr="00D45A7B">
          <w:rPr>
            <w:rStyle w:val="Hypertextovodkaz"/>
            <w:noProof/>
          </w:rPr>
          <w:t>4.12</w:t>
        </w:r>
        <w:r w:rsidR="004A19B8">
          <w:rPr>
            <w:rFonts w:eastAsiaTheme="minorEastAsia"/>
            <w:smallCaps w:val="0"/>
            <w:noProof/>
            <w:sz w:val="22"/>
            <w:szCs w:val="22"/>
            <w:lang w:eastAsia="cs-CZ"/>
          </w:rPr>
          <w:tab/>
        </w:r>
        <w:r w:rsidR="004A19B8" w:rsidRPr="00D45A7B">
          <w:rPr>
            <w:rStyle w:val="Hypertextovodkaz"/>
            <w:noProof/>
          </w:rPr>
          <w:t>Neinvestiční transfery a související platby do zahraničí (seskupení 55)</w:t>
        </w:r>
        <w:r w:rsidR="004A19B8">
          <w:rPr>
            <w:noProof/>
            <w:webHidden/>
          </w:rPr>
          <w:tab/>
        </w:r>
        <w:r w:rsidR="004A19B8">
          <w:rPr>
            <w:noProof/>
            <w:webHidden/>
          </w:rPr>
          <w:fldChar w:fldCharType="begin"/>
        </w:r>
        <w:r w:rsidR="004A19B8">
          <w:rPr>
            <w:noProof/>
            <w:webHidden/>
          </w:rPr>
          <w:instrText xml:space="preserve"> PAGEREF _Toc124839839 \h </w:instrText>
        </w:r>
        <w:r w:rsidR="004A19B8">
          <w:rPr>
            <w:noProof/>
            <w:webHidden/>
          </w:rPr>
        </w:r>
        <w:r w:rsidR="004A19B8">
          <w:rPr>
            <w:noProof/>
            <w:webHidden/>
          </w:rPr>
          <w:fldChar w:fldCharType="separate"/>
        </w:r>
        <w:r w:rsidR="00A22446">
          <w:rPr>
            <w:noProof/>
            <w:webHidden/>
          </w:rPr>
          <w:t>30</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40" w:history="1">
        <w:r w:rsidR="004A19B8" w:rsidRPr="00D45A7B">
          <w:rPr>
            <w:rStyle w:val="Hypertextovodkaz"/>
            <w:noProof/>
          </w:rPr>
          <w:t>4.13</w:t>
        </w:r>
        <w:r w:rsidR="004A19B8">
          <w:rPr>
            <w:rFonts w:eastAsiaTheme="minorEastAsia"/>
            <w:smallCaps w:val="0"/>
            <w:noProof/>
            <w:sz w:val="22"/>
            <w:szCs w:val="22"/>
            <w:lang w:eastAsia="cs-CZ"/>
          </w:rPr>
          <w:tab/>
        </w:r>
        <w:r w:rsidR="004A19B8" w:rsidRPr="00D45A7B">
          <w:rPr>
            <w:rStyle w:val="Hypertextovodkaz"/>
            <w:noProof/>
          </w:rPr>
          <w:t>Čerpání a vývoj transferů poskytnutých neziskovým a podobným organizacím</w:t>
        </w:r>
        <w:r w:rsidR="004A19B8">
          <w:rPr>
            <w:noProof/>
            <w:webHidden/>
          </w:rPr>
          <w:tab/>
        </w:r>
        <w:r w:rsidR="004A19B8">
          <w:rPr>
            <w:noProof/>
            <w:webHidden/>
          </w:rPr>
          <w:fldChar w:fldCharType="begin"/>
        </w:r>
        <w:r w:rsidR="004A19B8">
          <w:rPr>
            <w:noProof/>
            <w:webHidden/>
          </w:rPr>
          <w:instrText xml:space="preserve"> PAGEREF _Toc124839840 \h </w:instrText>
        </w:r>
        <w:r w:rsidR="004A19B8">
          <w:rPr>
            <w:noProof/>
            <w:webHidden/>
          </w:rPr>
        </w:r>
        <w:r w:rsidR="004A19B8">
          <w:rPr>
            <w:noProof/>
            <w:webHidden/>
          </w:rPr>
          <w:fldChar w:fldCharType="separate"/>
        </w:r>
        <w:r w:rsidR="00A22446">
          <w:rPr>
            <w:noProof/>
            <w:webHidden/>
          </w:rPr>
          <w:t>30</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41" w:history="1">
        <w:r w:rsidR="004A19B8" w:rsidRPr="00D45A7B">
          <w:rPr>
            <w:rStyle w:val="Hypertextovodkaz"/>
            <w:noProof/>
          </w:rPr>
          <w:t>4.14</w:t>
        </w:r>
        <w:r w:rsidR="004A19B8">
          <w:rPr>
            <w:rFonts w:eastAsiaTheme="minorEastAsia"/>
            <w:smallCaps w:val="0"/>
            <w:noProof/>
            <w:sz w:val="22"/>
            <w:szCs w:val="22"/>
            <w:lang w:eastAsia="cs-CZ"/>
          </w:rPr>
          <w:tab/>
        </w:r>
        <w:r w:rsidR="004A19B8" w:rsidRPr="00D45A7B">
          <w:rPr>
            <w:rStyle w:val="Hypertextovodkaz"/>
            <w:noProof/>
          </w:rPr>
          <w:t>Předsednictví v Radě EU (CZ PŘES)</w:t>
        </w:r>
        <w:r w:rsidR="004A19B8">
          <w:rPr>
            <w:noProof/>
            <w:webHidden/>
          </w:rPr>
          <w:tab/>
        </w:r>
        <w:r w:rsidR="004A19B8">
          <w:rPr>
            <w:noProof/>
            <w:webHidden/>
          </w:rPr>
          <w:fldChar w:fldCharType="begin"/>
        </w:r>
        <w:r w:rsidR="004A19B8">
          <w:rPr>
            <w:noProof/>
            <w:webHidden/>
          </w:rPr>
          <w:instrText xml:space="preserve"> PAGEREF _Toc124839841 \h </w:instrText>
        </w:r>
        <w:r w:rsidR="004A19B8">
          <w:rPr>
            <w:noProof/>
            <w:webHidden/>
          </w:rPr>
        </w:r>
        <w:r w:rsidR="004A19B8">
          <w:rPr>
            <w:noProof/>
            <w:webHidden/>
          </w:rPr>
          <w:fldChar w:fldCharType="separate"/>
        </w:r>
        <w:r w:rsidR="00A22446">
          <w:rPr>
            <w:noProof/>
            <w:webHidden/>
          </w:rPr>
          <w:t>30</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42" w:history="1">
        <w:r w:rsidR="004A19B8" w:rsidRPr="00D45A7B">
          <w:rPr>
            <w:rStyle w:val="Hypertextovodkaz"/>
            <w:noProof/>
          </w:rPr>
          <w:t>4.15</w:t>
        </w:r>
        <w:r w:rsidR="004A19B8">
          <w:rPr>
            <w:rFonts w:eastAsiaTheme="minorEastAsia"/>
            <w:smallCaps w:val="0"/>
            <w:noProof/>
            <w:sz w:val="22"/>
            <w:szCs w:val="22"/>
            <w:lang w:eastAsia="cs-CZ"/>
          </w:rPr>
          <w:tab/>
        </w:r>
        <w:r w:rsidR="004A19B8" w:rsidRPr="00D45A7B">
          <w:rPr>
            <w:rStyle w:val="Hypertextovodkaz"/>
            <w:noProof/>
          </w:rPr>
          <w:t>Programové financování</w:t>
        </w:r>
        <w:r w:rsidR="004A19B8">
          <w:rPr>
            <w:noProof/>
            <w:webHidden/>
          </w:rPr>
          <w:tab/>
        </w:r>
        <w:r w:rsidR="004A19B8">
          <w:rPr>
            <w:noProof/>
            <w:webHidden/>
          </w:rPr>
          <w:fldChar w:fldCharType="begin"/>
        </w:r>
        <w:r w:rsidR="004A19B8">
          <w:rPr>
            <w:noProof/>
            <w:webHidden/>
          </w:rPr>
          <w:instrText xml:space="preserve"> PAGEREF _Toc124839842 \h </w:instrText>
        </w:r>
        <w:r w:rsidR="004A19B8">
          <w:rPr>
            <w:noProof/>
            <w:webHidden/>
          </w:rPr>
        </w:r>
        <w:r w:rsidR="004A19B8">
          <w:rPr>
            <w:noProof/>
            <w:webHidden/>
          </w:rPr>
          <w:fldChar w:fldCharType="separate"/>
        </w:r>
        <w:r w:rsidR="00A22446">
          <w:rPr>
            <w:noProof/>
            <w:webHidden/>
          </w:rPr>
          <w:t>31</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43" w:history="1">
        <w:r w:rsidR="004A19B8" w:rsidRPr="00D45A7B">
          <w:rPr>
            <w:rStyle w:val="Hypertextovodkaz"/>
            <w:noProof/>
          </w:rPr>
          <w:t>4.15.1</w:t>
        </w:r>
        <w:r w:rsidR="004A19B8">
          <w:rPr>
            <w:rFonts w:eastAsiaTheme="minorEastAsia"/>
            <w:i w:val="0"/>
            <w:iCs w:val="0"/>
            <w:noProof/>
            <w:sz w:val="22"/>
            <w:szCs w:val="22"/>
            <w:lang w:eastAsia="cs-CZ"/>
          </w:rPr>
          <w:tab/>
        </w:r>
        <w:r w:rsidR="004A19B8" w:rsidRPr="00D45A7B">
          <w:rPr>
            <w:rStyle w:val="Hypertextovodkaz"/>
            <w:noProof/>
          </w:rPr>
          <w:t>Hodnocení výdajů programového financování</w:t>
        </w:r>
        <w:r w:rsidR="004A19B8">
          <w:rPr>
            <w:noProof/>
            <w:webHidden/>
          </w:rPr>
          <w:tab/>
        </w:r>
        <w:r w:rsidR="004A19B8">
          <w:rPr>
            <w:noProof/>
            <w:webHidden/>
          </w:rPr>
          <w:fldChar w:fldCharType="begin"/>
        </w:r>
        <w:r w:rsidR="004A19B8">
          <w:rPr>
            <w:noProof/>
            <w:webHidden/>
          </w:rPr>
          <w:instrText xml:space="preserve"> PAGEREF _Toc124839843 \h </w:instrText>
        </w:r>
        <w:r w:rsidR="004A19B8">
          <w:rPr>
            <w:noProof/>
            <w:webHidden/>
          </w:rPr>
        </w:r>
        <w:r w:rsidR="004A19B8">
          <w:rPr>
            <w:noProof/>
            <w:webHidden/>
          </w:rPr>
          <w:fldChar w:fldCharType="separate"/>
        </w:r>
        <w:r w:rsidR="00A22446">
          <w:rPr>
            <w:noProof/>
            <w:webHidden/>
          </w:rPr>
          <w:t>31</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44" w:history="1">
        <w:r w:rsidR="004A19B8" w:rsidRPr="00D45A7B">
          <w:rPr>
            <w:rStyle w:val="Hypertextovodkaz"/>
            <w:noProof/>
          </w:rPr>
          <w:t>4.15.2 Nároky z nespotřebovaných výdajů</w:t>
        </w:r>
        <w:r w:rsidR="004A19B8">
          <w:rPr>
            <w:noProof/>
            <w:webHidden/>
          </w:rPr>
          <w:tab/>
        </w:r>
        <w:r w:rsidR="004A19B8">
          <w:rPr>
            <w:noProof/>
            <w:webHidden/>
          </w:rPr>
          <w:fldChar w:fldCharType="begin"/>
        </w:r>
        <w:r w:rsidR="004A19B8">
          <w:rPr>
            <w:noProof/>
            <w:webHidden/>
          </w:rPr>
          <w:instrText xml:space="preserve"> PAGEREF _Toc124839844 \h </w:instrText>
        </w:r>
        <w:r w:rsidR="004A19B8">
          <w:rPr>
            <w:noProof/>
            <w:webHidden/>
          </w:rPr>
        </w:r>
        <w:r w:rsidR="004A19B8">
          <w:rPr>
            <w:noProof/>
            <w:webHidden/>
          </w:rPr>
          <w:fldChar w:fldCharType="separate"/>
        </w:r>
        <w:r w:rsidR="00A22446">
          <w:rPr>
            <w:noProof/>
            <w:webHidden/>
          </w:rPr>
          <w:t>31</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45" w:history="1">
        <w:r w:rsidR="004A19B8" w:rsidRPr="00D45A7B">
          <w:rPr>
            <w:rStyle w:val="Hypertextovodkaz"/>
            <w:noProof/>
          </w:rPr>
          <w:t>4.15.3 Největší investiční akce</w:t>
        </w:r>
        <w:r w:rsidR="004A19B8">
          <w:rPr>
            <w:noProof/>
            <w:webHidden/>
          </w:rPr>
          <w:tab/>
        </w:r>
        <w:r w:rsidR="004A19B8">
          <w:rPr>
            <w:noProof/>
            <w:webHidden/>
          </w:rPr>
          <w:fldChar w:fldCharType="begin"/>
        </w:r>
        <w:r w:rsidR="004A19B8">
          <w:rPr>
            <w:noProof/>
            <w:webHidden/>
          </w:rPr>
          <w:instrText xml:space="preserve"> PAGEREF _Toc124839845 \h </w:instrText>
        </w:r>
        <w:r w:rsidR="004A19B8">
          <w:rPr>
            <w:noProof/>
            <w:webHidden/>
          </w:rPr>
        </w:r>
        <w:r w:rsidR="004A19B8">
          <w:rPr>
            <w:noProof/>
            <w:webHidden/>
          </w:rPr>
          <w:fldChar w:fldCharType="separate"/>
        </w:r>
        <w:r w:rsidR="00A22446">
          <w:rPr>
            <w:noProof/>
            <w:webHidden/>
          </w:rPr>
          <w:t>32</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46" w:history="1">
        <w:r w:rsidR="004A19B8" w:rsidRPr="00D45A7B">
          <w:rPr>
            <w:rStyle w:val="Hypertextovodkaz"/>
            <w:noProof/>
          </w:rPr>
          <w:t>4.15.4 Projekty spolufinancované z EU(FM</w:t>
        </w:r>
        <w:r w:rsidR="004A19B8">
          <w:rPr>
            <w:noProof/>
            <w:webHidden/>
          </w:rPr>
          <w:tab/>
        </w:r>
        <w:r w:rsidR="004A19B8">
          <w:rPr>
            <w:noProof/>
            <w:webHidden/>
          </w:rPr>
          <w:fldChar w:fldCharType="begin"/>
        </w:r>
        <w:r w:rsidR="004A19B8">
          <w:rPr>
            <w:noProof/>
            <w:webHidden/>
          </w:rPr>
          <w:instrText xml:space="preserve"> PAGEREF _Toc124839846 \h </w:instrText>
        </w:r>
        <w:r w:rsidR="004A19B8">
          <w:rPr>
            <w:noProof/>
            <w:webHidden/>
          </w:rPr>
        </w:r>
        <w:r w:rsidR="004A19B8">
          <w:rPr>
            <w:noProof/>
            <w:webHidden/>
          </w:rPr>
          <w:fldChar w:fldCharType="separate"/>
        </w:r>
        <w:r w:rsidR="00A22446">
          <w:rPr>
            <w:noProof/>
            <w:webHidden/>
          </w:rPr>
          <w:t>33</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47" w:history="1">
        <w:r w:rsidR="004A19B8" w:rsidRPr="00D45A7B">
          <w:rPr>
            <w:rStyle w:val="Hypertextovodkaz"/>
            <w:noProof/>
          </w:rPr>
          <w:t>4.15.5 Vázání výdajů</w:t>
        </w:r>
        <w:r w:rsidR="004A19B8">
          <w:rPr>
            <w:noProof/>
            <w:webHidden/>
          </w:rPr>
          <w:tab/>
        </w:r>
        <w:r w:rsidR="004A19B8">
          <w:rPr>
            <w:noProof/>
            <w:webHidden/>
          </w:rPr>
          <w:fldChar w:fldCharType="begin"/>
        </w:r>
        <w:r w:rsidR="004A19B8">
          <w:rPr>
            <w:noProof/>
            <w:webHidden/>
          </w:rPr>
          <w:instrText xml:space="preserve"> PAGEREF _Toc124839847 \h </w:instrText>
        </w:r>
        <w:r w:rsidR="004A19B8">
          <w:rPr>
            <w:noProof/>
            <w:webHidden/>
          </w:rPr>
        </w:r>
        <w:r w:rsidR="004A19B8">
          <w:rPr>
            <w:noProof/>
            <w:webHidden/>
          </w:rPr>
          <w:fldChar w:fldCharType="separate"/>
        </w:r>
        <w:r w:rsidR="00A22446">
          <w:rPr>
            <w:noProof/>
            <w:webHidden/>
          </w:rPr>
          <w:t>33</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48" w:history="1">
        <w:r w:rsidR="004A19B8" w:rsidRPr="00D45A7B">
          <w:rPr>
            <w:rStyle w:val="Hypertextovodkaz"/>
            <w:noProof/>
          </w:rPr>
          <w:t>4.15.6 Výdaje s kódem účelu</w:t>
        </w:r>
        <w:r w:rsidR="004A19B8">
          <w:rPr>
            <w:noProof/>
            <w:webHidden/>
          </w:rPr>
          <w:tab/>
        </w:r>
        <w:r w:rsidR="004A19B8">
          <w:rPr>
            <w:noProof/>
            <w:webHidden/>
          </w:rPr>
          <w:fldChar w:fldCharType="begin"/>
        </w:r>
        <w:r w:rsidR="004A19B8">
          <w:rPr>
            <w:noProof/>
            <w:webHidden/>
          </w:rPr>
          <w:instrText xml:space="preserve"> PAGEREF _Toc124839848 \h </w:instrText>
        </w:r>
        <w:r w:rsidR="004A19B8">
          <w:rPr>
            <w:noProof/>
            <w:webHidden/>
          </w:rPr>
        </w:r>
        <w:r w:rsidR="004A19B8">
          <w:rPr>
            <w:noProof/>
            <w:webHidden/>
          </w:rPr>
          <w:fldChar w:fldCharType="separate"/>
        </w:r>
        <w:r w:rsidR="00A22446">
          <w:rPr>
            <w:noProof/>
            <w:webHidden/>
          </w:rPr>
          <w:t>33</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49" w:history="1">
        <w:r w:rsidR="004A19B8" w:rsidRPr="00D45A7B">
          <w:rPr>
            <w:rStyle w:val="Hypertextovodkaz"/>
            <w:noProof/>
          </w:rPr>
          <w:t>4.16</w:t>
        </w:r>
        <w:r w:rsidR="004A19B8">
          <w:rPr>
            <w:rFonts w:eastAsiaTheme="minorEastAsia"/>
            <w:smallCaps w:val="0"/>
            <w:noProof/>
            <w:sz w:val="22"/>
            <w:szCs w:val="22"/>
            <w:lang w:eastAsia="cs-CZ"/>
          </w:rPr>
          <w:tab/>
        </w:r>
        <w:r w:rsidR="004A19B8" w:rsidRPr="00D45A7B">
          <w:rPr>
            <w:rStyle w:val="Hypertextovodkaz"/>
            <w:noProof/>
          </w:rPr>
          <w:t>Výdaje na podporu výzkumu, vývoje a inovace</w:t>
        </w:r>
        <w:r w:rsidR="004A19B8">
          <w:rPr>
            <w:noProof/>
            <w:webHidden/>
          </w:rPr>
          <w:tab/>
        </w:r>
        <w:r w:rsidR="004A19B8">
          <w:rPr>
            <w:noProof/>
            <w:webHidden/>
          </w:rPr>
          <w:fldChar w:fldCharType="begin"/>
        </w:r>
        <w:r w:rsidR="004A19B8">
          <w:rPr>
            <w:noProof/>
            <w:webHidden/>
          </w:rPr>
          <w:instrText xml:space="preserve"> PAGEREF _Toc124839849 \h </w:instrText>
        </w:r>
        <w:r w:rsidR="004A19B8">
          <w:rPr>
            <w:noProof/>
            <w:webHidden/>
          </w:rPr>
        </w:r>
        <w:r w:rsidR="004A19B8">
          <w:rPr>
            <w:noProof/>
            <w:webHidden/>
          </w:rPr>
          <w:fldChar w:fldCharType="separate"/>
        </w:r>
        <w:r w:rsidR="00A22446">
          <w:rPr>
            <w:noProof/>
            <w:webHidden/>
          </w:rPr>
          <w:t>35</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50" w:history="1">
        <w:r w:rsidR="004A19B8" w:rsidRPr="00D45A7B">
          <w:rPr>
            <w:rStyle w:val="Hypertextovodkaz"/>
            <w:noProof/>
          </w:rPr>
          <w:t>4.17</w:t>
        </w:r>
        <w:r w:rsidR="004A19B8">
          <w:rPr>
            <w:rFonts w:eastAsiaTheme="minorEastAsia"/>
            <w:smallCaps w:val="0"/>
            <w:noProof/>
            <w:sz w:val="22"/>
            <w:szCs w:val="22"/>
            <w:lang w:eastAsia="cs-CZ"/>
          </w:rPr>
          <w:tab/>
        </w:r>
        <w:r w:rsidR="004A19B8" w:rsidRPr="00D45A7B">
          <w:rPr>
            <w:rStyle w:val="Hypertextovodkaz"/>
            <w:noProof/>
          </w:rPr>
          <w:t>Nároky z nespotřebovaných výdajů</w:t>
        </w:r>
        <w:r w:rsidR="004A19B8">
          <w:rPr>
            <w:noProof/>
            <w:webHidden/>
          </w:rPr>
          <w:tab/>
        </w:r>
        <w:r w:rsidR="004A19B8">
          <w:rPr>
            <w:noProof/>
            <w:webHidden/>
          </w:rPr>
          <w:fldChar w:fldCharType="begin"/>
        </w:r>
        <w:r w:rsidR="004A19B8">
          <w:rPr>
            <w:noProof/>
            <w:webHidden/>
          </w:rPr>
          <w:instrText xml:space="preserve"> PAGEREF _Toc124839850 \h </w:instrText>
        </w:r>
        <w:r w:rsidR="004A19B8">
          <w:rPr>
            <w:noProof/>
            <w:webHidden/>
          </w:rPr>
        </w:r>
        <w:r w:rsidR="004A19B8">
          <w:rPr>
            <w:noProof/>
            <w:webHidden/>
          </w:rPr>
          <w:fldChar w:fldCharType="separate"/>
        </w:r>
        <w:r w:rsidR="00A22446">
          <w:rPr>
            <w:noProof/>
            <w:webHidden/>
          </w:rPr>
          <w:t>35</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51" w:history="1">
        <w:r w:rsidR="004A19B8" w:rsidRPr="00D45A7B">
          <w:rPr>
            <w:rStyle w:val="Hypertextovodkaz"/>
            <w:noProof/>
          </w:rPr>
          <w:t>4.18</w:t>
        </w:r>
        <w:r w:rsidR="004A19B8">
          <w:rPr>
            <w:rFonts w:eastAsiaTheme="minorEastAsia"/>
            <w:smallCaps w:val="0"/>
            <w:noProof/>
            <w:sz w:val="22"/>
            <w:szCs w:val="22"/>
            <w:lang w:eastAsia="cs-CZ"/>
          </w:rPr>
          <w:tab/>
        </w:r>
        <w:r w:rsidR="004A19B8" w:rsidRPr="00D45A7B">
          <w:rPr>
            <w:rStyle w:val="Hypertextovodkaz"/>
            <w:noProof/>
          </w:rPr>
          <w:t>Mimořádné situace (COVID, odstraňování následků živelních katastrof a další mimořádné situace)</w:t>
        </w:r>
        <w:r w:rsidR="004A19B8">
          <w:rPr>
            <w:noProof/>
            <w:webHidden/>
          </w:rPr>
          <w:tab/>
        </w:r>
        <w:r w:rsidR="004A19B8">
          <w:rPr>
            <w:noProof/>
            <w:webHidden/>
          </w:rPr>
          <w:fldChar w:fldCharType="begin"/>
        </w:r>
        <w:r w:rsidR="004A19B8">
          <w:rPr>
            <w:noProof/>
            <w:webHidden/>
          </w:rPr>
          <w:instrText xml:space="preserve"> PAGEREF _Toc124839851 \h </w:instrText>
        </w:r>
        <w:r w:rsidR="004A19B8">
          <w:rPr>
            <w:noProof/>
            <w:webHidden/>
          </w:rPr>
        </w:r>
        <w:r w:rsidR="004A19B8">
          <w:rPr>
            <w:noProof/>
            <w:webHidden/>
          </w:rPr>
          <w:fldChar w:fldCharType="separate"/>
        </w:r>
        <w:r w:rsidR="00A22446">
          <w:rPr>
            <w:noProof/>
            <w:webHidden/>
          </w:rPr>
          <w:t>38</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52" w:history="1">
        <w:r w:rsidR="004A19B8" w:rsidRPr="00D45A7B">
          <w:rPr>
            <w:rStyle w:val="Hypertextovodkaz"/>
            <w:noProof/>
          </w:rPr>
          <w:t>4.18.1</w:t>
        </w:r>
        <w:r w:rsidR="004A19B8">
          <w:rPr>
            <w:rFonts w:eastAsiaTheme="minorEastAsia"/>
            <w:i w:val="0"/>
            <w:iCs w:val="0"/>
            <w:noProof/>
            <w:sz w:val="22"/>
            <w:szCs w:val="22"/>
            <w:lang w:eastAsia="cs-CZ"/>
          </w:rPr>
          <w:tab/>
        </w:r>
        <w:r w:rsidR="004A19B8" w:rsidRPr="00D45A7B">
          <w:rPr>
            <w:rStyle w:val="Hypertextovodkaz"/>
            <w:noProof/>
          </w:rPr>
          <w:t>Náklady a úspory COVID</w:t>
        </w:r>
        <w:r w:rsidR="004A19B8">
          <w:rPr>
            <w:noProof/>
            <w:webHidden/>
          </w:rPr>
          <w:tab/>
        </w:r>
        <w:r w:rsidR="004A19B8">
          <w:rPr>
            <w:noProof/>
            <w:webHidden/>
          </w:rPr>
          <w:fldChar w:fldCharType="begin"/>
        </w:r>
        <w:r w:rsidR="004A19B8">
          <w:rPr>
            <w:noProof/>
            <w:webHidden/>
          </w:rPr>
          <w:instrText xml:space="preserve"> PAGEREF _Toc124839852 \h </w:instrText>
        </w:r>
        <w:r w:rsidR="004A19B8">
          <w:rPr>
            <w:noProof/>
            <w:webHidden/>
          </w:rPr>
        </w:r>
        <w:r w:rsidR="004A19B8">
          <w:rPr>
            <w:noProof/>
            <w:webHidden/>
          </w:rPr>
          <w:fldChar w:fldCharType="separate"/>
        </w:r>
        <w:r w:rsidR="00A22446">
          <w:rPr>
            <w:noProof/>
            <w:webHidden/>
          </w:rPr>
          <w:t>38</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53" w:history="1">
        <w:r w:rsidR="004A19B8" w:rsidRPr="00D45A7B">
          <w:rPr>
            <w:rStyle w:val="Hypertextovodkaz"/>
            <w:noProof/>
          </w:rPr>
          <w:t>4.18.2</w:t>
        </w:r>
        <w:r w:rsidR="004A19B8">
          <w:rPr>
            <w:rFonts w:eastAsiaTheme="minorEastAsia"/>
            <w:i w:val="0"/>
            <w:iCs w:val="0"/>
            <w:noProof/>
            <w:sz w:val="22"/>
            <w:szCs w:val="22"/>
            <w:lang w:eastAsia="cs-CZ"/>
          </w:rPr>
          <w:tab/>
        </w:r>
        <w:r w:rsidR="004A19B8" w:rsidRPr="00D45A7B">
          <w:rPr>
            <w:rStyle w:val="Hypertextovodkaz"/>
            <w:noProof/>
          </w:rPr>
          <w:t>Náklady spojené s „Ukrajinou“</w:t>
        </w:r>
        <w:r w:rsidR="004A19B8">
          <w:rPr>
            <w:noProof/>
            <w:webHidden/>
          </w:rPr>
          <w:tab/>
        </w:r>
        <w:r w:rsidR="004A19B8">
          <w:rPr>
            <w:noProof/>
            <w:webHidden/>
          </w:rPr>
          <w:fldChar w:fldCharType="begin"/>
        </w:r>
        <w:r w:rsidR="004A19B8">
          <w:rPr>
            <w:noProof/>
            <w:webHidden/>
          </w:rPr>
          <w:instrText xml:space="preserve"> PAGEREF _Toc124839853 \h </w:instrText>
        </w:r>
        <w:r w:rsidR="004A19B8">
          <w:rPr>
            <w:noProof/>
            <w:webHidden/>
          </w:rPr>
        </w:r>
        <w:r w:rsidR="004A19B8">
          <w:rPr>
            <w:noProof/>
            <w:webHidden/>
          </w:rPr>
          <w:fldChar w:fldCharType="separate"/>
        </w:r>
        <w:r w:rsidR="00A22446">
          <w:rPr>
            <w:noProof/>
            <w:webHidden/>
          </w:rPr>
          <w:t>38</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54" w:history="1">
        <w:r w:rsidR="004A19B8" w:rsidRPr="00D45A7B">
          <w:rPr>
            <w:rStyle w:val="Hypertextovodkaz"/>
            <w:noProof/>
          </w:rPr>
          <w:t>4.18.3</w:t>
        </w:r>
        <w:r w:rsidR="004A19B8">
          <w:rPr>
            <w:rFonts w:eastAsiaTheme="minorEastAsia"/>
            <w:i w:val="0"/>
            <w:iCs w:val="0"/>
            <w:noProof/>
            <w:sz w:val="22"/>
            <w:szCs w:val="22"/>
            <w:lang w:eastAsia="cs-CZ"/>
          </w:rPr>
          <w:tab/>
        </w:r>
        <w:r w:rsidR="004A19B8" w:rsidRPr="00D45A7B">
          <w:rPr>
            <w:rStyle w:val="Hypertextovodkaz"/>
            <w:noProof/>
          </w:rPr>
          <w:t>Prostředky na odstraňování následků živelných katastrof</w:t>
        </w:r>
        <w:r w:rsidR="004A19B8">
          <w:rPr>
            <w:noProof/>
            <w:webHidden/>
          </w:rPr>
          <w:tab/>
        </w:r>
        <w:r w:rsidR="004A19B8">
          <w:rPr>
            <w:noProof/>
            <w:webHidden/>
          </w:rPr>
          <w:fldChar w:fldCharType="begin"/>
        </w:r>
        <w:r w:rsidR="004A19B8">
          <w:rPr>
            <w:noProof/>
            <w:webHidden/>
          </w:rPr>
          <w:instrText xml:space="preserve"> PAGEREF _Toc124839854 \h </w:instrText>
        </w:r>
        <w:r w:rsidR="004A19B8">
          <w:rPr>
            <w:noProof/>
            <w:webHidden/>
          </w:rPr>
        </w:r>
        <w:r w:rsidR="004A19B8">
          <w:rPr>
            <w:noProof/>
            <w:webHidden/>
          </w:rPr>
          <w:fldChar w:fldCharType="separate"/>
        </w:r>
        <w:r w:rsidR="00A22446">
          <w:rPr>
            <w:noProof/>
            <w:webHidden/>
          </w:rPr>
          <w:t>38</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55" w:history="1">
        <w:r w:rsidR="004A19B8" w:rsidRPr="00D45A7B">
          <w:rPr>
            <w:rStyle w:val="Hypertextovodkaz"/>
            <w:noProof/>
          </w:rPr>
          <w:t>4.19</w:t>
        </w:r>
        <w:r w:rsidR="004A19B8">
          <w:rPr>
            <w:rFonts w:eastAsiaTheme="minorEastAsia"/>
            <w:smallCaps w:val="0"/>
            <w:noProof/>
            <w:sz w:val="22"/>
            <w:szCs w:val="22"/>
            <w:lang w:eastAsia="cs-CZ"/>
          </w:rPr>
          <w:tab/>
        </w:r>
        <w:r w:rsidR="004A19B8" w:rsidRPr="00D45A7B">
          <w:rPr>
            <w:rStyle w:val="Hypertextovodkaz"/>
            <w:noProof/>
          </w:rPr>
          <w:t>Účelové prostředky na celostátní programy</w:t>
        </w:r>
        <w:r w:rsidR="004A19B8">
          <w:rPr>
            <w:noProof/>
            <w:webHidden/>
          </w:rPr>
          <w:tab/>
        </w:r>
        <w:r w:rsidR="004A19B8">
          <w:rPr>
            <w:noProof/>
            <w:webHidden/>
          </w:rPr>
          <w:fldChar w:fldCharType="begin"/>
        </w:r>
        <w:r w:rsidR="004A19B8">
          <w:rPr>
            <w:noProof/>
            <w:webHidden/>
          </w:rPr>
          <w:instrText xml:space="preserve"> PAGEREF _Toc124839855 \h </w:instrText>
        </w:r>
        <w:r w:rsidR="004A19B8">
          <w:rPr>
            <w:noProof/>
            <w:webHidden/>
          </w:rPr>
        </w:r>
        <w:r w:rsidR="004A19B8">
          <w:rPr>
            <w:noProof/>
            <w:webHidden/>
          </w:rPr>
          <w:fldChar w:fldCharType="separate"/>
        </w:r>
        <w:r w:rsidR="00A22446">
          <w:rPr>
            <w:noProof/>
            <w:webHidden/>
          </w:rPr>
          <w:t>38</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56" w:history="1">
        <w:r w:rsidR="004A19B8" w:rsidRPr="00D45A7B">
          <w:rPr>
            <w:rStyle w:val="Hypertextovodkaz"/>
            <w:noProof/>
          </w:rPr>
          <w:t>4.20</w:t>
        </w:r>
        <w:r w:rsidR="004A19B8">
          <w:rPr>
            <w:rFonts w:eastAsiaTheme="minorEastAsia"/>
            <w:smallCaps w:val="0"/>
            <w:noProof/>
            <w:sz w:val="22"/>
            <w:szCs w:val="22"/>
            <w:lang w:eastAsia="cs-CZ"/>
          </w:rPr>
          <w:tab/>
        </w:r>
        <w:r w:rsidR="004A19B8" w:rsidRPr="00D45A7B">
          <w:rPr>
            <w:rStyle w:val="Hypertextovodkaz"/>
            <w:noProof/>
          </w:rPr>
          <w:t>Poskytnuté a přijaté finanční prostředky na zahraniční aktivity</w:t>
        </w:r>
        <w:r w:rsidR="004A19B8">
          <w:rPr>
            <w:noProof/>
            <w:webHidden/>
          </w:rPr>
          <w:tab/>
        </w:r>
        <w:r w:rsidR="004A19B8">
          <w:rPr>
            <w:noProof/>
            <w:webHidden/>
          </w:rPr>
          <w:fldChar w:fldCharType="begin"/>
        </w:r>
        <w:r w:rsidR="004A19B8">
          <w:rPr>
            <w:noProof/>
            <w:webHidden/>
          </w:rPr>
          <w:instrText xml:space="preserve"> PAGEREF _Toc124839856 \h </w:instrText>
        </w:r>
        <w:r w:rsidR="004A19B8">
          <w:rPr>
            <w:noProof/>
            <w:webHidden/>
          </w:rPr>
        </w:r>
        <w:r w:rsidR="004A19B8">
          <w:rPr>
            <w:noProof/>
            <w:webHidden/>
          </w:rPr>
          <w:fldChar w:fldCharType="separate"/>
        </w:r>
        <w:r w:rsidR="00A22446">
          <w:rPr>
            <w:noProof/>
            <w:webHidden/>
          </w:rPr>
          <w:t>38</w:t>
        </w:r>
        <w:r w:rsidR="004A19B8">
          <w:rPr>
            <w:noProof/>
            <w:webHidden/>
          </w:rPr>
          <w:fldChar w:fldCharType="end"/>
        </w:r>
      </w:hyperlink>
    </w:p>
    <w:p w:rsidR="004A19B8" w:rsidRDefault="00B85DFE">
      <w:pPr>
        <w:pStyle w:val="Obsah3"/>
        <w:rPr>
          <w:rFonts w:eastAsiaTheme="minorEastAsia"/>
          <w:i w:val="0"/>
          <w:iCs w:val="0"/>
          <w:noProof/>
          <w:sz w:val="22"/>
          <w:szCs w:val="22"/>
          <w:lang w:eastAsia="cs-CZ"/>
        </w:rPr>
      </w:pPr>
      <w:hyperlink w:anchor="_Toc124839857" w:history="1">
        <w:r w:rsidR="004A19B8" w:rsidRPr="00D45A7B">
          <w:rPr>
            <w:rStyle w:val="Hypertextovodkaz"/>
            <w:noProof/>
          </w:rPr>
          <w:t>4.20.1</w:t>
        </w:r>
        <w:r w:rsidR="004A19B8">
          <w:rPr>
            <w:rFonts w:eastAsiaTheme="minorEastAsia"/>
            <w:i w:val="0"/>
            <w:iCs w:val="0"/>
            <w:noProof/>
            <w:sz w:val="22"/>
            <w:szCs w:val="22"/>
            <w:lang w:eastAsia="cs-CZ"/>
          </w:rPr>
          <w:tab/>
        </w:r>
        <w:r w:rsidR="004A19B8" w:rsidRPr="00D45A7B">
          <w:rPr>
            <w:rStyle w:val="Hypertextovodkaz"/>
            <w:noProof/>
          </w:rPr>
          <w:t>Prostředky na zapojení občanů ČR do civilních struktur EU a dalších mezinárodních vládních organizací a do volebních pozorovatelských misí</w:t>
        </w:r>
        <w:r w:rsidR="004A19B8">
          <w:rPr>
            <w:noProof/>
            <w:webHidden/>
          </w:rPr>
          <w:tab/>
        </w:r>
        <w:r w:rsidR="004A19B8">
          <w:rPr>
            <w:noProof/>
            <w:webHidden/>
          </w:rPr>
          <w:fldChar w:fldCharType="begin"/>
        </w:r>
        <w:r w:rsidR="004A19B8">
          <w:rPr>
            <w:noProof/>
            <w:webHidden/>
          </w:rPr>
          <w:instrText xml:space="preserve"> PAGEREF _Toc124839857 \h </w:instrText>
        </w:r>
        <w:r w:rsidR="004A19B8">
          <w:rPr>
            <w:noProof/>
            <w:webHidden/>
          </w:rPr>
        </w:r>
        <w:r w:rsidR="004A19B8">
          <w:rPr>
            <w:noProof/>
            <w:webHidden/>
          </w:rPr>
          <w:fldChar w:fldCharType="separate"/>
        </w:r>
        <w:r w:rsidR="00A22446">
          <w:rPr>
            <w:noProof/>
            <w:webHidden/>
          </w:rPr>
          <w:t>38</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58" w:history="1">
        <w:r w:rsidR="004A19B8" w:rsidRPr="00D45A7B">
          <w:rPr>
            <w:rStyle w:val="Hypertextovodkaz"/>
            <w:noProof/>
          </w:rPr>
          <w:t>4.21</w:t>
        </w:r>
        <w:r w:rsidR="004A19B8">
          <w:rPr>
            <w:rFonts w:eastAsiaTheme="minorEastAsia"/>
            <w:smallCaps w:val="0"/>
            <w:noProof/>
            <w:sz w:val="22"/>
            <w:szCs w:val="22"/>
            <w:lang w:eastAsia="cs-CZ"/>
          </w:rPr>
          <w:tab/>
        </w:r>
        <w:r w:rsidR="004A19B8" w:rsidRPr="00D45A7B">
          <w:rPr>
            <w:rStyle w:val="Hypertextovodkaz"/>
            <w:noProof/>
          </w:rPr>
          <w:t>Výdaje na tuzemské a zahraniční pracovní cesty</w:t>
        </w:r>
        <w:r w:rsidR="004A19B8">
          <w:rPr>
            <w:noProof/>
            <w:webHidden/>
          </w:rPr>
          <w:tab/>
        </w:r>
        <w:r w:rsidR="004A19B8">
          <w:rPr>
            <w:noProof/>
            <w:webHidden/>
          </w:rPr>
          <w:fldChar w:fldCharType="begin"/>
        </w:r>
        <w:r w:rsidR="004A19B8">
          <w:rPr>
            <w:noProof/>
            <w:webHidden/>
          </w:rPr>
          <w:instrText xml:space="preserve"> PAGEREF _Toc124839858 \h </w:instrText>
        </w:r>
        <w:r w:rsidR="004A19B8">
          <w:rPr>
            <w:noProof/>
            <w:webHidden/>
          </w:rPr>
        </w:r>
        <w:r w:rsidR="004A19B8">
          <w:rPr>
            <w:noProof/>
            <w:webHidden/>
          </w:rPr>
          <w:fldChar w:fldCharType="separate"/>
        </w:r>
        <w:r w:rsidR="00A22446">
          <w:rPr>
            <w:noProof/>
            <w:webHidden/>
          </w:rPr>
          <w:t>38</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59" w:history="1">
        <w:r w:rsidR="004A19B8" w:rsidRPr="00D45A7B">
          <w:rPr>
            <w:rStyle w:val="Hypertextovodkaz"/>
            <w:noProof/>
          </w:rPr>
          <w:t>4.22</w:t>
        </w:r>
        <w:r w:rsidR="004A19B8">
          <w:rPr>
            <w:rFonts w:eastAsiaTheme="minorEastAsia"/>
            <w:smallCaps w:val="0"/>
            <w:noProof/>
            <w:sz w:val="22"/>
            <w:szCs w:val="22"/>
            <w:lang w:eastAsia="cs-CZ"/>
          </w:rPr>
          <w:tab/>
        </w:r>
        <w:r w:rsidR="004A19B8" w:rsidRPr="00D45A7B">
          <w:rPr>
            <w:rStyle w:val="Hypertextovodkaz"/>
            <w:noProof/>
          </w:rPr>
          <w:t>Přehled zálohových plateb</w:t>
        </w:r>
        <w:r w:rsidR="004A19B8">
          <w:rPr>
            <w:noProof/>
            <w:webHidden/>
          </w:rPr>
          <w:tab/>
        </w:r>
        <w:r w:rsidR="004A19B8">
          <w:rPr>
            <w:noProof/>
            <w:webHidden/>
          </w:rPr>
          <w:fldChar w:fldCharType="begin"/>
        </w:r>
        <w:r w:rsidR="004A19B8">
          <w:rPr>
            <w:noProof/>
            <w:webHidden/>
          </w:rPr>
          <w:instrText xml:space="preserve"> PAGEREF _Toc124839859 \h </w:instrText>
        </w:r>
        <w:r w:rsidR="004A19B8">
          <w:rPr>
            <w:noProof/>
            <w:webHidden/>
          </w:rPr>
        </w:r>
        <w:r w:rsidR="004A19B8">
          <w:rPr>
            <w:noProof/>
            <w:webHidden/>
          </w:rPr>
          <w:fldChar w:fldCharType="separate"/>
        </w:r>
        <w:r w:rsidR="00A22446">
          <w:rPr>
            <w:noProof/>
            <w:webHidden/>
          </w:rPr>
          <w:t>39</w:t>
        </w:r>
        <w:r w:rsidR="004A19B8">
          <w:rPr>
            <w:noProof/>
            <w:webHidden/>
          </w:rPr>
          <w:fldChar w:fldCharType="end"/>
        </w:r>
      </w:hyperlink>
    </w:p>
    <w:p w:rsidR="004A19B8" w:rsidRDefault="00B85DFE">
      <w:pPr>
        <w:pStyle w:val="Obsah2"/>
        <w:rPr>
          <w:rFonts w:eastAsiaTheme="minorEastAsia"/>
          <w:smallCaps w:val="0"/>
          <w:noProof/>
          <w:sz w:val="22"/>
          <w:szCs w:val="22"/>
          <w:lang w:eastAsia="cs-CZ"/>
        </w:rPr>
      </w:pPr>
      <w:hyperlink w:anchor="_Toc124839860" w:history="1">
        <w:r w:rsidR="004A19B8" w:rsidRPr="00D45A7B">
          <w:rPr>
            <w:rStyle w:val="Hypertextovodkaz"/>
            <w:noProof/>
          </w:rPr>
          <w:t>4.23</w:t>
        </w:r>
        <w:r w:rsidR="004A19B8">
          <w:rPr>
            <w:rFonts w:eastAsiaTheme="minorEastAsia"/>
            <w:smallCaps w:val="0"/>
            <w:noProof/>
            <w:sz w:val="22"/>
            <w:szCs w:val="22"/>
            <w:lang w:eastAsia="cs-CZ"/>
          </w:rPr>
          <w:tab/>
        </w:r>
        <w:r w:rsidR="004A19B8" w:rsidRPr="00D45A7B">
          <w:rPr>
            <w:rStyle w:val="Hypertextovodkaz"/>
            <w:noProof/>
          </w:rPr>
          <w:t>Odškodnění osob a výplata náhrad (vyplňuje aparát)</w:t>
        </w:r>
        <w:r w:rsidR="004A19B8">
          <w:rPr>
            <w:noProof/>
            <w:webHidden/>
          </w:rPr>
          <w:tab/>
        </w:r>
        <w:r w:rsidR="004A19B8">
          <w:rPr>
            <w:noProof/>
            <w:webHidden/>
          </w:rPr>
          <w:fldChar w:fldCharType="begin"/>
        </w:r>
        <w:r w:rsidR="004A19B8">
          <w:rPr>
            <w:noProof/>
            <w:webHidden/>
          </w:rPr>
          <w:instrText xml:space="preserve"> PAGEREF _Toc124839860 \h </w:instrText>
        </w:r>
        <w:r w:rsidR="004A19B8">
          <w:rPr>
            <w:noProof/>
            <w:webHidden/>
          </w:rPr>
        </w:r>
        <w:r w:rsidR="004A19B8">
          <w:rPr>
            <w:noProof/>
            <w:webHidden/>
          </w:rPr>
          <w:fldChar w:fldCharType="separate"/>
        </w:r>
        <w:r w:rsidR="00A22446">
          <w:rPr>
            <w:noProof/>
            <w:webHidden/>
          </w:rPr>
          <w:t>39</w:t>
        </w:r>
        <w:r w:rsidR="004A19B8">
          <w:rPr>
            <w:noProof/>
            <w:webHidden/>
          </w:rPr>
          <w:fldChar w:fldCharType="end"/>
        </w:r>
      </w:hyperlink>
    </w:p>
    <w:p w:rsidR="004A19B8" w:rsidRDefault="00B85DFE">
      <w:pPr>
        <w:pStyle w:val="Obsah1"/>
        <w:rPr>
          <w:rFonts w:asciiTheme="minorHAnsi" w:eastAsiaTheme="minorEastAsia" w:hAnsiTheme="minorHAnsi"/>
          <w:b w:val="0"/>
          <w:bCs w:val="0"/>
          <w:caps w:val="0"/>
          <w:noProof/>
          <w:sz w:val="22"/>
          <w:szCs w:val="22"/>
          <w:lang w:eastAsia="cs-CZ"/>
        </w:rPr>
      </w:pPr>
      <w:hyperlink w:anchor="_Toc124839861" w:history="1">
        <w:r w:rsidR="004A19B8" w:rsidRPr="00D45A7B">
          <w:rPr>
            <w:rStyle w:val="Hypertextovodkaz"/>
            <w:rFonts w:cstheme="minorHAnsi"/>
            <w:noProof/>
          </w:rPr>
          <w:t>5</w:t>
        </w:r>
        <w:r w:rsidR="004A19B8">
          <w:rPr>
            <w:rFonts w:asciiTheme="minorHAnsi" w:eastAsiaTheme="minorEastAsia" w:hAnsiTheme="minorHAnsi"/>
            <w:b w:val="0"/>
            <w:bCs w:val="0"/>
            <w:caps w:val="0"/>
            <w:noProof/>
            <w:sz w:val="22"/>
            <w:szCs w:val="22"/>
            <w:lang w:eastAsia="cs-CZ"/>
          </w:rPr>
          <w:tab/>
        </w:r>
        <w:r w:rsidR="004A19B8" w:rsidRPr="00D45A7B">
          <w:rPr>
            <w:rStyle w:val="Hypertextovodkaz"/>
            <w:rFonts w:cstheme="minorHAnsi"/>
            <w:noProof/>
          </w:rPr>
          <w:t>Úspory</w:t>
        </w:r>
        <w:r w:rsidR="004A19B8">
          <w:rPr>
            <w:noProof/>
            <w:webHidden/>
          </w:rPr>
          <w:tab/>
        </w:r>
        <w:r w:rsidR="004A19B8">
          <w:rPr>
            <w:noProof/>
            <w:webHidden/>
          </w:rPr>
          <w:fldChar w:fldCharType="begin"/>
        </w:r>
        <w:r w:rsidR="004A19B8">
          <w:rPr>
            <w:noProof/>
            <w:webHidden/>
          </w:rPr>
          <w:instrText xml:space="preserve"> PAGEREF _Toc124839861 \h </w:instrText>
        </w:r>
        <w:r w:rsidR="004A19B8">
          <w:rPr>
            <w:noProof/>
            <w:webHidden/>
          </w:rPr>
        </w:r>
        <w:r w:rsidR="004A19B8">
          <w:rPr>
            <w:noProof/>
            <w:webHidden/>
          </w:rPr>
          <w:fldChar w:fldCharType="separate"/>
        </w:r>
        <w:r w:rsidR="00A22446">
          <w:rPr>
            <w:noProof/>
            <w:webHidden/>
          </w:rPr>
          <w:t>40</w:t>
        </w:r>
        <w:r w:rsidR="004A19B8">
          <w:rPr>
            <w:noProof/>
            <w:webHidden/>
          </w:rPr>
          <w:fldChar w:fldCharType="end"/>
        </w:r>
      </w:hyperlink>
    </w:p>
    <w:p w:rsidR="004A19B8" w:rsidRDefault="00B85DFE">
      <w:pPr>
        <w:pStyle w:val="Obsah1"/>
        <w:rPr>
          <w:rFonts w:asciiTheme="minorHAnsi" w:eastAsiaTheme="minorEastAsia" w:hAnsiTheme="minorHAnsi"/>
          <w:b w:val="0"/>
          <w:bCs w:val="0"/>
          <w:caps w:val="0"/>
          <w:noProof/>
          <w:sz w:val="22"/>
          <w:szCs w:val="22"/>
          <w:lang w:eastAsia="cs-CZ"/>
        </w:rPr>
      </w:pPr>
      <w:hyperlink w:anchor="_Toc124839862" w:history="1">
        <w:r w:rsidR="004A19B8" w:rsidRPr="00D45A7B">
          <w:rPr>
            <w:rStyle w:val="Hypertextovodkaz"/>
            <w:rFonts w:cstheme="minorHAnsi"/>
            <w:noProof/>
          </w:rPr>
          <w:t>6</w:t>
        </w:r>
        <w:r w:rsidR="004A19B8">
          <w:rPr>
            <w:rFonts w:asciiTheme="minorHAnsi" w:eastAsiaTheme="minorEastAsia" w:hAnsiTheme="minorHAnsi"/>
            <w:b w:val="0"/>
            <w:bCs w:val="0"/>
            <w:caps w:val="0"/>
            <w:noProof/>
            <w:sz w:val="22"/>
            <w:szCs w:val="22"/>
            <w:lang w:eastAsia="cs-CZ"/>
          </w:rPr>
          <w:tab/>
        </w:r>
        <w:r w:rsidR="004A19B8" w:rsidRPr="00D45A7B">
          <w:rPr>
            <w:rStyle w:val="Hypertextovodkaz"/>
            <w:rFonts w:cstheme="minorHAnsi"/>
            <w:noProof/>
          </w:rPr>
          <w:t>Bezúplatné převody majetku (bez převodů mezi OSS)</w:t>
        </w:r>
        <w:r w:rsidR="004A19B8">
          <w:rPr>
            <w:noProof/>
            <w:webHidden/>
          </w:rPr>
          <w:tab/>
        </w:r>
        <w:r w:rsidR="004A19B8">
          <w:rPr>
            <w:noProof/>
            <w:webHidden/>
          </w:rPr>
          <w:fldChar w:fldCharType="begin"/>
        </w:r>
        <w:r w:rsidR="004A19B8">
          <w:rPr>
            <w:noProof/>
            <w:webHidden/>
          </w:rPr>
          <w:instrText xml:space="preserve"> PAGEREF _Toc124839862 \h </w:instrText>
        </w:r>
        <w:r w:rsidR="004A19B8">
          <w:rPr>
            <w:noProof/>
            <w:webHidden/>
          </w:rPr>
        </w:r>
        <w:r w:rsidR="004A19B8">
          <w:rPr>
            <w:noProof/>
            <w:webHidden/>
          </w:rPr>
          <w:fldChar w:fldCharType="separate"/>
        </w:r>
        <w:r w:rsidR="00A22446">
          <w:rPr>
            <w:noProof/>
            <w:webHidden/>
          </w:rPr>
          <w:t>40</w:t>
        </w:r>
        <w:r w:rsidR="004A19B8">
          <w:rPr>
            <w:noProof/>
            <w:webHidden/>
          </w:rPr>
          <w:fldChar w:fldCharType="end"/>
        </w:r>
      </w:hyperlink>
    </w:p>
    <w:p w:rsidR="004A19B8" w:rsidRDefault="00B85DFE">
      <w:pPr>
        <w:pStyle w:val="Obsah1"/>
        <w:rPr>
          <w:rFonts w:asciiTheme="minorHAnsi" w:eastAsiaTheme="minorEastAsia" w:hAnsiTheme="minorHAnsi"/>
          <w:b w:val="0"/>
          <w:bCs w:val="0"/>
          <w:caps w:val="0"/>
          <w:noProof/>
          <w:sz w:val="22"/>
          <w:szCs w:val="22"/>
          <w:lang w:eastAsia="cs-CZ"/>
        </w:rPr>
      </w:pPr>
      <w:hyperlink w:anchor="_Toc124839863" w:history="1">
        <w:r w:rsidR="004A19B8" w:rsidRPr="00D45A7B">
          <w:rPr>
            <w:rStyle w:val="Hypertextovodkaz"/>
            <w:rFonts w:cstheme="minorHAnsi"/>
            <w:noProof/>
          </w:rPr>
          <w:t>7</w:t>
        </w:r>
        <w:r w:rsidR="004A19B8">
          <w:rPr>
            <w:rFonts w:asciiTheme="minorHAnsi" w:eastAsiaTheme="minorEastAsia" w:hAnsiTheme="minorHAnsi"/>
            <w:b w:val="0"/>
            <w:bCs w:val="0"/>
            <w:caps w:val="0"/>
            <w:noProof/>
            <w:sz w:val="22"/>
            <w:szCs w:val="22"/>
            <w:lang w:eastAsia="cs-CZ"/>
          </w:rPr>
          <w:tab/>
        </w:r>
        <w:r w:rsidR="004A19B8" w:rsidRPr="00D45A7B">
          <w:rPr>
            <w:rStyle w:val="Hypertextovodkaz"/>
            <w:rFonts w:cstheme="minorHAnsi"/>
            <w:noProof/>
          </w:rPr>
          <w:t>Vyhodnocení výdajů z veřejných zakázek o předpokládané hodnotě nejméně 300 mil Kč</w:t>
        </w:r>
        <w:r w:rsidR="004A19B8">
          <w:rPr>
            <w:noProof/>
            <w:webHidden/>
          </w:rPr>
          <w:tab/>
        </w:r>
        <w:r w:rsidR="004A19B8">
          <w:rPr>
            <w:noProof/>
            <w:webHidden/>
          </w:rPr>
          <w:fldChar w:fldCharType="begin"/>
        </w:r>
        <w:r w:rsidR="004A19B8">
          <w:rPr>
            <w:noProof/>
            <w:webHidden/>
          </w:rPr>
          <w:instrText xml:space="preserve"> PAGEREF _Toc124839863 \h </w:instrText>
        </w:r>
        <w:r w:rsidR="004A19B8">
          <w:rPr>
            <w:noProof/>
            <w:webHidden/>
          </w:rPr>
        </w:r>
        <w:r w:rsidR="004A19B8">
          <w:rPr>
            <w:noProof/>
            <w:webHidden/>
          </w:rPr>
          <w:fldChar w:fldCharType="separate"/>
        </w:r>
        <w:r w:rsidR="00A22446">
          <w:rPr>
            <w:noProof/>
            <w:webHidden/>
          </w:rPr>
          <w:t>40</w:t>
        </w:r>
        <w:r w:rsidR="004A19B8">
          <w:rPr>
            <w:noProof/>
            <w:webHidden/>
          </w:rPr>
          <w:fldChar w:fldCharType="end"/>
        </w:r>
      </w:hyperlink>
    </w:p>
    <w:p w:rsidR="004A19B8" w:rsidRDefault="00B85DFE">
      <w:pPr>
        <w:pStyle w:val="Obsah1"/>
        <w:rPr>
          <w:rFonts w:asciiTheme="minorHAnsi" w:eastAsiaTheme="minorEastAsia" w:hAnsiTheme="minorHAnsi"/>
          <w:b w:val="0"/>
          <w:bCs w:val="0"/>
          <w:caps w:val="0"/>
          <w:noProof/>
          <w:sz w:val="22"/>
          <w:szCs w:val="22"/>
          <w:lang w:eastAsia="cs-CZ"/>
        </w:rPr>
      </w:pPr>
      <w:hyperlink w:anchor="_Toc124839864" w:history="1">
        <w:r w:rsidR="004A19B8" w:rsidRPr="00D45A7B">
          <w:rPr>
            <w:rStyle w:val="Hypertextovodkaz"/>
            <w:rFonts w:cstheme="minorHAnsi"/>
            <w:noProof/>
          </w:rPr>
          <w:t>8</w:t>
        </w:r>
        <w:r w:rsidR="004A19B8">
          <w:rPr>
            <w:rFonts w:asciiTheme="minorHAnsi" w:eastAsiaTheme="minorEastAsia" w:hAnsiTheme="minorHAnsi"/>
            <w:b w:val="0"/>
            <w:bCs w:val="0"/>
            <w:caps w:val="0"/>
            <w:noProof/>
            <w:sz w:val="22"/>
            <w:szCs w:val="22"/>
            <w:lang w:eastAsia="cs-CZ"/>
          </w:rPr>
          <w:tab/>
        </w:r>
        <w:r w:rsidR="004A19B8" w:rsidRPr="00D45A7B">
          <w:rPr>
            <w:rStyle w:val="Hypertextovodkaz"/>
            <w:rFonts w:cstheme="minorHAnsi"/>
            <w:noProof/>
          </w:rPr>
          <w:t>Specifika a ostatní</w:t>
        </w:r>
        <w:r w:rsidR="004A19B8">
          <w:rPr>
            <w:noProof/>
            <w:webHidden/>
          </w:rPr>
          <w:tab/>
        </w:r>
        <w:r w:rsidR="004A19B8">
          <w:rPr>
            <w:noProof/>
            <w:webHidden/>
          </w:rPr>
          <w:fldChar w:fldCharType="begin"/>
        </w:r>
        <w:r w:rsidR="004A19B8">
          <w:rPr>
            <w:noProof/>
            <w:webHidden/>
          </w:rPr>
          <w:instrText xml:space="preserve"> PAGEREF _Toc124839864 \h </w:instrText>
        </w:r>
        <w:r w:rsidR="004A19B8">
          <w:rPr>
            <w:noProof/>
            <w:webHidden/>
          </w:rPr>
        </w:r>
        <w:r w:rsidR="004A19B8">
          <w:rPr>
            <w:noProof/>
            <w:webHidden/>
          </w:rPr>
          <w:fldChar w:fldCharType="separate"/>
        </w:r>
        <w:r w:rsidR="00A22446">
          <w:rPr>
            <w:noProof/>
            <w:webHidden/>
          </w:rPr>
          <w:t>41</w:t>
        </w:r>
        <w:r w:rsidR="004A19B8">
          <w:rPr>
            <w:noProof/>
            <w:webHidden/>
          </w:rPr>
          <w:fldChar w:fldCharType="end"/>
        </w:r>
      </w:hyperlink>
    </w:p>
    <w:p w:rsidR="004A19B8" w:rsidRDefault="00B85DFE">
      <w:pPr>
        <w:pStyle w:val="Obsah1"/>
        <w:rPr>
          <w:rFonts w:asciiTheme="minorHAnsi" w:eastAsiaTheme="minorEastAsia" w:hAnsiTheme="minorHAnsi"/>
          <w:b w:val="0"/>
          <w:bCs w:val="0"/>
          <w:caps w:val="0"/>
          <w:noProof/>
          <w:sz w:val="22"/>
          <w:szCs w:val="22"/>
          <w:lang w:eastAsia="cs-CZ"/>
        </w:rPr>
      </w:pPr>
      <w:hyperlink w:anchor="_Toc124839865" w:history="1">
        <w:r w:rsidR="004A19B8" w:rsidRPr="00D45A7B">
          <w:rPr>
            <w:rStyle w:val="Hypertextovodkaz"/>
            <w:rFonts w:cstheme="minorHAnsi"/>
            <w:noProof/>
          </w:rPr>
          <w:t>9</w:t>
        </w:r>
        <w:r w:rsidR="004A19B8">
          <w:rPr>
            <w:rFonts w:asciiTheme="minorHAnsi" w:eastAsiaTheme="minorEastAsia" w:hAnsiTheme="minorHAnsi"/>
            <w:b w:val="0"/>
            <w:bCs w:val="0"/>
            <w:caps w:val="0"/>
            <w:noProof/>
            <w:sz w:val="22"/>
            <w:szCs w:val="22"/>
            <w:lang w:eastAsia="cs-CZ"/>
          </w:rPr>
          <w:tab/>
        </w:r>
        <w:r w:rsidR="004A19B8" w:rsidRPr="00D45A7B">
          <w:rPr>
            <w:rStyle w:val="Hypertextovodkaz"/>
            <w:rFonts w:cstheme="minorHAnsi"/>
            <w:noProof/>
          </w:rPr>
          <w:t>Výsledky vnitřních a vnějších kontrol</w:t>
        </w:r>
        <w:r w:rsidR="004A19B8">
          <w:rPr>
            <w:noProof/>
            <w:webHidden/>
          </w:rPr>
          <w:tab/>
        </w:r>
        <w:r w:rsidR="004A19B8">
          <w:rPr>
            <w:noProof/>
            <w:webHidden/>
          </w:rPr>
          <w:fldChar w:fldCharType="begin"/>
        </w:r>
        <w:r w:rsidR="004A19B8">
          <w:rPr>
            <w:noProof/>
            <w:webHidden/>
          </w:rPr>
          <w:instrText xml:space="preserve"> PAGEREF _Toc124839865 \h </w:instrText>
        </w:r>
        <w:r w:rsidR="004A19B8">
          <w:rPr>
            <w:noProof/>
            <w:webHidden/>
          </w:rPr>
        </w:r>
        <w:r w:rsidR="004A19B8">
          <w:rPr>
            <w:noProof/>
            <w:webHidden/>
          </w:rPr>
          <w:fldChar w:fldCharType="separate"/>
        </w:r>
        <w:r w:rsidR="00A22446">
          <w:rPr>
            <w:noProof/>
            <w:webHidden/>
          </w:rPr>
          <w:t>42</w:t>
        </w:r>
        <w:r w:rsidR="004A19B8">
          <w:rPr>
            <w:noProof/>
            <w:webHidden/>
          </w:rPr>
          <w:fldChar w:fldCharType="end"/>
        </w:r>
      </w:hyperlink>
    </w:p>
    <w:p w:rsidR="00126B72" w:rsidRDefault="00A72C6C" w:rsidP="00A370F2">
      <w:pPr>
        <w:tabs>
          <w:tab w:val="right" w:pos="9072"/>
        </w:tabs>
        <w:spacing w:before="120" w:after="120"/>
        <w:rPr>
          <w:rFonts w:cstheme="minorHAnsi"/>
        </w:rPr>
      </w:pPr>
      <w:r w:rsidRPr="003C5432">
        <w:rPr>
          <w:rFonts w:cstheme="minorHAnsi"/>
        </w:rPr>
        <w:fldChar w:fldCharType="end"/>
      </w:r>
    </w:p>
    <w:p w:rsidR="00126B72" w:rsidRDefault="00126B72" w:rsidP="00126B72">
      <w:r>
        <w:br w:type="page"/>
      </w:r>
    </w:p>
    <w:p w:rsidR="00751919" w:rsidRPr="003C5432" w:rsidRDefault="00853CF0" w:rsidP="00751919">
      <w:pPr>
        <w:pStyle w:val="Nadpis1"/>
        <w:numPr>
          <w:ilvl w:val="0"/>
          <w:numId w:val="0"/>
        </w:numPr>
        <w:ind w:left="432" w:hanging="432"/>
        <w:rPr>
          <w:rFonts w:asciiTheme="minorHAnsi" w:hAnsiTheme="minorHAnsi" w:cstheme="minorHAnsi"/>
        </w:rPr>
      </w:pPr>
      <w:bookmarkStart w:id="0" w:name="_Toc124839814"/>
      <w:r>
        <w:rPr>
          <w:rFonts w:asciiTheme="minorHAnsi" w:hAnsiTheme="minorHAnsi" w:cstheme="minorHAnsi"/>
        </w:rPr>
        <w:lastRenderedPageBreak/>
        <w:t>1</w:t>
      </w:r>
      <w:r w:rsidR="00751919" w:rsidRPr="003C5432">
        <w:rPr>
          <w:rFonts w:asciiTheme="minorHAnsi" w:hAnsiTheme="minorHAnsi" w:cstheme="minorHAnsi"/>
        </w:rPr>
        <w:t>.</w:t>
      </w:r>
      <w:r w:rsidR="003C5432">
        <w:rPr>
          <w:rFonts w:asciiTheme="minorHAnsi" w:hAnsiTheme="minorHAnsi" w:cstheme="minorHAnsi"/>
        </w:rPr>
        <w:t xml:space="preserve"> </w:t>
      </w:r>
      <w:r w:rsidR="00751919" w:rsidRPr="003C5432">
        <w:rPr>
          <w:rFonts w:asciiTheme="minorHAnsi" w:hAnsiTheme="minorHAnsi" w:cstheme="minorHAnsi"/>
        </w:rPr>
        <w:t>Obecné informace</w:t>
      </w:r>
      <w:bookmarkEnd w:id="0"/>
    </w:p>
    <w:p w:rsidR="00751919" w:rsidRPr="003C5432" w:rsidRDefault="00751919" w:rsidP="008E490D">
      <w:pPr>
        <w:spacing w:before="120" w:after="120"/>
        <w:jc w:val="both"/>
        <w:rPr>
          <w:rFonts w:cstheme="minorHAnsi"/>
        </w:rPr>
      </w:pPr>
      <w:r w:rsidRPr="003C5432">
        <w:rPr>
          <w:rFonts w:cstheme="minorHAnsi"/>
        </w:rPr>
        <w:t>Rozbor hospodaření se řídí vyhláškou č. 419/2001 Sb., o rozsahu, struktuře a termínech údajů předkládaných pro vypracování návrhu státního závěrečného účtu a o rozsahu a termínech sestavení návrhů závěrečných účtů kapitol státního rozpočtu, ve znění pozdějších předpisů.</w:t>
      </w:r>
    </w:p>
    <w:p w:rsidR="003F6758" w:rsidRDefault="003F6758" w:rsidP="008E490D">
      <w:pPr>
        <w:jc w:val="both"/>
        <w:rPr>
          <w:rFonts w:cstheme="minorHAnsi"/>
        </w:rPr>
      </w:pPr>
    </w:p>
    <w:p w:rsidR="00246ECE" w:rsidRPr="008E490D" w:rsidRDefault="00866E12" w:rsidP="008E490D">
      <w:pPr>
        <w:jc w:val="both"/>
        <w:rPr>
          <w:rFonts w:cstheme="minorHAnsi"/>
        </w:rPr>
      </w:pPr>
      <w:r>
        <w:rPr>
          <w:rFonts w:cstheme="minorHAnsi"/>
        </w:rPr>
        <w:t xml:space="preserve">Podkladem pro sestavení </w:t>
      </w:r>
      <w:r w:rsidR="00246ECE" w:rsidRPr="008E490D">
        <w:rPr>
          <w:rFonts w:cstheme="minorHAnsi"/>
        </w:rPr>
        <w:t>jsou údaje v roz</w:t>
      </w:r>
      <w:r>
        <w:rPr>
          <w:rFonts w:cstheme="minorHAnsi"/>
        </w:rPr>
        <w:t xml:space="preserve">počtovém systému Integrovaného </w:t>
      </w:r>
      <w:r w:rsidR="00246ECE" w:rsidRPr="008E490D">
        <w:rPr>
          <w:rFonts w:cstheme="minorHAnsi"/>
        </w:rPr>
        <w:t>informačního systému státní pokladny (IISSP), finanční výkazy a údaje v analytické evidenci.</w:t>
      </w:r>
    </w:p>
    <w:p w:rsidR="008E490D" w:rsidRPr="008E490D" w:rsidRDefault="008E490D" w:rsidP="008E490D">
      <w:pPr>
        <w:autoSpaceDE w:val="0"/>
        <w:autoSpaceDN w:val="0"/>
        <w:adjustRightInd w:val="0"/>
        <w:spacing w:after="0"/>
        <w:jc w:val="both"/>
        <w:rPr>
          <w:rFonts w:cstheme="minorHAns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2"/>
      </w:tblGrid>
      <w:tr w:rsidR="008E490D" w:rsidRPr="008E490D">
        <w:trPr>
          <w:trHeight w:val="785"/>
        </w:trPr>
        <w:tc>
          <w:tcPr>
            <w:tcW w:w="8892" w:type="dxa"/>
          </w:tcPr>
          <w:p w:rsidR="008E490D" w:rsidRPr="008E490D" w:rsidRDefault="008E490D" w:rsidP="00882331">
            <w:pPr>
              <w:autoSpaceDE w:val="0"/>
              <w:autoSpaceDN w:val="0"/>
              <w:adjustRightInd w:val="0"/>
              <w:spacing w:after="0"/>
              <w:jc w:val="both"/>
              <w:rPr>
                <w:rFonts w:cstheme="minorHAnsi"/>
                <w:color w:val="000000"/>
              </w:rPr>
            </w:pPr>
            <w:r w:rsidRPr="008E490D">
              <w:rPr>
                <w:rFonts w:cstheme="minorHAnsi"/>
                <w:color w:val="000000"/>
              </w:rPr>
              <w:t>Dne 10. března 2022 schválila Poslanecká sněmovna Parlamentu České republiky zákon o státním rozpočtu České republiky na rok 2022. Tento zákon stanoví pro kapitolu 336 – Ministerstvo spravedlnosti ČR závazné ukazatele, které byly rozepsány v Integrovaném informačním systému Státní pokladny (IISSP) pro jednotlivé organizační složky resortu spravedlnosti. V době od 1. 1. 20</w:t>
            </w:r>
            <w:r w:rsidR="00882331">
              <w:rPr>
                <w:rFonts w:cstheme="minorHAnsi"/>
                <w:color w:val="000000"/>
              </w:rPr>
              <w:t>22 do 29. 3</w:t>
            </w:r>
            <w:r w:rsidRPr="008E490D">
              <w:rPr>
                <w:rFonts w:cstheme="minorHAnsi"/>
                <w:color w:val="000000"/>
              </w:rPr>
              <w:t xml:space="preserve">. 2022 byly všechny </w:t>
            </w:r>
            <w:r w:rsidR="00882331">
              <w:rPr>
                <w:rFonts w:cstheme="minorHAnsi"/>
                <w:color w:val="000000"/>
              </w:rPr>
              <w:t xml:space="preserve">organizační složky </w:t>
            </w:r>
            <w:r w:rsidRPr="008E490D">
              <w:rPr>
                <w:rFonts w:cstheme="minorHAnsi"/>
                <w:color w:val="000000"/>
              </w:rPr>
              <w:t xml:space="preserve">v režimu rozpočtového provizoria. </w:t>
            </w:r>
          </w:p>
        </w:tc>
      </w:tr>
    </w:tbl>
    <w:p w:rsidR="008E490D" w:rsidRPr="008E490D" w:rsidRDefault="008E490D" w:rsidP="008E490D">
      <w:pPr>
        <w:jc w:val="both"/>
        <w:rPr>
          <w:rFonts w:cstheme="minorHAnsi"/>
        </w:rPr>
        <w:sectPr w:rsidR="008E490D" w:rsidRPr="008E490D" w:rsidSect="00010B02">
          <w:footerReference w:type="default" r:id="rId8"/>
          <w:footerReference w:type="first" r:id="rId9"/>
          <w:type w:val="continuous"/>
          <w:pgSz w:w="11906" w:h="16838"/>
          <w:pgMar w:top="1417" w:right="1417" w:bottom="1417" w:left="1417" w:header="709" w:footer="709" w:gutter="0"/>
          <w:cols w:space="708"/>
          <w:titlePg/>
          <w:docGrid w:linePitch="360"/>
        </w:sectPr>
      </w:pPr>
    </w:p>
    <w:p w:rsidR="006E13D8" w:rsidRPr="003C5432" w:rsidRDefault="006E13D8" w:rsidP="002021FE">
      <w:pPr>
        <w:spacing w:before="120" w:after="120"/>
        <w:rPr>
          <w:rFonts w:cstheme="minorHAnsi"/>
        </w:rPr>
      </w:pPr>
    </w:p>
    <w:p w:rsidR="00B37E29" w:rsidRPr="003C5432" w:rsidRDefault="006F66C5" w:rsidP="00246ECE">
      <w:pPr>
        <w:pStyle w:val="Nadpis1"/>
        <w:numPr>
          <w:ilvl w:val="0"/>
          <w:numId w:val="0"/>
        </w:numPr>
      </w:pPr>
      <w:bookmarkStart w:id="1" w:name="_Toc124839815"/>
      <w:r>
        <w:t xml:space="preserve">2. </w:t>
      </w:r>
      <w:r w:rsidR="00F63E4C">
        <w:t>Obsah a rozsah p</w:t>
      </w:r>
      <w:r w:rsidR="00246ECE">
        <w:t>růvodní zpráv</w:t>
      </w:r>
      <w:r w:rsidR="00F63E4C">
        <w:t>y</w:t>
      </w:r>
      <w:bookmarkEnd w:id="1"/>
    </w:p>
    <w:p w:rsidR="00622E21" w:rsidRPr="003C5432" w:rsidRDefault="008A1E52" w:rsidP="00ED5733">
      <w:pPr>
        <w:pStyle w:val="Nadpis2"/>
      </w:pPr>
      <w:bookmarkStart w:id="2" w:name="_Toc124839816"/>
      <w:r w:rsidRPr="003C5432">
        <w:t xml:space="preserve">2.1 </w:t>
      </w:r>
      <w:r w:rsidR="00622E21" w:rsidRPr="003C5432">
        <w:t>Zhodnocení plnění rozpočtu</w:t>
      </w:r>
      <w:bookmarkEnd w:id="2"/>
    </w:p>
    <w:p w:rsidR="00265D65" w:rsidRPr="003C5432" w:rsidRDefault="00F76581" w:rsidP="002021FE">
      <w:pPr>
        <w:pStyle w:val="Titulek"/>
        <w:keepNext/>
        <w:spacing w:before="120" w:after="120"/>
        <w:rPr>
          <w:rFonts w:cstheme="minorHAnsi"/>
        </w:rPr>
      </w:pPr>
      <w:r w:rsidRPr="003C5432">
        <w:rPr>
          <w:rFonts w:cstheme="minorHAnsi"/>
        </w:rPr>
        <w:t>CELKOVÉ ZHODNOCENÍ PLNĚNÍ ROZPOČTU</w:t>
      </w:r>
    </w:p>
    <w:bookmarkStart w:id="3" w:name="_MON_1654940327"/>
    <w:bookmarkEnd w:id="3"/>
    <w:p w:rsidR="00AC36FA" w:rsidRPr="00C9684A" w:rsidRDefault="00882331" w:rsidP="008A24A7">
      <w:pPr>
        <w:rPr>
          <w:rFonts w:cstheme="minorHAnsi"/>
          <w:color w:val="FF0000"/>
        </w:rPr>
      </w:pPr>
      <w:r w:rsidRPr="00C9684A">
        <w:rPr>
          <w:rFonts w:cstheme="minorHAnsi"/>
          <w:color w:val="FF0000"/>
        </w:rPr>
        <w:object w:dxaOrig="14661" w:dyaOrig="3029" w14:anchorId="41467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25pt;height:151.5pt" o:ole="">
            <v:imagedata r:id="rId10" o:title=""/>
          </v:shape>
          <o:OLEObject Type="Embed" ProgID="Excel.Sheet.12" ShapeID="_x0000_i1025" DrawAspect="Content" ObjectID="_1738644109" r:id="rId11"/>
        </w:object>
      </w:r>
    </w:p>
    <w:p w:rsidR="00B26FB3" w:rsidRPr="00160FDC" w:rsidRDefault="00227163" w:rsidP="00AC07A2">
      <w:pPr>
        <w:jc w:val="both"/>
        <w:rPr>
          <w:rFonts w:cstheme="minorHAnsi"/>
        </w:rPr>
        <w:sectPr w:rsidR="00B26FB3" w:rsidRPr="00160FDC" w:rsidSect="00010B02">
          <w:type w:val="continuous"/>
          <w:pgSz w:w="16838" w:h="11906" w:orient="landscape"/>
          <w:pgMar w:top="1417" w:right="1417" w:bottom="1417" w:left="1417" w:header="709" w:footer="709" w:gutter="0"/>
          <w:cols w:space="708"/>
          <w:titlePg/>
          <w:docGrid w:linePitch="360"/>
        </w:sectPr>
      </w:pPr>
      <w:r w:rsidRPr="00160FDC">
        <w:rPr>
          <w:rFonts w:cstheme="minorHAnsi"/>
        </w:rPr>
        <w:t>Z tabulky je patrné, že rozpočet</w:t>
      </w:r>
      <w:r w:rsidR="005B35E3" w:rsidRPr="00160FDC">
        <w:rPr>
          <w:rFonts w:cstheme="minorHAnsi"/>
        </w:rPr>
        <w:t xml:space="preserve"> příjmů byl splněn na 10</w:t>
      </w:r>
      <w:r w:rsidR="00160FDC" w:rsidRPr="00160FDC">
        <w:rPr>
          <w:rFonts w:cstheme="minorHAnsi"/>
        </w:rPr>
        <w:t>1,70</w:t>
      </w:r>
      <w:r w:rsidR="005B35E3" w:rsidRPr="00160FDC">
        <w:rPr>
          <w:rFonts w:cstheme="minorHAnsi"/>
        </w:rPr>
        <w:t xml:space="preserve"> % a zároveň došlo k</w:t>
      </w:r>
      <w:r w:rsidR="00160FDC" w:rsidRPr="00160FDC">
        <w:rPr>
          <w:rFonts w:cstheme="minorHAnsi"/>
        </w:rPr>
        <w:t> mírnému poklesu</w:t>
      </w:r>
      <w:r w:rsidR="005B35E3" w:rsidRPr="00160FDC">
        <w:rPr>
          <w:rFonts w:cstheme="minorHAnsi"/>
        </w:rPr>
        <w:t xml:space="preserve"> oproti roku 202</w:t>
      </w:r>
      <w:r w:rsidR="00160FDC" w:rsidRPr="00160FDC">
        <w:rPr>
          <w:rFonts w:cstheme="minorHAnsi"/>
        </w:rPr>
        <w:t>1</w:t>
      </w:r>
      <w:r w:rsidR="005B35E3" w:rsidRPr="00160FDC">
        <w:rPr>
          <w:rFonts w:cstheme="minorHAnsi"/>
        </w:rPr>
        <w:t>. V obl</w:t>
      </w:r>
      <w:r w:rsidR="00160FDC" w:rsidRPr="00160FDC">
        <w:rPr>
          <w:rFonts w:cstheme="minorHAnsi"/>
        </w:rPr>
        <w:t>asti celkových výdajů došlo</w:t>
      </w:r>
      <w:r w:rsidR="005B35E3" w:rsidRPr="00160FDC">
        <w:rPr>
          <w:rFonts w:cstheme="minorHAnsi"/>
        </w:rPr>
        <w:t> nárůstu op</w:t>
      </w:r>
      <w:r w:rsidR="00160FDC" w:rsidRPr="00160FDC">
        <w:rPr>
          <w:rFonts w:cstheme="minorHAnsi"/>
        </w:rPr>
        <w:t>roti roku 2021</w:t>
      </w:r>
      <w:r w:rsidR="005B35E3" w:rsidRPr="00160FDC">
        <w:rPr>
          <w:rFonts w:cstheme="minorHAnsi"/>
        </w:rPr>
        <w:t xml:space="preserve">, což je způsobené </w:t>
      </w:r>
      <w:r w:rsidR="00160FDC" w:rsidRPr="00160FDC">
        <w:rPr>
          <w:rFonts w:cstheme="minorHAnsi"/>
        </w:rPr>
        <w:t xml:space="preserve">zejména </w:t>
      </w:r>
      <w:r w:rsidR="00E64C81">
        <w:rPr>
          <w:rFonts w:cstheme="minorHAnsi"/>
        </w:rPr>
        <w:t xml:space="preserve">proplácením paušálních náhrad exekutorům za zastavené bagatelní pohledávky, dále </w:t>
      </w:r>
      <w:r w:rsidR="00160FDC" w:rsidRPr="00160FDC">
        <w:rPr>
          <w:rFonts w:cstheme="minorHAnsi"/>
        </w:rPr>
        <w:t xml:space="preserve">zvýšením cen energií, </w:t>
      </w:r>
      <w:r w:rsidR="003F2DC2">
        <w:rPr>
          <w:rFonts w:cstheme="minorHAnsi"/>
        </w:rPr>
        <w:t xml:space="preserve">pohonných hmot, poštovních služeb </w:t>
      </w:r>
      <w:r w:rsidR="00160FDC" w:rsidRPr="00160FDC">
        <w:rPr>
          <w:rFonts w:cstheme="minorHAnsi"/>
        </w:rPr>
        <w:t xml:space="preserve">a materiálu.  Další navýšení je v platové oblasti, kde došlo od září k 10% navýšení platových tarifů zaměstnanců. </w:t>
      </w:r>
    </w:p>
    <w:p w:rsidR="00751919" w:rsidRDefault="008A1E52" w:rsidP="00ED5733">
      <w:pPr>
        <w:pStyle w:val="Nadpis2"/>
      </w:pPr>
      <w:bookmarkStart w:id="4" w:name="_Toc124839817"/>
      <w:r w:rsidRPr="003C5432">
        <w:lastRenderedPageBreak/>
        <w:t xml:space="preserve">2.2 </w:t>
      </w:r>
      <w:r w:rsidR="00B90DA4">
        <w:t>Rozpočtová opatření schvalovaná na MF</w:t>
      </w:r>
      <w:bookmarkEnd w:id="4"/>
    </w:p>
    <w:p w:rsidR="000D0F88" w:rsidRDefault="00B90DA4" w:rsidP="000D0F88">
      <w:pPr>
        <w:rPr>
          <w:rFonts w:cstheme="minorHAnsi"/>
          <w:sz w:val="24"/>
          <w:szCs w:val="24"/>
        </w:rPr>
      </w:pPr>
      <w:r>
        <w:t>V letošním roce nebyla vydána žádná taková rozpočtová opatření.</w:t>
      </w:r>
      <w:r w:rsidR="00C9684A">
        <w:t xml:space="preserve"> </w:t>
      </w:r>
      <w:r w:rsidR="00751919" w:rsidRPr="003C5432">
        <w:rPr>
          <w:rFonts w:cstheme="minorHAnsi"/>
          <w:sz w:val="24"/>
          <w:szCs w:val="24"/>
        </w:rPr>
        <w:t xml:space="preserve"> </w:t>
      </w:r>
      <w:r w:rsidR="00751919" w:rsidRPr="003C5432">
        <w:rPr>
          <w:rFonts w:cstheme="minorHAnsi"/>
          <w:sz w:val="24"/>
          <w:szCs w:val="24"/>
        </w:rPr>
        <w:tab/>
      </w:r>
      <w:r w:rsidR="00751919" w:rsidRPr="003C5432">
        <w:rPr>
          <w:rFonts w:cstheme="minorHAnsi"/>
          <w:sz w:val="24"/>
          <w:szCs w:val="24"/>
        </w:rPr>
        <w:tab/>
      </w:r>
    </w:p>
    <w:p w:rsidR="00F63E4C" w:rsidRDefault="00F63E4C" w:rsidP="00F63E4C">
      <w:pPr>
        <w:pStyle w:val="Nadpis1"/>
        <w:numPr>
          <w:ilvl w:val="0"/>
          <w:numId w:val="0"/>
        </w:numPr>
      </w:pPr>
      <w:bookmarkStart w:id="5" w:name="_Toc124839818"/>
      <w:r>
        <w:t>3. Příjmy</w:t>
      </w:r>
      <w:bookmarkEnd w:id="5"/>
    </w:p>
    <w:p w:rsidR="000D0F88" w:rsidRPr="000D0F88" w:rsidRDefault="000D0F88" w:rsidP="000D0F88"/>
    <w:p w:rsidR="00C64A54" w:rsidRDefault="00C64A54" w:rsidP="00ED5733">
      <w:pPr>
        <w:pStyle w:val="Nadpis2"/>
      </w:pPr>
      <w:bookmarkStart w:id="6" w:name="_Toc124839819"/>
      <w:r w:rsidRPr="006E0F68">
        <w:t>Zhodnocení celkových příjmů</w:t>
      </w:r>
      <w:bookmarkEnd w:id="6"/>
    </w:p>
    <w:p w:rsidR="00B26FB3" w:rsidRPr="006E0F68" w:rsidRDefault="00FD5D0D" w:rsidP="00B26FB3">
      <w:pPr>
        <w:pStyle w:val="Titulek"/>
        <w:keepNext/>
        <w:spacing w:after="0"/>
        <w:rPr>
          <w:rFonts w:cstheme="minorHAnsi"/>
          <w:sz w:val="24"/>
          <w:szCs w:val="24"/>
        </w:rPr>
      </w:pPr>
      <w:r w:rsidRPr="006E0F68">
        <w:rPr>
          <w:rFonts w:cstheme="minorHAnsi"/>
          <w:sz w:val="24"/>
          <w:szCs w:val="24"/>
        </w:rPr>
        <w:t>Celkové příjmy</w:t>
      </w:r>
    </w:p>
    <w:p w:rsidR="00C64A54" w:rsidRPr="006E0F68" w:rsidRDefault="00B85DFE" w:rsidP="002402C9">
      <w:pPr>
        <w:contextualSpacing/>
        <w:rPr>
          <w:rFonts w:cstheme="minorHAnsi"/>
          <w:sz w:val="20"/>
        </w:rPr>
      </w:pPr>
      <w:r>
        <w:rPr>
          <w:rFonts w:cstheme="minorHAnsi"/>
          <w:noProof/>
        </w:rPr>
        <w:object w:dxaOrig="1440" w:dyaOrig="1440" w14:anchorId="46D4D643">
          <v:shape id="_x0000_s1031" type="#_x0000_t75" style="position:absolute;margin-left:-19.45pt;margin-top:13.6pt;width:535.25pt;height:88.8pt;z-index:251659264;mso-position-horizontal-relative:text;mso-position-vertical-relative:text" wrapcoords="-32 0 -32 21300 21600 21300 21600 0 -32 0">
            <v:imagedata r:id="rId12" o:title=""/>
            <w10:wrap type="tight"/>
          </v:shape>
          <o:OLEObject Type="Embed" ProgID="Excel.Sheet.12" ShapeID="_x0000_s1031" DrawAspect="Content" ObjectID="_1738644132" r:id="rId13"/>
        </w:object>
      </w:r>
      <w:r w:rsidR="002402C9" w:rsidRPr="006E0F68">
        <w:rPr>
          <w:rFonts w:cstheme="minorHAnsi"/>
        </w:rPr>
        <w:t xml:space="preserve">                                                                                                                                 </w:t>
      </w:r>
      <w:r w:rsidR="002402C9" w:rsidRPr="006E0F68">
        <w:rPr>
          <w:rFonts w:cstheme="minorHAnsi"/>
          <w:sz w:val="20"/>
        </w:rPr>
        <w:t>v</w:t>
      </w:r>
      <w:r w:rsidR="00B26FB3" w:rsidRPr="006E0F68">
        <w:rPr>
          <w:rFonts w:cstheme="minorHAnsi"/>
          <w:sz w:val="20"/>
        </w:rPr>
        <w:t> tis. KČ na 2 desetinná místa</w:t>
      </w:r>
      <w:r w:rsidR="00622E21" w:rsidRPr="006E0F68">
        <w:rPr>
          <w:rFonts w:cstheme="minorHAnsi"/>
          <w:sz w:val="20"/>
        </w:rPr>
        <w:t xml:space="preserve"> </w:t>
      </w:r>
    </w:p>
    <w:p w:rsidR="00C64A54" w:rsidRPr="006E0F68" w:rsidRDefault="00B84EF8" w:rsidP="00B84EF8">
      <w:pPr>
        <w:spacing w:after="160" w:line="259" w:lineRule="auto"/>
        <w:rPr>
          <w:rFonts w:cstheme="minorHAnsi"/>
        </w:rPr>
      </w:pPr>
      <w:r w:rsidRPr="006E0F68">
        <w:rPr>
          <w:rFonts w:cstheme="minorHAnsi"/>
        </w:rPr>
        <w:t>C</w:t>
      </w:r>
      <w:r w:rsidR="006E0F68" w:rsidRPr="006E0F68">
        <w:rPr>
          <w:rFonts w:cstheme="minorHAnsi"/>
        </w:rPr>
        <w:t>elkové příjmy byly plněny na 101,70</w:t>
      </w:r>
      <w:r w:rsidRPr="006E0F68">
        <w:rPr>
          <w:rFonts w:cstheme="minorHAnsi"/>
        </w:rPr>
        <w:t xml:space="preserve">% upraveného rozpočtu. Největší podíl příjmů tvoří </w:t>
      </w:r>
      <w:r w:rsidR="002B75E6" w:rsidRPr="006E0F68">
        <w:rPr>
          <w:rFonts w:cstheme="minorHAnsi"/>
        </w:rPr>
        <w:t xml:space="preserve">daňové příjmy - </w:t>
      </w:r>
      <w:r w:rsidRPr="006E0F68">
        <w:rPr>
          <w:rFonts w:cstheme="minorHAnsi"/>
        </w:rPr>
        <w:t>soudní poplatky</w:t>
      </w:r>
      <w:r w:rsidR="002B75E6" w:rsidRPr="006E0F68">
        <w:rPr>
          <w:rFonts w:cstheme="minorHAnsi"/>
        </w:rPr>
        <w:t xml:space="preserve"> a dále nedaňové příjmy - </w:t>
      </w:r>
      <w:r w:rsidRPr="006E0F68">
        <w:rPr>
          <w:rFonts w:cstheme="minorHAnsi"/>
        </w:rPr>
        <w:t xml:space="preserve"> sankční platby přijaté od jiných subjektů a přijaté nekapitálové příspěvky a náhrady</w:t>
      </w:r>
      <w:r w:rsidR="0099014D" w:rsidRPr="006E0F68">
        <w:rPr>
          <w:rFonts w:cstheme="minorHAnsi"/>
        </w:rPr>
        <w:t>.</w:t>
      </w:r>
    </w:p>
    <w:p w:rsidR="00644DE2" w:rsidRPr="000E1F4F" w:rsidRDefault="00644DE2" w:rsidP="00C64A54">
      <w:pPr>
        <w:pStyle w:val="Titulek"/>
        <w:keepNext/>
        <w:spacing w:before="120" w:after="120"/>
        <w:rPr>
          <w:rFonts w:cstheme="minorHAnsi"/>
        </w:rPr>
      </w:pPr>
      <w:bookmarkStart w:id="7" w:name="_Toc528237606"/>
    </w:p>
    <w:p w:rsidR="00C64A54" w:rsidRDefault="00C64A54" w:rsidP="00C64A54">
      <w:pPr>
        <w:pStyle w:val="Titulek"/>
        <w:keepNext/>
        <w:spacing w:before="120" w:after="120"/>
        <w:rPr>
          <w:rFonts w:cstheme="minorHAnsi"/>
        </w:rPr>
      </w:pPr>
      <w:r w:rsidRPr="000E1F4F">
        <w:rPr>
          <w:rFonts w:cstheme="minorHAnsi"/>
        </w:rPr>
        <w:t>Čtvrtletní srovnání příjmů</w:t>
      </w:r>
      <w:bookmarkEnd w:id="7"/>
    </w:p>
    <w:p w:rsidR="000D0F88" w:rsidRPr="000D0F88" w:rsidRDefault="000D0F88" w:rsidP="000D0F88"/>
    <w:p w:rsidR="000D0F88" w:rsidRDefault="00B85DFE" w:rsidP="00B84EF8">
      <w:pPr>
        <w:contextualSpacing/>
        <w:rPr>
          <w:rFonts w:cstheme="minorHAnsi"/>
        </w:rPr>
      </w:pPr>
      <w:r>
        <w:rPr>
          <w:rFonts w:cstheme="minorHAnsi"/>
          <w:noProof/>
          <w:color w:val="FF0000"/>
        </w:rPr>
        <w:object w:dxaOrig="1440" w:dyaOrig="1440">
          <v:shape id="_x0000_s1053" type="#_x0000_t75" style="position:absolute;margin-left:167.5pt;margin-top:-.25pt;width:233.7pt;height:104.15pt;z-index:251661312;mso-position-horizontal:absolute;mso-position-horizontal-relative:text;mso-position-vertical-relative:text">
            <v:imagedata r:id="rId14" o:title=""/>
            <w10:wrap type="square" side="left"/>
          </v:shape>
          <o:OLEObject Type="Embed" ProgID="Excel.Sheet.12" ShapeID="_x0000_s1053" DrawAspect="Content" ObjectID="_1738644133" r:id="rId15"/>
        </w:object>
      </w:r>
      <w:r w:rsidR="00B84EF8" w:rsidRPr="00C9684A">
        <w:rPr>
          <w:rFonts w:cstheme="minorHAnsi"/>
          <w:color w:val="FF0000"/>
        </w:rPr>
        <w:br w:type="textWrapping" w:clear="all"/>
      </w:r>
    </w:p>
    <w:p w:rsidR="00C64A54" w:rsidRPr="00C9684A" w:rsidRDefault="000E1F4F" w:rsidP="00B84EF8">
      <w:pPr>
        <w:contextualSpacing/>
        <w:rPr>
          <w:rFonts w:cstheme="minorHAnsi"/>
          <w:color w:val="FF0000"/>
        </w:rPr>
      </w:pPr>
      <w:r w:rsidRPr="000E1F4F">
        <w:rPr>
          <w:rFonts w:cstheme="minorHAnsi"/>
        </w:rPr>
        <w:t>V 1. čtvrtletí bylo plnění příjmů výrazně vyšší, v ostatních čtvrtletích bylo již rovnoměrné.</w:t>
      </w:r>
    </w:p>
    <w:p w:rsidR="00C64A54" w:rsidRPr="00C9684A" w:rsidRDefault="00C64A54" w:rsidP="00C64A54">
      <w:pPr>
        <w:spacing w:before="120" w:after="120"/>
        <w:jc w:val="center"/>
        <w:rPr>
          <w:rFonts w:cstheme="minorHAnsi"/>
          <w:color w:val="FF0000"/>
        </w:rPr>
      </w:pPr>
    </w:p>
    <w:p w:rsidR="00C64A54" w:rsidRPr="000E1F4F" w:rsidRDefault="00C64A54" w:rsidP="00ED5733">
      <w:pPr>
        <w:pStyle w:val="Nadpis2"/>
      </w:pPr>
      <w:bookmarkStart w:id="8" w:name="_Toc124839820"/>
      <w:r w:rsidRPr="000E1F4F">
        <w:t>Hodnocení příjmů v členění podle rozpočtové skladby</w:t>
      </w:r>
      <w:bookmarkEnd w:id="8"/>
    </w:p>
    <w:p w:rsidR="00C64A54" w:rsidRPr="000E1F4F" w:rsidRDefault="00C64A54" w:rsidP="00E145D4">
      <w:pPr>
        <w:pStyle w:val="Odstavecseseznamem"/>
        <w:spacing w:after="160" w:line="259" w:lineRule="auto"/>
        <w:jc w:val="both"/>
        <w:rPr>
          <w:rFonts w:cstheme="minorHAnsi"/>
        </w:rPr>
      </w:pPr>
    </w:p>
    <w:p w:rsidR="00C64A54" w:rsidRPr="000E1F4F" w:rsidRDefault="00296E41" w:rsidP="006D10DA">
      <w:pPr>
        <w:pStyle w:val="Nadpis3"/>
      </w:pPr>
      <w:bookmarkStart w:id="9" w:name="_Toc124839821"/>
      <w:r w:rsidRPr="000E1F4F">
        <w:t xml:space="preserve">Daňové příjmy </w:t>
      </w:r>
      <w:r w:rsidR="00735E6E" w:rsidRPr="000E1F4F">
        <w:t>(</w:t>
      </w:r>
      <w:r w:rsidRPr="000E1F4F">
        <w:t xml:space="preserve">soudní poplatky </w:t>
      </w:r>
      <w:r w:rsidR="00735E6E" w:rsidRPr="000E1F4F">
        <w:t>od 1. 1. 2021</w:t>
      </w:r>
      <w:r w:rsidR="00C64A54" w:rsidRPr="000E1F4F">
        <w:t>)</w:t>
      </w:r>
      <w:bookmarkEnd w:id="9"/>
    </w:p>
    <w:p w:rsidR="00296E41" w:rsidRPr="000E1F4F" w:rsidRDefault="00296E41" w:rsidP="00296E41">
      <w:r w:rsidRPr="000E1F4F">
        <w:t xml:space="preserve">Přehled plnění daňových příjmů </w:t>
      </w:r>
    </w:p>
    <w:tbl>
      <w:tblPr>
        <w:tblW w:w="8500" w:type="dxa"/>
        <w:tblCellMar>
          <w:left w:w="70" w:type="dxa"/>
          <w:right w:w="70" w:type="dxa"/>
        </w:tblCellMar>
        <w:tblLook w:val="04A0" w:firstRow="1" w:lastRow="0" w:firstColumn="1" w:lastColumn="0" w:noHBand="0" w:noVBand="1"/>
      </w:tblPr>
      <w:tblGrid>
        <w:gridCol w:w="2140"/>
        <w:gridCol w:w="1340"/>
        <w:gridCol w:w="1340"/>
        <w:gridCol w:w="1340"/>
        <w:gridCol w:w="1340"/>
        <w:gridCol w:w="1000"/>
      </w:tblGrid>
      <w:tr w:rsidR="00A56458" w:rsidRPr="000E1F4F" w:rsidTr="00296E41">
        <w:trPr>
          <w:trHeight w:val="240"/>
        </w:trPr>
        <w:tc>
          <w:tcPr>
            <w:tcW w:w="2140"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296E41" w:rsidRPr="000E1F4F" w:rsidRDefault="00296E41" w:rsidP="00296E41">
            <w:pPr>
              <w:spacing w:after="0" w:line="240" w:lineRule="auto"/>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 </w:t>
            </w:r>
          </w:p>
        </w:tc>
        <w:tc>
          <w:tcPr>
            <w:tcW w:w="1340" w:type="dxa"/>
            <w:tcBorders>
              <w:top w:val="single" w:sz="4" w:space="0" w:color="FFFFFF"/>
              <w:left w:val="nil"/>
              <w:bottom w:val="single" w:sz="4" w:space="0" w:color="auto"/>
              <w:right w:val="single" w:sz="4" w:space="0" w:color="FFFFFF"/>
            </w:tcBorders>
            <w:shd w:val="clear" w:color="auto" w:fill="auto"/>
            <w:noWrap/>
            <w:vAlign w:val="bottom"/>
            <w:hideMark/>
          </w:tcPr>
          <w:p w:rsidR="00296E41" w:rsidRPr="000E1F4F" w:rsidRDefault="00296E41" w:rsidP="00296E41">
            <w:pPr>
              <w:spacing w:after="0" w:line="240" w:lineRule="auto"/>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 </w:t>
            </w:r>
          </w:p>
        </w:tc>
        <w:tc>
          <w:tcPr>
            <w:tcW w:w="1340" w:type="dxa"/>
            <w:tcBorders>
              <w:top w:val="single" w:sz="4" w:space="0" w:color="FFFFFF"/>
              <w:left w:val="nil"/>
              <w:bottom w:val="single" w:sz="4" w:space="0" w:color="auto"/>
              <w:right w:val="single" w:sz="4" w:space="0" w:color="FFFFFF"/>
            </w:tcBorders>
            <w:shd w:val="clear" w:color="auto" w:fill="auto"/>
            <w:noWrap/>
            <w:vAlign w:val="bottom"/>
            <w:hideMark/>
          </w:tcPr>
          <w:p w:rsidR="00296E41" w:rsidRPr="000E1F4F" w:rsidRDefault="00296E41" w:rsidP="00296E41">
            <w:pPr>
              <w:spacing w:after="0" w:line="240" w:lineRule="auto"/>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 </w:t>
            </w:r>
          </w:p>
        </w:tc>
        <w:tc>
          <w:tcPr>
            <w:tcW w:w="3680" w:type="dxa"/>
            <w:gridSpan w:val="3"/>
            <w:tcBorders>
              <w:top w:val="single" w:sz="4" w:space="0" w:color="FFFFFF"/>
              <w:left w:val="nil"/>
              <w:bottom w:val="single" w:sz="4" w:space="0" w:color="auto"/>
              <w:right w:val="single" w:sz="4" w:space="0" w:color="FFFFFF"/>
            </w:tcBorders>
            <w:shd w:val="clear" w:color="auto" w:fill="auto"/>
            <w:noWrap/>
            <w:vAlign w:val="bottom"/>
            <w:hideMark/>
          </w:tcPr>
          <w:p w:rsidR="00296E41" w:rsidRPr="000E1F4F" w:rsidRDefault="00296E41" w:rsidP="00296E41">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v tis. Kč na 2 desetinná místa</w:t>
            </w:r>
          </w:p>
        </w:tc>
      </w:tr>
      <w:tr w:rsidR="00A56458" w:rsidRPr="000E1F4F" w:rsidTr="00296E41">
        <w:trPr>
          <w:trHeight w:val="480"/>
        </w:trPr>
        <w:tc>
          <w:tcPr>
            <w:tcW w:w="2140" w:type="dxa"/>
            <w:tcBorders>
              <w:top w:val="nil"/>
              <w:left w:val="single" w:sz="4" w:space="0" w:color="auto"/>
              <w:bottom w:val="single" w:sz="4" w:space="0" w:color="auto"/>
              <w:right w:val="single" w:sz="4" w:space="0" w:color="auto"/>
            </w:tcBorders>
            <w:shd w:val="clear" w:color="000000" w:fill="BFBFBF"/>
            <w:vAlign w:val="center"/>
            <w:hideMark/>
          </w:tcPr>
          <w:p w:rsidR="00296E41" w:rsidRPr="000E1F4F" w:rsidRDefault="00296E41" w:rsidP="00296E41">
            <w:pPr>
              <w:spacing w:after="0" w:line="240" w:lineRule="auto"/>
              <w:jc w:val="center"/>
              <w:rPr>
                <w:rFonts w:ascii="Calibri" w:eastAsia="Times New Roman" w:hAnsi="Calibri" w:cs="Calibri"/>
                <w:b/>
                <w:bCs/>
                <w:sz w:val="18"/>
                <w:szCs w:val="18"/>
                <w:lang w:eastAsia="cs-CZ"/>
              </w:rPr>
            </w:pPr>
            <w:r w:rsidRPr="000E1F4F">
              <w:rPr>
                <w:rFonts w:ascii="Calibri" w:eastAsia="Times New Roman" w:hAnsi="Calibri" w:cs="Calibri"/>
                <w:b/>
                <w:bCs/>
                <w:sz w:val="18"/>
                <w:szCs w:val="18"/>
                <w:lang w:eastAsia="cs-CZ"/>
              </w:rPr>
              <w:t>Třída 1 - daňové příjmy</w:t>
            </w:r>
          </w:p>
        </w:tc>
        <w:tc>
          <w:tcPr>
            <w:tcW w:w="1340" w:type="dxa"/>
            <w:tcBorders>
              <w:top w:val="nil"/>
              <w:left w:val="nil"/>
              <w:bottom w:val="single" w:sz="4" w:space="0" w:color="auto"/>
              <w:right w:val="single" w:sz="4" w:space="0" w:color="auto"/>
            </w:tcBorders>
            <w:shd w:val="clear" w:color="000000" w:fill="BFBFBF"/>
            <w:vAlign w:val="center"/>
            <w:hideMark/>
          </w:tcPr>
          <w:p w:rsidR="00296E41" w:rsidRPr="000E1F4F" w:rsidRDefault="000E1F4F" w:rsidP="00296E41">
            <w:pPr>
              <w:spacing w:after="0" w:line="240" w:lineRule="auto"/>
              <w:jc w:val="center"/>
              <w:rPr>
                <w:rFonts w:ascii="Calibri" w:eastAsia="Times New Roman" w:hAnsi="Calibri" w:cs="Calibri"/>
                <w:b/>
                <w:bCs/>
                <w:sz w:val="18"/>
                <w:szCs w:val="18"/>
                <w:lang w:eastAsia="cs-CZ"/>
              </w:rPr>
            </w:pPr>
            <w:r w:rsidRPr="000E1F4F">
              <w:rPr>
                <w:rFonts w:ascii="Calibri" w:eastAsia="Times New Roman" w:hAnsi="Calibri" w:cs="Calibri"/>
                <w:b/>
                <w:bCs/>
                <w:sz w:val="18"/>
                <w:szCs w:val="18"/>
                <w:lang w:eastAsia="cs-CZ"/>
              </w:rPr>
              <w:t>Skutečnost 2021</w:t>
            </w:r>
          </w:p>
        </w:tc>
        <w:tc>
          <w:tcPr>
            <w:tcW w:w="1340" w:type="dxa"/>
            <w:tcBorders>
              <w:top w:val="nil"/>
              <w:left w:val="nil"/>
              <w:bottom w:val="single" w:sz="4" w:space="0" w:color="auto"/>
              <w:right w:val="single" w:sz="4" w:space="0" w:color="auto"/>
            </w:tcBorders>
            <w:shd w:val="clear" w:color="000000" w:fill="BFBFBF"/>
            <w:vAlign w:val="center"/>
            <w:hideMark/>
          </w:tcPr>
          <w:p w:rsidR="00296E41" w:rsidRPr="000E1F4F" w:rsidRDefault="000E1F4F" w:rsidP="00296E41">
            <w:pPr>
              <w:spacing w:after="0" w:line="240" w:lineRule="auto"/>
              <w:jc w:val="center"/>
              <w:rPr>
                <w:rFonts w:ascii="Calibri" w:eastAsia="Times New Roman" w:hAnsi="Calibri" w:cs="Calibri"/>
                <w:b/>
                <w:bCs/>
                <w:sz w:val="18"/>
                <w:szCs w:val="18"/>
                <w:lang w:eastAsia="cs-CZ"/>
              </w:rPr>
            </w:pPr>
            <w:r w:rsidRPr="000E1F4F">
              <w:rPr>
                <w:rFonts w:ascii="Calibri" w:eastAsia="Times New Roman" w:hAnsi="Calibri" w:cs="Calibri"/>
                <w:b/>
                <w:bCs/>
                <w:sz w:val="18"/>
                <w:szCs w:val="18"/>
                <w:lang w:eastAsia="cs-CZ"/>
              </w:rPr>
              <w:t>Schválený rozpočet 2022</w:t>
            </w:r>
          </w:p>
        </w:tc>
        <w:tc>
          <w:tcPr>
            <w:tcW w:w="1340" w:type="dxa"/>
            <w:tcBorders>
              <w:top w:val="nil"/>
              <w:left w:val="nil"/>
              <w:bottom w:val="single" w:sz="4" w:space="0" w:color="auto"/>
              <w:right w:val="single" w:sz="4" w:space="0" w:color="auto"/>
            </w:tcBorders>
            <w:shd w:val="clear" w:color="000000" w:fill="BFBFBF"/>
            <w:vAlign w:val="center"/>
            <w:hideMark/>
          </w:tcPr>
          <w:p w:rsidR="00296E41" w:rsidRPr="000E1F4F" w:rsidRDefault="000E1F4F" w:rsidP="00296E41">
            <w:pPr>
              <w:spacing w:after="0" w:line="240" w:lineRule="auto"/>
              <w:jc w:val="center"/>
              <w:rPr>
                <w:rFonts w:ascii="Calibri" w:eastAsia="Times New Roman" w:hAnsi="Calibri" w:cs="Calibri"/>
                <w:b/>
                <w:bCs/>
                <w:sz w:val="18"/>
                <w:szCs w:val="18"/>
                <w:lang w:eastAsia="cs-CZ"/>
              </w:rPr>
            </w:pPr>
            <w:r w:rsidRPr="000E1F4F">
              <w:rPr>
                <w:rFonts w:ascii="Calibri" w:eastAsia="Times New Roman" w:hAnsi="Calibri" w:cs="Calibri"/>
                <w:b/>
                <w:bCs/>
                <w:sz w:val="18"/>
                <w:szCs w:val="18"/>
                <w:lang w:eastAsia="cs-CZ"/>
              </w:rPr>
              <w:t xml:space="preserve"> Rozpočet po změnách2022</w:t>
            </w:r>
          </w:p>
        </w:tc>
        <w:tc>
          <w:tcPr>
            <w:tcW w:w="1340" w:type="dxa"/>
            <w:tcBorders>
              <w:top w:val="nil"/>
              <w:left w:val="nil"/>
              <w:bottom w:val="single" w:sz="4" w:space="0" w:color="auto"/>
              <w:right w:val="single" w:sz="4" w:space="0" w:color="auto"/>
            </w:tcBorders>
            <w:shd w:val="clear" w:color="000000" w:fill="BFBFBF"/>
            <w:vAlign w:val="center"/>
            <w:hideMark/>
          </w:tcPr>
          <w:p w:rsidR="00296E41" w:rsidRPr="000E1F4F" w:rsidRDefault="00296E41" w:rsidP="000E1F4F">
            <w:pPr>
              <w:spacing w:after="0" w:line="240" w:lineRule="auto"/>
              <w:jc w:val="center"/>
              <w:rPr>
                <w:rFonts w:ascii="Calibri" w:eastAsia="Times New Roman" w:hAnsi="Calibri" w:cs="Calibri"/>
                <w:b/>
                <w:bCs/>
                <w:sz w:val="18"/>
                <w:szCs w:val="18"/>
                <w:lang w:eastAsia="cs-CZ"/>
              </w:rPr>
            </w:pPr>
            <w:r w:rsidRPr="000E1F4F">
              <w:rPr>
                <w:rFonts w:ascii="Calibri" w:eastAsia="Times New Roman" w:hAnsi="Calibri" w:cs="Calibri"/>
                <w:b/>
                <w:bCs/>
                <w:sz w:val="18"/>
                <w:szCs w:val="18"/>
                <w:lang w:eastAsia="cs-CZ"/>
              </w:rPr>
              <w:t>Skutečnost 202</w:t>
            </w:r>
            <w:r w:rsidR="000E1F4F" w:rsidRPr="000E1F4F">
              <w:rPr>
                <w:rFonts w:ascii="Calibri" w:eastAsia="Times New Roman" w:hAnsi="Calibri" w:cs="Calibri"/>
                <w:b/>
                <w:bCs/>
                <w:sz w:val="18"/>
                <w:szCs w:val="18"/>
                <w:lang w:eastAsia="cs-CZ"/>
              </w:rPr>
              <w:t>2</w:t>
            </w:r>
          </w:p>
        </w:tc>
        <w:tc>
          <w:tcPr>
            <w:tcW w:w="1000" w:type="dxa"/>
            <w:tcBorders>
              <w:top w:val="nil"/>
              <w:left w:val="nil"/>
              <w:bottom w:val="single" w:sz="4" w:space="0" w:color="auto"/>
              <w:right w:val="single" w:sz="4" w:space="0" w:color="auto"/>
            </w:tcBorders>
            <w:shd w:val="clear" w:color="000000" w:fill="BFBFBF"/>
            <w:vAlign w:val="center"/>
            <w:hideMark/>
          </w:tcPr>
          <w:p w:rsidR="00296E41" w:rsidRPr="000E1F4F" w:rsidRDefault="00296E41" w:rsidP="00296E41">
            <w:pPr>
              <w:spacing w:after="0" w:line="240" w:lineRule="auto"/>
              <w:jc w:val="center"/>
              <w:rPr>
                <w:rFonts w:ascii="Calibri" w:eastAsia="Times New Roman" w:hAnsi="Calibri" w:cs="Calibri"/>
                <w:b/>
                <w:bCs/>
                <w:sz w:val="18"/>
                <w:szCs w:val="18"/>
                <w:lang w:eastAsia="cs-CZ"/>
              </w:rPr>
            </w:pPr>
            <w:r w:rsidRPr="000E1F4F">
              <w:rPr>
                <w:rFonts w:ascii="Calibri" w:eastAsia="Times New Roman" w:hAnsi="Calibri" w:cs="Calibri"/>
                <w:b/>
                <w:bCs/>
                <w:sz w:val="18"/>
                <w:szCs w:val="18"/>
                <w:lang w:eastAsia="cs-CZ"/>
              </w:rPr>
              <w:t>Plnění k RZ %</w:t>
            </w:r>
          </w:p>
        </w:tc>
      </w:tr>
      <w:tr w:rsidR="00A56458" w:rsidRPr="000E1F4F" w:rsidTr="00296E41">
        <w:trPr>
          <w:trHeight w:val="24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6E41" w:rsidRPr="000E1F4F" w:rsidRDefault="00296E41" w:rsidP="00296E41">
            <w:pPr>
              <w:spacing w:after="0" w:line="240" w:lineRule="auto"/>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1362 – Soudní poplatky</w:t>
            </w:r>
          </w:p>
        </w:tc>
        <w:tc>
          <w:tcPr>
            <w:tcW w:w="1340" w:type="dxa"/>
            <w:tcBorders>
              <w:top w:val="nil"/>
              <w:left w:val="nil"/>
              <w:bottom w:val="single" w:sz="4" w:space="0" w:color="auto"/>
              <w:right w:val="single" w:sz="4" w:space="0" w:color="auto"/>
            </w:tcBorders>
            <w:shd w:val="clear" w:color="auto" w:fill="auto"/>
            <w:noWrap/>
            <w:vAlign w:val="bottom"/>
            <w:hideMark/>
          </w:tcPr>
          <w:p w:rsidR="00296E41" w:rsidRPr="000E1F4F" w:rsidRDefault="000E1F4F" w:rsidP="00864961">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6 506,05</w:t>
            </w:r>
          </w:p>
        </w:tc>
        <w:tc>
          <w:tcPr>
            <w:tcW w:w="1340" w:type="dxa"/>
            <w:tcBorders>
              <w:top w:val="nil"/>
              <w:left w:val="nil"/>
              <w:bottom w:val="single" w:sz="4" w:space="0" w:color="auto"/>
              <w:right w:val="single" w:sz="4" w:space="0" w:color="auto"/>
            </w:tcBorders>
            <w:shd w:val="clear" w:color="auto" w:fill="auto"/>
            <w:noWrap/>
            <w:vAlign w:val="bottom"/>
            <w:hideMark/>
          </w:tcPr>
          <w:p w:rsidR="00296E41" w:rsidRPr="000E1F4F" w:rsidRDefault="000E1F4F" w:rsidP="000E1F4F">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6 30</w:t>
            </w:r>
            <w:r w:rsidR="00A56458" w:rsidRPr="000E1F4F">
              <w:rPr>
                <w:rFonts w:ascii="Calibri" w:eastAsia="Times New Roman" w:hAnsi="Calibri" w:cs="Calibri"/>
                <w:sz w:val="18"/>
                <w:szCs w:val="18"/>
                <w:lang w:eastAsia="cs-CZ"/>
              </w:rPr>
              <w:t>0,00</w:t>
            </w:r>
          </w:p>
        </w:tc>
        <w:tc>
          <w:tcPr>
            <w:tcW w:w="1340" w:type="dxa"/>
            <w:tcBorders>
              <w:top w:val="nil"/>
              <w:left w:val="nil"/>
              <w:bottom w:val="single" w:sz="4" w:space="0" w:color="auto"/>
              <w:right w:val="single" w:sz="4" w:space="0" w:color="auto"/>
            </w:tcBorders>
            <w:shd w:val="clear" w:color="auto" w:fill="auto"/>
            <w:noWrap/>
            <w:vAlign w:val="bottom"/>
            <w:hideMark/>
          </w:tcPr>
          <w:p w:rsidR="00296E41" w:rsidRPr="000E1F4F" w:rsidRDefault="000E1F4F" w:rsidP="000E1F4F">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6 30</w:t>
            </w:r>
            <w:r w:rsidR="00A56458" w:rsidRPr="000E1F4F">
              <w:rPr>
                <w:rFonts w:ascii="Calibri" w:eastAsia="Times New Roman" w:hAnsi="Calibri" w:cs="Calibri"/>
                <w:sz w:val="18"/>
                <w:szCs w:val="18"/>
                <w:lang w:eastAsia="cs-CZ"/>
              </w:rPr>
              <w:t>0,00</w:t>
            </w:r>
          </w:p>
        </w:tc>
        <w:tc>
          <w:tcPr>
            <w:tcW w:w="1340" w:type="dxa"/>
            <w:tcBorders>
              <w:top w:val="nil"/>
              <w:left w:val="nil"/>
              <w:bottom w:val="single" w:sz="4" w:space="0" w:color="auto"/>
              <w:right w:val="single" w:sz="4" w:space="0" w:color="auto"/>
            </w:tcBorders>
            <w:shd w:val="clear" w:color="auto" w:fill="auto"/>
            <w:noWrap/>
            <w:vAlign w:val="bottom"/>
            <w:hideMark/>
          </w:tcPr>
          <w:p w:rsidR="00296E41" w:rsidRPr="000E1F4F" w:rsidRDefault="000E1F4F" w:rsidP="00296E41">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5 804,07</w:t>
            </w:r>
          </w:p>
        </w:tc>
        <w:tc>
          <w:tcPr>
            <w:tcW w:w="1000" w:type="dxa"/>
            <w:tcBorders>
              <w:top w:val="nil"/>
              <w:left w:val="nil"/>
              <w:bottom w:val="single" w:sz="4" w:space="0" w:color="auto"/>
              <w:right w:val="single" w:sz="4" w:space="0" w:color="auto"/>
            </w:tcBorders>
            <w:shd w:val="clear" w:color="auto" w:fill="auto"/>
            <w:noWrap/>
            <w:vAlign w:val="bottom"/>
            <w:hideMark/>
          </w:tcPr>
          <w:p w:rsidR="00296E41" w:rsidRPr="000E1F4F" w:rsidRDefault="000E1F4F" w:rsidP="00296E41">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92,13</w:t>
            </w:r>
            <w:r w:rsidR="00296E41" w:rsidRPr="000E1F4F">
              <w:rPr>
                <w:rFonts w:ascii="Calibri" w:eastAsia="Times New Roman" w:hAnsi="Calibri" w:cs="Calibri"/>
                <w:sz w:val="18"/>
                <w:szCs w:val="18"/>
                <w:lang w:eastAsia="cs-CZ"/>
              </w:rPr>
              <w:t>%</w:t>
            </w:r>
          </w:p>
        </w:tc>
      </w:tr>
      <w:tr w:rsidR="000E1F4F" w:rsidRPr="000E1F4F" w:rsidTr="00296E41">
        <w:trPr>
          <w:trHeight w:val="240"/>
        </w:trPr>
        <w:tc>
          <w:tcPr>
            <w:tcW w:w="2140" w:type="dxa"/>
            <w:tcBorders>
              <w:top w:val="nil"/>
              <w:left w:val="single" w:sz="4" w:space="0" w:color="auto"/>
              <w:bottom w:val="single" w:sz="4" w:space="0" w:color="auto"/>
              <w:right w:val="single" w:sz="4" w:space="0" w:color="auto"/>
            </w:tcBorders>
            <w:shd w:val="clear" w:color="000000" w:fill="BFBFBF"/>
            <w:noWrap/>
            <w:vAlign w:val="bottom"/>
            <w:hideMark/>
          </w:tcPr>
          <w:p w:rsidR="00A56458" w:rsidRPr="000E1F4F" w:rsidRDefault="00A56458" w:rsidP="00A56458">
            <w:pPr>
              <w:spacing w:after="0" w:line="240" w:lineRule="auto"/>
              <w:rPr>
                <w:rFonts w:ascii="Calibri" w:eastAsia="Times New Roman" w:hAnsi="Calibri" w:cs="Calibri"/>
                <w:b/>
                <w:bCs/>
                <w:sz w:val="18"/>
                <w:szCs w:val="18"/>
                <w:lang w:eastAsia="cs-CZ"/>
              </w:rPr>
            </w:pPr>
            <w:r w:rsidRPr="000E1F4F">
              <w:rPr>
                <w:rFonts w:ascii="Calibri" w:eastAsia="Times New Roman" w:hAnsi="Calibri" w:cs="Calibri"/>
                <w:b/>
                <w:bCs/>
                <w:sz w:val="18"/>
                <w:szCs w:val="18"/>
                <w:lang w:eastAsia="cs-CZ"/>
              </w:rPr>
              <w:t>Celkem</w:t>
            </w:r>
          </w:p>
        </w:tc>
        <w:tc>
          <w:tcPr>
            <w:tcW w:w="1340" w:type="dxa"/>
            <w:tcBorders>
              <w:top w:val="nil"/>
              <w:left w:val="nil"/>
              <w:bottom w:val="single" w:sz="4" w:space="0" w:color="auto"/>
              <w:right w:val="single" w:sz="4" w:space="0" w:color="auto"/>
            </w:tcBorders>
            <w:shd w:val="clear" w:color="000000" w:fill="BFBFBF"/>
            <w:noWrap/>
            <w:vAlign w:val="bottom"/>
            <w:hideMark/>
          </w:tcPr>
          <w:p w:rsidR="00A56458" w:rsidRPr="000E1F4F" w:rsidRDefault="000E1F4F" w:rsidP="00A56458">
            <w:pPr>
              <w:spacing w:after="0" w:line="240" w:lineRule="auto"/>
              <w:jc w:val="right"/>
              <w:rPr>
                <w:rFonts w:ascii="Calibri" w:eastAsia="Times New Roman" w:hAnsi="Calibri" w:cs="Calibri"/>
                <w:b/>
                <w:bCs/>
                <w:sz w:val="18"/>
                <w:szCs w:val="18"/>
                <w:lang w:eastAsia="cs-CZ"/>
              </w:rPr>
            </w:pPr>
            <w:r w:rsidRPr="000E1F4F">
              <w:rPr>
                <w:rFonts w:ascii="Calibri" w:eastAsia="Times New Roman" w:hAnsi="Calibri" w:cs="Calibri"/>
                <w:sz w:val="18"/>
                <w:szCs w:val="18"/>
                <w:lang w:eastAsia="cs-CZ"/>
              </w:rPr>
              <w:t>6 506,05</w:t>
            </w:r>
          </w:p>
        </w:tc>
        <w:tc>
          <w:tcPr>
            <w:tcW w:w="1340" w:type="dxa"/>
            <w:tcBorders>
              <w:top w:val="nil"/>
              <w:left w:val="nil"/>
              <w:bottom w:val="single" w:sz="4" w:space="0" w:color="auto"/>
              <w:right w:val="single" w:sz="4" w:space="0" w:color="auto"/>
            </w:tcBorders>
            <w:shd w:val="clear" w:color="000000" w:fill="BFBFBF"/>
            <w:noWrap/>
            <w:vAlign w:val="bottom"/>
            <w:hideMark/>
          </w:tcPr>
          <w:p w:rsidR="00A56458" w:rsidRPr="000E1F4F" w:rsidRDefault="000E1F4F" w:rsidP="00A56458">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6 30</w:t>
            </w:r>
            <w:r w:rsidR="00A56458" w:rsidRPr="000E1F4F">
              <w:rPr>
                <w:rFonts w:ascii="Calibri" w:eastAsia="Times New Roman" w:hAnsi="Calibri" w:cs="Calibri"/>
                <w:sz w:val="18"/>
                <w:szCs w:val="18"/>
                <w:lang w:eastAsia="cs-CZ"/>
              </w:rPr>
              <w:t>0,00</w:t>
            </w:r>
          </w:p>
        </w:tc>
        <w:tc>
          <w:tcPr>
            <w:tcW w:w="1340" w:type="dxa"/>
            <w:tcBorders>
              <w:top w:val="nil"/>
              <w:left w:val="nil"/>
              <w:bottom w:val="single" w:sz="4" w:space="0" w:color="auto"/>
              <w:right w:val="single" w:sz="4" w:space="0" w:color="auto"/>
            </w:tcBorders>
            <w:shd w:val="clear" w:color="000000" w:fill="BFBFBF"/>
            <w:noWrap/>
            <w:vAlign w:val="bottom"/>
            <w:hideMark/>
          </w:tcPr>
          <w:p w:rsidR="00A56458" w:rsidRPr="000E1F4F" w:rsidRDefault="000E1F4F" w:rsidP="000E1F4F">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6 30</w:t>
            </w:r>
            <w:r w:rsidR="00A56458" w:rsidRPr="000E1F4F">
              <w:rPr>
                <w:rFonts w:ascii="Calibri" w:eastAsia="Times New Roman" w:hAnsi="Calibri" w:cs="Calibri"/>
                <w:sz w:val="18"/>
                <w:szCs w:val="18"/>
                <w:lang w:eastAsia="cs-CZ"/>
              </w:rPr>
              <w:t>0,00</w:t>
            </w:r>
          </w:p>
        </w:tc>
        <w:tc>
          <w:tcPr>
            <w:tcW w:w="1340" w:type="dxa"/>
            <w:tcBorders>
              <w:top w:val="nil"/>
              <w:left w:val="nil"/>
              <w:bottom w:val="single" w:sz="4" w:space="0" w:color="auto"/>
              <w:right w:val="single" w:sz="4" w:space="0" w:color="auto"/>
            </w:tcBorders>
            <w:shd w:val="clear" w:color="000000" w:fill="BFBFBF"/>
            <w:noWrap/>
            <w:vAlign w:val="bottom"/>
            <w:hideMark/>
          </w:tcPr>
          <w:p w:rsidR="00A56458" w:rsidRPr="000E1F4F" w:rsidRDefault="000E1F4F" w:rsidP="000E1F4F">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5 804</w:t>
            </w:r>
            <w:r w:rsidR="00A56458" w:rsidRPr="000E1F4F">
              <w:rPr>
                <w:rFonts w:ascii="Calibri" w:eastAsia="Times New Roman" w:hAnsi="Calibri" w:cs="Calibri"/>
                <w:sz w:val="18"/>
                <w:szCs w:val="18"/>
                <w:lang w:eastAsia="cs-CZ"/>
              </w:rPr>
              <w:t>,0</w:t>
            </w:r>
            <w:r w:rsidRPr="000E1F4F">
              <w:rPr>
                <w:rFonts w:ascii="Calibri" w:eastAsia="Times New Roman" w:hAnsi="Calibri" w:cs="Calibri"/>
                <w:sz w:val="18"/>
                <w:szCs w:val="18"/>
                <w:lang w:eastAsia="cs-CZ"/>
              </w:rPr>
              <w:t>7</w:t>
            </w:r>
          </w:p>
        </w:tc>
        <w:tc>
          <w:tcPr>
            <w:tcW w:w="1000" w:type="dxa"/>
            <w:tcBorders>
              <w:top w:val="nil"/>
              <w:left w:val="nil"/>
              <w:bottom w:val="single" w:sz="4" w:space="0" w:color="auto"/>
              <w:right w:val="single" w:sz="4" w:space="0" w:color="auto"/>
            </w:tcBorders>
            <w:shd w:val="clear" w:color="000000" w:fill="BFBFBF"/>
            <w:noWrap/>
            <w:vAlign w:val="bottom"/>
            <w:hideMark/>
          </w:tcPr>
          <w:p w:rsidR="00A56458" w:rsidRPr="000E1F4F" w:rsidRDefault="000E1F4F" w:rsidP="000E1F4F">
            <w:pPr>
              <w:spacing w:after="0" w:line="240" w:lineRule="auto"/>
              <w:jc w:val="right"/>
              <w:rPr>
                <w:rFonts w:ascii="Calibri" w:eastAsia="Times New Roman" w:hAnsi="Calibri" w:cs="Calibri"/>
                <w:sz w:val="18"/>
                <w:szCs w:val="18"/>
                <w:lang w:eastAsia="cs-CZ"/>
              </w:rPr>
            </w:pPr>
            <w:r w:rsidRPr="000E1F4F">
              <w:rPr>
                <w:rFonts w:ascii="Calibri" w:eastAsia="Times New Roman" w:hAnsi="Calibri" w:cs="Calibri"/>
                <w:sz w:val="18"/>
                <w:szCs w:val="18"/>
                <w:lang w:eastAsia="cs-CZ"/>
              </w:rPr>
              <w:t>92,13</w:t>
            </w:r>
            <w:r w:rsidR="00A56458" w:rsidRPr="000E1F4F">
              <w:rPr>
                <w:rFonts w:ascii="Calibri" w:eastAsia="Times New Roman" w:hAnsi="Calibri" w:cs="Calibri"/>
                <w:sz w:val="18"/>
                <w:szCs w:val="18"/>
                <w:lang w:eastAsia="cs-CZ"/>
              </w:rPr>
              <w:t>%</w:t>
            </w:r>
          </w:p>
        </w:tc>
      </w:tr>
    </w:tbl>
    <w:p w:rsidR="00296E41" w:rsidRPr="000E1F4F" w:rsidRDefault="00296E41" w:rsidP="00296E41"/>
    <w:p w:rsidR="00864961" w:rsidRPr="000E1F4F" w:rsidRDefault="000E1F4F" w:rsidP="00296E41">
      <w:r w:rsidRPr="000E1F4F">
        <w:lastRenderedPageBreak/>
        <w:t xml:space="preserve"> </w:t>
      </w:r>
    </w:p>
    <w:p w:rsidR="00B82074" w:rsidRPr="000E1F4F" w:rsidRDefault="00B82074" w:rsidP="00296E41">
      <w:r w:rsidRPr="000E1F4F">
        <w:t>Příjmy na</w:t>
      </w:r>
      <w:r w:rsidR="000E1F4F" w:rsidRPr="000E1F4F">
        <w:t xml:space="preserve"> položce 1362 - soudní poplatky, ve </w:t>
      </w:r>
      <w:r w:rsidR="001F4817" w:rsidRPr="000E1F4F">
        <w:t xml:space="preserve">výši </w:t>
      </w:r>
      <w:r w:rsidR="000E1F4F" w:rsidRPr="000E1F4F">
        <w:t>5.804.073,82</w:t>
      </w:r>
      <w:r w:rsidR="001F4817" w:rsidRPr="000E1F4F">
        <w:t xml:space="preserve"> Kč </w:t>
      </w:r>
      <w:r w:rsidRPr="000E1F4F">
        <w:t>tvoří nejvyšší pod</w:t>
      </w:r>
      <w:r w:rsidR="00C943E3" w:rsidRPr="000E1F4F">
        <w:t xml:space="preserve">íl celkových příjmů dosažených </w:t>
      </w:r>
      <w:r w:rsidRPr="000E1F4F">
        <w:t>v roc</w:t>
      </w:r>
      <w:r w:rsidR="000E1F4F" w:rsidRPr="000E1F4F">
        <w:t>e 2022</w:t>
      </w:r>
      <w:r w:rsidRPr="000E1F4F">
        <w:t>.</w:t>
      </w:r>
      <w:r w:rsidR="00735E6E" w:rsidRPr="000E1F4F">
        <w:t xml:space="preserve"> V minulých letech byly so</w:t>
      </w:r>
      <w:r w:rsidR="001C70CF" w:rsidRPr="000E1F4F">
        <w:t xml:space="preserve">udní poplatky ve výši </w:t>
      </w:r>
    </w:p>
    <w:p w:rsidR="00735E6E" w:rsidRPr="000E1F4F" w:rsidRDefault="00735E6E" w:rsidP="00296E41">
      <w:r w:rsidRPr="000E1F4F">
        <w:t>2019</w:t>
      </w:r>
      <w:r w:rsidRPr="000E1F4F">
        <w:tab/>
        <w:t>6</w:t>
      </w:r>
      <w:r w:rsidR="00A75C05" w:rsidRPr="000E1F4F">
        <w:t xml:space="preserve"> 387 258,85 </w:t>
      </w:r>
      <w:r w:rsidRPr="000E1F4F">
        <w:t>Kč</w:t>
      </w:r>
    </w:p>
    <w:p w:rsidR="00735E6E" w:rsidRPr="000E1F4F" w:rsidRDefault="00735E6E" w:rsidP="00296E41">
      <w:r w:rsidRPr="000E1F4F">
        <w:t>2020</w:t>
      </w:r>
      <w:r w:rsidRPr="000E1F4F">
        <w:tab/>
        <w:t>6</w:t>
      </w:r>
      <w:r w:rsidR="00A75C05" w:rsidRPr="000E1F4F">
        <w:t> 072 705,49</w:t>
      </w:r>
      <w:r w:rsidRPr="000E1F4F">
        <w:t xml:space="preserve"> Kč</w:t>
      </w:r>
    </w:p>
    <w:p w:rsidR="000E1F4F" w:rsidRPr="000E1F4F" w:rsidRDefault="000E1F4F" w:rsidP="00296E41">
      <w:r w:rsidRPr="000E1F4F">
        <w:t xml:space="preserve">2021 </w:t>
      </w:r>
      <w:r w:rsidRPr="000E1F4F">
        <w:tab/>
        <w:t>6 506 050,38 Kč</w:t>
      </w:r>
    </w:p>
    <w:p w:rsidR="00735E6E" w:rsidRPr="000E1F4F" w:rsidRDefault="00735E6E" w:rsidP="00296E41">
      <w:r w:rsidRPr="000E1F4F">
        <w:t>Z toho je zřejmé, že plnění příjmů ze s</w:t>
      </w:r>
      <w:r w:rsidR="000E1F4F" w:rsidRPr="000E1F4F">
        <w:t>oudních poplatků bylo v předchozích</w:t>
      </w:r>
      <w:r w:rsidRPr="000E1F4F">
        <w:t xml:space="preserve"> </w:t>
      </w:r>
      <w:r w:rsidR="000E1F4F" w:rsidRPr="000E1F4F">
        <w:t>letech přibližně ve stejné výši, v roce 2022 došlo k poklesu.</w:t>
      </w:r>
    </w:p>
    <w:p w:rsidR="00296E41" w:rsidRPr="00D25F50" w:rsidRDefault="00C943E3" w:rsidP="006D10DA">
      <w:pPr>
        <w:pStyle w:val="Nadpis3"/>
      </w:pPr>
      <w:r w:rsidRPr="00D25F50">
        <w:t xml:space="preserve"> </w:t>
      </w:r>
      <w:bookmarkStart w:id="10" w:name="_Toc124839822"/>
      <w:r w:rsidR="00296E41" w:rsidRPr="00D25F50">
        <w:t>Nedaňové příjmy</w:t>
      </w:r>
      <w:bookmarkEnd w:id="10"/>
      <w:r w:rsidR="00296E41" w:rsidRPr="00D25F50">
        <w:t xml:space="preserve">  </w:t>
      </w:r>
    </w:p>
    <w:p w:rsidR="00296E41" w:rsidRPr="00D25F50" w:rsidRDefault="00296E41" w:rsidP="00C64A54">
      <w:pPr>
        <w:pStyle w:val="Odstavecseseznamem"/>
        <w:ind w:left="792"/>
        <w:rPr>
          <w:rFonts w:cstheme="minorHAnsi"/>
        </w:rPr>
      </w:pPr>
    </w:p>
    <w:p w:rsidR="00C64A54" w:rsidRPr="00D25F50" w:rsidRDefault="00C64A54" w:rsidP="000A7BB1">
      <w:pPr>
        <w:pStyle w:val="Odstavecseseznamem"/>
        <w:numPr>
          <w:ilvl w:val="0"/>
          <w:numId w:val="5"/>
        </w:numPr>
        <w:spacing w:after="160" w:line="259" w:lineRule="auto"/>
        <w:rPr>
          <w:rFonts w:cstheme="minorHAnsi"/>
        </w:rPr>
      </w:pPr>
      <w:r w:rsidRPr="00D25F50">
        <w:rPr>
          <w:rFonts w:cstheme="minorHAnsi"/>
        </w:rPr>
        <w:t>přehled plnění nedaňových příjmů dle podseskupení položek (tabulka)</w:t>
      </w:r>
    </w:p>
    <w:bookmarkStart w:id="11" w:name="_MON_1670842932"/>
    <w:bookmarkEnd w:id="11"/>
    <w:p w:rsidR="00C64A54" w:rsidRPr="00C9684A" w:rsidRDefault="00342CE1" w:rsidP="009A77CF">
      <w:pPr>
        <w:ind w:left="-426"/>
        <w:contextualSpacing/>
        <w:rPr>
          <w:rFonts w:cstheme="minorHAnsi"/>
          <w:color w:val="FF0000"/>
          <w:sz w:val="24"/>
          <w:szCs w:val="24"/>
        </w:rPr>
      </w:pPr>
      <w:r w:rsidRPr="00C9684A">
        <w:rPr>
          <w:rFonts w:cstheme="minorHAnsi"/>
          <w:color w:val="FF0000"/>
          <w:sz w:val="24"/>
          <w:szCs w:val="24"/>
        </w:rPr>
        <w:object w:dxaOrig="9088" w:dyaOrig="2323" w14:anchorId="41E649EB">
          <v:shape id="_x0000_i1028" type="#_x0000_t75" style="width:501.75pt;height:119.25pt" o:ole="">
            <v:imagedata r:id="rId16" o:title=""/>
          </v:shape>
          <o:OLEObject Type="Embed" ProgID="Excel.Sheet.12" ShapeID="_x0000_i1028" DrawAspect="Content" ObjectID="_1738644110" r:id="rId17"/>
        </w:object>
      </w:r>
    </w:p>
    <w:p w:rsidR="00DF2915" w:rsidRPr="00C9684A" w:rsidRDefault="00DF2915" w:rsidP="0041603B">
      <w:pPr>
        <w:contextualSpacing/>
        <w:jc w:val="right"/>
        <w:rPr>
          <w:rFonts w:cstheme="minorHAnsi"/>
          <w:color w:val="FF0000"/>
          <w:sz w:val="24"/>
          <w:szCs w:val="24"/>
        </w:rPr>
      </w:pPr>
    </w:p>
    <w:p w:rsidR="00B82074" w:rsidRPr="00D25F50" w:rsidRDefault="00B82074" w:rsidP="00B82074">
      <w:pPr>
        <w:spacing w:after="160" w:line="259" w:lineRule="auto"/>
        <w:contextualSpacing/>
        <w:rPr>
          <w:rFonts w:cstheme="minorHAnsi"/>
        </w:rPr>
      </w:pPr>
      <w:r w:rsidRPr="00D25F50">
        <w:rPr>
          <w:rFonts w:cstheme="minorHAnsi"/>
        </w:rPr>
        <w:t>Příjmy podseskupení 213 tvoří příjmy z pronájmu parkovacích míst a prostoru pro automat na kávu.</w:t>
      </w:r>
    </w:p>
    <w:p w:rsidR="00B82074" w:rsidRPr="00C9684A" w:rsidRDefault="00B82074" w:rsidP="00B82074">
      <w:pPr>
        <w:spacing w:after="160" w:line="259" w:lineRule="auto"/>
        <w:contextualSpacing/>
        <w:rPr>
          <w:rFonts w:cstheme="minorHAnsi"/>
          <w:color w:val="FF0000"/>
        </w:rPr>
      </w:pPr>
    </w:p>
    <w:p w:rsidR="00B82074" w:rsidRPr="000E1F4F" w:rsidRDefault="00B82074" w:rsidP="00B82074">
      <w:pPr>
        <w:spacing w:after="160" w:line="259" w:lineRule="auto"/>
        <w:contextualSpacing/>
        <w:rPr>
          <w:rFonts w:cstheme="minorHAnsi"/>
        </w:rPr>
      </w:pPr>
      <w:r w:rsidRPr="000E1F4F">
        <w:rPr>
          <w:rFonts w:cstheme="minorHAnsi"/>
        </w:rPr>
        <w:t>Příjmy podseskupení 221 tvoří zaplacené uložené peněžité tresty a pokuty.</w:t>
      </w:r>
    </w:p>
    <w:p w:rsidR="00B82074" w:rsidRPr="000E1F4F" w:rsidRDefault="00B82074" w:rsidP="00B82074">
      <w:pPr>
        <w:spacing w:after="160" w:line="259" w:lineRule="auto"/>
        <w:contextualSpacing/>
        <w:rPr>
          <w:rFonts w:cstheme="minorHAnsi"/>
        </w:rPr>
      </w:pPr>
    </w:p>
    <w:p w:rsidR="00B82074" w:rsidRPr="000E1F4F" w:rsidRDefault="00B82074" w:rsidP="00B82074">
      <w:pPr>
        <w:spacing w:after="160" w:line="259" w:lineRule="auto"/>
        <w:contextualSpacing/>
        <w:rPr>
          <w:rFonts w:cstheme="minorHAnsi"/>
        </w:rPr>
      </w:pPr>
      <w:r w:rsidRPr="000E1F4F">
        <w:rPr>
          <w:rFonts w:cstheme="minorHAnsi"/>
        </w:rPr>
        <w:t xml:space="preserve">Příjmy podseskupení 232 tvoří zejména </w:t>
      </w:r>
      <w:r w:rsidR="009B5D6E" w:rsidRPr="000E1F4F">
        <w:rPr>
          <w:rFonts w:cstheme="minorHAnsi"/>
        </w:rPr>
        <w:t>příjmy z náhrad nákladů soudních  a</w:t>
      </w:r>
      <w:r w:rsidR="001C70CF" w:rsidRPr="000E1F4F">
        <w:rPr>
          <w:rFonts w:cstheme="minorHAnsi"/>
        </w:rPr>
        <w:t xml:space="preserve"> </w:t>
      </w:r>
      <w:r w:rsidR="009B5D6E" w:rsidRPr="000E1F4F">
        <w:rPr>
          <w:rFonts w:cstheme="minorHAnsi"/>
        </w:rPr>
        <w:t xml:space="preserve"> trestních řízení a přijaté náhrady z odměn ustanovených advokátů. </w:t>
      </w:r>
      <w:r w:rsidR="00735E6E" w:rsidRPr="000E1F4F">
        <w:rPr>
          <w:rFonts w:cstheme="minorHAnsi"/>
        </w:rPr>
        <w:t xml:space="preserve">Dále jsou zde evidovány příjmy z nákladů </w:t>
      </w:r>
      <w:r w:rsidR="00485CF7" w:rsidRPr="000E1F4F">
        <w:rPr>
          <w:rFonts w:cstheme="minorHAnsi"/>
        </w:rPr>
        <w:t>exekucí a</w:t>
      </w:r>
      <w:r w:rsidR="000F4DEA" w:rsidRPr="000E1F4F">
        <w:rPr>
          <w:rFonts w:cstheme="minorHAnsi"/>
        </w:rPr>
        <w:t xml:space="preserve"> výk</w:t>
      </w:r>
      <w:r w:rsidR="00485CF7" w:rsidRPr="000E1F4F">
        <w:rPr>
          <w:rFonts w:cstheme="minorHAnsi"/>
        </w:rPr>
        <w:t>onu trestu domácího vězení.</w:t>
      </w:r>
      <w:r w:rsidR="000F4DEA" w:rsidRPr="000E1F4F">
        <w:rPr>
          <w:rFonts w:cstheme="minorHAnsi"/>
        </w:rPr>
        <w:t xml:space="preserve"> Dále pak</w:t>
      </w:r>
      <w:r w:rsidR="00735E6E" w:rsidRPr="000E1F4F">
        <w:rPr>
          <w:rFonts w:cstheme="minorHAnsi"/>
        </w:rPr>
        <w:t xml:space="preserve"> přeplatky záloh</w:t>
      </w:r>
      <w:r w:rsidR="001C70CF" w:rsidRPr="000E1F4F">
        <w:rPr>
          <w:rFonts w:cstheme="minorHAnsi"/>
        </w:rPr>
        <w:t xml:space="preserve"> </w:t>
      </w:r>
      <w:r w:rsidR="000F4DEA" w:rsidRPr="000E1F4F">
        <w:rPr>
          <w:rFonts w:cstheme="minorHAnsi"/>
        </w:rPr>
        <w:t xml:space="preserve">a  platby pošty za nedoručené zásilky </w:t>
      </w:r>
      <w:r w:rsidR="00735E6E" w:rsidRPr="000E1F4F">
        <w:rPr>
          <w:rFonts w:cstheme="minorHAnsi"/>
        </w:rPr>
        <w:t>z minulých let</w:t>
      </w:r>
      <w:r w:rsidR="000F4DEA" w:rsidRPr="000E1F4F">
        <w:rPr>
          <w:rFonts w:cstheme="minorHAnsi"/>
        </w:rPr>
        <w:t>.</w:t>
      </w:r>
    </w:p>
    <w:p w:rsidR="00B82074" w:rsidRPr="00C9684A" w:rsidRDefault="00B82074" w:rsidP="00342CE1">
      <w:pPr>
        <w:spacing w:after="160" w:line="259" w:lineRule="auto"/>
        <w:contextualSpacing/>
        <w:jc w:val="right"/>
        <w:rPr>
          <w:rFonts w:cstheme="minorHAnsi"/>
          <w:color w:val="FF0000"/>
        </w:rPr>
      </w:pPr>
    </w:p>
    <w:bookmarkStart w:id="12" w:name="_MON_1671450001"/>
    <w:bookmarkEnd w:id="12"/>
    <w:p w:rsidR="00C64A54" w:rsidRPr="00C9684A" w:rsidRDefault="00342CE1" w:rsidP="00C64A54">
      <w:pPr>
        <w:spacing w:after="160" w:line="259" w:lineRule="auto"/>
        <w:ind w:firstLine="426"/>
        <w:contextualSpacing/>
        <w:rPr>
          <w:rFonts w:cstheme="minorHAnsi"/>
          <w:color w:val="FF0000"/>
        </w:rPr>
      </w:pPr>
      <w:r w:rsidRPr="00C9684A">
        <w:rPr>
          <w:rFonts w:cstheme="minorHAnsi"/>
          <w:color w:val="FF0000"/>
        </w:rPr>
        <w:object w:dxaOrig="8813" w:dyaOrig="2701" w14:anchorId="3AAE8786">
          <v:shape id="_x0000_i1029" type="#_x0000_t75" style="width:441pt;height:135pt" o:ole="">
            <v:imagedata r:id="rId18" o:title=""/>
          </v:shape>
          <o:OLEObject Type="Embed" ProgID="Excel.Sheet.12" ShapeID="_x0000_i1029" DrawAspect="Content" ObjectID="_1738644111" r:id="rId19"/>
        </w:object>
      </w:r>
    </w:p>
    <w:p w:rsidR="001C70CF" w:rsidRPr="00C9684A" w:rsidRDefault="001C70CF" w:rsidP="000F4DEA">
      <w:pPr>
        <w:spacing w:after="120" w:line="240" w:lineRule="auto"/>
        <w:jc w:val="both"/>
        <w:rPr>
          <w:rFonts w:cstheme="minorHAnsi"/>
          <w:noProof/>
          <w:color w:val="FF0000"/>
          <w:sz w:val="24"/>
          <w:szCs w:val="24"/>
        </w:rPr>
      </w:pPr>
    </w:p>
    <w:p w:rsidR="00657561" w:rsidRPr="006609B9" w:rsidRDefault="000F4DEA" w:rsidP="000F4DEA">
      <w:pPr>
        <w:spacing w:after="120" w:line="240" w:lineRule="auto"/>
        <w:jc w:val="both"/>
        <w:rPr>
          <w:rFonts w:cstheme="minorHAnsi"/>
          <w:noProof/>
          <w:sz w:val="24"/>
          <w:szCs w:val="24"/>
        </w:rPr>
      </w:pPr>
      <w:r w:rsidRPr="006609B9">
        <w:rPr>
          <w:rFonts w:cstheme="minorHAnsi"/>
          <w:noProof/>
          <w:sz w:val="24"/>
          <w:szCs w:val="24"/>
        </w:rPr>
        <w:t>V po</w:t>
      </w:r>
      <w:r w:rsidR="006609B9" w:rsidRPr="006609B9">
        <w:rPr>
          <w:rFonts w:cstheme="minorHAnsi"/>
          <w:noProof/>
          <w:sz w:val="24"/>
          <w:szCs w:val="24"/>
        </w:rPr>
        <w:t>rovnání s rokem 2021</w:t>
      </w:r>
      <w:r w:rsidR="001C70CF" w:rsidRPr="006609B9">
        <w:rPr>
          <w:rFonts w:cstheme="minorHAnsi"/>
          <w:noProof/>
          <w:sz w:val="24"/>
          <w:szCs w:val="24"/>
        </w:rPr>
        <w:t xml:space="preserve"> </w:t>
      </w:r>
      <w:r w:rsidRPr="006609B9">
        <w:rPr>
          <w:rFonts w:cstheme="minorHAnsi"/>
          <w:noProof/>
          <w:sz w:val="24"/>
          <w:szCs w:val="24"/>
        </w:rPr>
        <w:t xml:space="preserve"> </w:t>
      </w:r>
      <w:r w:rsidR="00CB4524" w:rsidRPr="006609B9">
        <w:rPr>
          <w:rFonts w:cstheme="minorHAnsi"/>
          <w:noProof/>
          <w:sz w:val="24"/>
          <w:szCs w:val="24"/>
        </w:rPr>
        <w:t xml:space="preserve">je </w:t>
      </w:r>
      <w:r w:rsidRPr="006609B9">
        <w:rPr>
          <w:rFonts w:cstheme="minorHAnsi"/>
          <w:noProof/>
          <w:sz w:val="24"/>
          <w:szCs w:val="24"/>
        </w:rPr>
        <w:t>plnění</w:t>
      </w:r>
      <w:r w:rsidR="00A17631">
        <w:rPr>
          <w:rFonts w:cstheme="minorHAnsi"/>
          <w:noProof/>
          <w:sz w:val="24"/>
          <w:szCs w:val="24"/>
        </w:rPr>
        <w:t xml:space="preserve"> na položce 202</w:t>
      </w:r>
      <w:r w:rsidR="006609B9" w:rsidRPr="006609B9">
        <w:rPr>
          <w:rFonts w:cstheme="minorHAnsi"/>
          <w:noProof/>
          <w:sz w:val="24"/>
          <w:szCs w:val="24"/>
        </w:rPr>
        <w:t>2 vyšší, na ostatních položkách je</w:t>
      </w:r>
      <w:r w:rsidRPr="006609B9">
        <w:rPr>
          <w:rFonts w:cstheme="minorHAnsi"/>
          <w:noProof/>
          <w:sz w:val="24"/>
          <w:szCs w:val="24"/>
        </w:rPr>
        <w:t xml:space="preserve"> přibližně stejné</w:t>
      </w:r>
      <w:r w:rsidR="00CB4524" w:rsidRPr="006609B9">
        <w:rPr>
          <w:rFonts w:cstheme="minorHAnsi"/>
          <w:noProof/>
          <w:sz w:val="24"/>
          <w:szCs w:val="24"/>
        </w:rPr>
        <w:t>.</w:t>
      </w:r>
    </w:p>
    <w:p w:rsidR="00657561" w:rsidRDefault="000F4DEA" w:rsidP="000F4DEA">
      <w:pPr>
        <w:jc w:val="both"/>
        <w:rPr>
          <w:rFonts w:cstheme="minorHAnsi"/>
          <w:color w:val="FF0000"/>
          <w:sz w:val="24"/>
          <w:szCs w:val="24"/>
        </w:rPr>
      </w:pPr>
      <w:r w:rsidRPr="00C9684A">
        <w:rPr>
          <w:rFonts w:cstheme="minorHAnsi"/>
          <w:color w:val="FF0000"/>
          <w:sz w:val="24"/>
          <w:szCs w:val="24"/>
        </w:rPr>
        <w:lastRenderedPageBreak/>
        <w:t xml:space="preserve"> </w:t>
      </w:r>
    </w:p>
    <w:p w:rsidR="00C0550D" w:rsidRDefault="00C0550D" w:rsidP="00C0550D">
      <w:pPr>
        <w:spacing w:after="160" w:line="259" w:lineRule="auto"/>
        <w:ind w:left="360"/>
        <w:rPr>
          <w:rFonts w:cstheme="minorHAnsi"/>
          <w:b/>
          <w:bCs/>
        </w:rPr>
      </w:pPr>
      <w:r w:rsidRPr="00670FE6">
        <w:rPr>
          <w:rFonts w:cstheme="minorHAnsi"/>
          <w:b/>
          <w:bCs/>
        </w:rPr>
        <w:t xml:space="preserve">Milostivé léto I. a II. </w:t>
      </w:r>
    </w:p>
    <w:p w:rsidR="00C0550D" w:rsidRDefault="00C0550D" w:rsidP="00C0550D">
      <w:pPr>
        <w:spacing w:after="160" w:line="259" w:lineRule="auto"/>
        <w:ind w:left="360"/>
        <w:rPr>
          <w:rFonts w:cstheme="minorHAnsi"/>
          <w:b/>
          <w:bCs/>
        </w:rPr>
      </w:pPr>
    </w:p>
    <w:p w:rsidR="00C0550D" w:rsidRPr="006609B9" w:rsidRDefault="00C0550D" w:rsidP="00C0550D">
      <w:pPr>
        <w:spacing w:after="160" w:line="259" w:lineRule="auto"/>
        <w:contextualSpacing/>
        <w:rPr>
          <w:rFonts w:cstheme="minorHAnsi"/>
        </w:rPr>
      </w:pPr>
      <w:r w:rsidRPr="006609B9">
        <w:rPr>
          <w:rFonts w:cstheme="minorHAnsi"/>
        </w:rPr>
        <w:t xml:space="preserve">V rámci tzv. „Milostivého léta“ zaplatili dlužníci </w:t>
      </w:r>
      <w:r w:rsidR="00F87A0D">
        <w:rPr>
          <w:rFonts w:cstheme="minorHAnsi"/>
        </w:rPr>
        <w:t xml:space="preserve">v roce 2022 celkem částku 143.093,00 Kč. Z této </w:t>
      </w:r>
      <w:r w:rsidR="00F54483">
        <w:rPr>
          <w:rFonts w:cstheme="minorHAnsi"/>
        </w:rPr>
        <w:t xml:space="preserve"> částky je ale částka 67.122,00 Kč patřící do ML I, kdy tyto platby došly v lednu 2022.</w:t>
      </w:r>
      <w:r w:rsidR="00F87A0D">
        <w:rPr>
          <w:rFonts w:cstheme="minorHAnsi"/>
        </w:rPr>
        <w:t xml:space="preserve"> Celkem bylo uhrazeno na Milostivé léto I a II 200.175,90 Kč (ML I = 143.093,90 Kč, ML II = 79.971,00 Kč).</w:t>
      </w:r>
    </w:p>
    <w:p w:rsidR="00C0550D" w:rsidRPr="00670FE6" w:rsidRDefault="00C0550D" w:rsidP="00C0550D">
      <w:pPr>
        <w:spacing w:after="160" w:line="259" w:lineRule="auto"/>
        <w:ind w:left="360"/>
        <w:rPr>
          <w:rFonts w:cstheme="minorHAnsi"/>
        </w:rPr>
      </w:pPr>
    </w:p>
    <w:bookmarkStart w:id="13" w:name="_MON_1734852904"/>
    <w:bookmarkEnd w:id="13"/>
    <w:p w:rsidR="00C0550D" w:rsidRPr="00670FE6" w:rsidRDefault="00F54483" w:rsidP="00C0550D">
      <w:pPr>
        <w:spacing w:after="160" w:line="259" w:lineRule="auto"/>
        <w:ind w:left="360"/>
        <w:rPr>
          <w:rFonts w:cstheme="minorHAnsi"/>
        </w:rPr>
      </w:pPr>
      <w:r w:rsidRPr="00670FE6">
        <w:rPr>
          <w:rFonts w:cstheme="minorHAnsi"/>
        </w:rPr>
        <w:object w:dxaOrig="9730" w:dyaOrig="3583">
          <v:shape id="_x0000_i1030" type="#_x0000_t75" style="width:486pt;height:179.25pt" o:ole="">
            <v:imagedata r:id="rId20" o:title=""/>
          </v:shape>
          <o:OLEObject Type="Embed" ProgID="Excel.Sheet.12" ShapeID="_x0000_i1030" DrawAspect="Content" ObjectID="_1738644112" r:id="rId21"/>
        </w:object>
      </w:r>
    </w:p>
    <w:p w:rsidR="00657561" w:rsidRPr="00C9684A" w:rsidRDefault="00657561" w:rsidP="00657561">
      <w:pPr>
        <w:spacing w:line="240" w:lineRule="auto"/>
        <w:jc w:val="both"/>
        <w:rPr>
          <w:rFonts w:cstheme="minorHAnsi"/>
          <w:noProof/>
          <w:color w:val="FF0000"/>
          <w:sz w:val="24"/>
          <w:szCs w:val="24"/>
        </w:rPr>
      </w:pPr>
    </w:p>
    <w:p w:rsidR="00C64A54" w:rsidRPr="006609B9" w:rsidRDefault="009A77CF" w:rsidP="006D10DA">
      <w:pPr>
        <w:pStyle w:val="Nadpis3"/>
      </w:pPr>
      <w:r w:rsidRPr="006609B9">
        <w:t xml:space="preserve"> </w:t>
      </w:r>
      <w:bookmarkStart w:id="14" w:name="_Toc124839823"/>
      <w:r w:rsidR="00C64A54" w:rsidRPr="006609B9">
        <w:t>Kapitálové příjmy</w:t>
      </w:r>
      <w:bookmarkEnd w:id="14"/>
    </w:p>
    <w:p w:rsidR="00C64A54" w:rsidRPr="006609B9" w:rsidRDefault="00C64A54" w:rsidP="00C64A54">
      <w:pPr>
        <w:contextualSpacing/>
        <w:rPr>
          <w:rFonts w:cstheme="minorHAnsi"/>
          <w:sz w:val="24"/>
          <w:szCs w:val="24"/>
        </w:rPr>
      </w:pPr>
    </w:p>
    <w:p w:rsidR="00C64A54" w:rsidRPr="006609B9" w:rsidRDefault="00C0550D" w:rsidP="00DF2915">
      <w:pPr>
        <w:rPr>
          <w:rFonts w:cstheme="minorHAnsi"/>
          <w:sz w:val="24"/>
          <w:szCs w:val="24"/>
        </w:rPr>
      </w:pPr>
      <w:r>
        <w:rPr>
          <w:rFonts w:cstheme="minorHAnsi"/>
          <w:sz w:val="24"/>
          <w:szCs w:val="24"/>
        </w:rPr>
        <w:t>V roce 2022</w:t>
      </w:r>
      <w:r w:rsidR="00DF2915" w:rsidRPr="006609B9">
        <w:rPr>
          <w:rFonts w:cstheme="minorHAnsi"/>
          <w:sz w:val="24"/>
          <w:szCs w:val="24"/>
        </w:rPr>
        <w:t xml:space="preserve"> nebyly žádné kapitálové příjmy.</w:t>
      </w:r>
    </w:p>
    <w:p w:rsidR="000F4DEA" w:rsidRPr="00C9684A" w:rsidRDefault="000F4DEA" w:rsidP="00DF2915">
      <w:pPr>
        <w:rPr>
          <w:rFonts w:cstheme="minorHAnsi"/>
          <w:color w:val="FF0000"/>
          <w:sz w:val="24"/>
          <w:szCs w:val="24"/>
        </w:rPr>
      </w:pPr>
    </w:p>
    <w:p w:rsidR="00C64A54" w:rsidRPr="00513B73" w:rsidRDefault="00C943E3" w:rsidP="006D10DA">
      <w:pPr>
        <w:pStyle w:val="Nadpis3"/>
      </w:pPr>
      <w:r w:rsidRPr="00513B73">
        <w:t xml:space="preserve"> </w:t>
      </w:r>
      <w:bookmarkStart w:id="15" w:name="_Toc124839824"/>
      <w:r w:rsidR="00C64A54" w:rsidRPr="00513B73">
        <w:t>Přijaté transfery</w:t>
      </w:r>
      <w:bookmarkEnd w:id="15"/>
    </w:p>
    <w:p w:rsidR="00DF2915" w:rsidRPr="00513B73" w:rsidRDefault="00DF2915" w:rsidP="00DF2915">
      <w:pPr>
        <w:rPr>
          <w:rFonts w:cstheme="minorHAnsi"/>
        </w:rPr>
      </w:pPr>
    </w:p>
    <w:p w:rsidR="00DF2915" w:rsidRPr="00523D4E" w:rsidRDefault="001A6639" w:rsidP="00DF2915">
      <w:pPr>
        <w:spacing w:line="240" w:lineRule="auto"/>
        <w:jc w:val="both"/>
        <w:rPr>
          <w:rFonts w:cstheme="minorHAnsi"/>
          <w:noProof/>
          <w:sz w:val="24"/>
          <w:szCs w:val="24"/>
        </w:rPr>
      </w:pPr>
      <w:r w:rsidRPr="00513B73">
        <w:rPr>
          <w:rFonts w:cstheme="minorHAnsi"/>
          <w:noProof/>
          <w:sz w:val="24"/>
          <w:szCs w:val="24"/>
        </w:rPr>
        <w:t>P</w:t>
      </w:r>
      <w:r w:rsidR="00485CF7" w:rsidRPr="00513B73">
        <w:rPr>
          <w:rFonts w:cstheme="minorHAnsi"/>
          <w:noProof/>
          <w:sz w:val="24"/>
          <w:szCs w:val="24"/>
        </w:rPr>
        <w:t xml:space="preserve">říjmy na položce 4132 ve výši </w:t>
      </w:r>
      <w:r w:rsidR="006609B9" w:rsidRPr="00513B73">
        <w:rPr>
          <w:rFonts w:cstheme="minorHAnsi"/>
          <w:noProof/>
          <w:sz w:val="24"/>
          <w:szCs w:val="24"/>
        </w:rPr>
        <w:t>2.564,</w:t>
      </w:r>
      <w:r w:rsidR="00517B91" w:rsidRPr="00513B73">
        <w:rPr>
          <w:rFonts w:cstheme="minorHAnsi"/>
          <w:noProof/>
          <w:sz w:val="24"/>
          <w:szCs w:val="24"/>
        </w:rPr>
        <w:t>10</w:t>
      </w:r>
      <w:r w:rsidR="00485CF7" w:rsidRPr="00513B73">
        <w:rPr>
          <w:rFonts w:cstheme="minorHAnsi"/>
          <w:noProof/>
          <w:sz w:val="24"/>
          <w:szCs w:val="24"/>
        </w:rPr>
        <w:t xml:space="preserve"> </w:t>
      </w:r>
      <w:r w:rsidRPr="00513B73">
        <w:rPr>
          <w:rFonts w:cstheme="minorHAnsi"/>
          <w:noProof/>
          <w:sz w:val="24"/>
          <w:szCs w:val="24"/>
        </w:rPr>
        <w:t xml:space="preserve"> Kč jsou nevyčerpané prostředky na platy a</w:t>
      </w:r>
      <w:r w:rsidR="00BC6B6E">
        <w:rPr>
          <w:rFonts w:cstheme="minorHAnsi"/>
          <w:noProof/>
          <w:sz w:val="24"/>
          <w:szCs w:val="24"/>
        </w:rPr>
        <w:t xml:space="preserve"> s tím </w:t>
      </w:r>
      <w:r w:rsidRPr="00513B73">
        <w:rPr>
          <w:rFonts w:cstheme="minorHAnsi"/>
          <w:noProof/>
          <w:sz w:val="24"/>
          <w:szCs w:val="24"/>
        </w:rPr>
        <w:t xml:space="preserve"> sou</w:t>
      </w:r>
      <w:r w:rsidR="00517B91" w:rsidRPr="00513B73">
        <w:rPr>
          <w:rFonts w:cstheme="minorHAnsi"/>
          <w:noProof/>
          <w:sz w:val="24"/>
          <w:szCs w:val="24"/>
        </w:rPr>
        <w:t xml:space="preserve">visející </w:t>
      </w:r>
      <w:r w:rsidR="00517B91" w:rsidRPr="00523D4E">
        <w:rPr>
          <w:rFonts w:cstheme="minorHAnsi"/>
          <w:noProof/>
          <w:sz w:val="24"/>
          <w:szCs w:val="24"/>
        </w:rPr>
        <w:t>odvody za prosinec 2022</w:t>
      </w:r>
      <w:r w:rsidRPr="00523D4E">
        <w:rPr>
          <w:rFonts w:cstheme="minorHAnsi"/>
          <w:noProof/>
          <w:sz w:val="24"/>
          <w:szCs w:val="24"/>
        </w:rPr>
        <w:t>, které byly převedeny na depozitní účet.</w:t>
      </w:r>
    </w:p>
    <w:p w:rsidR="00517B91" w:rsidRPr="00523D4E" w:rsidRDefault="00517B91" w:rsidP="00DF2915">
      <w:pPr>
        <w:spacing w:line="240" w:lineRule="auto"/>
        <w:jc w:val="both"/>
        <w:rPr>
          <w:rFonts w:cstheme="minorHAnsi"/>
          <w:noProof/>
          <w:sz w:val="24"/>
          <w:szCs w:val="24"/>
        </w:rPr>
      </w:pPr>
      <w:r w:rsidRPr="00523D4E">
        <w:rPr>
          <w:rFonts w:cstheme="minorHAnsi"/>
          <w:noProof/>
          <w:sz w:val="24"/>
          <w:szCs w:val="24"/>
        </w:rPr>
        <w:t xml:space="preserve">Příjmy na položce 4115 ve výši 6.392,00 Kč jsou </w:t>
      </w:r>
      <w:r w:rsidR="00523D4E" w:rsidRPr="00523D4E">
        <w:rPr>
          <w:rFonts w:cstheme="minorHAnsi"/>
          <w:noProof/>
          <w:sz w:val="24"/>
          <w:szCs w:val="24"/>
        </w:rPr>
        <w:t>příjmy od OSSZ Cheb  jako náhrada mzdy při pracovní</w:t>
      </w:r>
      <w:r w:rsidR="00DA12B3">
        <w:rPr>
          <w:rFonts w:cstheme="minorHAnsi"/>
          <w:noProof/>
          <w:sz w:val="24"/>
          <w:szCs w:val="24"/>
        </w:rPr>
        <w:t xml:space="preserve">m volnu </w:t>
      </w:r>
      <w:r w:rsidR="00BC6B6E">
        <w:rPr>
          <w:rFonts w:cstheme="minorHAnsi"/>
          <w:noProof/>
          <w:sz w:val="24"/>
          <w:szCs w:val="24"/>
        </w:rPr>
        <w:t xml:space="preserve">1 </w:t>
      </w:r>
      <w:r w:rsidR="00DA12B3">
        <w:rPr>
          <w:rFonts w:cstheme="minorHAnsi"/>
          <w:noProof/>
          <w:sz w:val="24"/>
          <w:szCs w:val="24"/>
        </w:rPr>
        <w:t>zaměstnance v souvislosti</w:t>
      </w:r>
      <w:r w:rsidR="00523D4E" w:rsidRPr="00523D4E">
        <w:rPr>
          <w:rFonts w:cstheme="minorHAnsi"/>
          <w:noProof/>
          <w:sz w:val="24"/>
          <w:szCs w:val="24"/>
        </w:rPr>
        <w:t xml:space="preserve"> s akcí pro děti a mládež. </w:t>
      </w:r>
    </w:p>
    <w:p w:rsidR="001A6639" w:rsidRPr="00C9684A" w:rsidRDefault="00523D4E" w:rsidP="00DF2915">
      <w:pPr>
        <w:spacing w:line="240" w:lineRule="auto"/>
        <w:jc w:val="both"/>
        <w:rPr>
          <w:rFonts w:cstheme="minorHAnsi"/>
          <w:noProof/>
          <w:color w:val="FF0000"/>
          <w:sz w:val="24"/>
          <w:szCs w:val="24"/>
        </w:rPr>
      </w:pPr>
      <w:r>
        <w:rPr>
          <w:rFonts w:cstheme="minorHAnsi"/>
          <w:noProof/>
          <w:color w:val="FF0000"/>
          <w:sz w:val="24"/>
          <w:szCs w:val="24"/>
        </w:rPr>
        <w:t xml:space="preserve"> </w:t>
      </w:r>
    </w:p>
    <w:p w:rsidR="001A6639" w:rsidRPr="00C9684A" w:rsidRDefault="001A6639" w:rsidP="00DF2915">
      <w:pPr>
        <w:spacing w:line="240" w:lineRule="auto"/>
        <w:jc w:val="both"/>
        <w:rPr>
          <w:rFonts w:cstheme="minorHAnsi"/>
          <w:noProof/>
          <w:color w:val="FF0000"/>
          <w:sz w:val="24"/>
          <w:szCs w:val="24"/>
        </w:rPr>
      </w:pPr>
    </w:p>
    <w:p w:rsidR="00DF2915" w:rsidRPr="00C9684A" w:rsidRDefault="001A6639" w:rsidP="00DF2915">
      <w:pPr>
        <w:spacing w:line="240" w:lineRule="auto"/>
        <w:jc w:val="both"/>
        <w:rPr>
          <w:rFonts w:cstheme="minorHAnsi"/>
          <w:noProof/>
          <w:color w:val="FF0000"/>
          <w:sz w:val="24"/>
          <w:szCs w:val="24"/>
        </w:rPr>
      </w:pPr>
      <w:r w:rsidRPr="00C9684A">
        <w:rPr>
          <w:rFonts w:cstheme="minorHAnsi"/>
          <w:noProof/>
          <w:color w:val="FF0000"/>
          <w:sz w:val="24"/>
          <w:szCs w:val="24"/>
        </w:rPr>
        <w:t xml:space="preserve"> </w:t>
      </w:r>
    </w:p>
    <w:p w:rsidR="00DF2915" w:rsidRPr="00C9684A" w:rsidRDefault="00DF2915" w:rsidP="00DF2915">
      <w:pPr>
        <w:rPr>
          <w:rFonts w:cstheme="minorHAnsi"/>
          <w:color w:val="FF0000"/>
        </w:rPr>
      </w:pPr>
    </w:p>
    <w:p w:rsidR="00C64A54" w:rsidRPr="00C9684A" w:rsidRDefault="00C64A54" w:rsidP="00C64A54">
      <w:pPr>
        <w:contextualSpacing/>
        <w:rPr>
          <w:rFonts w:cstheme="minorHAnsi"/>
          <w:color w:val="FF0000"/>
        </w:rPr>
      </w:pPr>
    </w:p>
    <w:p w:rsidR="00381473" w:rsidRPr="00C9684A" w:rsidRDefault="00C64A54" w:rsidP="00EA0EE1">
      <w:pPr>
        <w:spacing w:before="120" w:after="120"/>
        <w:jc w:val="both"/>
        <w:rPr>
          <w:rFonts w:cstheme="minorHAnsi"/>
          <w:color w:val="FF0000"/>
        </w:rPr>
      </w:pPr>
      <w:r w:rsidRPr="00C9684A">
        <w:rPr>
          <w:rFonts w:cstheme="minorHAnsi"/>
          <w:color w:val="FF0000"/>
        </w:rPr>
        <w:tab/>
      </w:r>
      <w:r w:rsidR="00381473" w:rsidRPr="00C9684A">
        <w:rPr>
          <w:rFonts w:cstheme="minorHAnsi"/>
          <w:color w:val="FF0000"/>
        </w:rPr>
        <w:br w:type="page"/>
      </w:r>
    </w:p>
    <w:p w:rsidR="007232D9" w:rsidRPr="00523D4E" w:rsidRDefault="007232D9" w:rsidP="009A77CF">
      <w:pPr>
        <w:pStyle w:val="Nadpis1"/>
        <w:numPr>
          <w:ilvl w:val="0"/>
          <w:numId w:val="6"/>
        </w:numPr>
        <w:rPr>
          <w:rFonts w:asciiTheme="minorHAnsi" w:hAnsiTheme="minorHAnsi" w:cstheme="minorHAnsi"/>
        </w:rPr>
      </w:pPr>
      <w:bookmarkStart w:id="16" w:name="_Toc534878022"/>
      <w:bookmarkStart w:id="17" w:name="_Toc124839825"/>
      <w:r w:rsidRPr="00523D4E">
        <w:rPr>
          <w:rFonts w:asciiTheme="minorHAnsi" w:hAnsiTheme="minorHAnsi" w:cstheme="minorHAnsi"/>
        </w:rPr>
        <w:lastRenderedPageBreak/>
        <w:t>VÝDAJE</w:t>
      </w:r>
      <w:bookmarkEnd w:id="16"/>
      <w:bookmarkEnd w:id="17"/>
    </w:p>
    <w:p w:rsidR="007232D9" w:rsidRPr="00523D4E" w:rsidRDefault="007232D9" w:rsidP="00ED5733">
      <w:pPr>
        <w:pStyle w:val="Nadpis2"/>
      </w:pPr>
      <w:bookmarkStart w:id="18" w:name="_Toc534878023"/>
      <w:bookmarkStart w:id="19" w:name="_Toc124839826"/>
      <w:r w:rsidRPr="00523D4E">
        <w:t>Vyhodnocení výdajů</w:t>
      </w:r>
      <w:bookmarkEnd w:id="18"/>
      <w:bookmarkEnd w:id="19"/>
    </w:p>
    <w:p w:rsidR="007232D9" w:rsidRPr="00523D4E" w:rsidRDefault="008C07D8" w:rsidP="007232D9">
      <w:pPr>
        <w:pStyle w:val="Titulek"/>
        <w:keepNext/>
        <w:rPr>
          <w:rFonts w:cstheme="minorHAnsi"/>
        </w:rPr>
      </w:pPr>
      <w:r w:rsidRPr="00523D4E">
        <w:rPr>
          <w:rFonts w:cstheme="minorHAnsi"/>
        </w:rPr>
        <w:t xml:space="preserve">  Celkové výdaje</w:t>
      </w:r>
      <w:r w:rsidR="003623D6" w:rsidRPr="00523D4E">
        <w:rPr>
          <w:rFonts w:cstheme="minorHAnsi"/>
        </w:rPr>
        <w:t xml:space="preserve"> v tis. Kč na 2 desetinná místa</w:t>
      </w:r>
    </w:p>
    <w:bookmarkStart w:id="20" w:name="_MON_1671603027"/>
    <w:bookmarkEnd w:id="20"/>
    <w:p w:rsidR="00AC3E0B" w:rsidRPr="00C9684A" w:rsidRDefault="005F171D" w:rsidP="007232D9">
      <w:pPr>
        <w:spacing w:before="120" w:after="120"/>
        <w:rPr>
          <w:rFonts w:cstheme="minorHAnsi"/>
          <w:color w:val="FF0000"/>
        </w:rPr>
      </w:pPr>
      <w:r w:rsidRPr="00C9684A">
        <w:rPr>
          <w:rFonts w:cstheme="minorHAnsi"/>
          <w:color w:val="FF0000"/>
        </w:rPr>
        <w:object w:dxaOrig="10287" w:dyaOrig="4309" w14:anchorId="79592EDB">
          <v:shape id="_x0000_i1031" type="#_x0000_t75" style="width:473.25pt;height:197.25pt" o:ole="">
            <v:imagedata r:id="rId22" o:title=""/>
          </v:shape>
          <o:OLEObject Type="Embed" ProgID="Excel.Sheet.12" ShapeID="_x0000_i1031" DrawAspect="Content" ObjectID="_1738644113" r:id="rId23"/>
        </w:object>
      </w:r>
    </w:p>
    <w:p w:rsidR="006D10DA" w:rsidRDefault="006D10DA" w:rsidP="00351F92">
      <w:pPr>
        <w:spacing w:after="120"/>
        <w:jc w:val="both"/>
        <w:rPr>
          <w:rFonts w:cstheme="minorHAnsi"/>
          <w:sz w:val="24"/>
          <w:szCs w:val="24"/>
        </w:rPr>
      </w:pPr>
    </w:p>
    <w:p w:rsidR="006D10DA" w:rsidRDefault="006D10DA" w:rsidP="00351F92">
      <w:pPr>
        <w:spacing w:after="120"/>
        <w:jc w:val="both"/>
        <w:rPr>
          <w:rFonts w:cstheme="minorHAnsi"/>
          <w:sz w:val="24"/>
          <w:szCs w:val="24"/>
        </w:rPr>
      </w:pPr>
    </w:p>
    <w:p w:rsidR="00AC3E0B" w:rsidRPr="00E64C81" w:rsidRDefault="00AC3E0B" w:rsidP="00351F92">
      <w:pPr>
        <w:spacing w:after="120"/>
        <w:jc w:val="both"/>
        <w:rPr>
          <w:rFonts w:cstheme="minorHAnsi"/>
          <w:sz w:val="24"/>
          <w:szCs w:val="24"/>
        </w:rPr>
      </w:pPr>
      <w:r w:rsidRPr="00E64C81">
        <w:rPr>
          <w:rFonts w:cstheme="minorHAnsi"/>
          <w:sz w:val="24"/>
          <w:szCs w:val="24"/>
        </w:rPr>
        <w:t>Schvále</w:t>
      </w:r>
      <w:r w:rsidR="00E64C81" w:rsidRPr="00E64C81">
        <w:rPr>
          <w:rFonts w:cstheme="minorHAnsi"/>
          <w:sz w:val="24"/>
          <w:szCs w:val="24"/>
        </w:rPr>
        <w:t>ný rozpočet výdajů roku 2022</w:t>
      </w:r>
      <w:r w:rsidR="00A06F84" w:rsidRPr="00E64C81">
        <w:rPr>
          <w:rFonts w:cstheme="minorHAnsi"/>
          <w:sz w:val="24"/>
          <w:szCs w:val="24"/>
        </w:rPr>
        <w:tab/>
      </w:r>
      <w:r w:rsidR="00A06F84" w:rsidRPr="00E64C81">
        <w:rPr>
          <w:rFonts w:cstheme="minorHAnsi"/>
          <w:sz w:val="24"/>
          <w:szCs w:val="24"/>
        </w:rPr>
        <w:tab/>
      </w:r>
      <w:r w:rsidR="000514D7" w:rsidRPr="00E64C81">
        <w:rPr>
          <w:rFonts w:cstheme="minorHAnsi"/>
          <w:sz w:val="24"/>
          <w:szCs w:val="24"/>
        </w:rPr>
        <w:tab/>
      </w:r>
      <w:r w:rsidR="00E64C81" w:rsidRPr="00E64C81">
        <w:rPr>
          <w:rFonts w:cstheme="minorHAnsi"/>
          <w:sz w:val="24"/>
          <w:szCs w:val="24"/>
        </w:rPr>
        <w:t>86.770.458,00 Kč</w:t>
      </w:r>
    </w:p>
    <w:p w:rsidR="00AC3E0B" w:rsidRPr="00E64C81" w:rsidRDefault="00C637A2" w:rsidP="00351F92">
      <w:pPr>
        <w:spacing w:after="120"/>
        <w:jc w:val="both"/>
        <w:rPr>
          <w:rFonts w:cstheme="minorHAnsi"/>
          <w:sz w:val="24"/>
          <w:szCs w:val="24"/>
        </w:rPr>
      </w:pPr>
      <w:r w:rsidRPr="00E64C81">
        <w:rPr>
          <w:rFonts w:cstheme="minorHAnsi"/>
          <w:sz w:val="24"/>
          <w:szCs w:val="24"/>
        </w:rPr>
        <w:t>Upravený rozpočet roku</w:t>
      </w:r>
      <w:r w:rsidR="00E64C81" w:rsidRPr="00E64C81">
        <w:rPr>
          <w:rFonts w:cstheme="minorHAnsi"/>
          <w:sz w:val="24"/>
          <w:szCs w:val="24"/>
        </w:rPr>
        <w:t xml:space="preserve"> 2022</w:t>
      </w:r>
      <w:r w:rsidR="00A06F84" w:rsidRPr="00E64C81">
        <w:rPr>
          <w:rFonts w:cstheme="minorHAnsi"/>
          <w:sz w:val="24"/>
          <w:szCs w:val="24"/>
        </w:rPr>
        <w:tab/>
      </w:r>
      <w:r w:rsidR="00A06F84" w:rsidRPr="00E64C81">
        <w:rPr>
          <w:rFonts w:cstheme="minorHAnsi"/>
          <w:sz w:val="24"/>
          <w:szCs w:val="24"/>
        </w:rPr>
        <w:tab/>
      </w:r>
      <w:r w:rsidR="000514D7" w:rsidRPr="00E64C81">
        <w:rPr>
          <w:rFonts w:cstheme="minorHAnsi"/>
          <w:sz w:val="24"/>
          <w:szCs w:val="24"/>
        </w:rPr>
        <w:tab/>
      </w:r>
      <w:r w:rsidR="00A06F84" w:rsidRPr="00E64C81">
        <w:rPr>
          <w:rFonts w:cstheme="minorHAnsi"/>
          <w:sz w:val="24"/>
          <w:szCs w:val="24"/>
        </w:rPr>
        <w:tab/>
      </w:r>
      <w:r w:rsidR="00E64C81" w:rsidRPr="00E64C81">
        <w:rPr>
          <w:rFonts w:cstheme="minorHAnsi"/>
          <w:sz w:val="24"/>
          <w:szCs w:val="24"/>
        </w:rPr>
        <w:t>97.455.426</w:t>
      </w:r>
      <w:r w:rsidRPr="00E64C81">
        <w:rPr>
          <w:rFonts w:cstheme="minorHAnsi"/>
          <w:sz w:val="24"/>
          <w:szCs w:val="24"/>
        </w:rPr>
        <w:t>,00 Kč</w:t>
      </w:r>
    </w:p>
    <w:p w:rsidR="00AC3E0B" w:rsidRPr="00E64C81" w:rsidRDefault="00E64C81" w:rsidP="00351F92">
      <w:pPr>
        <w:spacing w:after="120"/>
        <w:ind w:right="-569"/>
        <w:jc w:val="both"/>
        <w:rPr>
          <w:rFonts w:cstheme="minorHAnsi"/>
          <w:sz w:val="24"/>
          <w:szCs w:val="24"/>
        </w:rPr>
      </w:pPr>
      <w:r w:rsidRPr="00E64C81">
        <w:rPr>
          <w:rFonts w:cstheme="minorHAnsi"/>
          <w:sz w:val="24"/>
          <w:szCs w:val="24"/>
        </w:rPr>
        <w:t>Skutečnost roku 2022</w:t>
      </w:r>
      <w:r w:rsidR="00A06F84" w:rsidRPr="00E64C81">
        <w:rPr>
          <w:rFonts w:cstheme="minorHAnsi"/>
          <w:sz w:val="24"/>
          <w:szCs w:val="24"/>
        </w:rPr>
        <w:tab/>
      </w:r>
      <w:r w:rsidR="00A06F84" w:rsidRPr="00E64C81">
        <w:rPr>
          <w:rFonts w:cstheme="minorHAnsi"/>
          <w:sz w:val="24"/>
          <w:szCs w:val="24"/>
        </w:rPr>
        <w:tab/>
      </w:r>
      <w:r w:rsidR="00A06F84" w:rsidRPr="00E64C81">
        <w:rPr>
          <w:rFonts w:cstheme="minorHAnsi"/>
          <w:sz w:val="24"/>
          <w:szCs w:val="24"/>
        </w:rPr>
        <w:tab/>
      </w:r>
      <w:r w:rsidR="00A06F84" w:rsidRPr="00E64C81">
        <w:rPr>
          <w:rFonts w:cstheme="minorHAnsi"/>
          <w:sz w:val="24"/>
          <w:szCs w:val="24"/>
        </w:rPr>
        <w:tab/>
      </w:r>
      <w:r w:rsidR="00A06F84" w:rsidRPr="00E64C81">
        <w:rPr>
          <w:rFonts w:cstheme="minorHAnsi"/>
          <w:sz w:val="24"/>
          <w:szCs w:val="24"/>
        </w:rPr>
        <w:tab/>
      </w:r>
      <w:r w:rsidR="000514D7" w:rsidRPr="00E64C81">
        <w:rPr>
          <w:rFonts w:cstheme="minorHAnsi"/>
          <w:sz w:val="24"/>
          <w:szCs w:val="24"/>
        </w:rPr>
        <w:tab/>
      </w:r>
      <w:r w:rsidRPr="00E64C81">
        <w:rPr>
          <w:rFonts w:cstheme="minorHAnsi"/>
          <w:sz w:val="24"/>
          <w:szCs w:val="24"/>
        </w:rPr>
        <w:t>96.310.759,17</w:t>
      </w:r>
      <w:r w:rsidR="00AC3E0B" w:rsidRPr="00E64C81">
        <w:rPr>
          <w:rFonts w:cstheme="minorHAnsi"/>
          <w:sz w:val="24"/>
          <w:szCs w:val="24"/>
        </w:rPr>
        <w:t xml:space="preserve"> </w:t>
      </w:r>
      <w:r w:rsidR="000514D7" w:rsidRPr="00E64C81">
        <w:rPr>
          <w:rFonts w:cstheme="minorHAnsi"/>
          <w:sz w:val="24"/>
          <w:szCs w:val="24"/>
        </w:rPr>
        <w:t>Kč</w:t>
      </w:r>
    </w:p>
    <w:p w:rsidR="00E64C81" w:rsidRPr="00E64C81" w:rsidRDefault="00E64C81" w:rsidP="00E64C81">
      <w:pPr>
        <w:spacing w:after="120"/>
        <w:ind w:right="-569"/>
        <w:jc w:val="both"/>
        <w:rPr>
          <w:rFonts w:cstheme="minorHAnsi"/>
          <w:sz w:val="24"/>
          <w:szCs w:val="24"/>
        </w:rPr>
      </w:pPr>
      <w:r w:rsidRPr="00E64C81">
        <w:rPr>
          <w:rFonts w:cstheme="minorHAnsi"/>
          <w:sz w:val="24"/>
          <w:szCs w:val="24"/>
        </w:rPr>
        <w:t>Skutečnost roku 2021</w:t>
      </w:r>
      <w:r w:rsidRPr="00E64C81">
        <w:rPr>
          <w:rFonts w:cstheme="minorHAnsi"/>
          <w:sz w:val="24"/>
          <w:szCs w:val="24"/>
        </w:rPr>
        <w:tab/>
      </w:r>
      <w:r w:rsidRPr="00E64C81">
        <w:rPr>
          <w:rFonts w:cstheme="minorHAnsi"/>
          <w:sz w:val="24"/>
          <w:szCs w:val="24"/>
        </w:rPr>
        <w:tab/>
      </w:r>
      <w:r w:rsidRPr="00E64C81">
        <w:rPr>
          <w:rFonts w:cstheme="minorHAnsi"/>
          <w:sz w:val="24"/>
          <w:szCs w:val="24"/>
        </w:rPr>
        <w:tab/>
      </w:r>
      <w:r w:rsidRPr="00E64C81">
        <w:rPr>
          <w:rFonts w:cstheme="minorHAnsi"/>
          <w:sz w:val="24"/>
          <w:szCs w:val="24"/>
        </w:rPr>
        <w:tab/>
      </w:r>
      <w:r w:rsidRPr="00E64C81">
        <w:rPr>
          <w:rFonts w:cstheme="minorHAnsi"/>
          <w:sz w:val="24"/>
          <w:szCs w:val="24"/>
        </w:rPr>
        <w:tab/>
      </w:r>
      <w:r w:rsidRPr="00E64C81">
        <w:rPr>
          <w:rFonts w:cstheme="minorHAnsi"/>
          <w:sz w:val="24"/>
          <w:szCs w:val="24"/>
        </w:rPr>
        <w:tab/>
        <w:t>88.743.979,93 Kč</w:t>
      </w:r>
    </w:p>
    <w:p w:rsidR="00AC3E0B" w:rsidRPr="00E64C81" w:rsidRDefault="00C637A2" w:rsidP="00351F92">
      <w:pPr>
        <w:spacing w:after="120"/>
        <w:jc w:val="both"/>
        <w:rPr>
          <w:rFonts w:cstheme="minorHAnsi"/>
          <w:sz w:val="24"/>
          <w:szCs w:val="24"/>
        </w:rPr>
      </w:pPr>
      <w:r w:rsidRPr="00E64C81">
        <w:rPr>
          <w:rFonts w:cstheme="minorHAnsi"/>
          <w:sz w:val="24"/>
          <w:szCs w:val="24"/>
        </w:rPr>
        <w:t>Zapojené</w:t>
      </w:r>
      <w:r w:rsidR="00A06F84" w:rsidRPr="00E64C81">
        <w:rPr>
          <w:rFonts w:cstheme="minorHAnsi"/>
          <w:sz w:val="24"/>
          <w:szCs w:val="24"/>
        </w:rPr>
        <w:t xml:space="preserve"> NNV</w:t>
      </w:r>
      <w:r w:rsidR="00A06F84" w:rsidRPr="00E64C81">
        <w:rPr>
          <w:rFonts w:cstheme="minorHAnsi"/>
          <w:sz w:val="24"/>
          <w:szCs w:val="24"/>
        </w:rPr>
        <w:tab/>
      </w:r>
      <w:r w:rsidR="00A06F84" w:rsidRPr="00E64C81">
        <w:rPr>
          <w:rFonts w:cstheme="minorHAnsi"/>
          <w:sz w:val="24"/>
          <w:szCs w:val="24"/>
        </w:rPr>
        <w:tab/>
      </w:r>
      <w:r w:rsidR="00A06F84" w:rsidRPr="00E64C81">
        <w:rPr>
          <w:rFonts w:cstheme="minorHAnsi"/>
          <w:sz w:val="24"/>
          <w:szCs w:val="24"/>
        </w:rPr>
        <w:tab/>
      </w:r>
      <w:r w:rsidR="00A06F84" w:rsidRPr="00E64C81">
        <w:rPr>
          <w:rFonts w:cstheme="minorHAnsi"/>
          <w:sz w:val="24"/>
          <w:szCs w:val="24"/>
        </w:rPr>
        <w:tab/>
      </w:r>
      <w:r w:rsidR="00A06F84" w:rsidRPr="00E64C81">
        <w:rPr>
          <w:rFonts w:cstheme="minorHAnsi"/>
          <w:sz w:val="24"/>
          <w:szCs w:val="24"/>
        </w:rPr>
        <w:tab/>
      </w:r>
      <w:r w:rsidR="00A06F84" w:rsidRPr="00E64C81">
        <w:rPr>
          <w:rFonts w:cstheme="minorHAnsi"/>
          <w:sz w:val="24"/>
          <w:szCs w:val="24"/>
        </w:rPr>
        <w:tab/>
      </w:r>
      <w:r w:rsidR="000514D7" w:rsidRPr="00E64C81">
        <w:rPr>
          <w:rFonts w:cstheme="minorHAnsi"/>
          <w:sz w:val="24"/>
          <w:szCs w:val="24"/>
        </w:rPr>
        <w:tab/>
      </w:r>
      <w:r w:rsidR="00E64C81" w:rsidRPr="00E64C81">
        <w:rPr>
          <w:rFonts w:cstheme="minorHAnsi"/>
          <w:sz w:val="24"/>
          <w:szCs w:val="24"/>
        </w:rPr>
        <w:t xml:space="preserve">  5.120.263,26</w:t>
      </w:r>
      <w:r w:rsidRPr="00E64C81">
        <w:rPr>
          <w:rFonts w:cstheme="minorHAnsi"/>
          <w:sz w:val="24"/>
          <w:szCs w:val="24"/>
        </w:rPr>
        <w:t xml:space="preserve"> Kč</w:t>
      </w:r>
    </w:p>
    <w:p w:rsidR="00AC3E0B" w:rsidRPr="00E64C81" w:rsidRDefault="00A06F84" w:rsidP="00351F92">
      <w:pPr>
        <w:spacing w:after="120"/>
        <w:jc w:val="both"/>
        <w:rPr>
          <w:rFonts w:cstheme="minorHAnsi"/>
          <w:sz w:val="24"/>
          <w:szCs w:val="24"/>
        </w:rPr>
      </w:pPr>
      <w:r w:rsidRPr="00E64C81">
        <w:rPr>
          <w:rFonts w:cstheme="minorHAnsi"/>
          <w:sz w:val="24"/>
          <w:szCs w:val="24"/>
        </w:rPr>
        <w:t>Konečn</w:t>
      </w:r>
      <w:r w:rsidR="00E64C81" w:rsidRPr="00E64C81">
        <w:rPr>
          <w:rFonts w:cstheme="minorHAnsi"/>
          <w:sz w:val="24"/>
          <w:szCs w:val="24"/>
        </w:rPr>
        <w:t>ý rozpočet roku 2022</w:t>
      </w:r>
      <w:r w:rsidRPr="00E64C81">
        <w:rPr>
          <w:rFonts w:cstheme="minorHAnsi"/>
          <w:sz w:val="24"/>
          <w:szCs w:val="24"/>
        </w:rPr>
        <w:tab/>
      </w:r>
      <w:r w:rsidRPr="00E64C81">
        <w:rPr>
          <w:rFonts w:cstheme="minorHAnsi"/>
          <w:sz w:val="24"/>
          <w:szCs w:val="24"/>
        </w:rPr>
        <w:tab/>
      </w:r>
      <w:r w:rsidRPr="00E64C81">
        <w:rPr>
          <w:rFonts w:cstheme="minorHAnsi"/>
          <w:sz w:val="24"/>
          <w:szCs w:val="24"/>
        </w:rPr>
        <w:tab/>
        <w:t xml:space="preserve">      </w:t>
      </w:r>
      <w:r w:rsidR="000514D7" w:rsidRPr="00E64C81">
        <w:rPr>
          <w:rFonts w:cstheme="minorHAnsi"/>
          <w:sz w:val="24"/>
          <w:szCs w:val="24"/>
        </w:rPr>
        <w:tab/>
      </w:r>
      <w:r w:rsidRPr="00E64C81">
        <w:rPr>
          <w:rFonts w:cstheme="minorHAnsi"/>
          <w:sz w:val="24"/>
          <w:szCs w:val="24"/>
        </w:rPr>
        <w:t xml:space="preserve">   </w:t>
      </w:r>
      <w:r w:rsidR="000514D7" w:rsidRPr="00E64C81">
        <w:rPr>
          <w:rFonts w:cstheme="minorHAnsi"/>
          <w:sz w:val="24"/>
          <w:szCs w:val="24"/>
        </w:rPr>
        <w:t xml:space="preserve">        </w:t>
      </w:r>
      <w:r w:rsidR="00E64C81" w:rsidRPr="00E64C81">
        <w:rPr>
          <w:rFonts w:cstheme="minorHAnsi"/>
          <w:sz w:val="24"/>
          <w:szCs w:val="24"/>
        </w:rPr>
        <w:t xml:space="preserve">102.575.689,23 </w:t>
      </w:r>
      <w:r w:rsidR="000514D7" w:rsidRPr="00E64C81">
        <w:rPr>
          <w:rFonts w:cstheme="minorHAnsi"/>
          <w:sz w:val="24"/>
          <w:szCs w:val="24"/>
        </w:rPr>
        <w:t>Kč</w:t>
      </w:r>
    </w:p>
    <w:p w:rsidR="00E0710A" w:rsidRPr="00C9684A" w:rsidRDefault="00523D4E" w:rsidP="00351F92">
      <w:pPr>
        <w:spacing w:after="120"/>
        <w:jc w:val="both"/>
        <w:rPr>
          <w:rFonts w:cstheme="minorHAnsi"/>
          <w:color w:val="FF0000"/>
          <w:sz w:val="24"/>
          <w:szCs w:val="24"/>
        </w:rPr>
      </w:pPr>
      <w:r>
        <w:rPr>
          <w:rFonts w:cstheme="minorHAnsi"/>
          <w:color w:val="FF0000"/>
          <w:sz w:val="24"/>
          <w:szCs w:val="24"/>
        </w:rPr>
        <w:t xml:space="preserve"> </w:t>
      </w:r>
    </w:p>
    <w:p w:rsidR="001C70CF" w:rsidRPr="00C9684A" w:rsidRDefault="000B3840" w:rsidP="00351F92">
      <w:pPr>
        <w:spacing w:after="120"/>
        <w:jc w:val="both"/>
        <w:rPr>
          <w:rFonts w:cstheme="minorHAnsi"/>
          <w:color w:val="FF0000"/>
          <w:sz w:val="24"/>
          <w:szCs w:val="24"/>
        </w:rPr>
      </w:pPr>
      <w:r w:rsidRPr="00160FDC">
        <w:rPr>
          <w:rFonts w:cstheme="minorHAnsi"/>
        </w:rPr>
        <w:t>V oblasti celkových výdajů došlo</w:t>
      </w:r>
      <w:r>
        <w:rPr>
          <w:rFonts w:cstheme="minorHAnsi"/>
        </w:rPr>
        <w:t xml:space="preserve"> k výraznému </w:t>
      </w:r>
      <w:r w:rsidRPr="00160FDC">
        <w:rPr>
          <w:rFonts w:cstheme="minorHAnsi"/>
        </w:rPr>
        <w:t> nárůstu oproti roku 2021</w:t>
      </w:r>
      <w:r>
        <w:rPr>
          <w:rFonts w:cstheme="minorHAnsi"/>
        </w:rPr>
        <w:t xml:space="preserve"> (7.566.779,24 Kč). Tento nárůst je způsoben</w:t>
      </w:r>
      <w:r w:rsidRPr="00160FDC">
        <w:rPr>
          <w:rFonts w:cstheme="minorHAnsi"/>
        </w:rPr>
        <w:t xml:space="preserve"> zejména </w:t>
      </w:r>
      <w:r>
        <w:rPr>
          <w:rFonts w:cstheme="minorHAnsi"/>
        </w:rPr>
        <w:t>proplácením paušálních náhrad exekutorům za zastavené bagatelní pohledávky (</w:t>
      </w:r>
      <w:r w:rsidRPr="000B3840">
        <w:rPr>
          <w:rFonts w:cstheme="minorHAnsi"/>
        </w:rPr>
        <w:t>5.401.247,50</w:t>
      </w:r>
      <w:r>
        <w:rPr>
          <w:rFonts w:cstheme="minorHAnsi"/>
        </w:rPr>
        <w:t xml:space="preserve"> Kč), dále </w:t>
      </w:r>
      <w:r w:rsidRPr="00160FDC">
        <w:rPr>
          <w:rFonts w:cstheme="minorHAnsi"/>
        </w:rPr>
        <w:t xml:space="preserve">zvýšením cen energií, </w:t>
      </w:r>
      <w:r>
        <w:rPr>
          <w:rFonts w:cstheme="minorHAnsi"/>
        </w:rPr>
        <w:t xml:space="preserve">pohonných hmot, poštovních služeb </w:t>
      </w:r>
      <w:r w:rsidRPr="00160FDC">
        <w:rPr>
          <w:rFonts w:cstheme="minorHAnsi"/>
        </w:rPr>
        <w:t>a materiálu.  Další navýšení je v platové oblasti, kde došlo od září k 10% navýše</w:t>
      </w:r>
      <w:r>
        <w:rPr>
          <w:rFonts w:cstheme="minorHAnsi"/>
        </w:rPr>
        <w:t>ní platových tarifů zaměstnanců (723.330,00 Kč).</w:t>
      </w:r>
    </w:p>
    <w:p w:rsidR="000514D7" w:rsidRPr="006D10DA" w:rsidRDefault="000B3840" w:rsidP="00351F92">
      <w:pPr>
        <w:spacing w:after="120"/>
        <w:jc w:val="both"/>
        <w:rPr>
          <w:rFonts w:cstheme="minorHAnsi"/>
          <w:sz w:val="24"/>
          <w:szCs w:val="24"/>
        </w:rPr>
      </w:pPr>
      <w:r w:rsidRPr="006D10DA">
        <w:rPr>
          <w:rFonts w:cstheme="minorHAnsi"/>
          <w:sz w:val="24"/>
          <w:szCs w:val="24"/>
        </w:rPr>
        <w:t>V průběhu roku 2022</w:t>
      </w:r>
      <w:r w:rsidR="00AC3E0B" w:rsidRPr="006D10DA">
        <w:rPr>
          <w:rFonts w:cstheme="minorHAnsi"/>
          <w:sz w:val="24"/>
          <w:szCs w:val="24"/>
        </w:rPr>
        <w:t xml:space="preserve"> byl rozp</w:t>
      </w:r>
      <w:r w:rsidR="000514D7" w:rsidRPr="006D10DA">
        <w:rPr>
          <w:rFonts w:cstheme="minorHAnsi"/>
          <w:sz w:val="24"/>
          <w:szCs w:val="24"/>
        </w:rPr>
        <w:t xml:space="preserve">očet výdajů upraven na částku </w:t>
      </w:r>
      <w:r w:rsidRPr="006D10DA">
        <w:rPr>
          <w:rFonts w:cstheme="minorHAnsi"/>
          <w:sz w:val="24"/>
          <w:szCs w:val="24"/>
        </w:rPr>
        <w:t>97.455.426,00 Kč</w:t>
      </w:r>
      <w:r w:rsidR="000514D7" w:rsidRPr="006D10DA">
        <w:rPr>
          <w:rFonts w:cstheme="minorHAnsi"/>
          <w:sz w:val="24"/>
          <w:szCs w:val="24"/>
        </w:rPr>
        <w:t xml:space="preserve">, po zapojení nároků z nespotřebovaných výdajů ve výši </w:t>
      </w:r>
      <w:r w:rsidRPr="006D10DA">
        <w:rPr>
          <w:rFonts w:cstheme="minorHAnsi"/>
          <w:sz w:val="24"/>
          <w:szCs w:val="24"/>
        </w:rPr>
        <w:t xml:space="preserve">5.120.263,26 Kč </w:t>
      </w:r>
      <w:r w:rsidR="006D10DA">
        <w:rPr>
          <w:rFonts w:cstheme="minorHAnsi"/>
          <w:sz w:val="24"/>
          <w:szCs w:val="24"/>
        </w:rPr>
        <w:t xml:space="preserve">celkem na </w:t>
      </w:r>
      <w:r w:rsidR="000514D7" w:rsidRPr="006D10DA">
        <w:rPr>
          <w:rFonts w:cstheme="minorHAnsi"/>
          <w:sz w:val="24"/>
          <w:szCs w:val="24"/>
        </w:rPr>
        <w:t xml:space="preserve"> </w:t>
      </w:r>
      <w:r w:rsidRPr="006D10DA">
        <w:rPr>
          <w:rFonts w:cstheme="minorHAnsi"/>
          <w:sz w:val="24"/>
          <w:szCs w:val="24"/>
        </w:rPr>
        <w:t>102.575.689,23 Kč</w:t>
      </w:r>
      <w:r w:rsidR="000514D7" w:rsidRPr="006D10DA">
        <w:rPr>
          <w:rFonts w:cstheme="minorHAnsi"/>
          <w:sz w:val="24"/>
          <w:szCs w:val="24"/>
        </w:rPr>
        <w:t xml:space="preserve">. </w:t>
      </w:r>
      <w:r w:rsidRPr="006D10DA">
        <w:rPr>
          <w:rFonts w:cstheme="minorHAnsi"/>
          <w:sz w:val="24"/>
          <w:szCs w:val="24"/>
        </w:rPr>
        <w:t xml:space="preserve"> </w:t>
      </w:r>
    </w:p>
    <w:p w:rsidR="001C70CF" w:rsidRDefault="001C70CF" w:rsidP="00351F92">
      <w:pPr>
        <w:spacing w:after="120"/>
        <w:jc w:val="both"/>
        <w:rPr>
          <w:rFonts w:cstheme="minorHAnsi"/>
          <w:color w:val="FF0000"/>
          <w:sz w:val="24"/>
          <w:szCs w:val="24"/>
        </w:rPr>
      </w:pPr>
    </w:p>
    <w:p w:rsidR="005F171D" w:rsidRDefault="005F171D" w:rsidP="00351F92">
      <w:pPr>
        <w:spacing w:after="120"/>
        <w:jc w:val="both"/>
        <w:rPr>
          <w:rFonts w:cstheme="minorHAnsi"/>
          <w:color w:val="FF0000"/>
          <w:sz w:val="24"/>
          <w:szCs w:val="24"/>
        </w:rPr>
      </w:pPr>
    </w:p>
    <w:p w:rsidR="006D10DA" w:rsidRPr="00C9684A" w:rsidRDefault="006D10DA" w:rsidP="00351F92">
      <w:pPr>
        <w:spacing w:after="120"/>
        <w:jc w:val="both"/>
        <w:rPr>
          <w:rFonts w:cstheme="minorHAnsi"/>
          <w:color w:val="FF0000"/>
          <w:sz w:val="24"/>
          <w:szCs w:val="24"/>
        </w:rPr>
      </w:pPr>
    </w:p>
    <w:p w:rsidR="001C70CF" w:rsidRPr="00C9684A" w:rsidRDefault="001C70CF" w:rsidP="00351F92">
      <w:pPr>
        <w:spacing w:after="120"/>
        <w:jc w:val="both"/>
        <w:rPr>
          <w:rFonts w:cstheme="minorHAnsi"/>
          <w:color w:val="FF0000"/>
          <w:sz w:val="24"/>
          <w:szCs w:val="24"/>
        </w:rPr>
      </w:pPr>
    </w:p>
    <w:p w:rsidR="00765F20" w:rsidRPr="006D10DA" w:rsidRDefault="00765F20" w:rsidP="000514D7">
      <w:pPr>
        <w:spacing w:after="120"/>
        <w:jc w:val="both"/>
        <w:rPr>
          <w:rFonts w:cstheme="minorHAnsi"/>
          <w:b/>
          <w:sz w:val="24"/>
          <w:szCs w:val="24"/>
        </w:rPr>
      </w:pPr>
      <w:r w:rsidRPr="006D10DA">
        <w:rPr>
          <w:rFonts w:cstheme="minorHAnsi"/>
          <w:b/>
          <w:sz w:val="24"/>
          <w:szCs w:val="24"/>
        </w:rPr>
        <w:lastRenderedPageBreak/>
        <w:t xml:space="preserve">Rozpočtová opatření </w:t>
      </w:r>
      <w:r w:rsidR="001C70CF" w:rsidRPr="006D10DA">
        <w:rPr>
          <w:rFonts w:cstheme="minorHAnsi"/>
          <w:b/>
          <w:sz w:val="24"/>
          <w:szCs w:val="24"/>
        </w:rPr>
        <w:t xml:space="preserve">na pokyn </w:t>
      </w:r>
      <w:r w:rsidRPr="006D10DA">
        <w:rPr>
          <w:rFonts w:cstheme="minorHAnsi"/>
          <w:b/>
          <w:sz w:val="24"/>
          <w:szCs w:val="24"/>
        </w:rPr>
        <w:t>Krajského soudu v oblasti výdajů:</w:t>
      </w:r>
    </w:p>
    <w:p w:rsidR="006C0DA1" w:rsidRDefault="006C0DA1" w:rsidP="006C0DA1">
      <w:pPr>
        <w:spacing w:after="120"/>
        <w:jc w:val="both"/>
        <w:rPr>
          <w:rFonts w:cstheme="minorHAnsi"/>
          <w:sz w:val="24"/>
          <w:szCs w:val="24"/>
        </w:rPr>
      </w:pPr>
    </w:p>
    <w:p w:rsidR="006C0DA1" w:rsidRPr="000F4043" w:rsidRDefault="006C0DA1" w:rsidP="006C0DA1">
      <w:pPr>
        <w:spacing w:after="120"/>
        <w:jc w:val="both"/>
        <w:rPr>
          <w:rFonts w:cstheme="minorHAnsi"/>
          <w:sz w:val="24"/>
          <w:szCs w:val="24"/>
        </w:rPr>
      </w:pPr>
      <w:r>
        <w:rPr>
          <w:rFonts w:cstheme="minorHAnsi"/>
          <w:sz w:val="24"/>
          <w:szCs w:val="24"/>
        </w:rPr>
        <w:t>1</w:t>
      </w:r>
      <w:r w:rsidRPr="000F4043">
        <w:rPr>
          <w:rFonts w:cstheme="minorHAnsi"/>
          <w:sz w:val="24"/>
          <w:szCs w:val="24"/>
        </w:rPr>
        <w:t>.</w:t>
      </w:r>
      <w:r>
        <w:rPr>
          <w:rFonts w:cstheme="minorHAnsi"/>
          <w:sz w:val="24"/>
          <w:szCs w:val="24"/>
        </w:rPr>
        <w:t xml:space="preserve"> Platy a OPP</w:t>
      </w:r>
      <w:r w:rsidRPr="000F4043">
        <w:rPr>
          <w:rFonts w:cstheme="minorHAnsi"/>
          <w:sz w:val="24"/>
          <w:szCs w:val="24"/>
        </w:rPr>
        <w:t>:</w:t>
      </w:r>
    </w:p>
    <w:p w:rsidR="00FA7FF4" w:rsidRPr="00C9684A" w:rsidRDefault="00FA7FF4" w:rsidP="000514D7">
      <w:pPr>
        <w:spacing w:after="120"/>
        <w:jc w:val="both"/>
        <w:rPr>
          <w:rFonts w:cstheme="minorHAnsi"/>
          <w:color w:val="FF0000"/>
          <w:sz w:val="24"/>
          <w:szCs w:val="24"/>
        </w:rPr>
      </w:pPr>
      <w:r w:rsidRPr="000F4043">
        <w:rPr>
          <w:rFonts w:cstheme="minorHAnsi"/>
          <w:sz w:val="24"/>
          <w:szCs w:val="24"/>
        </w:rPr>
        <w:t>Rozpočtové opatření na zá</w:t>
      </w:r>
      <w:r w:rsidR="000F4043" w:rsidRPr="000F4043">
        <w:rPr>
          <w:rFonts w:cstheme="minorHAnsi"/>
          <w:sz w:val="24"/>
          <w:szCs w:val="24"/>
        </w:rPr>
        <w:t>kladě pok</w:t>
      </w:r>
      <w:r w:rsidR="00241BE7">
        <w:rPr>
          <w:rFonts w:cstheme="minorHAnsi"/>
          <w:sz w:val="24"/>
          <w:szCs w:val="24"/>
        </w:rPr>
        <w:t>ynu KS v Plzni z</w:t>
      </w:r>
      <w:r w:rsidR="000F4043" w:rsidRPr="000F4043">
        <w:rPr>
          <w:rFonts w:cstheme="minorHAnsi"/>
          <w:sz w:val="24"/>
          <w:szCs w:val="24"/>
        </w:rPr>
        <w:t xml:space="preserve"> 11</w:t>
      </w:r>
      <w:r w:rsidRPr="000F4043">
        <w:rPr>
          <w:rFonts w:cstheme="minorHAnsi"/>
          <w:sz w:val="24"/>
          <w:szCs w:val="24"/>
        </w:rPr>
        <w:t>.</w:t>
      </w:r>
      <w:r w:rsidR="001C70CF" w:rsidRPr="000F4043">
        <w:rPr>
          <w:rFonts w:cstheme="minorHAnsi"/>
          <w:sz w:val="24"/>
          <w:szCs w:val="24"/>
        </w:rPr>
        <w:t xml:space="preserve"> </w:t>
      </w:r>
      <w:r w:rsidR="000F4043" w:rsidRPr="000F4043">
        <w:rPr>
          <w:rFonts w:cstheme="minorHAnsi"/>
          <w:sz w:val="24"/>
          <w:szCs w:val="24"/>
        </w:rPr>
        <w:t>4</w:t>
      </w:r>
      <w:r w:rsidRPr="000F4043">
        <w:rPr>
          <w:rFonts w:cstheme="minorHAnsi"/>
          <w:sz w:val="24"/>
          <w:szCs w:val="24"/>
        </w:rPr>
        <w:t>.</w:t>
      </w:r>
      <w:r w:rsidR="001C70CF" w:rsidRPr="000F4043">
        <w:rPr>
          <w:rFonts w:cstheme="minorHAnsi"/>
          <w:sz w:val="24"/>
          <w:szCs w:val="24"/>
        </w:rPr>
        <w:t xml:space="preserve"> </w:t>
      </w:r>
      <w:r w:rsidR="000F4043" w:rsidRPr="000F4043">
        <w:rPr>
          <w:rFonts w:cstheme="minorHAnsi"/>
          <w:sz w:val="24"/>
          <w:szCs w:val="24"/>
        </w:rPr>
        <w:t>2022 Spr 942</w:t>
      </w:r>
      <w:r w:rsidRPr="000F4043">
        <w:rPr>
          <w:rFonts w:cstheme="minorHAnsi"/>
          <w:sz w:val="24"/>
          <w:szCs w:val="24"/>
        </w:rPr>
        <w:t>/202</w:t>
      </w:r>
      <w:r w:rsidR="000F4043" w:rsidRPr="000F4043">
        <w:rPr>
          <w:rFonts w:cstheme="minorHAnsi"/>
          <w:sz w:val="24"/>
          <w:szCs w:val="24"/>
        </w:rPr>
        <w:t>2</w:t>
      </w:r>
      <w:r w:rsidR="000F4043">
        <w:rPr>
          <w:rFonts w:cstheme="minorHAnsi"/>
          <w:sz w:val="24"/>
          <w:szCs w:val="24"/>
        </w:rPr>
        <w:t xml:space="preserve"> – navýšení položky 5011 </w:t>
      </w:r>
      <w:r w:rsidRPr="000F4043">
        <w:rPr>
          <w:rFonts w:cstheme="minorHAnsi"/>
          <w:sz w:val="24"/>
          <w:szCs w:val="24"/>
        </w:rPr>
        <w:t xml:space="preserve">Platy zaměstnanců o </w:t>
      </w:r>
      <w:r w:rsidR="000F4043" w:rsidRPr="000F4043">
        <w:rPr>
          <w:rFonts w:cstheme="minorHAnsi"/>
          <w:sz w:val="24"/>
          <w:szCs w:val="24"/>
        </w:rPr>
        <w:t>1.296.000,00</w:t>
      </w:r>
      <w:r w:rsidRPr="000F4043">
        <w:rPr>
          <w:rFonts w:cstheme="minorHAnsi"/>
          <w:sz w:val="24"/>
          <w:szCs w:val="24"/>
        </w:rPr>
        <w:t xml:space="preserve"> Kč.</w:t>
      </w:r>
    </w:p>
    <w:p w:rsidR="0043286D" w:rsidRPr="00C9684A" w:rsidRDefault="00FA7FF4" w:rsidP="000514D7">
      <w:pPr>
        <w:spacing w:after="120"/>
        <w:jc w:val="both"/>
        <w:rPr>
          <w:rFonts w:cstheme="minorHAnsi"/>
          <w:color w:val="FF0000"/>
          <w:sz w:val="24"/>
          <w:szCs w:val="24"/>
        </w:rPr>
      </w:pPr>
      <w:r w:rsidRPr="000F4043">
        <w:rPr>
          <w:rFonts w:cstheme="minorHAnsi"/>
          <w:sz w:val="24"/>
          <w:szCs w:val="24"/>
        </w:rPr>
        <w:t>Rozpočtové opatření na zák</w:t>
      </w:r>
      <w:r w:rsidR="00241BE7">
        <w:rPr>
          <w:rFonts w:cstheme="minorHAnsi"/>
          <w:sz w:val="24"/>
          <w:szCs w:val="24"/>
        </w:rPr>
        <w:t>ladě pokynu KS v Plzni z</w:t>
      </w:r>
      <w:r w:rsidR="000F4043" w:rsidRPr="000F4043">
        <w:rPr>
          <w:rFonts w:cstheme="minorHAnsi"/>
          <w:sz w:val="24"/>
          <w:szCs w:val="24"/>
        </w:rPr>
        <w:t xml:space="preserve"> 22</w:t>
      </w:r>
      <w:r w:rsidRPr="000F4043">
        <w:rPr>
          <w:rFonts w:cstheme="minorHAnsi"/>
          <w:sz w:val="24"/>
          <w:szCs w:val="24"/>
        </w:rPr>
        <w:t>.</w:t>
      </w:r>
      <w:r w:rsidR="001C70CF" w:rsidRPr="000F4043">
        <w:rPr>
          <w:rFonts w:cstheme="minorHAnsi"/>
          <w:sz w:val="24"/>
          <w:szCs w:val="24"/>
        </w:rPr>
        <w:t xml:space="preserve"> </w:t>
      </w:r>
      <w:r w:rsidRPr="000F4043">
        <w:rPr>
          <w:rFonts w:cstheme="minorHAnsi"/>
          <w:sz w:val="24"/>
          <w:szCs w:val="24"/>
        </w:rPr>
        <w:t>1</w:t>
      </w:r>
      <w:r w:rsidR="000F4043" w:rsidRPr="000F4043">
        <w:rPr>
          <w:rFonts w:cstheme="minorHAnsi"/>
          <w:sz w:val="24"/>
          <w:szCs w:val="24"/>
        </w:rPr>
        <w:t>1</w:t>
      </w:r>
      <w:r w:rsidRPr="000F4043">
        <w:rPr>
          <w:rFonts w:cstheme="minorHAnsi"/>
          <w:sz w:val="24"/>
          <w:szCs w:val="24"/>
        </w:rPr>
        <w:t>.</w:t>
      </w:r>
      <w:r w:rsidR="001C70CF" w:rsidRPr="000F4043">
        <w:rPr>
          <w:rFonts w:cstheme="minorHAnsi"/>
          <w:sz w:val="24"/>
          <w:szCs w:val="24"/>
        </w:rPr>
        <w:t xml:space="preserve"> </w:t>
      </w:r>
      <w:r w:rsidR="000F4043" w:rsidRPr="000F4043">
        <w:rPr>
          <w:rFonts w:cstheme="minorHAnsi"/>
          <w:sz w:val="24"/>
          <w:szCs w:val="24"/>
        </w:rPr>
        <w:t xml:space="preserve">2022 Spr 2009/2022 – snížení položky 5022 </w:t>
      </w:r>
      <w:r w:rsidRPr="000F4043">
        <w:rPr>
          <w:rFonts w:cstheme="minorHAnsi"/>
          <w:sz w:val="24"/>
          <w:szCs w:val="24"/>
        </w:rPr>
        <w:t xml:space="preserve"> Platy soudců o 3.</w:t>
      </w:r>
      <w:r w:rsidR="000F4043" w:rsidRPr="000F4043">
        <w:rPr>
          <w:rFonts w:cstheme="minorHAnsi"/>
          <w:sz w:val="24"/>
          <w:szCs w:val="24"/>
        </w:rPr>
        <w:t>175.000,00 Kč.</w:t>
      </w:r>
    </w:p>
    <w:p w:rsidR="00241BE7" w:rsidRDefault="0043286D" w:rsidP="000514D7">
      <w:pPr>
        <w:spacing w:after="120"/>
        <w:jc w:val="both"/>
        <w:rPr>
          <w:rFonts w:cstheme="minorHAnsi"/>
          <w:sz w:val="24"/>
          <w:szCs w:val="24"/>
        </w:rPr>
      </w:pPr>
      <w:r w:rsidRPr="00241BE7">
        <w:rPr>
          <w:rFonts w:cstheme="minorHAnsi"/>
          <w:sz w:val="24"/>
          <w:szCs w:val="24"/>
        </w:rPr>
        <w:t>Rozpočtov</w:t>
      </w:r>
      <w:r w:rsidR="00241BE7" w:rsidRPr="00241BE7">
        <w:rPr>
          <w:rFonts w:cstheme="minorHAnsi"/>
          <w:sz w:val="24"/>
          <w:szCs w:val="24"/>
        </w:rPr>
        <w:t>é opatření na základě pokynu KS v Plzni z</w:t>
      </w:r>
      <w:r w:rsidRPr="00241BE7">
        <w:rPr>
          <w:rFonts w:cstheme="minorHAnsi"/>
          <w:sz w:val="24"/>
          <w:szCs w:val="24"/>
        </w:rPr>
        <w:t xml:space="preserve"> </w:t>
      </w:r>
      <w:r w:rsidR="00241BE7" w:rsidRPr="00241BE7">
        <w:rPr>
          <w:rFonts w:cstheme="minorHAnsi"/>
          <w:sz w:val="24"/>
          <w:szCs w:val="24"/>
        </w:rPr>
        <w:t>14</w:t>
      </w:r>
      <w:r w:rsidRPr="00241BE7">
        <w:rPr>
          <w:rFonts w:cstheme="minorHAnsi"/>
          <w:sz w:val="24"/>
          <w:szCs w:val="24"/>
        </w:rPr>
        <w:t>.</w:t>
      </w:r>
      <w:r w:rsidR="001C70CF" w:rsidRPr="00241BE7">
        <w:rPr>
          <w:rFonts w:cstheme="minorHAnsi"/>
          <w:sz w:val="24"/>
          <w:szCs w:val="24"/>
        </w:rPr>
        <w:t xml:space="preserve"> </w:t>
      </w:r>
      <w:r w:rsidRPr="00241BE7">
        <w:rPr>
          <w:rFonts w:cstheme="minorHAnsi"/>
          <w:sz w:val="24"/>
          <w:szCs w:val="24"/>
        </w:rPr>
        <w:t>1</w:t>
      </w:r>
      <w:r w:rsidR="00241BE7" w:rsidRPr="00241BE7">
        <w:rPr>
          <w:rFonts w:cstheme="minorHAnsi"/>
          <w:sz w:val="24"/>
          <w:szCs w:val="24"/>
        </w:rPr>
        <w:t>2</w:t>
      </w:r>
      <w:r w:rsidRPr="00241BE7">
        <w:rPr>
          <w:rFonts w:cstheme="minorHAnsi"/>
          <w:sz w:val="24"/>
          <w:szCs w:val="24"/>
        </w:rPr>
        <w:t>.</w:t>
      </w:r>
      <w:r w:rsidR="001C70CF" w:rsidRPr="00241BE7">
        <w:rPr>
          <w:rFonts w:cstheme="minorHAnsi"/>
          <w:sz w:val="24"/>
          <w:szCs w:val="24"/>
        </w:rPr>
        <w:t xml:space="preserve"> </w:t>
      </w:r>
      <w:r w:rsidR="00241BE7" w:rsidRPr="00241BE7">
        <w:rPr>
          <w:rFonts w:cstheme="minorHAnsi"/>
          <w:sz w:val="24"/>
          <w:szCs w:val="24"/>
        </w:rPr>
        <w:t>2022 Spr 3100</w:t>
      </w:r>
      <w:r w:rsidRPr="00241BE7">
        <w:rPr>
          <w:rFonts w:cstheme="minorHAnsi"/>
          <w:sz w:val="24"/>
          <w:szCs w:val="24"/>
        </w:rPr>
        <w:t>/202</w:t>
      </w:r>
      <w:r w:rsidR="00241BE7" w:rsidRPr="00241BE7">
        <w:rPr>
          <w:rFonts w:cstheme="minorHAnsi"/>
          <w:sz w:val="24"/>
          <w:szCs w:val="24"/>
        </w:rPr>
        <w:t>2</w:t>
      </w:r>
      <w:r w:rsidRPr="00241BE7">
        <w:rPr>
          <w:rFonts w:cstheme="minorHAnsi"/>
          <w:sz w:val="24"/>
          <w:szCs w:val="24"/>
        </w:rPr>
        <w:t xml:space="preserve"> – na</w:t>
      </w:r>
      <w:r w:rsidR="00241BE7" w:rsidRPr="00241BE7">
        <w:rPr>
          <w:rFonts w:cstheme="minorHAnsi"/>
          <w:sz w:val="24"/>
          <w:szCs w:val="24"/>
        </w:rPr>
        <w:t xml:space="preserve">výšení položky 5011 </w:t>
      </w:r>
      <w:r w:rsidRPr="00241BE7">
        <w:rPr>
          <w:rFonts w:cstheme="minorHAnsi"/>
          <w:sz w:val="24"/>
          <w:szCs w:val="24"/>
        </w:rPr>
        <w:t xml:space="preserve"> Pl</w:t>
      </w:r>
      <w:r w:rsidR="00241BE7" w:rsidRPr="00241BE7">
        <w:rPr>
          <w:rFonts w:cstheme="minorHAnsi"/>
          <w:sz w:val="24"/>
          <w:szCs w:val="24"/>
        </w:rPr>
        <w:t>aty zaměstnanců o 1.019.278,00 Kč (z toho 723.330,00 s kódem účelu 223980032).</w:t>
      </w:r>
    </w:p>
    <w:p w:rsidR="00DA12B3" w:rsidRPr="00241BE7" w:rsidRDefault="00DA12B3" w:rsidP="000514D7">
      <w:pPr>
        <w:spacing w:after="120"/>
        <w:jc w:val="both"/>
        <w:rPr>
          <w:rFonts w:cstheme="minorHAnsi"/>
          <w:sz w:val="24"/>
          <w:szCs w:val="24"/>
        </w:rPr>
      </w:pPr>
    </w:p>
    <w:p w:rsidR="0043286D" w:rsidRPr="000F4043" w:rsidRDefault="0043286D" w:rsidP="0043286D">
      <w:pPr>
        <w:spacing w:after="120"/>
        <w:jc w:val="both"/>
        <w:rPr>
          <w:rFonts w:cstheme="minorHAnsi"/>
          <w:sz w:val="24"/>
          <w:szCs w:val="24"/>
        </w:rPr>
      </w:pPr>
      <w:r w:rsidRPr="000F4043">
        <w:rPr>
          <w:rFonts w:cstheme="minorHAnsi"/>
          <w:sz w:val="24"/>
          <w:szCs w:val="24"/>
        </w:rPr>
        <w:t>2.</w:t>
      </w:r>
      <w:r w:rsidR="006C0DA1">
        <w:rPr>
          <w:rFonts w:cstheme="minorHAnsi"/>
          <w:sz w:val="24"/>
          <w:szCs w:val="24"/>
        </w:rPr>
        <w:t xml:space="preserve"> </w:t>
      </w:r>
      <w:r w:rsidRPr="000F4043">
        <w:rPr>
          <w:rFonts w:cstheme="minorHAnsi"/>
          <w:sz w:val="24"/>
          <w:szCs w:val="24"/>
        </w:rPr>
        <w:t>Povinné pojistné:</w:t>
      </w:r>
    </w:p>
    <w:p w:rsidR="0043286D" w:rsidRPr="000F4043" w:rsidRDefault="000F4043" w:rsidP="0043286D">
      <w:pPr>
        <w:spacing w:after="120"/>
        <w:jc w:val="both"/>
        <w:rPr>
          <w:rFonts w:cstheme="minorHAnsi"/>
          <w:sz w:val="24"/>
          <w:szCs w:val="24"/>
        </w:rPr>
      </w:pPr>
      <w:r w:rsidRPr="000F4043">
        <w:rPr>
          <w:rFonts w:cstheme="minorHAnsi"/>
          <w:sz w:val="24"/>
          <w:szCs w:val="24"/>
        </w:rPr>
        <w:t>Rozpočtové opatření na základě pok</w:t>
      </w:r>
      <w:r w:rsidR="00241BE7">
        <w:rPr>
          <w:rFonts w:cstheme="minorHAnsi"/>
          <w:sz w:val="24"/>
          <w:szCs w:val="24"/>
        </w:rPr>
        <w:t>ynu KS v Plzni z</w:t>
      </w:r>
      <w:r w:rsidRPr="000F4043">
        <w:rPr>
          <w:rFonts w:cstheme="minorHAnsi"/>
          <w:sz w:val="24"/>
          <w:szCs w:val="24"/>
        </w:rPr>
        <w:t xml:space="preserve"> 11. 4. 2022 Spr 942/2022 – navýšení položek 5031 </w:t>
      </w:r>
      <w:r w:rsidR="0043286D" w:rsidRPr="000F4043">
        <w:rPr>
          <w:rFonts w:cstheme="minorHAnsi"/>
          <w:sz w:val="24"/>
          <w:szCs w:val="24"/>
        </w:rPr>
        <w:t xml:space="preserve">Sociální pojištění o </w:t>
      </w:r>
      <w:r w:rsidRPr="000F4043">
        <w:rPr>
          <w:rFonts w:cstheme="minorHAnsi"/>
          <w:sz w:val="24"/>
          <w:szCs w:val="24"/>
        </w:rPr>
        <w:t>321.408,00</w:t>
      </w:r>
      <w:r w:rsidR="0043286D" w:rsidRPr="000F4043">
        <w:rPr>
          <w:rFonts w:cstheme="minorHAnsi"/>
          <w:sz w:val="24"/>
          <w:szCs w:val="24"/>
        </w:rPr>
        <w:t xml:space="preserve"> Kč</w:t>
      </w:r>
      <w:r w:rsidRPr="000F4043">
        <w:rPr>
          <w:rFonts w:cstheme="minorHAnsi"/>
          <w:sz w:val="24"/>
          <w:szCs w:val="24"/>
        </w:rPr>
        <w:t xml:space="preserve"> a</w:t>
      </w:r>
      <w:r w:rsidR="0043286D" w:rsidRPr="000F4043">
        <w:rPr>
          <w:rFonts w:cstheme="minorHAnsi"/>
          <w:sz w:val="24"/>
          <w:szCs w:val="24"/>
        </w:rPr>
        <w:t xml:space="preserve"> </w:t>
      </w:r>
      <w:r w:rsidRPr="000F4043">
        <w:rPr>
          <w:rFonts w:cstheme="minorHAnsi"/>
          <w:sz w:val="24"/>
          <w:szCs w:val="24"/>
        </w:rPr>
        <w:t xml:space="preserve"> 5032 </w:t>
      </w:r>
      <w:r w:rsidR="0043286D" w:rsidRPr="000F4043">
        <w:rPr>
          <w:rFonts w:cstheme="minorHAnsi"/>
          <w:sz w:val="24"/>
          <w:szCs w:val="24"/>
        </w:rPr>
        <w:t xml:space="preserve"> Zdravotní pojištění o </w:t>
      </w:r>
      <w:r w:rsidRPr="000F4043">
        <w:rPr>
          <w:rFonts w:cstheme="minorHAnsi"/>
          <w:sz w:val="24"/>
          <w:szCs w:val="24"/>
        </w:rPr>
        <w:t>116.640</w:t>
      </w:r>
      <w:r w:rsidR="0043286D" w:rsidRPr="000F4043">
        <w:rPr>
          <w:rFonts w:cstheme="minorHAnsi"/>
          <w:sz w:val="24"/>
          <w:szCs w:val="24"/>
        </w:rPr>
        <w:t>,00 Kč.</w:t>
      </w:r>
    </w:p>
    <w:p w:rsidR="0043286D" w:rsidRPr="00241BE7" w:rsidRDefault="000F4043" w:rsidP="0043286D">
      <w:pPr>
        <w:spacing w:after="120"/>
        <w:jc w:val="both"/>
        <w:rPr>
          <w:rFonts w:cstheme="minorHAnsi"/>
          <w:sz w:val="24"/>
          <w:szCs w:val="24"/>
        </w:rPr>
      </w:pPr>
      <w:r w:rsidRPr="00241BE7">
        <w:rPr>
          <w:rFonts w:cstheme="minorHAnsi"/>
          <w:sz w:val="24"/>
          <w:szCs w:val="24"/>
        </w:rPr>
        <w:t>Rozpočtové opatření na zák</w:t>
      </w:r>
      <w:r w:rsidR="00241BE7">
        <w:rPr>
          <w:rFonts w:cstheme="minorHAnsi"/>
          <w:sz w:val="24"/>
          <w:szCs w:val="24"/>
        </w:rPr>
        <w:t>ladě pokynu KS v Plzni z</w:t>
      </w:r>
      <w:r w:rsidRPr="00241BE7">
        <w:rPr>
          <w:rFonts w:cstheme="minorHAnsi"/>
          <w:sz w:val="24"/>
          <w:szCs w:val="24"/>
        </w:rPr>
        <w:t xml:space="preserve"> 22. 11. 2022 Spr 2009/2022 – snížení položek 5031 </w:t>
      </w:r>
      <w:r w:rsidR="0043286D" w:rsidRPr="00241BE7">
        <w:rPr>
          <w:rFonts w:cstheme="minorHAnsi"/>
          <w:sz w:val="24"/>
          <w:szCs w:val="24"/>
        </w:rPr>
        <w:t xml:space="preserve"> Sociální pojištění o </w:t>
      </w:r>
      <w:r w:rsidR="00241BE7" w:rsidRPr="00241BE7">
        <w:rPr>
          <w:rFonts w:cstheme="minorHAnsi"/>
          <w:sz w:val="24"/>
          <w:szCs w:val="24"/>
        </w:rPr>
        <w:t xml:space="preserve">787.400,00 Kč a 5032 </w:t>
      </w:r>
      <w:r w:rsidR="0043286D" w:rsidRPr="00241BE7">
        <w:rPr>
          <w:rFonts w:cstheme="minorHAnsi"/>
          <w:sz w:val="24"/>
          <w:szCs w:val="24"/>
        </w:rPr>
        <w:t xml:space="preserve">Zdravotní pojištění o </w:t>
      </w:r>
      <w:r w:rsidR="00241BE7" w:rsidRPr="00241BE7">
        <w:rPr>
          <w:rFonts w:cstheme="minorHAnsi"/>
          <w:sz w:val="24"/>
          <w:szCs w:val="24"/>
        </w:rPr>
        <w:t>285.750</w:t>
      </w:r>
      <w:r w:rsidR="0043286D" w:rsidRPr="00241BE7">
        <w:rPr>
          <w:rFonts w:cstheme="minorHAnsi"/>
          <w:sz w:val="24"/>
          <w:szCs w:val="24"/>
        </w:rPr>
        <w:t>,00 Kč.</w:t>
      </w:r>
    </w:p>
    <w:p w:rsidR="0043286D" w:rsidRPr="00241BE7" w:rsidRDefault="00241BE7" w:rsidP="0043286D">
      <w:pPr>
        <w:spacing w:after="120"/>
        <w:jc w:val="both"/>
        <w:rPr>
          <w:rFonts w:cstheme="minorHAnsi"/>
          <w:sz w:val="24"/>
          <w:szCs w:val="24"/>
        </w:rPr>
      </w:pPr>
      <w:r>
        <w:rPr>
          <w:rFonts w:cstheme="minorHAnsi"/>
          <w:color w:val="FF0000"/>
          <w:sz w:val="24"/>
          <w:szCs w:val="24"/>
        </w:rPr>
        <w:t xml:space="preserve"> </w:t>
      </w:r>
      <w:r w:rsidRPr="00241BE7">
        <w:rPr>
          <w:rFonts w:cstheme="minorHAnsi"/>
          <w:sz w:val="24"/>
          <w:szCs w:val="24"/>
        </w:rPr>
        <w:t xml:space="preserve">Rozpočtové opatření na základě pokynu KS v Plzni z 14. 12. 2022 Spr 3100/2022 – navýšení položek </w:t>
      </w:r>
      <w:r w:rsidR="0043286D" w:rsidRPr="00241BE7">
        <w:rPr>
          <w:rFonts w:cstheme="minorHAnsi"/>
          <w:sz w:val="24"/>
          <w:szCs w:val="24"/>
        </w:rPr>
        <w:t xml:space="preserve">5031  Sociální pojištění o </w:t>
      </w:r>
      <w:r w:rsidRPr="00241BE7">
        <w:rPr>
          <w:rFonts w:cstheme="minorHAnsi"/>
          <w:sz w:val="24"/>
          <w:szCs w:val="24"/>
        </w:rPr>
        <w:t>254.386,00 Kč (z toho 179.386,00 s kódem účelu 223980032)</w:t>
      </w:r>
      <w:r w:rsidR="00B90DA4">
        <w:rPr>
          <w:rFonts w:cstheme="minorHAnsi"/>
          <w:sz w:val="24"/>
          <w:szCs w:val="24"/>
        </w:rPr>
        <w:t xml:space="preserve"> </w:t>
      </w:r>
      <w:r w:rsidRPr="00241BE7">
        <w:rPr>
          <w:rFonts w:cstheme="minorHAnsi"/>
          <w:sz w:val="24"/>
          <w:szCs w:val="24"/>
        </w:rPr>
        <w:t xml:space="preserve">a 5032 </w:t>
      </w:r>
      <w:r w:rsidR="0043286D" w:rsidRPr="00241BE7">
        <w:rPr>
          <w:rFonts w:cstheme="minorHAnsi"/>
          <w:sz w:val="24"/>
          <w:szCs w:val="24"/>
        </w:rPr>
        <w:t xml:space="preserve">Zdravotní pojištění o </w:t>
      </w:r>
      <w:r w:rsidRPr="00241BE7">
        <w:rPr>
          <w:rFonts w:cstheme="minorHAnsi"/>
          <w:sz w:val="24"/>
          <w:szCs w:val="24"/>
        </w:rPr>
        <w:t>92.600,00 Kč (z toho 65.100,00 s kódem účelu 223980032).</w:t>
      </w:r>
    </w:p>
    <w:p w:rsidR="0003240A" w:rsidRPr="00C9684A" w:rsidRDefault="0003240A" w:rsidP="0043286D">
      <w:pPr>
        <w:spacing w:after="120"/>
        <w:jc w:val="both"/>
        <w:rPr>
          <w:rFonts w:cstheme="minorHAnsi"/>
          <w:color w:val="FF0000"/>
          <w:sz w:val="24"/>
          <w:szCs w:val="24"/>
        </w:rPr>
      </w:pPr>
    </w:p>
    <w:p w:rsidR="0003240A" w:rsidRPr="000F4043" w:rsidRDefault="0003240A" w:rsidP="0043286D">
      <w:pPr>
        <w:spacing w:after="120"/>
        <w:jc w:val="both"/>
        <w:rPr>
          <w:rFonts w:cstheme="minorHAnsi"/>
          <w:sz w:val="24"/>
          <w:szCs w:val="24"/>
        </w:rPr>
      </w:pPr>
      <w:r w:rsidRPr="000F4043">
        <w:rPr>
          <w:rFonts w:cstheme="minorHAnsi"/>
          <w:sz w:val="24"/>
          <w:szCs w:val="24"/>
        </w:rPr>
        <w:t>3.</w:t>
      </w:r>
      <w:r w:rsidR="006C0DA1">
        <w:rPr>
          <w:rFonts w:cstheme="minorHAnsi"/>
          <w:sz w:val="24"/>
          <w:szCs w:val="24"/>
        </w:rPr>
        <w:t xml:space="preserve"> </w:t>
      </w:r>
      <w:r w:rsidRPr="000F4043">
        <w:rPr>
          <w:rFonts w:cstheme="minorHAnsi"/>
          <w:sz w:val="24"/>
          <w:szCs w:val="24"/>
        </w:rPr>
        <w:t>Převody FKSP:</w:t>
      </w:r>
    </w:p>
    <w:p w:rsidR="0043286D" w:rsidRPr="00241BE7" w:rsidRDefault="000F4043" w:rsidP="0043286D">
      <w:pPr>
        <w:spacing w:after="120"/>
        <w:jc w:val="both"/>
        <w:rPr>
          <w:rFonts w:cstheme="minorHAnsi"/>
          <w:sz w:val="24"/>
          <w:szCs w:val="24"/>
        </w:rPr>
      </w:pPr>
      <w:r w:rsidRPr="000F4043">
        <w:rPr>
          <w:rFonts w:cstheme="minorHAnsi"/>
          <w:sz w:val="24"/>
          <w:szCs w:val="24"/>
        </w:rPr>
        <w:t xml:space="preserve">Rozpočtové opatření na základě pokynu KS v Plzni ze dne 11. 4. 2022 Spr 942/2022 – navýšení </w:t>
      </w:r>
      <w:r w:rsidRPr="00241BE7">
        <w:rPr>
          <w:rFonts w:cstheme="minorHAnsi"/>
          <w:sz w:val="24"/>
          <w:szCs w:val="24"/>
        </w:rPr>
        <w:t xml:space="preserve">položky 5342 </w:t>
      </w:r>
      <w:r w:rsidR="0003240A" w:rsidRPr="00241BE7">
        <w:rPr>
          <w:rFonts w:cstheme="minorHAnsi"/>
          <w:sz w:val="24"/>
          <w:szCs w:val="24"/>
        </w:rPr>
        <w:t xml:space="preserve"> Základní příděl FKSP o </w:t>
      </w:r>
      <w:r w:rsidRPr="00241BE7">
        <w:rPr>
          <w:rFonts w:cstheme="minorHAnsi"/>
          <w:sz w:val="24"/>
          <w:szCs w:val="24"/>
        </w:rPr>
        <w:t>25.920,</w:t>
      </w:r>
      <w:r w:rsidR="0003240A" w:rsidRPr="00241BE7">
        <w:rPr>
          <w:rFonts w:cstheme="minorHAnsi"/>
          <w:sz w:val="24"/>
          <w:szCs w:val="24"/>
        </w:rPr>
        <w:t>00 Kč.</w:t>
      </w:r>
    </w:p>
    <w:p w:rsidR="0003240A" w:rsidRPr="00C9684A" w:rsidRDefault="00241BE7" w:rsidP="0043286D">
      <w:pPr>
        <w:spacing w:after="120"/>
        <w:jc w:val="both"/>
        <w:rPr>
          <w:rFonts w:cstheme="minorHAnsi"/>
          <w:color w:val="FF0000"/>
          <w:sz w:val="24"/>
          <w:szCs w:val="24"/>
        </w:rPr>
      </w:pPr>
      <w:r w:rsidRPr="00241BE7">
        <w:rPr>
          <w:rFonts w:cstheme="minorHAnsi"/>
          <w:sz w:val="24"/>
          <w:szCs w:val="24"/>
        </w:rPr>
        <w:t xml:space="preserve">Rozpočtové opatření na základě pokynu KS v Plzni ze dne 22. 11. 2022 Spr 2009/2022 – snížení položky 5342 </w:t>
      </w:r>
      <w:r w:rsidR="0003240A" w:rsidRPr="00241BE7">
        <w:rPr>
          <w:rFonts w:cstheme="minorHAnsi"/>
          <w:sz w:val="24"/>
          <w:szCs w:val="24"/>
        </w:rPr>
        <w:t xml:space="preserve">Základní příděl FKSP o </w:t>
      </w:r>
      <w:r w:rsidRPr="00241BE7">
        <w:rPr>
          <w:rFonts w:cstheme="minorHAnsi"/>
          <w:sz w:val="24"/>
          <w:szCs w:val="24"/>
        </w:rPr>
        <w:t>63.500</w:t>
      </w:r>
      <w:r w:rsidR="0003240A" w:rsidRPr="00241BE7">
        <w:rPr>
          <w:rFonts w:cstheme="minorHAnsi"/>
          <w:sz w:val="24"/>
          <w:szCs w:val="24"/>
        </w:rPr>
        <w:t>,00 Kč.</w:t>
      </w:r>
      <w:r>
        <w:rPr>
          <w:rFonts w:cstheme="minorHAnsi"/>
          <w:color w:val="FF0000"/>
          <w:sz w:val="24"/>
          <w:szCs w:val="24"/>
        </w:rPr>
        <w:t xml:space="preserve"> </w:t>
      </w:r>
    </w:p>
    <w:p w:rsidR="0003240A" w:rsidRPr="00D47D5E" w:rsidRDefault="00D47D5E" w:rsidP="0003240A">
      <w:pPr>
        <w:spacing w:after="120"/>
        <w:jc w:val="both"/>
        <w:rPr>
          <w:rFonts w:cstheme="minorHAnsi"/>
          <w:sz w:val="24"/>
          <w:szCs w:val="24"/>
        </w:rPr>
      </w:pPr>
      <w:r w:rsidRPr="00D47D5E">
        <w:rPr>
          <w:rFonts w:cstheme="minorHAnsi"/>
          <w:sz w:val="24"/>
          <w:szCs w:val="24"/>
        </w:rPr>
        <w:t xml:space="preserve">Rozpočtové opatření na základě pokynu KS v Plzni z 14. 12. 2022 Spr 3100/2022 – navýšení  položky 5342 </w:t>
      </w:r>
      <w:r w:rsidR="0003240A" w:rsidRPr="00D47D5E">
        <w:rPr>
          <w:rFonts w:cstheme="minorHAnsi"/>
          <w:sz w:val="24"/>
          <w:szCs w:val="24"/>
        </w:rPr>
        <w:t>Základní příděl FKSP</w:t>
      </w:r>
      <w:r>
        <w:rPr>
          <w:rFonts w:cstheme="minorHAnsi"/>
          <w:sz w:val="24"/>
          <w:szCs w:val="24"/>
        </w:rPr>
        <w:t xml:space="preserve"> o</w:t>
      </w:r>
      <w:r w:rsidR="0003240A" w:rsidRPr="00D47D5E">
        <w:rPr>
          <w:rFonts w:cstheme="minorHAnsi"/>
          <w:sz w:val="24"/>
          <w:szCs w:val="24"/>
        </w:rPr>
        <w:t xml:space="preserve"> </w:t>
      </w:r>
      <w:r w:rsidRPr="00D47D5E">
        <w:rPr>
          <w:rFonts w:cstheme="minorHAnsi"/>
          <w:sz w:val="24"/>
          <w:szCs w:val="24"/>
        </w:rPr>
        <w:t>20.386,00 Kč (z toho</w:t>
      </w:r>
      <w:r>
        <w:rPr>
          <w:rFonts w:cstheme="minorHAnsi"/>
          <w:sz w:val="24"/>
          <w:szCs w:val="24"/>
        </w:rPr>
        <w:t xml:space="preserve"> </w:t>
      </w:r>
      <w:r w:rsidRPr="00D47D5E">
        <w:rPr>
          <w:rFonts w:cstheme="minorHAnsi"/>
          <w:sz w:val="24"/>
          <w:szCs w:val="24"/>
        </w:rPr>
        <w:t>14.467,00 s kódem účelu 223980032).</w:t>
      </w:r>
    </w:p>
    <w:p w:rsidR="0003240A" w:rsidRDefault="0003240A" w:rsidP="0003240A">
      <w:pPr>
        <w:spacing w:after="120"/>
        <w:jc w:val="both"/>
        <w:rPr>
          <w:rFonts w:cstheme="minorHAnsi"/>
          <w:color w:val="FF0000"/>
          <w:sz w:val="24"/>
          <w:szCs w:val="24"/>
        </w:rPr>
      </w:pPr>
    </w:p>
    <w:p w:rsidR="00D47D5E" w:rsidRDefault="00D47D5E" w:rsidP="0003240A">
      <w:pPr>
        <w:spacing w:after="120"/>
        <w:jc w:val="both"/>
        <w:rPr>
          <w:rFonts w:cstheme="minorHAnsi"/>
          <w:color w:val="FF0000"/>
          <w:sz w:val="24"/>
          <w:szCs w:val="24"/>
        </w:rPr>
      </w:pPr>
    </w:p>
    <w:p w:rsidR="0003240A" w:rsidRPr="00DA12B3" w:rsidRDefault="0003240A" w:rsidP="0003240A">
      <w:pPr>
        <w:spacing w:after="120"/>
        <w:jc w:val="both"/>
        <w:rPr>
          <w:rFonts w:cstheme="minorHAnsi"/>
          <w:sz w:val="24"/>
          <w:szCs w:val="24"/>
        </w:rPr>
      </w:pPr>
      <w:r w:rsidRPr="00DA12B3">
        <w:rPr>
          <w:rFonts w:cstheme="minorHAnsi"/>
          <w:sz w:val="24"/>
          <w:szCs w:val="24"/>
        </w:rPr>
        <w:t>4.</w:t>
      </w:r>
      <w:r w:rsidR="006C0DA1">
        <w:rPr>
          <w:rFonts w:cstheme="minorHAnsi"/>
          <w:sz w:val="24"/>
          <w:szCs w:val="24"/>
        </w:rPr>
        <w:t xml:space="preserve"> </w:t>
      </w:r>
      <w:r w:rsidRPr="00DA12B3">
        <w:rPr>
          <w:rFonts w:cstheme="minorHAnsi"/>
          <w:sz w:val="24"/>
          <w:szCs w:val="24"/>
        </w:rPr>
        <w:t>Ostatní věcné výdaje</w:t>
      </w:r>
    </w:p>
    <w:p w:rsidR="008607BA" w:rsidRPr="00DA12B3" w:rsidRDefault="008607BA" w:rsidP="0003240A">
      <w:pPr>
        <w:spacing w:after="120"/>
        <w:jc w:val="both"/>
        <w:rPr>
          <w:rFonts w:cstheme="minorHAnsi"/>
          <w:sz w:val="24"/>
          <w:szCs w:val="24"/>
        </w:rPr>
      </w:pPr>
      <w:r w:rsidRPr="00DA12B3">
        <w:rPr>
          <w:rFonts w:cstheme="minorHAnsi"/>
          <w:sz w:val="24"/>
          <w:szCs w:val="24"/>
        </w:rPr>
        <w:t>Rozpočtové opatření na základě pokynu KS v Plzni z</w:t>
      </w:r>
      <w:r w:rsidR="00DA12B3" w:rsidRPr="00DA12B3">
        <w:rPr>
          <w:rFonts w:cstheme="minorHAnsi"/>
          <w:sz w:val="24"/>
          <w:szCs w:val="24"/>
        </w:rPr>
        <w:t xml:space="preserve">  29</w:t>
      </w:r>
      <w:r w:rsidRPr="00DA12B3">
        <w:rPr>
          <w:rFonts w:cstheme="minorHAnsi"/>
          <w:sz w:val="24"/>
          <w:szCs w:val="24"/>
        </w:rPr>
        <w:t>.</w:t>
      </w:r>
      <w:r w:rsidR="001C70CF" w:rsidRPr="00DA12B3">
        <w:rPr>
          <w:rFonts w:cstheme="minorHAnsi"/>
          <w:sz w:val="24"/>
          <w:szCs w:val="24"/>
        </w:rPr>
        <w:t xml:space="preserve"> </w:t>
      </w:r>
      <w:r w:rsidR="00DA12B3" w:rsidRPr="00DA12B3">
        <w:rPr>
          <w:rFonts w:cstheme="minorHAnsi"/>
          <w:sz w:val="24"/>
          <w:szCs w:val="24"/>
        </w:rPr>
        <w:t>3</w:t>
      </w:r>
      <w:r w:rsidRPr="00DA12B3">
        <w:rPr>
          <w:rFonts w:cstheme="minorHAnsi"/>
          <w:sz w:val="24"/>
          <w:szCs w:val="24"/>
        </w:rPr>
        <w:t>.</w:t>
      </w:r>
      <w:r w:rsidR="001C70CF" w:rsidRPr="00DA12B3">
        <w:rPr>
          <w:rFonts w:cstheme="minorHAnsi"/>
          <w:sz w:val="24"/>
          <w:szCs w:val="24"/>
        </w:rPr>
        <w:t xml:space="preserve"> </w:t>
      </w:r>
      <w:r w:rsidR="00DA12B3" w:rsidRPr="00DA12B3">
        <w:rPr>
          <w:rFonts w:cstheme="minorHAnsi"/>
          <w:sz w:val="24"/>
          <w:szCs w:val="24"/>
        </w:rPr>
        <w:t>2022 Spr 892/2022</w:t>
      </w:r>
      <w:r w:rsidR="00DA12B3">
        <w:rPr>
          <w:rFonts w:cstheme="minorHAnsi"/>
          <w:sz w:val="24"/>
          <w:szCs w:val="24"/>
        </w:rPr>
        <w:t xml:space="preserve"> – sní</w:t>
      </w:r>
      <w:r w:rsidR="00DA12B3" w:rsidRPr="00DA12B3">
        <w:rPr>
          <w:rFonts w:cstheme="minorHAnsi"/>
          <w:sz w:val="24"/>
          <w:szCs w:val="24"/>
        </w:rPr>
        <w:t>žení položek OVV s </w:t>
      </w:r>
      <w:r w:rsidRPr="00DA12B3">
        <w:rPr>
          <w:rFonts w:cstheme="minorHAnsi"/>
          <w:sz w:val="24"/>
          <w:szCs w:val="24"/>
        </w:rPr>
        <w:t>parametr</w:t>
      </w:r>
      <w:r w:rsidR="00DA12B3" w:rsidRPr="00DA12B3">
        <w:rPr>
          <w:rFonts w:cstheme="minorHAnsi"/>
          <w:sz w:val="24"/>
          <w:szCs w:val="24"/>
        </w:rPr>
        <w:t xml:space="preserve">em OBKŘ </w:t>
      </w:r>
      <w:r w:rsidRPr="00DA12B3">
        <w:rPr>
          <w:rFonts w:cstheme="minorHAnsi"/>
          <w:sz w:val="24"/>
          <w:szCs w:val="24"/>
        </w:rPr>
        <w:t xml:space="preserve"> o </w:t>
      </w:r>
      <w:r w:rsidR="00DA12B3" w:rsidRPr="00DA12B3">
        <w:rPr>
          <w:rFonts w:cstheme="minorHAnsi"/>
          <w:sz w:val="24"/>
          <w:szCs w:val="24"/>
        </w:rPr>
        <w:t>130.000</w:t>
      </w:r>
      <w:r w:rsidRPr="00DA12B3">
        <w:rPr>
          <w:rFonts w:cstheme="minorHAnsi"/>
          <w:sz w:val="24"/>
          <w:szCs w:val="24"/>
        </w:rPr>
        <w:t>,00 Kč.</w:t>
      </w:r>
    </w:p>
    <w:p w:rsidR="008607BA" w:rsidRPr="00DA12B3" w:rsidRDefault="008607BA" w:rsidP="008607BA">
      <w:pPr>
        <w:spacing w:after="120"/>
        <w:jc w:val="both"/>
        <w:rPr>
          <w:rFonts w:cstheme="minorHAnsi"/>
          <w:sz w:val="24"/>
          <w:szCs w:val="24"/>
        </w:rPr>
      </w:pPr>
      <w:r w:rsidRPr="00DA12B3">
        <w:rPr>
          <w:rFonts w:cstheme="minorHAnsi"/>
          <w:sz w:val="24"/>
          <w:szCs w:val="24"/>
        </w:rPr>
        <w:lastRenderedPageBreak/>
        <w:t>Rozpočtové opatření</w:t>
      </w:r>
      <w:r w:rsidR="00DA12B3" w:rsidRPr="00DA12B3">
        <w:rPr>
          <w:rFonts w:cstheme="minorHAnsi"/>
          <w:sz w:val="24"/>
          <w:szCs w:val="24"/>
        </w:rPr>
        <w:t xml:space="preserve"> na základě pokynu KS v Plzni z  22</w:t>
      </w:r>
      <w:r w:rsidRPr="00DA12B3">
        <w:rPr>
          <w:rFonts w:cstheme="minorHAnsi"/>
          <w:sz w:val="24"/>
          <w:szCs w:val="24"/>
        </w:rPr>
        <w:t>.</w:t>
      </w:r>
      <w:r w:rsidR="001C70CF" w:rsidRPr="00DA12B3">
        <w:rPr>
          <w:rFonts w:cstheme="minorHAnsi"/>
          <w:sz w:val="24"/>
          <w:szCs w:val="24"/>
        </w:rPr>
        <w:t xml:space="preserve"> </w:t>
      </w:r>
      <w:r w:rsidR="00DA12B3" w:rsidRPr="00DA12B3">
        <w:rPr>
          <w:rFonts w:cstheme="minorHAnsi"/>
          <w:sz w:val="24"/>
          <w:szCs w:val="24"/>
        </w:rPr>
        <w:t>7</w:t>
      </w:r>
      <w:r w:rsidRPr="00DA12B3">
        <w:rPr>
          <w:rFonts w:cstheme="minorHAnsi"/>
          <w:sz w:val="24"/>
          <w:szCs w:val="24"/>
        </w:rPr>
        <w:t>.</w:t>
      </w:r>
      <w:r w:rsidR="001C70CF" w:rsidRPr="00DA12B3">
        <w:rPr>
          <w:rFonts w:cstheme="minorHAnsi"/>
          <w:sz w:val="24"/>
          <w:szCs w:val="24"/>
        </w:rPr>
        <w:t xml:space="preserve"> </w:t>
      </w:r>
      <w:r w:rsidR="00DA12B3" w:rsidRPr="00DA12B3">
        <w:rPr>
          <w:rFonts w:cstheme="minorHAnsi"/>
          <w:sz w:val="24"/>
          <w:szCs w:val="24"/>
        </w:rPr>
        <w:t>2022 Spr 1837</w:t>
      </w:r>
      <w:r w:rsidRPr="00DA12B3">
        <w:rPr>
          <w:rFonts w:cstheme="minorHAnsi"/>
          <w:sz w:val="24"/>
          <w:szCs w:val="24"/>
        </w:rPr>
        <w:t>/202</w:t>
      </w:r>
      <w:r w:rsidR="00DA12B3" w:rsidRPr="00DA12B3">
        <w:rPr>
          <w:rFonts w:cstheme="minorHAnsi"/>
          <w:sz w:val="24"/>
          <w:szCs w:val="24"/>
        </w:rPr>
        <w:t xml:space="preserve">2 – navýšení </w:t>
      </w:r>
      <w:r w:rsidRPr="00DA12B3">
        <w:rPr>
          <w:rFonts w:cstheme="minorHAnsi"/>
          <w:sz w:val="24"/>
          <w:szCs w:val="24"/>
        </w:rPr>
        <w:t xml:space="preserve">položek </w:t>
      </w:r>
      <w:r w:rsidR="00DA12B3" w:rsidRPr="00DA12B3">
        <w:rPr>
          <w:rFonts w:cstheme="minorHAnsi"/>
          <w:sz w:val="24"/>
          <w:szCs w:val="24"/>
        </w:rPr>
        <w:t xml:space="preserve">OVV bez parametru </w:t>
      </w:r>
      <w:r w:rsidRPr="00DA12B3">
        <w:rPr>
          <w:rFonts w:cstheme="minorHAnsi"/>
          <w:sz w:val="24"/>
          <w:szCs w:val="24"/>
        </w:rPr>
        <w:t xml:space="preserve"> o </w:t>
      </w:r>
      <w:r w:rsidR="00DA12B3" w:rsidRPr="00DA12B3">
        <w:rPr>
          <w:rFonts w:cstheme="minorHAnsi"/>
          <w:sz w:val="24"/>
          <w:szCs w:val="24"/>
        </w:rPr>
        <w:t>1.000.0</w:t>
      </w:r>
      <w:r w:rsidRPr="00DA12B3">
        <w:rPr>
          <w:rFonts w:cstheme="minorHAnsi"/>
          <w:sz w:val="24"/>
          <w:szCs w:val="24"/>
        </w:rPr>
        <w:t>00,00 Kč.</w:t>
      </w:r>
    </w:p>
    <w:p w:rsidR="00DA12B3" w:rsidRPr="00DA12B3" w:rsidRDefault="00DA12B3" w:rsidP="00DA12B3">
      <w:pPr>
        <w:spacing w:after="120"/>
        <w:jc w:val="both"/>
        <w:rPr>
          <w:rFonts w:cstheme="minorHAnsi"/>
          <w:sz w:val="24"/>
          <w:szCs w:val="24"/>
        </w:rPr>
      </w:pPr>
      <w:r w:rsidRPr="00DA12B3">
        <w:rPr>
          <w:rFonts w:cstheme="minorHAnsi"/>
          <w:sz w:val="24"/>
          <w:szCs w:val="24"/>
        </w:rPr>
        <w:t>Rozpočtové opatření na základě pokynu KS v Plzni z  2</w:t>
      </w:r>
      <w:r>
        <w:rPr>
          <w:rFonts w:cstheme="minorHAnsi"/>
          <w:sz w:val="24"/>
          <w:szCs w:val="24"/>
        </w:rPr>
        <w:t>5</w:t>
      </w:r>
      <w:r w:rsidRPr="00DA12B3">
        <w:rPr>
          <w:rFonts w:cstheme="minorHAnsi"/>
          <w:sz w:val="24"/>
          <w:szCs w:val="24"/>
        </w:rPr>
        <w:t xml:space="preserve">. </w:t>
      </w:r>
      <w:r>
        <w:rPr>
          <w:rFonts w:cstheme="minorHAnsi"/>
          <w:sz w:val="24"/>
          <w:szCs w:val="24"/>
        </w:rPr>
        <w:t>8</w:t>
      </w:r>
      <w:r w:rsidRPr="00DA12B3">
        <w:rPr>
          <w:rFonts w:cstheme="minorHAnsi"/>
          <w:sz w:val="24"/>
          <w:szCs w:val="24"/>
        </w:rPr>
        <w:t>. 2022 Spr</w:t>
      </w:r>
      <w:r>
        <w:rPr>
          <w:rFonts w:cstheme="minorHAnsi"/>
          <w:sz w:val="24"/>
          <w:szCs w:val="24"/>
        </w:rPr>
        <w:t xml:space="preserve"> 2012</w:t>
      </w:r>
      <w:r w:rsidRPr="00DA12B3">
        <w:rPr>
          <w:rFonts w:cstheme="minorHAnsi"/>
          <w:sz w:val="24"/>
          <w:szCs w:val="24"/>
        </w:rPr>
        <w:t xml:space="preserve">/2022 – navýšení položek OVV bez parametru  o </w:t>
      </w:r>
      <w:r>
        <w:rPr>
          <w:rFonts w:cstheme="minorHAnsi"/>
          <w:sz w:val="24"/>
          <w:szCs w:val="24"/>
        </w:rPr>
        <w:t>3</w:t>
      </w:r>
      <w:r w:rsidRPr="00DA12B3">
        <w:rPr>
          <w:rFonts w:cstheme="minorHAnsi"/>
          <w:sz w:val="24"/>
          <w:szCs w:val="24"/>
        </w:rPr>
        <w:t>.000.000,00 Kč.</w:t>
      </w:r>
    </w:p>
    <w:p w:rsidR="00DA12B3" w:rsidRDefault="00DA12B3" w:rsidP="00DA12B3">
      <w:pPr>
        <w:spacing w:after="120"/>
        <w:jc w:val="both"/>
        <w:rPr>
          <w:rFonts w:cstheme="minorHAnsi"/>
          <w:sz w:val="24"/>
          <w:szCs w:val="24"/>
        </w:rPr>
      </w:pPr>
      <w:r w:rsidRPr="00DA12B3">
        <w:rPr>
          <w:rFonts w:cstheme="minorHAnsi"/>
          <w:sz w:val="24"/>
          <w:szCs w:val="24"/>
        </w:rPr>
        <w:t xml:space="preserve">Rozpočtové opatření na základě pokynu KS v Plzni z </w:t>
      </w:r>
      <w:r>
        <w:rPr>
          <w:rFonts w:cstheme="minorHAnsi"/>
          <w:sz w:val="24"/>
          <w:szCs w:val="24"/>
        </w:rPr>
        <w:t xml:space="preserve"> 14</w:t>
      </w:r>
      <w:r w:rsidRPr="00DA12B3">
        <w:rPr>
          <w:rFonts w:cstheme="minorHAnsi"/>
          <w:sz w:val="24"/>
          <w:szCs w:val="24"/>
        </w:rPr>
        <w:t xml:space="preserve">. </w:t>
      </w:r>
      <w:r>
        <w:rPr>
          <w:rFonts w:cstheme="minorHAnsi"/>
          <w:sz w:val="24"/>
          <w:szCs w:val="24"/>
        </w:rPr>
        <w:t>10</w:t>
      </w:r>
      <w:r w:rsidRPr="00DA12B3">
        <w:rPr>
          <w:rFonts w:cstheme="minorHAnsi"/>
          <w:sz w:val="24"/>
          <w:szCs w:val="24"/>
        </w:rPr>
        <w:t>. 2022 Spr</w:t>
      </w:r>
      <w:r>
        <w:rPr>
          <w:rFonts w:cstheme="minorHAnsi"/>
          <w:sz w:val="24"/>
          <w:szCs w:val="24"/>
        </w:rPr>
        <w:t xml:space="preserve"> 2506</w:t>
      </w:r>
      <w:r w:rsidRPr="00DA12B3">
        <w:rPr>
          <w:rFonts w:cstheme="minorHAnsi"/>
          <w:sz w:val="24"/>
          <w:szCs w:val="24"/>
        </w:rPr>
        <w:t xml:space="preserve">/2022 – navýšení položek OVV bez parametru  o </w:t>
      </w:r>
      <w:r>
        <w:rPr>
          <w:rFonts w:cstheme="minorHAnsi"/>
          <w:sz w:val="24"/>
          <w:szCs w:val="24"/>
        </w:rPr>
        <w:t>4</w:t>
      </w:r>
      <w:r w:rsidRPr="00DA12B3">
        <w:rPr>
          <w:rFonts w:cstheme="minorHAnsi"/>
          <w:sz w:val="24"/>
          <w:szCs w:val="24"/>
        </w:rPr>
        <w:t>.000.000,00 Kč.</w:t>
      </w:r>
    </w:p>
    <w:p w:rsidR="00DA12B3" w:rsidRPr="00DA12B3" w:rsidRDefault="00DA12B3" w:rsidP="00DA12B3">
      <w:pPr>
        <w:spacing w:after="120"/>
        <w:jc w:val="both"/>
        <w:rPr>
          <w:rFonts w:cstheme="minorHAnsi"/>
          <w:sz w:val="24"/>
          <w:szCs w:val="24"/>
        </w:rPr>
      </w:pPr>
      <w:r w:rsidRPr="00DA12B3">
        <w:rPr>
          <w:rFonts w:cstheme="minorHAnsi"/>
          <w:sz w:val="24"/>
          <w:szCs w:val="24"/>
        </w:rPr>
        <w:t xml:space="preserve">Rozpočtové opatření na základě pokynu KS v Plzni z </w:t>
      </w:r>
      <w:r>
        <w:rPr>
          <w:rFonts w:cstheme="minorHAnsi"/>
          <w:sz w:val="24"/>
          <w:szCs w:val="24"/>
        </w:rPr>
        <w:t xml:space="preserve"> 11</w:t>
      </w:r>
      <w:r w:rsidRPr="00DA12B3">
        <w:rPr>
          <w:rFonts w:cstheme="minorHAnsi"/>
          <w:sz w:val="24"/>
          <w:szCs w:val="24"/>
        </w:rPr>
        <w:t xml:space="preserve">. </w:t>
      </w:r>
      <w:r>
        <w:rPr>
          <w:rFonts w:cstheme="minorHAnsi"/>
          <w:sz w:val="24"/>
          <w:szCs w:val="24"/>
        </w:rPr>
        <w:t xml:space="preserve"> 11</w:t>
      </w:r>
      <w:r w:rsidRPr="00DA12B3">
        <w:rPr>
          <w:rFonts w:cstheme="minorHAnsi"/>
          <w:sz w:val="24"/>
          <w:szCs w:val="24"/>
        </w:rPr>
        <w:t>. 2022 Spr 892/2022</w:t>
      </w:r>
      <w:r>
        <w:rPr>
          <w:rFonts w:cstheme="minorHAnsi"/>
          <w:sz w:val="24"/>
          <w:szCs w:val="24"/>
        </w:rPr>
        <w:t xml:space="preserve"> – navýšen</w:t>
      </w:r>
      <w:r w:rsidRPr="00DA12B3">
        <w:rPr>
          <w:rFonts w:cstheme="minorHAnsi"/>
          <w:sz w:val="24"/>
          <w:szCs w:val="24"/>
        </w:rPr>
        <w:t>í položek OVV s parametrem OBKŘ  o 1</w:t>
      </w:r>
      <w:r>
        <w:rPr>
          <w:rFonts w:cstheme="minorHAnsi"/>
          <w:sz w:val="24"/>
          <w:szCs w:val="24"/>
        </w:rPr>
        <w:t>2</w:t>
      </w:r>
      <w:r w:rsidRPr="00DA12B3">
        <w:rPr>
          <w:rFonts w:cstheme="minorHAnsi"/>
          <w:sz w:val="24"/>
          <w:szCs w:val="24"/>
        </w:rPr>
        <w:t>0.000,00 Kč.</w:t>
      </w:r>
    </w:p>
    <w:p w:rsidR="00DA12B3" w:rsidRDefault="00DA12B3" w:rsidP="00DA12B3">
      <w:pPr>
        <w:spacing w:after="120"/>
        <w:jc w:val="both"/>
        <w:rPr>
          <w:rFonts w:cstheme="minorHAnsi"/>
          <w:sz w:val="24"/>
          <w:szCs w:val="24"/>
        </w:rPr>
      </w:pPr>
      <w:r w:rsidRPr="00DA12B3">
        <w:rPr>
          <w:rFonts w:cstheme="minorHAnsi"/>
          <w:sz w:val="24"/>
          <w:szCs w:val="24"/>
        </w:rPr>
        <w:t xml:space="preserve">Rozpočtové opatření na základě pokynu KS v Plzni z </w:t>
      </w:r>
      <w:r>
        <w:rPr>
          <w:rFonts w:cstheme="minorHAnsi"/>
          <w:sz w:val="24"/>
          <w:szCs w:val="24"/>
        </w:rPr>
        <w:t xml:space="preserve"> 28</w:t>
      </w:r>
      <w:r w:rsidRPr="00DA12B3">
        <w:rPr>
          <w:rFonts w:cstheme="minorHAnsi"/>
          <w:sz w:val="24"/>
          <w:szCs w:val="24"/>
        </w:rPr>
        <w:t xml:space="preserve">. </w:t>
      </w:r>
      <w:r>
        <w:rPr>
          <w:rFonts w:cstheme="minorHAnsi"/>
          <w:sz w:val="24"/>
          <w:szCs w:val="24"/>
        </w:rPr>
        <w:t>11</w:t>
      </w:r>
      <w:r w:rsidRPr="00DA12B3">
        <w:rPr>
          <w:rFonts w:cstheme="minorHAnsi"/>
          <w:sz w:val="24"/>
          <w:szCs w:val="24"/>
        </w:rPr>
        <w:t>. 2022 Spr</w:t>
      </w:r>
      <w:r>
        <w:rPr>
          <w:rFonts w:cstheme="minorHAnsi"/>
          <w:sz w:val="24"/>
          <w:szCs w:val="24"/>
        </w:rPr>
        <w:t xml:space="preserve"> 2755</w:t>
      </w:r>
      <w:r w:rsidRPr="00DA12B3">
        <w:rPr>
          <w:rFonts w:cstheme="minorHAnsi"/>
          <w:sz w:val="24"/>
          <w:szCs w:val="24"/>
        </w:rPr>
        <w:t>/2022</w:t>
      </w:r>
      <w:r w:rsidR="00415313">
        <w:rPr>
          <w:rFonts w:cstheme="minorHAnsi"/>
          <w:sz w:val="24"/>
          <w:szCs w:val="24"/>
        </w:rPr>
        <w:t xml:space="preserve"> – sníž</w:t>
      </w:r>
      <w:r w:rsidRPr="00DA12B3">
        <w:rPr>
          <w:rFonts w:cstheme="minorHAnsi"/>
          <w:sz w:val="24"/>
          <w:szCs w:val="24"/>
        </w:rPr>
        <w:t xml:space="preserve">ení položek OVV bez parametru  o </w:t>
      </w:r>
      <w:r w:rsidR="00415313">
        <w:rPr>
          <w:rFonts w:cstheme="minorHAnsi"/>
          <w:sz w:val="24"/>
          <w:szCs w:val="24"/>
        </w:rPr>
        <w:t>6</w:t>
      </w:r>
      <w:r w:rsidRPr="00DA12B3">
        <w:rPr>
          <w:rFonts w:cstheme="minorHAnsi"/>
          <w:sz w:val="24"/>
          <w:szCs w:val="24"/>
        </w:rPr>
        <w:t>00.000,00 Kč.</w:t>
      </w:r>
    </w:p>
    <w:p w:rsidR="00415313" w:rsidRDefault="00415313" w:rsidP="00415313">
      <w:pPr>
        <w:spacing w:after="120"/>
        <w:jc w:val="both"/>
        <w:rPr>
          <w:rFonts w:cstheme="minorHAnsi"/>
          <w:sz w:val="24"/>
          <w:szCs w:val="24"/>
        </w:rPr>
      </w:pPr>
      <w:r w:rsidRPr="00DA12B3">
        <w:rPr>
          <w:rFonts w:cstheme="minorHAnsi"/>
          <w:sz w:val="24"/>
          <w:szCs w:val="24"/>
        </w:rPr>
        <w:t xml:space="preserve">Rozpočtové opatření na základě pokynu KS v Plzni z </w:t>
      </w:r>
      <w:r>
        <w:rPr>
          <w:rFonts w:cstheme="minorHAnsi"/>
          <w:sz w:val="24"/>
          <w:szCs w:val="24"/>
        </w:rPr>
        <w:t xml:space="preserve"> 6</w:t>
      </w:r>
      <w:r w:rsidRPr="00DA12B3">
        <w:rPr>
          <w:rFonts w:cstheme="minorHAnsi"/>
          <w:sz w:val="24"/>
          <w:szCs w:val="24"/>
        </w:rPr>
        <w:t xml:space="preserve">. </w:t>
      </w:r>
      <w:r>
        <w:rPr>
          <w:rFonts w:cstheme="minorHAnsi"/>
          <w:sz w:val="24"/>
          <w:szCs w:val="24"/>
        </w:rPr>
        <w:t>12</w:t>
      </w:r>
      <w:r w:rsidRPr="00DA12B3">
        <w:rPr>
          <w:rFonts w:cstheme="minorHAnsi"/>
          <w:sz w:val="24"/>
          <w:szCs w:val="24"/>
        </w:rPr>
        <w:t>. 2022 Spr</w:t>
      </w:r>
      <w:r>
        <w:rPr>
          <w:rFonts w:cstheme="minorHAnsi"/>
          <w:sz w:val="24"/>
          <w:szCs w:val="24"/>
        </w:rPr>
        <w:t xml:space="preserve"> 3011</w:t>
      </w:r>
      <w:r w:rsidRPr="00DA12B3">
        <w:rPr>
          <w:rFonts w:cstheme="minorHAnsi"/>
          <w:sz w:val="24"/>
          <w:szCs w:val="24"/>
        </w:rPr>
        <w:t xml:space="preserve">/2022 – navýšení položek OVV bez parametru  o </w:t>
      </w:r>
      <w:r>
        <w:rPr>
          <w:rFonts w:cstheme="minorHAnsi"/>
          <w:sz w:val="24"/>
          <w:szCs w:val="24"/>
        </w:rPr>
        <w:t>4.46</w:t>
      </w:r>
      <w:r w:rsidRPr="00DA12B3">
        <w:rPr>
          <w:rFonts w:cstheme="minorHAnsi"/>
          <w:sz w:val="24"/>
          <w:szCs w:val="24"/>
        </w:rPr>
        <w:t>0.0</w:t>
      </w:r>
      <w:r>
        <w:rPr>
          <w:rFonts w:cstheme="minorHAnsi"/>
          <w:sz w:val="24"/>
          <w:szCs w:val="24"/>
        </w:rPr>
        <w:t>00,00 Kč (kód účelu 223980049).</w:t>
      </w:r>
    </w:p>
    <w:p w:rsidR="00DA12B3" w:rsidRPr="00DA12B3" w:rsidRDefault="00DA12B3" w:rsidP="00DA12B3">
      <w:pPr>
        <w:spacing w:after="120"/>
        <w:jc w:val="both"/>
        <w:rPr>
          <w:rFonts w:cstheme="minorHAnsi"/>
          <w:sz w:val="24"/>
          <w:szCs w:val="24"/>
        </w:rPr>
      </w:pPr>
    </w:p>
    <w:p w:rsidR="00DA12B3" w:rsidRPr="00C9684A" w:rsidRDefault="00DA12B3" w:rsidP="008607BA">
      <w:pPr>
        <w:spacing w:after="120"/>
        <w:jc w:val="both"/>
        <w:rPr>
          <w:rFonts w:cstheme="minorHAnsi"/>
          <w:color w:val="FF0000"/>
          <w:sz w:val="24"/>
          <w:szCs w:val="24"/>
        </w:rPr>
      </w:pPr>
    </w:p>
    <w:p w:rsidR="002E2170" w:rsidRDefault="002E2234" w:rsidP="0003240A">
      <w:pPr>
        <w:pStyle w:val="Odstavecseseznamem"/>
        <w:spacing w:after="120"/>
        <w:ind w:left="0"/>
        <w:jc w:val="both"/>
        <w:rPr>
          <w:rFonts w:cstheme="minorHAnsi"/>
          <w:sz w:val="24"/>
          <w:szCs w:val="24"/>
        </w:rPr>
      </w:pPr>
      <w:r w:rsidRPr="00415313">
        <w:rPr>
          <w:rFonts w:cstheme="minorHAnsi"/>
          <w:sz w:val="24"/>
          <w:szCs w:val="24"/>
        </w:rPr>
        <w:t>5. Kapitálové</w:t>
      </w:r>
      <w:r w:rsidR="008607BA" w:rsidRPr="00415313">
        <w:rPr>
          <w:rFonts w:cstheme="minorHAnsi"/>
          <w:sz w:val="24"/>
          <w:szCs w:val="24"/>
        </w:rPr>
        <w:t xml:space="preserve"> výdaje</w:t>
      </w:r>
    </w:p>
    <w:p w:rsidR="00C44F06" w:rsidRPr="00415313" w:rsidRDefault="00C44F06" w:rsidP="0003240A">
      <w:pPr>
        <w:pStyle w:val="Odstavecseseznamem"/>
        <w:spacing w:after="120"/>
        <w:ind w:left="0"/>
        <w:jc w:val="both"/>
        <w:rPr>
          <w:rFonts w:cstheme="minorHAnsi"/>
          <w:sz w:val="24"/>
          <w:szCs w:val="24"/>
        </w:rPr>
      </w:pPr>
    </w:p>
    <w:p w:rsidR="008607BA" w:rsidRDefault="008607BA" w:rsidP="0003240A">
      <w:pPr>
        <w:pStyle w:val="Odstavecseseznamem"/>
        <w:spacing w:after="120"/>
        <w:ind w:left="0"/>
        <w:jc w:val="both"/>
        <w:rPr>
          <w:rFonts w:cstheme="minorHAnsi"/>
          <w:sz w:val="24"/>
          <w:szCs w:val="24"/>
        </w:rPr>
      </w:pPr>
      <w:r w:rsidRPr="00415313">
        <w:rPr>
          <w:rFonts w:cstheme="minorHAnsi"/>
          <w:sz w:val="24"/>
          <w:szCs w:val="24"/>
        </w:rPr>
        <w:t>Na základě změny rozpisu závazných ukazatelů výdajů na pr</w:t>
      </w:r>
      <w:r w:rsidR="00415313" w:rsidRPr="00415313">
        <w:rPr>
          <w:rFonts w:cstheme="minorHAnsi"/>
          <w:sz w:val="24"/>
          <w:szCs w:val="24"/>
        </w:rPr>
        <w:t>ogramové financování v roce 2022 vydal KS v Plzni dne  2</w:t>
      </w:r>
      <w:r w:rsidRPr="00415313">
        <w:rPr>
          <w:rFonts w:cstheme="minorHAnsi"/>
          <w:sz w:val="24"/>
          <w:szCs w:val="24"/>
        </w:rPr>
        <w:t>4.</w:t>
      </w:r>
      <w:r w:rsidR="001C70CF" w:rsidRPr="00415313">
        <w:rPr>
          <w:rFonts w:cstheme="minorHAnsi"/>
          <w:sz w:val="24"/>
          <w:szCs w:val="24"/>
        </w:rPr>
        <w:t xml:space="preserve"> </w:t>
      </w:r>
      <w:r w:rsidR="00415313" w:rsidRPr="00415313">
        <w:rPr>
          <w:rFonts w:cstheme="minorHAnsi"/>
          <w:sz w:val="24"/>
          <w:szCs w:val="24"/>
        </w:rPr>
        <w:t>3</w:t>
      </w:r>
      <w:r w:rsidRPr="00415313">
        <w:rPr>
          <w:rFonts w:cstheme="minorHAnsi"/>
          <w:sz w:val="24"/>
          <w:szCs w:val="24"/>
        </w:rPr>
        <w:t>.</w:t>
      </w:r>
      <w:r w:rsidR="001C70CF" w:rsidRPr="00415313">
        <w:rPr>
          <w:rFonts w:cstheme="minorHAnsi"/>
          <w:sz w:val="24"/>
          <w:szCs w:val="24"/>
        </w:rPr>
        <w:t xml:space="preserve"> </w:t>
      </w:r>
      <w:r w:rsidR="00415313" w:rsidRPr="00415313">
        <w:rPr>
          <w:rFonts w:cstheme="minorHAnsi"/>
          <w:sz w:val="24"/>
          <w:szCs w:val="24"/>
        </w:rPr>
        <w:t>2022</w:t>
      </w:r>
      <w:r w:rsidRPr="00415313">
        <w:rPr>
          <w:rFonts w:cstheme="minorHAnsi"/>
          <w:sz w:val="24"/>
          <w:szCs w:val="24"/>
        </w:rPr>
        <w:t xml:space="preserve"> pokyn k proveden</w:t>
      </w:r>
      <w:r w:rsidR="00415313" w:rsidRPr="00415313">
        <w:rPr>
          <w:rFonts w:cstheme="minorHAnsi"/>
          <w:sz w:val="24"/>
          <w:szCs w:val="24"/>
        </w:rPr>
        <w:t>í rozpočtového opatření Spr 931/2021,</w:t>
      </w:r>
      <w:r w:rsidRPr="00415313">
        <w:rPr>
          <w:rFonts w:cstheme="minorHAnsi"/>
          <w:sz w:val="24"/>
          <w:szCs w:val="24"/>
        </w:rPr>
        <w:t xml:space="preserve"> </w:t>
      </w:r>
      <w:r w:rsidR="00415313" w:rsidRPr="00415313">
        <w:rPr>
          <w:rFonts w:cstheme="minorHAnsi"/>
          <w:sz w:val="24"/>
          <w:szCs w:val="24"/>
        </w:rPr>
        <w:t xml:space="preserve">kterým se navyšují  položky 6121 </w:t>
      </w:r>
      <w:r w:rsidRPr="00415313">
        <w:rPr>
          <w:rFonts w:cstheme="minorHAnsi"/>
          <w:sz w:val="24"/>
          <w:szCs w:val="24"/>
        </w:rPr>
        <w:t xml:space="preserve"> Budovy, haly a sta</w:t>
      </w:r>
      <w:r w:rsidR="001F4817" w:rsidRPr="00415313">
        <w:rPr>
          <w:rFonts w:cstheme="minorHAnsi"/>
          <w:sz w:val="24"/>
          <w:szCs w:val="24"/>
        </w:rPr>
        <w:t xml:space="preserve">vby o </w:t>
      </w:r>
      <w:r w:rsidR="00415313" w:rsidRPr="00415313">
        <w:rPr>
          <w:rFonts w:cstheme="minorHAnsi"/>
          <w:sz w:val="24"/>
          <w:szCs w:val="24"/>
        </w:rPr>
        <w:t>3.851.980,00</w:t>
      </w:r>
      <w:r w:rsidR="001F4817" w:rsidRPr="00415313">
        <w:rPr>
          <w:rFonts w:cstheme="minorHAnsi"/>
          <w:sz w:val="24"/>
          <w:szCs w:val="24"/>
        </w:rPr>
        <w:t xml:space="preserve"> Kč </w:t>
      </w:r>
      <w:r w:rsidR="00415313" w:rsidRPr="00415313">
        <w:rPr>
          <w:rFonts w:cstheme="minorHAnsi"/>
          <w:sz w:val="24"/>
          <w:szCs w:val="24"/>
        </w:rPr>
        <w:t xml:space="preserve"> a 6122 Stroje, přístroje a zařízení o 1.100.000,00 Kč </w:t>
      </w:r>
      <w:r w:rsidR="001F4817" w:rsidRPr="00415313">
        <w:rPr>
          <w:rFonts w:cstheme="minorHAnsi"/>
          <w:sz w:val="24"/>
          <w:szCs w:val="24"/>
        </w:rPr>
        <w:t>(akce č. 036V</w:t>
      </w:r>
      <w:r w:rsidRPr="00415313">
        <w:rPr>
          <w:rFonts w:cstheme="minorHAnsi"/>
          <w:sz w:val="24"/>
          <w:szCs w:val="24"/>
        </w:rPr>
        <w:t>018000006  - OS Cheb – rekonstrukce části objektu D).</w:t>
      </w:r>
    </w:p>
    <w:p w:rsidR="00415313" w:rsidRPr="00415313" w:rsidRDefault="00415313" w:rsidP="0003240A">
      <w:pPr>
        <w:pStyle w:val="Odstavecseseznamem"/>
        <w:spacing w:after="120"/>
        <w:ind w:left="0"/>
        <w:jc w:val="both"/>
        <w:rPr>
          <w:rFonts w:cstheme="minorHAnsi"/>
          <w:sz w:val="24"/>
          <w:szCs w:val="24"/>
        </w:rPr>
      </w:pPr>
    </w:p>
    <w:p w:rsidR="00415313" w:rsidRDefault="00835EF4" w:rsidP="00415313">
      <w:pPr>
        <w:pStyle w:val="Odstavecseseznamem"/>
        <w:spacing w:after="120"/>
        <w:ind w:left="0"/>
        <w:jc w:val="both"/>
        <w:rPr>
          <w:rFonts w:cstheme="minorHAnsi"/>
          <w:sz w:val="24"/>
          <w:szCs w:val="24"/>
        </w:rPr>
      </w:pPr>
      <w:r>
        <w:rPr>
          <w:rFonts w:cstheme="minorHAnsi"/>
          <w:sz w:val="24"/>
          <w:szCs w:val="24"/>
        </w:rPr>
        <w:t xml:space="preserve">Následně byla 4. 10. 2022  odborem investic MSp ČR vydána Změna dílčího Stanovení výdajů </w:t>
      </w:r>
      <w:r w:rsidR="00415313" w:rsidRPr="00415313">
        <w:rPr>
          <w:rFonts w:cstheme="minorHAnsi"/>
          <w:sz w:val="24"/>
          <w:szCs w:val="24"/>
        </w:rPr>
        <w:t xml:space="preserve"> na programové financování</w:t>
      </w:r>
      <w:r>
        <w:rPr>
          <w:rFonts w:cstheme="minorHAnsi"/>
          <w:sz w:val="24"/>
          <w:szCs w:val="24"/>
        </w:rPr>
        <w:t xml:space="preserve"> </w:t>
      </w:r>
      <w:r w:rsidRPr="00415313">
        <w:rPr>
          <w:rFonts w:cstheme="minorHAnsi"/>
          <w:sz w:val="24"/>
          <w:szCs w:val="24"/>
        </w:rPr>
        <w:t>akce</w:t>
      </w:r>
      <w:r>
        <w:rPr>
          <w:rFonts w:cstheme="minorHAnsi"/>
          <w:sz w:val="24"/>
          <w:szCs w:val="24"/>
        </w:rPr>
        <w:t xml:space="preserve"> </w:t>
      </w:r>
      <w:r w:rsidRPr="00415313">
        <w:rPr>
          <w:rFonts w:cstheme="minorHAnsi"/>
          <w:sz w:val="24"/>
          <w:szCs w:val="24"/>
        </w:rPr>
        <w:t xml:space="preserve"> č. 036V</w:t>
      </w:r>
      <w:r>
        <w:rPr>
          <w:rFonts w:cstheme="minorHAnsi"/>
          <w:sz w:val="24"/>
          <w:szCs w:val="24"/>
        </w:rPr>
        <w:t xml:space="preserve">018000006 </w:t>
      </w:r>
      <w:r w:rsidRPr="00415313">
        <w:rPr>
          <w:rFonts w:cstheme="minorHAnsi"/>
          <w:sz w:val="24"/>
          <w:szCs w:val="24"/>
        </w:rPr>
        <w:t>- OS Cheb – rekonstrukce</w:t>
      </w:r>
      <w:r>
        <w:rPr>
          <w:rFonts w:cstheme="minorHAnsi"/>
          <w:sz w:val="24"/>
          <w:szCs w:val="24"/>
        </w:rPr>
        <w:t xml:space="preserve"> části objektu</w:t>
      </w:r>
      <w:r w:rsidR="00415313" w:rsidRPr="00415313">
        <w:rPr>
          <w:rFonts w:cstheme="minorHAnsi"/>
          <w:sz w:val="24"/>
          <w:szCs w:val="24"/>
        </w:rPr>
        <w:t xml:space="preserve"> </w:t>
      </w:r>
      <w:r>
        <w:rPr>
          <w:rFonts w:cstheme="minorHAnsi"/>
          <w:sz w:val="24"/>
          <w:szCs w:val="24"/>
        </w:rPr>
        <w:t>D v</w:t>
      </w:r>
      <w:r w:rsidR="00415313" w:rsidRPr="00415313">
        <w:rPr>
          <w:rFonts w:cstheme="minorHAnsi"/>
          <w:sz w:val="24"/>
          <w:szCs w:val="24"/>
        </w:rPr>
        <w:t> roce 2022</w:t>
      </w:r>
      <w:r>
        <w:rPr>
          <w:rFonts w:cstheme="minorHAnsi"/>
          <w:sz w:val="24"/>
          <w:szCs w:val="24"/>
        </w:rPr>
        <w:t xml:space="preserve"> a </w:t>
      </w:r>
      <w:r w:rsidR="00415313" w:rsidRPr="00415313">
        <w:rPr>
          <w:rFonts w:cstheme="minorHAnsi"/>
          <w:sz w:val="24"/>
          <w:szCs w:val="24"/>
        </w:rPr>
        <w:t xml:space="preserve"> KS v Plzni dne </w:t>
      </w:r>
      <w:r>
        <w:rPr>
          <w:rFonts w:cstheme="minorHAnsi"/>
          <w:sz w:val="24"/>
          <w:szCs w:val="24"/>
        </w:rPr>
        <w:t xml:space="preserve"> 5.</w:t>
      </w:r>
      <w:r w:rsidR="00415313" w:rsidRPr="00415313">
        <w:rPr>
          <w:rFonts w:cstheme="minorHAnsi"/>
          <w:sz w:val="24"/>
          <w:szCs w:val="24"/>
        </w:rPr>
        <w:t xml:space="preserve"> </w:t>
      </w:r>
      <w:r>
        <w:rPr>
          <w:rFonts w:cstheme="minorHAnsi"/>
          <w:sz w:val="24"/>
          <w:szCs w:val="24"/>
        </w:rPr>
        <w:t>10</w:t>
      </w:r>
      <w:r w:rsidR="00415313" w:rsidRPr="00415313">
        <w:rPr>
          <w:rFonts w:cstheme="minorHAnsi"/>
          <w:sz w:val="24"/>
          <w:szCs w:val="24"/>
        </w:rPr>
        <w:t xml:space="preserve">. 2022 </w:t>
      </w:r>
      <w:r>
        <w:rPr>
          <w:rFonts w:cstheme="minorHAnsi"/>
          <w:sz w:val="24"/>
          <w:szCs w:val="24"/>
        </w:rPr>
        <w:t xml:space="preserve">vydal </w:t>
      </w:r>
      <w:r w:rsidR="00415313" w:rsidRPr="00415313">
        <w:rPr>
          <w:rFonts w:cstheme="minorHAnsi"/>
          <w:sz w:val="24"/>
          <w:szCs w:val="24"/>
        </w:rPr>
        <w:t>pokyn k provedení rozpočtového opatření Spr 931/2021, kterým</w:t>
      </w:r>
      <w:r>
        <w:rPr>
          <w:rFonts w:cstheme="minorHAnsi"/>
          <w:sz w:val="24"/>
          <w:szCs w:val="24"/>
        </w:rPr>
        <w:t xml:space="preserve"> se snižují</w:t>
      </w:r>
      <w:r w:rsidR="00415313" w:rsidRPr="00415313">
        <w:rPr>
          <w:rFonts w:cstheme="minorHAnsi"/>
          <w:sz w:val="24"/>
          <w:szCs w:val="24"/>
        </w:rPr>
        <w:t xml:space="preserve">  položky 6121  Budovy, haly a stavby o 3.851.980,00 Kč  a 6122 Stroje, přístroje a zařízení o 1.100.000,00 Kč</w:t>
      </w:r>
      <w:r>
        <w:rPr>
          <w:rFonts w:cstheme="minorHAnsi"/>
          <w:sz w:val="24"/>
          <w:szCs w:val="24"/>
        </w:rPr>
        <w:t>.</w:t>
      </w:r>
      <w:r w:rsidR="00415313" w:rsidRPr="00415313">
        <w:rPr>
          <w:rFonts w:cstheme="minorHAnsi"/>
          <w:sz w:val="24"/>
          <w:szCs w:val="24"/>
        </w:rPr>
        <w:t xml:space="preserve"> </w:t>
      </w:r>
      <w:r>
        <w:rPr>
          <w:rFonts w:cstheme="minorHAnsi"/>
          <w:sz w:val="24"/>
          <w:szCs w:val="24"/>
        </w:rPr>
        <w:t xml:space="preserve"> </w:t>
      </w:r>
    </w:p>
    <w:p w:rsidR="00835EF4" w:rsidRPr="00415313" w:rsidRDefault="00835EF4" w:rsidP="00415313">
      <w:pPr>
        <w:pStyle w:val="Odstavecseseznamem"/>
        <w:spacing w:after="120"/>
        <w:ind w:left="0"/>
        <w:jc w:val="both"/>
        <w:rPr>
          <w:rFonts w:cstheme="minorHAnsi"/>
          <w:sz w:val="24"/>
          <w:szCs w:val="24"/>
        </w:rPr>
      </w:pPr>
    </w:p>
    <w:p w:rsidR="000514D7" w:rsidRPr="008C40D8" w:rsidRDefault="00E757B0" w:rsidP="00351F92">
      <w:pPr>
        <w:spacing w:after="120"/>
        <w:jc w:val="both"/>
        <w:rPr>
          <w:rFonts w:cstheme="minorHAnsi"/>
          <w:sz w:val="24"/>
          <w:szCs w:val="24"/>
        </w:rPr>
      </w:pPr>
      <w:r w:rsidRPr="008C40D8">
        <w:rPr>
          <w:rFonts w:cstheme="minorHAnsi"/>
          <w:sz w:val="24"/>
          <w:szCs w:val="24"/>
        </w:rPr>
        <w:t>6.</w:t>
      </w:r>
      <w:r w:rsidR="006C0DA1">
        <w:rPr>
          <w:rFonts w:cstheme="minorHAnsi"/>
          <w:sz w:val="24"/>
          <w:szCs w:val="24"/>
        </w:rPr>
        <w:t xml:space="preserve"> </w:t>
      </w:r>
      <w:r w:rsidRPr="008C40D8">
        <w:rPr>
          <w:rFonts w:cstheme="minorHAnsi"/>
          <w:sz w:val="24"/>
          <w:szCs w:val="24"/>
        </w:rPr>
        <w:t>Zapojení nároků z nespotřebovaných výdajů</w:t>
      </w:r>
    </w:p>
    <w:p w:rsidR="00932A87" w:rsidRPr="008C40D8" w:rsidRDefault="00932A87" w:rsidP="00351F92">
      <w:pPr>
        <w:spacing w:after="120"/>
        <w:jc w:val="both"/>
        <w:rPr>
          <w:rFonts w:cstheme="minorHAnsi"/>
          <w:sz w:val="24"/>
          <w:szCs w:val="24"/>
        </w:rPr>
      </w:pPr>
    </w:p>
    <w:p w:rsidR="00994AE3" w:rsidRPr="008C40D8" w:rsidRDefault="002E2234" w:rsidP="00351F92">
      <w:pPr>
        <w:spacing w:after="120"/>
        <w:jc w:val="both"/>
        <w:rPr>
          <w:rFonts w:cstheme="minorHAnsi"/>
          <w:sz w:val="24"/>
          <w:szCs w:val="24"/>
        </w:rPr>
      </w:pPr>
      <w:r w:rsidRPr="008C40D8">
        <w:rPr>
          <w:rFonts w:cstheme="minorHAnsi"/>
          <w:sz w:val="24"/>
          <w:szCs w:val="24"/>
        </w:rPr>
        <w:t xml:space="preserve">Konečný rozpočet byl navyšován zapojenými NNV v celkové výši </w:t>
      </w:r>
      <w:r w:rsidR="008C40D8" w:rsidRPr="008C40D8">
        <w:rPr>
          <w:rFonts w:cstheme="minorHAnsi"/>
          <w:sz w:val="24"/>
          <w:szCs w:val="24"/>
        </w:rPr>
        <w:t>5.120.263,23</w:t>
      </w:r>
      <w:r w:rsidRPr="008C40D8">
        <w:rPr>
          <w:rFonts w:cstheme="minorHAnsi"/>
          <w:sz w:val="24"/>
          <w:szCs w:val="24"/>
        </w:rPr>
        <w:t xml:space="preserve"> Kč</w:t>
      </w:r>
      <w:r w:rsidR="00994AE3" w:rsidRPr="008C40D8">
        <w:rPr>
          <w:rFonts w:cstheme="minorHAnsi"/>
          <w:sz w:val="24"/>
          <w:szCs w:val="24"/>
        </w:rPr>
        <w:t>.</w:t>
      </w:r>
    </w:p>
    <w:p w:rsidR="00994AE3" w:rsidRPr="008C40D8" w:rsidRDefault="00994AE3" w:rsidP="00351F92">
      <w:pPr>
        <w:spacing w:after="120"/>
        <w:jc w:val="both"/>
        <w:rPr>
          <w:rFonts w:cstheme="minorHAnsi"/>
          <w:sz w:val="24"/>
          <w:szCs w:val="24"/>
        </w:rPr>
      </w:pPr>
      <w:r w:rsidRPr="008C40D8">
        <w:rPr>
          <w:rFonts w:cstheme="minorHAnsi"/>
          <w:sz w:val="24"/>
          <w:szCs w:val="24"/>
        </w:rPr>
        <w:t>Běžné výdaje</w:t>
      </w:r>
    </w:p>
    <w:p w:rsidR="00994AE3" w:rsidRPr="008C40D8" w:rsidRDefault="00994AE3" w:rsidP="00351F92">
      <w:pPr>
        <w:spacing w:after="120"/>
        <w:jc w:val="both"/>
        <w:rPr>
          <w:rFonts w:cstheme="minorHAnsi"/>
          <w:sz w:val="24"/>
          <w:szCs w:val="24"/>
        </w:rPr>
      </w:pPr>
      <w:r w:rsidRPr="008C40D8">
        <w:rPr>
          <w:rFonts w:cstheme="minorHAnsi"/>
          <w:sz w:val="24"/>
          <w:szCs w:val="24"/>
        </w:rPr>
        <w:t>501</w:t>
      </w:r>
      <w:r w:rsidR="008C40D8" w:rsidRPr="008C40D8">
        <w:rPr>
          <w:rFonts w:cstheme="minorHAnsi"/>
          <w:sz w:val="24"/>
          <w:szCs w:val="24"/>
        </w:rPr>
        <w:t xml:space="preserve"> </w:t>
      </w:r>
      <w:r w:rsidRPr="008C40D8">
        <w:rPr>
          <w:rFonts w:cstheme="minorHAnsi"/>
          <w:sz w:val="24"/>
          <w:szCs w:val="24"/>
        </w:rPr>
        <w:t>+</w:t>
      </w:r>
      <w:r w:rsidR="008C40D8" w:rsidRPr="008C40D8">
        <w:rPr>
          <w:rFonts w:cstheme="minorHAnsi"/>
          <w:sz w:val="24"/>
          <w:szCs w:val="24"/>
        </w:rPr>
        <w:t xml:space="preserve"> 502</w:t>
      </w:r>
      <w:r w:rsidR="008C40D8" w:rsidRPr="008C40D8">
        <w:rPr>
          <w:rFonts w:cstheme="minorHAnsi"/>
          <w:sz w:val="24"/>
          <w:szCs w:val="24"/>
        </w:rPr>
        <w:tab/>
        <w:t>1.169.961,00</w:t>
      </w:r>
      <w:r w:rsidRPr="008C40D8">
        <w:rPr>
          <w:rFonts w:cstheme="minorHAnsi"/>
          <w:sz w:val="24"/>
          <w:szCs w:val="24"/>
        </w:rPr>
        <w:t xml:space="preserve"> Kč</w:t>
      </w:r>
    </w:p>
    <w:p w:rsidR="00994AE3" w:rsidRPr="008C40D8" w:rsidRDefault="00994AE3" w:rsidP="00351F92">
      <w:pPr>
        <w:spacing w:after="120"/>
        <w:jc w:val="both"/>
        <w:rPr>
          <w:rFonts w:cstheme="minorHAnsi"/>
          <w:sz w:val="24"/>
          <w:szCs w:val="24"/>
        </w:rPr>
      </w:pPr>
      <w:r w:rsidRPr="008C40D8">
        <w:rPr>
          <w:rFonts w:cstheme="minorHAnsi"/>
          <w:sz w:val="24"/>
          <w:szCs w:val="24"/>
        </w:rPr>
        <w:t>503</w:t>
      </w:r>
      <w:r w:rsidRPr="008C40D8">
        <w:rPr>
          <w:rFonts w:cstheme="minorHAnsi"/>
          <w:sz w:val="24"/>
          <w:szCs w:val="24"/>
        </w:rPr>
        <w:tab/>
      </w:r>
      <w:r w:rsidRPr="008C40D8">
        <w:rPr>
          <w:rFonts w:cstheme="minorHAnsi"/>
          <w:sz w:val="24"/>
          <w:szCs w:val="24"/>
        </w:rPr>
        <w:tab/>
      </w:r>
      <w:r w:rsidR="008C40D8" w:rsidRPr="008C40D8">
        <w:rPr>
          <w:rFonts w:cstheme="minorHAnsi"/>
          <w:sz w:val="24"/>
          <w:szCs w:val="24"/>
        </w:rPr>
        <w:t xml:space="preserve">   464.655,00 Kč</w:t>
      </w:r>
    </w:p>
    <w:p w:rsidR="00994AE3" w:rsidRPr="008C40D8" w:rsidRDefault="00994AE3" w:rsidP="00351F92">
      <w:pPr>
        <w:spacing w:after="120"/>
        <w:jc w:val="both"/>
        <w:rPr>
          <w:rFonts w:cstheme="minorHAnsi"/>
          <w:sz w:val="24"/>
          <w:szCs w:val="24"/>
        </w:rPr>
      </w:pPr>
      <w:r w:rsidRPr="008C40D8">
        <w:rPr>
          <w:rFonts w:cstheme="minorHAnsi"/>
          <w:sz w:val="24"/>
          <w:szCs w:val="24"/>
        </w:rPr>
        <w:t xml:space="preserve">5342 </w:t>
      </w:r>
      <w:r w:rsidRPr="008C40D8">
        <w:rPr>
          <w:rFonts w:cstheme="minorHAnsi"/>
          <w:sz w:val="24"/>
          <w:szCs w:val="24"/>
        </w:rPr>
        <w:tab/>
      </w:r>
      <w:r w:rsidRPr="008C40D8">
        <w:rPr>
          <w:rFonts w:cstheme="minorHAnsi"/>
          <w:sz w:val="24"/>
          <w:szCs w:val="24"/>
        </w:rPr>
        <w:tab/>
        <w:t xml:space="preserve"> </w:t>
      </w:r>
      <w:r w:rsidR="008C40D8" w:rsidRPr="008C40D8">
        <w:rPr>
          <w:rFonts w:cstheme="minorHAnsi"/>
          <w:sz w:val="24"/>
          <w:szCs w:val="24"/>
        </w:rPr>
        <w:t xml:space="preserve">    22.103,14</w:t>
      </w:r>
      <w:r w:rsidRPr="008C40D8">
        <w:rPr>
          <w:rFonts w:cstheme="minorHAnsi"/>
          <w:sz w:val="24"/>
          <w:szCs w:val="24"/>
        </w:rPr>
        <w:t xml:space="preserve"> Kč</w:t>
      </w:r>
    </w:p>
    <w:p w:rsidR="00994AE3" w:rsidRPr="008C40D8" w:rsidRDefault="001C70CF" w:rsidP="00351F92">
      <w:pPr>
        <w:spacing w:after="120"/>
        <w:jc w:val="both"/>
        <w:rPr>
          <w:rFonts w:cstheme="minorHAnsi"/>
          <w:sz w:val="24"/>
          <w:szCs w:val="24"/>
        </w:rPr>
      </w:pPr>
      <w:r w:rsidRPr="008C40D8">
        <w:rPr>
          <w:rFonts w:cstheme="minorHAnsi"/>
          <w:sz w:val="24"/>
          <w:szCs w:val="24"/>
        </w:rPr>
        <w:lastRenderedPageBreak/>
        <w:t xml:space="preserve">51..              </w:t>
      </w:r>
      <w:r w:rsidR="008C40D8" w:rsidRPr="008C40D8">
        <w:rPr>
          <w:rFonts w:cstheme="minorHAnsi"/>
          <w:sz w:val="24"/>
          <w:szCs w:val="24"/>
        </w:rPr>
        <w:t xml:space="preserve">    </w:t>
      </w:r>
      <w:r w:rsidR="006C0DA1">
        <w:rPr>
          <w:rFonts w:cstheme="minorHAnsi"/>
          <w:sz w:val="24"/>
          <w:szCs w:val="24"/>
        </w:rPr>
        <w:t xml:space="preserve"> </w:t>
      </w:r>
      <w:r w:rsidRPr="008C40D8">
        <w:rPr>
          <w:rFonts w:cstheme="minorHAnsi"/>
          <w:sz w:val="24"/>
          <w:szCs w:val="24"/>
        </w:rPr>
        <w:t xml:space="preserve"> </w:t>
      </w:r>
      <w:r w:rsidR="00994AE3" w:rsidRPr="008C40D8">
        <w:rPr>
          <w:rFonts w:cstheme="minorHAnsi"/>
          <w:sz w:val="24"/>
          <w:szCs w:val="24"/>
        </w:rPr>
        <w:t>1.</w:t>
      </w:r>
      <w:r w:rsidR="008C40D8" w:rsidRPr="008C40D8">
        <w:rPr>
          <w:rFonts w:cstheme="minorHAnsi"/>
          <w:sz w:val="24"/>
          <w:szCs w:val="24"/>
        </w:rPr>
        <w:t>095.937,09</w:t>
      </w:r>
      <w:r w:rsidR="00994AE3" w:rsidRPr="008C40D8">
        <w:rPr>
          <w:rFonts w:cstheme="minorHAnsi"/>
          <w:sz w:val="24"/>
          <w:szCs w:val="24"/>
        </w:rPr>
        <w:t xml:space="preserve"> Kč</w:t>
      </w:r>
      <w:r w:rsidR="008C40D8" w:rsidRPr="008C40D8">
        <w:rPr>
          <w:rFonts w:cstheme="minorHAnsi"/>
          <w:sz w:val="24"/>
          <w:szCs w:val="24"/>
        </w:rPr>
        <w:t xml:space="preserve">  </w:t>
      </w:r>
    </w:p>
    <w:p w:rsidR="00994AE3" w:rsidRPr="008C40D8" w:rsidRDefault="00994AE3" w:rsidP="00351F92">
      <w:pPr>
        <w:spacing w:after="120"/>
        <w:jc w:val="both"/>
        <w:rPr>
          <w:rFonts w:cstheme="minorHAnsi"/>
          <w:sz w:val="24"/>
          <w:szCs w:val="24"/>
        </w:rPr>
      </w:pPr>
      <w:r w:rsidRPr="008C40D8">
        <w:rPr>
          <w:rFonts w:cstheme="minorHAnsi"/>
          <w:sz w:val="24"/>
          <w:szCs w:val="24"/>
        </w:rPr>
        <w:t>Tyto zapojené NNV byly zcela vyčerpány</w:t>
      </w:r>
    </w:p>
    <w:p w:rsidR="00994AE3" w:rsidRPr="004263CF" w:rsidRDefault="00994AE3" w:rsidP="00351F92">
      <w:pPr>
        <w:spacing w:after="120"/>
        <w:jc w:val="both"/>
        <w:rPr>
          <w:rFonts w:cstheme="minorHAnsi"/>
          <w:sz w:val="24"/>
          <w:szCs w:val="24"/>
        </w:rPr>
      </w:pPr>
      <w:r w:rsidRPr="004263CF">
        <w:rPr>
          <w:rFonts w:cstheme="minorHAnsi"/>
          <w:sz w:val="24"/>
          <w:szCs w:val="24"/>
        </w:rPr>
        <w:t>Kapitálové výdaje</w:t>
      </w:r>
    </w:p>
    <w:p w:rsidR="00994AE3" w:rsidRPr="004263CF" w:rsidRDefault="00994AE3" w:rsidP="00351F92">
      <w:pPr>
        <w:spacing w:after="120"/>
        <w:jc w:val="both"/>
        <w:rPr>
          <w:rFonts w:cstheme="minorHAnsi"/>
          <w:sz w:val="24"/>
          <w:szCs w:val="24"/>
        </w:rPr>
      </w:pPr>
      <w:r w:rsidRPr="004263CF">
        <w:rPr>
          <w:rFonts w:cstheme="minorHAnsi"/>
          <w:sz w:val="24"/>
          <w:szCs w:val="24"/>
        </w:rPr>
        <w:t>6121</w:t>
      </w:r>
      <w:r w:rsidRPr="004263CF">
        <w:rPr>
          <w:rFonts w:cstheme="minorHAnsi"/>
          <w:sz w:val="24"/>
          <w:szCs w:val="24"/>
        </w:rPr>
        <w:tab/>
      </w:r>
      <w:r w:rsidRPr="004263CF">
        <w:rPr>
          <w:rFonts w:cstheme="minorHAnsi"/>
          <w:sz w:val="24"/>
          <w:szCs w:val="24"/>
        </w:rPr>
        <w:tab/>
      </w:r>
      <w:r w:rsidR="008C40D8" w:rsidRPr="004263CF">
        <w:rPr>
          <w:rFonts w:cstheme="minorHAnsi"/>
          <w:sz w:val="24"/>
          <w:szCs w:val="24"/>
        </w:rPr>
        <w:t xml:space="preserve"> 2.367.607,00 Kč</w:t>
      </w:r>
    </w:p>
    <w:p w:rsidR="008C40D8" w:rsidRPr="004263CF" w:rsidRDefault="008C40D8" w:rsidP="00351F92">
      <w:pPr>
        <w:spacing w:after="120"/>
        <w:jc w:val="both"/>
        <w:rPr>
          <w:rFonts w:cstheme="minorHAnsi"/>
          <w:sz w:val="24"/>
          <w:szCs w:val="24"/>
        </w:rPr>
      </w:pPr>
      <w:r w:rsidRPr="004263CF">
        <w:rPr>
          <w:rFonts w:cstheme="minorHAnsi"/>
          <w:sz w:val="24"/>
          <w:szCs w:val="24"/>
        </w:rPr>
        <w:t xml:space="preserve">Vyčerpáno    </w:t>
      </w:r>
      <w:r w:rsidRPr="004263CF">
        <w:rPr>
          <w:rFonts w:cstheme="minorHAnsi"/>
          <w:sz w:val="24"/>
          <w:szCs w:val="24"/>
        </w:rPr>
        <w:tab/>
        <w:t xml:space="preserve">    423.500,00 Kč</w:t>
      </w:r>
    </w:p>
    <w:p w:rsidR="008C40D8" w:rsidRPr="004263CF" w:rsidRDefault="008C40D8" w:rsidP="00351F92">
      <w:pPr>
        <w:spacing w:after="120"/>
        <w:jc w:val="both"/>
        <w:rPr>
          <w:rFonts w:cstheme="minorHAnsi"/>
          <w:sz w:val="24"/>
          <w:szCs w:val="24"/>
        </w:rPr>
      </w:pPr>
      <w:r w:rsidRPr="004263CF">
        <w:rPr>
          <w:rFonts w:cstheme="minorHAnsi"/>
          <w:sz w:val="24"/>
          <w:szCs w:val="24"/>
        </w:rPr>
        <w:t xml:space="preserve">Nevyčerpáno  </w:t>
      </w:r>
      <w:r w:rsidR="006C0DA1">
        <w:rPr>
          <w:rFonts w:cstheme="minorHAnsi"/>
          <w:sz w:val="24"/>
          <w:szCs w:val="24"/>
        </w:rPr>
        <w:t xml:space="preserve"> </w:t>
      </w:r>
      <w:r w:rsidRPr="004263CF">
        <w:rPr>
          <w:rFonts w:cstheme="minorHAnsi"/>
          <w:sz w:val="24"/>
          <w:szCs w:val="24"/>
        </w:rPr>
        <w:t>1.944.107,00 Kč</w:t>
      </w:r>
    </w:p>
    <w:p w:rsidR="008C40D8" w:rsidRPr="004263CF" w:rsidRDefault="008C40D8" w:rsidP="008C40D8">
      <w:pPr>
        <w:spacing w:before="120" w:after="120"/>
        <w:jc w:val="both"/>
        <w:rPr>
          <w:rFonts w:cstheme="minorHAnsi"/>
        </w:rPr>
      </w:pPr>
      <w:r w:rsidRPr="004263CF">
        <w:rPr>
          <w:rFonts w:cstheme="minorHAnsi"/>
          <w:sz w:val="24"/>
          <w:szCs w:val="24"/>
        </w:rPr>
        <w:t xml:space="preserve">Jde o prostředky na investiční akci </w:t>
      </w:r>
      <w:r w:rsidRPr="004263CF">
        <w:rPr>
          <w:rFonts w:cstheme="minorHAnsi"/>
        </w:rPr>
        <w:t>ev</w:t>
      </w:r>
      <w:r w:rsidR="006C0DA1">
        <w:rPr>
          <w:rFonts w:cstheme="minorHAnsi"/>
        </w:rPr>
        <w:t xml:space="preserve"> </w:t>
      </w:r>
      <w:r w:rsidRPr="004263CF">
        <w:rPr>
          <w:rFonts w:cstheme="minorHAnsi"/>
        </w:rPr>
        <w:t xml:space="preserve">.č. 036V018000006 OS Cheb – rekonstrukce části objektu D“. </w:t>
      </w:r>
    </w:p>
    <w:p w:rsidR="00994AE3" w:rsidRPr="004263CF" w:rsidRDefault="00994AE3" w:rsidP="00351F92">
      <w:pPr>
        <w:spacing w:after="120"/>
        <w:jc w:val="both"/>
        <w:rPr>
          <w:rFonts w:cstheme="minorHAnsi"/>
          <w:sz w:val="24"/>
          <w:szCs w:val="24"/>
        </w:rPr>
      </w:pPr>
    </w:p>
    <w:p w:rsidR="001F4817" w:rsidRPr="004263CF" w:rsidRDefault="001F4817" w:rsidP="00351F92">
      <w:pPr>
        <w:spacing w:after="120"/>
        <w:jc w:val="both"/>
        <w:rPr>
          <w:rFonts w:cstheme="minorHAnsi"/>
          <w:sz w:val="24"/>
          <w:szCs w:val="24"/>
        </w:rPr>
      </w:pPr>
      <w:r w:rsidRPr="004263CF">
        <w:rPr>
          <w:rFonts w:cstheme="minorHAnsi"/>
          <w:sz w:val="24"/>
          <w:szCs w:val="24"/>
        </w:rPr>
        <w:t>7. Nezapojené NNV</w:t>
      </w:r>
    </w:p>
    <w:p w:rsidR="00932A87" w:rsidRPr="004263CF" w:rsidRDefault="00932A87" w:rsidP="00351F92">
      <w:pPr>
        <w:spacing w:after="120"/>
        <w:jc w:val="both"/>
        <w:rPr>
          <w:rFonts w:cstheme="minorHAnsi"/>
          <w:sz w:val="24"/>
          <w:szCs w:val="24"/>
        </w:rPr>
      </w:pPr>
    </w:p>
    <w:p w:rsidR="00AE1E2F" w:rsidRPr="004263CF" w:rsidRDefault="00AE1E2F" w:rsidP="00AE1E2F">
      <w:pPr>
        <w:spacing w:before="120" w:after="120"/>
        <w:jc w:val="both"/>
        <w:rPr>
          <w:rFonts w:cstheme="minorHAnsi"/>
        </w:rPr>
      </w:pPr>
      <w:r w:rsidRPr="004263CF">
        <w:rPr>
          <w:rFonts w:cstheme="minorHAnsi"/>
        </w:rPr>
        <w:t xml:space="preserve">Nezapojené NNV ve výši </w:t>
      </w:r>
      <w:r w:rsidR="008C40D8" w:rsidRPr="004263CF">
        <w:rPr>
          <w:rFonts w:cstheme="minorHAnsi"/>
        </w:rPr>
        <w:t>4.881.078,62</w:t>
      </w:r>
      <w:r w:rsidRPr="004263CF">
        <w:rPr>
          <w:rFonts w:cstheme="minorHAnsi"/>
        </w:rPr>
        <w:t xml:space="preserve"> Kč jsou na položkách kapitálových výdajů</w:t>
      </w:r>
      <w:r w:rsidR="008C40D8" w:rsidRPr="004263CF">
        <w:rPr>
          <w:rFonts w:cstheme="minorHAnsi"/>
        </w:rPr>
        <w:t xml:space="preserve">  </w:t>
      </w:r>
    </w:p>
    <w:p w:rsidR="00AE1E2F" w:rsidRPr="004263CF" w:rsidRDefault="00AE1E2F" w:rsidP="00AE1E2F">
      <w:pPr>
        <w:spacing w:before="120" w:after="120"/>
        <w:jc w:val="both"/>
        <w:rPr>
          <w:rFonts w:cstheme="minorHAnsi"/>
        </w:rPr>
      </w:pPr>
      <w:r w:rsidRPr="004263CF">
        <w:rPr>
          <w:rFonts w:cstheme="minorHAnsi"/>
        </w:rPr>
        <w:t xml:space="preserve">6121 </w:t>
      </w:r>
      <w:r w:rsidR="008C40D8" w:rsidRPr="004263CF">
        <w:rPr>
          <w:rFonts w:cstheme="minorHAnsi"/>
        </w:rPr>
        <w:t xml:space="preserve"> </w:t>
      </w:r>
      <w:r w:rsidRPr="004263CF">
        <w:rPr>
          <w:rFonts w:cstheme="minorHAnsi"/>
        </w:rPr>
        <w:t xml:space="preserve"> 3.</w:t>
      </w:r>
      <w:r w:rsidR="008C40D8" w:rsidRPr="004263CF">
        <w:rPr>
          <w:rFonts w:cstheme="minorHAnsi"/>
        </w:rPr>
        <w:t>099.293</w:t>
      </w:r>
      <w:r w:rsidR="004263CF" w:rsidRPr="004263CF">
        <w:rPr>
          <w:rFonts w:cstheme="minorHAnsi"/>
        </w:rPr>
        <w:t>,00</w:t>
      </w:r>
      <w:r w:rsidRPr="004263CF">
        <w:rPr>
          <w:rFonts w:cstheme="minorHAnsi"/>
        </w:rPr>
        <w:t xml:space="preserve"> Kč </w:t>
      </w:r>
      <w:r w:rsidR="008C40D8" w:rsidRPr="004263CF">
        <w:rPr>
          <w:rFonts w:cstheme="minorHAnsi"/>
        </w:rPr>
        <w:t xml:space="preserve"> </w:t>
      </w:r>
      <w:r w:rsidRPr="004263CF">
        <w:rPr>
          <w:rFonts w:cstheme="minorHAnsi"/>
        </w:rPr>
        <w:t xml:space="preserve"> </w:t>
      </w:r>
    </w:p>
    <w:p w:rsidR="00AE1E2F" w:rsidRPr="004263CF" w:rsidRDefault="008C40D8" w:rsidP="00AE1E2F">
      <w:pPr>
        <w:spacing w:before="120" w:after="120"/>
        <w:jc w:val="both"/>
        <w:rPr>
          <w:rFonts w:cstheme="minorHAnsi"/>
        </w:rPr>
      </w:pPr>
      <w:r w:rsidRPr="004263CF">
        <w:rPr>
          <w:rFonts w:cstheme="minorHAnsi"/>
        </w:rPr>
        <w:t>6125</w:t>
      </w:r>
      <w:r w:rsidR="004263CF" w:rsidRPr="004263CF">
        <w:rPr>
          <w:rFonts w:cstheme="minorHAnsi"/>
        </w:rPr>
        <w:t xml:space="preserve">   1.781.785,62 Kč</w:t>
      </w:r>
    </w:p>
    <w:p w:rsidR="008C40D8" w:rsidRDefault="008C40D8" w:rsidP="008C40D8">
      <w:pPr>
        <w:spacing w:before="120" w:after="120"/>
        <w:jc w:val="both"/>
        <w:rPr>
          <w:rFonts w:cstheme="minorHAnsi"/>
        </w:rPr>
      </w:pPr>
      <w:r w:rsidRPr="004263CF">
        <w:rPr>
          <w:rFonts w:cstheme="minorHAnsi"/>
        </w:rPr>
        <w:t>Všechny tyto prostředky jsou na akci  ev.č. 036V018000006 OS Cheb – rekonstrukce části objektu D“.</w:t>
      </w:r>
    </w:p>
    <w:p w:rsidR="00DD62A8" w:rsidRDefault="00DD62A8" w:rsidP="008C40D8">
      <w:pPr>
        <w:spacing w:before="120" w:after="120"/>
        <w:jc w:val="both"/>
        <w:rPr>
          <w:rFonts w:cstheme="minorHAnsi"/>
        </w:rPr>
      </w:pPr>
      <w:r>
        <w:rPr>
          <w:rFonts w:cstheme="minorHAnsi"/>
        </w:rPr>
        <w:t>Další nezapojené NNV jsou ve výši 1.781.785,62 Kč – agregace 136V01100A033 z roku 2021.</w:t>
      </w:r>
    </w:p>
    <w:p w:rsidR="006C0DA1" w:rsidRPr="004263CF" w:rsidRDefault="006C0DA1" w:rsidP="008C40D8">
      <w:pPr>
        <w:spacing w:before="120" w:after="120"/>
        <w:jc w:val="both"/>
        <w:rPr>
          <w:rFonts w:cstheme="minorHAnsi"/>
        </w:rPr>
      </w:pPr>
    </w:p>
    <w:p w:rsidR="00CD44A2" w:rsidRDefault="00CD44A2" w:rsidP="006D10DA">
      <w:pPr>
        <w:pStyle w:val="Nadpis3"/>
      </w:pPr>
      <w:bookmarkStart w:id="21" w:name="_Toc92706525"/>
      <w:bookmarkStart w:id="22" w:name="_Toc124839827"/>
      <w:r w:rsidRPr="006D10DA">
        <w:t>Vázání běžných výdajů bez EDS/SMVS</w:t>
      </w:r>
      <w:bookmarkEnd w:id="21"/>
      <w:bookmarkEnd w:id="22"/>
    </w:p>
    <w:p w:rsidR="004C7221" w:rsidRDefault="004C7221" w:rsidP="004C7221">
      <w:pPr>
        <w:spacing w:after="120"/>
        <w:jc w:val="both"/>
        <w:rPr>
          <w:rFonts w:cstheme="minorHAnsi"/>
          <w:sz w:val="24"/>
          <w:szCs w:val="24"/>
        </w:rPr>
      </w:pPr>
    </w:p>
    <w:p w:rsidR="004C7221" w:rsidRPr="006D10DA" w:rsidRDefault="004C7221" w:rsidP="004C7221">
      <w:pPr>
        <w:spacing w:after="120"/>
        <w:jc w:val="both"/>
        <w:rPr>
          <w:rFonts w:cstheme="minorHAnsi"/>
          <w:sz w:val="24"/>
          <w:szCs w:val="24"/>
        </w:rPr>
      </w:pPr>
      <w:r w:rsidRPr="006D10DA">
        <w:rPr>
          <w:rFonts w:cstheme="minorHAnsi"/>
          <w:sz w:val="24"/>
          <w:szCs w:val="24"/>
        </w:rPr>
        <w:t>V roce 2022 nebyly vázány žádné rozpočtové prostředky</w:t>
      </w:r>
      <w:r w:rsidR="006C0DA1">
        <w:rPr>
          <w:rFonts w:cstheme="minorHAnsi"/>
          <w:sz w:val="24"/>
          <w:szCs w:val="24"/>
        </w:rPr>
        <w:t>.</w:t>
      </w:r>
    </w:p>
    <w:tbl>
      <w:tblPr>
        <w:tblStyle w:val="Mkatabulky"/>
        <w:tblW w:w="0" w:type="auto"/>
        <w:tblLook w:val="04A0" w:firstRow="1" w:lastRow="0" w:firstColumn="1" w:lastColumn="0" w:noHBand="0" w:noVBand="1"/>
      </w:tblPr>
      <w:tblGrid>
        <w:gridCol w:w="2214"/>
        <w:gridCol w:w="2230"/>
        <w:gridCol w:w="2389"/>
        <w:gridCol w:w="2229"/>
      </w:tblGrid>
      <w:tr w:rsidR="00906B9C" w:rsidRPr="00CD38BC" w:rsidTr="004C7221">
        <w:tc>
          <w:tcPr>
            <w:tcW w:w="2214" w:type="dxa"/>
            <w:vAlign w:val="center"/>
          </w:tcPr>
          <w:p w:rsidR="00906B9C" w:rsidRPr="00CD38BC" w:rsidRDefault="00906B9C" w:rsidP="00DE0EBC">
            <w:pPr>
              <w:spacing w:before="120" w:after="120"/>
              <w:jc w:val="center"/>
              <w:rPr>
                <w:b/>
                <w:bCs/>
              </w:rPr>
            </w:pPr>
            <w:r w:rsidRPr="00CD38BC">
              <w:rPr>
                <w:b/>
                <w:bCs/>
              </w:rPr>
              <w:t>Název OSS</w:t>
            </w:r>
          </w:p>
        </w:tc>
        <w:tc>
          <w:tcPr>
            <w:tcW w:w="2230" w:type="dxa"/>
            <w:vAlign w:val="center"/>
          </w:tcPr>
          <w:p w:rsidR="00906B9C" w:rsidRPr="00CD38BC" w:rsidRDefault="00906B9C" w:rsidP="00DE0EBC">
            <w:pPr>
              <w:spacing w:before="120" w:after="120"/>
              <w:jc w:val="center"/>
              <w:rPr>
                <w:b/>
                <w:bCs/>
              </w:rPr>
            </w:pPr>
            <w:r w:rsidRPr="00CD38BC">
              <w:rPr>
                <w:b/>
                <w:bCs/>
              </w:rPr>
              <w:t>Částka vázání v Kč</w:t>
            </w:r>
          </w:p>
        </w:tc>
        <w:tc>
          <w:tcPr>
            <w:tcW w:w="2389" w:type="dxa"/>
            <w:vAlign w:val="center"/>
          </w:tcPr>
          <w:p w:rsidR="00906B9C" w:rsidRPr="00CD38BC" w:rsidRDefault="00906B9C" w:rsidP="00DE0EBC">
            <w:pPr>
              <w:spacing w:before="120" w:after="120"/>
              <w:jc w:val="center"/>
              <w:rPr>
                <w:b/>
                <w:bCs/>
              </w:rPr>
            </w:pPr>
            <w:r w:rsidRPr="00CD38BC">
              <w:rPr>
                <w:b/>
                <w:bCs/>
              </w:rPr>
              <w:t>Rozpočtová položka, na které jsou prostředky vázány</w:t>
            </w:r>
          </w:p>
        </w:tc>
        <w:tc>
          <w:tcPr>
            <w:tcW w:w="2229" w:type="dxa"/>
            <w:vAlign w:val="center"/>
          </w:tcPr>
          <w:p w:rsidR="00906B9C" w:rsidRPr="00CD38BC" w:rsidRDefault="00906B9C" w:rsidP="00DE0EBC">
            <w:pPr>
              <w:spacing w:before="120" w:after="120"/>
              <w:jc w:val="center"/>
              <w:rPr>
                <w:b/>
                <w:bCs/>
              </w:rPr>
            </w:pPr>
            <w:r w:rsidRPr="00CD38BC">
              <w:rPr>
                <w:b/>
                <w:bCs/>
              </w:rPr>
              <w:t>Důvod vázání</w:t>
            </w:r>
          </w:p>
        </w:tc>
      </w:tr>
      <w:tr w:rsidR="00906B9C" w:rsidRPr="00CD38BC" w:rsidTr="004C7221">
        <w:tc>
          <w:tcPr>
            <w:tcW w:w="2214" w:type="dxa"/>
          </w:tcPr>
          <w:p w:rsidR="00906B9C" w:rsidRPr="00CD38BC" w:rsidRDefault="00906B9C" w:rsidP="00DE0EBC">
            <w:pPr>
              <w:spacing w:before="120" w:after="120"/>
            </w:pPr>
          </w:p>
        </w:tc>
        <w:tc>
          <w:tcPr>
            <w:tcW w:w="2230" w:type="dxa"/>
          </w:tcPr>
          <w:p w:rsidR="00906B9C" w:rsidRPr="00CD38BC" w:rsidRDefault="00906B9C" w:rsidP="00DE0EBC">
            <w:pPr>
              <w:spacing w:before="120" w:after="120"/>
            </w:pPr>
          </w:p>
        </w:tc>
        <w:tc>
          <w:tcPr>
            <w:tcW w:w="2389" w:type="dxa"/>
          </w:tcPr>
          <w:p w:rsidR="00906B9C" w:rsidRPr="00CD38BC" w:rsidRDefault="00906B9C" w:rsidP="00DE0EBC">
            <w:pPr>
              <w:spacing w:before="120" w:after="120"/>
            </w:pPr>
          </w:p>
        </w:tc>
        <w:tc>
          <w:tcPr>
            <w:tcW w:w="2229" w:type="dxa"/>
          </w:tcPr>
          <w:p w:rsidR="00906B9C" w:rsidRPr="00CD38BC" w:rsidRDefault="00906B9C" w:rsidP="00DE0EBC">
            <w:pPr>
              <w:spacing w:before="120" w:after="120"/>
            </w:pPr>
          </w:p>
        </w:tc>
      </w:tr>
    </w:tbl>
    <w:p w:rsidR="00906B9C" w:rsidRPr="00CD38BC" w:rsidRDefault="00906B9C" w:rsidP="00906B9C">
      <w:pPr>
        <w:spacing w:before="120" w:after="120"/>
      </w:pPr>
    </w:p>
    <w:p w:rsidR="00906B9C" w:rsidRPr="00CD38BC" w:rsidRDefault="00906B9C" w:rsidP="00906B9C">
      <w:pPr>
        <w:pStyle w:val="Nadpis3"/>
      </w:pPr>
      <w:bookmarkStart w:id="23" w:name="_Toc123730362"/>
      <w:bookmarkStart w:id="24" w:name="_Toc124839828"/>
      <w:r w:rsidRPr="00CD38BC">
        <w:t>Mimorozpočtové zdroje</w:t>
      </w:r>
      <w:bookmarkEnd w:id="23"/>
      <w:bookmarkEnd w:id="24"/>
    </w:p>
    <w:p w:rsidR="004C7221" w:rsidRDefault="004C7221" w:rsidP="004C7221">
      <w:pPr>
        <w:spacing w:after="120"/>
        <w:jc w:val="both"/>
        <w:rPr>
          <w:rFonts w:cstheme="minorHAnsi"/>
          <w:sz w:val="24"/>
          <w:szCs w:val="24"/>
        </w:rPr>
      </w:pPr>
    </w:p>
    <w:p w:rsidR="004C7221" w:rsidRPr="006D10DA" w:rsidRDefault="004C7221" w:rsidP="004C7221">
      <w:pPr>
        <w:spacing w:after="120"/>
        <w:jc w:val="both"/>
        <w:rPr>
          <w:rFonts w:cstheme="minorHAnsi"/>
          <w:sz w:val="24"/>
          <w:szCs w:val="24"/>
        </w:rPr>
      </w:pPr>
      <w:r w:rsidRPr="006D10DA">
        <w:rPr>
          <w:rFonts w:cstheme="minorHAnsi"/>
          <w:sz w:val="24"/>
          <w:szCs w:val="24"/>
        </w:rPr>
        <w:t xml:space="preserve">V roce 2022 nebyly </w:t>
      </w:r>
      <w:r>
        <w:rPr>
          <w:rFonts w:cstheme="minorHAnsi"/>
          <w:sz w:val="24"/>
          <w:szCs w:val="24"/>
        </w:rPr>
        <w:t>žádné mimorozpočtové zdroje</w:t>
      </w:r>
      <w:r w:rsidR="006C0DA1">
        <w:rPr>
          <w:rFonts w:cstheme="minorHAnsi"/>
          <w:sz w:val="24"/>
          <w:szCs w:val="24"/>
        </w:rPr>
        <w:t>.</w:t>
      </w:r>
    </w:p>
    <w:p w:rsidR="00906B9C" w:rsidRPr="00CD38BC" w:rsidRDefault="00906B9C" w:rsidP="00906B9C">
      <w:pPr>
        <w:spacing w:before="120" w:after="120"/>
      </w:pPr>
    </w:p>
    <w:tbl>
      <w:tblPr>
        <w:tblStyle w:val="Mkatabulky"/>
        <w:tblW w:w="0" w:type="auto"/>
        <w:tblLook w:val="04A0" w:firstRow="1" w:lastRow="0" w:firstColumn="1" w:lastColumn="0" w:noHBand="0" w:noVBand="1"/>
      </w:tblPr>
      <w:tblGrid>
        <w:gridCol w:w="1592"/>
        <w:gridCol w:w="1506"/>
        <w:gridCol w:w="1503"/>
        <w:gridCol w:w="2009"/>
        <w:gridCol w:w="2452"/>
      </w:tblGrid>
      <w:tr w:rsidR="00906B9C" w:rsidRPr="00CD38BC" w:rsidTr="00DE0EBC">
        <w:tc>
          <w:tcPr>
            <w:tcW w:w="2968" w:type="dxa"/>
            <w:tcBorders>
              <w:bottom w:val="single" w:sz="4" w:space="0" w:color="auto"/>
            </w:tcBorders>
            <w:vAlign w:val="center"/>
          </w:tcPr>
          <w:p w:rsidR="00906B9C" w:rsidRPr="00CD38BC" w:rsidRDefault="00906B9C" w:rsidP="00DE0EBC">
            <w:pPr>
              <w:spacing w:before="120" w:after="120"/>
              <w:jc w:val="center"/>
              <w:rPr>
                <w:b/>
                <w:bCs/>
              </w:rPr>
            </w:pPr>
            <w:r w:rsidRPr="00CD38BC">
              <w:rPr>
                <w:b/>
                <w:bCs/>
              </w:rPr>
              <w:t>Název OSS</w:t>
            </w:r>
          </w:p>
        </w:tc>
        <w:tc>
          <w:tcPr>
            <w:tcW w:w="2397" w:type="dxa"/>
            <w:tcBorders>
              <w:bottom w:val="single" w:sz="4" w:space="0" w:color="auto"/>
            </w:tcBorders>
            <w:vAlign w:val="center"/>
          </w:tcPr>
          <w:p w:rsidR="00906B9C" w:rsidRPr="00CD38BC" w:rsidRDefault="00906B9C" w:rsidP="00DE0EBC">
            <w:pPr>
              <w:spacing w:before="120" w:after="120"/>
              <w:jc w:val="center"/>
              <w:rPr>
                <w:b/>
                <w:bCs/>
              </w:rPr>
            </w:pPr>
            <w:r w:rsidRPr="00CD38BC">
              <w:rPr>
                <w:b/>
                <w:bCs/>
              </w:rPr>
              <w:t>Čerpaná částka v Kč</w:t>
            </w:r>
          </w:p>
        </w:tc>
        <w:tc>
          <w:tcPr>
            <w:tcW w:w="2001" w:type="dxa"/>
            <w:tcBorders>
              <w:bottom w:val="single" w:sz="4" w:space="0" w:color="auto"/>
            </w:tcBorders>
            <w:vAlign w:val="center"/>
          </w:tcPr>
          <w:p w:rsidR="00906B9C" w:rsidRPr="00CD38BC" w:rsidRDefault="00906B9C" w:rsidP="00DE0EBC">
            <w:pPr>
              <w:spacing w:before="120" w:after="120"/>
              <w:jc w:val="center"/>
              <w:rPr>
                <w:b/>
                <w:bCs/>
              </w:rPr>
            </w:pPr>
            <w:r w:rsidRPr="00CD38BC">
              <w:rPr>
                <w:b/>
                <w:bCs/>
              </w:rPr>
              <w:t>Nečerpaná částka v Kč</w:t>
            </w:r>
          </w:p>
        </w:tc>
        <w:tc>
          <w:tcPr>
            <w:tcW w:w="2001" w:type="dxa"/>
            <w:tcBorders>
              <w:bottom w:val="single" w:sz="4" w:space="0" w:color="auto"/>
            </w:tcBorders>
            <w:vAlign w:val="center"/>
          </w:tcPr>
          <w:p w:rsidR="00906B9C" w:rsidRPr="00CD38BC" w:rsidRDefault="00906B9C" w:rsidP="00DE0EBC">
            <w:pPr>
              <w:spacing w:before="120" w:after="120"/>
              <w:jc w:val="center"/>
              <w:rPr>
                <w:b/>
                <w:bCs/>
              </w:rPr>
            </w:pPr>
            <w:r w:rsidRPr="00CD38BC">
              <w:rPr>
                <w:b/>
                <w:bCs/>
              </w:rPr>
              <w:t>Zdroj (3100000/2100000)</w:t>
            </w:r>
          </w:p>
        </w:tc>
        <w:tc>
          <w:tcPr>
            <w:tcW w:w="4508" w:type="dxa"/>
            <w:tcBorders>
              <w:bottom w:val="single" w:sz="4" w:space="0" w:color="auto"/>
            </w:tcBorders>
            <w:vAlign w:val="center"/>
          </w:tcPr>
          <w:p w:rsidR="00906B9C" w:rsidRPr="00CD38BC" w:rsidRDefault="00906B9C" w:rsidP="00DE0EBC">
            <w:pPr>
              <w:spacing w:before="120" w:after="120"/>
              <w:jc w:val="center"/>
              <w:rPr>
                <w:b/>
                <w:bCs/>
              </w:rPr>
            </w:pPr>
            <w:r w:rsidRPr="00CD38BC">
              <w:rPr>
                <w:b/>
                <w:bCs/>
              </w:rPr>
              <w:t>Využití prostředků</w:t>
            </w:r>
          </w:p>
        </w:tc>
      </w:tr>
      <w:tr w:rsidR="00906B9C" w:rsidRPr="00CD38BC" w:rsidTr="00DE0EBC">
        <w:tc>
          <w:tcPr>
            <w:tcW w:w="2968" w:type="dxa"/>
            <w:tcBorders>
              <w:bottom w:val="single" w:sz="4" w:space="0" w:color="auto"/>
            </w:tcBorders>
          </w:tcPr>
          <w:p w:rsidR="00906B9C" w:rsidRPr="00CD38BC" w:rsidRDefault="00906B9C" w:rsidP="00DE0EBC">
            <w:pPr>
              <w:spacing w:before="120" w:after="120"/>
            </w:pPr>
          </w:p>
        </w:tc>
        <w:tc>
          <w:tcPr>
            <w:tcW w:w="2397" w:type="dxa"/>
            <w:tcBorders>
              <w:bottom w:val="single" w:sz="4" w:space="0" w:color="auto"/>
            </w:tcBorders>
          </w:tcPr>
          <w:p w:rsidR="00906B9C" w:rsidRPr="00CD38BC" w:rsidRDefault="00906B9C" w:rsidP="00DE0EBC">
            <w:pPr>
              <w:spacing w:before="120" w:after="120"/>
            </w:pPr>
          </w:p>
        </w:tc>
        <w:tc>
          <w:tcPr>
            <w:tcW w:w="2001" w:type="dxa"/>
            <w:tcBorders>
              <w:bottom w:val="single" w:sz="4" w:space="0" w:color="auto"/>
            </w:tcBorders>
          </w:tcPr>
          <w:p w:rsidR="00906B9C" w:rsidRPr="00CD38BC" w:rsidRDefault="00906B9C" w:rsidP="00DE0EBC">
            <w:pPr>
              <w:spacing w:before="120" w:after="120"/>
            </w:pPr>
          </w:p>
        </w:tc>
        <w:tc>
          <w:tcPr>
            <w:tcW w:w="2001" w:type="dxa"/>
            <w:tcBorders>
              <w:bottom w:val="single" w:sz="4" w:space="0" w:color="auto"/>
            </w:tcBorders>
          </w:tcPr>
          <w:p w:rsidR="00906B9C" w:rsidRPr="00CD38BC" w:rsidRDefault="00906B9C" w:rsidP="00DE0EBC">
            <w:pPr>
              <w:spacing w:before="120" w:after="120"/>
            </w:pPr>
          </w:p>
        </w:tc>
        <w:tc>
          <w:tcPr>
            <w:tcW w:w="4508" w:type="dxa"/>
            <w:tcBorders>
              <w:bottom w:val="single" w:sz="4" w:space="0" w:color="auto"/>
            </w:tcBorders>
          </w:tcPr>
          <w:p w:rsidR="00906B9C" w:rsidRPr="00CD38BC" w:rsidRDefault="00906B9C" w:rsidP="00DE0EBC">
            <w:pPr>
              <w:spacing w:before="120" w:after="120"/>
            </w:pPr>
          </w:p>
        </w:tc>
      </w:tr>
    </w:tbl>
    <w:p w:rsidR="00CD44A2" w:rsidRPr="006D10DA" w:rsidRDefault="004C7221" w:rsidP="004C7221">
      <w:pPr>
        <w:spacing w:after="120"/>
        <w:jc w:val="both"/>
        <w:rPr>
          <w:rFonts w:cstheme="minorHAnsi"/>
        </w:rPr>
        <w:sectPr w:rsidR="00CD44A2" w:rsidRPr="006D10DA" w:rsidSect="00010B02">
          <w:type w:val="continuous"/>
          <w:pgSz w:w="11906" w:h="16838"/>
          <w:pgMar w:top="1417" w:right="1417" w:bottom="1417" w:left="1417" w:header="709" w:footer="709" w:gutter="0"/>
          <w:cols w:space="708"/>
          <w:titlePg/>
          <w:docGrid w:linePitch="360"/>
        </w:sectPr>
      </w:pPr>
      <w:r>
        <w:rPr>
          <w:rFonts w:cstheme="minorHAnsi"/>
          <w:color w:val="FF0000"/>
          <w:sz w:val="24"/>
          <w:szCs w:val="24"/>
        </w:rPr>
        <w:t xml:space="preserve"> </w:t>
      </w:r>
    </w:p>
    <w:p w:rsidR="00AC3E0B" w:rsidRPr="00964718" w:rsidRDefault="00B803AE" w:rsidP="000D0F88">
      <w:pPr>
        <w:spacing w:before="120" w:after="120"/>
        <w:rPr>
          <w:rFonts w:cstheme="minorHAnsi"/>
        </w:rPr>
      </w:pPr>
      <w:r w:rsidRPr="00964718">
        <w:rPr>
          <w:rFonts w:cstheme="minorHAnsi"/>
          <w:b/>
        </w:rPr>
        <w:lastRenderedPageBreak/>
        <w:t>Třída 5 – Běžné výdaje</w:t>
      </w:r>
    </w:p>
    <w:p w:rsidR="003F6758" w:rsidRPr="00C9684A" w:rsidRDefault="00B803AE" w:rsidP="002021FE">
      <w:pPr>
        <w:spacing w:before="120" w:after="120"/>
        <w:rPr>
          <w:rFonts w:cstheme="minorHAnsi"/>
          <w:color w:val="FF0000"/>
        </w:rPr>
        <w:sectPr w:rsidR="003F6758" w:rsidRPr="00C9684A" w:rsidSect="00010B02">
          <w:type w:val="continuous"/>
          <w:pgSz w:w="16838" w:h="11906" w:orient="landscape"/>
          <w:pgMar w:top="1417" w:right="1417" w:bottom="1417" w:left="1417" w:header="709" w:footer="709" w:gutter="0"/>
          <w:cols w:space="708"/>
          <w:titlePg/>
          <w:docGrid w:linePitch="360"/>
        </w:sectPr>
      </w:pPr>
      <w:r w:rsidRPr="00964718">
        <w:rPr>
          <w:rFonts w:cstheme="minorHAnsi"/>
          <w:b/>
          <w:sz w:val="24"/>
          <w:szCs w:val="24"/>
        </w:rPr>
        <w:t>Přehled čerpání běžných výdajů dle seskupení a podseskupení položek</w:t>
      </w:r>
      <w:r w:rsidR="003D2FB9" w:rsidRPr="00964718">
        <w:rPr>
          <w:rFonts w:cstheme="minorHAnsi"/>
          <w:b/>
          <w:sz w:val="24"/>
          <w:szCs w:val="24"/>
        </w:rPr>
        <w:t xml:space="preserve"> (po odpočtu výdajů EDS/SMVS)</w:t>
      </w:r>
      <w:bookmarkStart w:id="25" w:name="_MON_1671603454"/>
      <w:bookmarkEnd w:id="25"/>
      <w:r w:rsidR="008D5E54" w:rsidRPr="00C9684A">
        <w:rPr>
          <w:rFonts w:cstheme="minorHAnsi"/>
          <w:color w:val="FF0000"/>
        </w:rPr>
        <w:object w:dxaOrig="18090" w:dyaOrig="9878" w14:anchorId="0A036CBB">
          <v:shape id="_x0000_i1032" type="#_x0000_t75" style="width:730.5pt;height:399.75pt" o:ole="">
            <v:imagedata r:id="rId24" o:title=""/>
          </v:shape>
          <o:OLEObject Type="Embed" ProgID="Excel.Sheet.12" ShapeID="_x0000_i1032" DrawAspect="Content" ObjectID="_1738644114" r:id="rId25"/>
        </w:object>
      </w:r>
    </w:p>
    <w:p w:rsidR="007965F4" w:rsidRPr="005A4EC8" w:rsidRDefault="007965F4" w:rsidP="00ED5733">
      <w:pPr>
        <w:pStyle w:val="Nadpis2"/>
      </w:pPr>
      <w:bookmarkStart w:id="26" w:name="_Toc534878024"/>
      <w:bookmarkStart w:id="27" w:name="_Toc124839829"/>
      <w:r w:rsidRPr="005A4EC8">
        <w:lastRenderedPageBreak/>
        <w:t>Rozbor zaměstnanosti a čerpání mzdových prostředků</w:t>
      </w:r>
      <w:bookmarkEnd w:id="26"/>
      <w:bookmarkEnd w:id="27"/>
    </w:p>
    <w:p w:rsidR="007965F4" w:rsidRPr="005A4EC8" w:rsidRDefault="007965F4" w:rsidP="000A7BB1">
      <w:pPr>
        <w:pStyle w:val="Odstavecseseznamem"/>
        <w:numPr>
          <w:ilvl w:val="0"/>
          <w:numId w:val="3"/>
        </w:numPr>
        <w:spacing w:after="0"/>
        <w:ind w:left="714" w:hanging="357"/>
        <w:rPr>
          <w:rFonts w:cstheme="minorHAnsi"/>
          <w:b/>
        </w:rPr>
      </w:pPr>
      <w:r w:rsidRPr="005A4EC8">
        <w:rPr>
          <w:rFonts w:cstheme="minorHAnsi"/>
          <w:b/>
        </w:rPr>
        <w:t>Prostředky na platy a ostatní platby za provedenou práci (podseskupení 501 + 502)</w:t>
      </w:r>
    </w:p>
    <w:p w:rsidR="00375E08" w:rsidRPr="005A4EC8" w:rsidRDefault="00375E08" w:rsidP="00375E08">
      <w:pPr>
        <w:pStyle w:val="Titulek"/>
        <w:keepNext/>
        <w:spacing w:after="0"/>
        <w:jc w:val="both"/>
        <w:rPr>
          <w:rFonts w:cstheme="minorHAnsi"/>
        </w:rPr>
      </w:pPr>
      <w:r w:rsidRPr="005A4EC8">
        <w:rPr>
          <w:rFonts w:cstheme="minorHAnsi"/>
        </w:rPr>
        <w:t>Prostředky na platy a ost</w:t>
      </w:r>
      <w:r w:rsidR="00462733" w:rsidRPr="005A4EC8">
        <w:rPr>
          <w:rFonts w:cstheme="minorHAnsi"/>
        </w:rPr>
        <w:t>atní platby za provedenou práci</w:t>
      </w:r>
    </w:p>
    <w:bookmarkStart w:id="28" w:name="_MON_1671626242"/>
    <w:bookmarkEnd w:id="28"/>
    <w:p w:rsidR="00A60610" w:rsidRPr="00C9684A" w:rsidRDefault="008D5E54" w:rsidP="007965F4">
      <w:pPr>
        <w:spacing w:before="120" w:after="120"/>
        <w:jc w:val="both"/>
        <w:rPr>
          <w:rFonts w:cstheme="minorHAnsi"/>
          <w:color w:val="FF0000"/>
        </w:rPr>
      </w:pPr>
      <w:r w:rsidRPr="00C9684A">
        <w:rPr>
          <w:rFonts w:cstheme="minorHAnsi"/>
          <w:color w:val="FF0000"/>
        </w:rPr>
        <w:object w:dxaOrig="14647" w:dyaOrig="7512" w14:anchorId="1469CE05">
          <v:shape id="_x0000_i1033" type="#_x0000_t75" style="width:696pt;height:309pt" o:ole="">
            <v:imagedata r:id="rId26" o:title=""/>
          </v:shape>
          <o:OLEObject Type="Embed" ProgID="Excel.Sheet.12" ShapeID="_x0000_i1033" DrawAspect="Content" ObjectID="_1738644115" r:id="rId27"/>
        </w:object>
      </w:r>
    </w:p>
    <w:p w:rsidR="00AB7A4C" w:rsidRPr="00C9684A" w:rsidRDefault="00AB7A4C" w:rsidP="00462733">
      <w:pPr>
        <w:jc w:val="both"/>
        <w:rPr>
          <w:rFonts w:cstheme="minorHAnsi"/>
          <w:b/>
          <w:color w:val="FF0000"/>
          <w:sz w:val="24"/>
          <w:szCs w:val="24"/>
        </w:rPr>
      </w:pPr>
    </w:p>
    <w:p w:rsidR="00B96DE5" w:rsidRPr="00C9684A" w:rsidRDefault="00B96DE5" w:rsidP="00AB7A4C">
      <w:pPr>
        <w:tabs>
          <w:tab w:val="left" w:pos="0"/>
        </w:tabs>
        <w:rPr>
          <w:rFonts w:cstheme="minorHAnsi"/>
          <w:color w:val="FF0000"/>
          <w:sz w:val="24"/>
          <w:szCs w:val="24"/>
        </w:rPr>
      </w:pPr>
    </w:p>
    <w:p w:rsidR="00AB7A4C" w:rsidRPr="00B30C3D" w:rsidRDefault="00AB7A4C" w:rsidP="00AB7A4C">
      <w:pPr>
        <w:tabs>
          <w:tab w:val="left" w:pos="0"/>
        </w:tabs>
        <w:rPr>
          <w:rFonts w:cstheme="minorHAnsi"/>
          <w:sz w:val="24"/>
          <w:szCs w:val="24"/>
        </w:rPr>
      </w:pPr>
      <w:r w:rsidRPr="00B30C3D">
        <w:rPr>
          <w:rFonts w:cstheme="minorHAnsi"/>
          <w:sz w:val="24"/>
          <w:szCs w:val="24"/>
        </w:rPr>
        <w:lastRenderedPageBreak/>
        <w:t>Z rozpočtové položky 5021 Ostatní osobní výdaje byly hrazeny výdaje na uzavřené Dohody o provedení práce</w:t>
      </w:r>
      <w:r w:rsidR="00270B34" w:rsidRPr="00B30C3D">
        <w:rPr>
          <w:rFonts w:cstheme="minorHAnsi"/>
          <w:sz w:val="24"/>
          <w:szCs w:val="24"/>
        </w:rPr>
        <w:t xml:space="preserve"> celkem </w:t>
      </w:r>
      <w:r w:rsidR="00B30C3D" w:rsidRPr="00B30C3D">
        <w:rPr>
          <w:rFonts w:cstheme="minorHAnsi"/>
          <w:sz w:val="24"/>
          <w:szCs w:val="24"/>
        </w:rPr>
        <w:t>12</w:t>
      </w:r>
      <w:r w:rsidR="00270B34" w:rsidRPr="00B30C3D">
        <w:rPr>
          <w:rFonts w:cstheme="minorHAnsi"/>
          <w:sz w:val="24"/>
          <w:szCs w:val="24"/>
        </w:rPr>
        <w:t xml:space="preserve">.500,00 Kč. Z rozpočtové položky 5029 Ostatní platby za provedenou práci jinde nezařazené byly hrazeny výdaje na přísedící v celkové výši </w:t>
      </w:r>
      <w:r w:rsidR="00B30C3D" w:rsidRPr="00B30C3D">
        <w:rPr>
          <w:rFonts w:cstheme="minorHAnsi"/>
          <w:sz w:val="24"/>
          <w:szCs w:val="24"/>
        </w:rPr>
        <w:t>111.054</w:t>
      </w:r>
      <w:r w:rsidR="00270B34" w:rsidRPr="00B30C3D">
        <w:rPr>
          <w:rFonts w:cstheme="minorHAnsi"/>
          <w:sz w:val="24"/>
          <w:szCs w:val="24"/>
        </w:rPr>
        <w:t xml:space="preserve">,00 Kč. </w:t>
      </w:r>
    </w:p>
    <w:p w:rsidR="00270B34" w:rsidRPr="00B30C3D" w:rsidRDefault="00835B31" w:rsidP="00AB7A4C">
      <w:pPr>
        <w:tabs>
          <w:tab w:val="left" w:pos="0"/>
        </w:tabs>
        <w:rPr>
          <w:rFonts w:cstheme="minorHAnsi"/>
          <w:sz w:val="24"/>
          <w:szCs w:val="24"/>
        </w:rPr>
      </w:pPr>
      <w:r w:rsidRPr="00B30C3D">
        <w:rPr>
          <w:rFonts w:cstheme="minorHAnsi"/>
          <w:sz w:val="24"/>
          <w:szCs w:val="24"/>
        </w:rPr>
        <w:t xml:space="preserve">Z toho úhrady ušlého výdělku </w:t>
      </w:r>
      <w:r w:rsidR="00B30C3D" w:rsidRPr="00B30C3D">
        <w:rPr>
          <w:rFonts w:cstheme="minorHAnsi"/>
          <w:sz w:val="24"/>
          <w:szCs w:val="24"/>
        </w:rPr>
        <w:t>43.104</w:t>
      </w:r>
      <w:r w:rsidR="00E234D3" w:rsidRPr="00B30C3D">
        <w:rPr>
          <w:rFonts w:cstheme="minorHAnsi"/>
          <w:sz w:val="24"/>
          <w:szCs w:val="24"/>
        </w:rPr>
        <w:t xml:space="preserve">,00 Kč </w:t>
      </w:r>
      <w:r w:rsidR="00270B34" w:rsidRPr="00B30C3D">
        <w:rPr>
          <w:rFonts w:cstheme="minorHAnsi"/>
          <w:sz w:val="24"/>
          <w:szCs w:val="24"/>
        </w:rPr>
        <w:t xml:space="preserve"> a paušální náhrady za výkon funkce přísedící</w:t>
      </w:r>
      <w:r w:rsidR="008B2458" w:rsidRPr="00B30C3D">
        <w:rPr>
          <w:rFonts w:cstheme="minorHAnsi"/>
          <w:sz w:val="24"/>
          <w:szCs w:val="24"/>
        </w:rPr>
        <w:t>c</w:t>
      </w:r>
      <w:r w:rsidR="00E234D3" w:rsidRPr="00B30C3D">
        <w:rPr>
          <w:rFonts w:cstheme="minorHAnsi"/>
          <w:sz w:val="24"/>
          <w:szCs w:val="24"/>
        </w:rPr>
        <w:t xml:space="preserve">h </w:t>
      </w:r>
      <w:r w:rsidR="00B30C3D" w:rsidRPr="00B30C3D">
        <w:rPr>
          <w:rFonts w:cstheme="minorHAnsi"/>
          <w:sz w:val="24"/>
          <w:szCs w:val="24"/>
        </w:rPr>
        <w:t>67.950</w:t>
      </w:r>
      <w:r w:rsidR="00E234D3" w:rsidRPr="00B30C3D">
        <w:rPr>
          <w:rFonts w:cstheme="minorHAnsi"/>
          <w:sz w:val="24"/>
          <w:szCs w:val="24"/>
        </w:rPr>
        <w:t>,00 Kč.</w:t>
      </w:r>
    </w:p>
    <w:p w:rsidR="00E234D3" w:rsidRPr="00C50533" w:rsidRDefault="00E234D3" w:rsidP="00AB7A4C">
      <w:pPr>
        <w:tabs>
          <w:tab w:val="left" w:pos="0"/>
        </w:tabs>
        <w:rPr>
          <w:rFonts w:cstheme="minorHAnsi"/>
          <w:sz w:val="24"/>
          <w:szCs w:val="24"/>
        </w:rPr>
      </w:pPr>
    </w:p>
    <w:p w:rsidR="00C50533" w:rsidRPr="00C50533" w:rsidRDefault="00E234D3" w:rsidP="00AB7A4C">
      <w:pPr>
        <w:tabs>
          <w:tab w:val="left" w:pos="0"/>
        </w:tabs>
        <w:rPr>
          <w:rFonts w:cstheme="minorHAnsi"/>
          <w:sz w:val="24"/>
          <w:szCs w:val="24"/>
        </w:rPr>
      </w:pPr>
      <w:r w:rsidRPr="00C50533">
        <w:rPr>
          <w:rFonts w:cstheme="minorHAnsi"/>
          <w:sz w:val="24"/>
          <w:szCs w:val="24"/>
        </w:rPr>
        <w:t>Upravený rozpočet na platy zaměstnanců a ostatní platby za provedené práce byl překračován o zapojené nároky z nespotřebovaných výdajů se souhlasem MSp ČR  a na základě  rozhodnutí Krajsk</w:t>
      </w:r>
      <w:r w:rsidR="00B30C3D" w:rsidRPr="00C50533">
        <w:rPr>
          <w:rFonts w:cstheme="minorHAnsi"/>
          <w:sz w:val="24"/>
          <w:szCs w:val="24"/>
        </w:rPr>
        <w:t>ého soudu v</w:t>
      </w:r>
      <w:r w:rsidR="00C50533" w:rsidRPr="00C50533">
        <w:rPr>
          <w:rFonts w:cstheme="minorHAnsi"/>
          <w:sz w:val="24"/>
          <w:szCs w:val="24"/>
        </w:rPr>
        <w:t> </w:t>
      </w:r>
      <w:r w:rsidR="00B30C3D" w:rsidRPr="00C50533">
        <w:rPr>
          <w:rFonts w:cstheme="minorHAnsi"/>
          <w:sz w:val="24"/>
          <w:szCs w:val="24"/>
        </w:rPr>
        <w:t>Plzni</w:t>
      </w:r>
      <w:r w:rsidR="00C50533" w:rsidRPr="00C50533">
        <w:rPr>
          <w:rFonts w:cstheme="minorHAnsi"/>
          <w:sz w:val="24"/>
          <w:szCs w:val="24"/>
        </w:rPr>
        <w:t>:</w:t>
      </w:r>
    </w:p>
    <w:p w:rsidR="00E234D3" w:rsidRPr="00C50533" w:rsidRDefault="00C50533" w:rsidP="00AB7A4C">
      <w:pPr>
        <w:tabs>
          <w:tab w:val="left" w:pos="0"/>
        </w:tabs>
        <w:rPr>
          <w:rFonts w:cstheme="minorHAnsi"/>
          <w:sz w:val="24"/>
          <w:szCs w:val="24"/>
        </w:rPr>
      </w:pPr>
      <w:r w:rsidRPr="00C50533">
        <w:rPr>
          <w:rFonts w:cstheme="minorHAnsi"/>
          <w:sz w:val="24"/>
          <w:szCs w:val="24"/>
        </w:rPr>
        <w:t xml:space="preserve">Rozpočtové opatření </w:t>
      </w:r>
      <w:r w:rsidR="00B30C3D" w:rsidRPr="00C50533">
        <w:rPr>
          <w:rFonts w:cstheme="minorHAnsi"/>
          <w:sz w:val="24"/>
          <w:szCs w:val="24"/>
        </w:rPr>
        <w:t xml:space="preserve"> sp. zn. Spr 8</w:t>
      </w:r>
      <w:r w:rsidR="00E234D3" w:rsidRPr="00C50533">
        <w:rPr>
          <w:rFonts w:cstheme="minorHAnsi"/>
          <w:sz w:val="24"/>
          <w:szCs w:val="24"/>
        </w:rPr>
        <w:t>4</w:t>
      </w:r>
      <w:r w:rsidR="00B30C3D" w:rsidRPr="00C50533">
        <w:rPr>
          <w:rFonts w:cstheme="minorHAnsi"/>
          <w:sz w:val="24"/>
          <w:szCs w:val="24"/>
        </w:rPr>
        <w:t>8</w:t>
      </w:r>
      <w:r w:rsidR="00E234D3" w:rsidRPr="00C50533">
        <w:rPr>
          <w:rFonts w:cstheme="minorHAnsi"/>
          <w:sz w:val="24"/>
          <w:szCs w:val="24"/>
        </w:rPr>
        <w:t>/202</w:t>
      </w:r>
      <w:r w:rsidR="00B30C3D" w:rsidRPr="00C50533">
        <w:rPr>
          <w:rFonts w:cstheme="minorHAnsi"/>
          <w:sz w:val="24"/>
          <w:szCs w:val="24"/>
        </w:rPr>
        <w:t>2</w:t>
      </w:r>
      <w:r w:rsidR="00E234D3" w:rsidRPr="00C50533">
        <w:rPr>
          <w:rFonts w:cstheme="minorHAnsi"/>
          <w:sz w:val="24"/>
          <w:szCs w:val="24"/>
        </w:rPr>
        <w:t xml:space="preserve"> ze dne </w:t>
      </w:r>
      <w:r w:rsidRPr="00C50533">
        <w:rPr>
          <w:rFonts w:cstheme="minorHAnsi"/>
          <w:sz w:val="24"/>
          <w:szCs w:val="24"/>
        </w:rPr>
        <w:t>30. 3. 2022</w:t>
      </w:r>
      <w:r w:rsidR="00E234D3" w:rsidRPr="00C50533">
        <w:rPr>
          <w:rFonts w:cstheme="minorHAnsi"/>
          <w:sz w:val="24"/>
          <w:szCs w:val="24"/>
        </w:rPr>
        <w:t>.</w:t>
      </w:r>
    </w:p>
    <w:p w:rsidR="00C50533" w:rsidRPr="00C50533" w:rsidRDefault="00E234D3" w:rsidP="00C50533">
      <w:pPr>
        <w:tabs>
          <w:tab w:val="left" w:pos="0"/>
        </w:tabs>
        <w:rPr>
          <w:rFonts w:cstheme="minorHAnsi"/>
          <w:sz w:val="24"/>
          <w:szCs w:val="24"/>
        </w:rPr>
      </w:pPr>
      <w:r w:rsidRPr="00C50533">
        <w:rPr>
          <w:rFonts w:cstheme="minorHAnsi"/>
          <w:sz w:val="24"/>
          <w:szCs w:val="24"/>
        </w:rPr>
        <w:t>5021 – Ostatní osobní výdaje</w:t>
      </w:r>
      <w:r w:rsidRPr="00C50533">
        <w:rPr>
          <w:rFonts w:cstheme="minorHAnsi"/>
          <w:sz w:val="24"/>
          <w:szCs w:val="24"/>
        </w:rPr>
        <w:tab/>
      </w:r>
      <w:r w:rsidRPr="00C50533">
        <w:rPr>
          <w:rFonts w:cstheme="minorHAnsi"/>
          <w:sz w:val="24"/>
          <w:szCs w:val="24"/>
        </w:rPr>
        <w:tab/>
        <w:t xml:space="preserve"> </w:t>
      </w:r>
      <w:r w:rsidR="00AD4DAE" w:rsidRPr="00C50533">
        <w:rPr>
          <w:rFonts w:cstheme="minorHAnsi"/>
          <w:sz w:val="24"/>
          <w:szCs w:val="24"/>
        </w:rPr>
        <w:tab/>
        <w:t xml:space="preserve">     </w:t>
      </w:r>
      <w:r w:rsidR="00C50533" w:rsidRPr="00C50533">
        <w:rPr>
          <w:rFonts w:cstheme="minorHAnsi"/>
          <w:sz w:val="24"/>
          <w:szCs w:val="24"/>
        </w:rPr>
        <w:t xml:space="preserve">  2.500,00 Kč</w:t>
      </w:r>
    </w:p>
    <w:p w:rsidR="00C50533" w:rsidRPr="00C50533" w:rsidRDefault="00E234D3" w:rsidP="00C50533">
      <w:pPr>
        <w:tabs>
          <w:tab w:val="left" w:pos="0"/>
        </w:tabs>
        <w:rPr>
          <w:rFonts w:cstheme="minorHAnsi"/>
          <w:sz w:val="24"/>
          <w:szCs w:val="24"/>
        </w:rPr>
      </w:pPr>
      <w:r w:rsidRPr="00C50533">
        <w:rPr>
          <w:rFonts w:cstheme="minorHAnsi"/>
          <w:sz w:val="24"/>
          <w:szCs w:val="24"/>
        </w:rPr>
        <w:t xml:space="preserve">5029 </w:t>
      </w:r>
      <w:r w:rsidR="00AD4DAE" w:rsidRPr="00C50533">
        <w:rPr>
          <w:rFonts w:cstheme="minorHAnsi"/>
          <w:sz w:val="24"/>
          <w:szCs w:val="24"/>
        </w:rPr>
        <w:t>–</w:t>
      </w:r>
      <w:r w:rsidRPr="00C50533">
        <w:rPr>
          <w:rFonts w:cstheme="minorHAnsi"/>
          <w:sz w:val="24"/>
          <w:szCs w:val="24"/>
        </w:rPr>
        <w:t xml:space="preserve"> </w:t>
      </w:r>
      <w:r w:rsidR="00AD4DAE" w:rsidRPr="00C50533">
        <w:rPr>
          <w:rFonts w:cstheme="minorHAnsi"/>
          <w:sz w:val="24"/>
          <w:szCs w:val="24"/>
        </w:rPr>
        <w:t>Ostatní platby za prov. práci j.n.</w:t>
      </w:r>
      <w:r w:rsidR="00AD4DAE" w:rsidRPr="00C50533">
        <w:rPr>
          <w:rFonts w:cstheme="minorHAnsi"/>
          <w:sz w:val="24"/>
          <w:szCs w:val="24"/>
        </w:rPr>
        <w:tab/>
        <w:t xml:space="preserve">     </w:t>
      </w:r>
      <w:r w:rsidR="00C50533" w:rsidRPr="00C50533">
        <w:rPr>
          <w:rFonts w:cstheme="minorHAnsi"/>
          <w:sz w:val="24"/>
          <w:szCs w:val="24"/>
        </w:rPr>
        <w:t>45</w:t>
      </w:r>
      <w:r w:rsidR="00AD4DAE" w:rsidRPr="00C50533">
        <w:rPr>
          <w:rFonts w:cstheme="minorHAnsi"/>
          <w:sz w:val="24"/>
          <w:szCs w:val="24"/>
        </w:rPr>
        <w:t>.</w:t>
      </w:r>
      <w:r w:rsidR="00C50533" w:rsidRPr="00C50533">
        <w:rPr>
          <w:rFonts w:cstheme="minorHAnsi"/>
          <w:sz w:val="24"/>
          <w:szCs w:val="24"/>
        </w:rPr>
        <w:t>9</w:t>
      </w:r>
      <w:r w:rsidR="00AD4DAE" w:rsidRPr="00C50533">
        <w:rPr>
          <w:rFonts w:cstheme="minorHAnsi"/>
          <w:sz w:val="24"/>
          <w:szCs w:val="24"/>
        </w:rPr>
        <w:t>28,00 Kč</w:t>
      </w:r>
    </w:p>
    <w:p w:rsidR="00C50533" w:rsidRPr="00C50533" w:rsidRDefault="00C50533" w:rsidP="00C50533">
      <w:pPr>
        <w:tabs>
          <w:tab w:val="left" w:pos="0"/>
        </w:tabs>
        <w:rPr>
          <w:rFonts w:cstheme="minorHAnsi"/>
          <w:sz w:val="24"/>
          <w:szCs w:val="24"/>
        </w:rPr>
      </w:pPr>
      <w:r w:rsidRPr="00C50533">
        <w:rPr>
          <w:rFonts w:cstheme="minorHAnsi"/>
          <w:sz w:val="24"/>
          <w:szCs w:val="24"/>
        </w:rPr>
        <w:t xml:space="preserve"> </w:t>
      </w:r>
    </w:p>
    <w:p w:rsidR="00C50533" w:rsidRPr="00C50533" w:rsidRDefault="00C50533" w:rsidP="00C50533">
      <w:pPr>
        <w:tabs>
          <w:tab w:val="left" w:pos="0"/>
        </w:tabs>
        <w:rPr>
          <w:rFonts w:cstheme="minorHAnsi"/>
          <w:sz w:val="24"/>
          <w:szCs w:val="24"/>
        </w:rPr>
      </w:pPr>
      <w:r w:rsidRPr="00C50533">
        <w:rPr>
          <w:rFonts w:cstheme="minorHAnsi"/>
          <w:sz w:val="24"/>
          <w:szCs w:val="24"/>
        </w:rPr>
        <w:t>Rozpočtové opatření  sp. zn. Spr 2009/2022 ze dne 17. 8. 2022.</w:t>
      </w:r>
    </w:p>
    <w:p w:rsidR="00C50533" w:rsidRPr="00C50533" w:rsidRDefault="00C50533" w:rsidP="00C50533">
      <w:pPr>
        <w:tabs>
          <w:tab w:val="left" w:pos="0"/>
        </w:tabs>
        <w:rPr>
          <w:rFonts w:cstheme="minorHAnsi"/>
          <w:sz w:val="24"/>
          <w:szCs w:val="24"/>
        </w:rPr>
      </w:pPr>
      <w:r w:rsidRPr="00C50533">
        <w:rPr>
          <w:rFonts w:cstheme="minorHAnsi"/>
          <w:sz w:val="24"/>
          <w:szCs w:val="24"/>
        </w:rPr>
        <w:t>5022 – Platy soudců</w:t>
      </w:r>
      <w:r w:rsidRPr="00C50533">
        <w:rPr>
          <w:rFonts w:cstheme="minorHAnsi"/>
          <w:sz w:val="24"/>
          <w:szCs w:val="24"/>
        </w:rPr>
        <w:tab/>
      </w:r>
      <w:r w:rsidRPr="00C50533">
        <w:rPr>
          <w:rFonts w:cstheme="minorHAnsi"/>
          <w:sz w:val="24"/>
          <w:szCs w:val="24"/>
        </w:rPr>
        <w:tab/>
      </w:r>
      <w:r w:rsidRPr="00C50533">
        <w:rPr>
          <w:rFonts w:cstheme="minorHAnsi"/>
          <w:sz w:val="24"/>
          <w:szCs w:val="24"/>
        </w:rPr>
        <w:tab/>
        <w:t xml:space="preserve">              1.121.533,00 Kč</w:t>
      </w:r>
    </w:p>
    <w:p w:rsidR="00C50533" w:rsidRPr="00C50533" w:rsidRDefault="00C50533" w:rsidP="00C50533">
      <w:pPr>
        <w:tabs>
          <w:tab w:val="left" w:pos="0"/>
        </w:tabs>
        <w:rPr>
          <w:rFonts w:cstheme="minorHAnsi"/>
          <w:sz w:val="24"/>
          <w:szCs w:val="24"/>
        </w:rPr>
      </w:pPr>
    </w:p>
    <w:p w:rsidR="00C50533" w:rsidRPr="00C50533" w:rsidRDefault="00C50533" w:rsidP="00C50533">
      <w:pPr>
        <w:tabs>
          <w:tab w:val="left" w:pos="0"/>
        </w:tabs>
        <w:rPr>
          <w:rFonts w:cstheme="minorHAnsi"/>
          <w:sz w:val="24"/>
          <w:szCs w:val="24"/>
        </w:rPr>
      </w:pPr>
      <w:r w:rsidRPr="00C50533">
        <w:rPr>
          <w:rFonts w:cstheme="minorHAnsi"/>
          <w:sz w:val="24"/>
          <w:szCs w:val="24"/>
        </w:rPr>
        <w:t>Zapojení NNV bylo provedeno v celkové  výši 1.169.961,00 Kč</w:t>
      </w:r>
    </w:p>
    <w:p w:rsidR="008D5E54" w:rsidRDefault="008D5E54" w:rsidP="00AB7A4C">
      <w:pPr>
        <w:tabs>
          <w:tab w:val="left" w:pos="4934"/>
        </w:tabs>
        <w:rPr>
          <w:rFonts w:cstheme="minorHAnsi"/>
          <w:sz w:val="24"/>
          <w:szCs w:val="24"/>
        </w:rPr>
      </w:pPr>
    </w:p>
    <w:p w:rsidR="008D5E54" w:rsidRDefault="008D5E54" w:rsidP="00AB7A4C">
      <w:pPr>
        <w:tabs>
          <w:tab w:val="left" w:pos="4934"/>
        </w:tabs>
        <w:rPr>
          <w:rFonts w:cstheme="minorHAnsi"/>
          <w:sz w:val="24"/>
          <w:szCs w:val="24"/>
        </w:rPr>
      </w:pPr>
    </w:p>
    <w:p w:rsidR="008D5E54" w:rsidRDefault="008D5E54" w:rsidP="00AB7A4C">
      <w:pPr>
        <w:tabs>
          <w:tab w:val="left" w:pos="4934"/>
        </w:tabs>
        <w:rPr>
          <w:rFonts w:cstheme="minorHAnsi"/>
          <w:sz w:val="24"/>
          <w:szCs w:val="24"/>
        </w:rPr>
      </w:pPr>
    </w:p>
    <w:p w:rsidR="003C5432" w:rsidRPr="00C50533" w:rsidRDefault="00AB7A4C" w:rsidP="00AB7A4C">
      <w:pPr>
        <w:tabs>
          <w:tab w:val="left" w:pos="4934"/>
        </w:tabs>
        <w:rPr>
          <w:rFonts w:cstheme="minorHAnsi"/>
          <w:sz w:val="24"/>
          <w:szCs w:val="24"/>
        </w:rPr>
        <w:sectPr w:rsidR="003C5432" w:rsidRPr="00C50533" w:rsidSect="00010B02">
          <w:type w:val="continuous"/>
          <w:pgSz w:w="16838" w:h="11906" w:orient="landscape"/>
          <w:pgMar w:top="1417" w:right="1417" w:bottom="1417" w:left="1417" w:header="709" w:footer="709" w:gutter="0"/>
          <w:cols w:space="708"/>
          <w:titlePg/>
          <w:docGrid w:linePitch="360"/>
        </w:sectPr>
      </w:pPr>
      <w:r w:rsidRPr="00C50533">
        <w:rPr>
          <w:rFonts w:cstheme="minorHAnsi"/>
          <w:sz w:val="24"/>
          <w:szCs w:val="24"/>
        </w:rPr>
        <w:tab/>
      </w:r>
    </w:p>
    <w:p w:rsidR="00AB7A4C" w:rsidRPr="008D5E54" w:rsidRDefault="00684929" w:rsidP="008D5E54">
      <w:pPr>
        <w:pStyle w:val="Odstavecseseznamem"/>
        <w:numPr>
          <w:ilvl w:val="0"/>
          <w:numId w:val="3"/>
        </w:numPr>
        <w:spacing w:before="120" w:after="120"/>
        <w:jc w:val="both"/>
        <w:rPr>
          <w:rFonts w:cstheme="minorHAnsi"/>
        </w:rPr>
      </w:pPr>
      <w:r w:rsidRPr="008D5E54">
        <w:rPr>
          <w:rFonts w:cstheme="minorHAnsi"/>
        </w:rPr>
        <w:lastRenderedPageBreak/>
        <w:t>Rozbor zaměstnanosti</w:t>
      </w:r>
    </w:p>
    <w:p w:rsidR="0004480A" w:rsidRPr="00C9684A" w:rsidRDefault="00B85DFE" w:rsidP="008D5E54">
      <w:pPr>
        <w:spacing w:before="120" w:after="120"/>
        <w:jc w:val="both"/>
        <w:rPr>
          <w:rFonts w:cstheme="minorHAnsi"/>
          <w:color w:val="FF0000"/>
        </w:rPr>
      </w:pPr>
      <w:r>
        <w:rPr>
          <w:noProof/>
        </w:rPr>
        <w:object w:dxaOrig="1440" w:dyaOrig="1440">
          <v:shape id="_x0000_s1074" type="#_x0000_t75" style="position:absolute;left:0;text-align:left;margin-left:-1.6pt;margin-top:10.3pt;width:747.45pt;height:396.25pt;z-index:251663360;mso-position-horizontal-relative:text;mso-position-vertical-relative:text">
            <v:imagedata r:id="rId28" o:title=""/>
            <w10:wrap type="square" side="right"/>
          </v:shape>
          <o:OLEObject Type="Embed" ProgID="Excel.Sheet.12" ShapeID="_x0000_s1074" DrawAspect="Content" ObjectID="_1738644134" r:id="rId29"/>
        </w:object>
      </w:r>
    </w:p>
    <w:p w:rsidR="0004480A" w:rsidRPr="00C9684A" w:rsidRDefault="007965F4" w:rsidP="0004480A">
      <w:pPr>
        <w:pStyle w:val="Titulek"/>
        <w:keepNext/>
        <w:rPr>
          <w:rFonts w:cstheme="minorHAnsi"/>
          <w:color w:val="FF0000"/>
        </w:rPr>
      </w:pPr>
      <w:r w:rsidRPr="0092058E">
        <w:rPr>
          <w:rFonts w:cstheme="minorHAnsi"/>
        </w:rPr>
        <w:lastRenderedPageBreak/>
        <w:t>Stavy soud</w:t>
      </w:r>
      <w:r w:rsidR="00B8321E" w:rsidRPr="0092058E">
        <w:rPr>
          <w:rFonts w:cstheme="minorHAnsi"/>
        </w:rPr>
        <w:t>c</w:t>
      </w:r>
      <w:r w:rsidRPr="0092058E">
        <w:rPr>
          <w:rFonts w:cstheme="minorHAnsi"/>
        </w:rPr>
        <w:t>ů/státních zástupců a zaměstnanců (bez zaměstnankyň</w:t>
      </w:r>
      <w:r w:rsidRPr="0092058E">
        <w:rPr>
          <w:rFonts w:cstheme="minorHAnsi"/>
          <w:noProof/>
        </w:rPr>
        <w:t xml:space="preserve"> na MD)</w:t>
      </w:r>
      <w:r w:rsidR="004926F9" w:rsidRPr="0092058E">
        <w:rPr>
          <w:rFonts w:cstheme="minorHAnsi"/>
        </w:rPr>
        <w:t xml:space="preserve"> </w:t>
      </w:r>
      <w:bookmarkStart w:id="29" w:name="_MON_1672055219"/>
      <w:bookmarkEnd w:id="29"/>
      <w:r w:rsidR="006B7A87" w:rsidRPr="00C9684A">
        <w:rPr>
          <w:rFonts w:cstheme="minorHAnsi"/>
          <w:color w:val="FF0000"/>
        </w:rPr>
        <w:object w:dxaOrig="14838" w:dyaOrig="7143" w14:anchorId="63CF636E">
          <v:shape id="_x0000_i1035" type="#_x0000_t75" style="width:741.75pt;height:5in" o:ole="">
            <v:imagedata r:id="rId30" o:title=""/>
          </v:shape>
          <o:OLEObject Type="Embed" ProgID="Excel.Sheet.12" ShapeID="_x0000_i1035" DrawAspect="Content" ObjectID="_1738644116" r:id="rId31"/>
        </w:object>
      </w:r>
    </w:p>
    <w:p w:rsidR="003C5432" w:rsidRPr="00611FED" w:rsidRDefault="00717D2B" w:rsidP="004926F9">
      <w:pPr>
        <w:tabs>
          <w:tab w:val="left" w:pos="0"/>
        </w:tabs>
        <w:rPr>
          <w:rFonts w:cstheme="minorHAnsi"/>
        </w:rPr>
        <w:sectPr w:rsidR="003C5432" w:rsidRPr="00611FED" w:rsidSect="00010B02">
          <w:type w:val="continuous"/>
          <w:pgSz w:w="16838" w:h="11906" w:orient="landscape"/>
          <w:pgMar w:top="1417" w:right="1417" w:bottom="1417" w:left="1417" w:header="709" w:footer="709" w:gutter="0"/>
          <w:cols w:space="708"/>
          <w:titlePg/>
          <w:docGrid w:linePitch="360"/>
        </w:sectPr>
      </w:pPr>
      <w:r w:rsidRPr="00611FED">
        <w:rPr>
          <w:rFonts w:cstheme="minorHAnsi"/>
        </w:rPr>
        <w:t>*</w:t>
      </w:r>
      <w:r w:rsidR="0004480A" w:rsidRPr="00611FED">
        <w:rPr>
          <w:rFonts w:cstheme="minorHAnsi"/>
        </w:rPr>
        <w:t xml:space="preserve">Plánovaný počet vyšších soudních úředníků </w:t>
      </w:r>
      <w:r w:rsidRPr="00611FED">
        <w:rPr>
          <w:rFonts w:cstheme="minorHAnsi"/>
        </w:rPr>
        <w:t xml:space="preserve"> </w:t>
      </w:r>
      <w:r w:rsidR="00A15F27" w:rsidRPr="00611FED">
        <w:rPr>
          <w:rFonts w:cstheme="minorHAnsi"/>
        </w:rPr>
        <w:t>nebyl rozhodnutím MSP ČR určen</w:t>
      </w:r>
      <w:r w:rsidR="00B62A0F" w:rsidRPr="00611FED">
        <w:rPr>
          <w:rFonts w:cstheme="minorHAnsi"/>
        </w:rPr>
        <w:t xml:space="preserve">, </w:t>
      </w:r>
      <w:r w:rsidR="006B7A87">
        <w:rPr>
          <w:rFonts w:cstheme="minorHAnsi"/>
        </w:rPr>
        <w:t>v roce 2021</w:t>
      </w:r>
      <w:r w:rsidR="00B62A0F" w:rsidRPr="00611FED">
        <w:rPr>
          <w:rFonts w:cstheme="minorHAnsi"/>
        </w:rPr>
        <w:t xml:space="preserve"> nebyl určen ani plánovaný počet asistentů soudců</w:t>
      </w:r>
    </w:p>
    <w:p w:rsidR="0004480A" w:rsidRPr="00C9684A" w:rsidRDefault="0004480A" w:rsidP="004926F9">
      <w:pPr>
        <w:tabs>
          <w:tab w:val="left" w:pos="0"/>
        </w:tabs>
        <w:rPr>
          <w:rFonts w:cstheme="minorHAnsi"/>
          <w:color w:val="FF0000"/>
        </w:rPr>
      </w:pPr>
    </w:p>
    <w:p w:rsidR="00F373F5" w:rsidRPr="003966BA" w:rsidRDefault="00F373F5" w:rsidP="00ED5733">
      <w:pPr>
        <w:pStyle w:val="Nadpis2"/>
      </w:pPr>
      <w:bookmarkStart w:id="30" w:name="_Toc534878026"/>
      <w:bookmarkStart w:id="31" w:name="_Toc124839830"/>
      <w:r w:rsidRPr="003966BA">
        <w:t>Hodnocení hospodárnosti, efektivnosti a účelnosti vynakládání výdajů</w:t>
      </w:r>
      <w:bookmarkEnd w:id="30"/>
      <w:bookmarkEnd w:id="31"/>
    </w:p>
    <w:tbl>
      <w:tblPr>
        <w:tblpPr w:leftFromText="141" w:rightFromText="141" w:vertAnchor="text" w:tblpX="284" w:tblpY="1"/>
        <w:tblOverlap w:val="never"/>
        <w:tblW w:w="5000" w:type="pct"/>
        <w:tblCellMar>
          <w:left w:w="70" w:type="dxa"/>
          <w:right w:w="70" w:type="dxa"/>
        </w:tblCellMar>
        <w:tblLook w:val="04A0" w:firstRow="1" w:lastRow="0" w:firstColumn="1" w:lastColumn="0" w:noHBand="0" w:noVBand="1"/>
      </w:tblPr>
      <w:tblGrid>
        <w:gridCol w:w="8508"/>
        <w:gridCol w:w="141"/>
        <w:gridCol w:w="141"/>
        <w:gridCol w:w="141"/>
        <w:gridCol w:w="141"/>
      </w:tblGrid>
      <w:tr w:rsidR="00443F2A" w:rsidRPr="00C9684A" w:rsidTr="00207413">
        <w:trPr>
          <w:trHeight w:val="255"/>
        </w:trPr>
        <w:tc>
          <w:tcPr>
            <w:tcW w:w="4689" w:type="pct"/>
            <w:tcBorders>
              <w:top w:val="nil"/>
              <w:left w:val="nil"/>
              <w:bottom w:val="nil"/>
              <w:right w:val="nil"/>
            </w:tcBorders>
            <w:shd w:val="clear" w:color="auto" w:fill="auto"/>
            <w:noWrap/>
            <w:vAlign w:val="bottom"/>
          </w:tcPr>
          <w:p w:rsidR="00020CA8" w:rsidRPr="00C87433" w:rsidRDefault="00020CA8" w:rsidP="0076618C">
            <w:pPr>
              <w:jc w:val="both"/>
              <w:rPr>
                <w:rFonts w:cstheme="minorHAnsi"/>
                <w:b/>
                <w:sz w:val="24"/>
                <w:szCs w:val="24"/>
              </w:rPr>
            </w:pPr>
            <w:r w:rsidRPr="00C87433">
              <w:rPr>
                <w:rFonts w:cstheme="minorHAnsi"/>
                <w:b/>
                <w:sz w:val="24"/>
                <w:szCs w:val="24"/>
              </w:rPr>
              <w:t>Porovnání nákladů n</w:t>
            </w:r>
            <w:r w:rsidR="003B2915" w:rsidRPr="00C87433">
              <w:rPr>
                <w:rFonts w:cstheme="minorHAnsi"/>
                <w:b/>
                <w:sz w:val="24"/>
                <w:szCs w:val="24"/>
              </w:rPr>
              <w:t xml:space="preserve">a 1 </w:t>
            </w:r>
            <w:r w:rsidR="003966BA" w:rsidRPr="00C87433">
              <w:rPr>
                <w:rFonts w:cstheme="minorHAnsi"/>
                <w:b/>
                <w:sz w:val="24"/>
                <w:szCs w:val="24"/>
              </w:rPr>
              <w:t>zaměstnance za rok 2016-2022</w:t>
            </w:r>
            <w:r w:rsidRPr="00C87433">
              <w:rPr>
                <w:rFonts w:cstheme="minorHAnsi"/>
                <w:b/>
                <w:sz w:val="24"/>
                <w:szCs w:val="24"/>
              </w:rPr>
              <w:t>:</w:t>
            </w:r>
          </w:p>
          <w:tbl>
            <w:tblPr>
              <w:tblStyle w:val="Mkatabulky"/>
              <w:tblW w:w="0" w:type="auto"/>
              <w:tblLook w:val="04A0" w:firstRow="1" w:lastRow="0" w:firstColumn="1" w:lastColumn="0" w:noHBand="0" w:noVBand="1"/>
            </w:tblPr>
            <w:tblGrid>
              <w:gridCol w:w="1203"/>
              <w:gridCol w:w="2331"/>
              <w:gridCol w:w="2478"/>
              <w:gridCol w:w="2346"/>
            </w:tblGrid>
            <w:tr w:rsidR="003966BA" w:rsidRPr="00C87433" w:rsidTr="00020CA8">
              <w:tc>
                <w:tcPr>
                  <w:tcW w:w="1242" w:type="dxa"/>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Rok</w:t>
                  </w:r>
                </w:p>
              </w:tc>
              <w:tc>
                <w:tcPr>
                  <w:tcW w:w="2410" w:type="dxa"/>
                  <w:vAlign w:val="center"/>
                </w:tcPr>
                <w:p w:rsidR="00020CA8" w:rsidRPr="00C87433" w:rsidRDefault="00020CA8" w:rsidP="00B85DFE">
                  <w:pPr>
                    <w:framePr w:hSpace="141" w:wrap="around" w:vAnchor="text" w:hAnchor="text" w:x="284" w:y="1"/>
                    <w:suppressOverlap/>
                    <w:rPr>
                      <w:rFonts w:cstheme="minorHAnsi"/>
                      <w:b/>
                      <w:sz w:val="24"/>
                      <w:szCs w:val="24"/>
                    </w:rPr>
                  </w:pPr>
                  <w:r w:rsidRPr="00C87433">
                    <w:rPr>
                      <w:rFonts w:cstheme="minorHAnsi"/>
                      <w:b/>
                      <w:sz w:val="24"/>
                      <w:szCs w:val="24"/>
                    </w:rPr>
                    <w:t>Skutečnost v tis. Kč</w:t>
                  </w:r>
                </w:p>
              </w:tc>
              <w:tc>
                <w:tcPr>
                  <w:tcW w:w="2552" w:type="dxa"/>
                  <w:vAlign w:val="center"/>
                </w:tcPr>
                <w:p w:rsidR="00020CA8" w:rsidRPr="00C87433" w:rsidRDefault="00020CA8" w:rsidP="00B85DFE">
                  <w:pPr>
                    <w:framePr w:hSpace="141" w:wrap="around" w:vAnchor="text" w:hAnchor="text" w:x="284" w:y="1"/>
                    <w:suppressOverlap/>
                    <w:rPr>
                      <w:rFonts w:cstheme="minorHAnsi"/>
                      <w:b/>
                      <w:sz w:val="24"/>
                      <w:szCs w:val="24"/>
                    </w:rPr>
                  </w:pPr>
                  <w:r w:rsidRPr="00C87433">
                    <w:rPr>
                      <w:rFonts w:cstheme="minorHAnsi"/>
                      <w:b/>
                      <w:sz w:val="24"/>
                      <w:szCs w:val="24"/>
                    </w:rPr>
                    <w:t>Náklady na jednoho zaměstnance v tis. Kč</w:t>
                  </w:r>
                </w:p>
              </w:tc>
              <w:tc>
                <w:tcPr>
                  <w:tcW w:w="2409" w:type="dxa"/>
                  <w:vAlign w:val="center"/>
                </w:tcPr>
                <w:p w:rsidR="00020CA8" w:rsidRPr="00C87433" w:rsidRDefault="00020CA8" w:rsidP="00B85DFE">
                  <w:pPr>
                    <w:framePr w:hSpace="141" w:wrap="around" w:vAnchor="text" w:hAnchor="text" w:x="284" w:y="1"/>
                    <w:suppressOverlap/>
                    <w:rPr>
                      <w:rFonts w:cstheme="minorHAnsi"/>
                      <w:b/>
                      <w:sz w:val="24"/>
                      <w:szCs w:val="24"/>
                    </w:rPr>
                  </w:pPr>
                  <w:r w:rsidRPr="00C87433">
                    <w:rPr>
                      <w:rFonts w:cstheme="minorHAnsi"/>
                      <w:b/>
                      <w:sz w:val="24"/>
                      <w:szCs w:val="24"/>
                    </w:rPr>
                    <w:t>Index s předchozím rokem</w:t>
                  </w:r>
                </w:p>
              </w:tc>
            </w:tr>
            <w:tr w:rsidR="003966BA" w:rsidRPr="00C87433" w:rsidTr="00020CA8">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2016</w:t>
                  </w:r>
                </w:p>
              </w:tc>
              <w:tc>
                <w:tcPr>
                  <w:tcW w:w="241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6.355,38</w:t>
                  </w:r>
                </w:p>
              </w:tc>
              <w:tc>
                <w:tcPr>
                  <w:tcW w:w="2552"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73,85</w:t>
                  </w:r>
                </w:p>
              </w:tc>
              <w:tc>
                <w:tcPr>
                  <w:tcW w:w="240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0,99</w:t>
                  </w:r>
                </w:p>
              </w:tc>
            </w:tr>
            <w:tr w:rsidR="003966BA" w:rsidRPr="00C87433" w:rsidTr="00020CA8">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2017</w:t>
                  </w:r>
                </w:p>
              </w:tc>
              <w:tc>
                <w:tcPr>
                  <w:tcW w:w="241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7.217,30</w:t>
                  </w:r>
                </w:p>
              </w:tc>
              <w:tc>
                <w:tcPr>
                  <w:tcW w:w="2552"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83,64</w:t>
                  </w:r>
                </w:p>
              </w:tc>
              <w:tc>
                <w:tcPr>
                  <w:tcW w:w="240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1,13</w:t>
                  </w:r>
                </w:p>
              </w:tc>
            </w:tr>
            <w:tr w:rsidR="003966BA" w:rsidRPr="00C87433" w:rsidTr="00020CA8">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2018</w:t>
                  </w:r>
                </w:p>
              </w:tc>
              <w:tc>
                <w:tcPr>
                  <w:tcW w:w="241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7.557,77</w:t>
                  </w:r>
                </w:p>
              </w:tc>
              <w:tc>
                <w:tcPr>
                  <w:tcW w:w="2552"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87,79</w:t>
                  </w:r>
                </w:p>
              </w:tc>
              <w:tc>
                <w:tcPr>
                  <w:tcW w:w="240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1,05</w:t>
                  </w:r>
                </w:p>
              </w:tc>
            </w:tr>
            <w:tr w:rsidR="003966BA" w:rsidRPr="00C87433" w:rsidTr="00020CA8">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2019</w:t>
                  </w:r>
                </w:p>
              </w:tc>
              <w:tc>
                <w:tcPr>
                  <w:tcW w:w="241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7.220,23</w:t>
                  </w:r>
                </w:p>
              </w:tc>
              <w:tc>
                <w:tcPr>
                  <w:tcW w:w="2552"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83,75</w:t>
                  </w:r>
                </w:p>
              </w:tc>
              <w:tc>
                <w:tcPr>
                  <w:tcW w:w="240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0,95</w:t>
                  </w:r>
                </w:p>
              </w:tc>
            </w:tr>
            <w:tr w:rsidR="003966BA" w:rsidRPr="00C87433" w:rsidTr="00020CA8">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2020</w:t>
                  </w:r>
                </w:p>
              </w:tc>
              <w:tc>
                <w:tcPr>
                  <w:tcW w:w="2410" w:type="dxa"/>
                  <w:vAlign w:val="bottom"/>
                </w:tcPr>
                <w:p w:rsidR="00020CA8"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7.229,48</w:t>
                  </w:r>
                </w:p>
              </w:tc>
              <w:tc>
                <w:tcPr>
                  <w:tcW w:w="2552" w:type="dxa"/>
                  <w:vAlign w:val="bottom"/>
                </w:tcPr>
                <w:p w:rsidR="00020CA8"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84,00</w:t>
                  </w:r>
                </w:p>
              </w:tc>
              <w:tc>
                <w:tcPr>
                  <w:tcW w:w="2409" w:type="dxa"/>
                  <w:vAlign w:val="bottom"/>
                </w:tcPr>
                <w:p w:rsidR="00020CA8"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1,00</w:t>
                  </w:r>
                </w:p>
              </w:tc>
            </w:tr>
            <w:tr w:rsidR="003966BA" w:rsidRPr="00C87433" w:rsidTr="00020CA8">
              <w:tc>
                <w:tcPr>
                  <w:tcW w:w="1242" w:type="dxa"/>
                </w:tcPr>
                <w:p w:rsidR="003B2915" w:rsidRPr="00C87433" w:rsidRDefault="003B2915" w:rsidP="00B85DFE">
                  <w:pPr>
                    <w:framePr w:hSpace="141" w:wrap="around" w:vAnchor="text" w:hAnchor="text" w:x="284" w:y="1"/>
                    <w:suppressOverlap/>
                    <w:jc w:val="center"/>
                    <w:rPr>
                      <w:rFonts w:cstheme="minorHAnsi"/>
                      <w:b/>
                      <w:sz w:val="24"/>
                      <w:szCs w:val="24"/>
                    </w:rPr>
                  </w:pPr>
                  <w:r w:rsidRPr="00C87433">
                    <w:rPr>
                      <w:rFonts w:cstheme="minorHAnsi"/>
                      <w:b/>
                      <w:sz w:val="24"/>
                      <w:szCs w:val="24"/>
                    </w:rPr>
                    <w:t>2021</w:t>
                  </w:r>
                </w:p>
              </w:tc>
              <w:tc>
                <w:tcPr>
                  <w:tcW w:w="2410" w:type="dxa"/>
                  <w:vAlign w:val="bottom"/>
                </w:tcPr>
                <w:p w:rsidR="003B2915" w:rsidRPr="00C87433" w:rsidRDefault="003B2915" w:rsidP="00B85DFE">
                  <w:pPr>
                    <w:framePr w:hSpace="141" w:wrap="around" w:vAnchor="text" w:hAnchor="text" w:x="284" w:y="1"/>
                    <w:suppressOverlap/>
                    <w:jc w:val="right"/>
                    <w:rPr>
                      <w:rFonts w:cstheme="minorHAnsi"/>
                      <w:sz w:val="24"/>
                      <w:szCs w:val="24"/>
                    </w:rPr>
                  </w:pPr>
                  <w:r w:rsidRPr="00C87433">
                    <w:rPr>
                      <w:rFonts w:cstheme="minorHAnsi"/>
                      <w:sz w:val="24"/>
                      <w:szCs w:val="24"/>
                    </w:rPr>
                    <w:t>5.868,08</w:t>
                  </w:r>
                </w:p>
              </w:tc>
              <w:tc>
                <w:tcPr>
                  <w:tcW w:w="2552" w:type="dxa"/>
                  <w:vAlign w:val="bottom"/>
                </w:tcPr>
                <w:p w:rsidR="003B2915" w:rsidRPr="00C87433" w:rsidRDefault="003B2915" w:rsidP="00B85DFE">
                  <w:pPr>
                    <w:framePr w:hSpace="141" w:wrap="around" w:vAnchor="text" w:hAnchor="text" w:x="284" w:y="1"/>
                    <w:suppressOverlap/>
                    <w:jc w:val="right"/>
                    <w:rPr>
                      <w:rFonts w:cstheme="minorHAnsi"/>
                      <w:sz w:val="24"/>
                      <w:szCs w:val="24"/>
                    </w:rPr>
                  </w:pPr>
                  <w:r w:rsidRPr="00C87433">
                    <w:rPr>
                      <w:rFonts w:cstheme="minorHAnsi"/>
                      <w:sz w:val="24"/>
                      <w:szCs w:val="24"/>
                    </w:rPr>
                    <w:t>67,13</w:t>
                  </w:r>
                </w:p>
              </w:tc>
              <w:tc>
                <w:tcPr>
                  <w:tcW w:w="2409" w:type="dxa"/>
                  <w:vAlign w:val="bottom"/>
                </w:tcPr>
                <w:p w:rsidR="003B2915" w:rsidRPr="00C87433" w:rsidRDefault="003B2915" w:rsidP="00B85DFE">
                  <w:pPr>
                    <w:framePr w:hSpace="141" w:wrap="around" w:vAnchor="text" w:hAnchor="text" w:x="284" w:y="1"/>
                    <w:suppressOverlap/>
                    <w:jc w:val="right"/>
                    <w:rPr>
                      <w:rFonts w:cstheme="minorHAnsi"/>
                      <w:sz w:val="24"/>
                      <w:szCs w:val="24"/>
                    </w:rPr>
                  </w:pPr>
                  <w:r w:rsidRPr="00C87433">
                    <w:rPr>
                      <w:rFonts w:cstheme="minorHAnsi"/>
                      <w:sz w:val="24"/>
                      <w:szCs w:val="24"/>
                    </w:rPr>
                    <w:t>0,80</w:t>
                  </w:r>
                </w:p>
              </w:tc>
            </w:tr>
            <w:tr w:rsidR="003966BA" w:rsidRPr="00C87433" w:rsidTr="00020CA8">
              <w:tc>
                <w:tcPr>
                  <w:tcW w:w="1242" w:type="dxa"/>
                </w:tcPr>
                <w:p w:rsidR="003966BA" w:rsidRPr="00C87433" w:rsidRDefault="003966BA" w:rsidP="00B85DFE">
                  <w:pPr>
                    <w:framePr w:hSpace="141" w:wrap="around" w:vAnchor="text" w:hAnchor="text" w:x="284" w:y="1"/>
                    <w:suppressOverlap/>
                    <w:jc w:val="center"/>
                    <w:rPr>
                      <w:rFonts w:cstheme="minorHAnsi"/>
                      <w:b/>
                      <w:sz w:val="24"/>
                      <w:szCs w:val="24"/>
                    </w:rPr>
                  </w:pPr>
                  <w:r w:rsidRPr="00C87433">
                    <w:rPr>
                      <w:rFonts w:cstheme="minorHAnsi"/>
                      <w:b/>
                      <w:sz w:val="24"/>
                      <w:szCs w:val="24"/>
                    </w:rPr>
                    <w:t>2022</w:t>
                  </w:r>
                </w:p>
              </w:tc>
              <w:tc>
                <w:tcPr>
                  <w:tcW w:w="2410" w:type="dxa"/>
                  <w:vAlign w:val="bottom"/>
                </w:tcPr>
                <w:p w:rsidR="003966BA" w:rsidRPr="00C87433" w:rsidRDefault="003966BA" w:rsidP="00B85DFE">
                  <w:pPr>
                    <w:framePr w:hSpace="141" w:wrap="around" w:vAnchor="text" w:hAnchor="text" w:x="284" w:y="1"/>
                    <w:suppressOverlap/>
                    <w:jc w:val="right"/>
                    <w:rPr>
                      <w:rFonts w:cstheme="minorHAnsi"/>
                      <w:sz w:val="24"/>
                      <w:szCs w:val="24"/>
                    </w:rPr>
                  </w:pPr>
                  <w:r w:rsidRPr="00C87433">
                    <w:rPr>
                      <w:rFonts w:cstheme="minorHAnsi"/>
                      <w:sz w:val="24"/>
                      <w:szCs w:val="24"/>
                    </w:rPr>
                    <w:t>9.413,50</w:t>
                  </w:r>
                </w:p>
              </w:tc>
              <w:tc>
                <w:tcPr>
                  <w:tcW w:w="2552" w:type="dxa"/>
                  <w:vAlign w:val="bottom"/>
                </w:tcPr>
                <w:p w:rsidR="003966BA" w:rsidRPr="00C87433" w:rsidRDefault="003966BA" w:rsidP="00B85DFE">
                  <w:pPr>
                    <w:framePr w:hSpace="141" w:wrap="around" w:vAnchor="text" w:hAnchor="text" w:x="284" w:y="1"/>
                    <w:suppressOverlap/>
                    <w:jc w:val="right"/>
                    <w:rPr>
                      <w:rFonts w:cstheme="minorHAnsi"/>
                      <w:sz w:val="24"/>
                      <w:szCs w:val="24"/>
                    </w:rPr>
                  </w:pPr>
                  <w:r w:rsidRPr="00C87433">
                    <w:rPr>
                      <w:rFonts w:cstheme="minorHAnsi"/>
                      <w:sz w:val="24"/>
                      <w:szCs w:val="24"/>
                    </w:rPr>
                    <w:t>110,19</w:t>
                  </w:r>
                </w:p>
              </w:tc>
              <w:tc>
                <w:tcPr>
                  <w:tcW w:w="2409" w:type="dxa"/>
                  <w:vAlign w:val="bottom"/>
                </w:tcPr>
                <w:p w:rsidR="003966BA" w:rsidRPr="00C87433" w:rsidRDefault="003966BA" w:rsidP="00B85DFE">
                  <w:pPr>
                    <w:framePr w:hSpace="141" w:wrap="around" w:vAnchor="text" w:hAnchor="text" w:x="284" w:y="1"/>
                    <w:suppressOverlap/>
                    <w:jc w:val="right"/>
                    <w:rPr>
                      <w:rFonts w:cstheme="minorHAnsi"/>
                      <w:sz w:val="24"/>
                      <w:szCs w:val="24"/>
                    </w:rPr>
                  </w:pPr>
                  <w:r w:rsidRPr="00C87433">
                    <w:rPr>
                      <w:rFonts w:cstheme="minorHAnsi"/>
                      <w:sz w:val="24"/>
                      <w:szCs w:val="24"/>
                    </w:rPr>
                    <w:t>1,64</w:t>
                  </w:r>
                </w:p>
              </w:tc>
            </w:tr>
          </w:tbl>
          <w:p w:rsidR="00020CA8" w:rsidRPr="00C87433" w:rsidRDefault="00020CA8" w:rsidP="0076618C">
            <w:pPr>
              <w:jc w:val="both"/>
              <w:rPr>
                <w:rFonts w:cstheme="minorHAnsi"/>
                <w:sz w:val="24"/>
                <w:szCs w:val="24"/>
              </w:rPr>
            </w:pPr>
          </w:p>
          <w:p w:rsidR="00E901F0" w:rsidRPr="00C87433" w:rsidRDefault="00E901F0" w:rsidP="0076618C">
            <w:pPr>
              <w:jc w:val="both"/>
              <w:rPr>
                <w:rFonts w:cstheme="minorHAnsi"/>
                <w:b/>
                <w:sz w:val="24"/>
                <w:szCs w:val="24"/>
              </w:rPr>
            </w:pPr>
            <w:r w:rsidRPr="00C87433">
              <w:rPr>
                <w:rFonts w:cstheme="minorHAnsi"/>
                <w:b/>
                <w:sz w:val="24"/>
                <w:szCs w:val="24"/>
              </w:rPr>
              <w:t>Náklady na 1 zaměstnance podle jednotlivých seskupení v tis.</w:t>
            </w:r>
            <w:r w:rsidR="003966BA" w:rsidRPr="00C87433">
              <w:rPr>
                <w:rFonts w:cstheme="minorHAnsi"/>
                <w:b/>
                <w:sz w:val="24"/>
                <w:szCs w:val="24"/>
              </w:rPr>
              <w:t xml:space="preserve"> Kč a srovnání za roky 2016-2022</w:t>
            </w:r>
            <w:r w:rsidRPr="00C87433">
              <w:rPr>
                <w:rFonts w:cstheme="minorHAnsi"/>
                <w:b/>
                <w:sz w:val="24"/>
                <w:szCs w:val="24"/>
              </w:rPr>
              <w:t>:</w:t>
            </w:r>
          </w:p>
          <w:p w:rsidR="00020CA8" w:rsidRPr="00C87433" w:rsidRDefault="00020CA8" w:rsidP="0076618C">
            <w:pPr>
              <w:jc w:val="both"/>
              <w:rPr>
                <w:rFonts w:cstheme="minorHAnsi"/>
                <w:b/>
                <w:sz w:val="24"/>
                <w:szCs w:val="24"/>
              </w:rPr>
            </w:pPr>
            <w:r w:rsidRPr="00C87433">
              <w:rPr>
                <w:rFonts w:cstheme="minorHAnsi"/>
                <w:sz w:val="24"/>
                <w:szCs w:val="24"/>
              </w:rPr>
              <w:t xml:space="preserve"> </w:t>
            </w:r>
            <w:r w:rsidRPr="00C87433">
              <w:rPr>
                <w:rFonts w:cstheme="minorHAnsi"/>
                <w:b/>
                <w:sz w:val="24"/>
                <w:szCs w:val="24"/>
              </w:rPr>
              <w:t xml:space="preserve">512 – Podlimitní technické zhodnocení  </w:t>
            </w:r>
          </w:p>
          <w:p w:rsidR="004F0494" w:rsidRPr="00C87433" w:rsidRDefault="004F0494" w:rsidP="0076618C">
            <w:pPr>
              <w:jc w:val="both"/>
              <w:rPr>
                <w:rFonts w:cstheme="minorHAnsi"/>
                <w:b/>
                <w:sz w:val="24"/>
                <w:szCs w:val="24"/>
              </w:rPr>
            </w:pPr>
          </w:p>
          <w:tbl>
            <w:tblPr>
              <w:tblStyle w:val="Mkatabulky"/>
              <w:tblpPr w:leftFromText="141" w:rightFromText="141" w:vertAnchor="text" w:tblpY="1"/>
              <w:tblOverlap w:val="never"/>
              <w:tblW w:w="3601" w:type="pct"/>
              <w:tblLook w:val="04A0" w:firstRow="1" w:lastRow="0" w:firstColumn="1" w:lastColumn="0" w:noHBand="0" w:noVBand="1"/>
            </w:tblPr>
            <w:tblGrid>
              <w:gridCol w:w="1422"/>
              <w:gridCol w:w="1366"/>
              <w:gridCol w:w="3231"/>
            </w:tblGrid>
            <w:tr w:rsidR="003966BA" w:rsidRPr="00C87433" w:rsidTr="00E901F0">
              <w:trPr>
                <w:trHeight w:val="547"/>
              </w:trPr>
              <w:tc>
                <w:tcPr>
                  <w:tcW w:w="1181" w:type="pct"/>
                  <w:vAlign w:val="center"/>
                </w:tcPr>
                <w:p w:rsidR="00020CA8" w:rsidRPr="00C87433" w:rsidRDefault="00020CA8" w:rsidP="0076618C">
                  <w:pPr>
                    <w:jc w:val="center"/>
                    <w:rPr>
                      <w:rFonts w:cstheme="minorHAnsi"/>
                      <w:b/>
                      <w:sz w:val="24"/>
                      <w:szCs w:val="24"/>
                    </w:rPr>
                  </w:pPr>
                  <w:r w:rsidRPr="00C87433">
                    <w:rPr>
                      <w:rFonts w:cstheme="minorHAnsi"/>
                      <w:b/>
                      <w:sz w:val="24"/>
                      <w:szCs w:val="24"/>
                    </w:rPr>
                    <w:t>Rok</w:t>
                  </w:r>
                </w:p>
              </w:tc>
              <w:tc>
                <w:tcPr>
                  <w:tcW w:w="1135" w:type="pct"/>
                </w:tcPr>
                <w:p w:rsidR="00020CA8" w:rsidRPr="00C87433" w:rsidRDefault="00020CA8" w:rsidP="0076618C">
                  <w:pPr>
                    <w:jc w:val="both"/>
                    <w:rPr>
                      <w:rFonts w:cstheme="minorHAnsi"/>
                      <w:b/>
                      <w:sz w:val="24"/>
                      <w:szCs w:val="24"/>
                    </w:rPr>
                  </w:pPr>
                  <w:r w:rsidRPr="00C87433">
                    <w:rPr>
                      <w:rFonts w:cstheme="minorHAnsi"/>
                      <w:b/>
                      <w:sz w:val="24"/>
                      <w:szCs w:val="24"/>
                    </w:rPr>
                    <w:t xml:space="preserve">Skutečnost </w:t>
                  </w:r>
                </w:p>
              </w:tc>
              <w:tc>
                <w:tcPr>
                  <w:tcW w:w="2684" w:type="pct"/>
                </w:tcPr>
                <w:p w:rsidR="00020CA8" w:rsidRPr="00C87433" w:rsidRDefault="00020CA8" w:rsidP="0076618C">
                  <w:pPr>
                    <w:rPr>
                      <w:rFonts w:cstheme="minorHAnsi"/>
                      <w:sz w:val="24"/>
                      <w:szCs w:val="24"/>
                    </w:rPr>
                  </w:pPr>
                  <w:r w:rsidRPr="00C87433">
                    <w:rPr>
                      <w:rFonts w:cstheme="minorHAnsi"/>
                      <w:b/>
                      <w:sz w:val="24"/>
                      <w:szCs w:val="24"/>
                    </w:rPr>
                    <w:t>Nákl</w:t>
                  </w:r>
                  <w:r w:rsidR="00E901F0" w:rsidRPr="00C87433">
                    <w:rPr>
                      <w:rFonts w:cstheme="minorHAnsi"/>
                      <w:b/>
                      <w:sz w:val="24"/>
                      <w:szCs w:val="24"/>
                    </w:rPr>
                    <w:t xml:space="preserve">ady na </w:t>
                  </w:r>
                  <w:r w:rsidR="00063CEC" w:rsidRPr="00C87433">
                    <w:rPr>
                      <w:rFonts w:cstheme="minorHAnsi"/>
                      <w:b/>
                      <w:sz w:val="24"/>
                      <w:szCs w:val="24"/>
                    </w:rPr>
                    <w:t xml:space="preserve"> </w:t>
                  </w:r>
                  <w:r w:rsidR="00E901F0" w:rsidRPr="00C87433">
                    <w:rPr>
                      <w:rFonts w:cstheme="minorHAnsi"/>
                      <w:b/>
                      <w:sz w:val="24"/>
                      <w:szCs w:val="24"/>
                    </w:rPr>
                    <w:t xml:space="preserve">1 </w:t>
                  </w:r>
                  <w:r w:rsidRPr="00C87433">
                    <w:rPr>
                      <w:rFonts w:cstheme="minorHAnsi"/>
                      <w:b/>
                      <w:sz w:val="24"/>
                      <w:szCs w:val="24"/>
                    </w:rPr>
                    <w:t xml:space="preserve">zaměstnance </w:t>
                  </w:r>
                </w:p>
              </w:tc>
            </w:tr>
            <w:tr w:rsidR="003966BA" w:rsidRPr="00C87433" w:rsidTr="00E901F0">
              <w:trPr>
                <w:trHeight w:val="278"/>
              </w:trPr>
              <w:tc>
                <w:tcPr>
                  <w:tcW w:w="1181" w:type="pct"/>
                  <w:vAlign w:val="center"/>
                </w:tcPr>
                <w:p w:rsidR="00020CA8" w:rsidRPr="00C87433" w:rsidRDefault="00020CA8" w:rsidP="0076618C">
                  <w:pPr>
                    <w:jc w:val="center"/>
                    <w:rPr>
                      <w:rFonts w:cstheme="minorHAnsi"/>
                      <w:b/>
                      <w:sz w:val="24"/>
                      <w:szCs w:val="24"/>
                    </w:rPr>
                  </w:pPr>
                  <w:r w:rsidRPr="00C87433">
                    <w:rPr>
                      <w:rFonts w:cstheme="minorHAnsi"/>
                      <w:b/>
                      <w:sz w:val="24"/>
                      <w:szCs w:val="24"/>
                    </w:rPr>
                    <w:t>2018</w:t>
                  </w:r>
                </w:p>
              </w:tc>
              <w:tc>
                <w:tcPr>
                  <w:tcW w:w="1135" w:type="pct"/>
                  <w:vAlign w:val="bottom"/>
                </w:tcPr>
                <w:p w:rsidR="00020CA8" w:rsidRPr="00C87433" w:rsidRDefault="00020CA8" w:rsidP="0076618C">
                  <w:pPr>
                    <w:jc w:val="right"/>
                    <w:rPr>
                      <w:rFonts w:cstheme="minorHAnsi"/>
                      <w:sz w:val="24"/>
                      <w:szCs w:val="24"/>
                    </w:rPr>
                  </w:pPr>
                  <w:r w:rsidRPr="00C87433">
                    <w:rPr>
                      <w:rFonts w:cstheme="minorHAnsi"/>
                      <w:sz w:val="24"/>
                      <w:szCs w:val="24"/>
                    </w:rPr>
                    <w:t>47,68</w:t>
                  </w:r>
                </w:p>
              </w:tc>
              <w:tc>
                <w:tcPr>
                  <w:tcW w:w="2684" w:type="pct"/>
                  <w:vAlign w:val="bottom"/>
                </w:tcPr>
                <w:p w:rsidR="00020CA8" w:rsidRPr="00C87433" w:rsidRDefault="00020CA8" w:rsidP="0076618C">
                  <w:pPr>
                    <w:jc w:val="right"/>
                    <w:rPr>
                      <w:rFonts w:cstheme="minorHAnsi"/>
                      <w:sz w:val="24"/>
                      <w:szCs w:val="24"/>
                    </w:rPr>
                  </w:pPr>
                  <w:r w:rsidRPr="00C87433">
                    <w:rPr>
                      <w:rFonts w:cstheme="minorHAnsi"/>
                      <w:sz w:val="24"/>
                      <w:szCs w:val="24"/>
                    </w:rPr>
                    <w:t>0,55</w:t>
                  </w:r>
                </w:p>
              </w:tc>
            </w:tr>
            <w:tr w:rsidR="003966BA" w:rsidRPr="00C87433" w:rsidTr="00E901F0">
              <w:trPr>
                <w:trHeight w:val="289"/>
              </w:trPr>
              <w:tc>
                <w:tcPr>
                  <w:tcW w:w="1181" w:type="pct"/>
                  <w:vAlign w:val="center"/>
                </w:tcPr>
                <w:p w:rsidR="00020CA8" w:rsidRPr="00C87433" w:rsidRDefault="00020CA8" w:rsidP="0076618C">
                  <w:pPr>
                    <w:jc w:val="center"/>
                    <w:rPr>
                      <w:rFonts w:cstheme="minorHAnsi"/>
                      <w:b/>
                      <w:sz w:val="24"/>
                      <w:szCs w:val="24"/>
                    </w:rPr>
                  </w:pPr>
                  <w:r w:rsidRPr="00C87433">
                    <w:rPr>
                      <w:rFonts w:cstheme="minorHAnsi"/>
                      <w:b/>
                      <w:sz w:val="24"/>
                      <w:szCs w:val="24"/>
                    </w:rPr>
                    <w:t>2019</w:t>
                  </w:r>
                </w:p>
              </w:tc>
              <w:tc>
                <w:tcPr>
                  <w:tcW w:w="1135" w:type="pct"/>
                  <w:vAlign w:val="bottom"/>
                </w:tcPr>
                <w:p w:rsidR="00020CA8" w:rsidRPr="00C87433" w:rsidRDefault="00020CA8" w:rsidP="0076618C">
                  <w:pPr>
                    <w:jc w:val="right"/>
                    <w:rPr>
                      <w:rFonts w:cstheme="minorHAnsi"/>
                      <w:sz w:val="24"/>
                      <w:szCs w:val="24"/>
                    </w:rPr>
                  </w:pPr>
                  <w:r w:rsidRPr="00C87433">
                    <w:rPr>
                      <w:rFonts w:cstheme="minorHAnsi"/>
                      <w:sz w:val="24"/>
                      <w:szCs w:val="24"/>
                    </w:rPr>
                    <w:t>6,00</w:t>
                  </w:r>
                </w:p>
              </w:tc>
              <w:tc>
                <w:tcPr>
                  <w:tcW w:w="2684" w:type="pct"/>
                  <w:vAlign w:val="bottom"/>
                </w:tcPr>
                <w:p w:rsidR="00020CA8" w:rsidRPr="00C87433" w:rsidRDefault="00020CA8" w:rsidP="0076618C">
                  <w:pPr>
                    <w:jc w:val="right"/>
                    <w:rPr>
                      <w:rFonts w:cstheme="minorHAnsi"/>
                      <w:sz w:val="24"/>
                      <w:szCs w:val="24"/>
                    </w:rPr>
                  </w:pPr>
                  <w:r w:rsidRPr="00C87433">
                    <w:rPr>
                      <w:rFonts w:cstheme="minorHAnsi"/>
                      <w:sz w:val="24"/>
                      <w:szCs w:val="24"/>
                    </w:rPr>
                    <w:t>0,07</w:t>
                  </w:r>
                </w:p>
              </w:tc>
            </w:tr>
            <w:tr w:rsidR="003966BA" w:rsidRPr="00C87433" w:rsidTr="00E901F0">
              <w:trPr>
                <w:trHeight w:val="289"/>
              </w:trPr>
              <w:tc>
                <w:tcPr>
                  <w:tcW w:w="1181" w:type="pct"/>
                  <w:vAlign w:val="center"/>
                </w:tcPr>
                <w:p w:rsidR="00063CEC" w:rsidRPr="00C87433" w:rsidRDefault="00063CEC" w:rsidP="0076618C">
                  <w:pPr>
                    <w:jc w:val="center"/>
                    <w:rPr>
                      <w:rFonts w:cstheme="minorHAnsi"/>
                      <w:b/>
                      <w:sz w:val="24"/>
                      <w:szCs w:val="24"/>
                    </w:rPr>
                  </w:pPr>
                  <w:r w:rsidRPr="00C87433">
                    <w:rPr>
                      <w:rFonts w:cstheme="minorHAnsi"/>
                      <w:b/>
                      <w:sz w:val="24"/>
                      <w:szCs w:val="24"/>
                    </w:rPr>
                    <w:t>2020</w:t>
                  </w:r>
                </w:p>
              </w:tc>
              <w:tc>
                <w:tcPr>
                  <w:tcW w:w="1135" w:type="pct"/>
                  <w:vAlign w:val="bottom"/>
                </w:tcPr>
                <w:p w:rsidR="00063CEC" w:rsidRPr="00C87433" w:rsidRDefault="00063CEC" w:rsidP="0076618C">
                  <w:pPr>
                    <w:jc w:val="right"/>
                    <w:rPr>
                      <w:rFonts w:cstheme="minorHAnsi"/>
                      <w:sz w:val="24"/>
                      <w:szCs w:val="24"/>
                    </w:rPr>
                  </w:pPr>
                  <w:r w:rsidRPr="00C87433">
                    <w:rPr>
                      <w:rFonts w:cstheme="minorHAnsi"/>
                      <w:sz w:val="24"/>
                      <w:szCs w:val="24"/>
                    </w:rPr>
                    <w:t>40,44</w:t>
                  </w:r>
                </w:p>
              </w:tc>
              <w:tc>
                <w:tcPr>
                  <w:tcW w:w="2684" w:type="pct"/>
                  <w:vAlign w:val="bottom"/>
                </w:tcPr>
                <w:p w:rsidR="00063CEC" w:rsidRPr="00C87433" w:rsidRDefault="00063CEC" w:rsidP="0076618C">
                  <w:pPr>
                    <w:jc w:val="right"/>
                    <w:rPr>
                      <w:rFonts w:cstheme="minorHAnsi"/>
                      <w:sz w:val="24"/>
                      <w:szCs w:val="24"/>
                    </w:rPr>
                  </w:pPr>
                  <w:r w:rsidRPr="00C87433">
                    <w:rPr>
                      <w:rFonts w:cstheme="minorHAnsi"/>
                      <w:sz w:val="24"/>
                      <w:szCs w:val="24"/>
                    </w:rPr>
                    <w:t>0,47</w:t>
                  </w:r>
                </w:p>
              </w:tc>
            </w:tr>
            <w:tr w:rsidR="003966BA" w:rsidRPr="00C87433" w:rsidTr="00E901F0">
              <w:trPr>
                <w:trHeight w:val="289"/>
              </w:trPr>
              <w:tc>
                <w:tcPr>
                  <w:tcW w:w="1181" w:type="pct"/>
                  <w:vAlign w:val="center"/>
                </w:tcPr>
                <w:p w:rsidR="003B2915" w:rsidRPr="00C87433" w:rsidRDefault="003B2915" w:rsidP="0076618C">
                  <w:pPr>
                    <w:jc w:val="center"/>
                    <w:rPr>
                      <w:rFonts w:cstheme="minorHAnsi"/>
                      <w:b/>
                      <w:sz w:val="24"/>
                      <w:szCs w:val="24"/>
                    </w:rPr>
                  </w:pPr>
                  <w:r w:rsidRPr="00C87433">
                    <w:rPr>
                      <w:rFonts w:cstheme="minorHAnsi"/>
                      <w:b/>
                      <w:sz w:val="24"/>
                      <w:szCs w:val="24"/>
                    </w:rPr>
                    <w:t>2021</w:t>
                  </w:r>
                </w:p>
              </w:tc>
              <w:tc>
                <w:tcPr>
                  <w:tcW w:w="1135" w:type="pct"/>
                  <w:vAlign w:val="bottom"/>
                </w:tcPr>
                <w:p w:rsidR="003B2915" w:rsidRPr="00C87433" w:rsidRDefault="003B2915" w:rsidP="0076618C">
                  <w:pPr>
                    <w:jc w:val="right"/>
                    <w:rPr>
                      <w:rFonts w:cstheme="minorHAnsi"/>
                      <w:sz w:val="24"/>
                      <w:szCs w:val="24"/>
                    </w:rPr>
                  </w:pPr>
                  <w:r w:rsidRPr="00C87433">
                    <w:rPr>
                      <w:rFonts w:cstheme="minorHAnsi"/>
                      <w:sz w:val="24"/>
                      <w:szCs w:val="24"/>
                    </w:rPr>
                    <w:t>0,00</w:t>
                  </w:r>
                </w:p>
              </w:tc>
              <w:tc>
                <w:tcPr>
                  <w:tcW w:w="2684" w:type="pct"/>
                  <w:vAlign w:val="bottom"/>
                </w:tcPr>
                <w:p w:rsidR="003B2915" w:rsidRPr="00C87433" w:rsidRDefault="003B2915" w:rsidP="0076618C">
                  <w:pPr>
                    <w:jc w:val="right"/>
                    <w:rPr>
                      <w:rFonts w:cstheme="minorHAnsi"/>
                      <w:sz w:val="24"/>
                      <w:szCs w:val="24"/>
                    </w:rPr>
                  </w:pPr>
                  <w:r w:rsidRPr="00C87433">
                    <w:rPr>
                      <w:rFonts w:cstheme="minorHAnsi"/>
                      <w:sz w:val="24"/>
                      <w:szCs w:val="24"/>
                    </w:rPr>
                    <w:t>0,00</w:t>
                  </w:r>
                </w:p>
              </w:tc>
            </w:tr>
            <w:tr w:rsidR="003966BA" w:rsidRPr="00C87433" w:rsidTr="00E901F0">
              <w:trPr>
                <w:trHeight w:val="289"/>
              </w:trPr>
              <w:tc>
                <w:tcPr>
                  <w:tcW w:w="1181" w:type="pct"/>
                  <w:vAlign w:val="center"/>
                </w:tcPr>
                <w:p w:rsidR="003966BA" w:rsidRPr="00C87433" w:rsidRDefault="003966BA" w:rsidP="0076618C">
                  <w:pPr>
                    <w:jc w:val="center"/>
                    <w:rPr>
                      <w:rFonts w:cstheme="minorHAnsi"/>
                      <w:b/>
                      <w:sz w:val="24"/>
                      <w:szCs w:val="24"/>
                    </w:rPr>
                  </w:pPr>
                  <w:r w:rsidRPr="00C87433">
                    <w:rPr>
                      <w:rFonts w:cstheme="minorHAnsi"/>
                      <w:b/>
                      <w:sz w:val="24"/>
                      <w:szCs w:val="24"/>
                    </w:rPr>
                    <w:t>2022</w:t>
                  </w:r>
                </w:p>
              </w:tc>
              <w:tc>
                <w:tcPr>
                  <w:tcW w:w="1135" w:type="pct"/>
                  <w:vAlign w:val="bottom"/>
                </w:tcPr>
                <w:p w:rsidR="003966BA" w:rsidRPr="00C87433" w:rsidRDefault="003966BA" w:rsidP="0076618C">
                  <w:pPr>
                    <w:jc w:val="right"/>
                    <w:rPr>
                      <w:rFonts w:cstheme="minorHAnsi"/>
                      <w:sz w:val="24"/>
                      <w:szCs w:val="24"/>
                    </w:rPr>
                  </w:pPr>
                  <w:r w:rsidRPr="00C87433">
                    <w:rPr>
                      <w:rFonts w:cstheme="minorHAnsi"/>
                      <w:sz w:val="24"/>
                      <w:szCs w:val="24"/>
                    </w:rPr>
                    <w:t>8,5</w:t>
                  </w:r>
                </w:p>
              </w:tc>
              <w:tc>
                <w:tcPr>
                  <w:tcW w:w="2684" w:type="pct"/>
                  <w:vAlign w:val="bottom"/>
                </w:tcPr>
                <w:p w:rsidR="003966BA" w:rsidRPr="00C87433" w:rsidRDefault="003966BA" w:rsidP="0076618C">
                  <w:pPr>
                    <w:jc w:val="right"/>
                    <w:rPr>
                      <w:rFonts w:cstheme="minorHAnsi"/>
                      <w:sz w:val="24"/>
                      <w:szCs w:val="24"/>
                    </w:rPr>
                  </w:pPr>
                  <w:r w:rsidRPr="00C87433">
                    <w:rPr>
                      <w:rFonts w:cstheme="minorHAnsi"/>
                      <w:sz w:val="24"/>
                      <w:szCs w:val="24"/>
                    </w:rPr>
                    <w:t>0,10</w:t>
                  </w:r>
                </w:p>
              </w:tc>
            </w:tr>
          </w:tbl>
          <w:p w:rsidR="00020CA8" w:rsidRPr="00C87433" w:rsidRDefault="00020CA8" w:rsidP="0076618C">
            <w:pPr>
              <w:jc w:val="both"/>
              <w:rPr>
                <w:rFonts w:cstheme="minorHAnsi"/>
                <w:sz w:val="24"/>
                <w:szCs w:val="24"/>
              </w:rPr>
            </w:pPr>
            <w:r w:rsidRPr="00C87433">
              <w:rPr>
                <w:rFonts w:cstheme="minorHAnsi"/>
                <w:b/>
                <w:sz w:val="24"/>
                <w:szCs w:val="24"/>
              </w:rPr>
              <w:br w:type="textWrapping" w:clear="all"/>
            </w:r>
          </w:p>
          <w:p w:rsidR="003966BA" w:rsidRPr="00C87433" w:rsidRDefault="003966BA" w:rsidP="0076618C">
            <w:pPr>
              <w:jc w:val="both"/>
              <w:rPr>
                <w:rFonts w:cstheme="minorHAnsi"/>
                <w:sz w:val="24"/>
                <w:szCs w:val="24"/>
              </w:rPr>
            </w:pPr>
            <w:r w:rsidRPr="00C87433">
              <w:rPr>
                <w:rFonts w:cstheme="minorHAnsi"/>
                <w:sz w:val="24"/>
                <w:szCs w:val="24"/>
              </w:rPr>
              <w:t xml:space="preserve">V rámci tohoto podseskupení došlo oproti roku 2021 k nárůstu, neboť byly pořízeny 2 trezory </w:t>
            </w:r>
            <w:r w:rsidR="00180E0D" w:rsidRPr="00C87433">
              <w:rPr>
                <w:rFonts w:cstheme="minorHAnsi"/>
                <w:sz w:val="24"/>
                <w:szCs w:val="24"/>
              </w:rPr>
              <w:t xml:space="preserve">(8.496,00 Kč) </w:t>
            </w:r>
            <w:r w:rsidRPr="00C87433">
              <w:rPr>
                <w:rFonts w:cstheme="minorHAnsi"/>
                <w:sz w:val="24"/>
                <w:szCs w:val="24"/>
              </w:rPr>
              <w:t>pro ukládání zbraní účastníků soudních jednání.</w:t>
            </w:r>
          </w:p>
          <w:p w:rsidR="00020CA8" w:rsidRPr="00C87433" w:rsidRDefault="00020CA8" w:rsidP="0076618C">
            <w:pPr>
              <w:rPr>
                <w:rFonts w:cstheme="minorHAnsi"/>
                <w:sz w:val="24"/>
                <w:szCs w:val="24"/>
              </w:rPr>
            </w:pPr>
            <w:r w:rsidRPr="00C87433">
              <w:rPr>
                <w:rFonts w:cstheme="minorHAnsi"/>
                <w:b/>
                <w:sz w:val="24"/>
                <w:szCs w:val="24"/>
              </w:rPr>
              <w:t>513 – Nákup materiálu</w:t>
            </w:r>
            <w:r w:rsidR="00E901F0" w:rsidRPr="00C87433">
              <w:rPr>
                <w:rFonts w:cstheme="minorHAnsi"/>
                <w:sz w:val="24"/>
                <w:szCs w:val="24"/>
              </w:rPr>
              <w:t xml:space="preserve"> </w:t>
            </w:r>
          </w:p>
          <w:p w:rsidR="004F0494" w:rsidRPr="00C87433" w:rsidRDefault="004F0494" w:rsidP="0076618C">
            <w:pPr>
              <w:rPr>
                <w:rFonts w:cstheme="minorHAnsi"/>
                <w:sz w:val="24"/>
                <w:szCs w:val="24"/>
              </w:rPr>
            </w:pPr>
          </w:p>
          <w:tbl>
            <w:tblPr>
              <w:tblStyle w:val="Mkatabulky"/>
              <w:tblW w:w="3591" w:type="pct"/>
              <w:tblLook w:val="04A0" w:firstRow="1" w:lastRow="0" w:firstColumn="1" w:lastColumn="0" w:noHBand="0" w:noVBand="1"/>
            </w:tblPr>
            <w:tblGrid>
              <w:gridCol w:w="1072"/>
              <w:gridCol w:w="1860"/>
              <w:gridCol w:w="3071"/>
            </w:tblGrid>
            <w:tr w:rsidR="00443F2A" w:rsidRPr="00C87433" w:rsidTr="00E901F0">
              <w:trPr>
                <w:trHeight w:val="308"/>
              </w:trPr>
              <w:tc>
                <w:tcPr>
                  <w:tcW w:w="893" w:type="pct"/>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Rok</w:t>
                  </w:r>
                </w:p>
              </w:tc>
              <w:tc>
                <w:tcPr>
                  <w:tcW w:w="1549" w:type="pct"/>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 xml:space="preserve">Skutečnost </w:t>
                  </w:r>
                </w:p>
              </w:tc>
              <w:tc>
                <w:tcPr>
                  <w:tcW w:w="2558" w:type="pct"/>
                </w:tcPr>
                <w:p w:rsidR="00020CA8" w:rsidRPr="00C87433" w:rsidRDefault="00E901F0" w:rsidP="00B85DFE">
                  <w:pPr>
                    <w:framePr w:hSpace="141" w:wrap="around" w:vAnchor="text" w:hAnchor="text" w:x="284" w:y="1"/>
                    <w:suppressOverlap/>
                    <w:rPr>
                      <w:rFonts w:cstheme="minorHAnsi"/>
                      <w:sz w:val="24"/>
                      <w:szCs w:val="24"/>
                    </w:rPr>
                  </w:pPr>
                  <w:r w:rsidRPr="00C87433">
                    <w:rPr>
                      <w:rFonts w:cstheme="minorHAnsi"/>
                      <w:b/>
                      <w:sz w:val="24"/>
                      <w:szCs w:val="24"/>
                    </w:rPr>
                    <w:t xml:space="preserve">Náklady na 1 </w:t>
                  </w:r>
                  <w:r w:rsidR="00020CA8" w:rsidRPr="00C87433">
                    <w:rPr>
                      <w:rFonts w:cstheme="minorHAnsi"/>
                      <w:b/>
                      <w:sz w:val="24"/>
                      <w:szCs w:val="24"/>
                    </w:rPr>
                    <w:t xml:space="preserve">zaměstnance </w:t>
                  </w:r>
                </w:p>
              </w:tc>
            </w:tr>
            <w:tr w:rsidR="00443F2A" w:rsidRPr="00C87433" w:rsidTr="00E901F0">
              <w:trPr>
                <w:trHeight w:val="308"/>
              </w:trPr>
              <w:tc>
                <w:tcPr>
                  <w:tcW w:w="893" w:type="pct"/>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2016</w:t>
                  </w:r>
                </w:p>
              </w:tc>
              <w:tc>
                <w:tcPr>
                  <w:tcW w:w="1549" w:type="pct"/>
                  <w:vAlign w:val="bottom"/>
                </w:tcPr>
                <w:p w:rsidR="00020CA8" w:rsidRPr="00C87433" w:rsidRDefault="00020CA8" w:rsidP="00B85DFE">
                  <w:pPr>
                    <w:framePr w:hSpace="141" w:wrap="around" w:vAnchor="text" w:hAnchor="text" w:x="284" w:y="1"/>
                    <w:suppressOverlap/>
                    <w:jc w:val="center"/>
                    <w:rPr>
                      <w:rFonts w:cstheme="minorHAnsi"/>
                      <w:sz w:val="24"/>
                      <w:szCs w:val="24"/>
                    </w:rPr>
                  </w:pPr>
                  <w:r w:rsidRPr="00C87433">
                    <w:rPr>
                      <w:rFonts w:cstheme="minorHAnsi"/>
                      <w:sz w:val="24"/>
                      <w:szCs w:val="24"/>
                    </w:rPr>
                    <w:t>1.551,77</w:t>
                  </w:r>
                </w:p>
              </w:tc>
              <w:tc>
                <w:tcPr>
                  <w:tcW w:w="2558" w:type="pct"/>
                  <w:vAlign w:val="bottom"/>
                </w:tcPr>
                <w:p w:rsidR="00020CA8" w:rsidRPr="00C87433" w:rsidRDefault="00020CA8" w:rsidP="00B85DFE">
                  <w:pPr>
                    <w:framePr w:hSpace="141" w:wrap="around" w:vAnchor="text" w:hAnchor="text" w:x="284" w:y="1"/>
                    <w:suppressOverlap/>
                    <w:jc w:val="center"/>
                    <w:rPr>
                      <w:rFonts w:cstheme="minorHAnsi"/>
                      <w:sz w:val="24"/>
                      <w:szCs w:val="24"/>
                    </w:rPr>
                  </w:pPr>
                  <w:r w:rsidRPr="00C87433">
                    <w:rPr>
                      <w:rFonts w:cstheme="minorHAnsi"/>
                      <w:sz w:val="24"/>
                      <w:szCs w:val="24"/>
                    </w:rPr>
                    <w:t>18,03</w:t>
                  </w:r>
                </w:p>
              </w:tc>
            </w:tr>
            <w:tr w:rsidR="00443F2A" w:rsidRPr="00C87433" w:rsidTr="00E901F0">
              <w:trPr>
                <w:trHeight w:val="308"/>
              </w:trPr>
              <w:tc>
                <w:tcPr>
                  <w:tcW w:w="893" w:type="pct"/>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2017</w:t>
                  </w:r>
                </w:p>
              </w:tc>
              <w:tc>
                <w:tcPr>
                  <w:tcW w:w="1549" w:type="pct"/>
                  <w:vAlign w:val="bottom"/>
                </w:tcPr>
                <w:p w:rsidR="00020CA8" w:rsidRPr="00C87433" w:rsidRDefault="00020CA8" w:rsidP="00B85DFE">
                  <w:pPr>
                    <w:framePr w:hSpace="141" w:wrap="around" w:vAnchor="text" w:hAnchor="text" w:x="284" w:y="1"/>
                    <w:suppressOverlap/>
                    <w:jc w:val="center"/>
                    <w:rPr>
                      <w:rFonts w:cstheme="minorHAnsi"/>
                      <w:sz w:val="24"/>
                      <w:szCs w:val="24"/>
                    </w:rPr>
                  </w:pPr>
                  <w:r w:rsidRPr="00C87433">
                    <w:rPr>
                      <w:rFonts w:cstheme="minorHAnsi"/>
                      <w:sz w:val="24"/>
                      <w:szCs w:val="24"/>
                    </w:rPr>
                    <w:t>1.088,00</w:t>
                  </w:r>
                </w:p>
              </w:tc>
              <w:tc>
                <w:tcPr>
                  <w:tcW w:w="2558" w:type="pct"/>
                  <w:vAlign w:val="bottom"/>
                </w:tcPr>
                <w:p w:rsidR="00020CA8" w:rsidRPr="00C87433" w:rsidRDefault="00020CA8" w:rsidP="00B85DFE">
                  <w:pPr>
                    <w:framePr w:hSpace="141" w:wrap="around" w:vAnchor="text" w:hAnchor="text" w:x="284" w:y="1"/>
                    <w:suppressOverlap/>
                    <w:jc w:val="center"/>
                    <w:rPr>
                      <w:rFonts w:cstheme="minorHAnsi"/>
                      <w:sz w:val="24"/>
                      <w:szCs w:val="24"/>
                    </w:rPr>
                  </w:pPr>
                  <w:r w:rsidRPr="00C87433">
                    <w:rPr>
                      <w:rFonts w:cstheme="minorHAnsi"/>
                      <w:sz w:val="24"/>
                      <w:szCs w:val="24"/>
                    </w:rPr>
                    <w:t>12,61</w:t>
                  </w:r>
                </w:p>
              </w:tc>
            </w:tr>
            <w:tr w:rsidR="00443F2A" w:rsidRPr="00C87433" w:rsidTr="00E901F0">
              <w:trPr>
                <w:trHeight w:val="308"/>
              </w:trPr>
              <w:tc>
                <w:tcPr>
                  <w:tcW w:w="893" w:type="pct"/>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2018</w:t>
                  </w:r>
                </w:p>
              </w:tc>
              <w:tc>
                <w:tcPr>
                  <w:tcW w:w="1549" w:type="pct"/>
                  <w:vAlign w:val="bottom"/>
                </w:tcPr>
                <w:p w:rsidR="00020CA8" w:rsidRPr="00C87433" w:rsidRDefault="00020CA8" w:rsidP="00B85DFE">
                  <w:pPr>
                    <w:framePr w:hSpace="141" w:wrap="around" w:vAnchor="text" w:hAnchor="text" w:x="284" w:y="1"/>
                    <w:suppressOverlap/>
                    <w:jc w:val="center"/>
                    <w:rPr>
                      <w:rFonts w:cstheme="minorHAnsi"/>
                      <w:sz w:val="24"/>
                      <w:szCs w:val="24"/>
                    </w:rPr>
                  </w:pPr>
                  <w:r w:rsidRPr="00C87433">
                    <w:rPr>
                      <w:rFonts w:cstheme="minorHAnsi"/>
                      <w:sz w:val="24"/>
                      <w:szCs w:val="24"/>
                    </w:rPr>
                    <w:t>1.094,27</w:t>
                  </w:r>
                </w:p>
              </w:tc>
              <w:tc>
                <w:tcPr>
                  <w:tcW w:w="2558" w:type="pct"/>
                  <w:vAlign w:val="bottom"/>
                </w:tcPr>
                <w:p w:rsidR="00020CA8" w:rsidRPr="00C87433" w:rsidRDefault="00020CA8" w:rsidP="00B85DFE">
                  <w:pPr>
                    <w:framePr w:hSpace="141" w:wrap="around" w:vAnchor="text" w:hAnchor="text" w:x="284" w:y="1"/>
                    <w:suppressOverlap/>
                    <w:jc w:val="center"/>
                    <w:rPr>
                      <w:rFonts w:cstheme="minorHAnsi"/>
                      <w:sz w:val="24"/>
                      <w:szCs w:val="24"/>
                    </w:rPr>
                  </w:pPr>
                  <w:r w:rsidRPr="00C87433">
                    <w:rPr>
                      <w:rFonts w:cstheme="minorHAnsi"/>
                      <w:sz w:val="24"/>
                      <w:szCs w:val="24"/>
                    </w:rPr>
                    <w:t>12,71</w:t>
                  </w:r>
                </w:p>
              </w:tc>
            </w:tr>
            <w:tr w:rsidR="00443F2A" w:rsidRPr="00C87433" w:rsidTr="00E901F0">
              <w:trPr>
                <w:trHeight w:val="101"/>
              </w:trPr>
              <w:tc>
                <w:tcPr>
                  <w:tcW w:w="893" w:type="pct"/>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2019</w:t>
                  </w:r>
                </w:p>
              </w:tc>
              <w:tc>
                <w:tcPr>
                  <w:tcW w:w="1549" w:type="pct"/>
                  <w:vAlign w:val="bottom"/>
                </w:tcPr>
                <w:p w:rsidR="00020CA8" w:rsidRPr="00C87433" w:rsidRDefault="00020CA8" w:rsidP="00B85DFE">
                  <w:pPr>
                    <w:framePr w:hSpace="141" w:wrap="around" w:vAnchor="text" w:hAnchor="text" w:x="284" w:y="1"/>
                    <w:suppressOverlap/>
                    <w:jc w:val="center"/>
                    <w:rPr>
                      <w:rFonts w:cstheme="minorHAnsi"/>
                      <w:sz w:val="24"/>
                      <w:szCs w:val="24"/>
                    </w:rPr>
                  </w:pPr>
                  <w:r w:rsidRPr="00C87433">
                    <w:rPr>
                      <w:rFonts w:cstheme="minorHAnsi"/>
                      <w:sz w:val="24"/>
                      <w:szCs w:val="24"/>
                    </w:rPr>
                    <w:t>1.194,16</w:t>
                  </w:r>
                </w:p>
              </w:tc>
              <w:tc>
                <w:tcPr>
                  <w:tcW w:w="2558" w:type="pct"/>
                  <w:vAlign w:val="bottom"/>
                </w:tcPr>
                <w:p w:rsidR="00020CA8" w:rsidRPr="00C87433" w:rsidRDefault="00020CA8" w:rsidP="00B85DFE">
                  <w:pPr>
                    <w:framePr w:hSpace="141" w:wrap="around" w:vAnchor="text" w:hAnchor="text" w:x="284" w:y="1"/>
                    <w:suppressOverlap/>
                    <w:jc w:val="center"/>
                    <w:rPr>
                      <w:rFonts w:cstheme="minorHAnsi"/>
                      <w:sz w:val="24"/>
                      <w:szCs w:val="24"/>
                    </w:rPr>
                  </w:pPr>
                  <w:r w:rsidRPr="00C87433">
                    <w:rPr>
                      <w:rFonts w:cstheme="minorHAnsi"/>
                      <w:sz w:val="24"/>
                      <w:szCs w:val="24"/>
                    </w:rPr>
                    <w:t>13,85</w:t>
                  </w:r>
                </w:p>
              </w:tc>
            </w:tr>
            <w:tr w:rsidR="00443F2A" w:rsidRPr="00C87433" w:rsidTr="00E901F0">
              <w:trPr>
                <w:trHeight w:val="101"/>
              </w:trPr>
              <w:tc>
                <w:tcPr>
                  <w:tcW w:w="893" w:type="pct"/>
                  <w:vAlign w:val="center"/>
                </w:tcPr>
                <w:p w:rsidR="00063CEC" w:rsidRPr="00C87433" w:rsidRDefault="00063CE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2020</w:t>
                  </w:r>
                </w:p>
              </w:tc>
              <w:tc>
                <w:tcPr>
                  <w:tcW w:w="1549" w:type="pct"/>
                  <w:vAlign w:val="bottom"/>
                </w:tcPr>
                <w:p w:rsidR="00063CEC" w:rsidRPr="00C87433" w:rsidRDefault="00063CEC" w:rsidP="00B85DFE">
                  <w:pPr>
                    <w:framePr w:hSpace="141" w:wrap="around" w:vAnchor="text" w:hAnchor="text" w:x="284" w:y="1"/>
                    <w:suppressOverlap/>
                    <w:jc w:val="center"/>
                    <w:rPr>
                      <w:rFonts w:cstheme="minorHAnsi"/>
                      <w:sz w:val="24"/>
                      <w:szCs w:val="24"/>
                    </w:rPr>
                  </w:pPr>
                  <w:r w:rsidRPr="00C87433">
                    <w:rPr>
                      <w:rFonts w:cstheme="minorHAnsi"/>
                      <w:sz w:val="24"/>
                      <w:szCs w:val="24"/>
                    </w:rPr>
                    <w:t>1.006,03</w:t>
                  </w:r>
                </w:p>
              </w:tc>
              <w:tc>
                <w:tcPr>
                  <w:tcW w:w="2558" w:type="pct"/>
                  <w:vAlign w:val="bottom"/>
                </w:tcPr>
                <w:p w:rsidR="00063CEC" w:rsidRPr="00C87433" w:rsidRDefault="00063CEC" w:rsidP="00B85DFE">
                  <w:pPr>
                    <w:framePr w:hSpace="141" w:wrap="around" w:vAnchor="text" w:hAnchor="text" w:x="284" w:y="1"/>
                    <w:suppressOverlap/>
                    <w:jc w:val="center"/>
                    <w:rPr>
                      <w:rFonts w:cstheme="minorHAnsi"/>
                      <w:sz w:val="24"/>
                      <w:szCs w:val="24"/>
                    </w:rPr>
                  </w:pPr>
                  <w:r w:rsidRPr="00C87433">
                    <w:rPr>
                      <w:rFonts w:cstheme="minorHAnsi"/>
                      <w:sz w:val="24"/>
                      <w:szCs w:val="24"/>
                    </w:rPr>
                    <w:t>11,69</w:t>
                  </w:r>
                </w:p>
              </w:tc>
            </w:tr>
            <w:tr w:rsidR="00443F2A" w:rsidRPr="00C87433" w:rsidTr="00E901F0">
              <w:trPr>
                <w:trHeight w:val="101"/>
              </w:trPr>
              <w:tc>
                <w:tcPr>
                  <w:tcW w:w="893" w:type="pct"/>
                  <w:vAlign w:val="center"/>
                </w:tcPr>
                <w:p w:rsidR="003B2915" w:rsidRPr="00C87433" w:rsidRDefault="003B2915" w:rsidP="00B85DFE">
                  <w:pPr>
                    <w:framePr w:hSpace="141" w:wrap="around" w:vAnchor="text" w:hAnchor="text" w:x="284" w:y="1"/>
                    <w:suppressOverlap/>
                    <w:jc w:val="center"/>
                    <w:rPr>
                      <w:rFonts w:cstheme="minorHAnsi"/>
                      <w:b/>
                      <w:sz w:val="24"/>
                      <w:szCs w:val="24"/>
                    </w:rPr>
                  </w:pPr>
                  <w:r w:rsidRPr="00C87433">
                    <w:rPr>
                      <w:rFonts w:cstheme="minorHAnsi"/>
                      <w:b/>
                      <w:sz w:val="24"/>
                      <w:szCs w:val="24"/>
                    </w:rPr>
                    <w:t>2021</w:t>
                  </w:r>
                </w:p>
              </w:tc>
              <w:tc>
                <w:tcPr>
                  <w:tcW w:w="1549" w:type="pct"/>
                  <w:vAlign w:val="bottom"/>
                </w:tcPr>
                <w:p w:rsidR="003B2915" w:rsidRPr="00C87433" w:rsidRDefault="002933BC" w:rsidP="00B85DFE">
                  <w:pPr>
                    <w:framePr w:hSpace="141" w:wrap="around" w:vAnchor="text" w:hAnchor="text" w:x="284" w:y="1"/>
                    <w:suppressOverlap/>
                    <w:jc w:val="center"/>
                    <w:rPr>
                      <w:rFonts w:cstheme="minorHAnsi"/>
                      <w:sz w:val="24"/>
                      <w:szCs w:val="24"/>
                    </w:rPr>
                  </w:pPr>
                  <w:r w:rsidRPr="00C87433">
                    <w:rPr>
                      <w:rFonts w:cstheme="minorHAnsi"/>
                      <w:sz w:val="24"/>
                      <w:szCs w:val="24"/>
                    </w:rPr>
                    <w:t xml:space="preserve">  </w:t>
                  </w:r>
                  <w:r w:rsidR="003B2915" w:rsidRPr="00C87433">
                    <w:rPr>
                      <w:rFonts w:cstheme="minorHAnsi"/>
                      <w:sz w:val="24"/>
                      <w:szCs w:val="24"/>
                    </w:rPr>
                    <w:t>825,14</w:t>
                  </w:r>
                </w:p>
              </w:tc>
              <w:tc>
                <w:tcPr>
                  <w:tcW w:w="2558" w:type="pct"/>
                  <w:vAlign w:val="bottom"/>
                </w:tcPr>
                <w:p w:rsidR="003B2915" w:rsidRPr="00C87433" w:rsidRDefault="003B2915" w:rsidP="00B85DFE">
                  <w:pPr>
                    <w:framePr w:hSpace="141" w:wrap="around" w:vAnchor="text" w:hAnchor="text" w:x="284" w:y="1"/>
                    <w:suppressOverlap/>
                    <w:jc w:val="center"/>
                    <w:rPr>
                      <w:rFonts w:cstheme="minorHAnsi"/>
                      <w:sz w:val="24"/>
                      <w:szCs w:val="24"/>
                    </w:rPr>
                  </w:pPr>
                  <w:r w:rsidRPr="00C87433">
                    <w:rPr>
                      <w:rFonts w:cstheme="minorHAnsi"/>
                      <w:sz w:val="24"/>
                      <w:szCs w:val="24"/>
                    </w:rPr>
                    <w:t>9,44</w:t>
                  </w:r>
                </w:p>
              </w:tc>
            </w:tr>
            <w:tr w:rsidR="003966BA" w:rsidRPr="00C87433" w:rsidTr="00E901F0">
              <w:trPr>
                <w:trHeight w:val="101"/>
              </w:trPr>
              <w:tc>
                <w:tcPr>
                  <w:tcW w:w="893" w:type="pct"/>
                  <w:vAlign w:val="center"/>
                </w:tcPr>
                <w:p w:rsidR="003966BA" w:rsidRPr="00C87433" w:rsidRDefault="003966BA" w:rsidP="00B85DFE">
                  <w:pPr>
                    <w:framePr w:hSpace="141" w:wrap="around" w:vAnchor="text" w:hAnchor="text" w:x="284" w:y="1"/>
                    <w:suppressOverlap/>
                    <w:jc w:val="center"/>
                    <w:rPr>
                      <w:rFonts w:cstheme="minorHAnsi"/>
                      <w:b/>
                      <w:sz w:val="24"/>
                      <w:szCs w:val="24"/>
                    </w:rPr>
                  </w:pPr>
                  <w:r w:rsidRPr="00C87433">
                    <w:rPr>
                      <w:rFonts w:cstheme="minorHAnsi"/>
                      <w:b/>
                      <w:sz w:val="24"/>
                      <w:szCs w:val="24"/>
                    </w:rPr>
                    <w:t>2022</w:t>
                  </w:r>
                </w:p>
              </w:tc>
              <w:tc>
                <w:tcPr>
                  <w:tcW w:w="1549" w:type="pct"/>
                  <w:vAlign w:val="bottom"/>
                </w:tcPr>
                <w:p w:rsidR="003966BA" w:rsidRPr="00C87433" w:rsidRDefault="00180E0D" w:rsidP="00B85DFE">
                  <w:pPr>
                    <w:framePr w:hSpace="141" w:wrap="around" w:vAnchor="text" w:hAnchor="text" w:x="284" w:y="1"/>
                    <w:suppressOverlap/>
                    <w:jc w:val="center"/>
                    <w:rPr>
                      <w:rFonts w:cstheme="minorHAnsi"/>
                      <w:sz w:val="24"/>
                      <w:szCs w:val="24"/>
                    </w:rPr>
                  </w:pPr>
                  <w:r w:rsidRPr="00C87433">
                    <w:rPr>
                      <w:rFonts w:cstheme="minorHAnsi"/>
                      <w:sz w:val="24"/>
                      <w:szCs w:val="24"/>
                    </w:rPr>
                    <w:t>1.439,57</w:t>
                  </w:r>
                </w:p>
              </w:tc>
              <w:tc>
                <w:tcPr>
                  <w:tcW w:w="2558" w:type="pct"/>
                  <w:vAlign w:val="bottom"/>
                </w:tcPr>
                <w:p w:rsidR="003966BA" w:rsidRPr="00C87433" w:rsidRDefault="00180E0D" w:rsidP="00B85DFE">
                  <w:pPr>
                    <w:framePr w:hSpace="141" w:wrap="around" w:vAnchor="text" w:hAnchor="text" w:x="284" w:y="1"/>
                    <w:suppressOverlap/>
                    <w:jc w:val="center"/>
                    <w:rPr>
                      <w:rFonts w:cstheme="minorHAnsi"/>
                      <w:sz w:val="24"/>
                      <w:szCs w:val="24"/>
                    </w:rPr>
                  </w:pPr>
                  <w:r w:rsidRPr="00C87433">
                    <w:rPr>
                      <w:rFonts w:cstheme="minorHAnsi"/>
                      <w:sz w:val="24"/>
                      <w:szCs w:val="24"/>
                    </w:rPr>
                    <w:t>16,85</w:t>
                  </w:r>
                </w:p>
              </w:tc>
            </w:tr>
          </w:tbl>
          <w:p w:rsidR="002933BC" w:rsidRPr="00C87433" w:rsidRDefault="002933BC" w:rsidP="0076618C">
            <w:pPr>
              <w:jc w:val="both"/>
              <w:rPr>
                <w:rFonts w:cstheme="minorHAnsi"/>
                <w:b/>
                <w:sz w:val="24"/>
                <w:szCs w:val="24"/>
              </w:rPr>
            </w:pPr>
          </w:p>
          <w:p w:rsidR="002933BC" w:rsidRPr="00DA6CC2" w:rsidRDefault="002933BC" w:rsidP="0076618C">
            <w:pPr>
              <w:jc w:val="both"/>
              <w:rPr>
                <w:rFonts w:cstheme="minorHAnsi"/>
                <w:sz w:val="24"/>
                <w:szCs w:val="24"/>
              </w:rPr>
            </w:pPr>
            <w:r w:rsidRPr="00DA6CC2">
              <w:rPr>
                <w:rFonts w:cstheme="minorHAnsi"/>
                <w:sz w:val="24"/>
                <w:szCs w:val="24"/>
              </w:rPr>
              <w:t>V rámci tohoto pods</w:t>
            </w:r>
            <w:r w:rsidR="00180E0D" w:rsidRPr="00DA6CC2">
              <w:rPr>
                <w:rFonts w:cstheme="minorHAnsi"/>
                <w:sz w:val="24"/>
                <w:szCs w:val="24"/>
              </w:rPr>
              <w:t xml:space="preserve">eskupení došlo oproti roku 2021 </w:t>
            </w:r>
            <w:r w:rsidR="00381A5F" w:rsidRPr="00DA6CC2">
              <w:rPr>
                <w:rFonts w:cstheme="minorHAnsi"/>
                <w:sz w:val="24"/>
                <w:szCs w:val="24"/>
              </w:rPr>
              <w:t xml:space="preserve">k nárůstu čerpání z důvodu </w:t>
            </w:r>
            <w:r w:rsidR="00443F2A" w:rsidRPr="00DA6CC2">
              <w:rPr>
                <w:rFonts w:cstheme="minorHAnsi"/>
                <w:sz w:val="24"/>
                <w:szCs w:val="24"/>
              </w:rPr>
              <w:t xml:space="preserve"> </w:t>
            </w:r>
            <w:r w:rsidR="00180E0D" w:rsidRPr="00DA6CC2">
              <w:rPr>
                <w:rFonts w:cstheme="minorHAnsi"/>
                <w:sz w:val="24"/>
                <w:szCs w:val="24"/>
              </w:rPr>
              <w:t xml:space="preserve"> zvýšení cen materiálu</w:t>
            </w:r>
            <w:r w:rsidR="00381A5F" w:rsidRPr="00DA6CC2">
              <w:rPr>
                <w:rFonts w:cstheme="minorHAnsi"/>
                <w:sz w:val="24"/>
                <w:szCs w:val="24"/>
              </w:rPr>
              <w:t>. Další významný vliv na toto navýšení má nákup počítačových sestav, který se nepodařilo zrealizovat v roce 2021.</w:t>
            </w:r>
          </w:p>
          <w:p w:rsidR="00834FC1" w:rsidRPr="00DA6CC2" w:rsidRDefault="002170B8" w:rsidP="0076618C">
            <w:pPr>
              <w:jc w:val="both"/>
              <w:rPr>
                <w:rFonts w:cstheme="minorHAnsi"/>
                <w:sz w:val="24"/>
                <w:szCs w:val="24"/>
              </w:rPr>
            </w:pPr>
            <w:r w:rsidRPr="00DA6CC2">
              <w:rPr>
                <w:rFonts w:cstheme="minorHAnsi"/>
                <w:sz w:val="24"/>
                <w:szCs w:val="24"/>
              </w:rPr>
              <w:t xml:space="preserve">Největší čerpání </w:t>
            </w:r>
            <w:r w:rsidR="00180E0D" w:rsidRPr="00DA6CC2">
              <w:rPr>
                <w:rFonts w:cstheme="minorHAnsi"/>
                <w:sz w:val="24"/>
                <w:szCs w:val="24"/>
              </w:rPr>
              <w:t>v roce 202</w:t>
            </w:r>
            <w:r w:rsidR="00381A5F" w:rsidRPr="00DA6CC2">
              <w:rPr>
                <w:rFonts w:cstheme="minorHAnsi"/>
                <w:sz w:val="24"/>
                <w:szCs w:val="24"/>
              </w:rPr>
              <w:t>2</w:t>
            </w:r>
            <w:r w:rsidR="00834FC1" w:rsidRPr="00DA6CC2">
              <w:rPr>
                <w:rFonts w:cstheme="minorHAnsi"/>
                <w:sz w:val="24"/>
                <w:szCs w:val="24"/>
              </w:rPr>
              <w:t xml:space="preserve"> činil nákup kance</w:t>
            </w:r>
            <w:r w:rsidR="00381A5F" w:rsidRPr="00DA6CC2">
              <w:rPr>
                <w:rFonts w:cstheme="minorHAnsi"/>
                <w:sz w:val="24"/>
                <w:szCs w:val="24"/>
              </w:rPr>
              <w:t>lářského a úklidového materiálu</w:t>
            </w:r>
            <w:r w:rsidR="00834FC1" w:rsidRPr="00DA6CC2">
              <w:rPr>
                <w:rFonts w:cstheme="minorHAnsi"/>
                <w:sz w:val="24"/>
                <w:szCs w:val="24"/>
              </w:rPr>
              <w:t xml:space="preserve"> a majetku, všechny nákupy, týkající se výpočetní techniky byly konzultovány s odborem informatiky Krajského soudu v Plzni.</w:t>
            </w:r>
          </w:p>
          <w:p w:rsidR="00834FC1" w:rsidRPr="00DA6CC2" w:rsidRDefault="00834FC1" w:rsidP="0076618C">
            <w:pPr>
              <w:jc w:val="both"/>
              <w:rPr>
                <w:rFonts w:cstheme="minorHAnsi"/>
                <w:sz w:val="24"/>
                <w:szCs w:val="24"/>
              </w:rPr>
            </w:pPr>
            <w:r w:rsidRPr="00DA6CC2">
              <w:rPr>
                <w:rFonts w:cstheme="minorHAnsi"/>
                <w:sz w:val="24"/>
                <w:szCs w:val="24"/>
              </w:rPr>
              <w:t>Na položce 5139 – Materiál jinde nezařazený jsou zaúčtované výdaje za kancelářský materiál (</w:t>
            </w:r>
            <w:r w:rsidR="00381A5F" w:rsidRPr="00DA6CC2">
              <w:rPr>
                <w:rFonts w:cstheme="minorHAnsi"/>
                <w:sz w:val="24"/>
                <w:szCs w:val="24"/>
              </w:rPr>
              <w:t xml:space="preserve">obálky, </w:t>
            </w:r>
            <w:r w:rsidRPr="00DA6CC2">
              <w:rPr>
                <w:rFonts w:cstheme="minorHAnsi"/>
                <w:sz w:val="24"/>
                <w:szCs w:val="24"/>
              </w:rPr>
              <w:t xml:space="preserve">papír, tonery, desky, psací potřeby, kancelářské sponky, lepidla, motouzy), úklidové a čisticí prostředky, toaletní papíry, papírové ručníky, materiál na drobné opravy v budově soudu. </w:t>
            </w:r>
            <w:r w:rsidR="00381A5F" w:rsidRPr="00DA6CC2">
              <w:rPr>
                <w:rFonts w:cstheme="minorHAnsi"/>
                <w:sz w:val="24"/>
                <w:szCs w:val="24"/>
              </w:rPr>
              <w:t xml:space="preserve">Nově zde byl účtován též nákup operativního majetku (konve, řezačka papíru, konferenční stolek). </w:t>
            </w:r>
            <w:r w:rsidR="00A76D9C" w:rsidRPr="00DA6CC2">
              <w:rPr>
                <w:rFonts w:cstheme="minorHAnsi"/>
                <w:sz w:val="24"/>
                <w:szCs w:val="24"/>
              </w:rPr>
              <w:t xml:space="preserve">Celkové čerpání bylo ve výši </w:t>
            </w:r>
            <w:r w:rsidR="00381A5F" w:rsidRPr="00DA6CC2">
              <w:rPr>
                <w:rFonts w:cstheme="minorHAnsi"/>
                <w:sz w:val="24"/>
                <w:szCs w:val="24"/>
              </w:rPr>
              <w:t>944.444,23</w:t>
            </w:r>
            <w:r w:rsidR="00A76D9C" w:rsidRPr="00DA6CC2">
              <w:rPr>
                <w:rFonts w:cstheme="minorHAnsi"/>
                <w:sz w:val="24"/>
                <w:szCs w:val="24"/>
              </w:rPr>
              <w:t xml:space="preserve"> Kč, což je o </w:t>
            </w:r>
            <w:r w:rsidR="00381A5F" w:rsidRPr="00DA6CC2">
              <w:rPr>
                <w:rFonts w:cstheme="minorHAnsi"/>
                <w:sz w:val="24"/>
                <w:szCs w:val="24"/>
              </w:rPr>
              <w:t>344.103,04</w:t>
            </w:r>
            <w:r w:rsidR="00A76D9C" w:rsidRPr="00DA6CC2">
              <w:rPr>
                <w:rFonts w:cstheme="minorHAnsi"/>
                <w:sz w:val="24"/>
                <w:szCs w:val="24"/>
              </w:rPr>
              <w:t xml:space="preserve"> Kč </w:t>
            </w:r>
            <w:r w:rsidR="00381A5F" w:rsidRPr="00DA6CC2">
              <w:rPr>
                <w:rFonts w:cstheme="minorHAnsi"/>
                <w:sz w:val="24"/>
                <w:szCs w:val="24"/>
              </w:rPr>
              <w:t>více než v roce 2021</w:t>
            </w:r>
            <w:r w:rsidR="00A76D9C" w:rsidRPr="00DA6CC2">
              <w:rPr>
                <w:rFonts w:cstheme="minorHAnsi"/>
                <w:sz w:val="24"/>
                <w:szCs w:val="24"/>
              </w:rPr>
              <w:t>.</w:t>
            </w:r>
          </w:p>
          <w:p w:rsidR="00834FC1" w:rsidRPr="00DA6CC2" w:rsidRDefault="00834FC1" w:rsidP="0076618C">
            <w:pPr>
              <w:jc w:val="both"/>
              <w:rPr>
                <w:rFonts w:cstheme="minorHAnsi"/>
                <w:sz w:val="24"/>
                <w:szCs w:val="24"/>
              </w:rPr>
            </w:pPr>
            <w:r w:rsidRPr="00DA6CC2">
              <w:rPr>
                <w:rFonts w:cstheme="minorHAnsi"/>
                <w:sz w:val="24"/>
                <w:szCs w:val="24"/>
              </w:rPr>
              <w:t>Výdaje na kancelářský materiál činily</w:t>
            </w:r>
            <w:r w:rsidR="002170B8" w:rsidRPr="00DA6CC2">
              <w:rPr>
                <w:rFonts w:cstheme="minorHAnsi"/>
                <w:sz w:val="24"/>
                <w:szCs w:val="24"/>
              </w:rPr>
              <w:t xml:space="preserve"> </w:t>
            </w:r>
            <w:r w:rsidR="00710BD4" w:rsidRPr="00DA6CC2">
              <w:rPr>
                <w:rFonts w:cstheme="minorHAnsi"/>
                <w:sz w:val="24"/>
                <w:szCs w:val="24"/>
              </w:rPr>
              <w:t>152.395,12</w:t>
            </w:r>
            <w:r w:rsidR="002170B8" w:rsidRPr="00DA6CC2">
              <w:rPr>
                <w:rFonts w:cstheme="minorHAnsi"/>
                <w:sz w:val="24"/>
                <w:szCs w:val="24"/>
              </w:rPr>
              <w:t xml:space="preserve"> Kč, na </w:t>
            </w:r>
            <w:r w:rsidR="00FC2550" w:rsidRPr="00DA6CC2">
              <w:rPr>
                <w:rFonts w:cstheme="minorHAnsi"/>
                <w:sz w:val="24"/>
                <w:szCs w:val="24"/>
              </w:rPr>
              <w:t xml:space="preserve">úklidový materiál </w:t>
            </w:r>
            <w:r w:rsidR="00710BD4" w:rsidRPr="00DA6CC2">
              <w:rPr>
                <w:rFonts w:cstheme="minorHAnsi"/>
                <w:sz w:val="24"/>
                <w:szCs w:val="24"/>
              </w:rPr>
              <w:t xml:space="preserve">151.785,00 </w:t>
            </w:r>
            <w:r w:rsidR="00FC2550" w:rsidRPr="00DA6CC2">
              <w:rPr>
                <w:rFonts w:cstheme="minorHAnsi"/>
                <w:sz w:val="24"/>
                <w:szCs w:val="24"/>
              </w:rPr>
              <w:t xml:space="preserve">Kč, na papírové ručníky a toaletní papír </w:t>
            </w:r>
            <w:r w:rsidR="00710BD4" w:rsidRPr="00DA6CC2">
              <w:rPr>
                <w:rFonts w:cstheme="minorHAnsi"/>
                <w:sz w:val="24"/>
                <w:szCs w:val="24"/>
              </w:rPr>
              <w:t>245.840,68</w:t>
            </w:r>
            <w:r w:rsidR="00FC2550" w:rsidRPr="00DA6CC2">
              <w:rPr>
                <w:rFonts w:cstheme="minorHAnsi"/>
                <w:sz w:val="24"/>
                <w:szCs w:val="24"/>
              </w:rPr>
              <w:t xml:space="preserve"> Kč, </w:t>
            </w:r>
            <w:r w:rsidR="00710BD4" w:rsidRPr="00DA6CC2">
              <w:rPr>
                <w:rFonts w:cstheme="minorHAnsi"/>
                <w:sz w:val="24"/>
                <w:szCs w:val="24"/>
              </w:rPr>
              <w:t>tonery 83.450,00  Kč, kancelářský papír 129.719,00 Kč a obálky 107.810,60 Kč.</w:t>
            </w:r>
          </w:p>
          <w:p w:rsidR="00033042" w:rsidRPr="00DA6CC2" w:rsidRDefault="00834FC1" w:rsidP="0076618C">
            <w:pPr>
              <w:jc w:val="both"/>
              <w:rPr>
                <w:rFonts w:cstheme="minorHAnsi"/>
                <w:sz w:val="24"/>
                <w:szCs w:val="24"/>
              </w:rPr>
            </w:pPr>
            <w:r w:rsidRPr="00DA6CC2">
              <w:rPr>
                <w:rFonts w:cstheme="minorHAnsi"/>
                <w:sz w:val="24"/>
                <w:szCs w:val="24"/>
              </w:rPr>
              <w:t>Na položce 5137</w:t>
            </w:r>
            <w:r w:rsidR="00033042" w:rsidRPr="00DA6CC2">
              <w:rPr>
                <w:rFonts w:cstheme="minorHAnsi"/>
                <w:sz w:val="24"/>
                <w:szCs w:val="24"/>
              </w:rPr>
              <w:t>-DHDM činilo čerpání v roce 202</w:t>
            </w:r>
            <w:r w:rsidR="00523CC8" w:rsidRPr="00DA6CC2">
              <w:rPr>
                <w:rFonts w:cstheme="minorHAnsi"/>
                <w:sz w:val="24"/>
                <w:szCs w:val="24"/>
              </w:rPr>
              <w:t>2</w:t>
            </w:r>
            <w:r w:rsidRPr="00DA6CC2">
              <w:rPr>
                <w:rFonts w:cstheme="minorHAnsi"/>
                <w:sz w:val="24"/>
                <w:szCs w:val="24"/>
              </w:rPr>
              <w:t xml:space="preserve"> celkem částku </w:t>
            </w:r>
            <w:r w:rsidR="00523CC8" w:rsidRPr="00DA6CC2">
              <w:rPr>
                <w:rFonts w:cstheme="minorHAnsi"/>
                <w:sz w:val="24"/>
                <w:szCs w:val="24"/>
              </w:rPr>
              <w:t>486.645,53</w:t>
            </w:r>
            <w:r w:rsidRPr="00DA6CC2">
              <w:rPr>
                <w:rFonts w:cstheme="minorHAnsi"/>
                <w:sz w:val="24"/>
                <w:szCs w:val="24"/>
              </w:rPr>
              <w:t xml:space="preserve"> Kč, což je o </w:t>
            </w:r>
            <w:r w:rsidR="00523CC8" w:rsidRPr="00DA6CC2">
              <w:rPr>
                <w:rFonts w:cstheme="minorHAnsi"/>
                <w:sz w:val="24"/>
                <w:szCs w:val="24"/>
              </w:rPr>
              <w:t>348.652,33 Kč více než v roce 2021</w:t>
            </w:r>
            <w:r w:rsidRPr="00DA6CC2">
              <w:rPr>
                <w:rFonts w:cstheme="minorHAnsi"/>
                <w:sz w:val="24"/>
                <w:szCs w:val="24"/>
              </w:rPr>
              <w:t xml:space="preserve">. </w:t>
            </w:r>
            <w:r w:rsidR="00523CC8" w:rsidRPr="00DA6CC2">
              <w:rPr>
                <w:rFonts w:cstheme="minorHAnsi"/>
                <w:sz w:val="24"/>
                <w:szCs w:val="24"/>
              </w:rPr>
              <w:t>Toto navýšení ovlivnil nákup 25 počítačových sestav v celkové hodnotě 395.521,77 Kč. Další významné nákupy: kancelářské židle (33.985,00 Kč), tiskárny ( 31.595,12 Kč), skartovací stroj (7.437,00 Kč).</w:t>
            </w:r>
          </w:p>
          <w:p w:rsidR="00443F2A" w:rsidRPr="00C87433" w:rsidRDefault="00710BD4" w:rsidP="0076618C">
            <w:pPr>
              <w:jc w:val="both"/>
              <w:rPr>
                <w:rFonts w:cstheme="minorHAnsi"/>
                <w:b/>
                <w:sz w:val="24"/>
                <w:szCs w:val="24"/>
              </w:rPr>
            </w:pPr>
            <w:r w:rsidRPr="00C87433">
              <w:rPr>
                <w:rFonts w:cstheme="minorHAnsi"/>
              </w:rPr>
              <w:t xml:space="preserve"> </w:t>
            </w:r>
          </w:p>
          <w:p w:rsidR="00020CA8" w:rsidRPr="00C87433" w:rsidRDefault="00020CA8" w:rsidP="0076618C">
            <w:pPr>
              <w:jc w:val="both"/>
              <w:rPr>
                <w:rFonts w:cstheme="minorHAnsi"/>
                <w:b/>
                <w:sz w:val="24"/>
                <w:szCs w:val="24"/>
              </w:rPr>
            </w:pPr>
            <w:r w:rsidRPr="00C87433">
              <w:rPr>
                <w:rFonts w:cstheme="minorHAnsi"/>
                <w:b/>
                <w:sz w:val="24"/>
                <w:szCs w:val="24"/>
              </w:rPr>
              <w:t xml:space="preserve">515 – Nákup </w:t>
            </w:r>
            <w:r w:rsidR="00E901F0" w:rsidRPr="00C87433">
              <w:rPr>
                <w:rFonts w:cstheme="minorHAnsi"/>
                <w:b/>
                <w:sz w:val="24"/>
                <w:szCs w:val="24"/>
              </w:rPr>
              <w:t>vody, paliv a energie</w:t>
            </w:r>
          </w:p>
          <w:p w:rsidR="004F0494" w:rsidRPr="00C87433" w:rsidRDefault="004F0494" w:rsidP="0076618C">
            <w:pPr>
              <w:jc w:val="both"/>
              <w:rPr>
                <w:rFonts w:cstheme="minorHAnsi"/>
                <w:sz w:val="24"/>
                <w:szCs w:val="24"/>
              </w:rPr>
            </w:pPr>
          </w:p>
          <w:tbl>
            <w:tblPr>
              <w:tblStyle w:val="Mkatabulky"/>
              <w:tblW w:w="0" w:type="auto"/>
              <w:tblLook w:val="04A0" w:firstRow="1" w:lastRow="0" w:firstColumn="1" w:lastColumn="0" w:noHBand="0" w:noVBand="1"/>
            </w:tblPr>
            <w:tblGrid>
              <w:gridCol w:w="1242"/>
              <w:gridCol w:w="1730"/>
              <w:gridCol w:w="3119"/>
            </w:tblGrid>
            <w:tr w:rsidR="002933BC" w:rsidRPr="00C87433" w:rsidTr="00E901F0">
              <w:tc>
                <w:tcPr>
                  <w:tcW w:w="1242" w:type="dxa"/>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Rok</w:t>
                  </w:r>
                </w:p>
              </w:tc>
              <w:tc>
                <w:tcPr>
                  <w:tcW w:w="1730" w:type="dxa"/>
                </w:tcPr>
                <w:p w:rsidR="00020CA8" w:rsidRPr="00C87433" w:rsidRDefault="00E901F0" w:rsidP="00B85DFE">
                  <w:pPr>
                    <w:framePr w:hSpace="141" w:wrap="around" w:vAnchor="text" w:hAnchor="text" w:x="284" w:y="1"/>
                    <w:suppressOverlap/>
                    <w:rPr>
                      <w:rFonts w:cstheme="minorHAnsi"/>
                      <w:b/>
                      <w:sz w:val="24"/>
                      <w:szCs w:val="24"/>
                    </w:rPr>
                  </w:pPr>
                  <w:r w:rsidRPr="00C87433">
                    <w:rPr>
                      <w:rFonts w:cstheme="minorHAnsi"/>
                      <w:b/>
                      <w:sz w:val="24"/>
                      <w:szCs w:val="24"/>
                    </w:rPr>
                    <w:t xml:space="preserve">Skutečnost </w:t>
                  </w:r>
                </w:p>
              </w:tc>
              <w:tc>
                <w:tcPr>
                  <w:tcW w:w="3119" w:type="dxa"/>
                </w:tcPr>
                <w:p w:rsidR="00020CA8" w:rsidRPr="00C87433" w:rsidRDefault="00020CA8" w:rsidP="00B85DFE">
                  <w:pPr>
                    <w:framePr w:hSpace="141" w:wrap="around" w:vAnchor="text" w:hAnchor="text" w:x="284" w:y="1"/>
                    <w:suppressOverlap/>
                    <w:rPr>
                      <w:rFonts w:cstheme="minorHAnsi"/>
                      <w:sz w:val="24"/>
                      <w:szCs w:val="24"/>
                    </w:rPr>
                  </w:pPr>
                  <w:r w:rsidRPr="00C87433">
                    <w:rPr>
                      <w:rFonts w:cstheme="minorHAnsi"/>
                      <w:b/>
                      <w:sz w:val="24"/>
                      <w:szCs w:val="24"/>
                    </w:rPr>
                    <w:t xml:space="preserve">Náklady </w:t>
                  </w:r>
                  <w:r w:rsidR="00E901F0" w:rsidRPr="00C87433">
                    <w:rPr>
                      <w:rFonts w:cstheme="minorHAnsi"/>
                      <w:b/>
                      <w:sz w:val="24"/>
                      <w:szCs w:val="24"/>
                    </w:rPr>
                    <w:t xml:space="preserve">na 1 zaměstnance </w:t>
                  </w:r>
                </w:p>
              </w:tc>
            </w:tr>
            <w:tr w:rsidR="002933BC" w:rsidRPr="00C87433" w:rsidTr="00E901F0">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2016</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1.573,34</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18,28</w:t>
                  </w:r>
                </w:p>
              </w:tc>
            </w:tr>
            <w:tr w:rsidR="002933BC" w:rsidRPr="00C87433" w:rsidTr="00E901F0">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2017</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1.560,72</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18,09</w:t>
                  </w:r>
                </w:p>
              </w:tc>
            </w:tr>
            <w:tr w:rsidR="002933BC" w:rsidRPr="00C87433" w:rsidTr="00E901F0">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2018</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1.628,16</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18,91</w:t>
                  </w:r>
                </w:p>
              </w:tc>
            </w:tr>
            <w:tr w:rsidR="002933BC" w:rsidRPr="00C87433" w:rsidTr="00E901F0">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2019</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1.759,35</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20,41</w:t>
                  </w:r>
                </w:p>
              </w:tc>
            </w:tr>
            <w:tr w:rsidR="002933BC" w:rsidRPr="00C87433" w:rsidTr="00E901F0">
              <w:tc>
                <w:tcPr>
                  <w:tcW w:w="1242" w:type="dxa"/>
                </w:tcPr>
                <w:p w:rsidR="00063CEC" w:rsidRPr="00C87433" w:rsidRDefault="00063CE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2020</w:t>
                  </w:r>
                </w:p>
              </w:tc>
              <w:tc>
                <w:tcPr>
                  <w:tcW w:w="1730" w:type="dxa"/>
                  <w:vAlign w:val="bottom"/>
                </w:tcPr>
                <w:p w:rsidR="00063CEC"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1.407,74</w:t>
                  </w:r>
                </w:p>
              </w:tc>
              <w:tc>
                <w:tcPr>
                  <w:tcW w:w="3119" w:type="dxa"/>
                  <w:vAlign w:val="bottom"/>
                </w:tcPr>
                <w:p w:rsidR="00063CEC"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16,36</w:t>
                  </w:r>
                </w:p>
              </w:tc>
            </w:tr>
            <w:tr w:rsidR="002933BC" w:rsidRPr="00C87433" w:rsidTr="00E901F0">
              <w:tc>
                <w:tcPr>
                  <w:tcW w:w="1242" w:type="dxa"/>
                </w:tcPr>
                <w:p w:rsidR="002933BC" w:rsidRPr="00C87433" w:rsidRDefault="002933B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2021</w:t>
                  </w:r>
                </w:p>
              </w:tc>
              <w:tc>
                <w:tcPr>
                  <w:tcW w:w="1730" w:type="dxa"/>
                  <w:vAlign w:val="bottom"/>
                </w:tcPr>
                <w:p w:rsidR="002933BC" w:rsidRPr="00C87433" w:rsidRDefault="002933BC" w:rsidP="00B85DFE">
                  <w:pPr>
                    <w:framePr w:hSpace="141" w:wrap="around" w:vAnchor="text" w:hAnchor="text" w:x="284" w:y="1"/>
                    <w:suppressOverlap/>
                    <w:jc w:val="right"/>
                    <w:rPr>
                      <w:rFonts w:cstheme="minorHAnsi"/>
                      <w:sz w:val="24"/>
                      <w:szCs w:val="24"/>
                    </w:rPr>
                  </w:pPr>
                  <w:r w:rsidRPr="00C87433">
                    <w:rPr>
                      <w:rFonts w:cstheme="minorHAnsi"/>
                      <w:sz w:val="24"/>
                      <w:szCs w:val="24"/>
                    </w:rPr>
                    <w:t>1.564,14</w:t>
                  </w:r>
                </w:p>
              </w:tc>
              <w:tc>
                <w:tcPr>
                  <w:tcW w:w="3119" w:type="dxa"/>
                  <w:vAlign w:val="bottom"/>
                </w:tcPr>
                <w:p w:rsidR="002933BC" w:rsidRPr="00C87433" w:rsidRDefault="002933BC" w:rsidP="00B85DFE">
                  <w:pPr>
                    <w:framePr w:hSpace="141" w:wrap="around" w:vAnchor="text" w:hAnchor="text" w:x="284" w:y="1"/>
                    <w:suppressOverlap/>
                    <w:jc w:val="right"/>
                    <w:rPr>
                      <w:rFonts w:cstheme="minorHAnsi"/>
                      <w:sz w:val="24"/>
                      <w:szCs w:val="24"/>
                    </w:rPr>
                  </w:pPr>
                  <w:r w:rsidRPr="00C87433">
                    <w:rPr>
                      <w:rFonts w:cstheme="minorHAnsi"/>
                      <w:sz w:val="24"/>
                      <w:szCs w:val="24"/>
                    </w:rPr>
                    <w:t>17,89</w:t>
                  </w:r>
                </w:p>
              </w:tc>
            </w:tr>
            <w:tr w:rsidR="00523CC8" w:rsidRPr="00C87433" w:rsidTr="00E901F0">
              <w:tc>
                <w:tcPr>
                  <w:tcW w:w="1242" w:type="dxa"/>
                </w:tcPr>
                <w:p w:rsidR="00523CC8" w:rsidRPr="00C87433" w:rsidRDefault="00523CC8" w:rsidP="00B85DFE">
                  <w:pPr>
                    <w:framePr w:hSpace="141" w:wrap="around" w:vAnchor="text" w:hAnchor="text" w:x="284" w:y="1"/>
                    <w:suppressOverlap/>
                    <w:jc w:val="center"/>
                    <w:rPr>
                      <w:rFonts w:cstheme="minorHAnsi"/>
                      <w:b/>
                      <w:sz w:val="24"/>
                      <w:szCs w:val="24"/>
                    </w:rPr>
                  </w:pPr>
                  <w:r w:rsidRPr="00C87433">
                    <w:rPr>
                      <w:rFonts w:cstheme="minorHAnsi"/>
                      <w:b/>
                      <w:sz w:val="24"/>
                      <w:szCs w:val="24"/>
                    </w:rPr>
                    <w:t>2022</w:t>
                  </w:r>
                </w:p>
              </w:tc>
              <w:tc>
                <w:tcPr>
                  <w:tcW w:w="1730" w:type="dxa"/>
                  <w:vAlign w:val="bottom"/>
                </w:tcPr>
                <w:p w:rsidR="00523CC8" w:rsidRPr="00C87433" w:rsidRDefault="00523CC8" w:rsidP="00B85DFE">
                  <w:pPr>
                    <w:framePr w:hSpace="141" w:wrap="around" w:vAnchor="text" w:hAnchor="text" w:x="284" w:y="1"/>
                    <w:suppressOverlap/>
                    <w:jc w:val="right"/>
                    <w:rPr>
                      <w:rFonts w:cstheme="minorHAnsi"/>
                      <w:sz w:val="24"/>
                      <w:szCs w:val="24"/>
                    </w:rPr>
                  </w:pPr>
                  <w:r w:rsidRPr="00C87433">
                    <w:rPr>
                      <w:rFonts w:cstheme="minorHAnsi"/>
                      <w:sz w:val="24"/>
                      <w:szCs w:val="24"/>
                    </w:rPr>
                    <w:t>1.730,01</w:t>
                  </w:r>
                </w:p>
              </w:tc>
              <w:tc>
                <w:tcPr>
                  <w:tcW w:w="3119" w:type="dxa"/>
                  <w:vAlign w:val="bottom"/>
                </w:tcPr>
                <w:p w:rsidR="00523CC8" w:rsidRPr="00C87433" w:rsidRDefault="00523CC8" w:rsidP="00B85DFE">
                  <w:pPr>
                    <w:framePr w:hSpace="141" w:wrap="around" w:vAnchor="text" w:hAnchor="text" w:x="284" w:y="1"/>
                    <w:suppressOverlap/>
                    <w:jc w:val="right"/>
                    <w:rPr>
                      <w:rFonts w:cstheme="minorHAnsi"/>
                      <w:sz w:val="24"/>
                      <w:szCs w:val="24"/>
                    </w:rPr>
                  </w:pPr>
                  <w:r w:rsidRPr="00C87433">
                    <w:rPr>
                      <w:rFonts w:cstheme="minorHAnsi"/>
                      <w:sz w:val="24"/>
                      <w:szCs w:val="24"/>
                    </w:rPr>
                    <w:t>20,25</w:t>
                  </w:r>
                </w:p>
              </w:tc>
            </w:tr>
          </w:tbl>
          <w:p w:rsidR="00443F2A" w:rsidRPr="00C87433" w:rsidRDefault="00443F2A" w:rsidP="0076618C">
            <w:pPr>
              <w:jc w:val="both"/>
              <w:rPr>
                <w:rFonts w:cstheme="minorHAnsi"/>
                <w:b/>
                <w:sz w:val="24"/>
                <w:szCs w:val="24"/>
              </w:rPr>
            </w:pPr>
          </w:p>
          <w:p w:rsidR="00443F2A" w:rsidRPr="00C87433" w:rsidRDefault="007E1365" w:rsidP="0076618C">
            <w:pPr>
              <w:jc w:val="both"/>
              <w:rPr>
                <w:rFonts w:cstheme="minorHAnsi"/>
                <w:sz w:val="24"/>
                <w:szCs w:val="24"/>
              </w:rPr>
            </w:pPr>
            <w:r w:rsidRPr="00C87433">
              <w:rPr>
                <w:rFonts w:cstheme="minorHAnsi"/>
                <w:sz w:val="24"/>
                <w:szCs w:val="24"/>
              </w:rPr>
              <w:t xml:space="preserve">Nárůst výdajů v tomto podseskupení je </w:t>
            </w:r>
            <w:r w:rsidR="00B96DE5" w:rsidRPr="00C87433">
              <w:rPr>
                <w:rFonts w:cstheme="minorHAnsi"/>
                <w:sz w:val="24"/>
                <w:szCs w:val="24"/>
              </w:rPr>
              <w:t xml:space="preserve">z důvodu </w:t>
            </w:r>
            <w:r w:rsidR="00523CC8" w:rsidRPr="00C87433">
              <w:rPr>
                <w:rFonts w:cstheme="minorHAnsi"/>
                <w:sz w:val="24"/>
                <w:szCs w:val="24"/>
              </w:rPr>
              <w:t>zvýšení cen energií.</w:t>
            </w:r>
          </w:p>
          <w:p w:rsidR="00523CC8" w:rsidRPr="00C87433" w:rsidRDefault="00523CC8" w:rsidP="0076618C">
            <w:pPr>
              <w:jc w:val="both"/>
              <w:rPr>
                <w:rFonts w:cstheme="minorHAnsi"/>
                <w:sz w:val="24"/>
                <w:szCs w:val="24"/>
              </w:rPr>
            </w:pPr>
          </w:p>
          <w:p w:rsidR="00020CA8" w:rsidRPr="00C87433" w:rsidRDefault="00020CA8" w:rsidP="0076618C">
            <w:pPr>
              <w:jc w:val="both"/>
              <w:rPr>
                <w:rFonts w:cstheme="minorHAnsi"/>
                <w:sz w:val="24"/>
                <w:szCs w:val="24"/>
              </w:rPr>
            </w:pPr>
            <w:r w:rsidRPr="00C87433">
              <w:rPr>
                <w:rFonts w:cstheme="minorHAnsi"/>
                <w:b/>
                <w:sz w:val="24"/>
                <w:szCs w:val="24"/>
              </w:rPr>
              <w:lastRenderedPageBreak/>
              <w:t>516 – Nákup služeb</w:t>
            </w:r>
            <w:r w:rsidR="00E901F0" w:rsidRPr="00C87433">
              <w:rPr>
                <w:rFonts w:cstheme="minorHAnsi"/>
                <w:sz w:val="24"/>
                <w:szCs w:val="24"/>
              </w:rPr>
              <w:t xml:space="preserve"> </w:t>
            </w:r>
          </w:p>
          <w:p w:rsidR="004F0494" w:rsidRPr="00C87433" w:rsidRDefault="004F0494" w:rsidP="0076618C">
            <w:pPr>
              <w:jc w:val="both"/>
              <w:rPr>
                <w:rFonts w:cstheme="minorHAnsi"/>
                <w:sz w:val="24"/>
                <w:szCs w:val="24"/>
              </w:rPr>
            </w:pPr>
          </w:p>
          <w:tbl>
            <w:tblPr>
              <w:tblStyle w:val="Mkatabulky"/>
              <w:tblW w:w="0" w:type="auto"/>
              <w:tblLook w:val="04A0" w:firstRow="1" w:lastRow="0" w:firstColumn="1" w:lastColumn="0" w:noHBand="0" w:noVBand="1"/>
            </w:tblPr>
            <w:tblGrid>
              <w:gridCol w:w="1242"/>
              <w:gridCol w:w="1730"/>
              <w:gridCol w:w="3119"/>
            </w:tblGrid>
            <w:tr w:rsidR="00020CA8" w:rsidRPr="00C87433" w:rsidTr="00C4704E">
              <w:tc>
                <w:tcPr>
                  <w:tcW w:w="1242" w:type="dxa"/>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Rok</w:t>
                  </w:r>
                </w:p>
              </w:tc>
              <w:tc>
                <w:tcPr>
                  <w:tcW w:w="1730" w:type="dxa"/>
                </w:tcPr>
                <w:p w:rsidR="00020CA8" w:rsidRPr="00C87433" w:rsidRDefault="00E901F0" w:rsidP="00B85DFE">
                  <w:pPr>
                    <w:framePr w:hSpace="141" w:wrap="around" w:vAnchor="text" w:hAnchor="text" w:x="284" w:y="1"/>
                    <w:suppressOverlap/>
                    <w:rPr>
                      <w:rFonts w:cstheme="minorHAnsi"/>
                      <w:b/>
                      <w:sz w:val="24"/>
                      <w:szCs w:val="24"/>
                    </w:rPr>
                  </w:pPr>
                  <w:r w:rsidRPr="00C87433">
                    <w:rPr>
                      <w:rFonts w:cstheme="minorHAnsi"/>
                      <w:b/>
                      <w:sz w:val="24"/>
                      <w:szCs w:val="24"/>
                    </w:rPr>
                    <w:t xml:space="preserve">Skutečnost </w:t>
                  </w:r>
                </w:p>
              </w:tc>
              <w:tc>
                <w:tcPr>
                  <w:tcW w:w="3119" w:type="dxa"/>
                </w:tcPr>
                <w:p w:rsidR="00020CA8" w:rsidRPr="00C87433" w:rsidRDefault="00E901F0" w:rsidP="00B85DFE">
                  <w:pPr>
                    <w:framePr w:hSpace="141" w:wrap="around" w:vAnchor="text" w:hAnchor="text" w:x="284" w:y="1"/>
                    <w:suppressOverlap/>
                    <w:rPr>
                      <w:rFonts w:cstheme="minorHAnsi"/>
                      <w:sz w:val="24"/>
                      <w:szCs w:val="24"/>
                    </w:rPr>
                  </w:pPr>
                  <w:r w:rsidRPr="00C87433">
                    <w:rPr>
                      <w:rFonts w:cstheme="minorHAnsi"/>
                      <w:b/>
                      <w:sz w:val="24"/>
                      <w:szCs w:val="24"/>
                    </w:rPr>
                    <w:t xml:space="preserve">Náklady na 1 zaměstnance </w:t>
                  </w:r>
                </w:p>
              </w:tc>
            </w:tr>
            <w:tr w:rsidR="00020CA8"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2016</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2.963,45</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34,43</w:t>
                  </w:r>
                </w:p>
              </w:tc>
            </w:tr>
            <w:tr w:rsidR="00020CA8"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2017</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3.018,07</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34,98</w:t>
                  </w:r>
                </w:p>
              </w:tc>
            </w:tr>
            <w:tr w:rsidR="00020CA8"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2018</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3.187,51</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37,03</w:t>
                  </w:r>
                </w:p>
              </w:tc>
            </w:tr>
            <w:tr w:rsidR="00020CA8"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2019</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2.896,78</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33,60</w:t>
                  </w:r>
                </w:p>
              </w:tc>
            </w:tr>
            <w:tr w:rsidR="00063CEC" w:rsidRPr="00C87433" w:rsidTr="00C4704E">
              <w:tc>
                <w:tcPr>
                  <w:tcW w:w="1242" w:type="dxa"/>
                </w:tcPr>
                <w:p w:rsidR="00063CEC" w:rsidRPr="00C87433" w:rsidRDefault="00063CE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2020</w:t>
                  </w:r>
                </w:p>
              </w:tc>
              <w:tc>
                <w:tcPr>
                  <w:tcW w:w="1730" w:type="dxa"/>
                  <w:vAlign w:val="bottom"/>
                </w:tcPr>
                <w:p w:rsidR="00063CEC"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3.262,91</w:t>
                  </w:r>
                </w:p>
              </w:tc>
              <w:tc>
                <w:tcPr>
                  <w:tcW w:w="3119" w:type="dxa"/>
                  <w:vAlign w:val="bottom"/>
                </w:tcPr>
                <w:p w:rsidR="00063CEC"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37,91</w:t>
                  </w:r>
                </w:p>
              </w:tc>
            </w:tr>
            <w:tr w:rsidR="002933BC" w:rsidRPr="00C87433" w:rsidTr="00C4704E">
              <w:tc>
                <w:tcPr>
                  <w:tcW w:w="1242" w:type="dxa"/>
                </w:tcPr>
                <w:p w:rsidR="002933BC" w:rsidRPr="00C87433" w:rsidRDefault="002933B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2021</w:t>
                  </w:r>
                </w:p>
              </w:tc>
              <w:tc>
                <w:tcPr>
                  <w:tcW w:w="1730" w:type="dxa"/>
                  <w:vAlign w:val="bottom"/>
                </w:tcPr>
                <w:p w:rsidR="002933BC" w:rsidRPr="00C87433" w:rsidRDefault="002933BC" w:rsidP="00B85DFE">
                  <w:pPr>
                    <w:framePr w:hSpace="141" w:wrap="around" w:vAnchor="text" w:hAnchor="text" w:x="284" w:y="1"/>
                    <w:suppressOverlap/>
                    <w:jc w:val="right"/>
                    <w:rPr>
                      <w:rFonts w:cstheme="minorHAnsi"/>
                      <w:sz w:val="24"/>
                      <w:szCs w:val="24"/>
                    </w:rPr>
                  </w:pPr>
                  <w:r w:rsidRPr="00C87433">
                    <w:rPr>
                      <w:rFonts w:cstheme="minorHAnsi"/>
                      <w:sz w:val="24"/>
                      <w:szCs w:val="24"/>
                    </w:rPr>
                    <w:t>3.320,70</w:t>
                  </w:r>
                </w:p>
              </w:tc>
              <w:tc>
                <w:tcPr>
                  <w:tcW w:w="3119" w:type="dxa"/>
                  <w:vAlign w:val="bottom"/>
                </w:tcPr>
                <w:p w:rsidR="002933BC" w:rsidRPr="00C87433" w:rsidRDefault="002933BC" w:rsidP="00B85DFE">
                  <w:pPr>
                    <w:framePr w:hSpace="141" w:wrap="around" w:vAnchor="text" w:hAnchor="text" w:x="284" w:y="1"/>
                    <w:suppressOverlap/>
                    <w:jc w:val="right"/>
                    <w:rPr>
                      <w:rFonts w:cstheme="minorHAnsi"/>
                      <w:sz w:val="24"/>
                      <w:szCs w:val="24"/>
                    </w:rPr>
                  </w:pPr>
                  <w:r w:rsidRPr="00C87433">
                    <w:rPr>
                      <w:rFonts w:cstheme="minorHAnsi"/>
                      <w:sz w:val="24"/>
                      <w:szCs w:val="24"/>
                    </w:rPr>
                    <w:t>37,99</w:t>
                  </w:r>
                </w:p>
              </w:tc>
            </w:tr>
            <w:tr w:rsidR="00523CC8" w:rsidRPr="00C87433" w:rsidTr="00C4704E">
              <w:tc>
                <w:tcPr>
                  <w:tcW w:w="1242" w:type="dxa"/>
                </w:tcPr>
                <w:p w:rsidR="00523CC8" w:rsidRPr="00C87433" w:rsidRDefault="00523CC8" w:rsidP="00B85DFE">
                  <w:pPr>
                    <w:framePr w:hSpace="141" w:wrap="around" w:vAnchor="text" w:hAnchor="text" w:x="284" w:y="1"/>
                    <w:suppressOverlap/>
                    <w:jc w:val="center"/>
                    <w:rPr>
                      <w:rFonts w:cstheme="minorHAnsi"/>
                      <w:b/>
                      <w:sz w:val="24"/>
                      <w:szCs w:val="24"/>
                    </w:rPr>
                  </w:pPr>
                  <w:r w:rsidRPr="00C87433">
                    <w:rPr>
                      <w:rFonts w:cstheme="minorHAnsi"/>
                      <w:b/>
                      <w:sz w:val="24"/>
                      <w:szCs w:val="24"/>
                    </w:rPr>
                    <w:t>2022</w:t>
                  </w:r>
                </w:p>
              </w:tc>
              <w:tc>
                <w:tcPr>
                  <w:tcW w:w="1730" w:type="dxa"/>
                  <w:vAlign w:val="bottom"/>
                </w:tcPr>
                <w:p w:rsidR="00523CC8" w:rsidRPr="00C87433" w:rsidRDefault="00523CC8" w:rsidP="00B85DFE">
                  <w:pPr>
                    <w:framePr w:hSpace="141" w:wrap="around" w:vAnchor="text" w:hAnchor="text" w:x="284" w:y="1"/>
                    <w:suppressOverlap/>
                    <w:jc w:val="right"/>
                    <w:rPr>
                      <w:rFonts w:cstheme="minorHAnsi"/>
                      <w:sz w:val="24"/>
                      <w:szCs w:val="24"/>
                    </w:rPr>
                  </w:pPr>
                  <w:r w:rsidRPr="00C87433">
                    <w:rPr>
                      <w:rFonts w:cstheme="minorHAnsi"/>
                      <w:sz w:val="24"/>
                      <w:szCs w:val="24"/>
                    </w:rPr>
                    <w:t>4.372,36</w:t>
                  </w:r>
                </w:p>
              </w:tc>
              <w:tc>
                <w:tcPr>
                  <w:tcW w:w="3119" w:type="dxa"/>
                  <w:vAlign w:val="bottom"/>
                </w:tcPr>
                <w:p w:rsidR="00523CC8" w:rsidRPr="00C87433" w:rsidRDefault="00523CC8" w:rsidP="00B85DFE">
                  <w:pPr>
                    <w:framePr w:hSpace="141" w:wrap="around" w:vAnchor="text" w:hAnchor="text" w:x="284" w:y="1"/>
                    <w:suppressOverlap/>
                    <w:jc w:val="right"/>
                    <w:rPr>
                      <w:rFonts w:cstheme="minorHAnsi"/>
                      <w:sz w:val="24"/>
                      <w:szCs w:val="24"/>
                    </w:rPr>
                  </w:pPr>
                  <w:r w:rsidRPr="00C87433">
                    <w:rPr>
                      <w:rFonts w:cstheme="minorHAnsi"/>
                      <w:sz w:val="24"/>
                      <w:szCs w:val="24"/>
                    </w:rPr>
                    <w:t>51,18</w:t>
                  </w:r>
                </w:p>
              </w:tc>
            </w:tr>
          </w:tbl>
          <w:p w:rsidR="004F0494" w:rsidRDefault="004F0494" w:rsidP="0076618C">
            <w:pPr>
              <w:jc w:val="both"/>
              <w:rPr>
                <w:rFonts w:cstheme="minorHAnsi"/>
                <w:b/>
                <w:sz w:val="24"/>
                <w:szCs w:val="24"/>
              </w:rPr>
            </w:pPr>
          </w:p>
          <w:p w:rsidR="00C2538F" w:rsidRPr="00C87433" w:rsidRDefault="00033042" w:rsidP="0076618C">
            <w:pPr>
              <w:jc w:val="both"/>
              <w:rPr>
                <w:rFonts w:cstheme="minorHAnsi"/>
                <w:sz w:val="24"/>
                <w:szCs w:val="24"/>
              </w:rPr>
            </w:pPr>
            <w:r w:rsidRPr="00C87433">
              <w:rPr>
                <w:rFonts w:cstheme="minorHAnsi"/>
                <w:sz w:val="24"/>
                <w:szCs w:val="24"/>
              </w:rPr>
              <w:t xml:space="preserve">V tomto podseskupení bylo čerpáno </w:t>
            </w:r>
            <w:r w:rsidR="00DB5D7C" w:rsidRPr="00C87433">
              <w:rPr>
                <w:rFonts w:cstheme="minorHAnsi"/>
                <w:sz w:val="24"/>
                <w:szCs w:val="24"/>
              </w:rPr>
              <w:t>4.372.355,22</w:t>
            </w:r>
            <w:r w:rsidRPr="00C87433">
              <w:rPr>
                <w:rFonts w:cstheme="minorHAnsi"/>
                <w:sz w:val="24"/>
                <w:szCs w:val="24"/>
              </w:rPr>
              <w:t xml:space="preserve"> Kč, což je </w:t>
            </w:r>
            <w:r w:rsidR="00DB5D7C" w:rsidRPr="00C87433">
              <w:rPr>
                <w:rFonts w:cstheme="minorHAnsi"/>
                <w:sz w:val="24"/>
                <w:szCs w:val="24"/>
              </w:rPr>
              <w:t>o 1.051.585,32 Kč více než v roce 2021</w:t>
            </w:r>
            <w:r w:rsidRPr="00C87433">
              <w:rPr>
                <w:rFonts w:cstheme="minorHAnsi"/>
                <w:sz w:val="24"/>
                <w:szCs w:val="24"/>
              </w:rPr>
              <w:t>.</w:t>
            </w:r>
            <w:r w:rsidR="004F0494" w:rsidRPr="00C87433">
              <w:rPr>
                <w:rFonts w:cstheme="minorHAnsi"/>
                <w:sz w:val="24"/>
                <w:szCs w:val="24"/>
              </w:rPr>
              <w:t xml:space="preserve"> Tento nárůst ale neodpovídá skutečnosti, neboť byl dobit kredit do frankovacího stroje na 1. čtvrtletí roku 2023 ve výši 600.000,00 Kč. </w:t>
            </w:r>
          </w:p>
          <w:p w:rsidR="00033042" w:rsidRPr="00C87433" w:rsidRDefault="00033042" w:rsidP="0076618C">
            <w:pPr>
              <w:jc w:val="both"/>
              <w:rPr>
                <w:rFonts w:cstheme="minorHAnsi"/>
                <w:sz w:val="24"/>
                <w:szCs w:val="24"/>
              </w:rPr>
            </w:pPr>
            <w:r w:rsidRPr="00C87433">
              <w:rPr>
                <w:rFonts w:cstheme="minorHAnsi"/>
                <w:sz w:val="24"/>
                <w:szCs w:val="24"/>
              </w:rPr>
              <w:t>Nejvýznamnější čerpání je na položce 5161 –</w:t>
            </w:r>
            <w:r w:rsidR="002170B8" w:rsidRPr="00C87433">
              <w:rPr>
                <w:rFonts w:cstheme="minorHAnsi"/>
                <w:sz w:val="24"/>
                <w:szCs w:val="24"/>
              </w:rPr>
              <w:t xml:space="preserve"> </w:t>
            </w:r>
            <w:r w:rsidRPr="00C87433">
              <w:rPr>
                <w:rFonts w:cstheme="minorHAnsi"/>
                <w:sz w:val="24"/>
                <w:szCs w:val="24"/>
              </w:rPr>
              <w:t xml:space="preserve">Poštovné ve výši </w:t>
            </w:r>
            <w:r w:rsidR="00DB5D7C" w:rsidRPr="00C87433">
              <w:rPr>
                <w:rFonts w:cstheme="minorHAnsi"/>
                <w:sz w:val="24"/>
                <w:szCs w:val="24"/>
              </w:rPr>
              <w:t>3.032.060,70 Kč, což je o 969.747,12 Kč více než v roce 2021. Ale protože byl dobit kredit do frankovacího stroje na 1. čtvrtletí roku 2023 ve výši 600.000,00 Kč, skutečné  čerpání v roce 2022 je vyšší o 369.747,12 Kč</w:t>
            </w:r>
            <w:r w:rsidRPr="00C87433">
              <w:rPr>
                <w:rFonts w:cstheme="minorHAnsi"/>
                <w:sz w:val="24"/>
                <w:szCs w:val="24"/>
              </w:rPr>
              <w:t xml:space="preserve">. </w:t>
            </w:r>
            <w:r w:rsidR="00DB5D7C" w:rsidRPr="00C87433">
              <w:rPr>
                <w:rFonts w:cstheme="minorHAnsi"/>
                <w:sz w:val="24"/>
                <w:szCs w:val="24"/>
              </w:rPr>
              <w:t xml:space="preserve"> Toto navýšení je způsobeno nárůstem  cen poštovních služeb. Z této položky se</w:t>
            </w:r>
            <w:r w:rsidR="00F436DE" w:rsidRPr="00C87433">
              <w:rPr>
                <w:rFonts w:cstheme="minorHAnsi"/>
                <w:sz w:val="24"/>
                <w:szCs w:val="24"/>
              </w:rPr>
              <w:t xml:space="preserve"> platil kredit do frankovacího stroje, hybridní pošta a poplatek za svoz pošty.</w:t>
            </w:r>
          </w:p>
          <w:p w:rsidR="00F436DE" w:rsidRPr="00C87433" w:rsidRDefault="00F436DE" w:rsidP="0076618C">
            <w:pPr>
              <w:jc w:val="both"/>
              <w:rPr>
                <w:rFonts w:cstheme="minorHAnsi"/>
                <w:sz w:val="24"/>
                <w:szCs w:val="24"/>
              </w:rPr>
            </w:pPr>
            <w:r w:rsidRPr="00C87433">
              <w:rPr>
                <w:rFonts w:cstheme="minorHAnsi"/>
                <w:sz w:val="24"/>
                <w:szCs w:val="24"/>
              </w:rPr>
              <w:t>Další významnou položkou tohoto podseskupení je položka 5169 – Nákup ostatních služeb, kde jsou hrazeny zejména revize týkající se provozu budovy (</w:t>
            </w:r>
            <w:r w:rsidR="00DB5D7C" w:rsidRPr="00C87433">
              <w:rPr>
                <w:rFonts w:cstheme="minorHAnsi"/>
                <w:sz w:val="24"/>
                <w:szCs w:val="24"/>
              </w:rPr>
              <w:t>208.637,46</w:t>
            </w:r>
            <w:r w:rsidRPr="00C87433">
              <w:rPr>
                <w:rFonts w:cstheme="minorHAnsi"/>
                <w:sz w:val="24"/>
                <w:szCs w:val="24"/>
              </w:rPr>
              <w:t xml:space="preserve"> Kč), dále svoz komunálního a separovaného odpadu (</w:t>
            </w:r>
            <w:r w:rsidR="00EF5E28" w:rsidRPr="00C87433">
              <w:rPr>
                <w:rFonts w:cstheme="minorHAnsi"/>
                <w:sz w:val="24"/>
                <w:szCs w:val="24"/>
              </w:rPr>
              <w:t>84.344,26 Kč</w:t>
            </w:r>
            <w:r w:rsidRPr="00C87433">
              <w:rPr>
                <w:rFonts w:cstheme="minorHAnsi"/>
                <w:sz w:val="24"/>
                <w:szCs w:val="24"/>
              </w:rPr>
              <w:t>), svoz skartačních nádob (</w:t>
            </w:r>
            <w:r w:rsidR="00EF5E28" w:rsidRPr="00C87433">
              <w:rPr>
                <w:rFonts w:cstheme="minorHAnsi"/>
                <w:sz w:val="24"/>
                <w:szCs w:val="24"/>
              </w:rPr>
              <w:t>22.264</w:t>
            </w:r>
            <w:r w:rsidRPr="00C87433">
              <w:rPr>
                <w:rFonts w:cstheme="minorHAnsi"/>
                <w:sz w:val="24"/>
                <w:szCs w:val="24"/>
              </w:rPr>
              <w:t>,00 Kč</w:t>
            </w:r>
            <w:r w:rsidR="003E2FEF">
              <w:rPr>
                <w:rFonts w:cstheme="minorHAnsi"/>
                <w:sz w:val="24"/>
                <w:szCs w:val="24"/>
              </w:rPr>
              <w:t>)</w:t>
            </w:r>
            <w:r w:rsidR="0031785F">
              <w:rPr>
                <w:rFonts w:cstheme="minorHAnsi"/>
                <w:sz w:val="24"/>
                <w:szCs w:val="24"/>
              </w:rPr>
              <w:t>,</w:t>
            </w:r>
            <w:r w:rsidR="003E2FEF">
              <w:rPr>
                <w:rFonts w:cstheme="minorHAnsi"/>
                <w:sz w:val="24"/>
                <w:szCs w:val="24"/>
              </w:rPr>
              <w:t xml:space="preserve"> </w:t>
            </w:r>
            <w:r w:rsidR="0031785F">
              <w:rPr>
                <w:rFonts w:cstheme="minorHAnsi"/>
                <w:sz w:val="24"/>
                <w:szCs w:val="24"/>
              </w:rPr>
              <w:t xml:space="preserve">na pokyn Krajské hygienické správy Karlovy Vary bylo  provedeno měření svalové zátěže zaměstnanců (56.265,00 Kč). </w:t>
            </w:r>
            <w:r w:rsidRPr="00C87433">
              <w:rPr>
                <w:rFonts w:cstheme="minorHAnsi"/>
                <w:sz w:val="24"/>
                <w:szCs w:val="24"/>
              </w:rPr>
              <w:t xml:space="preserve">Dalším významný výdaj je příspěvek na stravování zaměstnanců ve výši </w:t>
            </w:r>
            <w:r w:rsidR="00EF5E28" w:rsidRPr="00C87433">
              <w:rPr>
                <w:rFonts w:cstheme="minorHAnsi"/>
                <w:sz w:val="24"/>
                <w:szCs w:val="24"/>
              </w:rPr>
              <w:t>637.960,00 Kč</w:t>
            </w:r>
            <w:r w:rsidRPr="00C87433">
              <w:rPr>
                <w:rFonts w:cstheme="minorHAnsi"/>
                <w:sz w:val="24"/>
                <w:szCs w:val="24"/>
              </w:rPr>
              <w:t xml:space="preserve">. Příspěvek </w:t>
            </w:r>
            <w:r w:rsidR="002170B8" w:rsidRPr="00C87433">
              <w:rPr>
                <w:rFonts w:cstheme="minorHAnsi"/>
                <w:sz w:val="24"/>
                <w:szCs w:val="24"/>
              </w:rPr>
              <w:t>z rozpočtu běžných výda</w:t>
            </w:r>
            <w:r w:rsidR="00EF5E28" w:rsidRPr="00C87433">
              <w:rPr>
                <w:rFonts w:cstheme="minorHAnsi"/>
                <w:sz w:val="24"/>
                <w:szCs w:val="24"/>
              </w:rPr>
              <w:t xml:space="preserve">jů byl do 30. června 2022  </w:t>
            </w:r>
            <w:r w:rsidR="002170B8" w:rsidRPr="00C87433">
              <w:rPr>
                <w:rFonts w:cstheme="minorHAnsi"/>
                <w:sz w:val="24"/>
                <w:szCs w:val="24"/>
              </w:rPr>
              <w:t xml:space="preserve"> </w:t>
            </w:r>
            <w:r w:rsidR="00EF5E28" w:rsidRPr="00C87433">
              <w:rPr>
                <w:rFonts w:cstheme="minorHAnsi"/>
                <w:sz w:val="24"/>
                <w:szCs w:val="24"/>
              </w:rPr>
              <w:t xml:space="preserve">30,00 Kč na </w:t>
            </w:r>
            <w:r w:rsidRPr="00C87433">
              <w:rPr>
                <w:rFonts w:cstheme="minorHAnsi"/>
                <w:sz w:val="24"/>
                <w:szCs w:val="24"/>
              </w:rPr>
              <w:t xml:space="preserve"> </w:t>
            </w:r>
            <w:r w:rsidR="00EF5E28" w:rsidRPr="00C87433">
              <w:rPr>
                <w:rFonts w:cstheme="minorHAnsi"/>
                <w:sz w:val="24"/>
                <w:szCs w:val="24"/>
              </w:rPr>
              <w:t xml:space="preserve">1 </w:t>
            </w:r>
            <w:r w:rsidRPr="00C87433">
              <w:rPr>
                <w:rFonts w:cstheme="minorHAnsi"/>
                <w:sz w:val="24"/>
                <w:szCs w:val="24"/>
              </w:rPr>
              <w:t>jídelní kupon</w:t>
            </w:r>
            <w:r w:rsidR="00EF5E28" w:rsidRPr="00C87433">
              <w:rPr>
                <w:rFonts w:cstheme="minorHAnsi"/>
                <w:sz w:val="24"/>
                <w:szCs w:val="24"/>
              </w:rPr>
              <w:t xml:space="preserve"> a jeho nominální hodnota byla 100,00</w:t>
            </w:r>
            <w:r w:rsidRPr="00C87433">
              <w:rPr>
                <w:rFonts w:cstheme="minorHAnsi"/>
                <w:sz w:val="24"/>
                <w:szCs w:val="24"/>
              </w:rPr>
              <w:t xml:space="preserve"> Kč.</w:t>
            </w:r>
            <w:r w:rsidR="00EF5E28" w:rsidRPr="00C87433">
              <w:rPr>
                <w:rFonts w:cstheme="minorHAnsi"/>
                <w:sz w:val="24"/>
                <w:szCs w:val="24"/>
              </w:rPr>
              <w:t xml:space="preserve"> Od 1. července 2022 došlo k výměně papírových jídelních kuponů za e-stravenky a příspěvek z výdajové části rozpočtu byl navýšen na 40,00 Kč, nominální hodnota</w:t>
            </w:r>
            <w:r w:rsidR="004F0494" w:rsidRPr="00C87433">
              <w:rPr>
                <w:rFonts w:cstheme="minorHAnsi"/>
                <w:sz w:val="24"/>
                <w:szCs w:val="24"/>
              </w:rPr>
              <w:t xml:space="preserve"> se změnila na </w:t>
            </w:r>
            <w:r w:rsidR="00EF5E28" w:rsidRPr="00C87433">
              <w:rPr>
                <w:rFonts w:cstheme="minorHAnsi"/>
                <w:sz w:val="24"/>
                <w:szCs w:val="24"/>
              </w:rPr>
              <w:t xml:space="preserve"> 110,00 Kč.  Kupony i e-stravenky jsou dodávány firmou UP Česká republika.</w:t>
            </w:r>
          </w:p>
          <w:p w:rsidR="00033042" w:rsidRPr="00C87433" w:rsidRDefault="0076618C" w:rsidP="0076618C">
            <w:pPr>
              <w:jc w:val="both"/>
              <w:rPr>
                <w:rFonts w:cstheme="minorHAnsi"/>
                <w:sz w:val="24"/>
                <w:szCs w:val="24"/>
              </w:rPr>
            </w:pPr>
            <w:r w:rsidRPr="00C87433">
              <w:rPr>
                <w:rFonts w:cstheme="minorHAnsi"/>
                <w:sz w:val="24"/>
                <w:szCs w:val="24"/>
              </w:rPr>
              <w:t xml:space="preserve">Z položky 5168 – Zpracování dat jsou hrazeny revize zařízení bránícím průniku osob do budovy (rentgen, průchozí rám, CCTV, EZS v celkové výši </w:t>
            </w:r>
            <w:r w:rsidR="004F0494" w:rsidRPr="00C87433">
              <w:rPr>
                <w:rFonts w:cstheme="minorHAnsi"/>
                <w:sz w:val="24"/>
                <w:szCs w:val="24"/>
              </w:rPr>
              <w:t>65.539,00 Kč</w:t>
            </w:r>
            <w:r w:rsidRPr="00C87433">
              <w:rPr>
                <w:rFonts w:cstheme="minorHAnsi"/>
                <w:sz w:val="24"/>
                <w:szCs w:val="24"/>
              </w:rPr>
              <w:t>), dále tiskové služby (2</w:t>
            </w:r>
            <w:r w:rsidR="004F0494" w:rsidRPr="00C87433">
              <w:rPr>
                <w:rFonts w:cstheme="minorHAnsi"/>
                <w:sz w:val="24"/>
                <w:szCs w:val="24"/>
              </w:rPr>
              <w:t>7.666,0</w:t>
            </w:r>
            <w:r w:rsidRPr="00C87433">
              <w:rPr>
                <w:rFonts w:cstheme="minorHAnsi"/>
                <w:sz w:val="24"/>
                <w:szCs w:val="24"/>
              </w:rPr>
              <w:t>1 Kč), osobní, systémové a komerční certifikáty (</w:t>
            </w:r>
            <w:r w:rsidR="004F0494" w:rsidRPr="00C87433">
              <w:rPr>
                <w:rFonts w:cstheme="minorHAnsi"/>
                <w:sz w:val="24"/>
                <w:szCs w:val="24"/>
              </w:rPr>
              <w:t>10.067,06</w:t>
            </w:r>
            <w:r w:rsidRPr="00C87433">
              <w:rPr>
                <w:rFonts w:cstheme="minorHAnsi"/>
                <w:sz w:val="24"/>
                <w:szCs w:val="24"/>
              </w:rPr>
              <w:t xml:space="preserve"> Kč), prodloužení záruky na diskové pole (</w:t>
            </w:r>
            <w:r w:rsidR="004F0494" w:rsidRPr="00C87433">
              <w:rPr>
                <w:rFonts w:cstheme="minorHAnsi"/>
                <w:sz w:val="24"/>
                <w:szCs w:val="24"/>
              </w:rPr>
              <w:t>48.983,00 Kč),</w:t>
            </w:r>
            <w:r w:rsidR="0031785F">
              <w:rPr>
                <w:rFonts w:cstheme="minorHAnsi"/>
                <w:sz w:val="24"/>
                <w:szCs w:val="24"/>
              </w:rPr>
              <w:t xml:space="preserve"> </w:t>
            </w:r>
            <w:r w:rsidR="004F0494" w:rsidRPr="00C87433">
              <w:rPr>
                <w:rFonts w:cstheme="minorHAnsi"/>
                <w:sz w:val="24"/>
                <w:szCs w:val="24"/>
              </w:rPr>
              <w:t>prodloužení podpory Basic (26.245,00 Kč), roční kontrola UPS (24.079,00 Kč) a služby WEB dispečink (7.260,00 Kč).</w:t>
            </w:r>
          </w:p>
          <w:p w:rsidR="004C7221" w:rsidRDefault="004C7221" w:rsidP="0076618C">
            <w:pPr>
              <w:jc w:val="both"/>
              <w:rPr>
                <w:rFonts w:cstheme="minorHAnsi"/>
                <w:b/>
                <w:sz w:val="24"/>
                <w:szCs w:val="24"/>
              </w:rPr>
            </w:pPr>
          </w:p>
          <w:p w:rsidR="00020CA8" w:rsidRPr="00C87433" w:rsidRDefault="00020CA8" w:rsidP="0076618C">
            <w:pPr>
              <w:jc w:val="both"/>
              <w:rPr>
                <w:rFonts w:cstheme="minorHAnsi"/>
                <w:sz w:val="24"/>
                <w:szCs w:val="24"/>
              </w:rPr>
            </w:pPr>
            <w:r w:rsidRPr="00C87433">
              <w:rPr>
                <w:rFonts w:cstheme="minorHAnsi"/>
                <w:b/>
                <w:sz w:val="24"/>
                <w:szCs w:val="24"/>
              </w:rPr>
              <w:lastRenderedPageBreak/>
              <w:t>517 – Ostatní nákupy</w:t>
            </w:r>
            <w:r w:rsidR="00C4704E" w:rsidRPr="00C87433">
              <w:rPr>
                <w:rFonts w:cstheme="minorHAnsi"/>
                <w:sz w:val="24"/>
                <w:szCs w:val="24"/>
              </w:rPr>
              <w:t xml:space="preserve"> </w:t>
            </w:r>
          </w:p>
          <w:tbl>
            <w:tblPr>
              <w:tblStyle w:val="Mkatabulky"/>
              <w:tblW w:w="0" w:type="auto"/>
              <w:tblLook w:val="04A0" w:firstRow="1" w:lastRow="0" w:firstColumn="1" w:lastColumn="0" w:noHBand="0" w:noVBand="1"/>
            </w:tblPr>
            <w:tblGrid>
              <w:gridCol w:w="1242"/>
              <w:gridCol w:w="1730"/>
              <w:gridCol w:w="3119"/>
            </w:tblGrid>
            <w:tr w:rsidR="00C87433" w:rsidRPr="00C87433" w:rsidTr="00C4704E">
              <w:tc>
                <w:tcPr>
                  <w:tcW w:w="1242" w:type="dxa"/>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Rok</w:t>
                  </w:r>
                </w:p>
              </w:tc>
              <w:tc>
                <w:tcPr>
                  <w:tcW w:w="1730" w:type="dxa"/>
                </w:tcPr>
                <w:p w:rsidR="00020CA8" w:rsidRPr="00C87433" w:rsidRDefault="00020CA8" w:rsidP="00B85DFE">
                  <w:pPr>
                    <w:framePr w:hSpace="141" w:wrap="around" w:vAnchor="text" w:hAnchor="text" w:x="284" w:y="1"/>
                    <w:suppressOverlap/>
                    <w:rPr>
                      <w:rFonts w:cstheme="minorHAnsi"/>
                      <w:b/>
                      <w:sz w:val="24"/>
                      <w:szCs w:val="24"/>
                    </w:rPr>
                  </w:pPr>
                  <w:r w:rsidRPr="00C87433">
                    <w:rPr>
                      <w:rFonts w:cstheme="minorHAnsi"/>
                      <w:b/>
                      <w:sz w:val="24"/>
                      <w:szCs w:val="24"/>
                    </w:rPr>
                    <w:t xml:space="preserve">Skutečnost </w:t>
                  </w:r>
                </w:p>
              </w:tc>
              <w:tc>
                <w:tcPr>
                  <w:tcW w:w="3119" w:type="dxa"/>
                </w:tcPr>
                <w:p w:rsidR="00020CA8" w:rsidRPr="00C87433" w:rsidRDefault="00020CA8" w:rsidP="00B85DFE">
                  <w:pPr>
                    <w:framePr w:hSpace="141" w:wrap="around" w:vAnchor="text" w:hAnchor="text" w:x="284" w:y="1"/>
                    <w:suppressOverlap/>
                    <w:rPr>
                      <w:rFonts w:cstheme="minorHAnsi"/>
                      <w:sz w:val="24"/>
                      <w:szCs w:val="24"/>
                    </w:rPr>
                  </w:pPr>
                  <w:r w:rsidRPr="00C87433">
                    <w:rPr>
                      <w:rFonts w:cstheme="minorHAnsi"/>
                      <w:b/>
                      <w:sz w:val="24"/>
                      <w:szCs w:val="24"/>
                    </w:rPr>
                    <w:t xml:space="preserve">Náklady na </w:t>
                  </w:r>
                  <w:r w:rsidR="00C4704E" w:rsidRPr="00C87433">
                    <w:rPr>
                      <w:rFonts w:cstheme="minorHAnsi"/>
                      <w:b/>
                      <w:sz w:val="24"/>
                      <w:szCs w:val="24"/>
                    </w:rPr>
                    <w:t>1</w:t>
                  </w:r>
                  <w:r w:rsidRPr="00C87433">
                    <w:rPr>
                      <w:rFonts w:cstheme="minorHAnsi"/>
                      <w:b/>
                      <w:sz w:val="24"/>
                      <w:szCs w:val="24"/>
                    </w:rPr>
                    <w:t xml:space="preserve"> zaměstnance </w:t>
                  </w:r>
                </w:p>
              </w:tc>
            </w:tr>
            <w:tr w:rsidR="00C87433"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2016</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180,89</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2,10</w:t>
                  </w:r>
                </w:p>
              </w:tc>
            </w:tr>
            <w:tr w:rsidR="00C87433"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2017</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529,65</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6,14</w:t>
                  </w:r>
                </w:p>
              </w:tc>
            </w:tr>
            <w:tr w:rsidR="00C87433"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2018</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650,63</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7,56</w:t>
                  </w:r>
                </w:p>
              </w:tc>
            </w:tr>
            <w:tr w:rsidR="00C87433"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2019</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322,41</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3,74</w:t>
                  </w:r>
                </w:p>
              </w:tc>
            </w:tr>
            <w:tr w:rsidR="00C87433" w:rsidRPr="00C87433" w:rsidTr="00C4704E">
              <w:tc>
                <w:tcPr>
                  <w:tcW w:w="1242" w:type="dxa"/>
                </w:tcPr>
                <w:p w:rsidR="00063CEC" w:rsidRPr="00C87433" w:rsidRDefault="00063CE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2020</w:t>
                  </w:r>
                </w:p>
              </w:tc>
              <w:tc>
                <w:tcPr>
                  <w:tcW w:w="1730" w:type="dxa"/>
                  <w:vAlign w:val="bottom"/>
                </w:tcPr>
                <w:p w:rsidR="00063CEC"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228,39</w:t>
                  </w:r>
                </w:p>
              </w:tc>
              <w:tc>
                <w:tcPr>
                  <w:tcW w:w="3119" w:type="dxa"/>
                  <w:vAlign w:val="bottom"/>
                </w:tcPr>
                <w:p w:rsidR="00063CEC"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2,65</w:t>
                  </w:r>
                </w:p>
              </w:tc>
            </w:tr>
            <w:tr w:rsidR="00C87433" w:rsidRPr="00C87433" w:rsidTr="00C4704E">
              <w:tc>
                <w:tcPr>
                  <w:tcW w:w="1242" w:type="dxa"/>
                </w:tcPr>
                <w:p w:rsidR="002933BC" w:rsidRPr="00C87433" w:rsidRDefault="002933B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2021</w:t>
                  </w:r>
                </w:p>
              </w:tc>
              <w:tc>
                <w:tcPr>
                  <w:tcW w:w="1730" w:type="dxa"/>
                  <w:vAlign w:val="bottom"/>
                </w:tcPr>
                <w:p w:rsidR="002933BC" w:rsidRPr="00C87433" w:rsidRDefault="002933BC" w:rsidP="00B85DFE">
                  <w:pPr>
                    <w:framePr w:hSpace="141" w:wrap="around" w:vAnchor="text" w:hAnchor="text" w:x="284" w:y="1"/>
                    <w:suppressOverlap/>
                    <w:jc w:val="right"/>
                    <w:rPr>
                      <w:rFonts w:cstheme="minorHAnsi"/>
                      <w:sz w:val="24"/>
                      <w:szCs w:val="24"/>
                    </w:rPr>
                  </w:pPr>
                  <w:r w:rsidRPr="00C87433">
                    <w:rPr>
                      <w:rFonts w:cstheme="minorHAnsi"/>
                      <w:sz w:val="24"/>
                      <w:szCs w:val="24"/>
                    </w:rPr>
                    <w:t>158,02</w:t>
                  </w:r>
                </w:p>
              </w:tc>
              <w:tc>
                <w:tcPr>
                  <w:tcW w:w="3119" w:type="dxa"/>
                  <w:vAlign w:val="bottom"/>
                </w:tcPr>
                <w:p w:rsidR="002933BC" w:rsidRPr="00C87433" w:rsidRDefault="002933BC" w:rsidP="00B85DFE">
                  <w:pPr>
                    <w:framePr w:hSpace="141" w:wrap="around" w:vAnchor="text" w:hAnchor="text" w:x="284" w:y="1"/>
                    <w:suppressOverlap/>
                    <w:jc w:val="right"/>
                    <w:rPr>
                      <w:rFonts w:cstheme="minorHAnsi"/>
                      <w:sz w:val="24"/>
                      <w:szCs w:val="24"/>
                    </w:rPr>
                  </w:pPr>
                  <w:r w:rsidRPr="00C87433">
                    <w:rPr>
                      <w:rFonts w:cstheme="minorHAnsi"/>
                      <w:sz w:val="24"/>
                      <w:szCs w:val="24"/>
                    </w:rPr>
                    <w:t>1,81</w:t>
                  </w:r>
                </w:p>
              </w:tc>
            </w:tr>
            <w:tr w:rsidR="00C87433" w:rsidRPr="00C87433" w:rsidTr="00C4704E">
              <w:tc>
                <w:tcPr>
                  <w:tcW w:w="1242" w:type="dxa"/>
                </w:tcPr>
                <w:p w:rsidR="004F0494" w:rsidRPr="00C87433" w:rsidRDefault="004F0494" w:rsidP="00B85DFE">
                  <w:pPr>
                    <w:framePr w:hSpace="141" w:wrap="around" w:vAnchor="text" w:hAnchor="text" w:x="284" w:y="1"/>
                    <w:suppressOverlap/>
                    <w:jc w:val="center"/>
                    <w:rPr>
                      <w:rFonts w:cstheme="minorHAnsi"/>
                      <w:b/>
                      <w:sz w:val="24"/>
                      <w:szCs w:val="24"/>
                    </w:rPr>
                  </w:pPr>
                  <w:r w:rsidRPr="00C87433">
                    <w:rPr>
                      <w:rFonts w:cstheme="minorHAnsi"/>
                      <w:b/>
                      <w:sz w:val="24"/>
                      <w:szCs w:val="24"/>
                    </w:rPr>
                    <w:t>2022</w:t>
                  </w:r>
                </w:p>
              </w:tc>
              <w:tc>
                <w:tcPr>
                  <w:tcW w:w="1730" w:type="dxa"/>
                  <w:vAlign w:val="bottom"/>
                </w:tcPr>
                <w:p w:rsidR="004F0494" w:rsidRPr="00C87433" w:rsidRDefault="004F0494" w:rsidP="00B85DFE">
                  <w:pPr>
                    <w:framePr w:hSpace="141" w:wrap="around" w:vAnchor="text" w:hAnchor="text" w:x="284" w:y="1"/>
                    <w:suppressOverlap/>
                    <w:jc w:val="right"/>
                    <w:rPr>
                      <w:rFonts w:cstheme="minorHAnsi"/>
                      <w:sz w:val="24"/>
                      <w:szCs w:val="24"/>
                    </w:rPr>
                  </w:pPr>
                  <w:r w:rsidRPr="00C87433">
                    <w:rPr>
                      <w:rFonts w:cstheme="minorHAnsi"/>
                      <w:sz w:val="24"/>
                      <w:szCs w:val="24"/>
                    </w:rPr>
                    <w:t>763,20</w:t>
                  </w:r>
                </w:p>
              </w:tc>
              <w:tc>
                <w:tcPr>
                  <w:tcW w:w="3119" w:type="dxa"/>
                  <w:vAlign w:val="bottom"/>
                </w:tcPr>
                <w:p w:rsidR="004F0494" w:rsidRPr="00C87433" w:rsidRDefault="004F0494" w:rsidP="00B85DFE">
                  <w:pPr>
                    <w:framePr w:hSpace="141" w:wrap="around" w:vAnchor="text" w:hAnchor="text" w:x="284" w:y="1"/>
                    <w:suppressOverlap/>
                    <w:jc w:val="right"/>
                    <w:rPr>
                      <w:rFonts w:cstheme="minorHAnsi"/>
                      <w:sz w:val="24"/>
                      <w:szCs w:val="24"/>
                    </w:rPr>
                  </w:pPr>
                  <w:r w:rsidRPr="00C87433">
                    <w:rPr>
                      <w:rFonts w:cstheme="minorHAnsi"/>
                      <w:sz w:val="24"/>
                      <w:szCs w:val="24"/>
                    </w:rPr>
                    <w:t>8,93</w:t>
                  </w:r>
                </w:p>
              </w:tc>
            </w:tr>
          </w:tbl>
          <w:p w:rsidR="004F6863" w:rsidRPr="00C87433" w:rsidRDefault="004F6863" w:rsidP="0076618C">
            <w:pPr>
              <w:jc w:val="both"/>
              <w:rPr>
                <w:rFonts w:cstheme="minorHAnsi"/>
                <w:b/>
                <w:sz w:val="24"/>
                <w:szCs w:val="24"/>
              </w:rPr>
            </w:pPr>
          </w:p>
          <w:p w:rsidR="007D415E" w:rsidRPr="00C87433" w:rsidRDefault="007D415E" w:rsidP="007D415E">
            <w:pPr>
              <w:jc w:val="both"/>
              <w:rPr>
                <w:rFonts w:cstheme="minorHAnsi"/>
              </w:rPr>
            </w:pPr>
            <w:r w:rsidRPr="00C87433">
              <w:rPr>
                <w:rFonts w:cstheme="minorHAnsi"/>
              </w:rPr>
              <w:t xml:space="preserve">Na tomto podseskupení byly celkové výdaje </w:t>
            </w:r>
            <w:r w:rsidR="004F0494" w:rsidRPr="00C87433">
              <w:rPr>
                <w:rFonts w:cstheme="minorHAnsi"/>
              </w:rPr>
              <w:t>763.195,00</w:t>
            </w:r>
            <w:r w:rsidRPr="00C87433">
              <w:rPr>
                <w:rFonts w:cstheme="minorHAnsi"/>
              </w:rPr>
              <w:t xml:space="preserve"> Kč, což je o </w:t>
            </w:r>
            <w:r w:rsidR="004F0494" w:rsidRPr="00C87433">
              <w:rPr>
                <w:rFonts w:cstheme="minorHAnsi"/>
              </w:rPr>
              <w:t xml:space="preserve">605.177,37 Kč více než v roce 2021. Důvodem tohoto výrazně vyššího čerpání byla oprava havarijního stavu klenby v budově D (518.945,00 Kč). </w:t>
            </w:r>
          </w:p>
          <w:p w:rsidR="00B67239" w:rsidRPr="00C87433" w:rsidRDefault="00B67239" w:rsidP="007D415E">
            <w:pPr>
              <w:jc w:val="both"/>
              <w:rPr>
                <w:rFonts w:cstheme="minorHAnsi"/>
              </w:rPr>
            </w:pPr>
            <w:r w:rsidRPr="00C87433">
              <w:rPr>
                <w:rFonts w:cstheme="minorHAnsi"/>
              </w:rPr>
              <w:t>Nejvýznamnější položkou tohoto podseskupení je položka 5171 – Opravy a udržování.</w:t>
            </w:r>
          </w:p>
          <w:p w:rsidR="009241D6" w:rsidRPr="00C87433" w:rsidRDefault="007D415E" w:rsidP="007D415E">
            <w:pPr>
              <w:jc w:val="both"/>
              <w:rPr>
                <w:rFonts w:cstheme="minorHAnsi"/>
              </w:rPr>
            </w:pPr>
            <w:r w:rsidRPr="00C87433">
              <w:rPr>
                <w:rFonts w:cstheme="minorHAnsi"/>
              </w:rPr>
              <w:t>Na opravy budovy bylo celkem uhrazeno</w:t>
            </w:r>
            <w:r w:rsidR="009241D6" w:rsidRPr="00C87433">
              <w:rPr>
                <w:rFonts w:cstheme="minorHAnsi"/>
              </w:rPr>
              <w:t xml:space="preserve">  558.672,85 Kč, kdy nejvýznamnější výdaj byl již shora zmiňovaná oprava klenby v budově D (518.945,00 Kč). Dále</w:t>
            </w:r>
            <w:r w:rsidRPr="00C87433">
              <w:rPr>
                <w:rFonts w:cstheme="minorHAnsi"/>
              </w:rPr>
              <w:t xml:space="preserve"> byly </w:t>
            </w:r>
            <w:r w:rsidR="009241D6" w:rsidRPr="00C87433">
              <w:rPr>
                <w:rFonts w:cstheme="minorHAnsi"/>
              </w:rPr>
              <w:t>hrazeny</w:t>
            </w:r>
            <w:r w:rsidRPr="00C87433">
              <w:rPr>
                <w:rFonts w:cstheme="minorHAnsi"/>
              </w:rPr>
              <w:t xml:space="preserve"> opravy</w:t>
            </w:r>
            <w:r w:rsidR="009241D6" w:rsidRPr="00C87433">
              <w:rPr>
                <w:rFonts w:cstheme="minorHAnsi"/>
              </w:rPr>
              <w:t xml:space="preserve"> střešního pláště poničeného silným větrem (5.808,00 Kč), malířské práce (19.180,80 Kč), </w:t>
            </w:r>
            <w:r w:rsidRPr="00C87433">
              <w:rPr>
                <w:rFonts w:cstheme="minorHAnsi"/>
              </w:rPr>
              <w:t xml:space="preserve"> </w:t>
            </w:r>
            <w:r w:rsidR="009241D6" w:rsidRPr="00C87433">
              <w:rPr>
                <w:rFonts w:cstheme="minorHAnsi"/>
              </w:rPr>
              <w:t>výměna spínače v kabině výtahu</w:t>
            </w:r>
            <w:r w:rsidRPr="00C87433">
              <w:rPr>
                <w:rFonts w:cstheme="minorHAnsi"/>
              </w:rPr>
              <w:t xml:space="preserve"> </w:t>
            </w:r>
            <w:r w:rsidR="009241D6" w:rsidRPr="00C87433">
              <w:rPr>
                <w:rFonts w:cstheme="minorHAnsi"/>
              </w:rPr>
              <w:t xml:space="preserve">(4.362,05 Kč), oprava dveřní vložky (8.261,00 Kč) a , oprava přístupového systému bočního vchodu (2.116,00 Kč). </w:t>
            </w:r>
          </w:p>
          <w:p w:rsidR="007D415E" w:rsidRPr="00C87433" w:rsidRDefault="002F43AC" w:rsidP="007D415E">
            <w:pPr>
              <w:jc w:val="both"/>
              <w:rPr>
                <w:rFonts w:cstheme="minorHAnsi"/>
              </w:rPr>
            </w:pPr>
            <w:r w:rsidRPr="00C87433">
              <w:rPr>
                <w:rFonts w:cstheme="minorHAnsi"/>
              </w:rPr>
              <w:t xml:space="preserve">Výdaje za opravy a </w:t>
            </w:r>
            <w:r w:rsidR="00B67239" w:rsidRPr="00C87433">
              <w:rPr>
                <w:rFonts w:cstheme="minorHAnsi"/>
              </w:rPr>
              <w:t>servis služebních vozidel</w:t>
            </w:r>
            <w:r w:rsidR="009241D6" w:rsidRPr="00C87433">
              <w:rPr>
                <w:rFonts w:cstheme="minorHAnsi"/>
              </w:rPr>
              <w:t xml:space="preserve"> byly ve výši </w:t>
            </w:r>
            <w:r w:rsidR="00B67239" w:rsidRPr="00C87433">
              <w:rPr>
                <w:rFonts w:cstheme="minorHAnsi"/>
              </w:rPr>
              <w:t xml:space="preserve"> (</w:t>
            </w:r>
            <w:r w:rsidR="009241D6" w:rsidRPr="00C87433">
              <w:rPr>
                <w:rFonts w:cstheme="minorHAnsi"/>
              </w:rPr>
              <w:t>21.353</w:t>
            </w:r>
            <w:r w:rsidR="00B67239" w:rsidRPr="00C87433">
              <w:rPr>
                <w:rFonts w:cstheme="minorHAnsi"/>
              </w:rPr>
              <w:t>,00 Kč).</w:t>
            </w:r>
          </w:p>
          <w:p w:rsidR="00B67239" w:rsidRPr="00C87433" w:rsidRDefault="007D415E" w:rsidP="007D415E">
            <w:pPr>
              <w:jc w:val="both"/>
              <w:rPr>
                <w:rFonts w:cstheme="minorHAnsi"/>
              </w:rPr>
            </w:pPr>
            <w:r w:rsidRPr="00C87433">
              <w:rPr>
                <w:rFonts w:cstheme="minorHAnsi"/>
              </w:rPr>
              <w:t>Opravy výpočetní techniky s parametre</w:t>
            </w:r>
            <w:r w:rsidR="00B96DE5" w:rsidRPr="00C87433">
              <w:rPr>
                <w:rFonts w:cstheme="minorHAnsi"/>
              </w:rPr>
              <w:t xml:space="preserve">m OI – celkově zaplaceno </w:t>
            </w:r>
            <w:r w:rsidR="009241D6" w:rsidRPr="00C87433">
              <w:rPr>
                <w:rFonts w:cstheme="minorHAnsi"/>
              </w:rPr>
              <w:t xml:space="preserve">10.006,70 </w:t>
            </w:r>
            <w:r w:rsidR="00B67239" w:rsidRPr="00C87433">
              <w:rPr>
                <w:rFonts w:cstheme="minorHAnsi"/>
              </w:rPr>
              <w:t xml:space="preserve">Kč. Šlo o výdaj za </w:t>
            </w:r>
            <w:r w:rsidR="009241D6" w:rsidRPr="00C87433">
              <w:rPr>
                <w:rFonts w:cstheme="minorHAnsi"/>
              </w:rPr>
              <w:t>opravu tiskárny</w:t>
            </w:r>
            <w:r w:rsidR="00B67239" w:rsidRPr="00C87433">
              <w:rPr>
                <w:rFonts w:cstheme="minorHAnsi"/>
              </w:rPr>
              <w:t>.</w:t>
            </w:r>
          </w:p>
          <w:p w:rsidR="007D415E" w:rsidRPr="00C87433" w:rsidRDefault="007D415E" w:rsidP="007D415E">
            <w:pPr>
              <w:jc w:val="both"/>
              <w:rPr>
                <w:rFonts w:cstheme="minorHAnsi"/>
              </w:rPr>
            </w:pPr>
            <w:r w:rsidRPr="00C87433">
              <w:rPr>
                <w:rFonts w:cstheme="minorHAnsi"/>
              </w:rPr>
              <w:t xml:space="preserve">Za opravy a udržování s parametrem OBKŘ </w:t>
            </w:r>
            <w:r w:rsidR="00B67239" w:rsidRPr="00C87433">
              <w:rPr>
                <w:rFonts w:cstheme="minorHAnsi"/>
              </w:rPr>
              <w:t xml:space="preserve">bylo zaplaceno celkem </w:t>
            </w:r>
            <w:r w:rsidR="009241D6" w:rsidRPr="00C87433">
              <w:rPr>
                <w:rFonts w:cstheme="minorHAnsi"/>
              </w:rPr>
              <w:t>41.763,00</w:t>
            </w:r>
            <w:r w:rsidR="00B67239" w:rsidRPr="00C87433">
              <w:rPr>
                <w:rFonts w:cstheme="minorHAnsi"/>
              </w:rPr>
              <w:t xml:space="preserve"> Kč. Šlo o opravu kamerového systému (</w:t>
            </w:r>
            <w:r w:rsidR="009241D6" w:rsidRPr="00C87433">
              <w:rPr>
                <w:rFonts w:cstheme="minorHAnsi"/>
              </w:rPr>
              <w:t>22.491,</w:t>
            </w:r>
            <w:r w:rsidR="00B67239" w:rsidRPr="00C87433">
              <w:rPr>
                <w:rFonts w:cstheme="minorHAnsi"/>
              </w:rPr>
              <w:t>00 Kč),</w:t>
            </w:r>
            <w:r w:rsidR="009241D6" w:rsidRPr="00C87433">
              <w:rPr>
                <w:rFonts w:cstheme="minorHAnsi"/>
              </w:rPr>
              <w:t xml:space="preserve"> elektronického zabezpečovacího systému (9.646,00 Kč)</w:t>
            </w:r>
            <w:r w:rsidR="00B67239" w:rsidRPr="00C87433">
              <w:rPr>
                <w:rFonts w:cstheme="minorHAnsi"/>
              </w:rPr>
              <w:t xml:space="preserve"> </w:t>
            </w:r>
            <w:r w:rsidR="00DA6CC2">
              <w:rPr>
                <w:rFonts w:cstheme="minorHAnsi"/>
              </w:rPr>
              <w:t>a výměna akumulátorů</w:t>
            </w:r>
            <w:r w:rsidR="00D215F5" w:rsidRPr="00C87433">
              <w:rPr>
                <w:rFonts w:cstheme="minorHAnsi"/>
              </w:rPr>
              <w:t xml:space="preserve"> v EZS (9.626,00 Kč).</w:t>
            </w:r>
          </w:p>
          <w:p w:rsidR="007D415E" w:rsidRPr="00C87433" w:rsidRDefault="00B67239" w:rsidP="007D415E">
            <w:pPr>
              <w:jc w:val="both"/>
              <w:rPr>
                <w:rFonts w:cstheme="minorHAnsi"/>
              </w:rPr>
            </w:pPr>
            <w:r w:rsidRPr="00C87433">
              <w:rPr>
                <w:rFonts w:cstheme="minorHAnsi"/>
              </w:rPr>
              <w:t>Další významnou položkou je 5173 – Cestovné tuzemské i zahraniční</w:t>
            </w:r>
          </w:p>
          <w:p w:rsidR="00B67239" w:rsidRPr="00C87433" w:rsidRDefault="00B67239" w:rsidP="007D415E">
            <w:pPr>
              <w:jc w:val="both"/>
              <w:rPr>
                <w:rFonts w:cstheme="minorHAnsi"/>
              </w:rPr>
            </w:pPr>
            <w:r w:rsidRPr="00C87433">
              <w:rPr>
                <w:rFonts w:cstheme="minorHAnsi"/>
              </w:rPr>
              <w:t xml:space="preserve">Z této položky bylo celkem uhrazeno </w:t>
            </w:r>
            <w:r w:rsidR="00D215F5" w:rsidRPr="00C87433">
              <w:rPr>
                <w:rFonts w:cstheme="minorHAnsi"/>
              </w:rPr>
              <w:t>48.019,00</w:t>
            </w:r>
            <w:r w:rsidRPr="00C87433">
              <w:rPr>
                <w:rFonts w:cstheme="minorHAnsi"/>
              </w:rPr>
              <w:t xml:space="preserve"> Kč. Jsou zde hrazeny cestovní náhrady zaměstnancům a přísedícím. V roce 202</w:t>
            </w:r>
            <w:r w:rsidR="00D215F5" w:rsidRPr="00C87433">
              <w:rPr>
                <w:rFonts w:cstheme="minorHAnsi"/>
              </w:rPr>
              <w:t>2</w:t>
            </w:r>
            <w:r w:rsidRPr="00C87433">
              <w:rPr>
                <w:rFonts w:cstheme="minorHAnsi"/>
              </w:rPr>
              <w:t xml:space="preserve"> neproběhla žádná zahraniční pracovní cesta.</w:t>
            </w:r>
          </w:p>
          <w:p w:rsidR="007D415E" w:rsidRDefault="007D415E" w:rsidP="007D415E">
            <w:pPr>
              <w:spacing w:after="0"/>
              <w:jc w:val="both"/>
              <w:rPr>
                <w:rFonts w:cstheme="minorHAnsi"/>
              </w:rPr>
            </w:pPr>
            <w:r w:rsidRPr="00C87433">
              <w:rPr>
                <w:rFonts w:cstheme="minorHAnsi"/>
              </w:rPr>
              <w:t>Přehled čerpání finančních prostředků na cestovné je patrný z následující tabulky</w:t>
            </w:r>
          </w:p>
          <w:p w:rsidR="007D415E" w:rsidRPr="00C87433" w:rsidRDefault="007D415E" w:rsidP="007D415E">
            <w:pPr>
              <w:spacing w:after="0"/>
              <w:jc w:val="right"/>
              <w:rPr>
                <w:rFonts w:cstheme="minorHAnsi"/>
              </w:rPr>
            </w:pPr>
            <w:r w:rsidRPr="00C87433">
              <w:rPr>
                <w:rFonts w:cstheme="minorHAnsi"/>
              </w:rPr>
              <w:t> tis. Kč</w:t>
            </w:r>
          </w:p>
          <w:tbl>
            <w:tblPr>
              <w:tblStyle w:val="Mkatabulky"/>
              <w:tblW w:w="0" w:type="auto"/>
              <w:tblLook w:val="04A0" w:firstRow="1" w:lastRow="0" w:firstColumn="1" w:lastColumn="0" w:noHBand="0" w:noVBand="1"/>
            </w:tblPr>
            <w:tblGrid>
              <w:gridCol w:w="1906"/>
              <w:gridCol w:w="882"/>
              <w:gridCol w:w="994"/>
              <w:gridCol w:w="993"/>
              <w:gridCol w:w="982"/>
              <w:gridCol w:w="972"/>
              <w:gridCol w:w="878"/>
              <w:gridCol w:w="751"/>
            </w:tblGrid>
            <w:tr w:rsidR="00C87433" w:rsidRPr="00C87433" w:rsidTr="00D215F5">
              <w:trPr>
                <w:trHeight w:val="286"/>
              </w:trPr>
              <w:tc>
                <w:tcPr>
                  <w:tcW w:w="1906" w:type="dxa"/>
                </w:tcPr>
                <w:p w:rsidR="00D215F5" w:rsidRPr="00C87433" w:rsidRDefault="00D215F5" w:rsidP="00B85DFE">
                  <w:pPr>
                    <w:framePr w:hSpace="141" w:wrap="around" w:vAnchor="text" w:hAnchor="text" w:x="284" w:y="1"/>
                    <w:suppressOverlap/>
                    <w:jc w:val="both"/>
                    <w:rPr>
                      <w:rFonts w:cstheme="minorHAnsi"/>
                    </w:rPr>
                  </w:pPr>
                  <w:r w:rsidRPr="00C87433">
                    <w:rPr>
                      <w:rFonts w:cstheme="minorHAnsi"/>
                    </w:rPr>
                    <w:t>Položka</w:t>
                  </w:r>
                </w:p>
              </w:tc>
              <w:tc>
                <w:tcPr>
                  <w:tcW w:w="882" w:type="dxa"/>
                </w:tcPr>
                <w:p w:rsidR="00D215F5" w:rsidRPr="00C87433" w:rsidRDefault="00D215F5" w:rsidP="00B85DFE">
                  <w:pPr>
                    <w:framePr w:hSpace="141" w:wrap="around" w:vAnchor="text" w:hAnchor="text" w:x="284" w:y="1"/>
                    <w:suppressOverlap/>
                    <w:jc w:val="center"/>
                    <w:rPr>
                      <w:rFonts w:cstheme="minorHAnsi"/>
                      <w:b/>
                    </w:rPr>
                  </w:pPr>
                  <w:r w:rsidRPr="00C87433">
                    <w:rPr>
                      <w:rFonts w:cstheme="minorHAnsi"/>
                      <w:b/>
                    </w:rPr>
                    <w:t>2016</w:t>
                  </w:r>
                </w:p>
              </w:tc>
              <w:tc>
                <w:tcPr>
                  <w:tcW w:w="994" w:type="dxa"/>
                </w:tcPr>
                <w:p w:rsidR="00D215F5" w:rsidRPr="00C87433" w:rsidRDefault="00D215F5" w:rsidP="00B85DFE">
                  <w:pPr>
                    <w:framePr w:hSpace="141" w:wrap="around" w:vAnchor="text" w:hAnchor="text" w:x="284" w:y="1"/>
                    <w:suppressOverlap/>
                    <w:jc w:val="center"/>
                    <w:rPr>
                      <w:rFonts w:cstheme="minorHAnsi"/>
                      <w:b/>
                    </w:rPr>
                  </w:pPr>
                  <w:r w:rsidRPr="00C87433">
                    <w:rPr>
                      <w:rFonts w:cstheme="minorHAnsi"/>
                      <w:b/>
                    </w:rPr>
                    <w:t>2017</w:t>
                  </w:r>
                </w:p>
              </w:tc>
              <w:tc>
                <w:tcPr>
                  <w:tcW w:w="993" w:type="dxa"/>
                </w:tcPr>
                <w:p w:rsidR="00D215F5" w:rsidRPr="00C87433" w:rsidRDefault="00D215F5" w:rsidP="00B85DFE">
                  <w:pPr>
                    <w:framePr w:hSpace="141" w:wrap="around" w:vAnchor="text" w:hAnchor="text" w:x="284" w:y="1"/>
                    <w:suppressOverlap/>
                    <w:jc w:val="center"/>
                    <w:rPr>
                      <w:rFonts w:cstheme="minorHAnsi"/>
                      <w:b/>
                    </w:rPr>
                  </w:pPr>
                  <w:r w:rsidRPr="00C87433">
                    <w:rPr>
                      <w:rFonts w:cstheme="minorHAnsi"/>
                      <w:b/>
                    </w:rPr>
                    <w:t>2018</w:t>
                  </w:r>
                </w:p>
              </w:tc>
              <w:tc>
                <w:tcPr>
                  <w:tcW w:w="982" w:type="dxa"/>
                </w:tcPr>
                <w:p w:rsidR="00D215F5" w:rsidRPr="00C87433" w:rsidRDefault="00D215F5" w:rsidP="00B85DFE">
                  <w:pPr>
                    <w:framePr w:hSpace="141" w:wrap="around" w:vAnchor="text" w:hAnchor="text" w:x="284" w:y="1"/>
                    <w:suppressOverlap/>
                    <w:jc w:val="center"/>
                    <w:rPr>
                      <w:rFonts w:cstheme="minorHAnsi"/>
                      <w:b/>
                    </w:rPr>
                  </w:pPr>
                  <w:r w:rsidRPr="00C87433">
                    <w:rPr>
                      <w:rFonts w:cstheme="minorHAnsi"/>
                      <w:b/>
                    </w:rPr>
                    <w:t>2019</w:t>
                  </w:r>
                </w:p>
              </w:tc>
              <w:tc>
                <w:tcPr>
                  <w:tcW w:w="972" w:type="dxa"/>
                </w:tcPr>
                <w:p w:rsidR="00D215F5" w:rsidRPr="00C87433" w:rsidRDefault="00D215F5" w:rsidP="00B85DFE">
                  <w:pPr>
                    <w:framePr w:hSpace="141" w:wrap="around" w:vAnchor="text" w:hAnchor="text" w:x="284" w:y="1"/>
                    <w:suppressOverlap/>
                    <w:jc w:val="center"/>
                    <w:rPr>
                      <w:rFonts w:cstheme="minorHAnsi"/>
                      <w:b/>
                    </w:rPr>
                  </w:pPr>
                  <w:r w:rsidRPr="00C87433">
                    <w:rPr>
                      <w:rFonts w:cstheme="minorHAnsi"/>
                      <w:b/>
                    </w:rPr>
                    <w:t>2020</w:t>
                  </w:r>
                </w:p>
              </w:tc>
              <w:tc>
                <w:tcPr>
                  <w:tcW w:w="878" w:type="dxa"/>
                </w:tcPr>
                <w:p w:rsidR="00D215F5" w:rsidRPr="00C87433" w:rsidRDefault="00D215F5" w:rsidP="00B85DFE">
                  <w:pPr>
                    <w:framePr w:hSpace="141" w:wrap="around" w:vAnchor="text" w:hAnchor="text" w:x="284" w:y="1"/>
                    <w:suppressOverlap/>
                    <w:jc w:val="center"/>
                    <w:rPr>
                      <w:rFonts w:cstheme="minorHAnsi"/>
                      <w:b/>
                    </w:rPr>
                  </w:pPr>
                  <w:r w:rsidRPr="00C87433">
                    <w:rPr>
                      <w:rFonts w:cstheme="minorHAnsi"/>
                      <w:b/>
                    </w:rPr>
                    <w:t>2021</w:t>
                  </w:r>
                </w:p>
              </w:tc>
              <w:tc>
                <w:tcPr>
                  <w:tcW w:w="751" w:type="dxa"/>
                </w:tcPr>
                <w:p w:rsidR="00D215F5" w:rsidRPr="00C87433" w:rsidRDefault="00D215F5" w:rsidP="00B85DFE">
                  <w:pPr>
                    <w:framePr w:hSpace="141" w:wrap="around" w:vAnchor="text" w:hAnchor="text" w:x="284" w:y="1"/>
                    <w:suppressOverlap/>
                    <w:jc w:val="center"/>
                    <w:rPr>
                      <w:rFonts w:cstheme="minorHAnsi"/>
                      <w:b/>
                    </w:rPr>
                  </w:pPr>
                  <w:r w:rsidRPr="00C87433">
                    <w:rPr>
                      <w:rFonts w:cstheme="minorHAnsi"/>
                      <w:b/>
                    </w:rPr>
                    <w:t>2022</w:t>
                  </w:r>
                </w:p>
              </w:tc>
            </w:tr>
            <w:tr w:rsidR="00C87433" w:rsidRPr="00C87433" w:rsidTr="00D215F5">
              <w:tc>
                <w:tcPr>
                  <w:tcW w:w="1906" w:type="dxa"/>
                </w:tcPr>
                <w:p w:rsidR="00D215F5" w:rsidRPr="00C87433" w:rsidRDefault="00D215F5" w:rsidP="00B85DFE">
                  <w:pPr>
                    <w:framePr w:hSpace="141" w:wrap="around" w:vAnchor="text" w:hAnchor="text" w:x="284" w:y="1"/>
                    <w:suppressOverlap/>
                    <w:jc w:val="both"/>
                    <w:rPr>
                      <w:rFonts w:cstheme="minorHAnsi"/>
                    </w:rPr>
                  </w:pPr>
                  <w:r w:rsidRPr="00C87433">
                    <w:rPr>
                      <w:rFonts w:cstheme="minorHAnsi"/>
                    </w:rPr>
                    <w:t>51730 – Cestovné tuzemské</w:t>
                  </w:r>
                </w:p>
              </w:tc>
              <w:tc>
                <w:tcPr>
                  <w:tcW w:w="882" w:type="dxa"/>
                  <w:vAlign w:val="bottom"/>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46,27</w:t>
                  </w:r>
                </w:p>
              </w:tc>
              <w:tc>
                <w:tcPr>
                  <w:tcW w:w="994" w:type="dxa"/>
                  <w:vAlign w:val="bottom"/>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56,01</w:t>
                  </w:r>
                </w:p>
              </w:tc>
              <w:tc>
                <w:tcPr>
                  <w:tcW w:w="993"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45,41</w:t>
                  </w:r>
                </w:p>
              </w:tc>
              <w:tc>
                <w:tcPr>
                  <w:tcW w:w="982"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36,60</w:t>
                  </w:r>
                </w:p>
              </w:tc>
              <w:tc>
                <w:tcPr>
                  <w:tcW w:w="972"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18,60</w:t>
                  </w:r>
                </w:p>
              </w:tc>
              <w:tc>
                <w:tcPr>
                  <w:tcW w:w="878"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22,14</w:t>
                  </w:r>
                </w:p>
              </w:tc>
              <w:tc>
                <w:tcPr>
                  <w:tcW w:w="751"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48,02</w:t>
                  </w:r>
                </w:p>
              </w:tc>
            </w:tr>
            <w:tr w:rsidR="00C87433" w:rsidRPr="00C87433" w:rsidTr="00D215F5">
              <w:tc>
                <w:tcPr>
                  <w:tcW w:w="1906" w:type="dxa"/>
                </w:tcPr>
                <w:p w:rsidR="00D215F5" w:rsidRPr="00C87433" w:rsidRDefault="00D215F5" w:rsidP="00B85DFE">
                  <w:pPr>
                    <w:framePr w:hSpace="141" w:wrap="around" w:vAnchor="text" w:hAnchor="text" w:x="284" w:y="1"/>
                    <w:suppressOverlap/>
                    <w:jc w:val="both"/>
                    <w:rPr>
                      <w:rFonts w:cstheme="minorHAnsi"/>
                    </w:rPr>
                  </w:pPr>
                  <w:r w:rsidRPr="00C87433">
                    <w:rPr>
                      <w:rFonts w:cstheme="minorHAnsi"/>
                    </w:rPr>
                    <w:t>51731 - Cestovné zahraniční</w:t>
                  </w:r>
                </w:p>
              </w:tc>
              <w:tc>
                <w:tcPr>
                  <w:tcW w:w="882" w:type="dxa"/>
                  <w:vAlign w:val="bottom"/>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 xml:space="preserve">3,13 </w:t>
                  </w:r>
                </w:p>
              </w:tc>
              <w:tc>
                <w:tcPr>
                  <w:tcW w:w="994" w:type="dxa"/>
                  <w:vAlign w:val="bottom"/>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0,43</w:t>
                  </w:r>
                </w:p>
              </w:tc>
              <w:tc>
                <w:tcPr>
                  <w:tcW w:w="993"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1,31</w:t>
                  </w:r>
                </w:p>
              </w:tc>
              <w:tc>
                <w:tcPr>
                  <w:tcW w:w="982"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0,00</w:t>
                  </w:r>
                </w:p>
              </w:tc>
              <w:tc>
                <w:tcPr>
                  <w:tcW w:w="972"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0,00</w:t>
                  </w:r>
                </w:p>
              </w:tc>
              <w:tc>
                <w:tcPr>
                  <w:tcW w:w="878"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0,00</w:t>
                  </w:r>
                </w:p>
              </w:tc>
              <w:tc>
                <w:tcPr>
                  <w:tcW w:w="751"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0,00</w:t>
                  </w:r>
                </w:p>
              </w:tc>
            </w:tr>
            <w:tr w:rsidR="00C87433" w:rsidRPr="00C87433" w:rsidTr="00D215F5">
              <w:tc>
                <w:tcPr>
                  <w:tcW w:w="1906" w:type="dxa"/>
                </w:tcPr>
                <w:p w:rsidR="00D215F5" w:rsidRPr="00C87433" w:rsidRDefault="00D215F5" w:rsidP="00B85DFE">
                  <w:pPr>
                    <w:framePr w:hSpace="141" w:wrap="around" w:vAnchor="text" w:hAnchor="text" w:x="284" w:y="1"/>
                    <w:suppressOverlap/>
                    <w:jc w:val="both"/>
                    <w:rPr>
                      <w:rFonts w:cstheme="minorHAnsi"/>
                    </w:rPr>
                  </w:pPr>
                  <w:r w:rsidRPr="00C87433">
                    <w:rPr>
                      <w:rFonts w:cstheme="minorHAnsi"/>
                    </w:rPr>
                    <w:t>Celkem</w:t>
                  </w:r>
                </w:p>
              </w:tc>
              <w:tc>
                <w:tcPr>
                  <w:tcW w:w="882" w:type="dxa"/>
                  <w:vAlign w:val="bottom"/>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49,40</w:t>
                  </w:r>
                </w:p>
              </w:tc>
              <w:tc>
                <w:tcPr>
                  <w:tcW w:w="994" w:type="dxa"/>
                  <w:vAlign w:val="bottom"/>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56,44</w:t>
                  </w:r>
                </w:p>
              </w:tc>
              <w:tc>
                <w:tcPr>
                  <w:tcW w:w="993"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46,72</w:t>
                  </w:r>
                </w:p>
              </w:tc>
              <w:tc>
                <w:tcPr>
                  <w:tcW w:w="982"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36,60</w:t>
                  </w:r>
                </w:p>
              </w:tc>
              <w:tc>
                <w:tcPr>
                  <w:tcW w:w="972"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18,60</w:t>
                  </w:r>
                </w:p>
              </w:tc>
              <w:tc>
                <w:tcPr>
                  <w:tcW w:w="878"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22,14</w:t>
                  </w:r>
                </w:p>
              </w:tc>
              <w:tc>
                <w:tcPr>
                  <w:tcW w:w="751" w:type="dxa"/>
                </w:tcPr>
                <w:p w:rsidR="00D215F5" w:rsidRPr="00C87433" w:rsidRDefault="00D215F5" w:rsidP="00B85DFE">
                  <w:pPr>
                    <w:framePr w:hSpace="141" w:wrap="around" w:vAnchor="text" w:hAnchor="text" w:x="284" w:y="1"/>
                    <w:suppressOverlap/>
                    <w:jc w:val="right"/>
                    <w:rPr>
                      <w:rFonts w:cstheme="minorHAnsi"/>
                    </w:rPr>
                  </w:pPr>
                  <w:r w:rsidRPr="00C87433">
                    <w:rPr>
                      <w:rFonts w:cstheme="minorHAnsi"/>
                    </w:rPr>
                    <w:t>48,02</w:t>
                  </w:r>
                </w:p>
              </w:tc>
            </w:tr>
          </w:tbl>
          <w:p w:rsidR="007D415E" w:rsidRPr="00C87433" w:rsidRDefault="007D415E" w:rsidP="007D415E">
            <w:pPr>
              <w:jc w:val="both"/>
              <w:rPr>
                <w:rFonts w:cstheme="minorHAnsi"/>
              </w:rPr>
            </w:pPr>
          </w:p>
          <w:p w:rsidR="00F43E89" w:rsidRPr="00C87433" w:rsidRDefault="00F43E89" w:rsidP="007D415E">
            <w:pPr>
              <w:jc w:val="both"/>
              <w:rPr>
                <w:rFonts w:cstheme="minorHAnsi"/>
              </w:rPr>
            </w:pPr>
            <w:r w:rsidRPr="00C87433">
              <w:rPr>
                <w:rFonts w:cstheme="minorHAnsi"/>
              </w:rPr>
              <w:lastRenderedPageBreak/>
              <w:t>Celkové výdaje v roce 202</w:t>
            </w:r>
            <w:r w:rsidR="00D215F5" w:rsidRPr="00C87433">
              <w:rPr>
                <w:rFonts w:cstheme="minorHAnsi"/>
              </w:rPr>
              <w:t>2</w:t>
            </w:r>
            <w:r w:rsidR="007D415E" w:rsidRPr="00C87433">
              <w:rPr>
                <w:rFonts w:cstheme="minorHAnsi"/>
              </w:rPr>
              <w:t xml:space="preserve"> na cestovné činily </w:t>
            </w:r>
            <w:r w:rsidR="00D215F5" w:rsidRPr="00C87433">
              <w:rPr>
                <w:rFonts w:cstheme="minorHAnsi"/>
              </w:rPr>
              <w:t>48.019,00</w:t>
            </w:r>
            <w:r w:rsidR="007D415E" w:rsidRPr="00C87433">
              <w:rPr>
                <w:rFonts w:cstheme="minorHAnsi"/>
              </w:rPr>
              <w:t xml:space="preserve">Kč. </w:t>
            </w:r>
            <w:r w:rsidR="00D215F5" w:rsidRPr="00C87433">
              <w:rPr>
                <w:rFonts w:cstheme="minorHAnsi"/>
              </w:rPr>
              <w:t>Toto výrazné</w:t>
            </w:r>
            <w:r w:rsidR="00B96DE5" w:rsidRPr="00C87433">
              <w:rPr>
                <w:rFonts w:cstheme="minorHAnsi"/>
              </w:rPr>
              <w:t xml:space="preserve"> </w:t>
            </w:r>
            <w:r w:rsidR="002170B8" w:rsidRPr="00C87433">
              <w:rPr>
                <w:rFonts w:cstheme="minorHAnsi"/>
              </w:rPr>
              <w:t xml:space="preserve">zvýšení </w:t>
            </w:r>
            <w:r w:rsidR="00D215F5" w:rsidRPr="00C87433">
              <w:rPr>
                <w:rFonts w:cstheme="minorHAnsi"/>
              </w:rPr>
              <w:t>oproti roku 2021 (22.137,00 Kč)</w:t>
            </w:r>
            <w:r w:rsidR="007D415E" w:rsidRPr="00C87433">
              <w:rPr>
                <w:rFonts w:cstheme="minorHAnsi"/>
              </w:rPr>
              <w:t xml:space="preserve"> </w:t>
            </w:r>
            <w:r w:rsidR="00D215F5" w:rsidRPr="00C87433">
              <w:rPr>
                <w:rFonts w:cstheme="minorHAnsi"/>
              </w:rPr>
              <w:t xml:space="preserve"> je způsobeno zejména ukončením protipandemických opatření z roku 2021, kdy většina školení a porad probíhala on-line. </w:t>
            </w:r>
          </w:p>
          <w:p w:rsidR="007D415E" w:rsidRPr="00C87433" w:rsidRDefault="007D415E" w:rsidP="007D415E">
            <w:pPr>
              <w:jc w:val="both"/>
              <w:rPr>
                <w:rFonts w:cstheme="minorHAnsi"/>
              </w:rPr>
            </w:pPr>
            <w:r w:rsidRPr="00C87433">
              <w:rPr>
                <w:rFonts w:cstheme="minorHAnsi"/>
                <w:b/>
              </w:rPr>
              <w:t>Z pol. 5175 –</w:t>
            </w:r>
            <w:r w:rsidR="00B96DE5" w:rsidRPr="00C87433">
              <w:rPr>
                <w:rFonts w:cstheme="minorHAnsi"/>
                <w:b/>
              </w:rPr>
              <w:t xml:space="preserve"> </w:t>
            </w:r>
            <w:r w:rsidRPr="00C87433">
              <w:rPr>
                <w:rFonts w:cstheme="minorHAnsi"/>
                <w:b/>
              </w:rPr>
              <w:t>Pohoštění</w:t>
            </w:r>
            <w:r w:rsidRPr="00C87433">
              <w:rPr>
                <w:rFonts w:cstheme="minorHAnsi"/>
              </w:rPr>
              <w:t xml:space="preserve"> bylo vyčerpáno </w:t>
            </w:r>
            <w:r w:rsidR="00F43E89" w:rsidRPr="00C87433">
              <w:rPr>
                <w:rFonts w:cstheme="minorHAnsi"/>
              </w:rPr>
              <w:t>1.950,00 Kč</w:t>
            </w:r>
            <w:r w:rsidRPr="00C87433">
              <w:rPr>
                <w:rFonts w:cstheme="minorHAnsi"/>
              </w:rPr>
              <w:t>.</w:t>
            </w:r>
            <w:r w:rsidR="00F43E89" w:rsidRPr="00C87433">
              <w:rPr>
                <w:rFonts w:cstheme="minorHAnsi"/>
              </w:rPr>
              <w:t xml:space="preserve"> Na této položce došlo se sou</w:t>
            </w:r>
            <w:r w:rsidR="00B96DE5" w:rsidRPr="00C87433">
              <w:rPr>
                <w:rFonts w:cstheme="minorHAnsi"/>
              </w:rPr>
              <w:t xml:space="preserve">hlasem Krajského soudu v Plzni </w:t>
            </w:r>
            <w:r w:rsidR="00F43E89" w:rsidRPr="00C87433">
              <w:rPr>
                <w:rFonts w:cstheme="minorHAnsi"/>
              </w:rPr>
              <w:t xml:space="preserve">ve druhém pololetí k samonavýšení prostředků o 50%. Tyto prostředky byly použity na nákup pohoštění </w:t>
            </w:r>
            <w:r w:rsidR="00B96DE5" w:rsidRPr="00C87433">
              <w:rPr>
                <w:rFonts w:cstheme="minorHAnsi"/>
              </w:rPr>
              <w:t xml:space="preserve">pro </w:t>
            </w:r>
            <w:r w:rsidR="00F43E89" w:rsidRPr="00C87433">
              <w:rPr>
                <w:rFonts w:cstheme="minorHAnsi"/>
              </w:rPr>
              <w:t>návštěv</w:t>
            </w:r>
            <w:r w:rsidR="00B96DE5" w:rsidRPr="00C87433">
              <w:rPr>
                <w:rFonts w:cstheme="minorHAnsi"/>
              </w:rPr>
              <w:t>y v souvislosti s přípravou rekonstrukce</w:t>
            </w:r>
            <w:r w:rsidR="00F43E89" w:rsidRPr="00C87433">
              <w:rPr>
                <w:rFonts w:cstheme="minorHAnsi"/>
              </w:rPr>
              <w:t xml:space="preserve"> části objektu „D“.</w:t>
            </w:r>
          </w:p>
          <w:p w:rsidR="00020CA8" w:rsidRPr="00C87433" w:rsidRDefault="00020CA8" w:rsidP="0076618C">
            <w:pPr>
              <w:jc w:val="both"/>
              <w:rPr>
                <w:rFonts w:cstheme="minorHAnsi"/>
                <w:sz w:val="24"/>
                <w:szCs w:val="24"/>
              </w:rPr>
            </w:pPr>
            <w:r w:rsidRPr="00C87433">
              <w:rPr>
                <w:rFonts w:cstheme="minorHAnsi"/>
                <w:b/>
                <w:sz w:val="24"/>
                <w:szCs w:val="24"/>
              </w:rPr>
              <w:t>542 – Náhrady mezd v době nemoci</w:t>
            </w:r>
            <w:r w:rsidR="00C4704E" w:rsidRPr="00C87433">
              <w:rPr>
                <w:rFonts w:cstheme="minorHAnsi"/>
                <w:sz w:val="24"/>
                <w:szCs w:val="24"/>
              </w:rPr>
              <w:t xml:space="preserve"> </w:t>
            </w:r>
          </w:p>
          <w:tbl>
            <w:tblPr>
              <w:tblStyle w:val="Mkatabulky"/>
              <w:tblW w:w="0" w:type="auto"/>
              <w:tblLook w:val="04A0" w:firstRow="1" w:lastRow="0" w:firstColumn="1" w:lastColumn="0" w:noHBand="0" w:noVBand="1"/>
            </w:tblPr>
            <w:tblGrid>
              <w:gridCol w:w="1242"/>
              <w:gridCol w:w="1730"/>
              <w:gridCol w:w="3119"/>
            </w:tblGrid>
            <w:tr w:rsidR="00020CA8" w:rsidRPr="00C87433" w:rsidTr="00C4704E">
              <w:tc>
                <w:tcPr>
                  <w:tcW w:w="1242" w:type="dxa"/>
                  <w:vAlign w:val="center"/>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Rok</w:t>
                  </w:r>
                </w:p>
              </w:tc>
              <w:tc>
                <w:tcPr>
                  <w:tcW w:w="1730" w:type="dxa"/>
                </w:tcPr>
                <w:p w:rsidR="00020CA8" w:rsidRPr="00C87433" w:rsidRDefault="00020CA8" w:rsidP="00B85DFE">
                  <w:pPr>
                    <w:framePr w:hSpace="141" w:wrap="around" w:vAnchor="text" w:hAnchor="text" w:x="284" w:y="1"/>
                    <w:suppressOverlap/>
                    <w:rPr>
                      <w:rFonts w:cstheme="minorHAnsi"/>
                      <w:b/>
                      <w:sz w:val="24"/>
                      <w:szCs w:val="24"/>
                    </w:rPr>
                  </w:pPr>
                  <w:r w:rsidRPr="00C87433">
                    <w:rPr>
                      <w:rFonts w:cstheme="minorHAnsi"/>
                      <w:b/>
                      <w:sz w:val="24"/>
                      <w:szCs w:val="24"/>
                    </w:rPr>
                    <w:t xml:space="preserve">Skutečnost </w:t>
                  </w:r>
                </w:p>
              </w:tc>
              <w:tc>
                <w:tcPr>
                  <w:tcW w:w="3119" w:type="dxa"/>
                </w:tcPr>
                <w:p w:rsidR="00020CA8" w:rsidRPr="00C87433" w:rsidRDefault="00020CA8" w:rsidP="00B85DFE">
                  <w:pPr>
                    <w:framePr w:hSpace="141" w:wrap="around" w:vAnchor="text" w:hAnchor="text" w:x="284" w:y="1"/>
                    <w:suppressOverlap/>
                    <w:rPr>
                      <w:rFonts w:cstheme="minorHAnsi"/>
                      <w:sz w:val="24"/>
                      <w:szCs w:val="24"/>
                    </w:rPr>
                  </w:pPr>
                  <w:r w:rsidRPr="00C87433">
                    <w:rPr>
                      <w:rFonts w:cstheme="minorHAnsi"/>
                      <w:b/>
                      <w:sz w:val="24"/>
                      <w:szCs w:val="24"/>
                    </w:rPr>
                    <w:t xml:space="preserve">Náklady na </w:t>
                  </w:r>
                  <w:r w:rsidR="00C4704E" w:rsidRPr="00C87433">
                    <w:rPr>
                      <w:rFonts w:cstheme="minorHAnsi"/>
                      <w:b/>
                      <w:sz w:val="24"/>
                      <w:szCs w:val="24"/>
                    </w:rPr>
                    <w:t xml:space="preserve">1 zaměstnance </w:t>
                  </w:r>
                </w:p>
              </w:tc>
            </w:tr>
            <w:tr w:rsidR="00020CA8"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2016</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82,92</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0,96</w:t>
                  </w:r>
                </w:p>
              </w:tc>
            </w:tr>
            <w:tr w:rsidR="00020CA8"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2017</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157,65</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1,83</w:t>
                  </w:r>
                </w:p>
              </w:tc>
            </w:tr>
            <w:tr w:rsidR="00020CA8"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2018</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133,87</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1,56</w:t>
                  </w:r>
                </w:p>
              </w:tc>
            </w:tr>
            <w:tr w:rsidR="00020CA8" w:rsidRPr="00C87433" w:rsidTr="00C4704E">
              <w:tc>
                <w:tcPr>
                  <w:tcW w:w="1242" w:type="dxa"/>
                </w:tcPr>
                <w:p w:rsidR="00020CA8" w:rsidRPr="00C87433" w:rsidRDefault="00020CA8" w:rsidP="00B85DFE">
                  <w:pPr>
                    <w:framePr w:hSpace="141" w:wrap="around" w:vAnchor="text" w:hAnchor="text" w:x="284" w:y="1"/>
                    <w:suppressOverlap/>
                    <w:jc w:val="center"/>
                    <w:rPr>
                      <w:rFonts w:cstheme="minorHAnsi"/>
                      <w:b/>
                      <w:sz w:val="24"/>
                      <w:szCs w:val="24"/>
                    </w:rPr>
                  </w:pPr>
                  <w:r w:rsidRPr="00C87433">
                    <w:rPr>
                      <w:rFonts w:cstheme="minorHAnsi"/>
                      <w:b/>
                      <w:sz w:val="24"/>
                      <w:szCs w:val="24"/>
                    </w:rPr>
                    <w:t>2019</w:t>
                  </w:r>
                </w:p>
              </w:tc>
              <w:tc>
                <w:tcPr>
                  <w:tcW w:w="1730"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192,95</w:t>
                  </w:r>
                </w:p>
              </w:tc>
              <w:tc>
                <w:tcPr>
                  <w:tcW w:w="3119" w:type="dxa"/>
                  <w:vAlign w:val="bottom"/>
                </w:tcPr>
                <w:p w:rsidR="00020CA8" w:rsidRPr="00C87433" w:rsidRDefault="00020CA8" w:rsidP="00B85DFE">
                  <w:pPr>
                    <w:framePr w:hSpace="141" w:wrap="around" w:vAnchor="text" w:hAnchor="text" w:x="284" w:y="1"/>
                    <w:suppressOverlap/>
                    <w:jc w:val="right"/>
                    <w:rPr>
                      <w:rFonts w:cstheme="minorHAnsi"/>
                      <w:sz w:val="24"/>
                      <w:szCs w:val="24"/>
                    </w:rPr>
                  </w:pPr>
                  <w:r w:rsidRPr="00C87433">
                    <w:rPr>
                      <w:rFonts w:cstheme="minorHAnsi"/>
                      <w:sz w:val="24"/>
                      <w:szCs w:val="24"/>
                    </w:rPr>
                    <w:t>2,24</w:t>
                  </w:r>
                </w:p>
              </w:tc>
            </w:tr>
            <w:tr w:rsidR="00063CEC" w:rsidRPr="00C87433" w:rsidTr="00C4704E">
              <w:tc>
                <w:tcPr>
                  <w:tcW w:w="1242" w:type="dxa"/>
                </w:tcPr>
                <w:p w:rsidR="00063CEC" w:rsidRPr="00C87433" w:rsidRDefault="00063CE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2020</w:t>
                  </w:r>
                </w:p>
              </w:tc>
              <w:tc>
                <w:tcPr>
                  <w:tcW w:w="1730" w:type="dxa"/>
                  <w:vAlign w:val="bottom"/>
                </w:tcPr>
                <w:p w:rsidR="00063CEC"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295,20</w:t>
                  </w:r>
                </w:p>
              </w:tc>
              <w:tc>
                <w:tcPr>
                  <w:tcW w:w="3119" w:type="dxa"/>
                  <w:vAlign w:val="bottom"/>
                </w:tcPr>
                <w:p w:rsidR="00063CEC" w:rsidRPr="00C87433" w:rsidRDefault="00063CEC" w:rsidP="00B85DFE">
                  <w:pPr>
                    <w:framePr w:hSpace="141" w:wrap="around" w:vAnchor="text" w:hAnchor="text" w:x="284" w:y="1"/>
                    <w:suppressOverlap/>
                    <w:jc w:val="right"/>
                    <w:rPr>
                      <w:rFonts w:cstheme="minorHAnsi"/>
                      <w:sz w:val="24"/>
                      <w:szCs w:val="24"/>
                    </w:rPr>
                  </w:pPr>
                  <w:r w:rsidRPr="00C87433">
                    <w:rPr>
                      <w:rFonts w:cstheme="minorHAnsi"/>
                      <w:sz w:val="24"/>
                      <w:szCs w:val="24"/>
                    </w:rPr>
                    <w:t>3,43</w:t>
                  </w:r>
                </w:p>
              </w:tc>
            </w:tr>
            <w:tr w:rsidR="002933BC" w:rsidRPr="00C87433" w:rsidTr="00C4704E">
              <w:tc>
                <w:tcPr>
                  <w:tcW w:w="1242" w:type="dxa"/>
                </w:tcPr>
                <w:p w:rsidR="002933BC" w:rsidRPr="00C87433" w:rsidRDefault="002933BC" w:rsidP="00B85DFE">
                  <w:pPr>
                    <w:framePr w:hSpace="141" w:wrap="around" w:vAnchor="text" w:hAnchor="text" w:x="284" w:y="1"/>
                    <w:suppressOverlap/>
                    <w:jc w:val="center"/>
                    <w:rPr>
                      <w:rFonts w:cstheme="minorHAnsi"/>
                      <w:b/>
                      <w:sz w:val="24"/>
                      <w:szCs w:val="24"/>
                    </w:rPr>
                  </w:pPr>
                  <w:r w:rsidRPr="00C87433">
                    <w:rPr>
                      <w:rFonts w:cstheme="minorHAnsi"/>
                      <w:b/>
                      <w:sz w:val="24"/>
                      <w:szCs w:val="24"/>
                    </w:rPr>
                    <w:t>2021</w:t>
                  </w:r>
                </w:p>
              </w:tc>
              <w:tc>
                <w:tcPr>
                  <w:tcW w:w="1730" w:type="dxa"/>
                  <w:vAlign w:val="bottom"/>
                </w:tcPr>
                <w:p w:rsidR="002933BC" w:rsidRPr="00C87433" w:rsidRDefault="002933BC" w:rsidP="00B85DFE">
                  <w:pPr>
                    <w:framePr w:hSpace="141" w:wrap="around" w:vAnchor="text" w:hAnchor="text" w:x="284" w:y="1"/>
                    <w:suppressOverlap/>
                    <w:jc w:val="right"/>
                    <w:rPr>
                      <w:rFonts w:cstheme="minorHAnsi"/>
                      <w:sz w:val="24"/>
                      <w:szCs w:val="24"/>
                    </w:rPr>
                  </w:pPr>
                  <w:r w:rsidRPr="00C87433">
                    <w:rPr>
                      <w:rFonts w:cstheme="minorHAnsi"/>
                      <w:sz w:val="24"/>
                      <w:szCs w:val="24"/>
                    </w:rPr>
                    <w:t>497,28</w:t>
                  </w:r>
                </w:p>
              </w:tc>
              <w:tc>
                <w:tcPr>
                  <w:tcW w:w="3119" w:type="dxa"/>
                  <w:vAlign w:val="bottom"/>
                </w:tcPr>
                <w:p w:rsidR="002933BC" w:rsidRPr="00C87433" w:rsidRDefault="002933BC" w:rsidP="00B85DFE">
                  <w:pPr>
                    <w:framePr w:hSpace="141" w:wrap="around" w:vAnchor="text" w:hAnchor="text" w:x="284" w:y="1"/>
                    <w:suppressOverlap/>
                    <w:jc w:val="right"/>
                    <w:rPr>
                      <w:rFonts w:cstheme="minorHAnsi"/>
                      <w:sz w:val="24"/>
                      <w:szCs w:val="24"/>
                    </w:rPr>
                  </w:pPr>
                  <w:r w:rsidRPr="00C87433">
                    <w:rPr>
                      <w:rFonts w:cstheme="minorHAnsi"/>
                      <w:sz w:val="24"/>
                      <w:szCs w:val="24"/>
                    </w:rPr>
                    <w:t>5,69</w:t>
                  </w:r>
                </w:p>
              </w:tc>
            </w:tr>
            <w:tr w:rsidR="00C87433" w:rsidRPr="00C87433" w:rsidTr="00C4704E">
              <w:tc>
                <w:tcPr>
                  <w:tcW w:w="1242" w:type="dxa"/>
                </w:tcPr>
                <w:p w:rsidR="00C87433" w:rsidRPr="00C87433" w:rsidRDefault="00C87433" w:rsidP="00B85DFE">
                  <w:pPr>
                    <w:framePr w:hSpace="141" w:wrap="around" w:vAnchor="text" w:hAnchor="text" w:x="284" w:y="1"/>
                    <w:suppressOverlap/>
                    <w:jc w:val="center"/>
                    <w:rPr>
                      <w:rFonts w:cstheme="minorHAnsi"/>
                      <w:b/>
                      <w:sz w:val="24"/>
                      <w:szCs w:val="24"/>
                    </w:rPr>
                  </w:pPr>
                  <w:r w:rsidRPr="00C87433">
                    <w:rPr>
                      <w:rFonts w:cstheme="minorHAnsi"/>
                      <w:b/>
                      <w:sz w:val="24"/>
                      <w:szCs w:val="24"/>
                    </w:rPr>
                    <w:t>2022</w:t>
                  </w:r>
                </w:p>
              </w:tc>
              <w:tc>
                <w:tcPr>
                  <w:tcW w:w="1730" w:type="dxa"/>
                  <w:vAlign w:val="bottom"/>
                </w:tcPr>
                <w:p w:rsidR="00C87433" w:rsidRPr="00C87433" w:rsidRDefault="00C87433" w:rsidP="00B85DFE">
                  <w:pPr>
                    <w:framePr w:hSpace="141" w:wrap="around" w:vAnchor="text" w:hAnchor="text" w:x="284" w:y="1"/>
                    <w:suppressOverlap/>
                    <w:jc w:val="right"/>
                    <w:rPr>
                      <w:rFonts w:cstheme="minorHAnsi"/>
                      <w:sz w:val="24"/>
                      <w:szCs w:val="24"/>
                    </w:rPr>
                  </w:pPr>
                  <w:r w:rsidRPr="00C87433">
                    <w:rPr>
                      <w:rFonts w:cstheme="minorHAnsi"/>
                      <w:sz w:val="24"/>
                      <w:szCs w:val="24"/>
                    </w:rPr>
                    <w:t>466,46</w:t>
                  </w:r>
                </w:p>
              </w:tc>
              <w:tc>
                <w:tcPr>
                  <w:tcW w:w="3119" w:type="dxa"/>
                  <w:vAlign w:val="bottom"/>
                </w:tcPr>
                <w:p w:rsidR="00C87433" w:rsidRPr="00C87433" w:rsidRDefault="00C87433" w:rsidP="00B85DFE">
                  <w:pPr>
                    <w:framePr w:hSpace="141" w:wrap="around" w:vAnchor="text" w:hAnchor="text" w:x="284" w:y="1"/>
                    <w:suppressOverlap/>
                    <w:jc w:val="right"/>
                    <w:rPr>
                      <w:rFonts w:cstheme="minorHAnsi"/>
                      <w:sz w:val="24"/>
                      <w:szCs w:val="24"/>
                    </w:rPr>
                  </w:pPr>
                  <w:r w:rsidRPr="00C87433">
                    <w:rPr>
                      <w:rFonts w:cstheme="minorHAnsi"/>
                      <w:sz w:val="24"/>
                      <w:szCs w:val="24"/>
                    </w:rPr>
                    <w:t>5,46</w:t>
                  </w:r>
                </w:p>
              </w:tc>
            </w:tr>
          </w:tbl>
          <w:p w:rsidR="00020CA8" w:rsidRPr="00C87433" w:rsidRDefault="00020CA8" w:rsidP="0076618C">
            <w:pPr>
              <w:ind w:right="-6448"/>
              <w:jc w:val="both"/>
              <w:rPr>
                <w:rFonts w:eastAsia="Times New Roman" w:cstheme="minorHAnsi"/>
                <w:lang w:eastAsia="cs-CZ"/>
              </w:rPr>
            </w:pPr>
          </w:p>
        </w:tc>
        <w:tc>
          <w:tcPr>
            <w:tcW w:w="78" w:type="pct"/>
            <w:tcBorders>
              <w:top w:val="nil"/>
              <w:left w:val="nil"/>
              <w:bottom w:val="nil"/>
              <w:right w:val="nil"/>
            </w:tcBorders>
            <w:shd w:val="clear" w:color="auto" w:fill="auto"/>
            <w:noWrap/>
            <w:vAlign w:val="bottom"/>
          </w:tcPr>
          <w:p w:rsidR="00BD3433" w:rsidRPr="00C9684A" w:rsidRDefault="00BD3433" w:rsidP="0076618C">
            <w:pPr>
              <w:spacing w:after="0" w:line="240" w:lineRule="auto"/>
              <w:jc w:val="both"/>
              <w:rPr>
                <w:rFonts w:eastAsia="Times New Roman" w:cstheme="minorHAnsi"/>
                <w:color w:val="FF0000"/>
                <w:lang w:eastAsia="cs-CZ"/>
              </w:rPr>
            </w:pPr>
          </w:p>
        </w:tc>
        <w:tc>
          <w:tcPr>
            <w:tcW w:w="78" w:type="pct"/>
            <w:tcBorders>
              <w:top w:val="nil"/>
              <w:left w:val="nil"/>
              <w:bottom w:val="nil"/>
              <w:right w:val="nil"/>
            </w:tcBorders>
            <w:noWrap/>
            <w:hideMark/>
          </w:tcPr>
          <w:p w:rsidR="00BD3433" w:rsidRPr="00C9684A" w:rsidRDefault="00BD3433" w:rsidP="0076618C">
            <w:pPr>
              <w:spacing w:after="0" w:line="240" w:lineRule="auto"/>
              <w:jc w:val="both"/>
              <w:rPr>
                <w:rFonts w:eastAsia="Times New Roman" w:cstheme="minorHAnsi"/>
                <w:color w:val="FF0000"/>
                <w:lang w:eastAsia="cs-CZ"/>
              </w:rPr>
            </w:pPr>
          </w:p>
        </w:tc>
        <w:tc>
          <w:tcPr>
            <w:tcW w:w="78" w:type="pct"/>
            <w:tcBorders>
              <w:top w:val="nil"/>
              <w:left w:val="nil"/>
              <w:bottom w:val="nil"/>
              <w:right w:val="nil"/>
            </w:tcBorders>
          </w:tcPr>
          <w:p w:rsidR="00BD3433" w:rsidRPr="00C9684A" w:rsidRDefault="00BD3433" w:rsidP="0076618C">
            <w:pPr>
              <w:spacing w:after="0" w:line="240" w:lineRule="auto"/>
              <w:jc w:val="both"/>
              <w:rPr>
                <w:rFonts w:eastAsia="Times New Roman" w:cstheme="minorHAnsi"/>
                <w:color w:val="FF0000"/>
                <w:lang w:eastAsia="cs-CZ"/>
              </w:rPr>
            </w:pPr>
          </w:p>
        </w:tc>
        <w:tc>
          <w:tcPr>
            <w:tcW w:w="78" w:type="pct"/>
          </w:tcPr>
          <w:p w:rsidR="00BD3433" w:rsidRPr="00C9684A" w:rsidRDefault="00BD3433" w:rsidP="0076618C">
            <w:pPr>
              <w:spacing w:after="0" w:line="240" w:lineRule="auto"/>
              <w:jc w:val="both"/>
              <w:rPr>
                <w:rFonts w:eastAsia="Times New Roman" w:cstheme="minorHAnsi"/>
                <w:color w:val="FF0000"/>
                <w:lang w:eastAsia="cs-CZ"/>
              </w:rPr>
            </w:pPr>
          </w:p>
        </w:tc>
      </w:tr>
      <w:tr w:rsidR="00523CC8" w:rsidRPr="00C9684A" w:rsidTr="00207413">
        <w:trPr>
          <w:trHeight w:val="255"/>
        </w:trPr>
        <w:tc>
          <w:tcPr>
            <w:tcW w:w="4689" w:type="pct"/>
            <w:tcBorders>
              <w:top w:val="nil"/>
              <w:left w:val="nil"/>
              <w:bottom w:val="nil"/>
              <w:right w:val="nil"/>
            </w:tcBorders>
            <w:shd w:val="clear" w:color="auto" w:fill="auto"/>
            <w:noWrap/>
            <w:vAlign w:val="bottom"/>
          </w:tcPr>
          <w:p w:rsidR="00523CC8" w:rsidRPr="00C87433" w:rsidRDefault="00523CC8" w:rsidP="0076618C">
            <w:pPr>
              <w:jc w:val="both"/>
              <w:rPr>
                <w:rFonts w:cstheme="minorHAnsi"/>
                <w:b/>
                <w:sz w:val="24"/>
                <w:szCs w:val="24"/>
              </w:rPr>
            </w:pPr>
          </w:p>
        </w:tc>
        <w:tc>
          <w:tcPr>
            <w:tcW w:w="78" w:type="pct"/>
            <w:tcBorders>
              <w:top w:val="nil"/>
              <w:left w:val="nil"/>
              <w:bottom w:val="nil"/>
              <w:right w:val="nil"/>
            </w:tcBorders>
            <w:shd w:val="clear" w:color="auto" w:fill="auto"/>
            <w:noWrap/>
            <w:vAlign w:val="bottom"/>
          </w:tcPr>
          <w:p w:rsidR="00523CC8" w:rsidRPr="00C9684A" w:rsidRDefault="00523CC8" w:rsidP="0076618C">
            <w:pPr>
              <w:spacing w:after="0" w:line="240" w:lineRule="auto"/>
              <w:jc w:val="both"/>
              <w:rPr>
                <w:rFonts w:eastAsia="Times New Roman" w:cstheme="minorHAnsi"/>
                <w:color w:val="FF0000"/>
                <w:lang w:eastAsia="cs-CZ"/>
              </w:rPr>
            </w:pPr>
          </w:p>
        </w:tc>
        <w:tc>
          <w:tcPr>
            <w:tcW w:w="78" w:type="pct"/>
            <w:tcBorders>
              <w:top w:val="nil"/>
              <w:left w:val="nil"/>
              <w:bottom w:val="nil"/>
              <w:right w:val="nil"/>
            </w:tcBorders>
            <w:noWrap/>
          </w:tcPr>
          <w:p w:rsidR="00523CC8" w:rsidRPr="00C9684A" w:rsidRDefault="00523CC8" w:rsidP="0076618C">
            <w:pPr>
              <w:spacing w:after="0" w:line="240" w:lineRule="auto"/>
              <w:jc w:val="both"/>
              <w:rPr>
                <w:rFonts w:eastAsia="Times New Roman" w:cstheme="minorHAnsi"/>
                <w:color w:val="FF0000"/>
                <w:lang w:eastAsia="cs-CZ"/>
              </w:rPr>
            </w:pPr>
          </w:p>
        </w:tc>
        <w:tc>
          <w:tcPr>
            <w:tcW w:w="78" w:type="pct"/>
            <w:tcBorders>
              <w:top w:val="nil"/>
              <w:left w:val="nil"/>
              <w:bottom w:val="nil"/>
              <w:right w:val="nil"/>
            </w:tcBorders>
          </w:tcPr>
          <w:p w:rsidR="00523CC8" w:rsidRPr="00C9684A" w:rsidRDefault="00523CC8" w:rsidP="0076618C">
            <w:pPr>
              <w:spacing w:after="0" w:line="240" w:lineRule="auto"/>
              <w:jc w:val="both"/>
              <w:rPr>
                <w:rFonts w:eastAsia="Times New Roman" w:cstheme="minorHAnsi"/>
                <w:color w:val="FF0000"/>
                <w:lang w:eastAsia="cs-CZ"/>
              </w:rPr>
            </w:pPr>
          </w:p>
        </w:tc>
        <w:tc>
          <w:tcPr>
            <w:tcW w:w="78" w:type="pct"/>
          </w:tcPr>
          <w:p w:rsidR="00523CC8" w:rsidRPr="00C9684A" w:rsidRDefault="00523CC8" w:rsidP="0076618C">
            <w:pPr>
              <w:spacing w:after="0" w:line="240" w:lineRule="auto"/>
              <w:jc w:val="both"/>
              <w:rPr>
                <w:rFonts w:eastAsia="Times New Roman" w:cstheme="minorHAnsi"/>
                <w:color w:val="FF0000"/>
                <w:lang w:eastAsia="cs-CZ"/>
              </w:rPr>
            </w:pPr>
          </w:p>
        </w:tc>
      </w:tr>
      <w:tr w:rsidR="003B2915" w:rsidRPr="00C9684A" w:rsidTr="00207413">
        <w:trPr>
          <w:trHeight w:val="255"/>
        </w:trPr>
        <w:tc>
          <w:tcPr>
            <w:tcW w:w="4689" w:type="pct"/>
            <w:tcBorders>
              <w:top w:val="nil"/>
              <w:left w:val="nil"/>
              <w:bottom w:val="nil"/>
              <w:right w:val="nil"/>
            </w:tcBorders>
            <w:shd w:val="clear" w:color="auto" w:fill="auto"/>
            <w:noWrap/>
            <w:vAlign w:val="bottom"/>
          </w:tcPr>
          <w:p w:rsidR="004F6863" w:rsidRDefault="00C87433" w:rsidP="0076618C">
            <w:pPr>
              <w:jc w:val="both"/>
              <w:rPr>
                <w:rFonts w:cstheme="minorHAnsi"/>
                <w:sz w:val="24"/>
                <w:szCs w:val="24"/>
              </w:rPr>
            </w:pPr>
            <w:r w:rsidRPr="00C87433">
              <w:rPr>
                <w:rFonts w:cstheme="minorHAnsi"/>
                <w:sz w:val="24"/>
                <w:szCs w:val="24"/>
              </w:rPr>
              <w:t>Čerpání na toto položce je přibližně stejné jako v předchozím roce</w:t>
            </w:r>
            <w:r w:rsidR="004F6863" w:rsidRPr="00C87433">
              <w:rPr>
                <w:rFonts w:cstheme="minorHAnsi"/>
                <w:sz w:val="24"/>
                <w:szCs w:val="24"/>
              </w:rPr>
              <w:t xml:space="preserve">. </w:t>
            </w:r>
          </w:p>
          <w:p w:rsidR="00C87433" w:rsidRPr="00C87433" w:rsidRDefault="00C87433" w:rsidP="0076618C">
            <w:pPr>
              <w:jc w:val="both"/>
              <w:rPr>
                <w:rFonts w:cstheme="minorHAnsi"/>
                <w:sz w:val="24"/>
                <w:szCs w:val="24"/>
              </w:rPr>
            </w:pPr>
          </w:p>
        </w:tc>
        <w:tc>
          <w:tcPr>
            <w:tcW w:w="78" w:type="pct"/>
            <w:tcBorders>
              <w:top w:val="nil"/>
              <w:left w:val="nil"/>
              <w:bottom w:val="nil"/>
              <w:right w:val="nil"/>
            </w:tcBorders>
            <w:shd w:val="clear" w:color="auto" w:fill="auto"/>
            <w:noWrap/>
            <w:vAlign w:val="bottom"/>
          </w:tcPr>
          <w:p w:rsidR="003B2915" w:rsidRPr="00C9684A" w:rsidRDefault="003B2915" w:rsidP="0076618C">
            <w:pPr>
              <w:spacing w:after="0" w:line="240" w:lineRule="auto"/>
              <w:jc w:val="both"/>
              <w:rPr>
                <w:rFonts w:eastAsia="Times New Roman" w:cstheme="minorHAnsi"/>
                <w:color w:val="FF0000"/>
                <w:lang w:eastAsia="cs-CZ"/>
              </w:rPr>
            </w:pPr>
          </w:p>
        </w:tc>
        <w:tc>
          <w:tcPr>
            <w:tcW w:w="78" w:type="pct"/>
            <w:tcBorders>
              <w:top w:val="nil"/>
              <w:left w:val="nil"/>
              <w:bottom w:val="nil"/>
              <w:right w:val="nil"/>
            </w:tcBorders>
            <w:noWrap/>
          </w:tcPr>
          <w:p w:rsidR="003B2915" w:rsidRPr="00C9684A" w:rsidRDefault="003B2915" w:rsidP="0076618C">
            <w:pPr>
              <w:spacing w:after="0" w:line="240" w:lineRule="auto"/>
              <w:jc w:val="both"/>
              <w:rPr>
                <w:rFonts w:eastAsia="Times New Roman" w:cstheme="minorHAnsi"/>
                <w:color w:val="FF0000"/>
                <w:lang w:eastAsia="cs-CZ"/>
              </w:rPr>
            </w:pPr>
          </w:p>
        </w:tc>
        <w:tc>
          <w:tcPr>
            <w:tcW w:w="78" w:type="pct"/>
            <w:tcBorders>
              <w:top w:val="nil"/>
              <w:left w:val="nil"/>
              <w:bottom w:val="nil"/>
              <w:right w:val="nil"/>
            </w:tcBorders>
          </w:tcPr>
          <w:p w:rsidR="003B2915" w:rsidRPr="00C9684A" w:rsidRDefault="003B2915" w:rsidP="0076618C">
            <w:pPr>
              <w:spacing w:after="0" w:line="240" w:lineRule="auto"/>
              <w:jc w:val="both"/>
              <w:rPr>
                <w:rFonts w:eastAsia="Times New Roman" w:cstheme="minorHAnsi"/>
                <w:color w:val="FF0000"/>
                <w:lang w:eastAsia="cs-CZ"/>
              </w:rPr>
            </w:pPr>
          </w:p>
        </w:tc>
        <w:tc>
          <w:tcPr>
            <w:tcW w:w="78" w:type="pct"/>
          </w:tcPr>
          <w:p w:rsidR="003B2915" w:rsidRPr="00C9684A" w:rsidRDefault="003B2915" w:rsidP="0076618C">
            <w:pPr>
              <w:spacing w:after="0" w:line="240" w:lineRule="auto"/>
              <w:jc w:val="both"/>
              <w:rPr>
                <w:rFonts w:eastAsia="Times New Roman" w:cstheme="minorHAnsi"/>
                <w:color w:val="FF0000"/>
                <w:lang w:eastAsia="cs-CZ"/>
              </w:rPr>
            </w:pPr>
          </w:p>
        </w:tc>
      </w:tr>
    </w:tbl>
    <w:p w:rsidR="00207413" w:rsidRPr="00601B75" w:rsidRDefault="00207413" w:rsidP="00ED5733">
      <w:pPr>
        <w:pStyle w:val="Nadpis2"/>
      </w:pPr>
      <w:bookmarkStart w:id="32" w:name="_Toc124839831"/>
      <w:r w:rsidRPr="00601B75">
        <w:t>Stravování zaměstnanců</w:t>
      </w:r>
      <w:bookmarkEnd w:id="32"/>
      <w:r w:rsidRPr="00601B75">
        <w:t xml:space="preserve"> </w:t>
      </w:r>
    </w:p>
    <w:p w:rsidR="00711D3A" w:rsidRDefault="00293D06" w:rsidP="00711D3A">
      <w:pPr>
        <w:pStyle w:val="Titulek"/>
        <w:keepNext/>
        <w:rPr>
          <w:rFonts w:cstheme="minorHAnsi"/>
          <w:b w:val="0"/>
          <w:sz w:val="22"/>
          <w:szCs w:val="22"/>
        </w:rPr>
      </w:pPr>
      <w:r w:rsidRPr="00B85FE4">
        <w:rPr>
          <w:rFonts w:cstheme="minorHAnsi"/>
          <w:b w:val="0"/>
          <w:sz w:val="22"/>
          <w:szCs w:val="22"/>
        </w:rPr>
        <w:t xml:space="preserve">Stravování </w:t>
      </w:r>
      <w:r w:rsidR="00CD44A2" w:rsidRPr="00B85FE4">
        <w:rPr>
          <w:rFonts w:cstheme="minorHAnsi"/>
          <w:b w:val="0"/>
          <w:sz w:val="22"/>
          <w:szCs w:val="22"/>
        </w:rPr>
        <w:t xml:space="preserve">pro zaměstnance Okresního soudu v Chebu </w:t>
      </w:r>
      <w:r w:rsidR="00E5466B" w:rsidRPr="00B85FE4">
        <w:rPr>
          <w:rFonts w:cstheme="minorHAnsi"/>
          <w:b w:val="0"/>
          <w:sz w:val="22"/>
          <w:szCs w:val="22"/>
        </w:rPr>
        <w:t xml:space="preserve">je zajišťováno formou </w:t>
      </w:r>
      <w:r w:rsidR="00C87433" w:rsidRPr="00B85FE4">
        <w:rPr>
          <w:rFonts w:cstheme="minorHAnsi"/>
          <w:b w:val="0"/>
          <w:sz w:val="22"/>
          <w:szCs w:val="22"/>
        </w:rPr>
        <w:t>e-</w:t>
      </w:r>
      <w:r w:rsidR="00E5466B" w:rsidRPr="00B85FE4">
        <w:rPr>
          <w:rFonts w:cstheme="minorHAnsi"/>
          <w:b w:val="0"/>
          <w:sz w:val="22"/>
          <w:szCs w:val="22"/>
        </w:rPr>
        <w:t xml:space="preserve">stravenek od společnosti UP Česká republika s.r.o. </w:t>
      </w:r>
      <w:r w:rsidR="009B201E" w:rsidRPr="00B85FE4">
        <w:rPr>
          <w:rFonts w:cstheme="minorHAnsi"/>
          <w:b w:val="0"/>
          <w:sz w:val="22"/>
          <w:szCs w:val="22"/>
        </w:rPr>
        <w:t xml:space="preserve">Praha 4. </w:t>
      </w:r>
      <w:r w:rsidR="00B85FE4" w:rsidRPr="00B85FE4">
        <w:rPr>
          <w:rFonts w:cstheme="minorHAnsi"/>
          <w:b w:val="0"/>
          <w:sz w:val="22"/>
          <w:szCs w:val="22"/>
        </w:rPr>
        <w:t>(** do 30. 6. 2022, * od 1. 7. 2022)</w:t>
      </w:r>
    </w:p>
    <w:p w:rsidR="00DA6CC2" w:rsidRPr="00DA6CC2" w:rsidRDefault="00DA6CC2" w:rsidP="00DA6CC2"/>
    <w:p w:rsidR="00D215F5" w:rsidRPr="00B85FE4" w:rsidRDefault="00B85DFE" w:rsidP="00A370F2">
      <w:pPr>
        <w:pStyle w:val="Titulek"/>
        <w:keepNext/>
      </w:pPr>
      <w:r>
        <w:rPr>
          <w:noProof/>
        </w:rPr>
        <w:object w:dxaOrig="1440" w:dyaOrig="1440">
          <v:shape id="_x0000_s1115" type="#_x0000_t75" style="position:absolute;margin-left:-1.9pt;margin-top:40.15pt;width:499.8pt;height:79.65pt;z-index:251667456;mso-position-horizontal-relative:text;mso-position-vertical-relative:text">
            <v:imagedata r:id="rId32" o:title=""/>
            <w10:wrap type="square" side="right"/>
          </v:shape>
          <o:OLEObject Type="Embed" ProgID="Excel.Sheet.12" ShapeID="_x0000_s1115" DrawAspect="Content" ObjectID="_1738644135" r:id="rId33"/>
        </w:object>
      </w:r>
      <w:r w:rsidR="00384CAD" w:rsidRPr="00B85FE4">
        <w:rPr>
          <w:rFonts w:cstheme="minorHAnsi"/>
        </w:rPr>
        <w:br w:type="textWrapping" w:clear="all"/>
      </w:r>
      <w:r w:rsidR="00A370F2" w:rsidRPr="00B85FE4">
        <w:t xml:space="preserve">Tabulka </w:t>
      </w:r>
      <w:fldSimple w:instr=" SEQ Tabulka \* ARABIC ">
        <w:r w:rsidR="00A22446">
          <w:rPr>
            <w:noProof/>
          </w:rPr>
          <w:t>1</w:t>
        </w:r>
      </w:fldSimple>
      <w:r w:rsidR="00A370F2" w:rsidRPr="00B85FE4">
        <w:t xml:space="preserve"> - Nominální hodnot</w:t>
      </w:r>
      <w:r w:rsidR="006C622A">
        <w:t>a</w:t>
      </w:r>
      <w:r w:rsidR="00A370F2" w:rsidRPr="00B85FE4">
        <w:t xml:space="preserve"> stravenky a rozpad na jednotlivé příspěvky za rok 2022</w:t>
      </w:r>
    </w:p>
    <w:p w:rsidR="00B85FE4" w:rsidRDefault="00B85FE4" w:rsidP="00A370F2">
      <w:pPr>
        <w:pStyle w:val="Titulek"/>
        <w:keepNext/>
      </w:pPr>
    </w:p>
    <w:p w:rsidR="006C622A" w:rsidRDefault="006C622A" w:rsidP="006C622A"/>
    <w:p w:rsidR="006C622A" w:rsidRDefault="006C622A" w:rsidP="006C622A"/>
    <w:p w:rsidR="006C622A" w:rsidRPr="006C622A" w:rsidRDefault="006C622A" w:rsidP="006C622A"/>
    <w:p w:rsidR="00A370F2" w:rsidRDefault="00A370F2" w:rsidP="00A370F2">
      <w:pPr>
        <w:pStyle w:val="Titulek"/>
        <w:keepNext/>
      </w:pPr>
      <w:r w:rsidRPr="00B85FE4">
        <w:lastRenderedPageBreak/>
        <w:t xml:space="preserve">Tabulka </w:t>
      </w:r>
      <w:fldSimple w:instr=" SEQ Tabulka \* ARABIC ">
        <w:r w:rsidR="00A22446">
          <w:rPr>
            <w:noProof/>
          </w:rPr>
          <w:t>2</w:t>
        </w:r>
      </w:fldSimple>
      <w:r w:rsidR="006C622A">
        <w:t xml:space="preserve"> - Nominální hodnota</w:t>
      </w:r>
      <w:r w:rsidRPr="00B85FE4">
        <w:t xml:space="preserve"> stravenky a rozpad na jednotlivé příspěvky za rok 2021</w:t>
      </w:r>
    </w:p>
    <w:p w:rsidR="004C7221" w:rsidRPr="004C7221" w:rsidRDefault="004C7221" w:rsidP="004C7221"/>
    <w:bookmarkStart w:id="33" w:name="_MON_1703319429"/>
    <w:bookmarkEnd w:id="33"/>
    <w:p w:rsidR="00A370F2" w:rsidRDefault="004C7221" w:rsidP="00A370F2">
      <w:pPr>
        <w:spacing w:before="120" w:after="120"/>
      </w:pPr>
      <w:r w:rsidRPr="00B85FE4">
        <w:object w:dxaOrig="12622" w:dyaOrig="2150">
          <v:shape id="_x0000_i1037" type="#_x0000_t75" style="width:463.5pt;height:83.25pt" o:ole="">
            <v:imagedata r:id="rId34" o:title=""/>
          </v:shape>
          <o:OLEObject Type="Embed" ProgID="Excel.Sheet.12" ShapeID="_x0000_i1037" DrawAspect="Content" ObjectID="_1738644117" r:id="rId35"/>
        </w:object>
      </w:r>
    </w:p>
    <w:p w:rsidR="004C7221" w:rsidRDefault="004C7221" w:rsidP="004C7221">
      <w:pPr>
        <w:pStyle w:val="Titulek"/>
        <w:keepNext/>
      </w:pPr>
      <w:r w:rsidRPr="00B85FE4">
        <w:t xml:space="preserve">Tabulka </w:t>
      </w:r>
      <w:r>
        <w:t>3</w:t>
      </w:r>
      <w:r w:rsidR="006C622A">
        <w:t xml:space="preserve"> - Nominální hodnota</w:t>
      </w:r>
      <w:r w:rsidRPr="00B85FE4">
        <w:t xml:space="preserve"> stravenky a </w:t>
      </w:r>
      <w:r>
        <w:t>rozpad na jednotlivé příspěvky na rok 2023</w:t>
      </w:r>
    </w:p>
    <w:bookmarkStart w:id="34" w:name="_MON_1734778682"/>
    <w:bookmarkEnd w:id="34"/>
    <w:p w:rsidR="004C7221" w:rsidRDefault="00CD412D" w:rsidP="00A370F2">
      <w:pPr>
        <w:spacing w:before="120" w:after="120"/>
      </w:pPr>
      <w:r w:rsidRPr="00B85FE4">
        <w:object w:dxaOrig="12622" w:dyaOrig="2150">
          <v:shape id="_x0000_i1038" type="#_x0000_t75" style="width:463.5pt;height:83.25pt" o:ole="">
            <v:imagedata r:id="rId36" o:title=""/>
          </v:shape>
          <o:OLEObject Type="Embed" ProgID="Excel.Sheet.12" ShapeID="_x0000_i1038" DrawAspect="Content" ObjectID="_1738644118" r:id="rId37"/>
        </w:object>
      </w:r>
    </w:p>
    <w:p w:rsidR="004C7221" w:rsidRDefault="004C7221" w:rsidP="00A370F2">
      <w:pPr>
        <w:spacing w:before="120" w:after="120"/>
      </w:pPr>
    </w:p>
    <w:p w:rsidR="006C622A" w:rsidRDefault="006C622A" w:rsidP="00A370F2">
      <w:pPr>
        <w:spacing w:before="120" w:after="120"/>
      </w:pPr>
    </w:p>
    <w:p w:rsidR="006C622A" w:rsidRDefault="006C622A" w:rsidP="00A370F2">
      <w:pPr>
        <w:spacing w:before="120" w:after="120"/>
        <w:sectPr w:rsidR="006C622A" w:rsidSect="00010B02">
          <w:type w:val="continuous"/>
          <w:pgSz w:w="11906" w:h="16838"/>
          <w:pgMar w:top="1417" w:right="1417" w:bottom="1417" w:left="1417" w:header="709" w:footer="709" w:gutter="0"/>
          <w:cols w:space="708"/>
          <w:titlePg/>
          <w:docGrid w:linePitch="360"/>
        </w:sectPr>
      </w:pPr>
    </w:p>
    <w:p w:rsidR="006C622A" w:rsidRPr="00ED5733" w:rsidRDefault="006C622A" w:rsidP="00ED5733">
      <w:pPr>
        <w:pStyle w:val="Nadpis2"/>
      </w:pPr>
      <w:bookmarkStart w:id="35" w:name="_Toc123730366"/>
      <w:bookmarkStart w:id="36" w:name="_Toc124839832"/>
      <w:r w:rsidRPr="00ED5733">
        <w:lastRenderedPageBreak/>
        <w:t>Energie (plyn, elektrická energie a teplo)</w:t>
      </w:r>
      <w:bookmarkEnd w:id="35"/>
      <w:bookmarkEnd w:id="36"/>
    </w:p>
    <w:p w:rsidR="00EF2EE3" w:rsidRPr="00200C9C" w:rsidRDefault="00EF2EE3" w:rsidP="00200C9C"/>
    <w:bookmarkStart w:id="37" w:name="_Hlk118707281"/>
    <w:bookmarkStart w:id="38" w:name="_MON_1729318414"/>
    <w:bookmarkEnd w:id="38"/>
    <w:p w:rsidR="006C622A" w:rsidRPr="00B37C22" w:rsidRDefault="00EF2EE3" w:rsidP="00A22190">
      <w:pPr>
        <w:spacing w:before="120" w:after="120"/>
        <w:ind w:left="-142"/>
        <w:rPr>
          <w:color w:val="FF0000"/>
        </w:rPr>
      </w:pPr>
      <w:r w:rsidRPr="00B37C22">
        <w:rPr>
          <w:color w:val="FF0000"/>
        </w:rPr>
        <w:object w:dxaOrig="17622" w:dyaOrig="9283">
          <v:shape id="_x0000_i1039" type="#_x0000_t75" style="width:741.75pt;height:394.5pt" o:ole="">
            <v:imagedata r:id="rId38" o:title=""/>
          </v:shape>
          <o:OLEObject Type="Embed" ProgID="Excel.Sheet.12" ShapeID="_x0000_i1039" DrawAspect="Content" ObjectID="_1738644119" r:id="rId39"/>
        </w:object>
      </w:r>
    </w:p>
    <w:bookmarkEnd w:id="37"/>
    <w:p w:rsidR="006C622A" w:rsidRPr="00B37C22" w:rsidRDefault="006C622A" w:rsidP="006C622A">
      <w:pPr>
        <w:spacing w:before="120" w:after="120"/>
        <w:rPr>
          <w:color w:val="FF0000"/>
        </w:rPr>
      </w:pPr>
    </w:p>
    <w:p w:rsidR="001C7CDA" w:rsidRDefault="009A6A25" w:rsidP="001C7CDA">
      <w:pPr>
        <w:spacing w:before="120" w:after="120"/>
        <w:jc w:val="both"/>
        <w:sectPr w:rsidR="001C7CDA" w:rsidSect="006C622A">
          <w:pgSz w:w="16838" w:h="11906" w:orient="landscape"/>
          <w:pgMar w:top="1417" w:right="1417" w:bottom="1417" w:left="1417" w:header="709" w:footer="709" w:gutter="0"/>
          <w:cols w:space="708"/>
          <w:titlePg/>
          <w:docGrid w:linePitch="360"/>
        </w:sectPr>
      </w:pPr>
      <w:r>
        <w:t xml:space="preserve">Z tabulky přehledu spotřeby a čerpání prostředků za dodávku energií (elektrická energie a plyn) je v roce 2022 patrná úspora za dodané energie v jednotkách. K úsporám došlo jednak z důvodu úsporných opatření (snížení </w:t>
      </w:r>
      <w:r w:rsidR="00EF2EE3">
        <w:t>teploty v kancelářích a připomenutí šetření elektrickou energií</w:t>
      </w:r>
      <w:r w:rsidR="001C7CDA">
        <w:t>) a  z důvodu příznivých klimatických podmínek  v říjnu – prosinci 2022.   Navzdory těmto úsporám je však čerpání prostředků za energie vy</w:t>
      </w:r>
      <w:r w:rsidR="00EF2EE3">
        <w:t>šší z důvodu zvýšení jejich cen</w:t>
      </w:r>
      <w:r w:rsidR="001C7CDA">
        <w:t xml:space="preserve"> .</w:t>
      </w:r>
    </w:p>
    <w:p w:rsidR="006C622A" w:rsidRPr="00B85FE4" w:rsidRDefault="006C622A" w:rsidP="00A370F2">
      <w:pPr>
        <w:spacing w:before="120" w:after="120"/>
      </w:pPr>
    </w:p>
    <w:p w:rsidR="009852E0" w:rsidRPr="00705D2B" w:rsidRDefault="00F05F52" w:rsidP="00ED5733">
      <w:pPr>
        <w:pStyle w:val="Nadpis2"/>
      </w:pPr>
      <w:bookmarkStart w:id="39" w:name="_Toc124839833"/>
      <w:r w:rsidRPr="00705D2B">
        <w:t>Rozlišovací znaky</w:t>
      </w:r>
      <w:bookmarkEnd w:id="39"/>
      <w:r w:rsidR="00B37C22">
        <w:t xml:space="preserve"> </w:t>
      </w:r>
    </w:p>
    <w:p w:rsidR="00B37C22" w:rsidRPr="00624DB5" w:rsidRDefault="00624DB5" w:rsidP="00B37C22">
      <w:pPr>
        <w:pStyle w:val="Odstavecseseznamem"/>
        <w:numPr>
          <w:ilvl w:val="0"/>
          <w:numId w:val="21"/>
        </w:numPr>
        <w:rPr>
          <w:b/>
          <w:bCs/>
          <w:color w:val="000000" w:themeColor="text1"/>
        </w:rPr>
      </w:pPr>
      <w:r w:rsidRPr="00624DB5">
        <w:rPr>
          <w:b/>
          <w:bCs/>
          <w:color w:val="000000" w:themeColor="text1"/>
        </w:rPr>
        <w:t xml:space="preserve">Bagatelní exekuce </w:t>
      </w:r>
      <w:r w:rsidR="00B37C22" w:rsidRPr="00624DB5">
        <w:rPr>
          <w:b/>
          <w:bCs/>
          <w:color w:val="000000" w:themeColor="text1"/>
        </w:rPr>
        <w:t>– ro</w:t>
      </w:r>
      <w:r w:rsidRPr="00624DB5">
        <w:rPr>
          <w:b/>
          <w:bCs/>
          <w:color w:val="000000" w:themeColor="text1"/>
        </w:rPr>
        <w:t>zlišovací znaky 519282 a 519283</w:t>
      </w:r>
    </w:p>
    <w:bookmarkStart w:id="40" w:name="_MON_1729426487"/>
    <w:bookmarkEnd w:id="40"/>
    <w:p w:rsidR="00B37C22" w:rsidRPr="00B37C22" w:rsidRDefault="00DA6CC2" w:rsidP="00B37C22">
      <w:pPr>
        <w:spacing w:before="120" w:after="120"/>
        <w:jc w:val="center"/>
        <w:rPr>
          <w:color w:val="FF0000"/>
        </w:rPr>
      </w:pPr>
      <w:r w:rsidRPr="00B37C22">
        <w:rPr>
          <w:color w:val="FF0000"/>
        </w:rPr>
        <w:object w:dxaOrig="9651" w:dyaOrig="2339">
          <v:shape id="_x0000_i1040" type="#_x0000_t75" style="width:486pt;height:88.5pt" o:ole="">
            <v:imagedata r:id="rId40" o:title=""/>
          </v:shape>
          <o:OLEObject Type="Embed" ProgID="Excel.Sheet.12" ShapeID="_x0000_i1040" DrawAspect="Content" ObjectID="_1738644120" r:id="rId41"/>
        </w:object>
      </w:r>
    </w:p>
    <w:p w:rsidR="00194900" w:rsidRDefault="00B37C22" w:rsidP="00B37C22">
      <w:pPr>
        <w:spacing w:before="120" w:after="120"/>
        <w:jc w:val="both"/>
        <w:rPr>
          <w:rFonts w:cstheme="minorHAnsi"/>
        </w:rPr>
      </w:pPr>
      <w:r w:rsidRPr="0010577A">
        <w:rPr>
          <w:rFonts w:cstheme="minorHAnsi"/>
        </w:rPr>
        <w:t xml:space="preserve">Tyto výdaje byly v celkové výši  5.401.247,50 Kč, proplaceno bylo celkem 4.260 ks těchto náhrad.  </w:t>
      </w:r>
      <w:r w:rsidR="00DE291F">
        <w:rPr>
          <w:rFonts w:cstheme="minorHAnsi"/>
        </w:rPr>
        <w:t xml:space="preserve">Rozlišovací znak 519282 - </w:t>
      </w:r>
      <w:r w:rsidR="00194900">
        <w:rPr>
          <w:rFonts w:cstheme="minorHAnsi"/>
        </w:rPr>
        <w:t xml:space="preserve"> celkem vyplaceno 5.283.091,00 Kč/4.167 ks. </w:t>
      </w:r>
      <w:r w:rsidRPr="0010577A">
        <w:rPr>
          <w:rFonts w:cstheme="minorHAnsi"/>
        </w:rPr>
        <w:t xml:space="preserve">Ve 4 případech exekutor účtoval paušální částku sníženou o úhradu oprávněným, ve 2 případech účtoval exekutor zaokrouhlenou částku 1.271,00 Kč a v 1 případě byla </w:t>
      </w:r>
      <w:r>
        <w:rPr>
          <w:rFonts w:cstheme="minorHAnsi"/>
        </w:rPr>
        <w:t xml:space="preserve">vyplacena </w:t>
      </w:r>
      <w:r w:rsidRPr="0010577A">
        <w:rPr>
          <w:rFonts w:cstheme="minorHAnsi"/>
        </w:rPr>
        <w:t>pohledávka za celkem  4 zastavené exekuce (5.082,00 Kč).</w:t>
      </w:r>
      <w:r w:rsidR="00194900">
        <w:rPr>
          <w:rFonts w:cstheme="minorHAnsi"/>
        </w:rPr>
        <w:t xml:space="preserve"> </w:t>
      </w:r>
    </w:p>
    <w:p w:rsidR="00194900" w:rsidRDefault="00DE291F" w:rsidP="00B37C22">
      <w:pPr>
        <w:spacing w:before="120" w:after="120"/>
        <w:jc w:val="both"/>
        <w:rPr>
          <w:rFonts w:cstheme="minorHAnsi"/>
        </w:rPr>
      </w:pPr>
      <w:r>
        <w:rPr>
          <w:rFonts w:cstheme="minorHAnsi"/>
        </w:rPr>
        <w:t xml:space="preserve">Rozlišovací znak  519283 – </w:t>
      </w:r>
      <w:r w:rsidR="00194900">
        <w:rPr>
          <w:rFonts w:cstheme="minorHAnsi"/>
        </w:rPr>
        <w:t>celkem vyplaceno 118.156,50 Kč/93 ks.</w:t>
      </w:r>
    </w:p>
    <w:p w:rsidR="00B37C22" w:rsidRPr="00624DB5" w:rsidRDefault="00B37C22" w:rsidP="00B37C22">
      <w:pPr>
        <w:spacing w:before="120" w:after="120"/>
        <w:jc w:val="both"/>
        <w:rPr>
          <w:color w:val="000000" w:themeColor="text1"/>
        </w:rPr>
      </w:pPr>
    </w:p>
    <w:p w:rsidR="00194900" w:rsidRPr="00DA6CC2" w:rsidRDefault="00B37C22" w:rsidP="000D787C">
      <w:pPr>
        <w:pStyle w:val="Odstavecseseznamem"/>
        <w:numPr>
          <w:ilvl w:val="0"/>
          <w:numId w:val="21"/>
        </w:numPr>
        <w:spacing w:before="120" w:after="120"/>
        <w:ind w:left="360"/>
        <w:jc w:val="both"/>
        <w:rPr>
          <w:rFonts w:cstheme="minorHAnsi"/>
        </w:rPr>
      </w:pPr>
      <w:r w:rsidRPr="00DA6CC2">
        <w:rPr>
          <w:b/>
          <w:bCs/>
          <w:color w:val="000000" w:themeColor="text1"/>
        </w:rPr>
        <w:t>Ostatní rozlišovací znaky podseskupení 519</w:t>
      </w:r>
    </w:p>
    <w:p w:rsidR="00DA6CC2" w:rsidRPr="00DA6CC2" w:rsidRDefault="00DA6CC2" w:rsidP="00DA6CC2">
      <w:pPr>
        <w:pStyle w:val="Odstavecseseznamem"/>
        <w:spacing w:before="120" w:after="120"/>
        <w:ind w:left="360"/>
        <w:jc w:val="both"/>
        <w:rPr>
          <w:rFonts w:cstheme="minorHAnsi"/>
        </w:rPr>
      </w:pPr>
    </w:p>
    <w:tbl>
      <w:tblPr>
        <w:tblStyle w:val="Mkatabulky"/>
        <w:tblW w:w="9062" w:type="dxa"/>
        <w:tblLook w:val="04A0" w:firstRow="1" w:lastRow="0" w:firstColumn="1" w:lastColumn="0" w:noHBand="0" w:noVBand="1"/>
      </w:tblPr>
      <w:tblGrid>
        <w:gridCol w:w="1266"/>
        <w:gridCol w:w="4862"/>
        <w:gridCol w:w="1429"/>
        <w:gridCol w:w="1505"/>
      </w:tblGrid>
      <w:tr w:rsidR="00DE291F" w:rsidRPr="00705D2B" w:rsidTr="00DE291F">
        <w:tc>
          <w:tcPr>
            <w:tcW w:w="1266" w:type="dxa"/>
            <w:vAlign w:val="center"/>
          </w:tcPr>
          <w:p w:rsidR="00DE291F" w:rsidRPr="00705D2B" w:rsidRDefault="00DE291F" w:rsidP="00DE0EBC">
            <w:pPr>
              <w:jc w:val="center"/>
              <w:rPr>
                <w:rFonts w:cstheme="minorHAnsi"/>
                <w:b/>
              </w:rPr>
            </w:pPr>
            <w:r w:rsidRPr="00705D2B">
              <w:rPr>
                <w:rFonts w:cstheme="minorHAnsi"/>
                <w:b/>
              </w:rPr>
              <w:t>Rozlišovací znak</w:t>
            </w:r>
          </w:p>
        </w:tc>
        <w:tc>
          <w:tcPr>
            <w:tcW w:w="4862" w:type="dxa"/>
            <w:vAlign w:val="center"/>
          </w:tcPr>
          <w:p w:rsidR="00DE291F" w:rsidRPr="00705D2B" w:rsidRDefault="00DE291F" w:rsidP="00DE0EBC">
            <w:pPr>
              <w:jc w:val="center"/>
              <w:rPr>
                <w:rFonts w:cstheme="minorHAnsi"/>
                <w:b/>
              </w:rPr>
            </w:pPr>
            <w:r w:rsidRPr="00705D2B">
              <w:rPr>
                <w:rFonts w:cstheme="minorHAnsi"/>
                <w:b/>
              </w:rPr>
              <w:t>Název</w:t>
            </w:r>
          </w:p>
        </w:tc>
        <w:tc>
          <w:tcPr>
            <w:tcW w:w="1429" w:type="dxa"/>
          </w:tcPr>
          <w:p w:rsidR="00840B1F" w:rsidRPr="00705D2B" w:rsidRDefault="00840B1F" w:rsidP="00840B1F">
            <w:pPr>
              <w:jc w:val="center"/>
              <w:rPr>
                <w:rFonts w:cstheme="minorHAnsi"/>
                <w:b/>
              </w:rPr>
            </w:pPr>
            <w:r>
              <w:rPr>
                <w:rFonts w:cstheme="minorHAnsi"/>
                <w:b/>
              </w:rPr>
              <w:t>Čerpání 2021</w:t>
            </w:r>
          </w:p>
          <w:p w:rsidR="00DE291F" w:rsidRPr="00705D2B" w:rsidRDefault="00840B1F" w:rsidP="00840B1F">
            <w:pPr>
              <w:jc w:val="center"/>
              <w:rPr>
                <w:rFonts w:cstheme="minorHAnsi"/>
                <w:b/>
              </w:rPr>
            </w:pPr>
            <w:r w:rsidRPr="00705D2B">
              <w:rPr>
                <w:rFonts w:cstheme="minorHAnsi"/>
                <w:b/>
              </w:rPr>
              <w:t>v tis. Kč</w:t>
            </w:r>
          </w:p>
        </w:tc>
        <w:tc>
          <w:tcPr>
            <w:tcW w:w="1505" w:type="dxa"/>
            <w:vAlign w:val="center"/>
          </w:tcPr>
          <w:p w:rsidR="00DE291F" w:rsidRPr="00705D2B" w:rsidRDefault="00DE291F" w:rsidP="00DE0EBC">
            <w:pPr>
              <w:jc w:val="center"/>
              <w:rPr>
                <w:rFonts w:cstheme="minorHAnsi"/>
                <w:b/>
              </w:rPr>
            </w:pPr>
            <w:r w:rsidRPr="00705D2B">
              <w:rPr>
                <w:rFonts w:cstheme="minorHAnsi"/>
                <w:b/>
              </w:rPr>
              <w:t>Čerpání 2022</w:t>
            </w:r>
          </w:p>
          <w:p w:rsidR="00DE291F" w:rsidRPr="00705D2B" w:rsidRDefault="00DE291F" w:rsidP="00DE0EBC">
            <w:pPr>
              <w:jc w:val="center"/>
              <w:rPr>
                <w:rFonts w:cstheme="minorHAnsi"/>
                <w:b/>
              </w:rPr>
            </w:pPr>
            <w:r w:rsidRPr="00705D2B">
              <w:rPr>
                <w:rFonts w:cstheme="minorHAnsi"/>
                <w:b/>
              </w:rPr>
              <w:t>v tis. Kč</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51920</w:t>
            </w:r>
          </w:p>
        </w:tc>
        <w:tc>
          <w:tcPr>
            <w:tcW w:w="4862" w:type="dxa"/>
          </w:tcPr>
          <w:p w:rsidR="00DE291F" w:rsidRPr="00705D2B" w:rsidRDefault="00DE291F" w:rsidP="00DE0EBC">
            <w:pPr>
              <w:rPr>
                <w:rFonts w:cstheme="minorHAnsi"/>
              </w:rPr>
            </w:pPr>
            <w:r w:rsidRPr="00705D2B">
              <w:rPr>
                <w:rFonts w:cstheme="minorHAnsi"/>
              </w:rPr>
              <w:t>Mandatorní výdaje advokátům civil</w:t>
            </w:r>
          </w:p>
        </w:tc>
        <w:tc>
          <w:tcPr>
            <w:tcW w:w="1429" w:type="dxa"/>
          </w:tcPr>
          <w:p w:rsidR="00DE291F" w:rsidRPr="00705D2B" w:rsidRDefault="00840B1F" w:rsidP="00DE0EBC">
            <w:pPr>
              <w:jc w:val="right"/>
              <w:rPr>
                <w:rFonts w:cstheme="minorHAnsi"/>
              </w:rPr>
            </w:pPr>
            <w:r>
              <w:rPr>
                <w:rFonts w:cstheme="minorHAnsi"/>
              </w:rPr>
              <w:t>541,04</w:t>
            </w:r>
          </w:p>
        </w:tc>
        <w:tc>
          <w:tcPr>
            <w:tcW w:w="1505" w:type="dxa"/>
            <w:vAlign w:val="bottom"/>
          </w:tcPr>
          <w:p w:rsidR="00DE291F" w:rsidRPr="00705D2B" w:rsidRDefault="00DE291F" w:rsidP="00DE0EBC">
            <w:pPr>
              <w:jc w:val="right"/>
              <w:rPr>
                <w:rFonts w:cstheme="minorHAnsi"/>
              </w:rPr>
            </w:pPr>
            <w:r w:rsidRPr="00705D2B">
              <w:rPr>
                <w:rFonts w:cstheme="minorHAnsi"/>
              </w:rPr>
              <w:t>429,71</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51921</w:t>
            </w:r>
          </w:p>
        </w:tc>
        <w:tc>
          <w:tcPr>
            <w:tcW w:w="4862" w:type="dxa"/>
          </w:tcPr>
          <w:p w:rsidR="00DE291F" w:rsidRPr="00705D2B" w:rsidRDefault="00DE291F" w:rsidP="00DE0EBC">
            <w:pPr>
              <w:rPr>
                <w:rFonts w:cstheme="minorHAnsi"/>
              </w:rPr>
            </w:pPr>
            <w:r w:rsidRPr="00705D2B">
              <w:rPr>
                <w:rFonts w:cstheme="minorHAnsi"/>
              </w:rPr>
              <w:t>Mandatorní výdaje advokátům trest</w:t>
            </w:r>
          </w:p>
        </w:tc>
        <w:tc>
          <w:tcPr>
            <w:tcW w:w="1429" w:type="dxa"/>
          </w:tcPr>
          <w:p w:rsidR="00DE291F" w:rsidRPr="00705D2B" w:rsidRDefault="00840B1F" w:rsidP="00DE0EBC">
            <w:pPr>
              <w:jc w:val="right"/>
              <w:rPr>
                <w:rFonts w:cstheme="minorHAnsi"/>
              </w:rPr>
            </w:pPr>
            <w:r>
              <w:rPr>
                <w:rFonts w:cstheme="minorHAnsi"/>
              </w:rPr>
              <w:t>4.342,38</w:t>
            </w:r>
          </w:p>
        </w:tc>
        <w:tc>
          <w:tcPr>
            <w:tcW w:w="1505" w:type="dxa"/>
            <w:vAlign w:val="bottom"/>
          </w:tcPr>
          <w:p w:rsidR="00DE291F" w:rsidRPr="00705D2B" w:rsidRDefault="00DE291F" w:rsidP="00DE0EBC">
            <w:pPr>
              <w:jc w:val="right"/>
              <w:rPr>
                <w:rFonts w:cstheme="minorHAnsi"/>
              </w:rPr>
            </w:pPr>
            <w:r w:rsidRPr="00705D2B">
              <w:rPr>
                <w:rFonts w:cstheme="minorHAnsi"/>
              </w:rPr>
              <w:t>4.002,31</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51922</w:t>
            </w:r>
          </w:p>
        </w:tc>
        <w:tc>
          <w:tcPr>
            <w:tcW w:w="4862" w:type="dxa"/>
          </w:tcPr>
          <w:p w:rsidR="00DE291F" w:rsidRPr="00705D2B" w:rsidRDefault="00DE291F" w:rsidP="00DE0EBC">
            <w:pPr>
              <w:rPr>
                <w:rFonts w:cstheme="minorHAnsi"/>
              </w:rPr>
            </w:pPr>
            <w:r w:rsidRPr="00705D2B">
              <w:rPr>
                <w:rFonts w:cstheme="minorHAnsi"/>
              </w:rPr>
              <w:t>Mandatorní výdaje znalečné</w:t>
            </w:r>
          </w:p>
        </w:tc>
        <w:tc>
          <w:tcPr>
            <w:tcW w:w="1429" w:type="dxa"/>
          </w:tcPr>
          <w:p w:rsidR="00DE291F" w:rsidRPr="00705D2B" w:rsidRDefault="00840B1F" w:rsidP="00DE0EBC">
            <w:pPr>
              <w:jc w:val="right"/>
              <w:rPr>
                <w:rFonts w:cstheme="minorHAnsi"/>
              </w:rPr>
            </w:pPr>
            <w:r>
              <w:rPr>
                <w:rFonts w:cstheme="minorHAnsi"/>
              </w:rPr>
              <w:t>1.247,79</w:t>
            </w:r>
          </w:p>
        </w:tc>
        <w:tc>
          <w:tcPr>
            <w:tcW w:w="1505" w:type="dxa"/>
            <w:vAlign w:val="bottom"/>
          </w:tcPr>
          <w:p w:rsidR="00DE291F" w:rsidRPr="00705D2B" w:rsidRDefault="00DE291F" w:rsidP="00DE0EBC">
            <w:pPr>
              <w:jc w:val="right"/>
              <w:rPr>
                <w:rFonts w:cstheme="minorHAnsi"/>
              </w:rPr>
            </w:pPr>
            <w:r w:rsidRPr="00705D2B">
              <w:rPr>
                <w:rFonts w:cstheme="minorHAnsi"/>
              </w:rPr>
              <w:t>1.257,30</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51923</w:t>
            </w:r>
          </w:p>
        </w:tc>
        <w:tc>
          <w:tcPr>
            <w:tcW w:w="4862" w:type="dxa"/>
          </w:tcPr>
          <w:p w:rsidR="00DE291F" w:rsidRPr="00705D2B" w:rsidRDefault="00DE291F" w:rsidP="00DE0EBC">
            <w:pPr>
              <w:rPr>
                <w:rFonts w:cstheme="minorHAnsi"/>
              </w:rPr>
            </w:pPr>
            <w:r w:rsidRPr="00705D2B">
              <w:rPr>
                <w:rFonts w:cstheme="minorHAnsi"/>
              </w:rPr>
              <w:t>Mandatorní výdaje tlumočné</w:t>
            </w:r>
          </w:p>
        </w:tc>
        <w:tc>
          <w:tcPr>
            <w:tcW w:w="1429" w:type="dxa"/>
          </w:tcPr>
          <w:p w:rsidR="00DE291F" w:rsidRPr="00705D2B" w:rsidRDefault="00840B1F" w:rsidP="00DE0EBC">
            <w:pPr>
              <w:jc w:val="right"/>
              <w:rPr>
                <w:rFonts w:cstheme="minorHAnsi"/>
              </w:rPr>
            </w:pPr>
            <w:r>
              <w:rPr>
                <w:rFonts w:cstheme="minorHAnsi"/>
              </w:rPr>
              <w:t>792,91</w:t>
            </w:r>
          </w:p>
        </w:tc>
        <w:tc>
          <w:tcPr>
            <w:tcW w:w="1505" w:type="dxa"/>
            <w:vAlign w:val="bottom"/>
          </w:tcPr>
          <w:p w:rsidR="00DE291F" w:rsidRPr="00705D2B" w:rsidRDefault="00DE291F" w:rsidP="00DE0EBC">
            <w:pPr>
              <w:jc w:val="right"/>
              <w:rPr>
                <w:rFonts w:cstheme="minorHAnsi"/>
              </w:rPr>
            </w:pPr>
            <w:r w:rsidRPr="00705D2B">
              <w:rPr>
                <w:rFonts w:cstheme="minorHAnsi"/>
              </w:rPr>
              <w:t>884,14</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51924</w:t>
            </w:r>
          </w:p>
        </w:tc>
        <w:tc>
          <w:tcPr>
            <w:tcW w:w="4862" w:type="dxa"/>
          </w:tcPr>
          <w:p w:rsidR="00DE291F" w:rsidRPr="00705D2B" w:rsidRDefault="00DE291F" w:rsidP="00DE0EBC">
            <w:pPr>
              <w:rPr>
                <w:rFonts w:cstheme="minorHAnsi"/>
              </w:rPr>
            </w:pPr>
            <w:r w:rsidRPr="00705D2B">
              <w:rPr>
                <w:rFonts w:cstheme="minorHAnsi"/>
              </w:rPr>
              <w:t>Mandatorní výdaje notáři</w:t>
            </w:r>
          </w:p>
        </w:tc>
        <w:tc>
          <w:tcPr>
            <w:tcW w:w="1429" w:type="dxa"/>
          </w:tcPr>
          <w:p w:rsidR="00DE291F" w:rsidRPr="00705D2B" w:rsidRDefault="00840B1F" w:rsidP="00DE0EBC">
            <w:pPr>
              <w:jc w:val="right"/>
              <w:rPr>
                <w:rFonts w:cstheme="minorHAnsi"/>
              </w:rPr>
            </w:pPr>
            <w:r>
              <w:rPr>
                <w:rFonts w:cstheme="minorHAnsi"/>
              </w:rPr>
              <w:t>610,62</w:t>
            </w:r>
          </w:p>
        </w:tc>
        <w:tc>
          <w:tcPr>
            <w:tcW w:w="1505" w:type="dxa"/>
            <w:vAlign w:val="bottom"/>
          </w:tcPr>
          <w:p w:rsidR="00DE291F" w:rsidRPr="00705D2B" w:rsidRDefault="00DE291F" w:rsidP="00DE0EBC">
            <w:pPr>
              <w:jc w:val="right"/>
              <w:rPr>
                <w:rFonts w:cstheme="minorHAnsi"/>
              </w:rPr>
            </w:pPr>
            <w:r w:rsidRPr="00705D2B">
              <w:rPr>
                <w:rFonts w:cstheme="minorHAnsi"/>
              </w:rPr>
              <w:t>787,14</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519280</w:t>
            </w:r>
          </w:p>
        </w:tc>
        <w:tc>
          <w:tcPr>
            <w:tcW w:w="4862" w:type="dxa"/>
          </w:tcPr>
          <w:p w:rsidR="00DE291F" w:rsidRPr="00705D2B" w:rsidRDefault="00DE291F" w:rsidP="00DE0EBC">
            <w:pPr>
              <w:rPr>
                <w:rFonts w:cstheme="minorHAnsi"/>
              </w:rPr>
            </w:pPr>
            <w:r w:rsidRPr="00705D2B">
              <w:rPr>
                <w:rFonts w:cstheme="minorHAnsi"/>
              </w:rPr>
              <w:t>Mandatorní výdaje exekutorům civil</w:t>
            </w:r>
          </w:p>
        </w:tc>
        <w:tc>
          <w:tcPr>
            <w:tcW w:w="1429" w:type="dxa"/>
          </w:tcPr>
          <w:p w:rsidR="00DE291F" w:rsidRPr="00705D2B" w:rsidRDefault="009D6B4E" w:rsidP="00DE0EBC">
            <w:pPr>
              <w:jc w:val="right"/>
              <w:rPr>
                <w:rFonts w:cstheme="minorHAnsi"/>
              </w:rPr>
            </w:pPr>
            <w:r>
              <w:rPr>
                <w:rFonts w:cstheme="minorHAnsi"/>
              </w:rPr>
              <w:t>47,83</w:t>
            </w:r>
          </w:p>
        </w:tc>
        <w:tc>
          <w:tcPr>
            <w:tcW w:w="1505" w:type="dxa"/>
            <w:vAlign w:val="bottom"/>
          </w:tcPr>
          <w:p w:rsidR="00DE291F" w:rsidRPr="00705D2B" w:rsidRDefault="00DE291F" w:rsidP="00DE0EBC">
            <w:pPr>
              <w:jc w:val="right"/>
              <w:rPr>
                <w:rFonts w:cstheme="minorHAnsi"/>
              </w:rPr>
            </w:pPr>
            <w:r w:rsidRPr="00705D2B">
              <w:rPr>
                <w:rFonts w:cstheme="minorHAnsi"/>
              </w:rPr>
              <w:t>0,00</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519290</w:t>
            </w:r>
          </w:p>
        </w:tc>
        <w:tc>
          <w:tcPr>
            <w:tcW w:w="4862" w:type="dxa"/>
          </w:tcPr>
          <w:p w:rsidR="00DE291F" w:rsidRPr="00705D2B" w:rsidRDefault="00DE291F" w:rsidP="00DE0EBC">
            <w:pPr>
              <w:rPr>
                <w:rFonts w:cstheme="minorHAnsi"/>
              </w:rPr>
            </w:pPr>
            <w:r w:rsidRPr="00705D2B">
              <w:rPr>
                <w:rFonts w:cstheme="minorHAnsi"/>
              </w:rPr>
              <w:t>Poskytnuté neinvestiční příspěvky a náhrady</w:t>
            </w:r>
          </w:p>
        </w:tc>
        <w:tc>
          <w:tcPr>
            <w:tcW w:w="1429" w:type="dxa"/>
          </w:tcPr>
          <w:p w:rsidR="00DE291F" w:rsidRPr="00705D2B" w:rsidRDefault="009D6B4E" w:rsidP="00DE0EBC">
            <w:pPr>
              <w:jc w:val="right"/>
              <w:rPr>
                <w:rFonts w:cstheme="minorHAnsi"/>
              </w:rPr>
            </w:pPr>
            <w:r>
              <w:rPr>
                <w:rFonts w:cstheme="minorHAnsi"/>
              </w:rPr>
              <w:t>949,61</w:t>
            </w:r>
          </w:p>
        </w:tc>
        <w:tc>
          <w:tcPr>
            <w:tcW w:w="1505" w:type="dxa"/>
            <w:vAlign w:val="bottom"/>
          </w:tcPr>
          <w:p w:rsidR="00DE291F" w:rsidRPr="00705D2B" w:rsidRDefault="00DE291F" w:rsidP="00DE0EBC">
            <w:pPr>
              <w:jc w:val="right"/>
              <w:rPr>
                <w:rFonts w:cstheme="minorHAnsi"/>
              </w:rPr>
            </w:pPr>
            <w:r w:rsidRPr="00705D2B">
              <w:rPr>
                <w:rFonts w:cstheme="minorHAnsi"/>
              </w:rPr>
              <w:t>906,45</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519291</w:t>
            </w:r>
          </w:p>
        </w:tc>
        <w:tc>
          <w:tcPr>
            <w:tcW w:w="4862" w:type="dxa"/>
          </w:tcPr>
          <w:p w:rsidR="00DE291F" w:rsidRPr="00705D2B" w:rsidRDefault="00DE291F" w:rsidP="00DE0EBC">
            <w:pPr>
              <w:rPr>
                <w:rFonts w:cstheme="minorHAnsi"/>
              </w:rPr>
            </w:pPr>
            <w:r w:rsidRPr="00705D2B">
              <w:rPr>
                <w:rFonts w:cstheme="minorHAnsi"/>
              </w:rPr>
              <w:t>Náhrady za pracovní úrazy</w:t>
            </w:r>
          </w:p>
        </w:tc>
        <w:tc>
          <w:tcPr>
            <w:tcW w:w="1429" w:type="dxa"/>
          </w:tcPr>
          <w:p w:rsidR="00DE291F" w:rsidRPr="00705D2B" w:rsidRDefault="009D6B4E" w:rsidP="00DE0EBC">
            <w:pPr>
              <w:jc w:val="right"/>
              <w:rPr>
                <w:rFonts w:cstheme="minorHAnsi"/>
              </w:rPr>
            </w:pPr>
            <w:r>
              <w:rPr>
                <w:rFonts w:cstheme="minorHAnsi"/>
              </w:rPr>
              <w:t>0,00</w:t>
            </w:r>
          </w:p>
        </w:tc>
        <w:tc>
          <w:tcPr>
            <w:tcW w:w="1505" w:type="dxa"/>
            <w:vAlign w:val="bottom"/>
          </w:tcPr>
          <w:p w:rsidR="00DE291F" w:rsidRPr="00705D2B" w:rsidRDefault="00DE291F" w:rsidP="00DE0EBC">
            <w:pPr>
              <w:jc w:val="right"/>
              <w:rPr>
                <w:rFonts w:cstheme="minorHAnsi"/>
              </w:rPr>
            </w:pPr>
            <w:r w:rsidRPr="00705D2B">
              <w:rPr>
                <w:rFonts w:cstheme="minorHAnsi"/>
              </w:rPr>
              <w:t>0,00</w:t>
            </w:r>
          </w:p>
        </w:tc>
      </w:tr>
      <w:tr w:rsidR="00DE291F" w:rsidRPr="00705D2B" w:rsidTr="00DE291F">
        <w:tc>
          <w:tcPr>
            <w:tcW w:w="1266" w:type="dxa"/>
          </w:tcPr>
          <w:p w:rsidR="00DE291F" w:rsidRPr="00705D2B" w:rsidRDefault="00DE291F" w:rsidP="00DE0EBC">
            <w:pPr>
              <w:jc w:val="both"/>
              <w:rPr>
                <w:rFonts w:cstheme="minorHAnsi"/>
              </w:rPr>
            </w:pPr>
            <w:r w:rsidRPr="00705D2B">
              <w:rPr>
                <w:rFonts w:cstheme="minorHAnsi"/>
              </w:rPr>
              <w:t>519292</w:t>
            </w:r>
          </w:p>
        </w:tc>
        <w:tc>
          <w:tcPr>
            <w:tcW w:w="4862" w:type="dxa"/>
          </w:tcPr>
          <w:p w:rsidR="00DE291F" w:rsidRPr="00705D2B" w:rsidRDefault="00DE291F" w:rsidP="00DE0EBC">
            <w:pPr>
              <w:jc w:val="both"/>
              <w:rPr>
                <w:rFonts w:cstheme="minorHAnsi"/>
              </w:rPr>
            </w:pPr>
            <w:r w:rsidRPr="00705D2B">
              <w:rPr>
                <w:rFonts w:cstheme="minorHAnsi"/>
              </w:rPr>
              <w:t>Svědci justiční část</w:t>
            </w:r>
          </w:p>
        </w:tc>
        <w:tc>
          <w:tcPr>
            <w:tcW w:w="1429" w:type="dxa"/>
          </w:tcPr>
          <w:p w:rsidR="00DE291F" w:rsidRPr="00705D2B" w:rsidRDefault="009D6B4E" w:rsidP="00DE0EBC">
            <w:pPr>
              <w:jc w:val="right"/>
              <w:rPr>
                <w:rFonts w:cstheme="minorHAnsi"/>
              </w:rPr>
            </w:pPr>
            <w:r>
              <w:rPr>
                <w:rFonts w:cstheme="minorHAnsi"/>
              </w:rPr>
              <w:t>154,06</w:t>
            </w:r>
          </w:p>
        </w:tc>
        <w:tc>
          <w:tcPr>
            <w:tcW w:w="1505" w:type="dxa"/>
            <w:vAlign w:val="bottom"/>
          </w:tcPr>
          <w:p w:rsidR="00DE291F" w:rsidRPr="00705D2B" w:rsidRDefault="00DE291F" w:rsidP="00DE0EBC">
            <w:pPr>
              <w:jc w:val="right"/>
              <w:rPr>
                <w:rFonts w:cstheme="minorHAnsi"/>
              </w:rPr>
            </w:pPr>
            <w:r w:rsidRPr="00705D2B">
              <w:rPr>
                <w:rFonts w:cstheme="minorHAnsi"/>
              </w:rPr>
              <w:t>100,68</w:t>
            </w:r>
          </w:p>
        </w:tc>
      </w:tr>
      <w:tr w:rsidR="00DE291F" w:rsidRPr="00705D2B" w:rsidTr="00DE291F">
        <w:tc>
          <w:tcPr>
            <w:tcW w:w="1266" w:type="dxa"/>
          </w:tcPr>
          <w:p w:rsidR="00DE291F" w:rsidRPr="00705D2B" w:rsidRDefault="00DE291F" w:rsidP="00DE0EBC">
            <w:pPr>
              <w:jc w:val="both"/>
              <w:rPr>
                <w:rFonts w:cstheme="minorHAnsi"/>
              </w:rPr>
            </w:pPr>
          </w:p>
        </w:tc>
        <w:tc>
          <w:tcPr>
            <w:tcW w:w="4862" w:type="dxa"/>
          </w:tcPr>
          <w:p w:rsidR="00DE291F" w:rsidRPr="00705D2B" w:rsidRDefault="00DE291F" w:rsidP="00DE0EBC">
            <w:pPr>
              <w:jc w:val="both"/>
              <w:rPr>
                <w:rFonts w:cstheme="minorHAnsi"/>
              </w:rPr>
            </w:pPr>
            <w:r w:rsidRPr="00705D2B">
              <w:rPr>
                <w:rFonts w:cstheme="minorHAnsi"/>
                <w:b/>
              </w:rPr>
              <w:t>Celkem</w:t>
            </w:r>
          </w:p>
        </w:tc>
        <w:tc>
          <w:tcPr>
            <w:tcW w:w="1429" w:type="dxa"/>
          </w:tcPr>
          <w:p w:rsidR="00DE291F" w:rsidRDefault="009D6B4E" w:rsidP="00DE0EBC">
            <w:pPr>
              <w:jc w:val="right"/>
              <w:rPr>
                <w:rFonts w:cstheme="minorHAnsi"/>
                <w:b/>
              </w:rPr>
            </w:pPr>
            <w:r>
              <w:rPr>
                <w:rFonts w:cstheme="minorHAnsi"/>
                <w:b/>
              </w:rPr>
              <w:t>8.686,24</w:t>
            </w:r>
          </w:p>
        </w:tc>
        <w:tc>
          <w:tcPr>
            <w:tcW w:w="1505" w:type="dxa"/>
            <w:vAlign w:val="bottom"/>
          </w:tcPr>
          <w:p w:rsidR="00DE291F" w:rsidRPr="00705D2B" w:rsidRDefault="00DE291F" w:rsidP="00DE0EBC">
            <w:pPr>
              <w:jc w:val="right"/>
              <w:rPr>
                <w:rFonts w:cstheme="minorHAnsi"/>
                <w:b/>
              </w:rPr>
            </w:pPr>
            <w:r>
              <w:rPr>
                <w:rFonts w:cstheme="minorHAnsi"/>
                <w:b/>
              </w:rPr>
              <w:t>8.367,73</w:t>
            </w:r>
          </w:p>
        </w:tc>
      </w:tr>
      <w:tr w:rsidR="00913372" w:rsidRPr="00705D2B" w:rsidTr="00DE291F">
        <w:tc>
          <w:tcPr>
            <w:tcW w:w="1266" w:type="dxa"/>
          </w:tcPr>
          <w:p w:rsidR="00913372" w:rsidRPr="00705D2B" w:rsidRDefault="00913372" w:rsidP="00DE0EBC">
            <w:pPr>
              <w:jc w:val="both"/>
              <w:rPr>
                <w:rFonts w:cstheme="minorHAnsi"/>
              </w:rPr>
            </w:pPr>
            <w:r>
              <w:rPr>
                <w:rFonts w:cstheme="minorHAnsi"/>
              </w:rPr>
              <w:t>51960</w:t>
            </w:r>
          </w:p>
        </w:tc>
        <w:tc>
          <w:tcPr>
            <w:tcW w:w="4862" w:type="dxa"/>
          </w:tcPr>
          <w:p w:rsidR="00913372" w:rsidRPr="00913372" w:rsidRDefault="00913372" w:rsidP="00DE0EBC">
            <w:pPr>
              <w:jc w:val="both"/>
              <w:rPr>
                <w:rFonts w:cstheme="minorHAnsi"/>
              </w:rPr>
            </w:pPr>
            <w:r w:rsidRPr="00913372">
              <w:rPr>
                <w:rFonts w:cstheme="minorHAnsi"/>
              </w:rPr>
              <w:t>Cestovn</w:t>
            </w:r>
            <w:r>
              <w:rPr>
                <w:rFonts w:cstheme="minorHAnsi"/>
              </w:rPr>
              <w:t>é tuzemské - soudci</w:t>
            </w:r>
          </w:p>
        </w:tc>
        <w:tc>
          <w:tcPr>
            <w:tcW w:w="1429" w:type="dxa"/>
          </w:tcPr>
          <w:p w:rsidR="00913372" w:rsidRPr="00913372" w:rsidRDefault="00913372" w:rsidP="00913372">
            <w:pPr>
              <w:jc w:val="right"/>
              <w:rPr>
                <w:rFonts w:cstheme="minorHAnsi"/>
              </w:rPr>
            </w:pPr>
            <w:r w:rsidRPr="00913372">
              <w:rPr>
                <w:rFonts w:cstheme="minorHAnsi"/>
              </w:rPr>
              <w:t>0,00</w:t>
            </w:r>
          </w:p>
        </w:tc>
        <w:tc>
          <w:tcPr>
            <w:tcW w:w="1505" w:type="dxa"/>
            <w:vAlign w:val="bottom"/>
          </w:tcPr>
          <w:p w:rsidR="00913372" w:rsidRPr="00913372" w:rsidRDefault="00913372" w:rsidP="00DE0EBC">
            <w:pPr>
              <w:jc w:val="right"/>
              <w:rPr>
                <w:rFonts w:cstheme="minorHAnsi"/>
              </w:rPr>
            </w:pPr>
            <w:r>
              <w:rPr>
                <w:rFonts w:cstheme="minorHAnsi"/>
              </w:rPr>
              <w:t>30,94</w:t>
            </w:r>
          </w:p>
        </w:tc>
      </w:tr>
      <w:tr w:rsidR="00913372" w:rsidRPr="00705D2B" w:rsidTr="00DE291F">
        <w:tc>
          <w:tcPr>
            <w:tcW w:w="1266" w:type="dxa"/>
          </w:tcPr>
          <w:p w:rsidR="00913372" w:rsidRPr="00705D2B" w:rsidRDefault="00913372" w:rsidP="00DE0EBC">
            <w:pPr>
              <w:jc w:val="both"/>
              <w:rPr>
                <w:rFonts w:cstheme="minorHAnsi"/>
              </w:rPr>
            </w:pPr>
            <w:r>
              <w:rPr>
                <w:rFonts w:cstheme="minorHAnsi"/>
              </w:rPr>
              <w:t>51961</w:t>
            </w:r>
          </w:p>
        </w:tc>
        <w:tc>
          <w:tcPr>
            <w:tcW w:w="4862" w:type="dxa"/>
          </w:tcPr>
          <w:p w:rsidR="00913372" w:rsidRPr="00913372" w:rsidRDefault="00913372" w:rsidP="00DE0EBC">
            <w:pPr>
              <w:jc w:val="both"/>
              <w:rPr>
                <w:rFonts w:cstheme="minorHAnsi"/>
              </w:rPr>
            </w:pPr>
            <w:r>
              <w:rPr>
                <w:rFonts w:cstheme="minorHAnsi"/>
              </w:rPr>
              <w:t>Cestovné zahraniční – soudci</w:t>
            </w:r>
          </w:p>
        </w:tc>
        <w:tc>
          <w:tcPr>
            <w:tcW w:w="1429" w:type="dxa"/>
          </w:tcPr>
          <w:p w:rsidR="00913372" w:rsidRPr="00913372" w:rsidRDefault="00913372" w:rsidP="00DE0EBC">
            <w:pPr>
              <w:jc w:val="right"/>
              <w:rPr>
                <w:rFonts w:cstheme="minorHAnsi"/>
              </w:rPr>
            </w:pPr>
            <w:r>
              <w:rPr>
                <w:rFonts w:cstheme="minorHAnsi"/>
              </w:rPr>
              <w:t>0,00</w:t>
            </w:r>
          </w:p>
        </w:tc>
        <w:tc>
          <w:tcPr>
            <w:tcW w:w="1505" w:type="dxa"/>
            <w:vAlign w:val="bottom"/>
          </w:tcPr>
          <w:p w:rsidR="00913372" w:rsidRPr="00913372" w:rsidRDefault="00913372" w:rsidP="00DE0EBC">
            <w:pPr>
              <w:jc w:val="right"/>
              <w:rPr>
                <w:rFonts w:cstheme="minorHAnsi"/>
              </w:rPr>
            </w:pPr>
            <w:r>
              <w:rPr>
                <w:rFonts w:cstheme="minorHAnsi"/>
              </w:rPr>
              <w:t>0,00</w:t>
            </w:r>
          </w:p>
        </w:tc>
      </w:tr>
      <w:tr w:rsidR="00913372" w:rsidRPr="00705D2B" w:rsidTr="00DE291F">
        <w:tc>
          <w:tcPr>
            <w:tcW w:w="1266" w:type="dxa"/>
          </w:tcPr>
          <w:p w:rsidR="00913372" w:rsidRPr="00705D2B" w:rsidRDefault="00913372" w:rsidP="00DE0EBC">
            <w:pPr>
              <w:jc w:val="both"/>
              <w:rPr>
                <w:rFonts w:cstheme="minorHAnsi"/>
              </w:rPr>
            </w:pPr>
            <w:r>
              <w:rPr>
                <w:rFonts w:cstheme="minorHAnsi"/>
              </w:rPr>
              <w:t>51962</w:t>
            </w:r>
          </w:p>
        </w:tc>
        <w:tc>
          <w:tcPr>
            <w:tcW w:w="4862" w:type="dxa"/>
          </w:tcPr>
          <w:p w:rsidR="00913372" w:rsidRPr="00913372" w:rsidRDefault="00913372" w:rsidP="00DE0EBC">
            <w:pPr>
              <w:jc w:val="both"/>
              <w:rPr>
                <w:rFonts w:cstheme="minorHAnsi"/>
              </w:rPr>
            </w:pPr>
            <w:r>
              <w:rPr>
                <w:rFonts w:cstheme="minorHAnsi"/>
              </w:rPr>
              <w:t>Paušální náhrady soucům</w:t>
            </w:r>
          </w:p>
        </w:tc>
        <w:tc>
          <w:tcPr>
            <w:tcW w:w="1429" w:type="dxa"/>
          </w:tcPr>
          <w:p w:rsidR="00913372" w:rsidRPr="00913372" w:rsidRDefault="00913372" w:rsidP="00DE0EBC">
            <w:pPr>
              <w:jc w:val="right"/>
              <w:rPr>
                <w:rFonts w:cstheme="minorHAnsi"/>
              </w:rPr>
            </w:pPr>
            <w:r>
              <w:rPr>
                <w:rFonts w:cstheme="minorHAnsi"/>
              </w:rPr>
              <w:t>1.078,31</w:t>
            </w:r>
          </w:p>
        </w:tc>
        <w:tc>
          <w:tcPr>
            <w:tcW w:w="1505" w:type="dxa"/>
            <w:vAlign w:val="bottom"/>
          </w:tcPr>
          <w:p w:rsidR="00913372" w:rsidRPr="00913372" w:rsidRDefault="00913372" w:rsidP="00DE0EBC">
            <w:pPr>
              <w:jc w:val="right"/>
              <w:rPr>
                <w:rFonts w:cstheme="minorHAnsi"/>
              </w:rPr>
            </w:pPr>
            <w:r>
              <w:rPr>
                <w:rFonts w:cstheme="minorHAnsi"/>
              </w:rPr>
              <w:t>1.068,93</w:t>
            </w:r>
          </w:p>
        </w:tc>
      </w:tr>
      <w:tr w:rsidR="00913372" w:rsidRPr="00705D2B" w:rsidTr="00DE291F">
        <w:tc>
          <w:tcPr>
            <w:tcW w:w="1266" w:type="dxa"/>
          </w:tcPr>
          <w:p w:rsidR="00913372" w:rsidRPr="00705D2B" w:rsidRDefault="00913372" w:rsidP="00DE0EBC">
            <w:pPr>
              <w:jc w:val="both"/>
              <w:rPr>
                <w:rFonts w:cstheme="minorHAnsi"/>
              </w:rPr>
            </w:pPr>
          </w:p>
        </w:tc>
        <w:tc>
          <w:tcPr>
            <w:tcW w:w="4862" w:type="dxa"/>
          </w:tcPr>
          <w:p w:rsidR="00913372" w:rsidRPr="00705D2B" w:rsidRDefault="00913372" w:rsidP="00DE0EBC">
            <w:pPr>
              <w:jc w:val="both"/>
              <w:rPr>
                <w:rFonts w:cstheme="minorHAnsi"/>
                <w:b/>
              </w:rPr>
            </w:pPr>
            <w:r>
              <w:rPr>
                <w:rFonts w:cstheme="minorHAnsi"/>
                <w:b/>
              </w:rPr>
              <w:t>Celkem</w:t>
            </w:r>
          </w:p>
        </w:tc>
        <w:tc>
          <w:tcPr>
            <w:tcW w:w="1429" w:type="dxa"/>
          </w:tcPr>
          <w:p w:rsidR="00913372" w:rsidRPr="00971AEB" w:rsidRDefault="00971AEB" w:rsidP="00DE0EBC">
            <w:pPr>
              <w:jc w:val="right"/>
              <w:rPr>
                <w:rFonts w:cstheme="minorHAnsi"/>
                <w:b/>
              </w:rPr>
            </w:pPr>
            <w:r w:rsidRPr="00971AEB">
              <w:rPr>
                <w:rFonts w:cstheme="minorHAnsi"/>
                <w:b/>
              </w:rPr>
              <w:t>1.078,31</w:t>
            </w:r>
          </w:p>
        </w:tc>
        <w:tc>
          <w:tcPr>
            <w:tcW w:w="1505" w:type="dxa"/>
            <w:vAlign w:val="bottom"/>
          </w:tcPr>
          <w:p w:rsidR="00913372" w:rsidRPr="00971AEB" w:rsidRDefault="00971AEB" w:rsidP="00DE0EBC">
            <w:pPr>
              <w:jc w:val="right"/>
              <w:rPr>
                <w:rFonts w:cstheme="minorHAnsi"/>
                <w:b/>
              </w:rPr>
            </w:pPr>
            <w:r w:rsidRPr="00971AEB">
              <w:rPr>
                <w:rFonts w:cstheme="minorHAnsi"/>
                <w:b/>
              </w:rPr>
              <w:t>1.099,87</w:t>
            </w:r>
          </w:p>
        </w:tc>
      </w:tr>
    </w:tbl>
    <w:p w:rsidR="00B37C22" w:rsidRPr="00DE0EBC" w:rsidRDefault="00370A44" w:rsidP="00B37C22">
      <w:pPr>
        <w:spacing w:before="120" w:after="120"/>
        <w:ind w:left="360"/>
        <w:jc w:val="both"/>
      </w:pPr>
      <w:r w:rsidRPr="00DE0EBC">
        <w:t>Ostatní čerpání v tomto podseskupení bylo v roce 2022 8.367.739,06, což je o 318.499,53 Kč méně než v roce 2021. Toto snížení je zejména dle RZ Mandatorní výdaje advokátům trest. Toto je ovlivněno zejména odchodem 1 soudce na stáž ke Krajskému soudu v Plzni v</w:t>
      </w:r>
      <w:r w:rsidR="00DE0EBC" w:rsidRPr="00DE0EBC">
        <w:t xml:space="preserve"> září 2022 (stáž stále trvá) a má to vliv také na snížení na RZ Svědci  justiční část.  Dle RZ Mandatorní výdaje tlumočné je čerpání vyšší, což je způsobeno změnou vyhlášky, kdy si tlumočníci účtují i vedlejší výdaje. Vyšší čerpání je vidět také na RZ Mandatorní výdaje notáři, kde se projevuje zastavování dědických věcí z období covidové pandemie, kdy v 1. pololetí roku 2021 byla v našem okrese vysoká úmrtnost. </w:t>
      </w:r>
    </w:p>
    <w:p w:rsidR="00B37C22" w:rsidRPr="00B37C22" w:rsidRDefault="00B37C22" w:rsidP="00B37C22">
      <w:pPr>
        <w:spacing w:before="120" w:after="120"/>
        <w:jc w:val="both"/>
        <w:rPr>
          <w:color w:val="FF0000"/>
        </w:rPr>
      </w:pPr>
    </w:p>
    <w:p w:rsidR="00663E30" w:rsidRPr="00FF00AB" w:rsidRDefault="00663E30" w:rsidP="00663E30">
      <w:pPr>
        <w:pStyle w:val="Odstavecseseznamem"/>
        <w:numPr>
          <w:ilvl w:val="0"/>
          <w:numId w:val="21"/>
        </w:numPr>
        <w:rPr>
          <w:b/>
          <w:bCs/>
        </w:rPr>
      </w:pPr>
      <w:r w:rsidRPr="00FF00AB">
        <w:rPr>
          <w:b/>
          <w:bCs/>
        </w:rPr>
        <w:lastRenderedPageBreak/>
        <w:t>Ostatní rozlišovací znaky</w:t>
      </w:r>
    </w:p>
    <w:tbl>
      <w:tblPr>
        <w:tblStyle w:val="Mkatabulky"/>
        <w:tblW w:w="9209" w:type="dxa"/>
        <w:tblLook w:val="04A0" w:firstRow="1" w:lastRow="0" w:firstColumn="1" w:lastColumn="0" w:noHBand="0" w:noVBand="1"/>
      </w:tblPr>
      <w:tblGrid>
        <w:gridCol w:w="1266"/>
        <w:gridCol w:w="4966"/>
        <w:gridCol w:w="1418"/>
        <w:gridCol w:w="1559"/>
      </w:tblGrid>
      <w:tr w:rsidR="00663E30" w:rsidRPr="00705D2B" w:rsidTr="00FE554C">
        <w:tc>
          <w:tcPr>
            <w:tcW w:w="1266" w:type="dxa"/>
            <w:vAlign w:val="center"/>
          </w:tcPr>
          <w:p w:rsidR="00663E30" w:rsidRPr="00705D2B" w:rsidRDefault="00663E30" w:rsidP="00FE554C">
            <w:pPr>
              <w:jc w:val="center"/>
              <w:rPr>
                <w:rFonts w:cstheme="minorHAnsi"/>
                <w:b/>
              </w:rPr>
            </w:pPr>
            <w:r w:rsidRPr="00705D2B">
              <w:rPr>
                <w:rFonts w:cstheme="minorHAnsi"/>
                <w:b/>
              </w:rPr>
              <w:t>Rozlišovací znak</w:t>
            </w:r>
          </w:p>
        </w:tc>
        <w:tc>
          <w:tcPr>
            <w:tcW w:w="4966" w:type="dxa"/>
            <w:vAlign w:val="center"/>
          </w:tcPr>
          <w:p w:rsidR="00663E30" w:rsidRPr="00705D2B" w:rsidRDefault="00663E30" w:rsidP="00FE554C">
            <w:pPr>
              <w:jc w:val="center"/>
              <w:rPr>
                <w:rFonts w:cstheme="minorHAnsi"/>
                <w:b/>
              </w:rPr>
            </w:pPr>
            <w:r w:rsidRPr="00705D2B">
              <w:rPr>
                <w:rFonts w:cstheme="minorHAnsi"/>
                <w:b/>
              </w:rPr>
              <w:t>Název</w:t>
            </w:r>
          </w:p>
        </w:tc>
        <w:tc>
          <w:tcPr>
            <w:tcW w:w="1418" w:type="dxa"/>
          </w:tcPr>
          <w:p w:rsidR="00663E30" w:rsidRPr="00705D2B" w:rsidRDefault="00663E30" w:rsidP="00FE554C">
            <w:pPr>
              <w:jc w:val="center"/>
              <w:rPr>
                <w:rFonts w:cstheme="minorHAnsi"/>
                <w:b/>
              </w:rPr>
            </w:pPr>
            <w:r>
              <w:rPr>
                <w:rFonts w:cstheme="minorHAnsi"/>
                <w:b/>
              </w:rPr>
              <w:t>Čerpání 2021</w:t>
            </w:r>
          </w:p>
          <w:p w:rsidR="00663E30" w:rsidRPr="00705D2B" w:rsidRDefault="00663E30" w:rsidP="00FE554C">
            <w:pPr>
              <w:jc w:val="center"/>
              <w:rPr>
                <w:rFonts w:cstheme="minorHAnsi"/>
                <w:b/>
              </w:rPr>
            </w:pPr>
            <w:r w:rsidRPr="00705D2B">
              <w:rPr>
                <w:rFonts w:cstheme="minorHAnsi"/>
                <w:b/>
              </w:rPr>
              <w:t>v tis. Kč</w:t>
            </w:r>
          </w:p>
        </w:tc>
        <w:tc>
          <w:tcPr>
            <w:tcW w:w="1559" w:type="dxa"/>
            <w:vAlign w:val="center"/>
          </w:tcPr>
          <w:p w:rsidR="00663E30" w:rsidRPr="00705D2B" w:rsidRDefault="00663E30" w:rsidP="00FE554C">
            <w:pPr>
              <w:jc w:val="center"/>
              <w:rPr>
                <w:rFonts w:cstheme="minorHAnsi"/>
                <w:b/>
              </w:rPr>
            </w:pPr>
            <w:r w:rsidRPr="00705D2B">
              <w:rPr>
                <w:rFonts w:cstheme="minorHAnsi"/>
                <w:b/>
              </w:rPr>
              <w:t>Čerpání 2022</w:t>
            </w:r>
          </w:p>
          <w:p w:rsidR="00663E30" w:rsidRPr="00705D2B" w:rsidRDefault="00663E30" w:rsidP="00FE554C">
            <w:pPr>
              <w:jc w:val="center"/>
              <w:rPr>
                <w:rFonts w:cstheme="minorHAnsi"/>
                <w:b/>
              </w:rPr>
            </w:pPr>
            <w:r w:rsidRPr="00705D2B">
              <w:rPr>
                <w:rFonts w:cstheme="minorHAnsi"/>
                <w:b/>
              </w:rPr>
              <w:t>v tis. Kč</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C19</w:t>
            </w:r>
          </w:p>
        </w:tc>
        <w:tc>
          <w:tcPr>
            <w:tcW w:w="4966" w:type="dxa"/>
          </w:tcPr>
          <w:p w:rsidR="00663E30" w:rsidRPr="00705D2B" w:rsidRDefault="00663E30" w:rsidP="00FE554C">
            <w:pPr>
              <w:rPr>
                <w:rFonts w:cstheme="minorHAnsi"/>
              </w:rPr>
            </w:pPr>
            <w:r>
              <w:rPr>
                <w:rFonts w:cstheme="minorHAnsi"/>
              </w:rPr>
              <w:t>COVID 19 – ochranné prostředky</w:t>
            </w:r>
          </w:p>
        </w:tc>
        <w:tc>
          <w:tcPr>
            <w:tcW w:w="1418" w:type="dxa"/>
          </w:tcPr>
          <w:p w:rsidR="00663E30" w:rsidRPr="00705D2B" w:rsidRDefault="00663E30" w:rsidP="00FE554C">
            <w:pPr>
              <w:jc w:val="right"/>
              <w:rPr>
                <w:rFonts w:cstheme="minorHAnsi"/>
              </w:rPr>
            </w:pPr>
            <w:r>
              <w:rPr>
                <w:rFonts w:cstheme="minorHAnsi"/>
              </w:rPr>
              <w:t>148,72</w:t>
            </w:r>
          </w:p>
        </w:tc>
        <w:tc>
          <w:tcPr>
            <w:tcW w:w="1559" w:type="dxa"/>
            <w:vAlign w:val="bottom"/>
          </w:tcPr>
          <w:p w:rsidR="00663E30" w:rsidRPr="00705D2B" w:rsidRDefault="00913372"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50290</w:t>
            </w:r>
          </w:p>
        </w:tc>
        <w:tc>
          <w:tcPr>
            <w:tcW w:w="4966" w:type="dxa"/>
          </w:tcPr>
          <w:p w:rsidR="00663E30" w:rsidRPr="00705D2B" w:rsidRDefault="00663E30" w:rsidP="00FE554C">
            <w:pPr>
              <w:rPr>
                <w:rFonts w:cstheme="minorHAnsi"/>
              </w:rPr>
            </w:pPr>
            <w:r>
              <w:rPr>
                <w:rFonts w:cstheme="minorHAnsi"/>
              </w:rPr>
              <w:t>Náhrada ušlého výdělku přísedícím</w:t>
            </w:r>
          </w:p>
        </w:tc>
        <w:tc>
          <w:tcPr>
            <w:tcW w:w="1418" w:type="dxa"/>
          </w:tcPr>
          <w:p w:rsidR="00663E30" w:rsidRPr="00705D2B" w:rsidRDefault="00A96D3E" w:rsidP="00FE554C">
            <w:pPr>
              <w:jc w:val="right"/>
              <w:rPr>
                <w:rFonts w:cstheme="minorHAnsi"/>
              </w:rPr>
            </w:pPr>
            <w:r>
              <w:rPr>
                <w:rFonts w:cstheme="minorHAnsi"/>
              </w:rPr>
              <w:t>27,71</w:t>
            </w:r>
          </w:p>
        </w:tc>
        <w:tc>
          <w:tcPr>
            <w:tcW w:w="1559" w:type="dxa"/>
            <w:vAlign w:val="bottom"/>
          </w:tcPr>
          <w:p w:rsidR="00663E30" w:rsidRPr="00705D2B" w:rsidRDefault="00913372" w:rsidP="00FE554C">
            <w:pPr>
              <w:jc w:val="right"/>
              <w:rPr>
                <w:rFonts w:cstheme="minorHAnsi"/>
              </w:rPr>
            </w:pPr>
            <w:r>
              <w:rPr>
                <w:rFonts w:cstheme="minorHAnsi"/>
              </w:rPr>
              <w:t>43,10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502091</w:t>
            </w:r>
          </w:p>
        </w:tc>
        <w:tc>
          <w:tcPr>
            <w:tcW w:w="4966" w:type="dxa"/>
          </w:tcPr>
          <w:p w:rsidR="00663E30" w:rsidRPr="00705D2B" w:rsidRDefault="00663E30" w:rsidP="00FE554C">
            <w:pPr>
              <w:rPr>
                <w:rFonts w:cstheme="minorHAnsi"/>
              </w:rPr>
            </w:pPr>
            <w:r>
              <w:rPr>
                <w:rFonts w:cstheme="minorHAnsi"/>
              </w:rPr>
              <w:t>Paušální náhrada přísedícím</w:t>
            </w:r>
          </w:p>
        </w:tc>
        <w:tc>
          <w:tcPr>
            <w:tcW w:w="1418" w:type="dxa"/>
          </w:tcPr>
          <w:p w:rsidR="00663E30" w:rsidRPr="00705D2B" w:rsidRDefault="00A96D3E" w:rsidP="00FE554C">
            <w:pPr>
              <w:jc w:val="right"/>
              <w:rPr>
                <w:rFonts w:cstheme="minorHAnsi"/>
              </w:rPr>
            </w:pPr>
            <w:r>
              <w:rPr>
                <w:rFonts w:cstheme="minorHAnsi"/>
              </w:rPr>
              <w:t>78,21</w:t>
            </w:r>
          </w:p>
        </w:tc>
        <w:tc>
          <w:tcPr>
            <w:tcW w:w="1559" w:type="dxa"/>
            <w:vAlign w:val="bottom"/>
          </w:tcPr>
          <w:p w:rsidR="00663E30" w:rsidRPr="00705D2B" w:rsidRDefault="00913372" w:rsidP="00FE554C">
            <w:pPr>
              <w:jc w:val="right"/>
              <w:rPr>
                <w:rFonts w:cstheme="minorHAnsi"/>
              </w:rPr>
            </w:pPr>
            <w:r>
              <w:rPr>
                <w:rFonts w:cstheme="minorHAnsi"/>
              </w:rPr>
              <w:t>67,95</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513701</w:t>
            </w:r>
          </w:p>
        </w:tc>
        <w:tc>
          <w:tcPr>
            <w:tcW w:w="4966" w:type="dxa"/>
          </w:tcPr>
          <w:p w:rsidR="00663E30" w:rsidRPr="00705D2B" w:rsidRDefault="00663E30" w:rsidP="00FE554C">
            <w:pPr>
              <w:rPr>
                <w:rFonts w:cstheme="minorHAnsi"/>
              </w:rPr>
            </w:pPr>
            <w:r>
              <w:rPr>
                <w:rFonts w:cstheme="minorHAnsi"/>
              </w:rPr>
              <w:t>Počítače</w:t>
            </w:r>
          </w:p>
        </w:tc>
        <w:tc>
          <w:tcPr>
            <w:tcW w:w="1418" w:type="dxa"/>
          </w:tcPr>
          <w:p w:rsidR="00663E30" w:rsidRPr="00705D2B" w:rsidRDefault="00A96D3E" w:rsidP="00FE554C">
            <w:pPr>
              <w:jc w:val="right"/>
              <w:rPr>
                <w:rFonts w:cstheme="minorHAnsi"/>
              </w:rPr>
            </w:pPr>
            <w:r>
              <w:rPr>
                <w:rFonts w:cstheme="minorHAnsi"/>
              </w:rPr>
              <w:t>0,00</w:t>
            </w:r>
          </w:p>
        </w:tc>
        <w:tc>
          <w:tcPr>
            <w:tcW w:w="1559" w:type="dxa"/>
            <w:vAlign w:val="bottom"/>
          </w:tcPr>
          <w:p w:rsidR="00663E30" w:rsidRPr="00705D2B" w:rsidRDefault="00913372" w:rsidP="00FE554C">
            <w:pPr>
              <w:jc w:val="right"/>
              <w:rPr>
                <w:rFonts w:cstheme="minorHAnsi"/>
              </w:rPr>
            </w:pPr>
            <w:r>
              <w:rPr>
                <w:rFonts w:cstheme="minorHAnsi"/>
              </w:rPr>
              <w:t>395,52</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513702</w:t>
            </w:r>
          </w:p>
        </w:tc>
        <w:tc>
          <w:tcPr>
            <w:tcW w:w="4966" w:type="dxa"/>
          </w:tcPr>
          <w:p w:rsidR="00663E30" w:rsidRPr="00705D2B" w:rsidRDefault="00663E30" w:rsidP="00FE554C">
            <w:pPr>
              <w:rPr>
                <w:rFonts w:cstheme="minorHAnsi"/>
              </w:rPr>
            </w:pPr>
            <w:r>
              <w:rPr>
                <w:rFonts w:cstheme="minorHAnsi"/>
              </w:rPr>
              <w:t>Notebooky</w:t>
            </w:r>
          </w:p>
        </w:tc>
        <w:tc>
          <w:tcPr>
            <w:tcW w:w="1418" w:type="dxa"/>
          </w:tcPr>
          <w:p w:rsidR="00663E30" w:rsidRPr="00705D2B" w:rsidRDefault="00A96D3E" w:rsidP="00FE554C">
            <w:pPr>
              <w:jc w:val="right"/>
              <w:rPr>
                <w:rFonts w:cstheme="minorHAnsi"/>
              </w:rPr>
            </w:pPr>
            <w:r>
              <w:rPr>
                <w:rFonts w:cstheme="minorHAnsi"/>
              </w:rPr>
              <w:t>43,88</w:t>
            </w:r>
          </w:p>
        </w:tc>
        <w:tc>
          <w:tcPr>
            <w:tcW w:w="1559" w:type="dxa"/>
            <w:vAlign w:val="bottom"/>
          </w:tcPr>
          <w:p w:rsidR="00663E30" w:rsidRPr="00705D2B" w:rsidRDefault="00913372"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 xml:space="preserve">513703 </w:t>
            </w:r>
          </w:p>
        </w:tc>
        <w:tc>
          <w:tcPr>
            <w:tcW w:w="4966" w:type="dxa"/>
          </w:tcPr>
          <w:p w:rsidR="00663E30" w:rsidRPr="00705D2B" w:rsidRDefault="00663E30" w:rsidP="00FE554C">
            <w:pPr>
              <w:rPr>
                <w:rFonts w:cstheme="minorHAnsi"/>
              </w:rPr>
            </w:pPr>
            <w:r>
              <w:rPr>
                <w:rFonts w:cstheme="minorHAnsi"/>
              </w:rPr>
              <w:t>Tiskárny</w:t>
            </w:r>
          </w:p>
        </w:tc>
        <w:tc>
          <w:tcPr>
            <w:tcW w:w="1418" w:type="dxa"/>
          </w:tcPr>
          <w:p w:rsidR="00663E30" w:rsidRPr="00705D2B" w:rsidRDefault="00A96D3E" w:rsidP="00FE554C">
            <w:pPr>
              <w:jc w:val="right"/>
              <w:rPr>
                <w:rFonts w:cstheme="minorHAnsi"/>
              </w:rPr>
            </w:pPr>
            <w:r>
              <w:rPr>
                <w:rFonts w:cstheme="minorHAnsi"/>
              </w:rPr>
              <w:t>0,00</w:t>
            </w:r>
          </w:p>
        </w:tc>
        <w:tc>
          <w:tcPr>
            <w:tcW w:w="1559" w:type="dxa"/>
            <w:vAlign w:val="bottom"/>
          </w:tcPr>
          <w:p w:rsidR="00663E30" w:rsidRPr="00705D2B" w:rsidRDefault="00913372" w:rsidP="00FE554C">
            <w:pPr>
              <w:jc w:val="right"/>
              <w:rPr>
                <w:rFonts w:cstheme="minorHAnsi"/>
              </w:rPr>
            </w:pPr>
            <w:r>
              <w:rPr>
                <w:rFonts w:cstheme="minorHAnsi"/>
              </w:rPr>
              <w:t>31,60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513704</w:t>
            </w:r>
          </w:p>
        </w:tc>
        <w:tc>
          <w:tcPr>
            <w:tcW w:w="4966" w:type="dxa"/>
          </w:tcPr>
          <w:p w:rsidR="00663E30" w:rsidRPr="00705D2B" w:rsidRDefault="00663E30" w:rsidP="00FE554C">
            <w:pPr>
              <w:rPr>
                <w:rFonts w:cstheme="minorHAnsi"/>
              </w:rPr>
            </w:pPr>
            <w:r>
              <w:rPr>
                <w:rFonts w:cstheme="minorHAnsi"/>
              </w:rPr>
              <w:t>Nákup mobilních telefonů nebo jiných tel. přístrojů</w:t>
            </w:r>
          </w:p>
        </w:tc>
        <w:tc>
          <w:tcPr>
            <w:tcW w:w="1418" w:type="dxa"/>
          </w:tcPr>
          <w:p w:rsidR="00663E30" w:rsidRPr="00705D2B" w:rsidRDefault="00A96D3E" w:rsidP="00FE554C">
            <w:pPr>
              <w:jc w:val="right"/>
              <w:rPr>
                <w:rFonts w:cstheme="minorHAnsi"/>
              </w:rPr>
            </w:pPr>
            <w:r>
              <w:rPr>
                <w:rFonts w:cstheme="minorHAnsi"/>
              </w:rPr>
              <w:t>11,89</w:t>
            </w:r>
          </w:p>
        </w:tc>
        <w:tc>
          <w:tcPr>
            <w:tcW w:w="1559" w:type="dxa"/>
            <w:vAlign w:val="bottom"/>
          </w:tcPr>
          <w:p w:rsidR="00663E30" w:rsidRPr="00705D2B" w:rsidRDefault="001C7CDA" w:rsidP="001C7CDA">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513901</w:t>
            </w:r>
          </w:p>
        </w:tc>
        <w:tc>
          <w:tcPr>
            <w:tcW w:w="4966" w:type="dxa"/>
          </w:tcPr>
          <w:p w:rsidR="00663E30" w:rsidRPr="00705D2B" w:rsidRDefault="00663E30" w:rsidP="00FE554C">
            <w:pPr>
              <w:rPr>
                <w:rFonts w:cstheme="minorHAnsi"/>
              </w:rPr>
            </w:pPr>
            <w:r>
              <w:rPr>
                <w:rFonts w:cstheme="minorHAnsi"/>
              </w:rPr>
              <w:t>Tonery a jiný spotřební materiál do tiskáren</w:t>
            </w:r>
          </w:p>
        </w:tc>
        <w:tc>
          <w:tcPr>
            <w:tcW w:w="1418" w:type="dxa"/>
          </w:tcPr>
          <w:p w:rsidR="00663E30" w:rsidRPr="00705D2B" w:rsidRDefault="00A96D3E" w:rsidP="00FE554C">
            <w:pPr>
              <w:jc w:val="right"/>
              <w:rPr>
                <w:rFonts w:cstheme="minorHAnsi"/>
              </w:rPr>
            </w:pPr>
            <w:r>
              <w:rPr>
                <w:rFonts w:cstheme="minorHAnsi"/>
              </w:rPr>
              <w:t>104,89</w:t>
            </w:r>
          </w:p>
        </w:tc>
        <w:tc>
          <w:tcPr>
            <w:tcW w:w="1559" w:type="dxa"/>
            <w:vAlign w:val="bottom"/>
          </w:tcPr>
          <w:p w:rsidR="00663E30" w:rsidRPr="00705D2B" w:rsidRDefault="00913372" w:rsidP="00FE554C">
            <w:pPr>
              <w:jc w:val="right"/>
              <w:rPr>
                <w:rFonts w:cstheme="minorHAnsi"/>
              </w:rPr>
            </w:pPr>
            <w:r>
              <w:rPr>
                <w:rFonts w:cstheme="minorHAnsi"/>
              </w:rPr>
              <w:t>43,89</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51395</w:t>
            </w:r>
          </w:p>
        </w:tc>
        <w:tc>
          <w:tcPr>
            <w:tcW w:w="4966" w:type="dxa"/>
          </w:tcPr>
          <w:p w:rsidR="00663E30" w:rsidRPr="00705D2B" w:rsidRDefault="00663E30" w:rsidP="00FE554C">
            <w:pPr>
              <w:jc w:val="both"/>
              <w:rPr>
                <w:rFonts w:cstheme="minorHAnsi"/>
              </w:rPr>
            </w:pPr>
            <w:r>
              <w:rPr>
                <w:rFonts w:cstheme="minorHAnsi"/>
              </w:rPr>
              <w:t>Obálky</w:t>
            </w:r>
          </w:p>
        </w:tc>
        <w:tc>
          <w:tcPr>
            <w:tcW w:w="1418" w:type="dxa"/>
          </w:tcPr>
          <w:p w:rsidR="00663E30" w:rsidRPr="00705D2B" w:rsidRDefault="00A96D3E" w:rsidP="00FE554C">
            <w:pPr>
              <w:jc w:val="right"/>
              <w:rPr>
                <w:rFonts w:cstheme="minorHAnsi"/>
              </w:rPr>
            </w:pPr>
            <w:r>
              <w:rPr>
                <w:rFonts w:cstheme="minorHAnsi"/>
              </w:rPr>
              <w:t>1,41</w:t>
            </w:r>
          </w:p>
        </w:tc>
        <w:tc>
          <w:tcPr>
            <w:tcW w:w="1559" w:type="dxa"/>
            <w:vAlign w:val="bottom"/>
          </w:tcPr>
          <w:p w:rsidR="00663E30" w:rsidRPr="00705D2B" w:rsidRDefault="00971AEB" w:rsidP="00FE554C">
            <w:pPr>
              <w:jc w:val="right"/>
              <w:rPr>
                <w:rFonts w:cstheme="minorHAnsi"/>
              </w:rPr>
            </w:pPr>
            <w:r>
              <w:rPr>
                <w:rFonts w:cstheme="minorHAnsi"/>
              </w:rPr>
              <w:t>107,81</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516201</w:t>
            </w:r>
          </w:p>
        </w:tc>
        <w:tc>
          <w:tcPr>
            <w:tcW w:w="4966" w:type="dxa"/>
          </w:tcPr>
          <w:p w:rsidR="00663E30" w:rsidRPr="00D73D1D" w:rsidRDefault="00663E30" w:rsidP="00FE554C">
            <w:pPr>
              <w:jc w:val="both"/>
              <w:rPr>
                <w:rFonts w:cstheme="minorHAnsi"/>
              </w:rPr>
            </w:pPr>
            <w:r>
              <w:rPr>
                <w:rFonts w:cstheme="minorHAnsi"/>
              </w:rPr>
              <w:t>Platby za pevné linky</w:t>
            </w:r>
          </w:p>
        </w:tc>
        <w:tc>
          <w:tcPr>
            <w:tcW w:w="1418" w:type="dxa"/>
          </w:tcPr>
          <w:p w:rsidR="00663E30" w:rsidRPr="00D73D1D" w:rsidRDefault="00A96D3E" w:rsidP="00FE554C">
            <w:pPr>
              <w:jc w:val="right"/>
              <w:rPr>
                <w:rFonts w:cstheme="minorHAnsi"/>
              </w:rPr>
            </w:pPr>
            <w:r>
              <w:rPr>
                <w:rFonts w:cstheme="minorHAnsi"/>
              </w:rPr>
              <w:t>8,69</w:t>
            </w:r>
            <w:r w:rsidR="00663E30">
              <w:rPr>
                <w:rFonts w:cstheme="minorHAnsi"/>
              </w:rPr>
              <w:t xml:space="preserve"> </w:t>
            </w:r>
          </w:p>
        </w:tc>
        <w:tc>
          <w:tcPr>
            <w:tcW w:w="1559" w:type="dxa"/>
            <w:vAlign w:val="bottom"/>
          </w:tcPr>
          <w:p w:rsidR="00663E30" w:rsidRPr="00D73D1D" w:rsidRDefault="00971AEB" w:rsidP="00FE554C">
            <w:pPr>
              <w:jc w:val="right"/>
              <w:rPr>
                <w:rFonts w:cstheme="minorHAnsi"/>
              </w:rPr>
            </w:pPr>
            <w:r>
              <w:rPr>
                <w:rFonts w:cstheme="minorHAnsi"/>
              </w:rPr>
              <w:t>8,67</w:t>
            </w:r>
            <w:r w:rsidR="00663E30">
              <w:rPr>
                <w:rFonts w:cstheme="minorHAnsi"/>
              </w:rPr>
              <w:t xml:space="preserve"> </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516202</w:t>
            </w:r>
          </w:p>
        </w:tc>
        <w:tc>
          <w:tcPr>
            <w:tcW w:w="4966" w:type="dxa"/>
          </w:tcPr>
          <w:p w:rsidR="00663E30" w:rsidRPr="00D73D1D" w:rsidRDefault="00663E30" w:rsidP="00FE554C">
            <w:pPr>
              <w:jc w:val="both"/>
              <w:rPr>
                <w:rFonts w:cstheme="minorHAnsi"/>
              </w:rPr>
            </w:pPr>
            <w:r>
              <w:rPr>
                <w:rFonts w:cstheme="minorHAnsi"/>
              </w:rPr>
              <w:t>Platby za mobilní služby</w:t>
            </w:r>
          </w:p>
        </w:tc>
        <w:tc>
          <w:tcPr>
            <w:tcW w:w="1418" w:type="dxa"/>
          </w:tcPr>
          <w:p w:rsidR="00663E30" w:rsidRPr="00D73D1D" w:rsidRDefault="00A96D3E" w:rsidP="00FE554C">
            <w:pPr>
              <w:jc w:val="right"/>
              <w:rPr>
                <w:rFonts w:cstheme="minorHAnsi"/>
              </w:rPr>
            </w:pPr>
            <w:r>
              <w:rPr>
                <w:rFonts w:cstheme="minorHAnsi"/>
              </w:rPr>
              <w:t>25,22</w:t>
            </w:r>
          </w:p>
        </w:tc>
        <w:tc>
          <w:tcPr>
            <w:tcW w:w="1559" w:type="dxa"/>
            <w:vAlign w:val="bottom"/>
          </w:tcPr>
          <w:p w:rsidR="00663E30" w:rsidRPr="00D73D1D" w:rsidRDefault="00971AEB" w:rsidP="00FE554C">
            <w:pPr>
              <w:jc w:val="right"/>
              <w:rPr>
                <w:rFonts w:cstheme="minorHAnsi"/>
              </w:rPr>
            </w:pPr>
            <w:r>
              <w:rPr>
                <w:rFonts w:cstheme="minorHAnsi"/>
              </w:rPr>
              <w:t>14,01</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51630</w:t>
            </w:r>
          </w:p>
        </w:tc>
        <w:tc>
          <w:tcPr>
            <w:tcW w:w="4966" w:type="dxa"/>
          </w:tcPr>
          <w:p w:rsidR="00663E30" w:rsidRPr="002765F1" w:rsidRDefault="00663E30" w:rsidP="00FE554C">
            <w:pPr>
              <w:jc w:val="both"/>
              <w:rPr>
                <w:rFonts w:cstheme="minorHAnsi"/>
              </w:rPr>
            </w:pPr>
            <w:r>
              <w:rPr>
                <w:rFonts w:cstheme="minorHAnsi"/>
              </w:rPr>
              <w:t>Bankovní a směnárenské služby</w:t>
            </w:r>
          </w:p>
        </w:tc>
        <w:tc>
          <w:tcPr>
            <w:tcW w:w="1418" w:type="dxa"/>
          </w:tcPr>
          <w:p w:rsidR="00663E30" w:rsidRPr="00A96D3E" w:rsidRDefault="00A96D3E" w:rsidP="00FE554C">
            <w:pPr>
              <w:jc w:val="right"/>
              <w:rPr>
                <w:rFonts w:cstheme="minorHAnsi"/>
              </w:rPr>
            </w:pPr>
            <w:r>
              <w:rPr>
                <w:rFonts w:cstheme="minorHAnsi"/>
              </w:rPr>
              <w:t>0,45</w:t>
            </w:r>
          </w:p>
        </w:tc>
        <w:tc>
          <w:tcPr>
            <w:tcW w:w="1559" w:type="dxa"/>
            <w:vAlign w:val="bottom"/>
          </w:tcPr>
          <w:p w:rsidR="00663E30" w:rsidRPr="00971AEB" w:rsidRDefault="00750D70" w:rsidP="00FE554C">
            <w:pPr>
              <w:jc w:val="right"/>
              <w:rPr>
                <w:rFonts w:cstheme="minorHAnsi"/>
              </w:rPr>
            </w:pPr>
            <w:r>
              <w:rPr>
                <w:rFonts w:cstheme="minorHAnsi"/>
              </w:rPr>
              <w:t>0,60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51631</w:t>
            </w:r>
          </w:p>
        </w:tc>
        <w:tc>
          <w:tcPr>
            <w:tcW w:w="4966" w:type="dxa"/>
          </w:tcPr>
          <w:p w:rsidR="00663E30" w:rsidRPr="002765F1" w:rsidRDefault="00663E30" w:rsidP="00FE554C">
            <w:pPr>
              <w:jc w:val="both"/>
              <w:rPr>
                <w:rFonts w:cstheme="minorHAnsi"/>
              </w:rPr>
            </w:pPr>
            <w:r>
              <w:rPr>
                <w:rFonts w:cstheme="minorHAnsi"/>
              </w:rPr>
              <w:t>Služby pojišťoven (mimo povinného pojištění vozidel)</w:t>
            </w:r>
          </w:p>
        </w:tc>
        <w:tc>
          <w:tcPr>
            <w:tcW w:w="1418" w:type="dxa"/>
          </w:tcPr>
          <w:p w:rsidR="00663E30" w:rsidRPr="00A96D3E" w:rsidRDefault="00A96D3E" w:rsidP="00FE554C">
            <w:pPr>
              <w:jc w:val="right"/>
              <w:rPr>
                <w:rFonts w:cstheme="minorHAnsi"/>
              </w:rPr>
            </w:pPr>
            <w:r>
              <w:rPr>
                <w:rFonts w:cstheme="minorHAnsi"/>
              </w:rPr>
              <w:t>15,01</w:t>
            </w:r>
          </w:p>
        </w:tc>
        <w:tc>
          <w:tcPr>
            <w:tcW w:w="1559" w:type="dxa"/>
            <w:vAlign w:val="bottom"/>
          </w:tcPr>
          <w:p w:rsidR="00663E30" w:rsidRPr="00971AEB" w:rsidRDefault="00750D70" w:rsidP="00FE554C">
            <w:pPr>
              <w:jc w:val="right"/>
              <w:rPr>
                <w:rFonts w:cstheme="minorHAnsi"/>
              </w:rPr>
            </w:pPr>
            <w:r>
              <w:rPr>
                <w:rFonts w:cstheme="minorHAnsi"/>
              </w:rPr>
              <w:t>16,82</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51632</w:t>
            </w:r>
          </w:p>
        </w:tc>
        <w:tc>
          <w:tcPr>
            <w:tcW w:w="4966" w:type="dxa"/>
          </w:tcPr>
          <w:p w:rsidR="00663E30" w:rsidRPr="002765F1" w:rsidRDefault="00663E30" w:rsidP="00FE554C">
            <w:pPr>
              <w:jc w:val="both"/>
              <w:rPr>
                <w:rFonts w:cstheme="minorHAnsi"/>
              </w:rPr>
            </w:pPr>
            <w:r>
              <w:rPr>
                <w:rFonts w:cstheme="minorHAnsi"/>
              </w:rPr>
              <w:t>Povinné pojištění vozidel</w:t>
            </w:r>
          </w:p>
        </w:tc>
        <w:tc>
          <w:tcPr>
            <w:tcW w:w="1418" w:type="dxa"/>
          </w:tcPr>
          <w:p w:rsidR="00663E30" w:rsidRPr="00A96D3E" w:rsidRDefault="00A96D3E" w:rsidP="00FE554C">
            <w:pPr>
              <w:jc w:val="right"/>
              <w:rPr>
                <w:rFonts w:cstheme="minorHAnsi"/>
              </w:rPr>
            </w:pPr>
            <w:r>
              <w:rPr>
                <w:rFonts w:cstheme="minorHAnsi"/>
              </w:rPr>
              <w:t>8,60</w:t>
            </w:r>
          </w:p>
        </w:tc>
        <w:tc>
          <w:tcPr>
            <w:tcW w:w="1559" w:type="dxa"/>
            <w:vAlign w:val="bottom"/>
          </w:tcPr>
          <w:p w:rsidR="00663E30" w:rsidRPr="00971AEB" w:rsidRDefault="00750D70"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51671</w:t>
            </w:r>
          </w:p>
        </w:tc>
        <w:tc>
          <w:tcPr>
            <w:tcW w:w="4966" w:type="dxa"/>
          </w:tcPr>
          <w:p w:rsidR="00663E30" w:rsidRPr="002765F1" w:rsidRDefault="00663E30" w:rsidP="00FE554C">
            <w:pPr>
              <w:jc w:val="both"/>
              <w:rPr>
                <w:rFonts w:cstheme="minorHAnsi"/>
              </w:rPr>
            </w:pPr>
            <w:r>
              <w:rPr>
                <w:rFonts w:cstheme="minorHAnsi"/>
              </w:rPr>
              <w:t>Služby školení a vzdělávání – výpočetní technika</w:t>
            </w:r>
          </w:p>
        </w:tc>
        <w:tc>
          <w:tcPr>
            <w:tcW w:w="1418" w:type="dxa"/>
          </w:tcPr>
          <w:p w:rsidR="00663E30" w:rsidRPr="00A96D3E" w:rsidRDefault="00A96D3E" w:rsidP="00FE554C">
            <w:pPr>
              <w:jc w:val="right"/>
              <w:rPr>
                <w:rFonts w:cstheme="minorHAnsi"/>
              </w:rPr>
            </w:pPr>
            <w:r>
              <w:rPr>
                <w:rFonts w:cstheme="minorHAnsi"/>
              </w:rPr>
              <w:t>0,00</w:t>
            </w:r>
          </w:p>
        </w:tc>
        <w:tc>
          <w:tcPr>
            <w:tcW w:w="1559" w:type="dxa"/>
            <w:vAlign w:val="bottom"/>
          </w:tcPr>
          <w:p w:rsidR="00663E30" w:rsidRPr="00971AEB" w:rsidRDefault="00750D70"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51690</w:t>
            </w:r>
          </w:p>
        </w:tc>
        <w:tc>
          <w:tcPr>
            <w:tcW w:w="4966" w:type="dxa"/>
          </w:tcPr>
          <w:p w:rsidR="00663E30" w:rsidRPr="002765F1" w:rsidRDefault="00663E30" w:rsidP="00FE554C">
            <w:pPr>
              <w:jc w:val="both"/>
              <w:rPr>
                <w:rFonts w:cstheme="minorHAnsi"/>
              </w:rPr>
            </w:pPr>
            <w:r>
              <w:rPr>
                <w:rFonts w:cstheme="minorHAnsi"/>
              </w:rPr>
              <w:t>Příspěvek na stravování</w:t>
            </w:r>
          </w:p>
        </w:tc>
        <w:tc>
          <w:tcPr>
            <w:tcW w:w="1418" w:type="dxa"/>
          </w:tcPr>
          <w:p w:rsidR="00663E30" w:rsidRPr="00A96D3E" w:rsidRDefault="00A96D3E" w:rsidP="00FE554C">
            <w:pPr>
              <w:jc w:val="right"/>
              <w:rPr>
                <w:rFonts w:cstheme="minorHAnsi"/>
              </w:rPr>
            </w:pPr>
            <w:r>
              <w:rPr>
                <w:rFonts w:cstheme="minorHAnsi"/>
              </w:rPr>
              <w:t>558,41</w:t>
            </w:r>
          </w:p>
        </w:tc>
        <w:tc>
          <w:tcPr>
            <w:tcW w:w="1559" w:type="dxa"/>
            <w:vAlign w:val="bottom"/>
          </w:tcPr>
          <w:p w:rsidR="00663E30" w:rsidRPr="00971AEB" w:rsidRDefault="00750D70" w:rsidP="00FE554C">
            <w:pPr>
              <w:jc w:val="right"/>
              <w:rPr>
                <w:rFonts w:cstheme="minorHAnsi"/>
              </w:rPr>
            </w:pPr>
            <w:r>
              <w:rPr>
                <w:rFonts w:cstheme="minorHAnsi"/>
              </w:rPr>
              <w:t>637,96</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51691</w:t>
            </w:r>
          </w:p>
        </w:tc>
        <w:tc>
          <w:tcPr>
            <w:tcW w:w="4966" w:type="dxa"/>
          </w:tcPr>
          <w:p w:rsidR="00663E30" w:rsidRPr="002765F1" w:rsidRDefault="00663E30" w:rsidP="00FE554C">
            <w:pPr>
              <w:jc w:val="both"/>
              <w:rPr>
                <w:rFonts w:cstheme="minorHAnsi"/>
              </w:rPr>
            </w:pPr>
            <w:r>
              <w:rPr>
                <w:rFonts w:cstheme="minorHAnsi"/>
              </w:rPr>
              <w:t>Předkladatelské a tlumočnické práce</w:t>
            </w:r>
          </w:p>
        </w:tc>
        <w:tc>
          <w:tcPr>
            <w:tcW w:w="1418" w:type="dxa"/>
          </w:tcPr>
          <w:p w:rsidR="00663E30" w:rsidRPr="00A96D3E" w:rsidRDefault="00A96D3E" w:rsidP="00FE554C">
            <w:pPr>
              <w:jc w:val="right"/>
              <w:rPr>
                <w:rFonts w:cstheme="minorHAnsi"/>
              </w:rPr>
            </w:pPr>
            <w:r>
              <w:rPr>
                <w:rFonts w:cstheme="minorHAnsi"/>
              </w:rPr>
              <w:t>0,00</w:t>
            </w:r>
          </w:p>
        </w:tc>
        <w:tc>
          <w:tcPr>
            <w:tcW w:w="1559" w:type="dxa"/>
            <w:vAlign w:val="bottom"/>
          </w:tcPr>
          <w:p w:rsidR="00663E30" w:rsidRPr="00971AEB" w:rsidRDefault="00750D70"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51692</w:t>
            </w:r>
          </w:p>
        </w:tc>
        <w:tc>
          <w:tcPr>
            <w:tcW w:w="4966" w:type="dxa"/>
          </w:tcPr>
          <w:p w:rsidR="00663E30" w:rsidRPr="002765F1" w:rsidRDefault="00663E30" w:rsidP="00FE554C">
            <w:pPr>
              <w:jc w:val="both"/>
              <w:rPr>
                <w:rFonts w:cstheme="minorHAnsi"/>
              </w:rPr>
            </w:pPr>
            <w:r>
              <w:rPr>
                <w:rFonts w:cstheme="minorHAnsi"/>
              </w:rPr>
              <w:t>Dodavatelsky zajišťovaný úklid</w:t>
            </w:r>
          </w:p>
        </w:tc>
        <w:tc>
          <w:tcPr>
            <w:tcW w:w="1418" w:type="dxa"/>
          </w:tcPr>
          <w:p w:rsidR="00663E30" w:rsidRPr="00A96D3E" w:rsidRDefault="00A96D3E" w:rsidP="00FE554C">
            <w:pPr>
              <w:jc w:val="right"/>
              <w:rPr>
                <w:rFonts w:cstheme="minorHAnsi"/>
              </w:rPr>
            </w:pPr>
            <w:r>
              <w:rPr>
                <w:rFonts w:cstheme="minorHAnsi"/>
              </w:rPr>
              <w:t>0,00</w:t>
            </w:r>
          </w:p>
        </w:tc>
        <w:tc>
          <w:tcPr>
            <w:tcW w:w="1559" w:type="dxa"/>
            <w:vAlign w:val="bottom"/>
          </w:tcPr>
          <w:p w:rsidR="00663E30" w:rsidRPr="00971AEB" w:rsidRDefault="00750D70"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51693</w:t>
            </w:r>
          </w:p>
        </w:tc>
        <w:tc>
          <w:tcPr>
            <w:tcW w:w="4966" w:type="dxa"/>
          </w:tcPr>
          <w:p w:rsidR="00663E30" w:rsidRPr="002765F1" w:rsidRDefault="00663E30" w:rsidP="00FE554C">
            <w:pPr>
              <w:jc w:val="both"/>
              <w:rPr>
                <w:rFonts w:cstheme="minorHAnsi"/>
              </w:rPr>
            </w:pPr>
            <w:r>
              <w:rPr>
                <w:rFonts w:cstheme="minorHAnsi"/>
              </w:rPr>
              <w:t>Praní a čistění prádla</w:t>
            </w:r>
          </w:p>
        </w:tc>
        <w:tc>
          <w:tcPr>
            <w:tcW w:w="1418" w:type="dxa"/>
          </w:tcPr>
          <w:p w:rsidR="00663E30" w:rsidRPr="00A96D3E" w:rsidRDefault="00A96D3E" w:rsidP="00A96D3E">
            <w:pPr>
              <w:jc w:val="right"/>
              <w:rPr>
                <w:rFonts w:cstheme="minorHAnsi"/>
              </w:rPr>
            </w:pPr>
            <w:r>
              <w:rPr>
                <w:rFonts w:cstheme="minorHAnsi"/>
              </w:rPr>
              <w:t>0,00</w:t>
            </w:r>
          </w:p>
        </w:tc>
        <w:tc>
          <w:tcPr>
            <w:tcW w:w="1559" w:type="dxa"/>
            <w:vAlign w:val="bottom"/>
          </w:tcPr>
          <w:p w:rsidR="00663E30" w:rsidRPr="00971AEB" w:rsidRDefault="00750D70"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51694</w:t>
            </w:r>
          </w:p>
        </w:tc>
        <w:tc>
          <w:tcPr>
            <w:tcW w:w="4966" w:type="dxa"/>
          </w:tcPr>
          <w:p w:rsidR="00663E30" w:rsidRPr="002765F1" w:rsidRDefault="00663E30" w:rsidP="00FE554C">
            <w:pPr>
              <w:jc w:val="both"/>
              <w:rPr>
                <w:rFonts w:cstheme="minorHAnsi"/>
              </w:rPr>
            </w:pPr>
            <w:r>
              <w:rPr>
                <w:rFonts w:cstheme="minorHAnsi"/>
              </w:rPr>
              <w:t>Poplatky za svoz odpadu</w:t>
            </w:r>
          </w:p>
        </w:tc>
        <w:tc>
          <w:tcPr>
            <w:tcW w:w="1418" w:type="dxa"/>
          </w:tcPr>
          <w:p w:rsidR="00663E30" w:rsidRPr="00A96D3E" w:rsidRDefault="00A96D3E" w:rsidP="00FE554C">
            <w:pPr>
              <w:jc w:val="right"/>
              <w:rPr>
                <w:rFonts w:cstheme="minorHAnsi"/>
              </w:rPr>
            </w:pPr>
            <w:r>
              <w:rPr>
                <w:rFonts w:cstheme="minorHAnsi"/>
              </w:rPr>
              <w:t>80,27</w:t>
            </w:r>
          </w:p>
        </w:tc>
        <w:tc>
          <w:tcPr>
            <w:tcW w:w="1559" w:type="dxa"/>
            <w:vAlign w:val="bottom"/>
          </w:tcPr>
          <w:p w:rsidR="00663E30" w:rsidRPr="00971AEB" w:rsidRDefault="00750D70" w:rsidP="00FE554C">
            <w:pPr>
              <w:jc w:val="right"/>
              <w:rPr>
                <w:rFonts w:cstheme="minorHAnsi"/>
              </w:rPr>
            </w:pPr>
            <w:r>
              <w:rPr>
                <w:rFonts w:cstheme="minorHAnsi"/>
              </w:rPr>
              <w:t>84,34</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51710</w:t>
            </w:r>
          </w:p>
        </w:tc>
        <w:tc>
          <w:tcPr>
            <w:tcW w:w="4966" w:type="dxa"/>
          </w:tcPr>
          <w:p w:rsidR="00663E30" w:rsidRPr="002765F1" w:rsidRDefault="00663E30" w:rsidP="00FE554C">
            <w:pPr>
              <w:jc w:val="both"/>
              <w:rPr>
                <w:rFonts w:cstheme="minorHAnsi"/>
              </w:rPr>
            </w:pPr>
            <w:r>
              <w:rPr>
                <w:rFonts w:cstheme="minorHAnsi"/>
              </w:rPr>
              <w:t xml:space="preserve">Opravy a udržování nemovitostí </w:t>
            </w:r>
          </w:p>
        </w:tc>
        <w:tc>
          <w:tcPr>
            <w:tcW w:w="1418" w:type="dxa"/>
          </w:tcPr>
          <w:p w:rsidR="00663E30" w:rsidRPr="00A96D3E" w:rsidRDefault="00A96D3E" w:rsidP="00FE554C">
            <w:pPr>
              <w:jc w:val="right"/>
              <w:rPr>
                <w:rFonts w:cstheme="minorHAnsi"/>
              </w:rPr>
            </w:pPr>
            <w:r>
              <w:rPr>
                <w:rFonts w:cstheme="minorHAnsi"/>
              </w:rPr>
              <w:t>92,52</w:t>
            </w:r>
          </w:p>
        </w:tc>
        <w:tc>
          <w:tcPr>
            <w:tcW w:w="1559" w:type="dxa"/>
            <w:vAlign w:val="bottom"/>
          </w:tcPr>
          <w:p w:rsidR="00663E30" w:rsidRPr="00971AEB" w:rsidRDefault="00750D70" w:rsidP="00FE554C">
            <w:pPr>
              <w:jc w:val="right"/>
              <w:rPr>
                <w:rFonts w:cstheme="minorHAnsi"/>
              </w:rPr>
            </w:pPr>
            <w:r>
              <w:rPr>
                <w:rFonts w:cstheme="minorHAnsi"/>
              </w:rPr>
              <w:t>558,67</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51711</w:t>
            </w:r>
          </w:p>
        </w:tc>
        <w:tc>
          <w:tcPr>
            <w:tcW w:w="4966" w:type="dxa"/>
          </w:tcPr>
          <w:p w:rsidR="00663E30" w:rsidRPr="002765F1" w:rsidRDefault="00663E30" w:rsidP="00FE554C">
            <w:pPr>
              <w:jc w:val="both"/>
              <w:rPr>
                <w:rFonts w:cstheme="minorHAnsi"/>
              </w:rPr>
            </w:pPr>
            <w:r>
              <w:rPr>
                <w:rFonts w:cstheme="minorHAnsi"/>
              </w:rPr>
              <w:t>Opravy a udržování hardware</w:t>
            </w:r>
          </w:p>
        </w:tc>
        <w:tc>
          <w:tcPr>
            <w:tcW w:w="1418" w:type="dxa"/>
          </w:tcPr>
          <w:p w:rsidR="00663E30" w:rsidRPr="00A96D3E" w:rsidRDefault="00A96D3E" w:rsidP="00FE554C">
            <w:pPr>
              <w:jc w:val="right"/>
              <w:rPr>
                <w:rFonts w:cstheme="minorHAnsi"/>
              </w:rPr>
            </w:pPr>
            <w:r>
              <w:rPr>
                <w:rFonts w:cstheme="minorHAnsi"/>
              </w:rPr>
              <w:t>4,59</w:t>
            </w:r>
          </w:p>
        </w:tc>
        <w:tc>
          <w:tcPr>
            <w:tcW w:w="1559" w:type="dxa"/>
            <w:vAlign w:val="bottom"/>
          </w:tcPr>
          <w:p w:rsidR="00663E30" w:rsidRPr="00971AEB" w:rsidRDefault="00750D70"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51712</w:t>
            </w:r>
          </w:p>
        </w:tc>
        <w:tc>
          <w:tcPr>
            <w:tcW w:w="4966" w:type="dxa"/>
          </w:tcPr>
          <w:p w:rsidR="00663E30" w:rsidRPr="002765F1" w:rsidRDefault="00663E30" w:rsidP="00FE554C">
            <w:pPr>
              <w:jc w:val="both"/>
              <w:rPr>
                <w:rFonts w:cstheme="minorHAnsi"/>
              </w:rPr>
            </w:pPr>
            <w:r>
              <w:rPr>
                <w:rFonts w:cstheme="minorHAnsi"/>
              </w:rPr>
              <w:t>Opravy a udržování motor. vozidel</w:t>
            </w:r>
          </w:p>
        </w:tc>
        <w:tc>
          <w:tcPr>
            <w:tcW w:w="1418" w:type="dxa"/>
          </w:tcPr>
          <w:p w:rsidR="00663E30" w:rsidRPr="00A96D3E" w:rsidRDefault="00A96D3E" w:rsidP="00FE554C">
            <w:pPr>
              <w:jc w:val="right"/>
              <w:rPr>
                <w:rFonts w:cstheme="minorHAnsi"/>
              </w:rPr>
            </w:pPr>
            <w:r>
              <w:rPr>
                <w:rFonts w:cstheme="minorHAnsi"/>
              </w:rPr>
              <w:t>14,78</w:t>
            </w:r>
          </w:p>
        </w:tc>
        <w:tc>
          <w:tcPr>
            <w:tcW w:w="1559" w:type="dxa"/>
            <w:vAlign w:val="bottom"/>
          </w:tcPr>
          <w:p w:rsidR="00663E30" w:rsidRPr="00971AEB" w:rsidRDefault="00750D70" w:rsidP="00FE554C">
            <w:pPr>
              <w:jc w:val="right"/>
              <w:rPr>
                <w:rFonts w:cstheme="minorHAnsi"/>
              </w:rPr>
            </w:pPr>
            <w:r>
              <w:rPr>
                <w:rFonts w:cstheme="minorHAnsi"/>
              </w:rPr>
              <w:t>21,35</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51730</w:t>
            </w:r>
          </w:p>
        </w:tc>
        <w:tc>
          <w:tcPr>
            <w:tcW w:w="4966" w:type="dxa"/>
          </w:tcPr>
          <w:p w:rsidR="00663E30" w:rsidRPr="002765F1" w:rsidRDefault="00663E30" w:rsidP="00FE554C">
            <w:pPr>
              <w:jc w:val="both"/>
              <w:rPr>
                <w:rFonts w:cstheme="minorHAnsi"/>
              </w:rPr>
            </w:pPr>
            <w:r>
              <w:rPr>
                <w:rFonts w:cstheme="minorHAnsi"/>
              </w:rPr>
              <w:t>Cestovné tuzemské</w:t>
            </w:r>
          </w:p>
        </w:tc>
        <w:tc>
          <w:tcPr>
            <w:tcW w:w="1418" w:type="dxa"/>
          </w:tcPr>
          <w:p w:rsidR="00663E30" w:rsidRPr="00A96D3E" w:rsidRDefault="00A96D3E" w:rsidP="00FE554C">
            <w:pPr>
              <w:jc w:val="right"/>
              <w:rPr>
                <w:rFonts w:cstheme="minorHAnsi"/>
              </w:rPr>
            </w:pPr>
            <w:r>
              <w:rPr>
                <w:rFonts w:cstheme="minorHAnsi"/>
              </w:rPr>
              <w:t>22,14</w:t>
            </w:r>
          </w:p>
        </w:tc>
        <w:tc>
          <w:tcPr>
            <w:tcW w:w="1559" w:type="dxa"/>
            <w:vAlign w:val="bottom"/>
          </w:tcPr>
          <w:p w:rsidR="00663E30" w:rsidRPr="00971AEB" w:rsidRDefault="00750D70" w:rsidP="00FE554C">
            <w:pPr>
              <w:jc w:val="right"/>
              <w:rPr>
                <w:rFonts w:cstheme="minorHAnsi"/>
              </w:rPr>
            </w:pPr>
            <w:r>
              <w:rPr>
                <w:rFonts w:cstheme="minorHAnsi"/>
              </w:rPr>
              <w:t>48,02</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51731</w:t>
            </w:r>
          </w:p>
        </w:tc>
        <w:tc>
          <w:tcPr>
            <w:tcW w:w="4966" w:type="dxa"/>
          </w:tcPr>
          <w:p w:rsidR="00663E30" w:rsidRPr="002765F1" w:rsidRDefault="00663E30" w:rsidP="00FE554C">
            <w:pPr>
              <w:jc w:val="both"/>
              <w:rPr>
                <w:rFonts w:cstheme="minorHAnsi"/>
              </w:rPr>
            </w:pPr>
            <w:r>
              <w:rPr>
                <w:rFonts w:cstheme="minorHAnsi"/>
              </w:rPr>
              <w:t>Cestovné zahraniční</w:t>
            </w:r>
          </w:p>
        </w:tc>
        <w:tc>
          <w:tcPr>
            <w:tcW w:w="1418" w:type="dxa"/>
          </w:tcPr>
          <w:p w:rsidR="00663E30" w:rsidRPr="00A96D3E" w:rsidRDefault="00A96D3E" w:rsidP="00FE554C">
            <w:pPr>
              <w:jc w:val="right"/>
              <w:rPr>
                <w:rFonts w:cstheme="minorHAnsi"/>
              </w:rPr>
            </w:pPr>
            <w:r>
              <w:rPr>
                <w:rFonts w:cstheme="minorHAnsi"/>
              </w:rPr>
              <w:t>0,00</w:t>
            </w:r>
          </w:p>
        </w:tc>
        <w:tc>
          <w:tcPr>
            <w:tcW w:w="1559" w:type="dxa"/>
            <w:vAlign w:val="bottom"/>
          </w:tcPr>
          <w:p w:rsidR="00663E30" w:rsidRPr="00971AEB" w:rsidRDefault="00750D70"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542114</w:t>
            </w:r>
          </w:p>
        </w:tc>
        <w:tc>
          <w:tcPr>
            <w:tcW w:w="4966" w:type="dxa"/>
          </w:tcPr>
          <w:p w:rsidR="00663E30" w:rsidRPr="002765F1" w:rsidRDefault="00663E30" w:rsidP="00FE554C">
            <w:pPr>
              <w:jc w:val="both"/>
              <w:rPr>
                <w:rFonts w:cstheme="minorHAnsi"/>
              </w:rPr>
            </w:pPr>
            <w:r>
              <w:rPr>
                <w:rFonts w:cstheme="minorHAnsi"/>
              </w:rPr>
              <w:t>Státní zástupci – náhrady mezd</w:t>
            </w:r>
          </w:p>
        </w:tc>
        <w:tc>
          <w:tcPr>
            <w:tcW w:w="1418" w:type="dxa"/>
          </w:tcPr>
          <w:p w:rsidR="00663E30" w:rsidRPr="00A96D3E" w:rsidRDefault="00A96D3E" w:rsidP="00FE554C">
            <w:pPr>
              <w:jc w:val="right"/>
              <w:rPr>
                <w:rFonts w:cstheme="minorHAnsi"/>
              </w:rPr>
            </w:pPr>
            <w:r>
              <w:rPr>
                <w:rFonts w:cstheme="minorHAnsi"/>
              </w:rPr>
              <w:t>0,00</w:t>
            </w:r>
          </w:p>
        </w:tc>
        <w:tc>
          <w:tcPr>
            <w:tcW w:w="1559" w:type="dxa"/>
            <w:vAlign w:val="bottom"/>
          </w:tcPr>
          <w:p w:rsidR="00663E30" w:rsidRPr="00971AEB" w:rsidRDefault="00750D70" w:rsidP="00FE554C">
            <w:pPr>
              <w:jc w:val="right"/>
              <w:rPr>
                <w:rFonts w:cstheme="minorHAnsi"/>
              </w:rPr>
            </w:pPr>
            <w:r>
              <w:rPr>
                <w:rFonts w:cstheme="minorHAnsi"/>
              </w:rPr>
              <w:t>0,00</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542422</w:t>
            </w:r>
          </w:p>
        </w:tc>
        <w:tc>
          <w:tcPr>
            <w:tcW w:w="4966" w:type="dxa"/>
          </w:tcPr>
          <w:p w:rsidR="00663E30" w:rsidRPr="002765F1" w:rsidRDefault="00663E30" w:rsidP="00FE554C">
            <w:pPr>
              <w:jc w:val="both"/>
              <w:rPr>
                <w:rFonts w:cstheme="minorHAnsi"/>
              </w:rPr>
            </w:pPr>
            <w:r>
              <w:rPr>
                <w:rFonts w:cstheme="minorHAnsi"/>
              </w:rPr>
              <w:t>Soudci – náhrady mezd</w:t>
            </w:r>
          </w:p>
        </w:tc>
        <w:tc>
          <w:tcPr>
            <w:tcW w:w="1418" w:type="dxa"/>
          </w:tcPr>
          <w:p w:rsidR="00663E30" w:rsidRPr="00A96D3E" w:rsidRDefault="00155A76" w:rsidP="00FE554C">
            <w:pPr>
              <w:jc w:val="right"/>
              <w:rPr>
                <w:rFonts w:cstheme="minorHAnsi"/>
              </w:rPr>
            </w:pPr>
            <w:r>
              <w:rPr>
                <w:rFonts w:cstheme="minorHAnsi"/>
              </w:rPr>
              <w:t>54,78</w:t>
            </w:r>
          </w:p>
        </w:tc>
        <w:tc>
          <w:tcPr>
            <w:tcW w:w="1559" w:type="dxa"/>
            <w:vAlign w:val="bottom"/>
          </w:tcPr>
          <w:p w:rsidR="00663E30" w:rsidRPr="00971AEB" w:rsidRDefault="00750D70" w:rsidP="00FE554C">
            <w:pPr>
              <w:jc w:val="right"/>
              <w:rPr>
                <w:rFonts w:cstheme="minorHAnsi"/>
              </w:rPr>
            </w:pPr>
            <w:r>
              <w:rPr>
                <w:rFonts w:cstheme="minorHAnsi"/>
              </w:rPr>
              <w:t>55,68</w:t>
            </w:r>
          </w:p>
        </w:tc>
      </w:tr>
      <w:tr w:rsidR="00663E30" w:rsidRPr="00705D2B" w:rsidTr="00FE554C">
        <w:tc>
          <w:tcPr>
            <w:tcW w:w="1266" w:type="dxa"/>
          </w:tcPr>
          <w:p w:rsidR="00663E30" w:rsidRPr="00705D2B" w:rsidRDefault="00663E30" w:rsidP="00FE554C">
            <w:pPr>
              <w:jc w:val="both"/>
              <w:rPr>
                <w:rFonts w:cstheme="minorHAnsi"/>
              </w:rPr>
            </w:pPr>
            <w:r>
              <w:rPr>
                <w:rFonts w:cstheme="minorHAnsi"/>
              </w:rPr>
              <w:t>ML</w:t>
            </w:r>
          </w:p>
        </w:tc>
        <w:tc>
          <w:tcPr>
            <w:tcW w:w="4966" w:type="dxa"/>
          </w:tcPr>
          <w:p w:rsidR="00663E30" w:rsidRPr="002765F1" w:rsidRDefault="00663E30" w:rsidP="00FE554C">
            <w:pPr>
              <w:jc w:val="both"/>
              <w:rPr>
                <w:rFonts w:cstheme="minorHAnsi"/>
              </w:rPr>
            </w:pPr>
            <w:r>
              <w:rPr>
                <w:rFonts w:cstheme="minorHAnsi"/>
              </w:rPr>
              <w:t>Milostivé léto</w:t>
            </w:r>
          </w:p>
        </w:tc>
        <w:tc>
          <w:tcPr>
            <w:tcW w:w="1418" w:type="dxa"/>
          </w:tcPr>
          <w:p w:rsidR="00663E30" w:rsidRPr="00A96D3E" w:rsidRDefault="00155A76" w:rsidP="00FE554C">
            <w:pPr>
              <w:jc w:val="right"/>
              <w:rPr>
                <w:rFonts w:cstheme="minorHAnsi"/>
              </w:rPr>
            </w:pPr>
            <w:r>
              <w:rPr>
                <w:rFonts w:cstheme="minorHAnsi"/>
              </w:rPr>
              <w:t>57,08</w:t>
            </w:r>
          </w:p>
        </w:tc>
        <w:tc>
          <w:tcPr>
            <w:tcW w:w="1559" w:type="dxa"/>
            <w:vAlign w:val="bottom"/>
          </w:tcPr>
          <w:p w:rsidR="00663E30" w:rsidRPr="00971AEB" w:rsidRDefault="00750D70" w:rsidP="00FE554C">
            <w:pPr>
              <w:jc w:val="right"/>
              <w:rPr>
                <w:rFonts w:cstheme="minorHAnsi"/>
              </w:rPr>
            </w:pPr>
            <w:r w:rsidRPr="00FF00AB">
              <w:rPr>
                <w:rFonts w:cstheme="minorHAnsi"/>
              </w:rPr>
              <w:t>143,09</w:t>
            </w:r>
          </w:p>
        </w:tc>
      </w:tr>
    </w:tbl>
    <w:p w:rsidR="00663E30" w:rsidRPr="00705D2B" w:rsidRDefault="00663E30" w:rsidP="00663E30">
      <w:pPr>
        <w:spacing w:before="120" w:after="120"/>
        <w:jc w:val="both"/>
        <w:rPr>
          <w:rFonts w:cstheme="minorHAnsi"/>
        </w:rPr>
      </w:pPr>
    </w:p>
    <w:p w:rsidR="00663E30" w:rsidRPr="005023B7" w:rsidRDefault="00A45DB3" w:rsidP="00663E30">
      <w:pPr>
        <w:spacing w:before="120" w:after="120"/>
        <w:jc w:val="both"/>
        <w:rPr>
          <w:rFonts w:cstheme="minorHAnsi"/>
        </w:rPr>
      </w:pPr>
      <w:r w:rsidRPr="005023B7">
        <w:rPr>
          <w:rFonts w:cstheme="minorHAnsi"/>
        </w:rPr>
        <w:t>Ne</w:t>
      </w:r>
      <w:r w:rsidR="00050DB2" w:rsidRPr="005023B7">
        <w:rPr>
          <w:rFonts w:cstheme="minorHAnsi"/>
        </w:rPr>
        <w:t>jvýraznější odchylky:</w:t>
      </w:r>
    </w:p>
    <w:p w:rsidR="00050DB2" w:rsidRPr="005023B7" w:rsidRDefault="005023B7" w:rsidP="00663E30">
      <w:pPr>
        <w:spacing w:before="120" w:after="120"/>
        <w:jc w:val="both"/>
        <w:rPr>
          <w:rFonts w:cstheme="minorHAnsi"/>
        </w:rPr>
      </w:pPr>
      <w:r w:rsidRPr="005023B7">
        <w:rPr>
          <w:rFonts w:cstheme="minorHAnsi"/>
        </w:rPr>
        <w:t xml:space="preserve">C19 COVID 19 – ochranné prostředky – v  roce 2022 již nebyly pořizovány žádné ochranné prostředky v souvislosti s pandemií Covid 19, neboť byla ukončena všechna opatření vlády v souvislosti s touto pandemií. </w:t>
      </w:r>
    </w:p>
    <w:p w:rsidR="005023B7" w:rsidRPr="005023B7" w:rsidRDefault="005023B7" w:rsidP="00663E30">
      <w:pPr>
        <w:spacing w:before="120" w:after="120"/>
        <w:jc w:val="both"/>
        <w:rPr>
          <w:rFonts w:cstheme="minorHAnsi"/>
        </w:rPr>
      </w:pPr>
      <w:r w:rsidRPr="005023B7">
        <w:rPr>
          <w:rFonts w:cstheme="minorHAnsi"/>
        </w:rPr>
        <w:t>513701 Počítače – v  roce 2022 bylo pořízeno 25 PC sestav z rámcové dohody, v  roce 2021</w:t>
      </w:r>
      <w:r w:rsidR="00C0202D">
        <w:rPr>
          <w:rFonts w:cstheme="minorHAnsi"/>
        </w:rPr>
        <w:t xml:space="preserve"> </w:t>
      </w:r>
      <w:r w:rsidRPr="005023B7">
        <w:rPr>
          <w:rFonts w:cstheme="minorHAnsi"/>
        </w:rPr>
        <w:t xml:space="preserve">se tento nákup nepodařilo zrealizovat z důvodu ukončení rámcové dohody. </w:t>
      </w:r>
    </w:p>
    <w:p w:rsidR="003749B4" w:rsidRPr="005023B7" w:rsidRDefault="003749B4" w:rsidP="006500E7">
      <w:pPr>
        <w:spacing w:before="120" w:after="120"/>
        <w:jc w:val="both"/>
        <w:rPr>
          <w:rFonts w:cstheme="minorHAnsi"/>
        </w:rPr>
      </w:pPr>
    </w:p>
    <w:p w:rsidR="005023B7" w:rsidRDefault="005023B7" w:rsidP="006500E7">
      <w:pPr>
        <w:spacing w:before="120" w:after="120"/>
        <w:jc w:val="both"/>
        <w:rPr>
          <w:rFonts w:cstheme="minorHAnsi"/>
        </w:rPr>
      </w:pPr>
      <w:r w:rsidRPr="005023B7">
        <w:rPr>
          <w:rFonts w:cstheme="minorHAnsi"/>
        </w:rPr>
        <w:t xml:space="preserve">513702 Notebooky – v roce 2021 byly pořízeny 2 notebooky, v roce 2022 jsme žádný notebook nepotřebovali pořídit. </w:t>
      </w:r>
    </w:p>
    <w:p w:rsidR="001C7CDA" w:rsidRDefault="001C7CDA" w:rsidP="006500E7">
      <w:pPr>
        <w:spacing w:before="120" w:after="120"/>
        <w:jc w:val="both"/>
        <w:rPr>
          <w:rFonts w:cstheme="minorHAnsi"/>
        </w:rPr>
      </w:pPr>
      <w:r>
        <w:rPr>
          <w:rFonts w:cstheme="minorHAnsi"/>
        </w:rPr>
        <w:t>513703 Tiskárny – v roce 2022 byly pořízena laserová tiskárna pro předsedu soudu a inkoustové tiskárny (obměna starých dosluhujících tiskáren)</w:t>
      </w:r>
      <w:r w:rsidR="00C0202D">
        <w:rPr>
          <w:rFonts w:cstheme="minorHAnsi"/>
        </w:rPr>
        <w:t>.</w:t>
      </w:r>
    </w:p>
    <w:p w:rsidR="00C0202D" w:rsidRDefault="00C0202D" w:rsidP="006500E7">
      <w:pPr>
        <w:spacing w:before="120" w:after="120"/>
        <w:jc w:val="both"/>
        <w:rPr>
          <w:rFonts w:cstheme="minorHAnsi"/>
        </w:rPr>
      </w:pPr>
      <w:r>
        <w:rPr>
          <w:rFonts w:cstheme="minorHAnsi"/>
        </w:rPr>
        <w:lastRenderedPageBreak/>
        <w:t>513704 Mobilní telefony a jiné telefonní přístroje – v roce 2021 byl pořízen 1 mobilní telefon na výkon dosažitelnosti trestních soudců a dále 5 stolních telefonů do kanceláří. V roce 2022 byly pořízeny 2 stolní telefony, ale dle metodiky je operativní majetek od roku 2022 účtován z RP 513</w:t>
      </w:r>
    </w:p>
    <w:p w:rsidR="00C0202D" w:rsidRDefault="00C0202D" w:rsidP="006500E7">
      <w:pPr>
        <w:spacing w:before="120" w:after="120"/>
        <w:jc w:val="both"/>
        <w:rPr>
          <w:rFonts w:cstheme="minorHAnsi"/>
        </w:rPr>
      </w:pPr>
      <w:r>
        <w:rPr>
          <w:rFonts w:cstheme="minorHAnsi"/>
        </w:rPr>
        <w:t xml:space="preserve">513901 Tonery a jiný spotřební materiál do tiskáren – zde se projevuje pořízení inkoustových tiskáren, kdy pořizování inkoustových náplní je výhodnější než pořizování tonerů. </w:t>
      </w:r>
    </w:p>
    <w:p w:rsidR="00C0202D" w:rsidRDefault="00C0202D" w:rsidP="006500E7">
      <w:pPr>
        <w:spacing w:before="120" w:after="120"/>
        <w:jc w:val="both"/>
        <w:rPr>
          <w:rFonts w:cstheme="minorHAnsi"/>
        </w:rPr>
      </w:pPr>
      <w:r>
        <w:rPr>
          <w:rFonts w:cstheme="minorHAnsi"/>
        </w:rPr>
        <w:t xml:space="preserve">51395 Obálky – výrazné navýšení je z důvodu pořízení obálek po ukončení rámcové dohody na jejich nákup. </w:t>
      </w:r>
    </w:p>
    <w:p w:rsidR="00CD3420" w:rsidRDefault="00DA6CC2" w:rsidP="006500E7">
      <w:pPr>
        <w:spacing w:before="120" w:after="120"/>
        <w:jc w:val="both"/>
        <w:rPr>
          <w:rFonts w:cstheme="minorHAnsi"/>
        </w:rPr>
      </w:pPr>
      <w:r>
        <w:rPr>
          <w:rFonts w:cstheme="minorHAnsi"/>
        </w:rPr>
        <w:t>516202 Platby za mobilní služby</w:t>
      </w:r>
      <w:r w:rsidR="00CD3420">
        <w:rPr>
          <w:rFonts w:cstheme="minorHAnsi"/>
        </w:rPr>
        <w:t xml:space="preserve"> – zde je patrná úspora z důvodu námi nastavených úspornějších tarifů.</w:t>
      </w:r>
    </w:p>
    <w:p w:rsidR="00CD3420" w:rsidRDefault="00CD3420" w:rsidP="006500E7">
      <w:pPr>
        <w:spacing w:before="120" w:after="120"/>
        <w:jc w:val="both"/>
        <w:rPr>
          <w:rFonts w:cstheme="minorHAnsi"/>
        </w:rPr>
      </w:pPr>
      <w:r>
        <w:rPr>
          <w:rFonts w:cstheme="minorHAnsi"/>
        </w:rPr>
        <w:t xml:space="preserve">51632 Povinné pojištění vozidel – jelikož nedošlo k uzavření rámcové dohody, nebyla v roce 2022 provedena tato platba. </w:t>
      </w:r>
    </w:p>
    <w:p w:rsidR="00CD3420" w:rsidRDefault="00CD3420" w:rsidP="006500E7">
      <w:pPr>
        <w:spacing w:before="120" w:after="120"/>
        <w:jc w:val="both"/>
        <w:rPr>
          <w:rFonts w:cstheme="minorHAnsi"/>
        </w:rPr>
      </w:pPr>
      <w:r>
        <w:rPr>
          <w:rFonts w:cstheme="minorHAnsi"/>
        </w:rPr>
        <w:t>51690 Příspěvek na str</w:t>
      </w:r>
      <w:r w:rsidR="00DA6CC2">
        <w:rPr>
          <w:rFonts w:cstheme="minorHAnsi"/>
        </w:rPr>
        <w:t>avování – v roce 2022 došlo od 1. července 2022</w:t>
      </w:r>
      <w:r>
        <w:rPr>
          <w:rFonts w:cstheme="minorHAnsi"/>
        </w:rPr>
        <w:t xml:space="preserve"> ke zvýšení příspěvku o 10,- Kč na 1 e-stravenku.</w:t>
      </w:r>
    </w:p>
    <w:p w:rsidR="00CD3420" w:rsidRDefault="00CD3420" w:rsidP="006500E7">
      <w:pPr>
        <w:spacing w:before="120" w:after="120"/>
        <w:jc w:val="both"/>
        <w:rPr>
          <w:rFonts w:cstheme="minorHAnsi"/>
        </w:rPr>
      </w:pPr>
      <w:r>
        <w:rPr>
          <w:rFonts w:cstheme="minorHAnsi"/>
        </w:rPr>
        <w:t xml:space="preserve">51710 Opravy a udržování nemovitostí – v roce 2022 bylo nutné provést opravu havarijního </w:t>
      </w:r>
      <w:r w:rsidR="00457329">
        <w:rPr>
          <w:rFonts w:cstheme="minorHAnsi"/>
        </w:rPr>
        <w:t xml:space="preserve">stavu stropní klenby </w:t>
      </w:r>
      <w:r>
        <w:rPr>
          <w:rFonts w:cstheme="minorHAnsi"/>
        </w:rPr>
        <w:t>v budově D ( 518.945,00 Kč).</w:t>
      </w:r>
    </w:p>
    <w:p w:rsidR="00457329" w:rsidRDefault="00457329" w:rsidP="006500E7">
      <w:pPr>
        <w:spacing w:before="120" w:after="120"/>
        <w:jc w:val="both"/>
        <w:rPr>
          <w:rFonts w:cstheme="minorHAnsi"/>
        </w:rPr>
      </w:pPr>
      <w:r>
        <w:rPr>
          <w:rFonts w:cstheme="minorHAnsi"/>
        </w:rPr>
        <w:t xml:space="preserve">51730 Cestovní tuzemské – z důvodu ukončení proticovidových opatření  byla obnovena účast zaměstnanců na poradách a školeních. </w:t>
      </w:r>
    </w:p>
    <w:p w:rsidR="00BC29BE" w:rsidRPr="005023B7" w:rsidRDefault="00BC29BE" w:rsidP="006500E7">
      <w:pPr>
        <w:spacing w:before="120" w:after="120"/>
        <w:jc w:val="both"/>
        <w:rPr>
          <w:rFonts w:cstheme="minorHAnsi"/>
        </w:rPr>
      </w:pPr>
      <w:r>
        <w:rPr>
          <w:rFonts w:cstheme="minorHAnsi"/>
        </w:rPr>
        <w:t>ML Milostivé léto – v roce 2022 bylo uhrazeno v lednu 11 pohledávek v celkové výši 67.122,00 Kč patřících do „Milostivého léta I“ vyhlášeného v roce 2021. Proto je plnění v roce 2022 výrazně vyšší.</w:t>
      </w:r>
    </w:p>
    <w:tbl>
      <w:tblPr>
        <w:tblStyle w:val="Mkatabulky"/>
        <w:tblW w:w="16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7596"/>
      </w:tblGrid>
      <w:tr w:rsidR="001C7CDA" w:rsidRPr="00705D2B" w:rsidTr="00BC29BE">
        <w:tc>
          <w:tcPr>
            <w:tcW w:w="9072" w:type="dxa"/>
          </w:tcPr>
          <w:p w:rsidR="00C0202D" w:rsidRPr="00705D2B" w:rsidRDefault="00C0202D" w:rsidP="00CD3420">
            <w:pPr>
              <w:ind w:right="380"/>
              <w:rPr>
                <w:rFonts w:cstheme="minorHAnsi"/>
              </w:rPr>
            </w:pPr>
          </w:p>
        </w:tc>
        <w:tc>
          <w:tcPr>
            <w:tcW w:w="7596" w:type="dxa"/>
            <w:vAlign w:val="bottom"/>
          </w:tcPr>
          <w:p w:rsidR="001C7CDA" w:rsidRPr="00705D2B" w:rsidRDefault="001C7CDA" w:rsidP="00FE554C">
            <w:pPr>
              <w:jc w:val="right"/>
              <w:rPr>
                <w:rFonts w:cstheme="minorHAnsi"/>
              </w:rPr>
            </w:pPr>
          </w:p>
        </w:tc>
      </w:tr>
      <w:tr w:rsidR="001C7CDA" w:rsidRPr="00705D2B" w:rsidTr="00BC29BE">
        <w:tc>
          <w:tcPr>
            <w:tcW w:w="9072" w:type="dxa"/>
          </w:tcPr>
          <w:p w:rsidR="001C7CDA" w:rsidRPr="00705D2B" w:rsidRDefault="00BC29BE" w:rsidP="00BC29BE">
            <w:pPr>
              <w:tabs>
                <w:tab w:val="left" w:pos="37"/>
              </w:tabs>
              <w:ind w:right="435"/>
              <w:rPr>
                <w:rFonts w:cstheme="minorHAnsi"/>
              </w:rPr>
            </w:pPr>
            <w:r>
              <w:rPr>
                <w:rFonts w:cstheme="minorHAnsi"/>
              </w:rPr>
              <w:t xml:space="preserve"> </w:t>
            </w:r>
          </w:p>
        </w:tc>
        <w:tc>
          <w:tcPr>
            <w:tcW w:w="7596" w:type="dxa"/>
            <w:vAlign w:val="bottom"/>
          </w:tcPr>
          <w:p w:rsidR="001C7CDA" w:rsidRPr="00705D2B" w:rsidRDefault="001C7CDA" w:rsidP="00FE554C">
            <w:pPr>
              <w:jc w:val="right"/>
              <w:rPr>
                <w:rFonts w:cstheme="minorHAnsi"/>
              </w:rPr>
            </w:pPr>
          </w:p>
        </w:tc>
      </w:tr>
      <w:tr w:rsidR="001C7CDA" w:rsidRPr="00705D2B" w:rsidTr="00BC29BE">
        <w:tc>
          <w:tcPr>
            <w:tcW w:w="9072" w:type="dxa"/>
          </w:tcPr>
          <w:p w:rsidR="001C7CDA" w:rsidRPr="00705D2B" w:rsidRDefault="001C7CDA" w:rsidP="001C7CDA">
            <w:pPr>
              <w:ind w:right="380"/>
              <w:jc w:val="right"/>
              <w:rPr>
                <w:rFonts w:cstheme="minorHAnsi"/>
              </w:rPr>
            </w:pPr>
          </w:p>
        </w:tc>
        <w:tc>
          <w:tcPr>
            <w:tcW w:w="7596" w:type="dxa"/>
            <w:vAlign w:val="bottom"/>
          </w:tcPr>
          <w:p w:rsidR="001C7CDA" w:rsidRPr="00705D2B" w:rsidRDefault="001C7CDA" w:rsidP="00FE554C">
            <w:pPr>
              <w:jc w:val="right"/>
              <w:rPr>
                <w:rFonts w:cstheme="minorHAnsi"/>
              </w:rPr>
            </w:pPr>
          </w:p>
        </w:tc>
      </w:tr>
    </w:tbl>
    <w:p w:rsidR="003749B4" w:rsidRDefault="00207413" w:rsidP="00ED5733">
      <w:pPr>
        <w:pStyle w:val="Nadpis2"/>
      </w:pPr>
      <w:bookmarkStart w:id="41" w:name="_Toc124839834"/>
      <w:r w:rsidRPr="0010577A">
        <w:t>Rozbor IT</w:t>
      </w:r>
      <w:bookmarkEnd w:id="41"/>
    </w:p>
    <w:p w:rsidR="00194900" w:rsidRDefault="00194900" w:rsidP="006E11AD">
      <w:pPr>
        <w:rPr>
          <w:rFonts w:cstheme="minorHAnsi"/>
          <w:color w:val="FF0000"/>
        </w:rPr>
      </w:pPr>
    </w:p>
    <w:p w:rsidR="00B3183E" w:rsidRPr="00C9684A" w:rsidRDefault="0091357C" w:rsidP="006E11AD">
      <w:pPr>
        <w:rPr>
          <w:rFonts w:cstheme="minorHAnsi"/>
          <w:color w:val="FF0000"/>
        </w:rPr>
      </w:pPr>
      <w:r w:rsidRPr="00C9684A">
        <w:rPr>
          <w:rFonts w:cstheme="minorHAnsi"/>
          <w:color w:val="FF0000"/>
        </w:rPr>
        <w:t xml:space="preserve"> </w:t>
      </w:r>
      <w:bookmarkStart w:id="42" w:name="_MON_1671628002"/>
      <w:bookmarkEnd w:id="42"/>
      <w:r w:rsidR="00F26574" w:rsidRPr="00C9684A">
        <w:rPr>
          <w:rFonts w:cstheme="minorHAnsi"/>
          <w:color w:val="FF0000"/>
        </w:rPr>
        <w:object w:dxaOrig="9586" w:dyaOrig="3173" w14:anchorId="3C3371EE">
          <v:shape id="_x0000_i1041" type="#_x0000_t75" style="width:471.75pt;height:155.25pt" o:ole="">
            <v:imagedata r:id="rId42" o:title=""/>
          </v:shape>
          <o:OLEObject Type="Embed" ProgID="Excel.Sheet.12" ShapeID="_x0000_i1041" DrawAspect="Content" ObjectID="_1738644121" r:id="rId43"/>
        </w:object>
      </w:r>
    </w:p>
    <w:p w:rsidR="009B201E" w:rsidRPr="00C9684A" w:rsidRDefault="009B201E" w:rsidP="0091357C">
      <w:pPr>
        <w:jc w:val="both"/>
        <w:rPr>
          <w:rFonts w:cstheme="minorHAnsi"/>
          <w:color w:val="FF0000"/>
        </w:rPr>
      </w:pPr>
    </w:p>
    <w:p w:rsidR="009B201E" w:rsidRDefault="00AC1AF9" w:rsidP="0091357C">
      <w:pPr>
        <w:jc w:val="both"/>
        <w:rPr>
          <w:rFonts w:cstheme="minorHAnsi"/>
        </w:rPr>
      </w:pPr>
      <w:r w:rsidRPr="00FE0D88">
        <w:rPr>
          <w:rFonts w:cstheme="minorHAnsi"/>
        </w:rPr>
        <w:t xml:space="preserve">Rozpočet výdajů s parametrem </w:t>
      </w:r>
      <w:r w:rsidR="00FE0D88">
        <w:rPr>
          <w:rFonts w:cstheme="minorHAnsi"/>
        </w:rPr>
        <w:t>OI byl</w:t>
      </w:r>
      <w:r w:rsidR="00FE0D88" w:rsidRPr="00FE0D88">
        <w:rPr>
          <w:rFonts w:cstheme="minorHAnsi"/>
        </w:rPr>
        <w:t xml:space="preserve"> z </w:t>
      </w:r>
      <w:r w:rsidR="00F26574" w:rsidRPr="00FE0D88">
        <w:rPr>
          <w:rFonts w:cstheme="minorHAnsi"/>
        </w:rPr>
        <w:t> původní částky 550.000,00 Kč v průběhu roku 202</w:t>
      </w:r>
      <w:r w:rsidR="00FE0D88" w:rsidRPr="00FE0D88">
        <w:rPr>
          <w:rFonts w:cstheme="minorHAnsi"/>
        </w:rPr>
        <w:t xml:space="preserve">2 </w:t>
      </w:r>
      <w:r w:rsidR="00FE0D88">
        <w:rPr>
          <w:rFonts w:cstheme="minorHAnsi"/>
        </w:rPr>
        <w:t>povolen</w:t>
      </w:r>
      <w:r w:rsidR="0091357C" w:rsidRPr="00FE0D88">
        <w:rPr>
          <w:rFonts w:cstheme="minorHAnsi"/>
        </w:rPr>
        <w:t xml:space="preserve"> </w:t>
      </w:r>
      <w:r w:rsidR="00FE0D88" w:rsidRPr="00FE0D88">
        <w:rPr>
          <w:rFonts w:cstheme="minorHAnsi"/>
        </w:rPr>
        <w:t xml:space="preserve">překročit o zapojené </w:t>
      </w:r>
      <w:r w:rsidR="0091357C" w:rsidRPr="00FE0D88">
        <w:rPr>
          <w:rFonts w:cstheme="minorHAnsi"/>
        </w:rPr>
        <w:t xml:space="preserve"> NNV ve výši </w:t>
      </w:r>
      <w:r w:rsidR="00FE0D88" w:rsidRPr="00FE0D88">
        <w:rPr>
          <w:rFonts w:cstheme="minorHAnsi"/>
        </w:rPr>
        <w:t>231.545,59</w:t>
      </w:r>
      <w:r w:rsidR="0091357C" w:rsidRPr="00FE0D88">
        <w:rPr>
          <w:rFonts w:cstheme="minorHAnsi"/>
        </w:rPr>
        <w:t xml:space="preserve">Kč, tyto prostředky byly zcela vyčerpány. Konečný rozpočet byl </w:t>
      </w:r>
      <w:r w:rsidR="00FE0D88" w:rsidRPr="00FE0D88">
        <w:rPr>
          <w:rFonts w:cstheme="minorHAnsi"/>
        </w:rPr>
        <w:t>o tyto prostředky zvýšen na 698.659,90</w:t>
      </w:r>
      <w:r w:rsidR="0091357C" w:rsidRPr="00FE0D88">
        <w:rPr>
          <w:rFonts w:cstheme="minorHAnsi"/>
        </w:rPr>
        <w:t xml:space="preserve"> Kč.</w:t>
      </w:r>
      <w:r w:rsidR="00C23093" w:rsidRPr="00FE0D88">
        <w:rPr>
          <w:rFonts w:cstheme="minorHAnsi"/>
        </w:rPr>
        <w:t xml:space="preserve"> </w:t>
      </w:r>
      <w:r w:rsidR="0091357C" w:rsidRPr="00FE0D88">
        <w:rPr>
          <w:rFonts w:cstheme="minorHAnsi"/>
        </w:rPr>
        <w:t xml:space="preserve">Tyto přidělené finanční prostředky </w:t>
      </w:r>
      <w:r w:rsidR="0091357C" w:rsidRPr="00FE0D88">
        <w:rPr>
          <w:rFonts w:cstheme="minorHAnsi"/>
        </w:rPr>
        <w:lastRenderedPageBreak/>
        <w:t>s parametrem „OI“ byly čerpány zejména na nákup výpočetní techniky. Nejvýznamnější výdaje byly za pořízení</w:t>
      </w:r>
      <w:r w:rsidR="00FE0D88" w:rsidRPr="00FE0D88">
        <w:rPr>
          <w:rFonts w:cstheme="minorHAnsi"/>
        </w:rPr>
        <w:t xml:space="preserve"> 25 PC sestav  (395.521,77 Kč),  </w:t>
      </w:r>
      <w:r w:rsidR="00FE0D88">
        <w:rPr>
          <w:rFonts w:cstheme="minorHAnsi"/>
        </w:rPr>
        <w:t>tiskárny ( 31.595,12 Kč),</w:t>
      </w:r>
      <w:r w:rsidR="0091357C" w:rsidRPr="00FE0D88">
        <w:rPr>
          <w:rFonts w:cstheme="minorHAnsi"/>
        </w:rPr>
        <w:t xml:space="preserve"> </w:t>
      </w:r>
      <w:r w:rsidR="00FE0D88" w:rsidRPr="00FE0D88">
        <w:rPr>
          <w:rFonts w:cstheme="minorHAnsi"/>
        </w:rPr>
        <w:t xml:space="preserve">tonery </w:t>
      </w:r>
      <w:r w:rsidR="00FE0D88">
        <w:rPr>
          <w:rFonts w:cstheme="minorHAnsi"/>
        </w:rPr>
        <w:t>(</w:t>
      </w:r>
      <w:r w:rsidR="00FE0D88" w:rsidRPr="00FE0D88">
        <w:rPr>
          <w:rFonts w:cstheme="minorHAnsi"/>
        </w:rPr>
        <w:t>83.450,00  Kč)</w:t>
      </w:r>
      <w:r w:rsidR="00FE0D88">
        <w:rPr>
          <w:rFonts w:cstheme="minorHAnsi"/>
        </w:rPr>
        <w:t>,</w:t>
      </w:r>
      <w:r w:rsidR="00FE0D88" w:rsidRPr="00FE0D88">
        <w:rPr>
          <w:rFonts w:cstheme="minorHAnsi"/>
          <w:sz w:val="24"/>
          <w:szCs w:val="24"/>
        </w:rPr>
        <w:t xml:space="preserve"> dále tiskové služby (27.666,01 Kč), osobní, systémové a komerční certifikáty (10.067,06 Kč), prodloužení záruky na diskové pole (48.983,00 Kč),</w:t>
      </w:r>
      <w:r w:rsidR="00FE0D88">
        <w:rPr>
          <w:rFonts w:cstheme="minorHAnsi"/>
          <w:sz w:val="24"/>
          <w:szCs w:val="24"/>
        </w:rPr>
        <w:t xml:space="preserve"> </w:t>
      </w:r>
      <w:r w:rsidR="00FE0D88" w:rsidRPr="00FE0D88">
        <w:rPr>
          <w:rFonts w:cstheme="minorHAnsi"/>
          <w:sz w:val="24"/>
          <w:szCs w:val="24"/>
        </w:rPr>
        <w:t>prodloužení podpory Basic (26.245,00 Kč), roční kontrola UPS (24.079,00 Kč), telefonní poplatky (22.674,74 Kč) a služby WEB dispečink (7.260,00 Kč).</w:t>
      </w:r>
      <w:r w:rsidR="00FE0D88">
        <w:rPr>
          <w:rFonts w:cstheme="minorHAnsi"/>
          <w:sz w:val="24"/>
          <w:szCs w:val="24"/>
        </w:rPr>
        <w:t xml:space="preserve"> </w:t>
      </w:r>
      <w:r w:rsidR="0091357C" w:rsidRPr="00FE0D88">
        <w:rPr>
          <w:rFonts w:cstheme="minorHAnsi"/>
        </w:rPr>
        <w:t>Veškeré nákupy byly konzultovány informatikem s oddělením informatiky Krajského soudu v Plzni.</w:t>
      </w:r>
    </w:p>
    <w:p w:rsidR="003749B4" w:rsidRPr="00C9684A" w:rsidRDefault="003749B4" w:rsidP="0091357C">
      <w:pPr>
        <w:jc w:val="both"/>
        <w:rPr>
          <w:rFonts w:cstheme="minorHAnsi"/>
          <w:color w:val="FF0000"/>
        </w:rPr>
      </w:pPr>
    </w:p>
    <w:p w:rsidR="0091357C" w:rsidRPr="003749B4" w:rsidRDefault="0091357C" w:rsidP="0091357C">
      <w:pPr>
        <w:jc w:val="both"/>
        <w:rPr>
          <w:rFonts w:cstheme="minorHAnsi"/>
          <w:b/>
        </w:rPr>
      </w:pPr>
      <w:r w:rsidRPr="00C9684A">
        <w:rPr>
          <w:rFonts w:cstheme="minorHAnsi"/>
          <w:color w:val="FF0000"/>
        </w:rPr>
        <w:t xml:space="preserve"> </w:t>
      </w:r>
      <w:r w:rsidRPr="003749B4">
        <w:rPr>
          <w:rFonts w:cstheme="minorHAnsi"/>
          <w:b/>
        </w:rPr>
        <w:t>Přehled o platbách, refundacích a nákladech s</w:t>
      </w:r>
      <w:r w:rsidR="00FE0D88" w:rsidRPr="003749B4">
        <w:rPr>
          <w:rFonts w:cstheme="minorHAnsi"/>
          <w:b/>
        </w:rPr>
        <w:t>oudu na položce 5162 v roce 2022</w:t>
      </w:r>
      <w:r w:rsidRPr="003749B4">
        <w:rPr>
          <w:rFonts w:cstheme="minorHAnsi"/>
          <w:b/>
        </w:rPr>
        <w:t>:</w:t>
      </w:r>
    </w:p>
    <w:tbl>
      <w:tblPr>
        <w:tblStyle w:val="Mkatabulky"/>
        <w:tblW w:w="0" w:type="auto"/>
        <w:tblLook w:val="04A0" w:firstRow="1" w:lastRow="0" w:firstColumn="1" w:lastColumn="0" w:noHBand="0" w:noVBand="1"/>
      </w:tblPr>
      <w:tblGrid>
        <w:gridCol w:w="2118"/>
        <w:gridCol w:w="1776"/>
        <w:gridCol w:w="2145"/>
        <w:gridCol w:w="2317"/>
      </w:tblGrid>
      <w:tr w:rsidR="003749B4" w:rsidRPr="003749B4" w:rsidTr="003749B4">
        <w:trPr>
          <w:trHeight w:val="525"/>
        </w:trPr>
        <w:tc>
          <w:tcPr>
            <w:tcW w:w="2118" w:type="dxa"/>
            <w:vAlign w:val="center"/>
          </w:tcPr>
          <w:p w:rsidR="00FE0D88" w:rsidRPr="003749B4" w:rsidRDefault="00FE0D88" w:rsidP="00E2693F">
            <w:pPr>
              <w:jc w:val="center"/>
              <w:rPr>
                <w:rFonts w:cstheme="minorHAnsi"/>
                <w:b/>
              </w:rPr>
            </w:pPr>
            <w:r w:rsidRPr="003749B4">
              <w:rPr>
                <w:rFonts w:cstheme="minorHAnsi"/>
                <w:b/>
              </w:rPr>
              <w:t>Položka</w:t>
            </w:r>
          </w:p>
        </w:tc>
        <w:tc>
          <w:tcPr>
            <w:tcW w:w="1776" w:type="dxa"/>
            <w:vAlign w:val="center"/>
          </w:tcPr>
          <w:p w:rsidR="00FE0D88" w:rsidRPr="003749B4" w:rsidRDefault="00FE0D88" w:rsidP="00E2693F">
            <w:pPr>
              <w:jc w:val="center"/>
              <w:rPr>
                <w:rFonts w:cstheme="minorHAnsi"/>
                <w:b/>
              </w:rPr>
            </w:pPr>
            <w:r w:rsidRPr="003749B4">
              <w:rPr>
                <w:rFonts w:cstheme="minorHAnsi"/>
                <w:b/>
              </w:rPr>
              <w:t>Zaplaceno v tis. Kč</w:t>
            </w:r>
          </w:p>
        </w:tc>
        <w:tc>
          <w:tcPr>
            <w:tcW w:w="2145" w:type="dxa"/>
            <w:vAlign w:val="center"/>
          </w:tcPr>
          <w:p w:rsidR="00FE0D88" w:rsidRPr="003749B4" w:rsidRDefault="00FE0D88" w:rsidP="00E2693F">
            <w:pPr>
              <w:jc w:val="center"/>
              <w:rPr>
                <w:rFonts w:cstheme="minorHAnsi"/>
                <w:b/>
              </w:rPr>
            </w:pPr>
            <w:r w:rsidRPr="003749B4">
              <w:rPr>
                <w:rFonts w:cstheme="minorHAnsi"/>
                <w:b/>
              </w:rPr>
              <w:t>Refundováno v tis. Kč</w:t>
            </w:r>
          </w:p>
        </w:tc>
        <w:tc>
          <w:tcPr>
            <w:tcW w:w="2317" w:type="dxa"/>
            <w:vAlign w:val="center"/>
          </w:tcPr>
          <w:p w:rsidR="00FE0D88" w:rsidRPr="003749B4" w:rsidRDefault="00FE0D88" w:rsidP="00E2693F">
            <w:pPr>
              <w:jc w:val="center"/>
              <w:rPr>
                <w:rFonts w:cstheme="minorHAnsi"/>
                <w:b/>
              </w:rPr>
            </w:pPr>
            <w:r w:rsidRPr="003749B4">
              <w:rPr>
                <w:rFonts w:cstheme="minorHAnsi"/>
                <w:b/>
              </w:rPr>
              <w:t>Náklady soudu v tis. Kč</w:t>
            </w:r>
          </w:p>
        </w:tc>
      </w:tr>
      <w:tr w:rsidR="003749B4" w:rsidRPr="003749B4" w:rsidTr="003749B4">
        <w:trPr>
          <w:trHeight w:val="270"/>
        </w:trPr>
        <w:tc>
          <w:tcPr>
            <w:tcW w:w="2118" w:type="dxa"/>
          </w:tcPr>
          <w:p w:rsidR="00FE0D88" w:rsidRPr="003749B4" w:rsidRDefault="00FE0D88" w:rsidP="00E2693F">
            <w:pPr>
              <w:jc w:val="both"/>
              <w:rPr>
                <w:rFonts w:cstheme="minorHAnsi"/>
                <w:b/>
              </w:rPr>
            </w:pPr>
            <w:r w:rsidRPr="003749B4">
              <w:rPr>
                <w:rFonts w:cstheme="minorHAnsi"/>
                <w:b/>
              </w:rPr>
              <w:t>Mobilní linky</w:t>
            </w:r>
          </w:p>
        </w:tc>
        <w:tc>
          <w:tcPr>
            <w:tcW w:w="1776" w:type="dxa"/>
            <w:vAlign w:val="bottom"/>
          </w:tcPr>
          <w:p w:rsidR="00FE0D88" w:rsidRPr="003749B4" w:rsidRDefault="003749B4" w:rsidP="003749B4">
            <w:pPr>
              <w:jc w:val="right"/>
              <w:rPr>
                <w:rFonts w:cstheme="minorHAnsi"/>
              </w:rPr>
            </w:pPr>
            <w:r w:rsidRPr="003749B4">
              <w:rPr>
                <w:rFonts w:cstheme="minorHAnsi"/>
              </w:rPr>
              <w:t>14,14</w:t>
            </w:r>
          </w:p>
        </w:tc>
        <w:tc>
          <w:tcPr>
            <w:tcW w:w="2145" w:type="dxa"/>
            <w:vAlign w:val="bottom"/>
          </w:tcPr>
          <w:p w:rsidR="00FE0D88" w:rsidRPr="003749B4" w:rsidRDefault="003749B4" w:rsidP="003749B4">
            <w:pPr>
              <w:jc w:val="right"/>
              <w:rPr>
                <w:rFonts w:cstheme="minorHAnsi"/>
              </w:rPr>
            </w:pPr>
            <w:r w:rsidRPr="003749B4">
              <w:rPr>
                <w:rFonts w:cstheme="minorHAnsi"/>
              </w:rPr>
              <w:t>0,13</w:t>
            </w:r>
          </w:p>
        </w:tc>
        <w:tc>
          <w:tcPr>
            <w:tcW w:w="2317" w:type="dxa"/>
            <w:vAlign w:val="bottom"/>
          </w:tcPr>
          <w:p w:rsidR="00FE0D88" w:rsidRPr="003749B4" w:rsidRDefault="003749B4" w:rsidP="00E2693F">
            <w:pPr>
              <w:jc w:val="right"/>
              <w:rPr>
                <w:rFonts w:cstheme="minorHAnsi"/>
              </w:rPr>
            </w:pPr>
            <w:r w:rsidRPr="003749B4">
              <w:rPr>
                <w:rFonts w:cstheme="minorHAnsi"/>
              </w:rPr>
              <w:t>14,01</w:t>
            </w:r>
          </w:p>
        </w:tc>
      </w:tr>
      <w:tr w:rsidR="003749B4" w:rsidRPr="003749B4" w:rsidTr="003749B4">
        <w:trPr>
          <w:trHeight w:val="270"/>
        </w:trPr>
        <w:tc>
          <w:tcPr>
            <w:tcW w:w="2118" w:type="dxa"/>
          </w:tcPr>
          <w:p w:rsidR="00FE0D88" w:rsidRPr="003749B4" w:rsidRDefault="00FE0D88" w:rsidP="00E2693F">
            <w:pPr>
              <w:jc w:val="both"/>
              <w:rPr>
                <w:rFonts w:cstheme="minorHAnsi"/>
                <w:b/>
              </w:rPr>
            </w:pPr>
            <w:r w:rsidRPr="003749B4">
              <w:rPr>
                <w:rFonts w:cstheme="minorHAnsi"/>
                <w:b/>
              </w:rPr>
              <w:t>Pevné linky</w:t>
            </w:r>
          </w:p>
        </w:tc>
        <w:tc>
          <w:tcPr>
            <w:tcW w:w="1776" w:type="dxa"/>
            <w:vAlign w:val="bottom"/>
          </w:tcPr>
          <w:p w:rsidR="00FE0D88" w:rsidRPr="003749B4" w:rsidRDefault="00FE0D88" w:rsidP="00E2693F">
            <w:pPr>
              <w:jc w:val="right"/>
              <w:rPr>
                <w:rFonts w:cstheme="minorHAnsi"/>
              </w:rPr>
            </w:pPr>
            <w:r w:rsidRPr="003749B4">
              <w:rPr>
                <w:rFonts w:cstheme="minorHAnsi"/>
              </w:rPr>
              <w:t>8,66</w:t>
            </w:r>
          </w:p>
        </w:tc>
        <w:tc>
          <w:tcPr>
            <w:tcW w:w="2145" w:type="dxa"/>
            <w:vAlign w:val="bottom"/>
          </w:tcPr>
          <w:p w:rsidR="00FE0D88" w:rsidRPr="003749B4" w:rsidRDefault="003749B4" w:rsidP="00E2693F">
            <w:pPr>
              <w:jc w:val="right"/>
              <w:rPr>
                <w:rFonts w:cstheme="minorHAnsi"/>
              </w:rPr>
            </w:pPr>
            <w:r w:rsidRPr="003749B4">
              <w:rPr>
                <w:rFonts w:cstheme="minorHAnsi"/>
              </w:rPr>
              <w:t>0,00</w:t>
            </w:r>
          </w:p>
        </w:tc>
        <w:tc>
          <w:tcPr>
            <w:tcW w:w="2317" w:type="dxa"/>
            <w:vAlign w:val="bottom"/>
          </w:tcPr>
          <w:p w:rsidR="00FE0D88" w:rsidRPr="003749B4" w:rsidRDefault="003749B4" w:rsidP="00E2693F">
            <w:pPr>
              <w:jc w:val="right"/>
              <w:rPr>
                <w:rFonts w:cstheme="minorHAnsi"/>
              </w:rPr>
            </w:pPr>
            <w:r w:rsidRPr="003749B4">
              <w:rPr>
                <w:rFonts w:cstheme="minorHAnsi"/>
              </w:rPr>
              <w:t>8,66</w:t>
            </w:r>
          </w:p>
        </w:tc>
      </w:tr>
      <w:tr w:rsidR="003749B4" w:rsidRPr="003749B4" w:rsidTr="003749B4">
        <w:trPr>
          <w:trHeight w:val="255"/>
        </w:trPr>
        <w:tc>
          <w:tcPr>
            <w:tcW w:w="2118" w:type="dxa"/>
          </w:tcPr>
          <w:p w:rsidR="00FE0D88" w:rsidRPr="003749B4" w:rsidRDefault="00FE0D88" w:rsidP="00E2693F">
            <w:pPr>
              <w:jc w:val="both"/>
              <w:rPr>
                <w:rFonts w:cstheme="minorHAnsi"/>
                <w:b/>
              </w:rPr>
            </w:pPr>
            <w:r w:rsidRPr="003749B4">
              <w:rPr>
                <w:rFonts w:cstheme="minorHAnsi"/>
                <w:b/>
              </w:rPr>
              <w:t>Celkem</w:t>
            </w:r>
          </w:p>
        </w:tc>
        <w:tc>
          <w:tcPr>
            <w:tcW w:w="1776" w:type="dxa"/>
            <w:vAlign w:val="bottom"/>
          </w:tcPr>
          <w:p w:rsidR="00FE0D88" w:rsidRPr="003749B4" w:rsidRDefault="003749B4" w:rsidP="00E2693F">
            <w:pPr>
              <w:jc w:val="right"/>
              <w:rPr>
                <w:rFonts w:cstheme="minorHAnsi"/>
                <w:b/>
              </w:rPr>
            </w:pPr>
            <w:r w:rsidRPr="003749B4">
              <w:rPr>
                <w:rFonts w:cstheme="minorHAnsi"/>
                <w:b/>
              </w:rPr>
              <w:t>22,80</w:t>
            </w:r>
          </w:p>
        </w:tc>
        <w:tc>
          <w:tcPr>
            <w:tcW w:w="2145" w:type="dxa"/>
            <w:vAlign w:val="bottom"/>
          </w:tcPr>
          <w:p w:rsidR="00FE0D88" w:rsidRPr="003749B4" w:rsidRDefault="003749B4" w:rsidP="00E2693F">
            <w:pPr>
              <w:jc w:val="right"/>
              <w:rPr>
                <w:rFonts w:cstheme="minorHAnsi"/>
                <w:b/>
              </w:rPr>
            </w:pPr>
            <w:r w:rsidRPr="003749B4">
              <w:rPr>
                <w:rFonts w:cstheme="minorHAnsi"/>
                <w:b/>
              </w:rPr>
              <w:t>0,13</w:t>
            </w:r>
          </w:p>
        </w:tc>
        <w:tc>
          <w:tcPr>
            <w:tcW w:w="2317" w:type="dxa"/>
            <w:vAlign w:val="bottom"/>
          </w:tcPr>
          <w:p w:rsidR="00FE0D88" w:rsidRPr="003749B4" w:rsidRDefault="003749B4" w:rsidP="00E2693F">
            <w:pPr>
              <w:jc w:val="right"/>
              <w:rPr>
                <w:rFonts w:cstheme="minorHAnsi"/>
                <w:b/>
              </w:rPr>
            </w:pPr>
            <w:r w:rsidRPr="003749B4">
              <w:rPr>
                <w:rFonts w:cstheme="minorHAnsi"/>
                <w:b/>
              </w:rPr>
              <w:t>22,67</w:t>
            </w:r>
          </w:p>
        </w:tc>
      </w:tr>
    </w:tbl>
    <w:p w:rsidR="00B3183E" w:rsidRPr="003749B4" w:rsidRDefault="00B3183E" w:rsidP="00AE1E17">
      <w:pPr>
        <w:rPr>
          <w:rFonts w:cstheme="minorHAnsi"/>
        </w:rPr>
      </w:pPr>
    </w:p>
    <w:p w:rsidR="003749B4" w:rsidRPr="00C9684A" w:rsidRDefault="003749B4" w:rsidP="00AE1E17">
      <w:pPr>
        <w:rPr>
          <w:rFonts w:cstheme="minorHAnsi"/>
          <w:color w:val="FF0000"/>
        </w:rPr>
      </w:pPr>
    </w:p>
    <w:p w:rsidR="00207413" w:rsidRDefault="00207413" w:rsidP="00ED5733">
      <w:pPr>
        <w:pStyle w:val="Nadpis2"/>
      </w:pPr>
      <w:bookmarkStart w:id="43" w:name="_Toc124839835"/>
      <w:r w:rsidRPr="00C9684A">
        <w:t>Rozbor OBKŘ</w:t>
      </w:r>
      <w:bookmarkEnd w:id="43"/>
    </w:p>
    <w:p w:rsidR="00637AA2" w:rsidRPr="00C9684A" w:rsidRDefault="00B5473A" w:rsidP="00637AA2">
      <w:pPr>
        <w:rPr>
          <w:rFonts w:cstheme="minorHAnsi"/>
          <w:color w:val="FF0000"/>
        </w:rPr>
      </w:pPr>
      <w:r w:rsidRPr="00C9684A">
        <w:rPr>
          <w:rFonts w:cstheme="minorHAnsi"/>
          <w:color w:val="FF0000"/>
        </w:rPr>
        <w:t xml:space="preserve"> </w:t>
      </w:r>
    </w:p>
    <w:bookmarkStart w:id="44" w:name="_MON_1671628205"/>
    <w:bookmarkEnd w:id="44"/>
    <w:p w:rsidR="00637AA2" w:rsidRPr="00C9684A" w:rsidRDefault="0034003A" w:rsidP="00637AA2">
      <w:pPr>
        <w:rPr>
          <w:rFonts w:cstheme="minorHAnsi"/>
          <w:color w:val="FF0000"/>
        </w:rPr>
      </w:pPr>
      <w:r w:rsidRPr="00C9684A">
        <w:rPr>
          <w:rFonts w:cstheme="minorHAnsi"/>
          <w:color w:val="FF0000"/>
        </w:rPr>
        <w:object w:dxaOrig="9490" w:dyaOrig="4043" w14:anchorId="2F6A6A95">
          <v:shape id="_x0000_i1042" type="#_x0000_t75" style="width:462pt;height:197.25pt" o:ole="">
            <v:imagedata r:id="rId44" o:title=""/>
          </v:shape>
          <o:OLEObject Type="Embed" ProgID="Excel.Sheet.12" ShapeID="_x0000_i1042" DrawAspect="Content" ObjectID="_1738644122" r:id="rId45"/>
        </w:object>
      </w:r>
    </w:p>
    <w:p w:rsidR="009B201E" w:rsidRPr="00C9684A" w:rsidRDefault="009B201E" w:rsidP="00B5473A">
      <w:pPr>
        <w:jc w:val="both"/>
        <w:rPr>
          <w:rFonts w:cstheme="minorHAnsi"/>
          <w:color w:val="FF0000"/>
        </w:rPr>
      </w:pPr>
    </w:p>
    <w:p w:rsidR="009B201E" w:rsidRPr="00C9684A" w:rsidRDefault="009B201E" w:rsidP="00B5473A">
      <w:pPr>
        <w:jc w:val="both"/>
        <w:rPr>
          <w:rFonts w:cstheme="minorHAnsi"/>
          <w:color w:val="FF0000"/>
        </w:rPr>
      </w:pPr>
    </w:p>
    <w:p w:rsidR="00D12FE1" w:rsidRPr="00C9684A" w:rsidRDefault="006D3A17" w:rsidP="00B5473A">
      <w:pPr>
        <w:jc w:val="both"/>
        <w:rPr>
          <w:rFonts w:cstheme="minorHAnsi"/>
          <w:color w:val="FF0000"/>
        </w:rPr>
      </w:pPr>
      <w:r w:rsidRPr="009D6B4E">
        <w:rPr>
          <w:rFonts w:cstheme="minorHAnsi"/>
          <w:color w:val="000000" w:themeColor="text1"/>
        </w:rPr>
        <w:t>R</w:t>
      </w:r>
      <w:r w:rsidR="00AC1AF9" w:rsidRPr="009D6B4E">
        <w:rPr>
          <w:rFonts w:cstheme="minorHAnsi"/>
          <w:color w:val="000000" w:themeColor="text1"/>
        </w:rPr>
        <w:t>ozpočet v</w:t>
      </w:r>
      <w:r w:rsidR="0031785F" w:rsidRPr="009D6B4E">
        <w:rPr>
          <w:rFonts w:cstheme="minorHAnsi"/>
          <w:color w:val="000000" w:themeColor="text1"/>
        </w:rPr>
        <w:t xml:space="preserve">ýdajů s parametrem OBKŘ byl  </w:t>
      </w:r>
      <w:r w:rsidR="000E16C6">
        <w:rPr>
          <w:rFonts w:cstheme="minorHAnsi"/>
          <w:color w:val="000000" w:themeColor="text1"/>
        </w:rPr>
        <w:t xml:space="preserve">schválen ve výši </w:t>
      </w:r>
      <w:r w:rsidR="0031785F" w:rsidRPr="009D6B4E">
        <w:rPr>
          <w:rFonts w:cstheme="minorHAnsi"/>
          <w:color w:val="000000" w:themeColor="text1"/>
        </w:rPr>
        <w:t>216.24</w:t>
      </w:r>
      <w:r w:rsidR="00AC1AF9" w:rsidRPr="009D6B4E">
        <w:rPr>
          <w:rFonts w:cstheme="minorHAnsi"/>
          <w:color w:val="000000" w:themeColor="text1"/>
        </w:rPr>
        <w:t>0,00  Kč. V průběhu roku  bylo povoleno zapojit NNV ve výši</w:t>
      </w:r>
      <w:r w:rsidR="009D6B4E" w:rsidRPr="009D6B4E">
        <w:rPr>
          <w:rFonts w:cstheme="minorHAnsi"/>
          <w:color w:val="000000" w:themeColor="text1"/>
        </w:rPr>
        <w:t xml:space="preserve"> </w:t>
      </w:r>
      <w:r w:rsidR="0031785F" w:rsidRPr="009D6B4E">
        <w:rPr>
          <w:rFonts w:cstheme="minorHAnsi"/>
          <w:color w:val="000000" w:themeColor="text1"/>
        </w:rPr>
        <w:t xml:space="preserve">120.865,05 Kč, </w:t>
      </w:r>
      <w:r w:rsidR="00AC1AF9" w:rsidRPr="009D6B4E">
        <w:rPr>
          <w:rFonts w:cstheme="minorHAnsi"/>
          <w:color w:val="000000" w:themeColor="text1"/>
        </w:rPr>
        <w:t xml:space="preserve">tyto prostředky byly zcela vyčerpány. </w:t>
      </w:r>
      <w:r w:rsidR="00B5473A" w:rsidRPr="009D6B4E">
        <w:rPr>
          <w:rFonts w:cstheme="minorHAnsi"/>
          <w:color w:val="000000" w:themeColor="text1"/>
        </w:rPr>
        <w:t>Tyto přidělené finanční pros</w:t>
      </w:r>
      <w:r w:rsidR="0031785F" w:rsidRPr="009D6B4E">
        <w:rPr>
          <w:rFonts w:cstheme="minorHAnsi"/>
          <w:color w:val="000000" w:themeColor="text1"/>
        </w:rPr>
        <w:t xml:space="preserve">tředky s parametrem „OBKŘ“ byly čerpány zejména na </w:t>
      </w:r>
      <w:r w:rsidR="0031785F" w:rsidRPr="009D6B4E">
        <w:rPr>
          <w:rFonts w:cstheme="minorHAnsi"/>
          <w:color w:val="000000" w:themeColor="text1"/>
          <w:sz w:val="24"/>
          <w:szCs w:val="24"/>
        </w:rPr>
        <w:t>revize zařízení bránícím průniku osob do budovy (rentgen, průchozí rám, CCTV, EZS v celkové výši 65.539,00 Kč</w:t>
      </w:r>
      <w:r w:rsidR="0031785F" w:rsidRPr="00C87433">
        <w:rPr>
          <w:rFonts w:cstheme="minorHAnsi"/>
          <w:sz w:val="24"/>
          <w:szCs w:val="24"/>
        </w:rPr>
        <w:t>),</w:t>
      </w:r>
      <w:r w:rsidR="0031785F" w:rsidRPr="0031785F">
        <w:rPr>
          <w:rFonts w:cstheme="minorHAnsi"/>
          <w:sz w:val="24"/>
          <w:szCs w:val="24"/>
        </w:rPr>
        <w:t xml:space="preserve"> </w:t>
      </w:r>
      <w:r w:rsidR="0031785F">
        <w:rPr>
          <w:rFonts w:cstheme="minorHAnsi"/>
          <w:sz w:val="24"/>
          <w:szCs w:val="24"/>
        </w:rPr>
        <w:t xml:space="preserve"> </w:t>
      </w:r>
      <w:r w:rsidR="003E2FEF">
        <w:rPr>
          <w:rFonts w:cstheme="minorHAnsi"/>
          <w:sz w:val="24"/>
          <w:szCs w:val="24"/>
        </w:rPr>
        <w:t>měření s</w:t>
      </w:r>
      <w:r w:rsidR="003E2FEF" w:rsidRPr="003E2FEF">
        <w:rPr>
          <w:rFonts w:cstheme="minorHAnsi"/>
          <w:sz w:val="24"/>
          <w:szCs w:val="24"/>
        </w:rPr>
        <w:t xml:space="preserve">valové zátěže zaměstnanců (56.265,00 Kč). </w:t>
      </w:r>
      <w:r w:rsidR="00CA3085">
        <w:rPr>
          <w:rFonts w:cstheme="minorHAnsi"/>
        </w:rPr>
        <w:t>D</w:t>
      </w:r>
      <w:r w:rsidR="00B5473A" w:rsidRPr="003E2FEF">
        <w:rPr>
          <w:rFonts w:cstheme="minorHAnsi"/>
        </w:rPr>
        <w:t xml:space="preserve">ále byly </w:t>
      </w:r>
      <w:r w:rsidR="00CA3085">
        <w:rPr>
          <w:rFonts w:cstheme="minorHAnsi"/>
        </w:rPr>
        <w:t xml:space="preserve">na základě mandátní smlouvy </w:t>
      </w:r>
      <w:r w:rsidR="00B5473A" w:rsidRPr="003E2FEF">
        <w:rPr>
          <w:rFonts w:cstheme="minorHAnsi"/>
        </w:rPr>
        <w:t xml:space="preserve">hrazeny služby </w:t>
      </w:r>
      <w:r w:rsidR="00B5473A" w:rsidRPr="003E2FEF">
        <w:rPr>
          <w:rFonts w:cstheme="minorHAnsi"/>
        </w:rPr>
        <w:lastRenderedPageBreak/>
        <w:t>požární ochrany</w:t>
      </w:r>
      <w:r w:rsidR="003E2375" w:rsidRPr="003E2FEF">
        <w:rPr>
          <w:rFonts w:cstheme="minorHAnsi"/>
        </w:rPr>
        <w:t xml:space="preserve"> (17.136,00 Kč)</w:t>
      </w:r>
      <w:r w:rsidR="00CA3085">
        <w:rPr>
          <w:rFonts w:cstheme="minorHAnsi"/>
        </w:rPr>
        <w:t xml:space="preserve">. </w:t>
      </w:r>
      <w:r w:rsidR="00B5473A" w:rsidRPr="003E2FEF">
        <w:rPr>
          <w:rFonts w:cstheme="minorHAnsi"/>
        </w:rPr>
        <w:t xml:space="preserve"> </w:t>
      </w:r>
      <w:r w:rsidR="003E2FEF" w:rsidRPr="00C87433">
        <w:rPr>
          <w:rFonts w:cstheme="minorHAnsi"/>
        </w:rPr>
        <w:t>Za opra</w:t>
      </w:r>
      <w:r w:rsidR="003E2FEF">
        <w:rPr>
          <w:rFonts w:cstheme="minorHAnsi"/>
        </w:rPr>
        <w:t>vy a udržování</w:t>
      </w:r>
      <w:r w:rsidR="003E2FEF" w:rsidRPr="00C87433">
        <w:rPr>
          <w:rFonts w:cstheme="minorHAnsi"/>
        </w:rPr>
        <w:t xml:space="preserve"> bylo zap</w:t>
      </w:r>
      <w:r w:rsidR="00CA3085">
        <w:rPr>
          <w:rFonts w:cstheme="minorHAnsi"/>
        </w:rPr>
        <w:t>laceno celkem 41.763,00 Kč. Tyto výdaje byly za</w:t>
      </w:r>
      <w:r w:rsidR="003E2FEF" w:rsidRPr="00C87433">
        <w:rPr>
          <w:rFonts w:cstheme="minorHAnsi"/>
        </w:rPr>
        <w:t xml:space="preserve"> opravu kamerového systému (22.491,00 Kč), elektronického zabezpečovacíh</w:t>
      </w:r>
      <w:r w:rsidR="00CA3085">
        <w:rPr>
          <w:rFonts w:cstheme="minorHAnsi"/>
        </w:rPr>
        <w:t>o systému (9.646,00 Kč) a výměnu</w:t>
      </w:r>
      <w:r w:rsidR="003E2FEF" w:rsidRPr="00C87433">
        <w:rPr>
          <w:rFonts w:cstheme="minorHAnsi"/>
        </w:rPr>
        <w:t xml:space="preserve"> akumulátorů  v EZS (9.626,00 Kč).</w:t>
      </w:r>
      <w:r w:rsidR="003E2FEF">
        <w:rPr>
          <w:rFonts w:cstheme="minorHAnsi"/>
        </w:rPr>
        <w:t xml:space="preserve"> Dále bylo hrazeno </w:t>
      </w:r>
      <w:r w:rsidR="00CA3085">
        <w:rPr>
          <w:rFonts w:cstheme="minorHAnsi"/>
        </w:rPr>
        <w:t xml:space="preserve">pravidelné </w:t>
      </w:r>
      <w:r w:rsidR="003E2FEF" w:rsidRPr="003E2FEF">
        <w:rPr>
          <w:rFonts w:cstheme="minorHAnsi"/>
        </w:rPr>
        <w:t>školení řidičů (2.420,00 Kč) a zaměstnanců na základní normu zdravotnických znalostí – první pomoc (3.025,00 Kč).</w:t>
      </w:r>
    </w:p>
    <w:p w:rsidR="009B201E" w:rsidRDefault="009B201E" w:rsidP="00B5473A">
      <w:pPr>
        <w:jc w:val="both"/>
        <w:rPr>
          <w:rFonts w:cstheme="minorHAnsi"/>
          <w:color w:val="FF0000"/>
        </w:rPr>
      </w:pPr>
    </w:p>
    <w:p w:rsidR="008A08D2" w:rsidRPr="00C9684A" w:rsidRDefault="008A08D2" w:rsidP="00B5473A">
      <w:pPr>
        <w:jc w:val="both"/>
        <w:rPr>
          <w:rFonts w:cstheme="minorHAnsi"/>
          <w:color w:val="FF0000"/>
        </w:rPr>
      </w:pPr>
    </w:p>
    <w:p w:rsidR="00D12FE1" w:rsidRPr="00C9684A" w:rsidRDefault="00D12FE1" w:rsidP="00ED5733">
      <w:pPr>
        <w:pStyle w:val="Nadpis2"/>
      </w:pPr>
      <w:bookmarkStart w:id="45" w:name="_Toc124839836"/>
      <w:bookmarkStart w:id="46" w:name="_Toc534878031"/>
      <w:r w:rsidRPr="00C9684A">
        <w:t>Dávky sociálního zabezpečení</w:t>
      </w:r>
      <w:bookmarkEnd w:id="45"/>
      <w:r w:rsidRPr="00C9684A">
        <w:t xml:space="preserve"> </w:t>
      </w:r>
      <w:r w:rsidR="00DA6CC2">
        <w:t xml:space="preserve"> </w:t>
      </w:r>
    </w:p>
    <w:p w:rsidR="00D12FE1" w:rsidRPr="00C9684A" w:rsidRDefault="00D12FE1" w:rsidP="00D12FE1">
      <w:pPr>
        <w:rPr>
          <w:color w:val="FF0000"/>
        </w:rPr>
      </w:pPr>
    </w:p>
    <w:p w:rsidR="00D12FE1" w:rsidRPr="00C9684A" w:rsidRDefault="00D12FE1" w:rsidP="00ED5733">
      <w:pPr>
        <w:pStyle w:val="Nadpis2"/>
      </w:pPr>
      <w:bookmarkStart w:id="47" w:name="_Toc124839837"/>
      <w:r w:rsidRPr="00C9684A">
        <w:t>Projekty spolufinancované z EU/FM</w:t>
      </w:r>
      <w:bookmarkEnd w:id="47"/>
    </w:p>
    <w:p w:rsidR="00D12FE1" w:rsidRPr="003E2FEF" w:rsidRDefault="00330424" w:rsidP="00BF1FB4">
      <w:r w:rsidRPr="003E2FEF">
        <w:t xml:space="preserve">V roce 2022 </w:t>
      </w:r>
      <w:r w:rsidR="003E2FEF" w:rsidRPr="003E2FEF">
        <w:t>nebyly žádné takové projekty</w:t>
      </w:r>
      <w:r w:rsidR="003E2FEF">
        <w:t>.</w:t>
      </w:r>
    </w:p>
    <w:p w:rsidR="00D12FE1" w:rsidRPr="00C9684A" w:rsidRDefault="00D12FE1" w:rsidP="00D12FE1">
      <w:pPr>
        <w:rPr>
          <w:color w:val="FF0000"/>
        </w:rPr>
      </w:pPr>
    </w:p>
    <w:p w:rsidR="00A21E25" w:rsidRDefault="00A21E25" w:rsidP="00ED5733">
      <w:pPr>
        <w:pStyle w:val="Nadpis2"/>
      </w:pPr>
      <w:bookmarkStart w:id="48" w:name="_Toc124839838"/>
      <w:r w:rsidRPr="00C9684A">
        <w:t>Hodnocení a vývoj transferů poskytnutých příspěvkovým a podobným organizacím</w:t>
      </w:r>
      <w:bookmarkEnd w:id="48"/>
    </w:p>
    <w:p w:rsidR="008A08D2" w:rsidRPr="008A08D2" w:rsidRDefault="008A08D2" w:rsidP="008A08D2"/>
    <w:p w:rsidR="00A21E25" w:rsidRDefault="00A21E25" w:rsidP="00ED5733">
      <w:pPr>
        <w:pStyle w:val="Nadpis2"/>
      </w:pPr>
      <w:bookmarkStart w:id="49" w:name="_Toc124839839"/>
      <w:r w:rsidRPr="00C9684A">
        <w:t>Neinvestiční transfery a související platby do zahraničí (seskupení 55)</w:t>
      </w:r>
      <w:bookmarkEnd w:id="49"/>
    </w:p>
    <w:p w:rsidR="008A08D2" w:rsidRPr="008A08D2" w:rsidRDefault="008A08D2" w:rsidP="008A08D2"/>
    <w:p w:rsidR="00624DB5" w:rsidRDefault="00A21E25" w:rsidP="00ED5733">
      <w:pPr>
        <w:pStyle w:val="Nadpis2"/>
      </w:pPr>
      <w:bookmarkStart w:id="50" w:name="_Toc124839840"/>
      <w:r w:rsidRPr="00C9684A">
        <w:t xml:space="preserve">Čerpání a vývoj transferů poskytnutých neziskovým a podobným </w:t>
      </w:r>
      <w:r w:rsidR="00624DB5">
        <w:t>organizacím</w:t>
      </w:r>
      <w:bookmarkEnd w:id="50"/>
    </w:p>
    <w:p w:rsidR="008A08D2" w:rsidRPr="008A08D2" w:rsidRDefault="008A08D2" w:rsidP="008A08D2"/>
    <w:p w:rsidR="00A21E25" w:rsidRDefault="00624DB5" w:rsidP="00ED5733">
      <w:pPr>
        <w:pStyle w:val="Nadpis2"/>
      </w:pPr>
      <w:bookmarkStart w:id="51" w:name="_Toc124839841"/>
      <w:r>
        <w:t>Předsednictví v Radě EU (CZ PŘES)</w:t>
      </w:r>
      <w:bookmarkEnd w:id="51"/>
    </w:p>
    <w:p w:rsidR="00624DB5" w:rsidRDefault="00624DB5" w:rsidP="00624DB5"/>
    <w:p w:rsidR="008A08D2" w:rsidRDefault="008A08D2" w:rsidP="00624DB5"/>
    <w:p w:rsidR="008A08D2" w:rsidRDefault="008A08D2" w:rsidP="00624DB5"/>
    <w:p w:rsidR="000D787C" w:rsidRDefault="000D787C" w:rsidP="00624DB5"/>
    <w:p w:rsidR="00DA6CC2" w:rsidRDefault="00DA6CC2" w:rsidP="00624DB5"/>
    <w:p w:rsidR="00DA6CC2" w:rsidRDefault="00DA6CC2" w:rsidP="00624DB5"/>
    <w:p w:rsidR="00DA6CC2" w:rsidRDefault="00DA6CC2" w:rsidP="00624DB5"/>
    <w:p w:rsidR="001A709F" w:rsidRPr="00C9684A" w:rsidRDefault="001A709F" w:rsidP="000D787C">
      <w:pPr>
        <w:pStyle w:val="Nadpis2"/>
      </w:pPr>
      <w:bookmarkStart w:id="52" w:name="_Toc124839842"/>
      <w:r w:rsidRPr="00C9684A">
        <w:lastRenderedPageBreak/>
        <w:t>Program</w:t>
      </w:r>
      <w:r w:rsidR="00751267" w:rsidRPr="00C9684A">
        <w:t>ové</w:t>
      </w:r>
      <w:r w:rsidR="00934DAC" w:rsidRPr="00C9684A">
        <w:t xml:space="preserve"> </w:t>
      </w:r>
      <w:r w:rsidR="00751267" w:rsidRPr="00C9684A">
        <w:t>financování</w:t>
      </w:r>
      <w:bookmarkEnd w:id="52"/>
      <w:r w:rsidR="00934DAC" w:rsidRPr="00C9684A">
        <w:t xml:space="preserve"> </w:t>
      </w:r>
      <w:bookmarkEnd w:id="46"/>
    </w:p>
    <w:p w:rsidR="00751267" w:rsidRPr="00C9684A" w:rsidRDefault="00C943E3" w:rsidP="006D10DA">
      <w:pPr>
        <w:pStyle w:val="Nadpis3"/>
      </w:pPr>
      <w:r w:rsidRPr="00C9684A">
        <w:t xml:space="preserve"> </w:t>
      </w:r>
      <w:bookmarkStart w:id="53" w:name="_Toc124839843"/>
      <w:r w:rsidR="00751267" w:rsidRPr="00C9684A">
        <w:t>Hodnocení výdajů programového financování</w:t>
      </w:r>
      <w:bookmarkEnd w:id="53"/>
    </w:p>
    <w:p w:rsidR="00751267" w:rsidRPr="00C9684A" w:rsidRDefault="00751267" w:rsidP="00611FED">
      <w:pPr>
        <w:pStyle w:val="Nadpis3"/>
        <w:numPr>
          <w:ilvl w:val="0"/>
          <w:numId w:val="0"/>
        </w:numPr>
        <w:ind w:left="720"/>
      </w:pPr>
    </w:p>
    <w:p w:rsidR="00751267" w:rsidRPr="003E2FEF" w:rsidRDefault="00751267" w:rsidP="00751267">
      <w:pPr>
        <w:ind w:firstLine="284"/>
        <w:contextualSpacing/>
        <w:rPr>
          <w:rFonts w:cstheme="minorHAnsi"/>
        </w:rPr>
      </w:pPr>
      <w:r w:rsidRPr="003E2FEF">
        <w:rPr>
          <w:rFonts w:cstheme="minorHAnsi"/>
        </w:rPr>
        <w:t>V rámci programového financování bylo v hodnoceném roce:</w:t>
      </w:r>
    </w:p>
    <w:p w:rsidR="00751267" w:rsidRPr="003E2FEF" w:rsidRDefault="00751267" w:rsidP="000A7BB1">
      <w:pPr>
        <w:pStyle w:val="Odstavecseseznamem"/>
        <w:numPr>
          <w:ilvl w:val="0"/>
          <w:numId w:val="2"/>
        </w:numPr>
        <w:rPr>
          <w:rFonts w:cstheme="minorHAnsi"/>
        </w:rPr>
      </w:pPr>
      <w:r w:rsidRPr="003E2FEF">
        <w:rPr>
          <w:rFonts w:cstheme="minorHAnsi"/>
        </w:rPr>
        <w:t xml:space="preserve">Realizováno: </w:t>
      </w:r>
      <w:r w:rsidRPr="003E2FEF">
        <w:rPr>
          <w:rFonts w:cstheme="minorHAnsi"/>
        </w:rPr>
        <w:tab/>
      </w:r>
      <w:r w:rsidRPr="003E2FEF">
        <w:rPr>
          <w:rFonts w:cstheme="minorHAnsi"/>
        </w:rPr>
        <w:tab/>
        <w:t xml:space="preserve"> </w:t>
      </w:r>
      <w:r w:rsidR="003E2FEF" w:rsidRPr="003E2FEF">
        <w:rPr>
          <w:rFonts w:cstheme="minorHAnsi"/>
        </w:rPr>
        <w:t>1</w:t>
      </w:r>
      <w:r w:rsidR="00B76034" w:rsidRPr="003E2FEF">
        <w:rPr>
          <w:rFonts w:cstheme="minorHAnsi"/>
        </w:rPr>
        <w:t xml:space="preserve"> akce</w:t>
      </w:r>
    </w:p>
    <w:p w:rsidR="00751267" w:rsidRPr="003E2FEF" w:rsidRDefault="003E2FEF" w:rsidP="000A7BB1">
      <w:pPr>
        <w:pStyle w:val="Odstavecseseznamem"/>
        <w:numPr>
          <w:ilvl w:val="0"/>
          <w:numId w:val="2"/>
        </w:numPr>
        <w:rPr>
          <w:rFonts w:cstheme="minorHAnsi"/>
        </w:rPr>
      </w:pPr>
      <w:r w:rsidRPr="003E2FEF">
        <w:rPr>
          <w:rFonts w:cstheme="minorHAnsi"/>
        </w:rPr>
        <w:t>Dokončeno:</w:t>
      </w:r>
      <w:r w:rsidRPr="003E2FEF">
        <w:rPr>
          <w:rFonts w:cstheme="minorHAnsi"/>
        </w:rPr>
        <w:tab/>
      </w:r>
      <w:r w:rsidRPr="003E2FEF">
        <w:rPr>
          <w:rFonts w:cstheme="minorHAnsi"/>
        </w:rPr>
        <w:tab/>
        <w:t xml:space="preserve"> 0</w:t>
      </w:r>
      <w:r w:rsidR="00B76034" w:rsidRPr="003E2FEF">
        <w:rPr>
          <w:rFonts w:cstheme="minorHAnsi"/>
        </w:rPr>
        <w:t xml:space="preserve"> akce</w:t>
      </w:r>
    </w:p>
    <w:bookmarkStart w:id="54" w:name="_MON_1671629406"/>
    <w:bookmarkEnd w:id="54"/>
    <w:p w:rsidR="008C036F" w:rsidRPr="00C9684A" w:rsidRDefault="00CD412D" w:rsidP="008C036F">
      <w:pPr>
        <w:spacing w:after="0"/>
        <w:jc w:val="center"/>
        <w:rPr>
          <w:rFonts w:cstheme="minorHAnsi"/>
          <w:color w:val="FF0000"/>
        </w:rPr>
      </w:pPr>
      <w:r w:rsidRPr="00C9684A">
        <w:rPr>
          <w:rFonts w:cstheme="minorHAnsi"/>
          <w:color w:val="FF0000"/>
        </w:rPr>
        <w:object w:dxaOrig="9471" w:dyaOrig="2385" w14:anchorId="195EB3FE">
          <v:shape id="_x0000_i1043" type="#_x0000_t75" style="width:437.25pt;height:110.25pt" o:ole="">
            <v:imagedata r:id="rId46" o:title=""/>
          </v:shape>
          <o:OLEObject Type="Embed" ProgID="Excel.Sheet.12" ShapeID="_x0000_i1043" DrawAspect="Content" ObjectID="_1738644123" r:id="rId47"/>
        </w:object>
      </w:r>
    </w:p>
    <w:p w:rsidR="008A08D2" w:rsidRDefault="008A08D2" w:rsidP="00751267">
      <w:pPr>
        <w:pStyle w:val="Titulek"/>
        <w:keepNext/>
        <w:tabs>
          <w:tab w:val="right" w:pos="9638"/>
        </w:tabs>
        <w:rPr>
          <w:rFonts w:cstheme="minorHAnsi"/>
        </w:rPr>
      </w:pPr>
    </w:p>
    <w:p w:rsidR="00110A15" w:rsidRPr="009E52D3" w:rsidRDefault="00A7561B" w:rsidP="00751267">
      <w:pPr>
        <w:pStyle w:val="Titulek"/>
        <w:keepNext/>
        <w:tabs>
          <w:tab w:val="right" w:pos="9638"/>
        </w:tabs>
        <w:rPr>
          <w:rFonts w:cstheme="minorHAnsi"/>
        </w:rPr>
      </w:pPr>
      <w:r w:rsidRPr="009E52D3">
        <w:rPr>
          <w:rFonts w:cstheme="minorHAnsi"/>
        </w:rPr>
        <w:t>Č</w:t>
      </w:r>
      <w:r w:rsidR="00751267" w:rsidRPr="009E52D3">
        <w:rPr>
          <w:rFonts w:cstheme="minorHAnsi"/>
        </w:rPr>
        <w:t>erpání po čtvrtletích</w:t>
      </w:r>
    </w:p>
    <w:bookmarkStart w:id="55" w:name="_MON_1671629740"/>
    <w:bookmarkEnd w:id="55"/>
    <w:p w:rsidR="00110A15" w:rsidRPr="00C9684A" w:rsidRDefault="003C0846" w:rsidP="002E38D3">
      <w:pPr>
        <w:pStyle w:val="Titulek"/>
        <w:keepNext/>
        <w:tabs>
          <w:tab w:val="right" w:pos="9638"/>
        </w:tabs>
        <w:jc w:val="center"/>
        <w:rPr>
          <w:rFonts w:cstheme="minorHAnsi"/>
          <w:color w:val="FF0000"/>
        </w:rPr>
      </w:pPr>
      <w:r w:rsidRPr="00C9684A">
        <w:rPr>
          <w:rFonts w:cstheme="minorHAnsi"/>
          <w:color w:val="FF0000"/>
        </w:rPr>
        <w:object w:dxaOrig="6627" w:dyaOrig="2049" w14:anchorId="4D691FFE">
          <v:shape id="_x0000_i1044" type="#_x0000_t75" style="width:331.5pt;height:102.75pt" o:ole="">
            <v:imagedata r:id="rId48" o:title=""/>
          </v:shape>
          <o:OLEObject Type="Embed" ProgID="Excel.Sheet.12" ShapeID="_x0000_i1044" DrawAspect="Content" ObjectID="_1738644124" r:id="rId49"/>
        </w:object>
      </w:r>
    </w:p>
    <w:p w:rsidR="004057CC" w:rsidRPr="00C9684A" w:rsidRDefault="00751267" w:rsidP="009B201E">
      <w:pPr>
        <w:pStyle w:val="Titulek"/>
        <w:keepNext/>
        <w:tabs>
          <w:tab w:val="right" w:pos="9638"/>
        </w:tabs>
        <w:rPr>
          <w:rFonts w:cstheme="minorHAnsi"/>
          <w:color w:val="FF0000"/>
        </w:rPr>
      </w:pPr>
      <w:r w:rsidRPr="00C9684A">
        <w:rPr>
          <w:rFonts w:cstheme="minorHAnsi"/>
          <w:color w:val="FF0000"/>
        </w:rPr>
        <w:tab/>
      </w:r>
    </w:p>
    <w:p w:rsidR="00751267" w:rsidRPr="009E52D3" w:rsidRDefault="00751267" w:rsidP="00751267">
      <w:pPr>
        <w:spacing w:before="120" w:after="120"/>
        <w:rPr>
          <w:rFonts w:cstheme="minorHAnsi"/>
        </w:rPr>
      </w:pPr>
      <w:r w:rsidRPr="009E52D3">
        <w:rPr>
          <w:rFonts w:cstheme="minorHAnsi"/>
        </w:rPr>
        <w:t>Čerpání výdajů na programové financování:</w:t>
      </w:r>
    </w:p>
    <w:p w:rsidR="00A17631" w:rsidRDefault="00B85DFE" w:rsidP="00751267">
      <w:pPr>
        <w:spacing w:before="120" w:after="120"/>
        <w:rPr>
          <w:rFonts w:cstheme="minorHAnsi"/>
          <w:color w:val="FF0000"/>
        </w:rPr>
      </w:pPr>
      <w:r>
        <w:rPr>
          <w:rFonts w:cstheme="minorHAnsi"/>
          <w:noProof/>
          <w:color w:val="FF0000"/>
        </w:rPr>
        <w:object w:dxaOrig="1440" w:dyaOrig="1440">
          <v:shape id="_x0000_s1137" type="#_x0000_t75" style="position:absolute;margin-left:0;margin-top:0;width:352.6pt;height:45.3pt;z-index:251669504;mso-position-horizontal:left;mso-position-horizontal-relative:text;mso-position-vertical-relative:text">
            <v:imagedata r:id="rId50" o:title=""/>
            <w10:wrap type="square" side="right"/>
          </v:shape>
          <o:OLEObject Type="Embed" ProgID="Excel.Sheet.12" ShapeID="_x0000_s1137" DrawAspect="Content" ObjectID="_1738644136" r:id="rId51"/>
        </w:object>
      </w:r>
    </w:p>
    <w:p w:rsidR="00A17631" w:rsidRDefault="00A17631" w:rsidP="00751267">
      <w:pPr>
        <w:spacing w:before="120" w:after="120"/>
        <w:rPr>
          <w:rFonts w:cstheme="minorHAnsi"/>
          <w:color w:val="FF0000"/>
        </w:rPr>
      </w:pPr>
    </w:p>
    <w:p w:rsidR="002E38D3" w:rsidRPr="00C9684A" w:rsidRDefault="00A17631" w:rsidP="00751267">
      <w:pPr>
        <w:spacing w:before="120" w:after="120"/>
        <w:rPr>
          <w:rFonts w:cstheme="minorHAnsi"/>
          <w:color w:val="FF0000"/>
        </w:rPr>
      </w:pPr>
      <w:r>
        <w:rPr>
          <w:rFonts w:cstheme="minorHAnsi"/>
          <w:color w:val="FF0000"/>
        </w:rPr>
        <w:br w:type="textWrapping" w:clear="all"/>
      </w:r>
    </w:p>
    <w:p w:rsidR="00F21F59" w:rsidRPr="00C9684A" w:rsidRDefault="00F21F59" w:rsidP="00751267">
      <w:pPr>
        <w:spacing w:before="120" w:after="120"/>
        <w:rPr>
          <w:rFonts w:cstheme="minorHAnsi"/>
          <w:color w:val="FF0000"/>
        </w:rPr>
      </w:pPr>
    </w:p>
    <w:p w:rsidR="00751267" w:rsidRPr="00C9684A" w:rsidRDefault="00624DB5" w:rsidP="00611FED">
      <w:pPr>
        <w:pStyle w:val="Nadpis3"/>
        <w:numPr>
          <w:ilvl w:val="0"/>
          <w:numId w:val="0"/>
        </w:numPr>
        <w:ind w:left="720" w:hanging="720"/>
      </w:pPr>
      <w:bookmarkStart w:id="56" w:name="_Toc124839844"/>
      <w:r>
        <w:t>4.15</w:t>
      </w:r>
      <w:r w:rsidR="00C943E3" w:rsidRPr="00C9684A">
        <w:t xml:space="preserve">.2 </w:t>
      </w:r>
      <w:r w:rsidR="00751267" w:rsidRPr="00C9684A">
        <w:t>Nároky z nespotřebovaných výdajů</w:t>
      </w:r>
      <w:bookmarkEnd w:id="56"/>
    </w:p>
    <w:p w:rsidR="006E35F2" w:rsidRPr="00C9684A" w:rsidRDefault="006E35F2" w:rsidP="00A17631">
      <w:pPr>
        <w:jc w:val="right"/>
        <w:rPr>
          <w:color w:val="FF0000"/>
        </w:rPr>
      </w:pPr>
    </w:p>
    <w:p w:rsidR="002A6730" w:rsidRPr="00352CAC" w:rsidRDefault="006E35F2" w:rsidP="006E35F2">
      <w:r w:rsidRPr="00352CAC">
        <w:t xml:space="preserve">Na programové financování bylo </w:t>
      </w:r>
      <w:r w:rsidR="002A6730" w:rsidRPr="00352CAC">
        <w:t>povoleno zapojit nároky z nespotřebovaných výdajů v celkové výši 2</w:t>
      </w:r>
      <w:r w:rsidR="009E52D3" w:rsidRPr="00352CAC">
        <w:t>.367.607,00 Kč n</w:t>
      </w:r>
      <w:r w:rsidR="002A6730" w:rsidRPr="00352CAC">
        <w:t xml:space="preserve">a investiční akci č. 036V018000006 OS Cheb – rekonstrukce části objektu „D“  </w:t>
      </w:r>
      <w:r w:rsidR="009E52D3" w:rsidRPr="00352CAC">
        <w:t>.</w:t>
      </w:r>
    </w:p>
    <w:p w:rsidR="00B855F4" w:rsidRDefault="009E52D3" w:rsidP="006E35F2">
      <w:r w:rsidRPr="00352CAC">
        <w:t>Z této část</w:t>
      </w:r>
      <w:r w:rsidR="00F80311">
        <w:t>k</w:t>
      </w:r>
      <w:r w:rsidR="00B855F4">
        <w:t>y bylo vyčerpáno 423.500,00 Kč.  P</w:t>
      </w:r>
      <w:r w:rsidR="00F80311">
        <w:t>ři zpracování projektové dokumentace</w:t>
      </w:r>
      <w:r w:rsidR="00B855F4">
        <w:t xml:space="preserve"> byly zjištěny nové skutečnosti:</w:t>
      </w:r>
    </w:p>
    <w:p w:rsidR="00A93AB4" w:rsidRDefault="00B855F4" w:rsidP="00A93AB4">
      <w:pPr>
        <w:pStyle w:val="Odstavecseseznamem"/>
        <w:numPr>
          <w:ilvl w:val="0"/>
          <w:numId w:val="30"/>
        </w:numPr>
      </w:pPr>
      <w:r>
        <w:t>Havarijní stav stávající parkovací plochy, který si vyžádal úpravu projektu a na základě toho bylo požádáno o změnu Stanovení výdajů ve výši 80.707,00 Kč. T</w:t>
      </w:r>
      <w:r w:rsidR="00F80311">
        <w:t>a</w:t>
      </w:r>
      <w:r>
        <w:t xml:space="preserve">to změna Stanovení výdajů </w:t>
      </w:r>
      <w:r>
        <w:lastRenderedPageBreak/>
        <w:t>byla vydána dne 4. 10. 2022.</w:t>
      </w:r>
      <w:r w:rsidR="00A93AB4">
        <w:t xml:space="preserve"> Termín realizace akce je posunut na 10/2024 a závěrečné vyhodnocení na 12/2024.</w:t>
      </w:r>
    </w:p>
    <w:p w:rsidR="00C170B8" w:rsidRDefault="00B855F4" w:rsidP="00F54483">
      <w:pPr>
        <w:pStyle w:val="Odstavecseseznamem"/>
        <w:numPr>
          <w:ilvl w:val="0"/>
          <w:numId w:val="30"/>
        </w:numPr>
      </w:pPr>
      <w:r>
        <w:t xml:space="preserve"> </w:t>
      </w:r>
      <w:r w:rsidR="00A93AB4">
        <w:t>Po vypracování studie došlo ke změnám, na základě kterých bude provedena úprava studie. V souvislosti s tím dodavatel (projekční kancelář) požaduje úhradu za vícepráce. Na to je v současné době</w:t>
      </w:r>
      <w:r w:rsidR="00F80311">
        <w:t xml:space="preserve"> požádáno o  Změnu stanovení výdajů</w:t>
      </w:r>
      <w:r w:rsidR="00A93AB4">
        <w:t xml:space="preserve"> na částku 52.030,00 Kč. </w:t>
      </w:r>
      <w:r w:rsidR="00B522CD">
        <w:t>.</w:t>
      </w:r>
      <w:r w:rsidR="00C170B8">
        <w:t xml:space="preserve">Všechny zapojené NNV se týkají </w:t>
      </w:r>
      <w:r w:rsidR="00C170B8" w:rsidRPr="00352CAC">
        <w:t>investiční akc</w:t>
      </w:r>
      <w:r w:rsidR="00C170B8">
        <w:t>e</w:t>
      </w:r>
      <w:r w:rsidR="00C170B8" w:rsidRPr="00352CAC">
        <w:t xml:space="preserve"> č. 036V018000006 OS Cheb – </w:t>
      </w:r>
      <w:r w:rsidR="00C170B8">
        <w:t xml:space="preserve">rekonstrukce části objektu „D“  a tedy pouze na tuto byly NNV čerpány. </w:t>
      </w:r>
    </w:p>
    <w:p w:rsidR="008A08D2" w:rsidRDefault="00A93AB4" w:rsidP="006E35F2">
      <w:r>
        <w:t xml:space="preserve">Z těchto důvodu nebylo možné vyčerpat NNV, neboť zpracování projektové dokumentace se v současné době nachází ve fázi zpracování studie. </w:t>
      </w:r>
    </w:p>
    <w:p w:rsidR="008A08D2" w:rsidRPr="00352CAC" w:rsidRDefault="008A08D2" w:rsidP="006E35F2"/>
    <w:p w:rsidR="00A21E25" w:rsidRPr="00C9684A" w:rsidRDefault="00A21E25" w:rsidP="00611FED">
      <w:pPr>
        <w:pStyle w:val="Nadpis3"/>
        <w:numPr>
          <w:ilvl w:val="0"/>
          <w:numId w:val="0"/>
        </w:numPr>
        <w:ind w:left="720" w:hanging="720"/>
      </w:pPr>
      <w:bookmarkStart w:id="57" w:name="_Toc124839845"/>
      <w:r w:rsidRPr="00C9684A">
        <w:t>4.1</w:t>
      </w:r>
      <w:r w:rsidR="00624DB5">
        <w:t>5</w:t>
      </w:r>
      <w:r w:rsidRPr="00C9684A">
        <w:t>.3 Největší investiční akce</w:t>
      </w:r>
      <w:bookmarkEnd w:id="57"/>
    </w:p>
    <w:p w:rsidR="00A21E25" w:rsidRPr="00C9684A" w:rsidRDefault="00A21E25" w:rsidP="006E35F2">
      <w:pPr>
        <w:rPr>
          <w:color w:val="FF0000"/>
        </w:rPr>
      </w:pPr>
    </w:p>
    <w:p w:rsidR="00673FE2" w:rsidRPr="008A08D2" w:rsidRDefault="00673FE2" w:rsidP="00B032DA">
      <w:pPr>
        <w:pStyle w:val="Odstavecseseznamem"/>
        <w:ind w:left="0"/>
        <w:jc w:val="both"/>
        <w:rPr>
          <w:rFonts w:cstheme="minorHAnsi"/>
          <w:b/>
        </w:rPr>
      </w:pPr>
      <w:r w:rsidRPr="008A08D2">
        <w:rPr>
          <w:rFonts w:cstheme="minorHAnsi"/>
          <w:b/>
        </w:rPr>
        <w:t>U Okresního soudu v roce 202</w:t>
      </w:r>
      <w:r w:rsidR="00352CAC" w:rsidRPr="008A08D2">
        <w:rPr>
          <w:rFonts w:cstheme="minorHAnsi"/>
          <w:b/>
        </w:rPr>
        <w:t>2</w:t>
      </w:r>
      <w:r w:rsidRPr="008A08D2">
        <w:rPr>
          <w:rFonts w:cstheme="minorHAnsi"/>
          <w:b/>
        </w:rPr>
        <w:t xml:space="preserve"> probíhaly tyto akce programového financování:</w:t>
      </w:r>
    </w:p>
    <w:p w:rsidR="006F0500" w:rsidRPr="00352CAC" w:rsidRDefault="006F0500" w:rsidP="00FF302A">
      <w:pPr>
        <w:pStyle w:val="Odstavecseseznamem"/>
        <w:ind w:left="360"/>
        <w:jc w:val="both"/>
        <w:rPr>
          <w:rFonts w:cstheme="minorHAnsi"/>
          <w:b/>
        </w:rPr>
      </w:pPr>
    </w:p>
    <w:p w:rsidR="00653D92" w:rsidRPr="00352CAC" w:rsidRDefault="00653D92" w:rsidP="00DA769A">
      <w:pPr>
        <w:pStyle w:val="Odstavecseseznamem"/>
        <w:ind w:left="360" w:hanging="360"/>
        <w:jc w:val="both"/>
        <w:rPr>
          <w:rFonts w:cstheme="minorHAnsi"/>
          <w:b/>
        </w:rPr>
      </w:pPr>
      <w:r w:rsidRPr="00352CAC">
        <w:rPr>
          <w:rFonts w:cstheme="minorHAnsi"/>
          <w:b/>
        </w:rPr>
        <w:t>Investiční akce ev.č.</w:t>
      </w:r>
      <w:r w:rsidR="004E684E" w:rsidRPr="00352CAC">
        <w:rPr>
          <w:rFonts w:cstheme="minorHAnsi"/>
          <w:b/>
        </w:rPr>
        <w:t>036V018000006  „OS Cheb – rekonstrukce části objektu D“</w:t>
      </w:r>
    </w:p>
    <w:p w:rsidR="00653D92" w:rsidRPr="00C9684A" w:rsidRDefault="00653D92" w:rsidP="00FF302A">
      <w:pPr>
        <w:pStyle w:val="Odstavecseseznamem"/>
        <w:ind w:left="360"/>
        <w:jc w:val="both"/>
        <w:rPr>
          <w:rFonts w:cstheme="minorHAnsi"/>
          <w:b/>
          <w:color w:val="FF0000"/>
        </w:rPr>
      </w:pPr>
    </w:p>
    <w:p w:rsidR="00653D92" w:rsidRPr="008A08D2" w:rsidRDefault="00DA769A" w:rsidP="00DA769A">
      <w:pPr>
        <w:pStyle w:val="Odstavecseseznamem"/>
        <w:ind w:left="0"/>
        <w:jc w:val="both"/>
        <w:rPr>
          <w:rFonts w:cstheme="minorHAnsi"/>
        </w:rPr>
      </w:pPr>
      <w:r w:rsidRPr="008A08D2">
        <w:rPr>
          <w:rFonts w:cstheme="minorHAnsi"/>
        </w:rPr>
        <w:t xml:space="preserve">Na základě pokynu </w:t>
      </w:r>
      <w:r w:rsidR="008A08D2" w:rsidRPr="008A08D2">
        <w:rPr>
          <w:rFonts w:cstheme="minorHAnsi"/>
        </w:rPr>
        <w:t xml:space="preserve">rozhodnutí </w:t>
      </w:r>
      <w:r w:rsidRPr="008A08D2">
        <w:rPr>
          <w:rFonts w:cstheme="minorHAnsi"/>
        </w:rPr>
        <w:t xml:space="preserve">MSp ČR  </w:t>
      </w:r>
      <w:r w:rsidR="008A08D2" w:rsidRPr="008A08D2">
        <w:rPr>
          <w:rFonts w:cstheme="minorHAnsi"/>
        </w:rPr>
        <w:t>vydal Krajský soud v Plzni dne 24.</w:t>
      </w:r>
      <w:r w:rsidR="008A08D2">
        <w:rPr>
          <w:rFonts w:cstheme="minorHAnsi"/>
        </w:rPr>
        <w:t xml:space="preserve"> </w:t>
      </w:r>
      <w:r w:rsidR="008A08D2" w:rsidRPr="008A08D2">
        <w:rPr>
          <w:rFonts w:cstheme="minorHAnsi"/>
        </w:rPr>
        <w:t>3.</w:t>
      </w:r>
      <w:r w:rsidR="008A08D2">
        <w:rPr>
          <w:rFonts w:cstheme="minorHAnsi"/>
        </w:rPr>
        <w:t xml:space="preserve"> </w:t>
      </w:r>
      <w:r w:rsidR="008A08D2" w:rsidRPr="008A08D2">
        <w:rPr>
          <w:rFonts w:cstheme="minorHAnsi"/>
        </w:rPr>
        <w:t>2022</w:t>
      </w:r>
      <w:r w:rsidRPr="008A08D2">
        <w:rPr>
          <w:rFonts w:cstheme="minorHAnsi"/>
        </w:rPr>
        <w:t xml:space="preserve"> v souladu se změnami</w:t>
      </w:r>
      <w:r w:rsidR="008A08D2" w:rsidRPr="008A08D2">
        <w:rPr>
          <w:rFonts w:cstheme="minorHAnsi"/>
        </w:rPr>
        <w:t xml:space="preserve"> v rozpočtu investičních akcí pro rok 2022</w:t>
      </w:r>
      <w:r w:rsidRPr="008A08D2">
        <w:rPr>
          <w:rFonts w:cstheme="minorHAnsi"/>
        </w:rPr>
        <w:t>, ke k</w:t>
      </w:r>
      <w:r w:rsidR="00FE2BA9" w:rsidRPr="008A08D2">
        <w:rPr>
          <w:rFonts w:cstheme="minorHAnsi"/>
        </w:rPr>
        <w:t>terým</w:t>
      </w:r>
      <w:r w:rsidRPr="008A08D2">
        <w:rPr>
          <w:rFonts w:cstheme="minorHAnsi"/>
        </w:rPr>
        <w:t xml:space="preserve"> došlo</w:t>
      </w:r>
      <w:r w:rsidR="008A08D2" w:rsidRPr="008A08D2">
        <w:rPr>
          <w:rFonts w:cstheme="minorHAnsi"/>
        </w:rPr>
        <w:t xml:space="preserve"> v období od července 2021  do 31.</w:t>
      </w:r>
      <w:r w:rsidR="00B522CD">
        <w:rPr>
          <w:rFonts w:cstheme="minorHAnsi"/>
        </w:rPr>
        <w:t xml:space="preserve"> </w:t>
      </w:r>
      <w:r w:rsidR="008A08D2" w:rsidRPr="008A08D2">
        <w:rPr>
          <w:rFonts w:cstheme="minorHAnsi"/>
        </w:rPr>
        <w:t>12.</w:t>
      </w:r>
      <w:r w:rsidR="00B522CD">
        <w:rPr>
          <w:rFonts w:cstheme="minorHAnsi"/>
        </w:rPr>
        <w:t xml:space="preserve"> </w:t>
      </w:r>
      <w:r w:rsidR="008A08D2" w:rsidRPr="008A08D2">
        <w:rPr>
          <w:rFonts w:cstheme="minorHAnsi"/>
        </w:rPr>
        <w:t>2021</w:t>
      </w:r>
      <w:r w:rsidRPr="008A08D2">
        <w:rPr>
          <w:rFonts w:cstheme="minorHAnsi"/>
        </w:rPr>
        <w:t>, následující pokyn:</w:t>
      </w:r>
    </w:p>
    <w:p w:rsidR="008A08D2" w:rsidRPr="008A08D2" w:rsidRDefault="00DA769A" w:rsidP="00DA769A">
      <w:pPr>
        <w:pStyle w:val="Odstavecseseznamem"/>
        <w:ind w:left="0"/>
        <w:jc w:val="both"/>
        <w:rPr>
          <w:rFonts w:cstheme="minorHAnsi"/>
          <w:b/>
        </w:rPr>
      </w:pPr>
      <w:r w:rsidRPr="008A08D2">
        <w:rPr>
          <w:rFonts w:cstheme="minorHAnsi"/>
        </w:rPr>
        <w:t>1.změna rozpisu závazných ukazatelů výdajů na pr</w:t>
      </w:r>
      <w:r w:rsidR="008A08D2" w:rsidRPr="008A08D2">
        <w:rPr>
          <w:rFonts w:cstheme="minorHAnsi"/>
        </w:rPr>
        <w:t>ogramové financování v roce 2022</w:t>
      </w:r>
      <w:r w:rsidRPr="008A08D2">
        <w:rPr>
          <w:rFonts w:cstheme="minorHAnsi"/>
        </w:rPr>
        <w:t xml:space="preserve"> – </w:t>
      </w:r>
      <w:r w:rsidR="008A08D2" w:rsidRPr="008A08D2">
        <w:rPr>
          <w:rFonts w:cstheme="minorHAnsi"/>
          <w:b/>
        </w:rPr>
        <w:t>navýšení položek</w:t>
      </w:r>
    </w:p>
    <w:p w:rsidR="00DA769A" w:rsidRPr="008A08D2" w:rsidRDefault="00DA769A" w:rsidP="00DA769A">
      <w:pPr>
        <w:pStyle w:val="Odstavecseseznamem"/>
        <w:ind w:left="0"/>
        <w:jc w:val="both"/>
        <w:rPr>
          <w:rFonts w:cstheme="minorHAnsi"/>
          <w:b/>
        </w:rPr>
      </w:pPr>
      <w:r w:rsidRPr="008A08D2">
        <w:rPr>
          <w:rFonts w:cstheme="minorHAnsi"/>
          <w:b/>
        </w:rPr>
        <w:t>6121 – Budov</w:t>
      </w:r>
      <w:r w:rsidR="002C1218" w:rsidRPr="008A08D2">
        <w:rPr>
          <w:rFonts w:cstheme="minorHAnsi"/>
          <w:b/>
        </w:rPr>
        <w:t xml:space="preserve">y, stavby a haly o </w:t>
      </w:r>
      <w:r w:rsidR="008A08D2" w:rsidRPr="008A08D2">
        <w:rPr>
          <w:rFonts w:cstheme="minorHAnsi"/>
          <w:b/>
        </w:rPr>
        <w:tab/>
        <w:t>3.851.980,00 Kč</w:t>
      </w:r>
    </w:p>
    <w:p w:rsidR="008A08D2" w:rsidRPr="008A08D2" w:rsidRDefault="008A08D2" w:rsidP="00DA769A">
      <w:pPr>
        <w:pStyle w:val="Odstavecseseznamem"/>
        <w:ind w:left="0"/>
        <w:jc w:val="both"/>
        <w:rPr>
          <w:rFonts w:cstheme="minorHAnsi"/>
          <w:b/>
        </w:rPr>
      </w:pPr>
      <w:r w:rsidRPr="008A08D2">
        <w:rPr>
          <w:rFonts w:cstheme="minorHAnsi"/>
          <w:b/>
        </w:rPr>
        <w:t>6122 – Stroje, přístroje a zařízení o</w:t>
      </w:r>
      <w:r w:rsidRPr="008A08D2">
        <w:rPr>
          <w:rFonts w:cstheme="minorHAnsi"/>
          <w:b/>
        </w:rPr>
        <w:tab/>
        <w:t>1.100.000,00 Kč</w:t>
      </w:r>
    </w:p>
    <w:p w:rsidR="006868A0" w:rsidRPr="00C92CA1" w:rsidRDefault="008A08D2" w:rsidP="00DA769A">
      <w:pPr>
        <w:jc w:val="both"/>
        <w:rPr>
          <w:rFonts w:cstheme="minorHAnsi"/>
        </w:rPr>
      </w:pPr>
      <w:r w:rsidRPr="00C92CA1">
        <w:rPr>
          <w:rFonts w:cstheme="minorHAnsi"/>
        </w:rPr>
        <w:t>Dne 29.  3. 2022 byl Krajský soudem v</w:t>
      </w:r>
      <w:r w:rsidR="00C92CA1" w:rsidRPr="00C92CA1">
        <w:rPr>
          <w:rFonts w:cstheme="minorHAnsi"/>
        </w:rPr>
        <w:t xml:space="preserve"> Plzni se souhlasem MSp ČR </w:t>
      </w:r>
      <w:r w:rsidRPr="00C92CA1">
        <w:rPr>
          <w:rFonts w:cstheme="minorHAnsi"/>
        </w:rPr>
        <w:t>vydán pokyn k</w:t>
      </w:r>
      <w:r w:rsidR="00C92CA1" w:rsidRPr="00C92CA1">
        <w:rPr>
          <w:rFonts w:cstheme="minorHAnsi"/>
        </w:rPr>
        <w:t> </w:t>
      </w:r>
      <w:r w:rsidRPr="00C92CA1">
        <w:rPr>
          <w:rFonts w:cstheme="minorHAnsi"/>
        </w:rPr>
        <w:t>zapoje</w:t>
      </w:r>
      <w:r w:rsidR="00C92CA1" w:rsidRPr="00C92CA1">
        <w:rPr>
          <w:rFonts w:cstheme="minorHAnsi"/>
        </w:rPr>
        <w:t>ní NNV do konečného rozpočtu akce:</w:t>
      </w:r>
    </w:p>
    <w:p w:rsidR="00C92CA1" w:rsidRDefault="00C92CA1" w:rsidP="00DA769A">
      <w:pPr>
        <w:jc w:val="both"/>
        <w:rPr>
          <w:rFonts w:cstheme="minorHAnsi"/>
          <w:b/>
        </w:rPr>
      </w:pPr>
      <w:r w:rsidRPr="00C92CA1">
        <w:rPr>
          <w:rFonts w:cstheme="minorHAnsi"/>
        </w:rPr>
        <w:t xml:space="preserve">položka </w:t>
      </w:r>
      <w:r w:rsidRPr="00C92CA1">
        <w:rPr>
          <w:rFonts w:cstheme="minorHAnsi"/>
          <w:b/>
        </w:rPr>
        <w:t xml:space="preserve">6121 – </w:t>
      </w:r>
      <w:r w:rsidRPr="008A08D2">
        <w:rPr>
          <w:rFonts w:cstheme="minorHAnsi"/>
          <w:b/>
        </w:rPr>
        <w:t>Budovy, stavby a haly</w:t>
      </w:r>
      <w:r>
        <w:rPr>
          <w:rFonts w:cstheme="minorHAnsi"/>
          <w:b/>
        </w:rPr>
        <w:tab/>
        <w:t>2.286.900,00 Kč</w:t>
      </w:r>
    </w:p>
    <w:p w:rsidR="00C92CA1" w:rsidRDefault="00C92CA1" w:rsidP="00DA769A">
      <w:pPr>
        <w:jc w:val="both"/>
        <w:rPr>
          <w:rFonts w:cstheme="minorHAnsi"/>
        </w:rPr>
      </w:pPr>
      <w:r>
        <w:rPr>
          <w:rFonts w:cstheme="minorHAnsi"/>
        </w:rPr>
        <w:t>K zapojení NNV došlo do výše posledního vydaného dílčího stanovení výdajů ze dne 29. 9. 2021 na základě předloženého návrhu smlouvy a celkové výdaje akce činily 10.664.165,00 Kč.</w:t>
      </w:r>
    </w:p>
    <w:p w:rsidR="008772BB" w:rsidRPr="00B861BF" w:rsidRDefault="008772BB" w:rsidP="00DA769A">
      <w:pPr>
        <w:jc w:val="both"/>
        <w:rPr>
          <w:rFonts w:cstheme="minorHAnsi"/>
        </w:rPr>
      </w:pPr>
      <w:r>
        <w:rPr>
          <w:rFonts w:cstheme="minorHAnsi"/>
        </w:rPr>
        <w:t xml:space="preserve">Dne 5. 10. 2022 byla na základě žádosti Okresního soudu v Chebu vydána změna dílčího Stanovení </w:t>
      </w:r>
      <w:r w:rsidRPr="00B861BF">
        <w:rPr>
          <w:rFonts w:cstheme="minorHAnsi"/>
        </w:rPr>
        <w:t>výdajů ve výši 2.367.607,00 Kč.</w:t>
      </w:r>
    </w:p>
    <w:p w:rsidR="00B861BF" w:rsidRPr="00B861BF" w:rsidRDefault="00FE2BA9" w:rsidP="00DA769A">
      <w:pPr>
        <w:jc w:val="both"/>
        <w:rPr>
          <w:rFonts w:cstheme="minorHAnsi"/>
        </w:rPr>
      </w:pPr>
      <w:r w:rsidRPr="00B861BF">
        <w:rPr>
          <w:rFonts w:cstheme="minorHAnsi"/>
        </w:rPr>
        <w:t xml:space="preserve">S firmou Masák &amp; Partner, s.r.o. </w:t>
      </w:r>
      <w:r w:rsidR="00132EB5" w:rsidRPr="00B861BF">
        <w:rPr>
          <w:rFonts w:cstheme="minorHAnsi"/>
        </w:rPr>
        <w:t>Praha</w:t>
      </w:r>
      <w:r w:rsidR="00491F29" w:rsidRPr="00B861BF">
        <w:rPr>
          <w:rFonts w:cstheme="minorHAnsi"/>
        </w:rPr>
        <w:t xml:space="preserve"> 6</w:t>
      </w:r>
      <w:r w:rsidR="00132EB5" w:rsidRPr="00B861BF">
        <w:rPr>
          <w:rFonts w:cstheme="minorHAnsi"/>
        </w:rPr>
        <w:t xml:space="preserve"> </w:t>
      </w:r>
      <w:r w:rsidRPr="00B861BF">
        <w:rPr>
          <w:rFonts w:cstheme="minorHAnsi"/>
        </w:rPr>
        <w:t xml:space="preserve">byla podepsána </w:t>
      </w:r>
      <w:r w:rsidR="008772BB" w:rsidRPr="00B861BF">
        <w:rPr>
          <w:rFonts w:cstheme="minorHAnsi"/>
        </w:rPr>
        <w:t xml:space="preserve"> </w:t>
      </w:r>
      <w:r w:rsidRPr="00B861BF">
        <w:rPr>
          <w:rFonts w:cstheme="minorHAnsi"/>
        </w:rPr>
        <w:t xml:space="preserve"> dne</w:t>
      </w:r>
      <w:r w:rsidR="00B032DA" w:rsidRPr="00B861BF">
        <w:rPr>
          <w:rFonts w:cstheme="minorHAnsi"/>
        </w:rPr>
        <w:t xml:space="preserve"> 3.11.2021</w:t>
      </w:r>
      <w:r w:rsidRPr="00B861BF">
        <w:rPr>
          <w:rFonts w:cstheme="minorHAnsi"/>
        </w:rPr>
        <w:t xml:space="preserve"> </w:t>
      </w:r>
      <w:r w:rsidR="008772BB" w:rsidRPr="00B861BF">
        <w:rPr>
          <w:rFonts w:cstheme="minorHAnsi"/>
        </w:rPr>
        <w:t>smlouva na</w:t>
      </w:r>
      <w:r w:rsidRPr="00B861BF">
        <w:rPr>
          <w:rFonts w:cstheme="minorHAnsi"/>
        </w:rPr>
        <w:t xml:space="preserve"> vypracování </w:t>
      </w:r>
      <w:r w:rsidR="008772BB" w:rsidRPr="00B861BF">
        <w:rPr>
          <w:rFonts w:cstheme="minorHAnsi"/>
        </w:rPr>
        <w:t xml:space="preserve">projektové dokumentace za cenu 2.286.900,00 Kč. Při přípravách podkladů firma na místě zjistila, že je třeba rozšířit projektovou dokumentaci o zajištění rekonstrukce parkovací plochy vně budovy soudu včetně řešení statiky opěrné zdi a přeložení kanalizace. Z těchto důvodu bylo požádáno o shora uvedenou změnu dílčího Stanovení výdajů o 80.707,00 Kč. Tato žádost byla schválena odborem investic MSp ČR dne 4. 10. 2022 a dne 5. 10. 2022 vydal Krajský soud v Plzni pokyn </w:t>
      </w:r>
      <w:r w:rsidR="00B861BF" w:rsidRPr="00B861BF">
        <w:rPr>
          <w:rFonts w:cstheme="minorHAnsi"/>
        </w:rPr>
        <w:t xml:space="preserve">k zapojení NNV na položce </w:t>
      </w:r>
    </w:p>
    <w:p w:rsidR="00144A36" w:rsidRDefault="00144A36" w:rsidP="00DA769A">
      <w:pPr>
        <w:jc w:val="both"/>
        <w:rPr>
          <w:rFonts w:cstheme="minorHAnsi"/>
          <w:b/>
        </w:rPr>
      </w:pPr>
    </w:p>
    <w:p w:rsidR="00144A36" w:rsidRDefault="00144A36" w:rsidP="00DA769A">
      <w:pPr>
        <w:jc w:val="both"/>
        <w:rPr>
          <w:rFonts w:cstheme="minorHAnsi"/>
          <w:b/>
        </w:rPr>
      </w:pPr>
    </w:p>
    <w:p w:rsidR="00722AB4" w:rsidRPr="00B861BF" w:rsidRDefault="00B861BF" w:rsidP="00DA769A">
      <w:pPr>
        <w:jc w:val="both"/>
        <w:rPr>
          <w:rFonts w:cstheme="minorHAnsi"/>
          <w:b/>
        </w:rPr>
      </w:pPr>
      <w:r w:rsidRPr="00B861BF">
        <w:rPr>
          <w:rFonts w:cstheme="minorHAnsi"/>
          <w:b/>
        </w:rPr>
        <w:lastRenderedPageBreak/>
        <w:t xml:space="preserve">6121 – Budovy, stavby a haly  </w:t>
      </w:r>
      <w:r w:rsidRPr="00B861BF">
        <w:rPr>
          <w:rFonts w:cstheme="minorHAnsi"/>
          <w:b/>
        </w:rPr>
        <w:tab/>
        <w:t>80.707,00 Kč.</w:t>
      </w:r>
    </w:p>
    <w:p w:rsidR="00B861BF" w:rsidRPr="00B861BF" w:rsidRDefault="00B861BF" w:rsidP="00DA769A">
      <w:pPr>
        <w:jc w:val="both"/>
        <w:rPr>
          <w:rFonts w:cstheme="minorHAnsi"/>
        </w:rPr>
      </w:pPr>
      <w:r w:rsidRPr="00B861BF">
        <w:rPr>
          <w:rFonts w:cstheme="minorHAnsi"/>
        </w:rPr>
        <w:t>Celkové výdaje akce nebyly změněny a činily 10.664.165,00 Kč, ale došlo k posunutí termínu realizace z 12/2022 na 10/2024 a z toho důvodu byly přesunuty výdaje ve výši 4.951.980,00 Kč z roku 2022 do roku 2023:</w:t>
      </w:r>
    </w:p>
    <w:p w:rsidR="00B861BF" w:rsidRPr="008A08D2" w:rsidRDefault="00B861BF" w:rsidP="00B861BF">
      <w:pPr>
        <w:pStyle w:val="Odstavecseseznamem"/>
        <w:ind w:left="0"/>
        <w:jc w:val="both"/>
        <w:rPr>
          <w:rFonts w:cstheme="minorHAnsi"/>
          <w:b/>
        </w:rPr>
      </w:pPr>
      <w:r w:rsidRPr="008A08D2">
        <w:rPr>
          <w:rFonts w:cstheme="minorHAnsi"/>
          <w:b/>
        </w:rPr>
        <w:t xml:space="preserve">6121 – Budovy, stavby a haly o </w:t>
      </w:r>
      <w:r w:rsidRPr="008A08D2">
        <w:rPr>
          <w:rFonts w:cstheme="minorHAnsi"/>
          <w:b/>
        </w:rPr>
        <w:tab/>
        <w:t>3.851.980,00 Kč</w:t>
      </w:r>
    </w:p>
    <w:p w:rsidR="00B861BF" w:rsidRDefault="00B861BF" w:rsidP="00B861BF">
      <w:pPr>
        <w:jc w:val="both"/>
        <w:rPr>
          <w:rFonts w:cstheme="minorHAnsi"/>
          <w:b/>
        </w:rPr>
      </w:pPr>
      <w:r w:rsidRPr="008A08D2">
        <w:rPr>
          <w:rFonts w:cstheme="minorHAnsi"/>
          <w:b/>
        </w:rPr>
        <w:t>6122 – Stroje, přístroje a zařízení o</w:t>
      </w:r>
      <w:r w:rsidRPr="008A08D2">
        <w:rPr>
          <w:rFonts w:cstheme="minorHAnsi"/>
          <w:b/>
        </w:rPr>
        <w:tab/>
        <w:t>1.100.000,00 Kč</w:t>
      </w:r>
    </w:p>
    <w:p w:rsidR="002716C7" w:rsidRPr="002716C7" w:rsidRDefault="002716C7" w:rsidP="00DA769A">
      <w:pPr>
        <w:jc w:val="both"/>
        <w:rPr>
          <w:rFonts w:cstheme="minorHAnsi"/>
        </w:rPr>
      </w:pPr>
    </w:p>
    <w:p w:rsidR="00B032DA" w:rsidRPr="002716C7" w:rsidRDefault="002716C7" w:rsidP="00DA769A">
      <w:pPr>
        <w:jc w:val="both"/>
        <w:rPr>
          <w:rFonts w:cstheme="minorHAnsi"/>
        </w:rPr>
      </w:pPr>
      <w:r w:rsidRPr="002716C7">
        <w:rPr>
          <w:rFonts w:cstheme="minorHAnsi"/>
        </w:rPr>
        <w:t xml:space="preserve">V roce 2022 došlo k úhradě faktury za vypracování stávajícího stavu ve výši 302.500,00 Kč a dále za vypracování studie ve výši 121.000,00 Kč. V současné době se připravuje žádost o změnu  Stanovení výdajů na aktualizaci fáze studie ve výši 52.030,00 Kč. </w:t>
      </w:r>
      <w:r w:rsidR="00AC6667">
        <w:rPr>
          <w:rFonts w:cstheme="minorHAnsi"/>
        </w:rPr>
        <w:t xml:space="preserve">Termín </w:t>
      </w:r>
      <w:r w:rsidR="00B855F4">
        <w:rPr>
          <w:rFonts w:cstheme="minorHAnsi"/>
        </w:rPr>
        <w:t>realiza</w:t>
      </w:r>
      <w:r w:rsidR="00186868">
        <w:rPr>
          <w:rFonts w:cstheme="minorHAnsi"/>
        </w:rPr>
        <w:t>ce akce byl posunut na 10/2024,</w:t>
      </w:r>
      <w:r w:rsidR="00B855F4">
        <w:rPr>
          <w:rFonts w:cstheme="minorHAnsi"/>
        </w:rPr>
        <w:t xml:space="preserve"> závěrečné vyhodnocení na 12/2024.</w:t>
      </w:r>
    </w:p>
    <w:p w:rsidR="00491F29" w:rsidRPr="00C9684A" w:rsidRDefault="00491F29" w:rsidP="00FF302A">
      <w:pPr>
        <w:pStyle w:val="Odstavecseseznamem"/>
        <w:ind w:left="360"/>
        <w:jc w:val="both"/>
        <w:rPr>
          <w:rFonts w:cstheme="minorHAnsi"/>
          <w:color w:val="FF0000"/>
        </w:rPr>
      </w:pPr>
    </w:p>
    <w:p w:rsidR="00A21E25" w:rsidRDefault="00330424" w:rsidP="00624DB5">
      <w:pPr>
        <w:pStyle w:val="Nadpis3"/>
        <w:numPr>
          <w:ilvl w:val="0"/>
          <w:numId w:val="0"/>
        </w:numPr>
        <w:ind w:left="720" w:hanging="720"/>
      </w:pPr>
      <w:bookmarkStart w:id="58" w:name="_Toc124839846"/>
      <w:r>
        <w:t>4.1</w:t>
      </w:r>
      <w:r w:rsidR="00624DB5">
        <w:t>5</w:t>
      </w:r>
      <w:r>
        <w:t>.4</w:t>
      </w:r>
      <w:r w:rsidR="00A21E25" w:rsidRPr="00C9684A">
        <w:t xml:space="preserve"> </w:t>
      </w:r>
      <w:r w:rsidR="00624DB5">
        <w:t>Projekty spolufinancované z EU(FM</w:t>
      </w:r>
      <w:bookmarkEnd w:id="58"/>
    </w:p>
    <w:p w:rsidR="00624DB5" w:rsidRPr="00624DB5" w:rsidRDefault="008A08D2" w:rsidP="00624DB5">
      <w:r>
        <w:t>Investiční akce nebyly spolufinancované z EU/FM.</w:t>
      </w:r>
    </w:p>
    <w:p w:rsidR="00624DB5" w:rsidRDefault="00624DB5" w:rsidP="00624DB5">
      <w:pPr>
        <w:pStyle w:val="Nadpis3"/>
        <w:numPr>
          <w:ilvl w:val="0"/>
          <w:numId w:val="0"/>
        </w:numPr>
        <w:ind w:left="720" w:hanging="720"/>
      </w:pPr>
      <w:bookmarkStart w:id="59" w:name="_Toc124839847"/>
      <w:r>
        <w:t>4.15.5</w:t>
      </w:r>
      <w:r w:rsidRPr="00C9684A">
        <w:t xml:space="preserve"> </w:t>
      </w:r>
      <w:r>
        <w:t>Vázání výdajů</w:t>
      </w:r>
      <w:bookmarkEnd w:id="59"/>
    </w:p>
    <w:p w:rsidR="00330424" w:rsidRPr="00330424" w:rsidRDefault="008A08D2" w:rsidP="00330424">
      <w:r>
        <w:t xml:space="preserve">V investičních akcích nebyly vázány žádné výdaje. </w:t>
      </w:r>
    </w:p>
    <w:p w:rsidR="00A21E25" w:rsidRPr="00C9684A" w:rsidRDefault="00624DB5" w:rsidP="009C7D2A">
      <w:pPr>
        <w:pStyle w:val="Nadpis3"/>
        <w:numPr>
          <w:ilvl w:val="0"/>
          <w:numId w:val="0"/>
        </w:numPr>
        <w:ind w:left="720" w:hanging="720"/>
      </w:pPr>
      <w:bookmarkStart w:id="60" w:name="_Toc124839848"/>
      <w:r>
        <w:t>4.15.6</w:t>
      </w:r>
      <w:r w:rsidR="00A21E25" w:rsidRPr="00C9684A">
        <w:t xml:space="preserve"> Výdaje s kódem účelu</w:t>
      </w:r>
      <w:bookmarkEnd w:id="60"/>
    </w:p>
    <w:p w:rsidR="00C170B8" w:rsidRDefault="008A08D2" w:rsidP="00A21E25">
      <w:pPr>
        <w:sectPr w:rsidR="00C170B8" w:rsidSect="006C622A">
          <w:pgSz w:w="11906" w:h="16838"/>
          <w:pgMar w:top="1417" w:right="1417" w:bottom="1417" w:left="1417" w:header="709" w:footer="709" w:gutter="0"/>
          <w:cols w:space="708"/>
          <w:titlePg/>
          <w:docGrid w:linePitch="360"/>
        </w:sectPr>
      </w:pPr>
      <w:r w:rsidRPr="008A08D2">
        <w:t>Na investiční akce nebyly použity výdaje s kódem účelu.</w:t>
      </w:r>
    </w:p>
    <w:p w:rsidR="00C170B8" w:rsidRPr="00670FE6" w:rsidRDefault="00C170B8" w:rsidP="00C170B8">
      <w:pPr>
        <w:contextualSpacing/>
        <w:rPr>
          <w:rFonts w:cstheme="minorHAnsi"/>
          <w:b/>
        </w:rPr>
      </w:pPr>
      <w:r w:rsidRPr="00670FE6">
        <w:rPr>
          <w:rFonts w:cstheme="minorHAnsi"/>
          <w:b/>
        </w:rPr>
        <w:lastRenderedPageBreak/>
        <w:t>Největší investiční akce</w:t>
      </w:r>
    </w:p>
    <w:p w:rsidR="00C170B8" w:rsidRPr="00670FE6" w:rsidRDefault="00C170B8" w:rsidP="00C170B8">
      <w:pPr>
        <w:contextualSpacing/>
        <w:jc w:val="right"/>
        <w:rPr>
          <w:rFonts w:cstheme="minorHAnsi"/>
          <w:bCs/>
          <w:sz w:val="20"/>
          <w:szCs w:val="20"/>
        </w:rPr>
      </w:pPr>
      <w:r w:rsidRPr="00670FE6">
        <w:rPr>
          <w:rFonts w:cstheme="minorHAnsi"/>
          <w:bCs/>
          <w:sz w:val="20"/>
          <w:szCs w:val="20"/>
        </w:rPr>
        <w:t>v tis. Kč na 2 desetinná místa</w:t>
      </w:r>
    </w:p>
    <w:bookmarkStart w:id="61" w:name="_MON_1734861266"/>
    <w:bookmarkEnd w:id="61"/>
    <w:p w:rsidR="00C170B8" w:rsidRPr="00670FE6" w:rsidRDefault="00186868" w:rsidP="00C170B8">
      <w:pPr>
        <w:rPr>
          <w:rFonts w:cstheme="minorHAnsi"/>
          <w:b/>
        </w:rPr>
      </w:pPr>
      <w:r w:rsidRPr="00670FE6">
        <w:rPr>
          <w:rFonts w:cstheme="minorHAnsi"/>
          <w:b/>
        </w:rPr>
        <w:object w:dxaOrig="15496" w:dyaOrig="1989">
          <v:shape id="_x0000_i1046" type="#_x0000_t75" style="width:733.5pt;height:93.75pt" o:ole="">
            <v:imagedata r:id="rId52" o:title=""/>
          </v:shape>
          <o:OLEObject Type="Embed" ProgID="Excel.Sheet.12" ShapeID="_x0000_i1046" DrawAspect="Content" ObjectID="_1738644125" r:id="rId53"/>
        </w:object>
      </w:r>
    </w:p>
    <w:p w:rsidR="00C170B8" w:rsidRPr="00670FE6" w:rsidRDefault="00C170B8" w:rsidP="00C170B8">
      <w:pPr>
        <w:contextualSpacing/>
        <w:rPr>
          <w:rFonts w:cstheme="minorHAnsi"/>
          <w:b/>
        </w:rPr>
      </w:pPr>
      <w:r w:rsidRPr="00670FE6">
        <w:rPr>
          <w:rFonts w:cstheme="minorHAnsi"/>
          <w:b/>
        </w:rPr>
        <w:t>Projekty spolufinancované z EU/FM</w:t>
      </w:r>
    </w:p>
    <w:p w:rsidR="00C170B8" w:rsidRDefault="00C170B8" w:rsidP="00144A36">
      <w:pPr>
        <w:contextualSpacing/>
        <w:jc w:val="right"/>
        <w:rPr>
          <w:color w:val="FF0000"/>
        </w:rPr>
      </w:pPr>
      <w:r w:rsidRPr="00670FE6">
        <w:rPr>
          <w:rFonts w:cstheme="minorHAnsi"/>
          <w:bCs/>
        </w:rPr>
        <w:t>v tis. Kč na 2 desetinná místa</w:t>
      </w:r>
      <w:bookmarkStart w:id="62" w:name="_MON_1734864457"/>
      <w:bookmarkEnd w:id="62"/>
      <w:r w:rsidRPr="00670FE6">
        <w:rPr>
          <w:rFonts w:cstheme="minorHAnsi"/>
          <w:b/>
        </w:rPr>
        <w:object w:dxaOrig="14894" w:dyaOrig="5138">
          <v:shape id="_x0000_i1047" type="#_x0000_t75" style="width:747.75pt;height:258.75pt" o:ole="">
            <v:imagedata r:id="rId54" o:title=""/>
          </v:shape>
          <o:OLEObject Type="Embed" ProgID="Excel.Sheet.12" ShapeID="_x0000_i1047" DrawAspect="Content" ObjectID="_1738644126" r:id="rId55"/>
        </w:object>
      </w:r>
    </w:p>
    <w:p w:rsidR="00C170B8" w:rsidRDefault="00C170B8" w:rsidP="00A21E25">
      <w:pPr>
        <w:rPr>
          <w:color w:val="FF0000"/>
        </w:rPr>
        <w:sectPr w:rsidR="00C170B8" w:rsidSect="00C170B8">
          <w:pgSz w:w="16838" w:h="11906" w:orient="landscape"/>
          <w:pgMar w:top="1417" w:right="1417" w:bottom="1417" w:left="1417" w:header="709" w:footer="709" w:gutter="0"/>
          <w:cols w:space="708"/>
          <w:titlePg/>
          <w:docGrid w:linePitch="360"/>
        </w:sectPr>
      </w:pPr>
    </w:p>
    <w:p w:rsidR="00A21E25" w:rsidRDefault="00A21E25" w:rsidP="00ED5733">
      <w:pPr>
        <w:pStyle w:val="Nadpis2"/>
      </w:pPr>
      <w:bookmarkStart w:id="63" w:name="_Toc124839849"/>
      <w:bookmarkStart w:id="64" w:name="_Toc534878036"/>
      <w:r w:rsidRPr="00C9684A">
        <w:lastRenderedPageBreak/>
        <w:t>Výdaje na podporu výzkumu, vývoje a inovace</w:t>
      </w:r>
      <w:bookmarkEnd w:id="63"/>
      <w:r w:rsidRPr="00C9684A">
        <w:t xml:space="preserve"> </w:t>
      </w:r>
    </w:p>
    <w:p w:rsidR="00B861BF" w:rsidRPr="00B861BF" w:rsidRDefault="00B861BF" w:rsidP="00B861BF"/>
    <w:p w:rsidR="00777F28" w:rsidRPr="00C9684A" w:rsidRDefault="00D06D8D" w:rsidP="00ED5733">
      <w:pPr>
        <w:pStyle w:val="Nadpis2"/>
      </w:pPr>
      <w:bookmarkStart w:id="65" w:name="_Toc124839850"/>
      <w:r w:rsidRPr="00C9684A">
        <w:t>Nároky z nespotřebovaných výdajů</w:t>
      </w:r>
      <w:bookmarkEnd w:id="64"/>
      <w:bookmarkEnd w:id="65"/>
    </w:p>
    <w:p w:rsidR="006C35C5" w:rsidRPr="00D2398A" w:rsidRDefault="006C35C5" w:rsidP="00F21F59">
      <w:pPr>
        <w:spacing w:after="80"/>
        <w:jc w:val="both"/>
        <w:rPr>
          <w:rFonts w:cstheme="minorHAnsi"/>
          <w:b/>
        </w:rPr>
      </w:pPr>
      <w:r w:rsidRPr="00D2398A">
        <w:rPr>
          <w:rFonts w:cstheme="minorHAnsi"/>
          <w:b/>
        </w:rPr>
        <w:t>Nároky z nespotřebovaných výdajů k 1. 1. 202</w:t>
      </w:r>
      <w:r w:rsidR="008E338F" w:rsidRPr="00D2398A">
        <w:rPr>
          <w:rFonts w:cstheme="minorHAnsi"/>
          <w:b/>
        </w:rPr>
        <w:t>2</w:t>
      </w:r>
      <w:r w:rsidRPr="00D2398A">
        <w:rPr>
          <w:rFonts w:cstheme="minorHAnsi"/>
          <w:b/>
        </w:rPr>
        <w:t xml:space="preserve"> </w:t>
      </w:r>
      <w:r w:rsidR="009D4E85" w:rsidRPr="00D2398A">
        <w:rPr>
          <w:rFonts w:cstheme="minorHAnsi"/>
          <w:b/>
        </w:rPr>
        <w:t xml:space="preserve">činily celkem </w:t>
      </w:r>
      <w:r w:rsidR="00D2398A" w:rsidRPr="00D2398A">
        <w:rPr>
          <w:rFonts w:cstheme="minorHAnsi"/>
          <w:b/>
        </w:rPr>
        <w:t>10.246.626,85 Kč</w:t>
      </w:r>
    </w:p>
    <w:p w:rsidR="006C35C5" w:rsidRPr="00D2398A" w:rsidRDefault="006C35C5" w:rsidP="00F21F59">
      <w:pPr>
        <w:spacing w:after="80"/>
        <w:jc w:val="both"/>
        <w:rPr>
          <w:rFonts w:cstheme="minorHAnsi"/>
        </w:rPr>
      </w:pPr>
      <w:r w:rsidRPr="00D2398A">
        <w:rPr>
          <w:rFonts w:cstheme="minorHAnsi"/>
        </w:rPr>
        <w:t>z</w:t>
      </w:r>
      <w:r w:rsidR="009D4E85" w:rsidRPr="00D2398A">
        <w:rPr>
          <w:rFonts w:cstheme="minorHAnsi"/>
        </w:rPr>
        <w:t> </w:t>
      </w:r>
      <w:r w:rsidRPr="00D2398A">
        <w:rPr>
          <w:rFonts w:cstheme="minorHAnsi"/>
        </w:rPr>
        <w:t>toho</w:t>
      </w:r>
    </w:p>
    <w:p w:rsidR="009D4E85" w:rsidRPr="00D2398A" w:rsidRDefault="009D4E85" w:rsidP="00F21F59">
      <w:pPr>
        <w:spacing w:after="80"/>
        <w:jc w:val="both"/>
        <w:rPr>
          <w:rFonts w:cstheme="minorHAnsi"/>
        </w:rPr>
      </w:pPr>
      <w:r w:rsidRPr="00D2398A">
        <w:rPr>
          <w:rFonts w:cstheme="minorHAnsi"/>
        </w:rPr>
        <w:t xml:space="preserve">nezapojené </w:t>
      </w:r>
      <w:r w:rsidRPr="00D2398A">
        <w:rPr>
          <w:rFonts w:cstheme="minorHAnsi"/>
        </w:rPr>
        <w:tab/>
      </w:r>
      <w:r w:rsidRPr="00D2398A">
        <w:rPr>
          <w:rFonts w:cstheme="minorHAnsi"/>
        </w:rPr>
        <w:tab/>
      </w:r>
      <w:r w:rsidRPr="00D2398A">
        <w:rPr>
          <w:rFonts w:cstheme="minorHAnsi"/>
        </w:rPr>
        <w:tab/>
      </w:r>
      <w:r w:rsidRPr="00D2398A">
        <w:rPr>
          <w:rFonts w:cstheme="minorHAnsi"/>
        </w:rPr>
        <w:tab/>
        <w:t xml:space="preserve">   </w:t>
      </w:r>
      <w:r w:rsidR="00D2398A" w:rsidRPr="00D2398A">
        <w:rPr>
          <w:rFonts w:cstheme="minorHAnsi"/>
        </w:rPr>
        <w:t>5.126.363,62 Kč</w:t>
      </w:r>
    </w:p>
    <w:p w:rsidR="006C35C5" w:rsidRPr="00D2398A" w:rsidRDefault="006C35C5" w:rsidP="00F21F59">
      <w:pPr>
        <w:spacing w:after="80"/>
        <w:jc w:val="both"/>
        <w:rPr>
          <w:rFonts w:cstheme="minorHAnsi"/>
        </w:rPr>
      </w:pPr>
      <w:r w:rsidRPr="00D2398A">
        <w:rPr>
          <w:rFonts w:cstheme="minorHAnsi"/>
        </w:rPr>
        <w:t>- profilující výdaje</w:t>
      </w:r>
      <w:r w:rsidRPr="00D2398A">
        <w:rPr>
          <w:rFonts w:cstheme="minorHAnsi"/>
        </w:rPr>
        <w:tab/>
      </w:r>
      <w:r w:rsidRPr="00D2398A">
        <w:rPr>
          <w:rFonts w:cstheme="minorHAnsi"/>
        </w:rPr>
        <w:tab/>
      </w:r>
      <w:r w:rsidRPr="00D2398A">
        <w:rPr>
          <w:rFonts w:cstheme="minorHAnsi"/>
        </w:rPr>
        <w:tab/>
      </w:r>
      <w:r w:rsidR="00D2398A" w:rsidRPr="00D2398A">
        <w:rPr>
          <w:rFonts w:cstheme="minorHAnsi"/>
        </w:rPr>
        <w:t xml:space="preserve">   5.126.363,62 Kč</w:t>
      </w:r>
      <w:r w:rsidR="00CB6965" w:rsidRPr="00D2398A">
        <w:rPr>
          <w:rFonts w:cstheme="minorHAnsi"/>
        </w:rPr>
        <w:t xml:space="preserve"> </w:t>
      </w:r>
    </w:p>
    <w:p w:rsidR="006C35C5" w:rsidRPr="00D2398A" w:rsidRDefault="006C35C5" w:rsidP="00F21F59">
      <w:pPr>
        <w:spacing w:after="80"/>
        <w:jc w:val="both"/>
        <w:rPr>
          <w:rFonts w:cstheme="minorHAnsi"/>
        </w:rPr>
      </w:pPr>
      <w:r w:rsidRPr="00D2398A">
        <w:rPr>
          <w:rFonts w:cstheme="minorHAnsi"/>
        </w:rPr>
        <w:t>- neprofilující výdaje</w:t>
      </w:r>
      <w:r w:rsidRPr="00D2398A">
        <w:rPr>
          <w:rFonts w:cstheme="minorHAnsi"/>
        </w:rPr>
        <w:tab/>
      </w:r>
      <w:r w:rsidRPr="00D2398A">
        <w:rPr>
          <w:rFonts w:cstheme="minorHAnsi"/>
        </w:rPr>
        <w:tab/>
      </w:r>
      <w:r w:rsidRPr="00D2398A">
        <w:rPr>
          <w:rFonts w:cstheme="minorHAnsi"/>
        </w:rPr>
        <w:tab/>
        <w:t xml:space="preserve">   </w:t>
      </w:r>
      <w:r w:rsidR="009D4E85" w:rsidRPr="00D2398A">
        <w:rPr>
          <w:rFonts w:cstheme="minorHAnsi"/>
        </w:rPr>
        <w:t xml:space="preserve">               0,00 Kč</w:t>
      </w:r>
    </w:p>
    <w:p w:rsidR="00CB6965" w:rsidRPr="00D2398A" w:rsidRDefault="00CB6965" w:rsidP="00F21F59">
      <w:pPr>
        <w:spacing w:after="80"/>
        <w:jc w:val="both"/>
        <w:rPr>
          <w:rFonts w:cstheme="minorHAnsi"/>
        </w:rPr>
      </w:pPr>
      <w:r w:rsidRPr="00D2398A">
        <w:rPr>
          <w:rFonts w:cstheme="minorHAnsi"/>
        </w:rPr>
        <w:t>-převedeno do agregace</w:t>
      </w:r>
      <w:r w:rsidRPr="00D2398A">
        <w:rPr>
          <w:rFonts w:cstheme="minorHAnsi"/>
        </w:rPr>
        <w:tab/>
      </w:r>
      <w:r w:rsidRPr="00D2398A">
        <w:rPr>
          <w:rFonts w:cstheme="minorHAnsi"/>
        </w:rPr>
        <w:tab/>
        <w:t xml:space="preserve">     </w:t>
      </w:r>
      <w:r w:rsidR="00D2398A" w:rsidRPr="00D2398A">
        <w:rPr>
          <w:rFonts w:cstheme="minorHAnsi"/>
        </w:rPr>
        <w:t xml:space="preserve">             0,00 </w:t>
      </w:r>
      <w:r w:rsidRPr="00D2398A">
        <w:rPr>
          <w:rFonts w:cstheme="minorHAnsi"/>
        </w:rPr>
        <w:t>Kč</w:t>
      </w:r>
    </w:p>
    <w:p w:rsidR="009D4E85" w:rsidRPr="00D2398A" w:rsidRDefault="00E21799" w:rsidP="00F21F59">
      <w:pPr>
        <w:spacing w:after="80"/>
        <w:jc w:val="both"/>
        <w:rPr>
          <w:rFonts w:cstheme="minorHAnsi"/>
        </w:rPr>
      </w:pPr>
      <w:r w:rsidRPr="00D2398A">
        <w:rPr>
          <w:rFonts w:cstheme="minorHAnsi"/>
        </w:rPr>
        <w:t>z</w:t>
      </w:r>
      <w:r w:rsidR="009D4E85" w:rsidRPr="00D2398A">
        <w:rPr>
          <w:rFonts w:cstheme="minorHAnsi"/>
        </w:rPr>
        <w:t>apojené</w:t>
      </w:r>
      <w:r w:rsidR="009D4E85" w:rsidRPr="00D2398A">
        <w:rPr>
          <w:rFonts w:cstheme="minorHAnsi"/>
        </w:rPr>
        <w:tab/>
      </w:r>
      <w:r w:rsidR="006E11AD" w:rsidRPr="00D2398A">
        <w:rPr>
          <w:rFonts w:cstheme="minorHAnsi"/>
        </w:rPr>
        <w:tab/>
      </w:r>
      <w:r w:rsidR="006E11AD" w:rsidRPr="00D2398A">
        <w:rPr>
          <w:rFonts w:cstheme="minorHAnsi"/>
        </w:rPr>
        <w:tab/>
      </w:r>
      <w:r w:rsidR="00F21F59" w:rsidRPr="00D2398A">
        <w:rPr>
          <w:rFonts w:cstheme="minorHAnsi"/>
        </w:rPr>
        <w:t xml:space="preserve">              </w:t>
      </w:r>
      <w:r w:rsidR="006E11AD" w:rsidRPr="00D2398A">
        <w:rPr>
          <w:rFonts w:cstheme="minorHAnsi"/>
        </w:rPr>
        <w:t xml:space="preserve">  </w:t>
      </w:r>
      <w:r w:rsidR="006C35C5" w:rsidRPr="00D2398A">
        <w:rPr>
          <w:rFonts w:cstheme="minorHAnsi"/>
        </w:rPr>
        <w:t xml:space="preserve"> </w:t>
      </w:r>
      <w:r w:rsidR="00D2398A" w:rsidRPr="00D2398A">
        <w:rPr>
          <w:rFonts w:cstheme="minorHAnsi"/>
        </w:rPr>
        <w:t>5.120.263,23</w:t>
      </w:r>
      <w:r w:rsidRPr="00D2398A">
        <w:rPr>
          <w:rFonts w:cstheme="minorHAnsi"/>
        </w:rPr>
        <w:t xml:space="preserve"> Kč</w:t>
      </w:r>
    </w:p>
    <w:p w:rsidR="006C35C5" w:rsidRPr="00D2398A" w:rsidRDefault="006C35C5" w:rsidP="00F21F59">
      <w:pPr>
        <w:spacing w:after="80"/>
        <w:jc w:val="both"/>
        <w:rPr>
          <w:rFonts w:cstheme="minorHAnsi"/>
        </w:rPr>
      </w:pPr>
      <w:r w:rsidRPr="00D2398A">
        <w:rPr>
          <w:rFonts w:cstheme="minorHAnsi"/>
        </w:rPr>
        <w:t>- profilující výdaje</w:t>
      </w:r>
      <w:r w:rsidRPr="00D2398A">
        <w:rPr>
          <w:rFonts w:cstheme="minorHAnsi"/>
        </w:rPr>
        <w:tab/>
      </w:r>
      <w:r w:rsidRPr="00D2398A">
        <w:rPr>
          <w:rFonts w:cstheme="minorHAnsi"/>
        </w:rPr>
        <w:tab/>
      </w:r>
      <w:r w:rsidRPr="00D2398A">
        <w:rPr>
          <w:rFonts w:cstheme="minorHAnsi"/>
        </w:rPr>
        <w:tab/>
        <w:t xml:space="preserve">   </w:t>
      </w:r>
      <w:r w:rsidR="00D2398A" w:rsidRPr="00D2398A">
        <w:rPr>
          <w:rFonts w:cstheme="minorHAnsi"/>
        </w:rPr>
        <w:t>3.537.568,00</w:t>
      </w:r>
      <w:r w:rsidR="00E21799" w:rsidRPr="00D2398A">
        <w:rPr>
          <w:rFonts w:cstheme="minorHAnsi"/>
        </w:rPr>
        <w:t xml:space="preserve"> Kč</w:t>
      </w:r>
    </w:p>
    <w:p w:rsidR="006C35C5" w:rsidRPr="00D2398A" w:rsidRDefault="006C35C5" w:rsidP="00F21F59">
      <w:pPr>
        <w:spacing w:after="80"/>
        <w:jc w:val="both"/>
        <w:rPr>
          <w:rFonts w:cstheme="minorHAnsi"/>
        </w:rPr>
      </w:pPr>
      <w:r w:rsidRPr="00D2398A">
        <w:rPr>
          <w:rFonts w:cstheme="minorHAnsi"/>
        </w:rPr>
        <w:t>- neprofilující výdaje</w:t>
      </w:r>
      <w:r w:rsidRPr="00D2398A">
        <w:rPr>
          <w:rFonts w:cstheme="minorHAnsi"/>
        </w:rPr>
        <w:tab/>
      </w:r>
      <w:r w:rsidRPr="00D2398A">
        <w:rPr>
          <w:rFonts w:cstheme="minorHAnsi"/>
        </w:rPr>
        <w:tab/>
      </w:r>
      <w:r w:rsidRPr="00D2398A">
        <w:rPr>
          <w:rFonts w:cstheme="minorHAnsi"/>
        </w:rPr>
        <w:tab/>
        <w:t xml:space="preserve">   </w:t>
      </w:r>
      <w:r w:rsidR="00D2398A" w:rsidRPr="00D2398A">
        <w:rPr>
          <w:rFonts w:cstheme="minorHAnsi"/>
        </w:rPr>
        <w:t>1.582.695,23</w:t>
      </w:r>
      <w:r w:rsidR="00E21799" w:rsidRPr="00D2398A">
        <w:rPr>
          <w:rFonts w:cstheme="minorHAnsi"/>
        </w:rPr>
        <w:t xml:space="preserve"> Kč</w:t>
      </w:r>
    </w:p>
    <w:p w:rsidR="006C35C5" w:rsidRPr="00D2398A" w:rsidRDefault="00E21799" w:rsidP="00F21F59">
      <w:pPr>
        <w:spacing w:after="80"/>
        <w:jc w:val="both"/>
        <w:rPr>
          <w:rFonts w:cstheme="minorHAnsi"/>
        </w:rPr>
      </w:pPr>
      <w:r w:rsidRPr="00D2398A">
        <w:rPr>
          <w:rFonts w:cstheme="minorHAnsi"/>
        </w:rPr>
        <w:t xml:space="preserve">Ze zapojených NNV  bylo vyčerpáno         </w:t>
      </w:r>
      <w:r w:rsidR="006C35C5" w:rsidRPr="00D2398A">
        <w:rPr>
          <w:rFonts w:cstheme="minorHAnsi"/>
        </w:rPr>
        <w:t xml:space="preserve"> </w:t>
      </w:r>
      <w:r w:rsidR="00D2398A" w:rsidRPr="00D2398A">
        <w:rPr>
          <w:rFonts w:cstheme="minorHAnsi"/>
        </w:rPr>
        <w:t>3.176.156,23</w:t>
      </w:r>
      <w:r w:rsidRPr="00D2398A">
        <w:rPr>
          <w:rFonts w:cstheme="minorHAnsi"/>
        </w:rPr>
        <w:t xml:space="preserve"> Kč</w:t>
      </w:r>
    </w:p>
    <w:p w:rsidR="006C35C5" w:rsidRPr="00D2398A" w:rsidRDefault="006C35C5" w:rsidP="00F21F59">
      <w:pPr>
        <w:spacing w:after="80"/>
        <w:jc w:val="both"/>
        <w:rPr>
          <w:rFonts w:cstheme="minorHAnsi"/>
        </w:rPr>
      </w:pPr>
      <w:r w:rsidRPr="00D2398A">
        <w:rPr>
          <w:rFonts w:cstheme="minorHAnsi"/>
        </w:rPr>
        <w:t>- profilující výdaje</w:t>
      </w:r>
      <w:r w:rsidRPr="00D2398A">
        <w:rPr>
          <w:rFonts w:cstheme="minorHAnsi"/>
        </w:rPr>
        <w:tab/>
      </w:r>
      <w:r w:rsidRPr="00D2398A">
        <w:rPr>
          <w:rFonts w:cstheme="minorHAnsi"/>
        </w:rPr>
        <w:tab/>
      </w:r>
      <w:r w:rsidRPr="00D2398A">
        <w:rPr>
          <w:rFonts w:cstheme="minorHAnsi"/>
        </w:rPr>
        <w:tab/>
        <w:t xml:space="preserve">  </w:t>
      </w:r>
      <w:r w:rsidR="00D2398A" w:rsidRPr="00D2398A">
        <w:rPr>
          <w:rFonts w:cstheme="minorHAnsi"/>
        </w:rPr>
        <w:t>1.593.461,00</w:t>
      </w:r>
      <w:r w:rsidR="00E21799" w:rsidRPr="00D2398A">
        <w:rPr>
          <w:rFonts w:cstheme="minorHAnsi"/>
        </w:rPr>
        <w:t xml:space="preserve"> Kč</w:t>
      </w:r>
    </w:p>
    <w:p w:rsidR="006C35C5" w:rsidRPr="00D2398A" w:rsidRDefault="006C35C5" w:rsidP="00F21F59">
      <w:pPr>
        <w:spacing w:after="80"/>
        <w:jc w:val="both"/>
        <w:rPr>
          <w:rFonts w:cstheme="minorHAnsi"/>
        </w:rPr>
      </w:pPr>
      <w:r w:rsidRPr="00D2398A">
        <w:rPr>
          <w:rFonts w:cstheme="minorHAnsi"/>
        </w:rPr>
        <w:t>- neprofilující výdaje</w:t>
      </w:r>
      <w:r w:rsidRPr="00D2398A">
        <w:rPr>
          <w:rFonts w:cstheme="minorHAnsi"/>
        </w:rPr>
        <w:tab/>
      </w:r>
      <w:r w:rsidRPr="00D2398A">
        <w:rPr>
          <w:rFonts w:cstheme="minorHAnsi"/>
        </w:rPr>
        <w:tab/>
      </w:r>
      <w:r w:rsidRPr="00D2398A">
        <w:rPr>
          <w:rFonts w:cstheme="minorHAnsi"/>
        </w:rPr>
        <w:tab/>
        <w:t xml:space="preserve">  </w:t>
      </w:r>
      <w:r w:rsidR="00625081">
        <w:rPr>
          <w:rFonts w:cstheme="minorHAnsi"/>
        </w:rPr>
        <w:t>1.582.699,23 Kč</w:t>
      </w:r>
      <w:r w:rsidRPr="00D2398A">
        <w:rPr>
          <w:rFonts w:cstheme="minorHAnsi"/>
        </w:rPr>
        <w:t xml:space="preserve"> </w:t>
      </w:r>
    </w:p>
    <w:p w:rsidR="006C35C5" w:rsidRPr="00D2398A" w:rsidRDefault="00E21799" w:rsidP="00F21F59">
      <w:pPr>
        <w:spacing w:after="80"/>
        <w:jc w:val="both"/>
        <w:rPr>
          <w:rFonts w:cstheme="minorHAnsi"/>
        </w:rPr>
      </w:pPr>
      <w:r w:rsidRPr="00D2398A">
        <w:rPr>
          <w:rFonts w:cstheme="minorHAnsi"/>
        </w:rPr>
        <w:t xml:space="preserve">Nevyčerpáno ze zapojených NNV </w:t>
      </w:r>
      <w:r w:rsidR="00D2398A" w:rsidRPr="00D2398A">
        <w:rPr>
          <w:rFonts w:cstheme="minorHAnsi"/>
        </w:rPr>
        <w:t xml:space="preserve">          </w:t>
      </w:r>
      <w:r w:rsidRPr="00D2398A">
        <w:rPr>
          <w:rFonts w:cstheme="minorHAnsi"/>
        </w:rPr>
        <w:t xml:space="preserve">   </w:t>
      </w:r>
      <w:r w:rsidR="00D2398A" w:rsidRPr="00D2398A">
        <w:rPr>
          <w:rFonts w:cstheme="minorHAnsi"/>
        </w:rPr>
        <w:t>1.944.107</w:t>
      </w:r>
      <w:r w:rsidRPr="00D2398A">
        <w:rPr>
          <w:rFonts w:cstheme="minorHAnsi"/>
        </w:rPr>
        <w:t>,00 Kč</w:t>
      </w:r>
    </w:p>
    <w:p w:rsidR="006C35C5" w:rsidRPr="00D2398A" w:rsidRDefault="006C35C5" w:rsidP="00F21F59">
      <w:pPr>
        <w:spacing w:after="80"/>
        <w:jc w:val="both"/>
        <w:rPr>
          <w:rFonts w:cstheme="minorHAnsi"/>
        </w:rPr>
      </w:pPr>
      <w:r w:rsidRPr="00D2398A">
        <w:rPr>
          <w:rFonts w:cstheme="minorHAnsi"/>
        </w:rPr>
        <w:t>- profilující výdaje</w:t>
      </w:r>
      <w:r w:rsidRPr="00D2398A">
        <w:rPr>
          <w:rFonts w:cstheme="minorHAnsi"/>
        </w:rPr>
        <w:tab/>
      </w:r>
      <w:r w:rsidRPr="00D2398A">
        <w:rPr>
          <w:rFonts w:cstheme="minorHAnsi"/>
        </w:rPr>
        <w:tab/>
      </w:r>
      <w:r w:rsidRPr="00D2398A">
        <w:rPr>
          <w:rFonts w:cstheme="minorHAnsi"/>
        </w:rPr>
        <w:tab/>
      </w:r>
      <w:r w:rsidR="00E21799" w:rsidRPr="00D2398A">
        <w:rPr>
          <w:rFonts w:cstheme="minorHAnsi"/>
        </w:rPr>
        <w:t xml:space="preserve">  </w:t>
      </w:r>
      <w:r w:rsidR="00D2398A" w:rsidRPr="00D2398A">
        <w:rPr>
          <w:rFonts w:cstheme="minorHAnsi"/>
        </w:rPr>
        <w:t>1.944.107,00 Kč</w:t>
      </w:r>
    </w:p>
    <w:p w:rsidR="006C35C5" w:rsidRPr="00D2398A" w:rsidRDefault="006C35C5" w:rsidP="00F21F59">
      <w:pPr>
        <w:spacing w:after="80"/>
        <w:jc w:val="both"/>
        <w:rPr>
          <w:rFonts w:cstheme="minorHAnsi"/>
        </w:rPr>
      </w:pPr>
      <w:r w:rsidRPr="00D2398A">
        <w:rPr>
          <w:rFonts w:cstheme="minorHAnsi"/>
        </w:rPr>
        <w:t>- neprofilující výdaje</w:t>
      </w:r>
      <w:r w:rsidRPr="00D2398A">
        <w:rPr>
          <w:rFonts w:cstheme="minorHAnsi"/>
        </w:rPr>
        <w:tab/>
      </w:r>
      <w:r w:rsidRPr="00D2398A">
        <w:rPr>
          <w:rFonts w:cstheme="minorHAnsi"/>
        </w:rPr>
        <w:tab/>
      </w:r>
      <w:r w:rsidRPr="00D2398A">
        <w:rPr>
          <w:rFonts w:cstheme="minorHAnsi"/>
        </w:rPr>
        <w:tab/>
        <w:t xml:space="preserve">               </w:t>
      </w:r>
      <w:r w:rsidR="006F3647" w:rsidRPr="00D2398A">
        <w:rPr>
          <w:rFonts w:cstheme="minorHAnsi"/>
        </w:rPr>
        <w:t xml:space="preserve"> </w:t>
      </w:r>
      <w:r w:rsidRPr="00D2398A">
        <w:rPr>
          <w:rFonts w:cstheme="minorHAnsi"/>
        </w:rPr>
        <w:t xml:space="preserve">0,00 Kč </w:t>
      </w:r>
    </w:p>
    <w:p w:rsidR="005C23D1" w:rsidRPr="00D2398A" w:rsidRDefault="005C23D1" w:rsidP="00F21F59">
      <w:pPr>
        <w:spacing w:after="80"/>
        <w:jc w:val="both"/>
        <w:rPr>
          <w:rFonts w:cstheme="minorHAnsi"/>
        </w:rPr>
      </w:pPr>
    </w:p>
    <w:p w:rsidR="005159A8" w:rsidRPr="00D2398A" w:rsidRDefault="005159A8" w:rsidP="005159A8">
      <w:pPr>
        <w:pStyle w:val="Titulek"/>
        <w:keepNext/>
        <w:rPr>
          <w:rFonts w:cstheme="minorHAnsi"/>
          <w:sz w:val="22"/>
          <w:szCs w:val="22"/>
        </w:rPr>
      </w:pPr>
      <w:r w:rsidRPr="00D2398A">
        <w:rPr>
          <w:rFonts w:cstheme="minorHAnsi"/>
          <w:sz w:val="22"/>
          <w:szCs w:val="22"/>
        </w:rPr>
        <w:t>Nespotřebované nároky</w:t>
      </w:r>
    </w:p>
    <w:bookmarkStart w:id="66" w:name="_MON_1671630377"/>
    <w:bookmarkEnd w:id="66"/>
    <w:p w:rsidR="00F21F59" w:rsidRPr="00C9684A" w:rsidRDefault="000D787C" w:rsidP="004F5D78">
      <w:pPr>
        <w:spacing w:before="120" w:after="120"/>
        <w:jc w:val="both"/>
        <w:rPr>
          <w:rFonts w:cstheme="minorHAnsi"/>
          <w:color w:val="FF0000"/>
        </w:rPr>
      </w:pPr>
      <w:r w:rsidRPr="00C9684A">
        <w:rPr>
          <w:rFonts w:cstheme="minorHAnsi"/>
          <w:color w:val="FF0000"/>
        </w:rPr>
        <w:object w:dxaOrig="12521" w:dyaOrig="4347" w14:anchorId="4EA67E6E">
          <v:shape id="_x0000_i1048" type="#_x0000_t75" style="width:487.5pt;height:169.5pt" o:ole="">
            <v:imagedata r:id="rId56" o:title=""/>
          </v:shape>
          <o:OLEObject Type="Embed" ProgID="Excel.Sheet.12" ShapeID="_x0000_i1048" DrawAspect="Content" ObjectID="_1738644127" r:id="rId57"/>
        </w:object>
      </w:r>
    </w:p>
    <w:p w:rsidR="008457AD" w:rsidRDefault="004F5D78" w:rsidP="004F5D78">
      <w:pPr>
        <w:spacing w:before="120" w:after="120"/>
        <w:jc w:val="both"/>
        <w:rPr>
          <w:rFonts w:cstheme="minorHAnsi"/>
        </w:rPr>
      </w:pPr>
      <w:r w:rsidRPr="00312D73">
        <w:rPr>
          <w:rFonts w:cstheme="minorHAnsi"/>
        </w:rPr>
        <w:t>Nevyčerpané</w:t>
      </w:r>
      <w:r w:rsidR="000E7AF9">
        <w:rPr>
          <w:rFonts w:cstheme="minorHAnsi"/>
        </w:rPr>
        <w:t xml:space="preserve"> zapojené</w:t>
      </w:r>
      <w:r w:rsidRPr="00312D73">
        <w:rPr>
          <w:rFonts w:cstheme="minorHAnsi"/>
        </w:rPr>
        <w:t xml:space="preserve"> NNV ve výši </w:t>
      </w:r>
      <w:r w:rsidR="008457AD" w:rsidRPr="00312D73">
        <w:rPr>
          <w:rFonts w:cstheme="minorHAnsi"/>
        </w:rPr>
        <w:t>1.944.107,00</w:t>
      </w:r>
      <w:r w:rsidR="00B42D75" w:rsidRPr="00312D73">
        <w:rPr>
          <w:rFonts w:cstheme="minorHAnsi"/>
        </w:rPr>
        <w:t xml:space="preserve"> Kč</w:t>
      </w:r>
      <w:r w:rsidRPr="00312D73">
        <w:rPr>
          <w:rFonts w:cstheme="minorHAnsi"/>
        </w:rPr>
        <w:t xml:space="preserve"> jsou na </w:t>
      </w:r>
      <w:r w:rsidR="008457AD" w:rsidRPr="00312D73">
        <w:rPr>
          <w:rFonts w:cstheme="minorHAnsi"/>
        </w:rPr>
        <w:t>položkách kapitálových výdajů a to na</w:t>
      </w:r>
      <w:r w:rsidR="00B42D75" w:rsidRPr="00312D73">
        <w:rPr>
          <w:rFonts w:cstheme="minorHAnsi"/>
        </w:rPr>
        <w:t xml:space="preserve"> položce 6121 ve výši </w:t>
      </w:r>
      <w:r w:rsidR="00312D73">
        <w:rPr>
          <w:rFonts w:cstheme="minorHAnsi"/>
        </w:rPr>
        <w:t>1.</w:t>
      </w:r>
      <w:r w:rsidR="008457AD" w:rsidRPr="00312D73">
        <w:rPr>
          <w:rFonts w:cstheme="minorHAnsi"/>
        </w:rPr>
        <w:t>944.107,00</w:t>
      </w:r>
      <w:r w:rsidR="00B42D75" w:rsidRPr="00312D73">
        <w:rPr>
          <w:rFonts w:cstheme="minorHAnsi"/>
        </w:rPr>
        <w:t xml:space="preserve"> Kč (akce  ev.</w:t>
      </w:r>
      <w:r w:rsidR="000B7704">
        <w:rPr>
          <w:rFonts w:cstheme="minorHAnsi"/>
        </w:rPr>
        <w:t xml:space="preserve"> </w:t>
      </w:r>
      <w:r w:rsidR="00B42D75" w:rsidRPr="00312D73">
        <w:rPr>
          <w:rFonts w:cstheme="minorHAnsi"/>
        </w:rPr>
        <w:t>č. 036V018000006</w:t>
      </w:r>
      <w:r w:rsidRPr="00312D73">
        <w:rPr>
          <w:rFonts w:cstheme="minorHAnsi"/>
        </w:rPr>
        <w:t xml:space="preserve"> </w:t>
      </w:r>
      <w:r w:rsidR="00B42D75" w:rsidRPr="00312D73">
        <w:rPr>
          <w:rFonts w:cstheme="minorHAnsi"/>
        </w:rPr>
        <w:t>OS Cheb – rekonstrukce části objektu D“) – jde o prostředky na zpr</w:t>
      </w:r>
      <w:r w:rsidR="0098567F" w:rsidRPr="00312D73">
        <w:rPr>
          <w:rFonts w:cstheme="minorHAnsi"/>
        </w:rPr>
        <w:t>acování projektové dokumentace</w:t>
      </w:r>
      <w:r w:rsidR="00AC6667">
        <w:rPr>
          <w:rFonts w:cstheme="minorHAnsi"/>
        </w:rPr>
        <w:t>.</w:t>
      </w:r>
      <w:r w:rsidR="0098567F" w:rsidRPr="00312D73">
        <w:rPr>
          <w:rFonts w:cstheme="minorHAnsi"/>
        </w:rPr>
        <w:t xml:space="preserve"> </w:t>
      </w:r>
    </w:p>
    <w:p w:rsidR="000B7704" w:rsidRPr="00312D73" w:rsidRDefault="000B7704" w:rsidP="004F5D78">
      <w:pPr>
        <w:spacing w:before="120" w:after="120"/>
        <w:jc w:val="both"/>
        <w:rPr>
          <w:rFonts w:cstheme="minorHAnsi"/>
        </w:rPr>
      </w:pPr>
      <w:r>
        <w:rPr>
          <w:rFonts w:cstheme="minorHAnsi"/>
        </w:rPr>
        <w:t>Nezapojené NNV v celkové výši 5.126.363,62 Kč jsou z akcí programového financování. Jednak na akci ev. č.</w:t>
      </w:r>
      <w:r w:rsidRPr="000B7704">
        <w:rPr>
          <w:rFonts w:cstheme="minorHAnsi"/>
        </w:rPr>
        <w:t xml:space="preserve"> </w:t>
      </w:r>
      <w:r w:rsidRPr="00312D73">
        <w:rPr>
          <w:rFonts w:cstheme="minorHAnsi"/>
        </w:rPr>
        <w:t xml:space="preserve">036V018000006 OS Cheb </w:t>
      </w:r>
      <w:r>
        <w:rPr>
          <w:rFonts w:cstheme="minorHAnsi"/>
        </w:rPr>
        <w:t>– rekonstrukce části objektu D“ 3.344.578,00 Kč a dále agregace z ukončených i</w:t>
      </w:r>
      <w:r w:rsidR="000D787C">
        <w:rPr>
          <w:rFonts w:cstheme="minorHAnsi"/>
        </w:rPr>
        <w:t>nvestičních akcí programu 13601 v celkové výši 1.781.785,62 Kč.</w:t>
      </w:r>
    </w:p>
    <w:p w:rsidR="004F5D78" w:rsidRPr="00A56CA0" w:rsidRDefault="004F5D78" w:rsidP="004F5D78">
      <w:pPr>
        <w:spacing w:before="120" w:after="120"/>
        <w:jc w:val="both"/>
        <w:rPr>
          <w:rFonts w:cstheme="minorHAnsi"/>
          <w:b/>
        </w:rPr>
      </w:pPr>
      <w:r w:rsidRPr="00A56CA0">
        <w:rPr>
          <w:rFonts w:cstheme="minorHAnsi"/>
          <w:b/>
        </w:rPr>
        <w:lastRenderedPageBreak/>
        <w:t xml:space="preserve">Důvody nespotřebování rozpočtových prostředků v celkové výši </w:t>
      </w:r>
      <w:r w:rsidR="00AC6667" w:rsidRPr="00A56CA0">
        <w:rPr>
          <w:rFonts w:cstheme="minorHAnsi"/>
          <w:b/>
        </w:rPr>
        <w:t>11.</w:t>
      </w:r>
      <w:r w:rsidR="006D7188" w:rsidRPr="00A56CA0">
        <w:rPr>
          <w:rFonts w:cstheme="minorHAnsi"/>
          <w:b/>
        </w:rPr>
        <w:t>391.293,68</w:t>
      </w:r>
      <w:r w:rsidRPr="00A56CA0">
        <w:rPr>
          <w:rFonts w:cstheme="minorHAnsi"/>
          <w:b/>
        </w:rPr>
        <w:t xml:space="preserve"> Kč</w:t>
      </w:r>
      <w:r w:rsidR="00BC427A" w:rsidRPr="00A56CA0">
        <w:rPr>
          <w:rFonts w:cstheme="minorHAnsi"/>
          <w:b/>
        </w:rPr>
        <w:t xml:space="preserve"> (včetně nezapojených NNV na kapitálové výdaje ve výši 5.126.363,62 Kč). U</w:t>
      </w:r>
      <w:r w:rsidR="00E26863" w:rsidRPr="00A56CA0">
        <w:rPr>
          <w:rFonts w:cstheme="minorHAnsi"/>
          <w:b/>
        </w:rPr>
        <w:t>vedeny nejvýznamnější rozpočtové položky v jednotlivých seskupeních</w:t>
      </w:r>
      <w:r w:rsidR="00C86B88" w:rsidRPr="00A56CA0">
        <w:rPr>
          <w:rFonts w:cstheme="minorHAnsi"/>
          <w:b/>
        </w:rPr>
        <w:t>:</w:t>
      </w:r>
    </w:p>
    <w:p w:rsidR="004F5D78" w:rsidRPr="00A56CA0" w:rsidRDefault="004F5D78" w:rsidP="00CD5942">
      <w:pPr>
        <w:spacing w:before="120" w:after="80"/>
        <w:jc w:val="both"/>
        <w:rPr>
          <w:rFonts w:cstheme="minorHAnsi"/>
          <w:b/>
        </w:rPr>
      </w:pPr>
      <w:r w:rsidRPr="00A56CA0">
        <w:rPr>
          <w:rFonts w:cstheme="minorHAnsi"/>
          <w:b/>
        </w:rPr>
        <w:t>502</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00811BDE" w:rsidRPr="00A56CA0">
        <w:rPr>
          <w:rFonts w:cstheme="minorHAnsi"/>
          <w:b/>
        </w:rPr>
        <w:t xml:space="preserve"> </w:t>
      </w:r>
      <w:r w:rsidR="001E33CB" w:rsidRPr="00A56CA0">
        <w:rPr>
          <w:rFonts w:cstheme="minorHAnsi"/>
          <w:b/>
        </w:rPr>
        <w:t xml:space="preserve">    </w:t>
      </w:r>
      <w:r w:rsidR="00AE2F58" w:rsidRPr="00A56CA0">
        <w:rPr>
          <w:rFonts w:cstheme="minorHAnsi"/>
          <w:b/>
        </w:rPr>
        <w:t xml:space="preserve"> </w:t>
      </w:r>
      <w:r w:rsidR="001E33CB" w:rsidRPr="00A56CA0">
        <w:rPr>
          <w:rFonts w:cstheme="minorHAnsi"/>
          <w:b/>
        </w:rPr>
        <w:t>228.710</w:t>
      </w:r>
      <w:r w:rsidR="00811BDE" w:rsidRPr="00A56CA0">
        <w:rPr>
          <w:rFonts w:cstheme="minorHAnsi"/>
          <w:b/>
        </w:rPr>
        <w:t>,00</w:t>
      </w:r>
      <w:r w:rsidRPr="00A56CA0">
        <w:rPr>
          <w:rFonts w:cstheme="minorHAnsi"/>
          <w:b/>
        </w:rPr>
        <w:t xml:space="preserve"> Kč</w:t>
      </w:r>
    </w:p>
    <w:p w:rsidR="001E33CB" w:rsidRPr="00A56CA0" w:rsidRDefault="001E33CB" w:rsidP="00CD5942">
      <w:pPr>
        <w:spacing w:before="120" w:after="80"/>
        <w:jc w:val="both"/>
        <w:rPr>
          <w:rFonts w:cstheme="minorHAnsi"/>
        </w:rPr>
      </w:pPr>
      <w:r w:rsidRPr="00A56CA0">
        <w:rPr>
          <w:rFonts w:cstheme="minorHAnsi"/>
        </w:rPr>
        <w:t>5029</w:t>
      </w:r>
      <w:r w:rsidR="00AE2F58" w:rsidRPr="00A56CA0">
        <w:rPr>
          <w:rFonts w:cstheme="minorHAnsi"/>
        </w:rPr>
        <w:t xml:space="preserve">     </w:t>
      </w:r>
      <w:r w:rsidR="00AE2F58" w:rsidRPr="00A56CA0">
        <w:rPr>
          <w:rFonts w:cstheme="minorHAnsi"/>
        </w:rPr>
        <w:tab/>
      </w:r>
      <w:r w:rsidR="00AE2F58" w:rsidRPr="00A56CA0">
        <w:rPr>
          <w:rFonts w:cstheme="minorHAnsi"/>
        </w:rPr>
        <w:tab/>
      </w:r>
      <w:r w:rsidR="00AE2F58" w:rsidRPr="00A56CA0">
        <w:rPr>
          <w:rFonts w:cstheme="minorHAnsi"/>
        </w:rPr>
        <w:tab/>
      </w:r>
      <w:r w:rsidR="00AE2F58" w:rsidRPr="00A56CA0">
        <w:rPr>
          <w:rFonts w:cstheme="minorHAnsi"/>
        </w:rPr>
        <w:tab/>
      </w:r>
      <w:r w:rsidR="00AE2F58" w:rsidRPr="00A56CA0">
        <w:rPr>
          <w:rFonts w:cstheme="minorHAnsi"/>
        </w:rPr>
        <w:tab/>
        <w:t xml:space="preserve">        62.374,00 Kč</w:t>
      </w:r>
    </w:p>
    <w:p w:rsidR="004F5D78" w:rsidRPr="00A56CA0" w:rsidRDefault="004F5D78" w:rsidP="0021129C">
      <w:pPr>
        <w:tabs>
          <w:tab w:val="left" w:pos="708"/>
          <w:tab w:val="left" w:pos="1416"/>
          <w:tab w:val="left" w:pos="2124"/>
          <w:tab w:val="left" w:pos="2832"/>
          <w:tab w:val="left" w:pos="3540"/>
          <w:tab w:val="left" w:pos="4248"/>
          <w:tab w:val="left" w:pos="4956"/>
          <w:tab w:val="right" w:pos="9072"/>
        </w:tabs>
        <w:spacing w:before="120" w:after="80"/>
        <w:jc w:val="both"/>
        <w:rPr>
          <w:rFonts w:cstheme="minorHAnsi"/>
        </w:rPr>
      </w:pPr>
      <w:r w:rsidRPr="00A56CA0">
        <w:rPr>
          <w:rFonts w:cstheme="minorHAnsi"/>
        </w:rPr>
        <w:t>5022</w:t>
      </w:r>
      <w:r w:rsidRPr="00A56CA0">
        <w:rPr>
          <w:rFonts w:cstheme="minorHAnsi"/>
        </w:rPr>
        <w:tab/>
      </w:r>
      <w:r w:rsidRPr="00A56CA0">
        <w:rPr>
          <w:rFonts w:cstheme="minorHAnsi"/>
        </w:rPr>
        <w:tab/>
      </w:r>
      <w:r w:rsidRPr="00A56CA0">
        <w:rPr>
          <w:rFonts w:cstheme="minorHAnsi"/>
        </w:rPr>
        <w:tab/>
      </w:r>
      <w:r w:rsidRPr="00A56CA0">
        <w:rPr>
          <w:rFonts w:cstheme="minorHAnsi"/>
        </w:rPr>
        <w:tab/>
      </w:r>
      <w:r w:rsidRPr="00A56CA0">
        <w:rPr>
          <w:rFonts w:cstheme="minorHAnsi"/>
        </w:rPr>
        <w:tab/>
      </w:r>
      <w:r w:rsidR="00811BDE" w:rsidRPr="00A56CA0">
        <w:rPr>
          <w:rFonts w:cstheme="minorHAnsi"/>
        </w:rPr>
        <w:t xml:space="preserve"> </w:t>
      </w:r>
      <w:r w:rsidR="001E33CB" w:rsidRPr="00A56CA0">
        <w:rPr>
          <w:rFonts w:cstheme="minorHAnsi"/>
        </w:rPr>
        <w:t xml:space="preserve">     </w:t>
      </w:r>
      <w:r w:rsidR="00AE2F58" w:rsidRPr="00A56CA0">
        <w:rPr>
          <w:rFonts w:cstheme="minorHAnsi"/>
        </w:rPr>
        <w:t>146.336,00</w:t>
      </w:r>
      <w:r w:rsidR="00811BDE" w:rsidRPr="00A56CA0">
        <w:rPr>
          <w:rFonts w:cstheme="minorHAnsi"/>
        </w:rPr>
        <w:t xml:space="preserve"> Kč</w:t>
      </w:r>
      <w:r w:rsidR="0021129C" w:rsidRPr="00A56CA0">
        <w:rPr>
          <w:rFonts w:cstheme="minorHAnsi"/>
        </w:rPr>
        <w:tab/>
      </w:r>
    </w:p>
    <w:p w:rsidR="00E26863" w:rsidRPr="00A56CA0" w:rsidRDefault="00AE2F58" w:rsidP="00CD5942">
      <w:pPr>
        <w:spacing w:before="120" w:after="80"/>
        <w:jc w:val="both"/>
        <w:rPr>
          <w:rFonts w:cstheme="minorHAnsi"/>
        </w:rPr>
      </w:pPr>
      <w:r w:rsidRPr="00A56CA0">
        <w:rPr>
          <w:rFonts w:cstheme="minorHAnsi"/>
        </w:rPr>
        <w:t xml:space="preserve">V tomto seskupení jde zejména o nevyčerpané prostředky na platy soudců, bylo počítáno s nástupem nově jmenované soudkyně (nastoupila až 1. 1. 2023). Z důvodu zapojení NNV ve výši  45.928,00  Kč na náhrady přísedícím jsou nevyčerpané prostředky na této položce. </w:t>
      </w:r>
    </w:p>
    <w:p w:rsidR="00DA746A" w:rsidRPr="00A56CA0" w:rsidRDefault="00DA746A" w:rsidP="00CD5942">
      <w:pPr>
        <w:spacing w:before="120" w:after="80"/>
        <w:jc w:val="both"/>
        <w:rPr>
          <w:rFonts w:cstheme="minorHAnsi"/>
        </w:rPr>
      </w:pPr>
    </w:p>
    <w:p w:rsidR="00E26863" w:rsidRPr="00A56CA0" w:rsidRDefault="00E26863" w:rsidP="00CD5942">
      <w:pPr>
        <w:spacing w:before="120" w:after="80"/>
        <w:jc w:val="both"/>
        <w:rPr>
          <w:rFonts w:cstheme="minorHAnsi"/>
          <w:b/>
        </w:rPr>
      </w:pPr>
      <w:r w:rsidRPr="00A56CA0">
        <w:rPr>
          <w:rFonts w:cstheme="minorHAnsi"/>
          <w:b/>
        </w:rPr>
        <w:t>503</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008A451C" w:rsidRPr="00A56CA0">
        <w:rPr>
          <w:rFonts w:cstheme="minorHAnsi"/>
          <w:b/>
        </w:rPr>
        <w:t xml:space="preserve">  </w:t>
      </w:r>
      <w:r w:rsidR="00AE2F58" w:rsidRPr="00A56CA0">
        <w:rPr>
          <w:rFonts w:cstheme="minorHAnsi"/>
          <w:b/>
        </w:rPr>
        <w:t xml:space="preserve"> 199.258,00</w:t>
      </w:r>
      <w:r w:rsidR="008A451C" w:rsidRPr="00A56CA0">
        <w:rPr>
          <w:rFonts w:cstheme="minorHAnsi"/>
          <w:b/>
        </w:rPr>
        <w:t xml:space="preserve"> Kč</w:t>
      </w:r>
    </w:p>
    <w:p w:rsidR="00E26863" w:rsidRPr="00A56CA0" w:rsidRDefault="00E26863" w:rsidP="00CD5942">
      <w:pPr>
        <w:spacing w:before="120" w:after="80"/>
        <w:jc w:val="both"/>
        <w:rPr>
          <w:rFonts w:cstheme="minorHAnsi"/>
        </w:rPr>
      </w:pPr>
      <w:r w:rsidRPr="00A56CA0">
        <w:rPr>
          <w:rFonts w:cstheme="minorHAnsi"/>
        </w:rPr>
        <w:t>5031</w:t>
      </w:r>
      <w:r w:rsidRPr="00A56CA0">
        <w:rPr>
          <w:rFonts w:cstheme="minorHAnsi"/>
        </w:rPr>
        <w:tab/>
      </w:r>
      <w:r w:rsidRPr="00A56CA0">
        <w:rPr>
          <w:rFonts w:cstheme="minorHAnsi"/>
        </w:rPr>
        <w:tab/>
      </w:r>
      <w:r w:rsidRPr="00A56CA0">
        <w:rPr>
          <w:rFonts w:cstheme="minorHAnsi"/>
        </w:rPr>
        <w:tab/>
      </w:r>
      <w:r w:rsidRPr="00A56CA0">
        <w:rPr>
          <w:rFonts w:cstheme="minorHAnsi"/>
        </w:rPr>
        <w:tab/>
      </w:r>
      <w:r w:rsidRPr="00A56CA0">
        <w:rPr>
          <w:rFonts w:cstheme="minorHAnsi"/>
        </w:rPr>
        <w:tab/>
      </w:r>
      <w:r w:rsidR="008A451C" w:rsidRPr="00A56CA0">
        <w:rPr>
          <w:rFonts w:cstheme="minorHAnsi"/>
        </w:rPr>
        <w:t xml:space="preserve">   </w:t>
      </w:r>
      <w:r w:rsidR="00AE2F58" w:rsidRPr="00A56CA0">
        <w:rPr>
          <w:rFonts w:cstheme="minorHAnsi"/>
        </w:rPr>
        <w:t>187.576,00 Kč</w:t>
      </w:r>
    </w:p>
    <w:p w:rsidR="002E6715" w:rsidRPr="00A56CA0" w:rsidRDefault="002E6715" w:rsidP="00CD5942">
      <w:pPr>
        <w:spacing w:before="120" w:after="80"/>
        <w:jc w:val="both"/>
        <w:rPr>
          <w:rFonts w:cstheme="minorHAnsi"/>
        </w:rPr>
      </w:pPr>
      <w:r w:rsidRPr="00A56CA0">
        <w:rPr>
          <w:rFonts w:cstheme="minorHAnsi"/>
        </w:rPr>
        <w:t>5032</w:t>
      </w:r>
      <w:r w:rsidRPr="00A56CA0">
        <w:rPr>
          <w:rFonts w:cstheme="minorHAnsi"/>
        </w:rPr>
        <w:tab/>
      </w:r>
      <w:r w:rsidRPr="00A56CA0">
        <w:rPr>
          <w:rFonts w:cstheme="minorHAnsi"/>
        </w:rPr>
        <w:tab/>
      </w:r>
      <w:r w:rsidRPr="00A56CA0">
        <w:rPr>
          <w:rFonts w:cstheme="minorHAnsi"/>
        </w:rPr>
        <w:tab/>
        <w:t xml:space="preserve">                                </w:t>
      </w:r>
      <w:r w:rsidR="00AE2F58" w:rsidRPr="00A56CA0">
        <w:rPr>
          <w:rFonts w:cstheme="minorHAnsi"/>
        </w:rPr>
        <w:t xml:space="preserve"> 11.682,00</w:t>
      </w:r>
      <w:r w:rsidRPr="00A56CA0">
        <w:rPr>
          <w:rFonts w:cstheme="minorHAnsi"/>
        </w:rPr>
        <w:t xml:space="preserve"> Kč</w:t>
      </w:r>
    </w:p>
    <w:p w:rsidR="00E26863" w:rsidRPr="00A56CA0" w:rsidRDefault="00E26863" w:rsidP="00CD5942">
      <w:pPr>
        <w:spacing w:before="120" w:after="80"/>
        <w:jc w:val="both"/>
        <w:rPr>
          <w:rFonts w:cstheme="minorHAnsi"/>
        </w:rPr>
      </w:pPr>
      <w:r w:rsidRPr="00A56CA0">
        <w:rPr>
          <w:rFonts w:cstheme="minorHAnsi"/>
        </w:rPr>
        <w:t xml:space="preserve">Odvody na </w:t>
      </w:r>
      <w:r w:rsidR="002E6715" w:rsidRPr="00A56CA0">
        <w:rPr>
          <w:rFonts w:cstheme="minorHAnsi"/>
        </w:rPr>
        <w:t xml:space="preserve">zdravotní a </w:t>
      </w:r>
      <w:r w:rsidRPr="00A56CA0">
        <w:rPr>
          <w:rFonts w:cstheme="minorHAnsi"/>
        </w:rPr>
        <w:t>sociální zabezpečení jso</w:t>
      </w:r>
      <w:r w:rsidR="008A451C" w:rsidRPr="00A56CA0">
        <w:rPr>
          <w:rFonts w:cstheme="minorHAnsi"/>
        </w:rPr>
        <w:t>u závislé na mzdových výdajích a u platů sou</w:t>
      </w:r>
      <w:r w:rsidR="00AE2F58" w:rsidRPr="00A56CA0">
        <w:rPr>
          <w:rFonts w:cstheme="minorHAnsi"/>
        </w:rPr>
        <w:t>dců byla rezerva pro očekávaný nástup 1 soudkyně.</w:t>
      </w:r>
    </w:p>
    <w:p w:rsidR="00DA746A" w:rsidRPr="00A56CA0" w:rsidRDefault="002E6715" w:rsidP="00CD5942">
      <w:pPr>
        <w:spacing w:before="120" w:after="80"/>
        <w:jc w:val="both"/>
        <w:rPr>
          <w:rFonts w:cstheme="minorHAnsi"/>
          <w:b/>
        </w:rPr>
      </w:pPr>
      <w:r w:rsidRPr="00A56CA0">
        <w:rPr>
          <w:rFonts w:cstheme="minorHAnsi"/>
          <w:b/>
        </w:rPr>
        <w:t>512</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t xml:space="preserve">        </w:t>
      </w:r>
      <w:r w:rsidR="00AE2F58" w:rsidRPr="00A56CA0">
        <w:rPr>
          <w:rFonts w:cstheme="minorHAnsi"/>
          <w:b/>
        </w:rPr>
        <w:t>11.</w:t>
      </w:r>
      <w:r w:rsidR="005E4F4D" w:rsidRPr="00A56CA0">
        <w:rPr>
          <w:rFonts w:cstheme="minorHAnsi"/>
          <w:b/>
        </w:rPr>
        <w:t>504,00</w:t>
      </w:r>
      <w:r w:rsidR="00AE2F58" w:rsidRPr="00A56CA0">
        <w:rPr>
          <w:rFonts w:cstheme="minorHAnsi"/>
          <w:b/>
        </w:rPr>
        <w:t xml:space="preserve"> Kč</w:t>
      </w:r>
    </w:p>
    <w:p w:rsidR="002E6715" w:rsidRPr="00A56CA0" w:rsidRDefault="002E6715" w:rsidP="00CD5942">
      <w:pPr>
        <w:spacing w:before="120" w:after="80"/>
        <w:jc w:val="both"/>
        <w:rPr>
          <w:rFonts w:cstheme="minorHAnsi"/>
        </w:rPr>
      </w:pPr>
      <w:r w:rsidRPr="00A56CA0">
        <w:rPr>
          <w:rFonts w:cstheme="minorHAnsi"/>
        </w:rPr>
        <w:t>5123 OBKŘ</w:t>
      </w:r>
      <w:r w:rsidRPr="00A56CA0">
        <w:rPr>
          <w:rFonts w:cstheme="minorHAnsi"/>
        </w:rPr>
        <w:tab/>
      </w:r>
      <w:r w:rsidRPr="00A56CA0">
        <w:rPr>
          <w:rFonts w:cstheme="minorHAnsi"/>
        </w:rPr>
        <w:tab/>
      </w:r>
      <w:r w:rsidRPr="00A56CA0">
        <w:rPr>
          <w:rFonts w:cstheme="minorHAnsi"/>
        </w:rPr>
        <w:tab/>
      </w:r>
      <w:r w:rsidR="00AE2F58" w:rsidRPr="00A56CA0">
        <w:rPr>
          <w:rFonts w:cstheme="minorHAnsi"/>
        </w:rPr>
        <w:t xml:space="preserve">  </w:t>
      </w:r>
      <w:r w:rsidR="00AE2F58" w:rsidRPr="00A56CA0">
        <w:rPr>
          <w:rFonts w:cstheme="minorHAnsi"/>
        </w:rPr>
        <w:tab/>
        <w:t xml:space="preserve">         </w:t>
      </w:r>
      <w:r w:rsidR="005E4F4D" w:rsidRPr="00A56CA0">
        <w:rPr>
          <w:rFonts w:cstheme="minorHAnsi"/>
        </w:rPr>
        <w:t>11.50</w:t>
      </w:r>
      <w:r w:rsidR="00AE2F58" w:rsidRPr="00A56CA0">
        <w:rPr>
          <w:rFonts w:cstheme="minorHAnsi"/>
        </w:rPr>
        <w:t>,00</w:t>
      </w:r>
      <w:r w:rsidRPr="00A56CA0">
        <w:rPr>
          <w:rFonts w:cstheme="minorHAnsi"/>
        </w:rPr>
        <w:t>Kč</w:t>
      </w:r>
      <w:r w:rsidRPr="00A56CA0">
        <w:rPr>
          <w:rFonts w:cstheme="minorHAnsi"/>
        </w:rPr>
        <w:tab/>
      </w:r>
    </w:p>
    <w:p w:rsidR="00AE2F58" w:rsidRPr="00A56CA0" w:rsidRDefault="002E6715" w:rsidP="00CD5942">
      <w:pPr>
        <w:spacing w:before="120" w:after="80"/>
        <w:jc w:val="both"/>
        <w:rPr>
          <w:rFonts w:cstheme="minorHAnsi"/>
        </w:rPr>
      </w:pPr>
      <w:r w:rsidRPr="00A56CA0">
        <w:rPr>
          <w:rFonts w:cstheme="minorHAnsi"/>
        </w:rPr>
        <w:t>Bylo počítáno s případnou obměnou hasicích přístrojů, dle výsledků revize to však nebylo třeba.</w:t>
      </w:r>
      <w:r w:rsidRPr="00A56CA0">
        <w:rPr>
          <w:rFonts w:cstheme="minorHAnsi"/>
        </w:rPr>
        <w:tab/>
      </w:r>
      <w:r w:rsidRPr="00A56CA0">
        <w:rPr>
          <w:rFonts w:cstheme="minorHAnsi"/>
        </w:rPr>
        <w:tab/>
      </w:r>
    </w:p>
    <w:p w:rsidR="002E6715" w:rsidRPr="00A56CA0" w:rsidRDefault="002E6715" w:rsidP="00CD5942">
      <w:pPr>
        <w:spacing w:before="120" w:after="80"/>
        <w:jc w:val="both"/>
        <w:rPr>
          <w:rFonts w:cstheme="minorHAnsi"/>
        </w:rPr>
      </w:pPr>
      <w:r w:rsidRPr="00A56CA0">
        <w:rPr>
          <w:rFonts w:cstheme="minorHAnsi"/>
        </w:rPr>
        <w:tab/>
      </w:r>
      <w:r w:rsidRPr="00A56CA0">
        <w:rPr>
          <w:rFonts w:cstheme="minorHAnsi"/>
        </w:rPr>
        <w:tab/>
      </w:r>
      <w:r w:rsidRPr="00A56CA0">
        <w:rPr>
          <w:rFonts w:cstheme="minorHAnsi"/>
        </w:rPr>
        <w:tab/>
      </w:r>
    </w:p>
    <w:p w:rsidR="00C86B88" w:rsidRPr="00A56CA0" w:rsidRDefault="002E6715" w:rsidP="00CD5942">
      <w:pPr>
        <w:spacing w:before="120" w:after="80"/>
        <w:jc w:val="both"/>
        <w:rPr>
          <w:rFonts w:cstheme="minorHAnsi"/>
          <w:b/>
        </w:rPr>
      </w:pPr>
      <w:r w:rsidRPr="00A56CA0">
        <w:rPr>
          <w:rFonts w:cstheme="minorHAnsi"/>
          <w:b/>
        </w:rPr>
        <w:t>513</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t xml:space="preserve">      </w:t>
      </w:r>
      <w:r w:rsidR="00AE2F58" w:rsidRPr="00A56CA0">
        <w:rPr>
          <w:rFonts w:cstheme="minorHAnsi"/>
          <w:b/>
        </w:rPr>
        <w:t xml:space="preserve"> 47.134,82 Kč</w:t>
      </w:r>
    </w:p>
    <w:p w:rsidR="00F252A2" w:rsidRPr="00A56CA0" w:rsidRDefault="00AE2F58" w:rsidP="00CD5942">
      <w:pPr>
        <w:spacing w:before="120" w:after="80"/>
        <w:jc w:val="both"/>
        <w:rPr>
          <w:rFonts w:cstheme="minorHAnsi"/>
        </w:rPr>
      </w:pPr>
      <w:r w:rsidRPr="00A56CA0">
        <w:rPr>
          <w:rFonts w:cstheme="minorHAnsi"/>
        </w:rPr>
        <w:t>5132</w:t>
      </w:r>
      <w:r w:rsidR="00040C8B" w:rsidRPr="00A56CA0">
        <w:rPr>
          <w:rFonts w:cstheme="minorHAnsi"/>
        </w:rPr>
        <w:t xml:space="preserve"> OBKŘ</w:t>
      </w:r>
      <w:r w:rsidR="002E6715" w:rsidRPr="00A56CA0">
        <w:rPr>
          <w:rFonts w:cstheme="minorHAnsi"/>
        </w:rPr>
        <w:tab/>
      </w:r>
      <w:r w:rsidR="002E6715" w:rsidRPr="00A56CA0">
        <w:rPr>
          <w:rFonts w:cstheme="minorHAnsi"/>
        </w:rPr>
        <w:tab/>
      </w:r>
      <w:r w:rsidR="002E6715" w:rsidRPr="00A56CA0">
        <w:rPr>
          <w:rFonts w:cstheme="minorHAnsi"/>
        </w:rPr>
        <w:tab/>
      </w:r>
      <w:r w:rsidR="002E6715" w:rsidRPr="00A56CA0">
        <w:rPr>
          <w:rFonts w:cstheme="minorHAnsi"/>
        </w:rPr>
        <w:tab/>
        <w:t xml:space="preserve">      </w:t>
      </w:r>
      <w:r w:rsidR="00040C8B" w:rsidRPr="00A56CA0">
        <w:rPr>
          <w:rFonts w:cstheme="minorHAnsi"/>
        </w:rPr>
        <w:t xml:space="preserve"> 14.311,00 </w:t>
      </w:r>
      <w:r w:rsidR="002E6715" w:rsidRPr="00A56CA0">
        <w:rPr>
          <w:rFonts w:cstheme="minorHAnsi"/>
        </w:rPr>
        <w:t>Kč</w:t>
      </w:r>
    </w:p>
    <w:p w:rsidR="00040C8B" w:rsidRPr="00A56CA0" w:rsidRDefault="00040C8B" w:rsidP="00CD5942">
      <w:pPr>
        <w:spacing w:before="120" w:after="80"/>
        <w:jc w:val="both"/>
        <w:rPr>
          <w:rFonts w:cstheme="minorHAnsi"/>
        </w:rPr>
      </w:pPr>
      <w:r w:rsidRPr="00A56CA0">
        <w:rPr>
          <w:rFonts w:cstheme="minorHAnsi"/>
        </w:rPr>
        <w:t xml:space="preserve">Jde o prostředky na nákup ochranných pomůcek pro pomocný obslužný personál. Jelikož stávající pomůcky byly v dobrém stavu, nové budou pořízeny v letošním roce. </w:t>
      </w:r>
    </w:p>
    <w:p w:rsidR="00040C8B" w:rsidRPr="00A56CA0" w:rsidRDefault="00040C8B" w:rsidP="00CD5942">
      <w:pPr>
        <w:spacing w:before="120" w:after="80"/>
        <w:jc w:val="both"/>
        <w:rPr>
          <w:rFonts w:cstheme="minorHAnsi"/>
        </w:rPr>
      </w:pPr>
      <w:r w:rsidRPr="00A56CA0">
        <w:rPr>
          <w:rFonts w:cstheme="minorHAnsi"/>
        </w:rPr>
        <w:t>5137</w:t>
      </w:r>
      <w:r w:rsidRPr="00A56CA0">
        <w:rPr>
          <w:rFonts w:cstheme="minorHAnsi"/>
        </w:rPr>
        <w:tab/>
      </w:r>
      <w:r w:rsidRPr="00A56CA0">
        <w:rPr>
          <w:rFonts w:cstheme="minorHAnsi"/>
        </w:rPr>
        <w:tab/>
      </w:r>
      <w:r w:rsidRPr="00A56CA0">
        <w:rPr>
          <w:rFonts w:cstheme="minorHAnsi"/>
        </w:rPr>
        <w:tab/>
      </w:r>
      <w:r w:rsidRPr="00A56CA0">
        <w:rPr>
          <w:rFonts w:cstheme="minorHAnsi"/>
        </w:rPr>
        <w:tab/>
      </w:r>
      <w:r w:rsidRPr="00A56CA0">
        <w:rPr>
          <w:rFonts w:cstheme="minorHAnsi"/>
        </w:rPr>
        <w:tab/>
        <w:t xml:space="preserve">         17.312,06 Kč</w:t>
      </w:r>
    </w:p>
    <w:p w:rsidR="00F252A2" w:rsidRPr="00A56CA0" w:rsidRDefault="00040C8B" w:rsidP="00CD5942">
      <w:pPr>
        <w:spacing w:before="120" w:after="80"/>
        <w:jc w:val="both"/>
        <w:rPr>
          <w:rFonts w:cstheme="minorHAnsi"/>
        </w:rPr>
      </w:pPr>
      <w:r w:rsidRPr="00A56CA0">
        <w:rPr>
          <w:rFonts w:cstheme="minorHAnsi"/>
        </w:rPr>
        <w:t xml:space="preserve">5139 </w:t>
      </w:r>
      <w:r w:rsidR="00E13B92" w:rsidRPr="00A56CA0">
        <w:rPr>
          <w:rFonts w:cstheme="minorHAnsi"/>
        </w:rPr>
        <w:tab/>
      </w:r>
      <w:r w:rsidR="00E13B92" w:rsidRPr="00A56CA0">
        <w:rPr>
          <w:rFonts w:cstheme="minorHAnsi"/>
        </w:rPr>
        <w:tab/>
      </w:r>
      <w:r w:rsidR="00E13B92" w:rsidRPr="00A56CA0">
        <w:rPr>
          <w:rFonts w:cstheme="minorHAnsi"/>
        </w:rPr>
        <w:tab/>
      </w:r>
      <w:r w:rsidR="00E13B92" w:rsidRPr="00A56CA0">
        <w:rPr>
          <w:rFonts w:cstheme="minorHAnsi"/>
        </w:rPr>
        <w:tab/>
        <w:t xml:space="preserve">       </w:t>
      </w:r>
      <w:r w:rsidRPr="00A56CA0">
        <w:rPr>
          <w:rFonts w:cstheme="minorHAnsi"/>
        </w:rPr>
        <w:t xml:space="preserve">   </w:t>
      </w:r>
      <w:r w:rsidRPr="00A56CA0">
        <w:rPr>
          <w:rFonts w:cstheme="minorHAnsi"/>
        </w:rPr>
        <w:tab/>
        <w:t xml:space="preserve">         15.511,76 Kč</w:t>
      </w:r>
    </w:p>
    <w:p w:rsidR="00040C8B" w:rsidRPr="00A56CA0" w:rsidRDefault="00040C8B" w:rsidP="00CD5942">
      <w:pPr>
        <w:spacing w:before="120" w:after="80"/>
        <w:jc w:val="both"/>
        <w:rPr>
          <w:rFonts w:cstheme="minorHAnsi"/>
          <w:b/>
        </w:rPr>
      </w:pPr>
    </w:p>
    <w:p w:rsidR="00696736" w:rsidRPr="00A56CA0" w:rsidRDefault="00696736" w:rsidP="00CD5942">
      <w:pPr>
        <w:spacing w:before="120" w:after="80"/>
        <w:jc w:val="both"/>
        <w:rPr>
          <w:rFonts w:cstheme="minorHAnsi"/>
          <w:b/>
        </w:rPr>
      </w:pPr>
      <w:r w:rsidRPr="00A56CA0">
        <w:rPr>
          <w:rFonts w:cstheme="minorHAnsi"/>
          <w:b/>
        </w:rPr>
        <w:t>515</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t xml:space="preserve">       </w:t>
      </w:r>
      <w:r w:rsidR="00057BA1" w:rsidRPr="00A56CA0">
        <w:rPr>
          <w:rFonts w:cstheme="minorHAnsi"/>
          <w:b/>
        </w:rPr>
        <w:t xml:space="preserve"> </w:t>
      </w:r>
      <w:r w:rsidR="00040C8B" w:rsidRPr="00A56CA0">
        <w:rPr>
          <w:rFonts w:cstheme="minorHAnsi"/>
          <w:b/>
        </w:rPr>
        <w:t>77.677,01</w:t>
      </w:r>
      <w:r w:rsidR="00057BA1" w:rsidRPr="00A56CA0">
        <w:rPr>
          <w:rFonts w:cstheme="minorHAnsi"/>
          <w:b/>
        </w:rPr>
        <w:t xml:space="preserve"> Kč</w:t>
      </w:r>
    </w:p>
    <w:p w:rsidR="00696736" w:rsidRPr="00A56CA0" w:rsidRDefault="00040C8B" w:rsidP="00CD5942">
      <w:pPr>
        <w:spacing w:before="120" w:after="80"/>
        <w:jc w:val="both"/>
        <w:rPr>
          <w:rFonts w:cstheme="minorHAnsi"/>
        </w:rPr>
      </w:pPr>
      <w:r w:rsidRPr="00A56CA0">
        <w:rPr>
          <w:rFonts w:cstheme="minorHAnsi"/>
        </w:rPr>
        <w:t>5151</w:t>
      </w:r>
      <w:r w:rsidR="00696736" w:rsidRPr="00A56CA0">
        <w:rPr>
          <w:rFonts w:cstheme="minorHAnsi"/>
        </w:rPr>
        <w:tab/>
      </w:r>
      <w:r w:rsidR="00696736" w:rsidRPr="00A56CA0">
        <w:rPr>
          <w:rFonts w:cstheme="minorHAnsi"/>
        </w:rPr>
        <w:tab/>
      </w:r>
      <w:r w:rsidR="00696736" w:rsidRPr="00A56CA0">
        <w:rPr>
          <w:rFonts w:cstheme="minorHAnsi"/>
        </w:rPr>
        <w:tab/>
      </w:r>
      <w:r w:rsidR="00696736" w:rsidRPr="00A56CA0">
        <w:rPr>
          <w:rFonts w:cstheme="minorHAnsi"/>
        </w:rPr>
        <w:tab/>
      </w:r>
      <w:r w:rsidR="00696736" w:rsidRPr="00A56CA0">
        <w:rPr>
          <w:rFonts w:cstheme="minorHAnsi"/>
        </w:rPr>
        <w:tab/>
        <w:t xml:space="preserve">        </w:t>
      </w:r>
      <w:r w:rsidRPr="00A56CA0">
        <w:rPr>
          <w:rFonts w:cstheme="minorHAnsi"/>
        </w:rPr>
        <w:t>19.450,00</w:t>
      </w:r>
      <w:r w:rsidR="00057BA1" w:rsidRPr="00A56CA0">
        <w:rPr>
          <w:rFonts w:cstheme="minorHAnsi"/>
        </w:rPr>
        <w:t xml:space="preserve"> Kč</w:t>
      </w:r>
    </w:p>
    <w:p w:rsidR="00696736" w:rsidRPr="00A56CA0" w:rsidRDefault="00040C8B" w:rsidP="00CD5942">
      <w:pPr>
        <w:spacing w:before="120" w:after="80"/>
        <w:jc w:val="both"/>
        <w:rPr>
          <w:rFonts w:cstheme="minorHAnsi"/>
        </w:rPr>
      </w:pPr>
      <w:r w:rsidRPr="00A56CA0">
        <w:rPr>
          <w:rFonts w:cstheme="minorHAnsi"/>
        </w:rPr>
        <w:t>5153</w:t>
      </w:r>
      <w:r w:rsidRPr="00A56CA0">
        <w:rPr>
          <w:rFonts w:cstheme="minorHAnsi"/>
        </w:rPr>
        <w:tab/>
      </w:r>
      <w:r w:rsidRPr="00A56CA0">
        <w:rPr>
          <w:rFonts w:cstheme="minorHAnsi"/>
        </w:rPr>
        <w:tab/>
      </w:r>
      <w:r w:rsidRPr="00A56CA0">
        <w:rPr>
          <w:rFonts w:cstheme="minorHAnsi"/>
        </w:rPr>
        <w:tab/>
      </w:r>
      <w:r w:rsidRPr="00A56CA0">
        <w:rPr>
          <w:rFonts w:cstheme="minorHAnsi"/>
        </w:rPr>
        <w:tab/>
        <w:t xml:space="preserve"> </w:t>
      </w:r>
      <w:r w:rsidRPr="00A56CA0">
        <w:rPr>
          <w:rFonts w:cstheme="minorHAnsi"/>
        </w:rPr>
        <w:tab/>
        <w:t xml:space="preserve">        52.505,51 Kč</w:t>
      </w:r>
    </w:p>
    <w:p w:rsidR="00040C8B" w:rsidRPr="00A56CA0" w:rsidRDefault="00040C8B" w:rsidP="00CD5942">
      <w:pPr>
        <w:spacing w:before="120" w:after="80"/>
        <w:jc w:val="both"/>
        <w:rPr>
          <w:rFonts w:cstheme="minorHAnsi"/>
        </w:rPr>
      </w:pPr>
      <w:r w:rsidRPr="00A56CA0">
        <w:rPr>
          <w:rFonts w:cstheme="minorHAnsi"/>
        </w:rPr>
        <w:t xml:space="preserve">Jde o rezervy na nákup paliv a energií. </w:t>
      </w:r>
    </w:p>
    <w:p w:rsidR="00451C62" w:rsidRDefault="00451C62" w:rsidP="00CD5942">
      <w:pPr>
        <w:spacing w:before="120" w:after="80"/>
        <w:jc w:val="both"/>
        <w:rPr>
          <w:rFonts w:cstheme="minorHAnsi"/>
        </w:rPr>
      </w:pPr>
    </w:p>
    <w:p w:rsidR="00B522CD" w:rsidRDefault="00B522CD" w:rsidP="00CD5942">
      <w:pPr>
        <w:spacing w:before="120" w:after="80"/>
        <w:jc w:val="both"/>
        <w:rPr>
          <w:rFonts w:cstheme="minorHAnsi"/>
        </w:rPr>
      </w:pPr>
    </w:p>
    <w:p w:rsidR="00B522CD" w:rsidRPr="00A56CA0" w:rsidRDefault="00B522CD" w:rsidP="00CD5942">
      <w:pPr>
        <w:spacing w:before="120" w:after="80"/>
        <w:jc w:val="both"/>
        <w:rPr>
          <w:rFonts w:cstheme="minorHAnsi"/>
        </w:rPr>
      </w:pPr>
    </w:p>
    <w:p w:rsidR="00345208" w:rsidRPr="00A56CA0" w:rsidRDefault="00345208" w:rsidP="00CD5942">
      <w:pPr>
        <w:spacing w:before="120" w:after="80"/>
        <w:jc w:val="both"/>
        <w:rPr>
          <w:rFonts w:cstheme="minorHAnsi"/>
          <w:b/>
        </w:rPr>
      </w:pPr>
      <w:r w:rsidRPr="00A56CA0">
        <w:rPr>
          <w:rFonts w:cstheme="minorHAnsi"/>
          <w:b/>
        </w:rPr>
        <w:lastRenderedPageBreak/>
        <w:t>516</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t xml:space="preserve">      </w:t>
      </w:r>
      <w:r w:rsidR="00040C8B" w:rsidRPr="00A56CA0">
        <w:rPr>
          <w:rFonts w:cstheme="minorHAnsi"/>
          <w:b/>
        </w:rPr>
        <w:t>298.580,92 Kč</w:t>
      </w:r>
    </w:p>
    <w:p w:rsidR="00345208" w:rsidRPr="00A56CA0" w:rsidRDefault="00BC427A" w:rsidP="00CD5942">
      <w:pPr>
        <w:spacing w:before="120" w:after="80"/>
        <w:jc w:val="both"/>
        <w:rPr>
          <w:rFonts w:cstheme="minorHAnsi"/>
        </w:rPr>
      </w:pPr>
      <w:r w:rsidRPr="00A56CA0">
        <w:rPr>
          <w:rFonts w:cstheme="minorHAnsi"/>
        </w:rPr>
        <w:t>5169</w:t>
      </w:r>
      <w:r w:rsidR="00451C62" w:rsidRPr="00A56CA0">
        <w:rPr>
          <w:rFonts w:cstheme="minorHAnsi"/>
        </w:rPr>
        <w:tab/>
      </w:r>
      <w:r w:rsidR="00451C62" w:rsidRPr="00A56CA0">
        <w:rPr>
          <w:rFonts w:cstheme="minorHAnsi"/>
        </w:rPr>
        <w:tab/>
      </w:r>
      <w:r w:rsidR="00451C62" w:rsidRPr="00A56CA0">
        <w:rPr>
          <w:rFonts w:cstheme="minorHAnsi"/>
        </w:rPr>
        <w:tab/>
      </w:r>
      <w:r w:rsidR="00451C62" w:rsidRPr="00A56CA0">
        <w:rPr>
          <w:rFonts w:cstheme="minorHAnsi"/>
        </w:rPr>
        <w:tab/>
        <w:t xml:space="preserve"> </w:t>
      </w:r>
      <w:r w:rsidRPr="00A56CA0">
        <w:rPr>
          <w:rFonts w:cstheme="minorHAnsi"/>
        </w:rPr>
        <w:t xml:space="preserve"> </w:t>
      </w:r>
      <w:r w:rsidRPr="00A56CA0">
        <w:rPr>
          <w:rFonts w:cstheme="minorHAnsi"/>
        </w:rPr>
        <w:tab/>
        <w:t xml:space="preserve">       245.277,36 Kč</w:t>
      </w:r>
    </w:p>
    <w:p w:rsidR="00345208" w:rsidRPr="00A56CA0" w:rsidRDefault="00BC427A" w:rsidP="00CD5942">
      <w:pPr>
        <w:spacing w:before="120" w:after="80"/>
        <w:jc w:val="both"/>
        <w:rPr>
          <w:rFonts w:cstheme="minorHAnsi"/>
          <w:sz w:val="24"/>
        </w:rPr>
      </w:pPr>
      <w:r w:rsidRPr="00A56CA0">
        <w:rPr>
          <w:rFonts w:cstheme="minorHAnsi"/>
        </w:rPr>
        <w:t xml:space="preserve">Nevyčerpaný zůstatek z důvodu přidělení účelových prostředků (kód </w:t>
      </w:r>
      <w:r w:rsidR="00B522CD">
        <w:rPr>
          <w:rFonts w:cstheme="minorHAnsi"/>
        </w:rPr>
        <w:t xml:space="preserve">účelu </w:t>
      </w:r>
      <w:r w:rsidRPr="00A56CA0">
        <w:rPr>
          <w:rFonts w:cstheme="minorHAnsi"/>
        </w:rPr>
        <w:t xml:space="preserve">223980049) v měsíci prosinci 2022. </w:t>
      </w:r>
    </w:p>
    <w:p w:rsidR="00DA746A" w:rsidRPr="00A56CA0" w:rsidRDefault="00DA746A" w:rsidP="00CD5942">
      <w:pPr>
        <w:spacing w:before="120" w:after="80"/>
        <w:jc w:val="both"/>
        <w:rPr>
          <w:rFonts w:cstheme="minorHAnsi"/>
        </w:rPr>
      </w:pPr>
    </w:p>
    <w:p w:rsidR="009945D2" w:rsidRPr="00A56CA0" w:rsidRDefault="001F6F84" w:rsidP="00CD5942">
      <w:pPr>
        <w:spacing w:before="120" w:after="80"/>
        <w:jc w:val="both"/>
        <w:rPr>
          <w:rFonts w:cstheme="minorHAnsi"/>
          <w:b/>
        </w:rPr>
      </w:pPr>
      <w:r w:rsidRPr="00A56CA0">
        <w:rPr>
          <w:rFonts w:cstheme="minorHAnsi"/>
          <w:b/>
        </w:rPr>
        <w:t>517</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t xml:space="preserve">        </w:t>
      </w:r>
      <w:r w:rsidR="009945D2" w:rsidRPr="00A56CA0">
        <w:rPr>
          <w:rFonts w:cstheme="minorHAnsi"/>
          <w:b/>
        </w:rPr>
        <w:t xml:space="preserve">   </w:t>
      </w:r>
      <w:r w:rsidR="00BC427A" w:rsidRPr="00A56CA0">
        <w:rPr>
          <w:rFonts w:cstheme="minorHAnsi"/>
          <w:b/>
        </w:rPr>
        <w:t>61.190,30</w:t>
      </w:r>
      <w:r w:rsidR="009945D2" w:rsidRPr="00A56CA0">
        <w:rPr>
          <w:rFonts w:cstheme="minorHAnsi"/>
          <w:b/>
        </w:rPr>
        <w:t xml:space="preserve"> Kč</w:t>
      </w:r>
    </w:p>
    <w:p w:rsidR="00E14658" w:rsidRPr="00A56CA0" w:rsidRDefault="00E14658" w:rsidP="00CD5942">
      <w:pPr>
        <w:spacing w:before="120" w:after="80"/>
        <w:jc w:val="both"/>
        <w:rPr>
          <w:rFonts w:cstheme="minorHAnsi"/>
        </w:rPr>
      </w:pPr>
      <w:r w:rsidRPr="00A56CA0">
        <w:rPr>
          <w:rFonts w:cstheme="minorHAnsi"/>
        </w:rPr>
        <w:t>5171 OBKŘ</w:t>
      </w:r>
      <w:r w:rsidRPr="00A56CA0">
        <w:rPr>
          <w:rFonts w:cstheme="minorHAnsi"/>
        </w:rPr>
        <w:tab/>
      </w:r>
      <w:r w:rsidRPr="00A56CA0">
        <w:rPr>
          <w:rFonts w:cstheme="minorHAnsi"/>
        </w:rPr>
        <w:tab/>
      </w:r>
      <w:r w:rsidRPr="00A56CA0">
        <w:rPr>
          <w:rFonts w:cstheme="minorHAnsi"/>
        </w:rPr>
        <w:tab/>
      </w:r>
      <w:r w:rsidRPr="00A56CA0">
        <w:rPr>
          <w:rFonts w:cstheme="minorHAnsi"/>
        </w:rPr>
        <w:tab/>
        <w:t xml:space="preserve">          </w:t>
      </w:r>
      <w:r w:rsidR="001F6F84" w:rsidRPr="00A56CA0">
        <w:rPr>
          <w:rFonts w:cstheme="minorHAnsi"/>
        </w:rPr>
        <w:t xml:space="preserve"> </w:t>
      </w:r>
      <w:r w:rsidR="009945D2" w:rsidRPr="00A56CA0">
        <w:rPr>
          <w:rFonts w:cstheme="minorHAnsi"/>
        </w:rPr>
        <w:t>23.161,00 Kč</w:t>
      </w:r>
    </w:p>
    <w:p w:rsidR="00DA746A" w:rsidRPr="00A56CA0" w:rsidRDefault="00DA746A" w:rsidP="00CD5942">
      <w:pPr>
        <w:spacing w:before="120" w:after="80"/>
        <w:jc w:val="both"/>
        <w:rPr>
          <w:rFonts w:cstheme="minorHAnsi"/>
        </w:rPr>
      </w:pPr>
      <w:r w:rsidRPr="00A56CA0">
        <w:rPr>
          <w:rFonts w:cstheme="minorHAnsi"/>
        </w:rPr>
        <w:t>Reze</w:t>
      </w:r>
      <w:r w:rsidR="00414097" w:rsidRPr="00A56CA0">
        <w:rPr>
          <w:rFonts w:cstheme="minorHAnsi"/>
        </w:rPr>
        <w:t xml:space="preserve">rva pro opravy, zejména kamerového </w:t>
      </w:r>
      <w:r w:rsidR="001F6F84" w:rsidRPr="00A56CA0">
        <w:rPr>
          <w:rFonts w:cstheme="minorHAnsi"/>
        </w:rPr>
        <w:t xml:space="preserve">a CCTV </w:t>
      </w:r>
      <w:r w:rsidRPr="00A56CA0">
        <w:rPr>
          <w:rFonts w:cstheme="minorHAnsi"/>
        </w:rPr>
        <w:t>systém</w:t>
      </w:r>
      <w:r w:rsidR="00414097" w:rsidRPr="00A56CA0">
        <w:rPr>
          <w:rFonts w:cstheme="minorHAnsi"/>
        </w:rPr>
        <w:t>u</w:t>
      </w:r>
      <w:r w:rsidRPr="00A56CA0">
        <w:rPr>
          <w:rFonts w:cstheme="minorHAnsi"/>
        </w:rPr>
        <w:t>.</w:t>
      </w:r>
    </w:p>
    <w:p w:rsidR="001F6F84" w:rsidRPr="00A56CA0" w:rsidRDefault="001F6F84" w:rsidP="00CD5942">
      <w:pPr>
        <w:spacing w:before="120" w:after="80"/>
        <w:jc w:val="both"/>
        <w:rPr>
          <w:rFonts w:cstheme="minorHAnsi"/>
        </w:rPr>
      </w:pPr>
      <w:r w:rsidRPr="00A56CA0">
        <w:rPr>
          <w:rFonts w:cstheme="minorHAnsi"/>
        </w:rPr>
        <w:t>5171 OI</w:t>
      </w:r>
      <w:r w:rsidRPr="00A56CA0">
        <w:rPr>
          <w:rFonts w:cstheme="minorHAnsi"/>
        </w:rPr>
        <w:tab/>
      </w:r>
      <w:r w:rsidRPr="00A56CA0">
        <w:rPr>
          <w:rFonts w:cstheme="minorHAnsi"/>
        </w:rPr>
        <w:tab/>
      </w:r>
      <w:r w:rsidRPr="00A56CA0">
        <w:rPr>
          <w:rFonts w:cstheme="minorHAnsi"/>
        </w:rPr>
        <w:tab/>
      </w:r>
      <w:r w:rsidRPr="00A56CA0">
        <w:rPr>
          <w:rFonts w:cstheme="minorHAnsi"/>
        </w:rPr>
        <w:tab/>
      </w:r>
      <w:r w:rsidRPr="00A56CA0">
        <w:rPr>
          <w:rFonts w:cstheme="minorHAnsi"/>
        </w:rPr>
        <w:tab/>
        <w:t xml:space="preserve">           </w:t>
      </w:r>
      <w:r w:rsidR="009945D2" w:rsidRPr="00A56CA0">
        <w:rPr>
          <w:rFonts w:cstheme="minorHAnsi"/>
        </w:rPr>
        <w:t>29.993,30</w:t>
      </w:r>
      <w:r w:rsidR="00057BA1" w:rsidRPr="00A56CA0">
        <w:rPr>
          <w:rFonts w:cstheme="minorHAnsi"/>
        </w:rPr>
        <w:t xml:space="preserve"> Kč</w:t>
      </w:r>
    </w:p>
    <w:p w:rsidR="001F6F84" w:rsidRPr="00A56CA0" w:rsidRDefault="001F6F84" w:rsidP="00CD5942">
      <w:pPr>
        <w:spacing w:before="120" w:after="80"/>
        <w:jc w:val="both"/>
        <w:rPr>
          <w:rFonts w:cstheme="minorHAnsi"/>
        </w:rPr>
      </w:pPr>
      <w:r w:rsidRPr="00A56CA0">
        <w:rPr>
          <w:rFonts w:cstheme="minorHAnsi"/>
        </w:rPr>
        <w:t>Rezerva pro opravy tiskáren a UPS.</w:t>
      </w:r>
    </w:p>
    <w:p w:rsidR="00057BA1" w:rsidRPr="00A56CA0" w:rsidRDefault="00057BA1" w:rsidP="00CD5942">
      <w:pPr>
        <w:spacing w:before="120" w:after="80"/>
        <w:jc w:val="both"/>
        <w:rPr>
          <w:rFonts w:cstheme="minorHAnsi"/>
        </w:rPr>
      </w:pPr>
    </w:p>
    <w:p w:rsidR="00E14658" w:rsidRPr="00A56CA0" w:rsidRDefault="009945D2" w:rsidP="00CD5942">
      <w:pPr>
        <w:spacing w:before="120" w:after="80"/>
        <w:jc w:val="both"/>
        <w:rPr>
          <w:rFonts w:cstheme="minorHAnsi"/>
          <w:b/>
        </w:rPr>
      </w:pPr>
      <w:r w:rsidRPr="00A56CA0">
        <w:rPr>
          <w:rFonts w:cstheme="minorHAnsi"/>
        </w:rPr>
        <w:t>5</w:t>
      </w:r>
      <w:r w:rsidR="00DA746A" w:rsidRPr="00A56CA0">
        <w:rPr>
          <w:rFonts w:cstheme="minorHAnsi"/>
          <w:b/>
        </w:rPr>
        <w:t>19</w:t>
      </w:r>
      <w:r w:rsidR="00DA746A" w:rsidRPr="00A56CA0">
        <w:rPr>
          <w:rFonts w:cstheme="minorHAnsi"/>
          <w:b/>
        </w:rPr>
        <w:tab/>
      </w:r>
      <w:r w:rsidR="00DA746A" w:rsidRPr="00A56CA0">
        <w:rPr>
          <w:rFonts w:cstheme="minorHAnsi"/>
          <w:b/>
        </w:rPr>
        <w:tab/>
      </w:r>
      <w:r w:rsidR="00DA746A" w:rsidRPr="00A56CA0">
        <w:rPr>
          <w:rFonts w:cstheme="minorHAnsi"/>
          <w:b/>
        </w:rPr>
        <w:tab/>
      </w:r>
      <w:r w:rsidR="00DA746A" w:rsidRPr="00A56CA0">
        <w:rPr>
          <w:rFonts w:cstheme="minorHAnsi"/>
          <w:b/>
        </w:rPr>
        <w:tab/>
      </w:r>
      <w:r w:rsidR="00DA746A" w:rsidRPr="00A56CA0">
        <w:rPr>
          <w:rFonts w:cstheme="minorHAnsi"/>
          <w:b/>
        </w:rPr>
        <w:tab/>
      </w:r>
      <w:r w:rsidRPr="00A56CA0">
        <w:rPr>
          <w:rFonts w:cstheme="minorHAnsi"/>
          <w:b/>
        </w:rPr>
        <w:t xml:space="preserve">      3.303.229,01 Kč</w:t>
      </w:r>
    </w:p>
    <w:p w:rsidR="00DA746A" w:rsidRPr="00A56CA0" w:rsidRDefault="009945D2" w:rsidP="00CD5942">
      <w:pPr>
        <w:spacing w:before="120" w:after="80"/>
        <w:jc w:val="both"/>
        <w:rPr>
          <w:rFonts w:cstheme="minorHAnsi"/>
        </w:rPr>
      </w:pPr>
      <w:r w:rsidRPr="00A56CA0">
        <w:rPr>
          <w:rFonts w:cstheme="minorHAnsi"/>
        </w:rPr>
        <w:t>5192</w:t>
      </w:r>
      <w:r w:rsidRPr="00A56CA0">
        <w:rPr>
          <w:rFonts w:cstheme="minorHAnsi"/>
        </w:rPr>
        <w:tab/>
      </w:r>
      <w:r w:rsidRPr="00A56CA0">
        <w:rPr>
          <w:rFonts w:cstheme="minorHAnsi"/>
        </w:rPr>
        <w:tab/>
      </w:r>
      <w:r w:rsidRPr="00A56CA0">
        <w:rPr>
          <w:rFonts w:cstheme="minorHAnsi"/>
        </w:rPr>
        <w:tab/>
      </w:r>
      <w:r w:rsidRPr="00A56CA0">
        <w:rPr>
          <w:rFonts w:cstheme="minorHAnsi"/>
        </w:rPr>
        <w:tab/>
      </w:r>
      <w:r w:rsidRPr="00A56CA0">
        <w:rPr>
          <w:rFonts w:cstheme="minorHAnsi"/>
        </w:rPr>
        <w:tab/>
        <w:t xml:space="preserve">      3.298.667,01 Kč</w:t>
      </w:r>
    </w:p>
    <w:p w:rsidR="009945D2" w:rsidRPr="00A56CA0" w:rsidRDefault="009945D2" w:rsidP="009945D2">
      <w:pPr>
        <w:spacing w:before="120" w:after="80"/>
        <w:jc w:val="both"/>
        <w:rPr>
          <w:rFonts w:cstheme="minorHAnsi"/>
          <w:sz w:val="24"/>
        </w:rPr>
      </w:pPr>
      <w:r w:rsidRPr="00A56CA0">
        <w:rPr>
          <w:rFonts w:cstheme="minorHAnsi"/>
        </w:rPr>
        <w:t xml:space="preserve">Nevyčerpaný zůstatek z důvodu přidělení účelových prostředků (kód </w:t>
      </w:r>
      <w:r w:rsidR="00B522CD">
        <w:rPr>
          <w:rFonts w:cstheme="minorHAnsi"/>
        </w:rPr>
        <w:t xml:space="preserve"> účelu </w:t>
      </w:r>
      <w:r w:rsidRPr="00A56CA0">
        <w:rPr>
          <w:rFonts w:cstheme="minorHAnsi"/>
        </w:rPr>
        <w:t>23980049) v měsíci prosinci 2022. Rovněž bylo počítáno s vyšším plněním za vyplácení paušálních náhrad exekutorům za zastavování bagatelních exekucí.</w:t>
      </w:r>
    </w:p>
    <w:p w:rsidR="00C75422" w:rsidRPr="00A56CA0" w:rsidRDefault="00C75422" w:rsidP="00CD5942">
      <w:pPr>
        <w:spacing w:before="120" w:after="80"/>
        <w:jc w:val="both"/>
        <w:rPr>
          <w:rFonts w:cstheme="minorHAnsi"/>
        </w:rPr>
      </w:pPr>
    </w:p>
    <w:p w:rsidR="00414097" w:rsidRPr="00A56CA0" w:rsidRDefault="00414097" w:rsidP="00CD5942">
      <w:pPr>
        <w:spacing w:before="120" w:after="80"/>
        <w:jc w:val="both"/>
        <w:rPr>
          <w:rFonts w:cstheme="minorHAnsi"/>
          <w:b/>
        </w:rPr>
      </w:pPr>
      <w:r w:rsidRPr="00A56CA0">
        <w:rPr>
          <w:rFonts w:cstheme="minorHAnsi"/>
          <w:b/>
        </w:rPr>
        <w:t>542</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t xml:space="preserve">     </w:t>
      </w:r>
      <w:r w:rsidR="009945D2" w:rsidRPr="00A56CA0">
        <w:rPr>
          <w:rFonts w:cstheme="minorHAnsi"/>
          <w:b/>
        </w:rPr>
        <w:t xml:space="preserve"> 83.539,00</w:t>
      </w:r>
      <w:r w:rsidR="00C75422" w:rsidRPr="00A56CA0">
        <w:rPr>
          <w:rFonts w:cstheme="minorHAnsi"/>
          <w:b/>
        </w:rPr>
        <w:t xml:space="preserve"> Kč</w:t>
      </w:r>
      <w:r w:rsidRPr="00A56CA0">
        <w:rPr>
          <w:rFonts w:cstheme="minorHAnsi"/>
          <w:b/>
        </w:rPr>
        <w:tab/>
      </w:r>
    </w:p>
    <w:p w:rsidR="00414097" w:rsidRPr="00A56CA0" w:rsidRDefault="00414097" w:rsidP="00CD5942">
      <w:pPr>
        <w:spacing w:before="120" w:after="80"/>
        <w:jc w:val="both"/>
        <w:rPr>
          <w:rFonts w:cstheme="minorHAnsi"/>
        </w:rPr>
      </w:pPr>
      <w:r w:rsidRPr="00A56CA0">
        <w:rPr>
          <w:rFonts w:cstheme="minorHAnsi"/>
        </w:rPr>
        <w:t xml:space="preserve">5424                                                                   </w:t>
      </w:r>
      <w:r w:rsidR="009945D2" w:rsidRPr="00A56CA0">
        <w:rPr>
          <w:rFonts w:cstheme="minorHAnsi"/>
        </w:rPr>
        <w:t xml:space="preserve">  83.539,00 Kč</w:t>
      </w:r>
    </w:p>
    <w:p w:rsidR="00414097" w:rsidRPr="00A56CA0" w:rsidRDefault="00414097" w:rsidP="00CD5942">
      <w:pPr>
        <w:spacing w:before="120" w:after="80"/>
        <w:jc w:val="both"/>
        <w:rPr>
          <w:rFonts w:cstheme="minorHAnsi"/>
        </w:rPr>
      </w:pPr>
      <w:r w:rsidRPr="00A56CA0">
        <w:rPr>
          <w:rFonts w:cstheme="minorHAnsi"/>
        </w:rPr>
        <w:t>Na položce náhrady mezd v době nemoci byla ponechána rezerva pro případné další nemoci</w:t>
      </w:r>
      <w:r w:rsidR="009945D2" w:rsidRPr="00A56CA0">
        <w:rPr>
          <w:rFonts w:cstheme="minorHAnsi"/>
        </w:rPr>
        <w:t>.</w:t>
      </w:r>
    </w:p>
    <w:p w:rsidR="009E35AA" w:rsidRDefault="009E35AA" w:rsidP="00CD5942">
      <w:pPr>
        <w:spacing w:before="120" w:after="80"/>
        <w:jc w:val="both"/>
        <w:rPr>
          <w:rFonts w:cstheme="minorHAnsi"/>
          <w:b/>
        </w:rPr>
      </w:pPr>
    </w:p>
    <w:p w:rsidR="00414097" w:rsidRPr="00A56CA0" w:rsidRDefault="00414097" w:rsidP="00CD5942">
      <w:pPr>
        <w:spacing w:before="120" w:after="80"/>
        <w:jc w:val="both"/>
        <w:rPr>
          <w:rFonts w:cstheme="minorHAnsi"/>
          <w:b/>
        </w:rPr>
      </w:pPr>
      <w:r w:rsidRPr="00A56CA0">
        <w:rPr>
          <w:rFonts w:cstheme="minorHAnsi"/>
          <w:b/>
        </w:rPr>
        <w:t>590</w:t>
      </w:r>
      <w:r w:rsidRPr="00A56CA0">
        <w:rPr>
          <w:rFonts w:cstheme="minorHAnsi"/>
          <w:b/>
        </w:rPr>
        <w:tab/>
      </w:r>
      <w:r w:rsidRPr="00A56CA0">
        <w:rPr>
          <w:rFonts w:cstheme="minorHAnsi"/>
          <w:b/>
        </w:rPr>
        <w:tab/>
      </w:r>
      <w:r w:rsidRPr="00A56CA0">
        <w:rPr>
          <w:rFonts w:cstheme="minorHAnsi"/>
          <w:b/>
        </w:rPr>
        <w:tab/>
      </w:r>
      <w:r w:rsidRPr="00A56CA0">
        <w:rPr>
          <w:rFonts w:cstheme="minorHAnsi"/>
          <w:b/>
        </w:rPr>
        <w:tab/>
      </w:r>
      <w:r w:rsidRPr="00A56CA0">
        <w:rPr>
          <w:rFonts w:cstheme="minorHAnsi"/>
          <w:b/>
        </w:rPr>
        <w:tab/>
        <w:t xml:space="preserve">      10.000,00 Kč</w:t>
      </w:r>
    </w:p>
    <w:p w:rsidR="00414097" w:rsidRPr="00A56CA0" w:rsidRDefault="00414097" w:rsidP="00CD5942">
      <w:pPr>
        <w:spacing w:before="120" w:after="80"/>
        <w:jc w:val="both"/>
        <w:rPr>
          <w:rFonts w:cstheme="minorHAnsi"/>
        </w:rPr>
      </w:pPr>
      <w:r w:rsidRPr="00A56CA0">
        <w:rPr>
          <w:rFonts w:cstheme="minorHAnsi"/>
        </w:rPr>
        <w:t>5909</w:t>
      </w:r>
      <w:r w:rsidRPr="00A56CA0">
        <w:rPr>
          <w:rFonts w:cstheme="minorHAnsi"/>
        </w:rPr>
        <w:tab/>
      </w:r>
      <w:r w:rsidRPr="00A56CA0">
        <w:rPr>
          <w:rFonts w:cstheme="minorHAnsi"/>
        </w:rPr>
        <w:tab/>
      </w:r>
      <w:r w:rsidRPr="00A56CA0">
        <w:rPr>
          <w:rFonts w:cstheme="minorHAnsi"/>
        </w:rPr>
        <w:tab/>
      </w:r>
      <w:r w:rsidRPr="00A56CA0">
        <w:rPr>
          <w:rFonts w:cstheme="minorHAnsi"/>
        </w:rPr>
        <w:tab/>
      </w:r>
      <w:r w:rsidRPr="00A56CA0">
        <w:rPr>
          <w:rFonts w:cstheme="minorHAnsi"/>
        </w:rPr>
        <w:tab/>
        <w:t xml:space="preserve">      10.000,00 Kč</w:t>
      </w:r>
    </w:p>
    <w:p w:rsidR="00414097" w:rsidRPr="00A56CA0" w:rsidRDefault="00414097" w:rsidP="00CD5942">
      <w:pPr>
        <w:spacing w:before="120" w:after="80"/>
        <w:jc w:val="both"/>
        <w:rPr>
          <w:rFonts w:cstheme="minorHAnsi"/>
        </w:rPr>
      </w:pPr>
      <w:r w:rsidRPr="00A56CA0">
        <w:rPr>
          <w:rFonts w:cstheme="minorHAnsi"/>
        </w:rPr>
        <w:t>Zde byla ponechána rezerva pro případné omylové platby.</w:t>
      </w:r>
    </w:p>
    <w:p w:rsidR="00C72A93" w:rsidRPr="00A56CA0" w:rsidRDefault="00C72A93" w:rsidP="00CD5942">
      <w:pPr>
        <w:spacing w:before="120" w:after="80"/>
        <w:jc w:val="both"/>
        <w:rPr>
          <w:rFonts w:cstheme="minorHAnsi"/>
          <w:b/>
        </w:rPr>
      </w:pPr>
      <w:r w:rsidRPr="00A56CA0">
        <w:rPr>
          <w:rFonts w:cstheme="minorHAnsi"/>
          <w:b/>
        </w:rPr>
        <w:t xml:space="preserve">Na všech </w:t>
      </w:r>
      <w:r w:rsidR="009611A5" w:rsidRPr="00A56CA0">
        <w:rPr>
          <w:rFonts w:cstheme="minorHAnsi"/>
          <w:b/>
        </w:rPr>
        <w:t xml:space="preserve">ostatních položkách jde o </w:t>
      </w:r>
      <w:r w:rsidRPr="00A56CA0">
        <w:rPr>
          <w:rFonts w:cstheme="minorHAnsi"/>
          <w:b/>
        </w:rPr>
        <w:t xml:space="preserve"> rezervy na provozní náklady soudu.</w:t>
      </w:r>
    </w:p>
    <w:p w:rsidR="00414097" w:rsidRPr="00A56CA0" w:rsidRDefault="00414097" w:rsidP="00CD5942">
      <w:pPr>
        <w:spacing w:before="120" w:after="80"/>
        <w:jc w:val="both"/>
        <w:rPr>
          <w:rFonts w:cstheme="minorHAnsi"/>
        </w:rPr>
      </w:pPr>
    </w:p>
    <w:p w:rsidR="00414097" w:rsidRPr="00A56CA0" w:rsidRDefault="00414097" w:rsidP="00CD5942">
      <w:pPr>
        <w:spacing w:before="120" w:after="80"/>
        <w:jc w:val="both"/>
        <w:rPr>
          <w:rFonts w:cstheme="minorHAnsi"/>
          <w:b/>
        </w:rPr>
      </w:pPr>
      <w:r w:rsidRPr="00A56CA0">
        <w:rPr>
          <w:rFonts w:cstheme="minorHAnsi"/>
          <w:b/>
        </w:rPr>
        <w:t>612 (Kapitálové výdaje)</w:t>
      </w:r>
      <w:r w:rsidRPr="00A56CA0">
        <w:rPr>
          <w:rFonts w:cstheme="minorHAnsi"/>
          <w:b/>
        </w:rPr>
        <w:tab/>
      </w:r>
      <w:r w:rsidRPr="00A56CA0">
        <w:rPr>
          <w:rFonts w:cstheme="minorHAnsi"/>
          <w:b/>
        </w:rPr>
        <w:tab/>
      </w:r>
      <w:r w:rsidR="009E35AA" w:rsidRPr="00A56CA0">
        <w:rPr>
          <w:rFonts w:cstheme="minorHAnsi"/>
          <w:b/>
        </w:rPr>
        <w:t>1.944.107,00 Kč</w:t>
      </w:r>
    </w:p>
    <w:p w:rsidR="00ED683C" w:rsidRPr="00A56CA0" w:rsidRDefault="00414097" w:rsidP="00CD5942">
      <w:pPr>
        <w:spacing w:before="120" w:after="80"/>
        <w:jc w:val="both"/>
        <w:rPr>
          <w:rFonts w:cstheme="minorHAnsi"/>
        </w:rPr>
      </w:pPr>
      <w:r w:rsidRPr="00A56CA0">
        <w:rPr>
          <w:rFonts w:cstheme="minorHAnsi"/>
        </w:rPr>
        <w:t>6121</w:t>
      </w:r>
      <w:r w:rsidRPr="00A56CA0">
        <w:rPr>
          <w:rFonts w:cstheme="minorHAnsi"/>
        </w:rPr>
        <w:tab/>
      </w:r>
      <w:r w:rsidRPr="00A56CA0">
        <w:rPr>
          <w:rFonts w:cstheme="minorHAnsi"/>
        </w:rPr>
        <w:tab/>
      </w:r>
      <w:r w:rsidRPr="00A56CA0">
        <w:rPr>
          <w:rFonts w:cstheme="minorHAnsi"/>
        </w:rPr>
        <w:tab/>
      </w:r>
      <w:r w:rsidRPr="00A56CA0">
        <w:rPr>
          <w:rFonts w:cstheme="minorHAnsi"/>
        </w:rPr>
        <w:tab/>
      </w:r>
      <w:r w:rsidRPr="00A56CA0">
        <w:rPr>
          <w:rFonts w:cstheme="minorHAnsi"/>
        </w:rPr>
        <w:tab/>
      </w:r>
      <w:r w:rsidR="009E35AA" w:rsidRPr="00A56CA0">
        <w:rPr>
          <w:rFonts w:cstheme="minorHAnsi"/>
        </w:rPr>
        <w:t>1.944.107,00 Kč</w:t>
      </w:r>
    </w:p>
    <w:p w:rsidR="00ED683C" w:rsidRPr="00A56CA0" w:rsidRDefault="00414097" w:rsidP="00CD5942">
      <w:pPr>
        <w:spacing w:before="120" w:after="80"/>
        <w:jc w:val="both"/>
        <w:rPr>
          <w:rFonts w:cstheme="minorHAnsi"/>
        </w:rPr>
      </w:pPr>
      <w:r w:rsidRPr="00A56CA0">
        <w:rPr>
          <w:rFonts w:cstheme="minorHAnsi"/>
        </w:rPr>
        <w:t xml:space="preserve">Prostředky </w:t>
      </w:r>
      <w:r w:rsidR="006D0880" w:rsidRPr="00A56CA0">
        <w:rPr>
          <w:rFonts w:cstheme="minorHAnsi"/>
        </w:rPr>
        <w:t xml:space="preserve">na projektovou dokumentaci v </w:t>
      </w:r>
      <w:r w:rsidRPr="00A56CA0">
        <w:rPr>
          <w:rFonts w:cstheme="minorHAnsi"/>
        </w:rPr>
        <w:t xml:space="preserve"> investiční akci č. 036V018000006 Rekonstrukce části objektu D – realizace </w:t>
      </w:r>
      <w:r w:rsidR="00ED683C" w:rsidRPr="00A56CA0">
        <w:rPr>
          <w:rFonts w:cstheme="minorHAnsi"/>
        </w:rPr>
        <w:t>proběhne</w:t>
      </w:r>
      <w:r w:rsidRPr="00A56CA0">
        <w:rPr>
          <w:rFonts w:cstheme="minorHAnsi"/>
        </w:rPr>
        <w:t xml:space="preserve"> </w:t>
      </w:r>
      <w:r w:rsidR="00ED683C" w:rsidRPr="00A56CA0">
        <w:rPr>
          <w:rFonts w:cstheme="minorHAnsi"/>
        </w:rPr>
        <w:t xml:space="preserve"> </w:t>
      </w:r>
      <w:r w:rsidRPr="00A56CA0">
        <w:rPr>
          <w:rFonts w:cstheme="minorHAnsi"/>
        </w:rPr>
        <w:t xml:space="preserve"> v</w:t>
      </w:r>
      <w:r w:rsidR="006D0880" w:rsidRPr="00A56CA0">
        <w:rPr>
          <w:rFonts w:cstheme="minorHAnsi"/>
        </w:rPr>
        <w:t xml:space="preserve"> letošním roce, termín ukončení byl posunut </w:t>
      </w:r>
      <w:r w:rsidR="00ED683C" w:rsidRPr="00A56CA0">
        <w:rPr>
          <w:rFonts w:cstheme="minorHAnsi"/>
        </w:rPr>
        <w:t xml:space="preserve"> na 31.</w:t>
      </w:r>
      <w:r w:rsidR="006F3647" w:rsidRPr="00A56CA0">
        <w:rPr>
          <w:rFonts w:cstheme="minorHAnsi"/>
        </w:rPr>
        <w:t xml:space="preserve"> </w:t>
      </w:r>
      <w:r w:rsidR="000D787C">
        <w:rPr>
          <w:rFonts w:cstheme="minorHAnsi"/>
        </w:rPr>
        <w:t>10</w:t>
      </w:r>
      <w:r w:rsidR="00ED683C" w:rsidRPr="00A56CA0">
        <w:rPr>
          <w:rFonts w:cstheme="minorHAnsi"/>
        </w:rPr>
        <w:t>.</w:t>
      </w:r>
      <w:r w:rsidR="006F3647" w:rsidRPr="00A56CA0">
        <w:rPr>
          <w:rFonts w:cstheme="minorHAnsi"/>
        </w:rPr>
        <w:t xml:space="preserve"> 20</w:t>
      </w:r>
      <w:r w:rsidR="00ED683C" w:rsidRPr="00A56CA0">
        <w:rPr>
          <w:rFonts w:cstheme="minorHAnsi"/>
        </w:rPr>
        <w:t>2</w:t>
      </w:r>
      <w:r w:rsidR="009E35AA" w:rsidRPr="00A56CA0">
        <w:rPr>
          <w:rFonts w:cstheme="minorHAnsi"/>
        </w:rPr>
        <w:t>4</w:t>
      </w:r>
      <w:r w:rsidR="000D787C">
        <w:rPr>
          <w:rFonts w:cstheme="minorHAnsi"/>
        </w:rPr>
        <w:t>, závěrečné vyhodnocení bylo posunuto na 31. 12. 2024.</w:t>
      </w:r>
      <w:r w:rsidR="00ED683C" w:rsidRPr="00A56CA0">
        <w:rPr>
          <w:rFonts w:cstheme="minorHAnsi"/>
        </w:rPr>
        <w:t xml:space="preserve">  </w:t>
      </w:r>
    </w:p>
    <w:p w:rsidR="00ED683C" w:rsidRPr="00A56CA0" w:rsidRDefault="005E4F4D" w:rsidP="004F5D78">
      <w:pPr>
        <w:spacing w:before="120" w:after="120"/>
        <w:jc w:val="both"/>
        <w:rPr>
          <w:rFonts w:cstheme="minorHAnsi"/>
        </w:rPr>
      </w:pPr>
      <w:r w:rsidRPr="00A56CA0">
        <w:rPr>
          <w:rFonts w:cstheme="minorHAnsi"/>
        </w:rPr>
        <w:t>Prostředky ve výši 3.344.578,00 Kč – nezapojené NNV na investiční akci č. 036V018000006 Rekonstrukce části objektu D.</w:t>
      </w:r>
    </w:p>
    <w:p w:rsidR="005B67E3" w:rsidRPr="00A56CA0" w:rsidRDefault="009E35AA" w:rsidP="009E35AA">
      <w:pPr>
        <w:spacing w:before="120" w:after="120"/>
        <w:jc w:val="both"/>
        <w:rPr>
          <w:rFonts w:cstheme="minorHAnsi"/>
        </w:rPr>
      </w:pPr>
      <w:r w:rsidRPr="00A56CA0">
        <w:rPr>
          <w:rFonts w:cstheme="minorHAnsi"/>
        </w:rPr>
        <w:t>P</w:t>
      </w:r>
      <w:r w:rsidR="006D0880" w:rsidRPr="00A56CA0">
        <w:rPr>
          <w:rFonts w:cstheme="minorHAnsi"/>
        </w:rPr>
        <w:t>rostředky</w:t>
      </w:r>
      <w:r w:rsidRPr="00A56CA0">
        <w:rPr>
          <w:rFonts w:cstheme="minorHAnsi"/>
        </w:rPr>
        <w:t xml:space="preserve"> ve výši 1.781.785.62 Kč jsou převed</w:t>
      </w:r>
      <w:r w:rsidR="006D0880" w:rsidRPr="00A56CA0">
        <w:rPr>
          <w:rFonts w:cstheme="minorHAnsi"/>
        </w:rPr>
        <w:t>e</w:t>
      </w:r>
      <w:r w:rsidR="005B67E3" w:rsidRPr="00A56CA0">
        <w:rPr>
          <w:rFonts w:cstheme="minorHAnsi"/>
        </w:rPr>
        <w:t xml:space="preserve">ny v agregaci </w:t>
      </w:r>
      <w:r w:rsidRPr="00A56CA0">
        <w:rPr>
          <w:rFonts w:cstheme="minorHAnsi"/>
        </w:rPr>
        <w:t xml:space="preserve"> z programu EDS/SMVS č. 13601.</w:t>
      </w:r>
    </w:p>
    <w:p w:rsidR="00401B43" w:rsidRPr="00C9684A" w:rsidRDefault="00401B43" w:rsidP="00ED5733">
      <w:pPr>
        <w:pStyle w:val="Nadpis2"/>
      </w:pPr>
      <w:bookmarkStart w:id="67" w:name="_Toc124839851"/>
      <w:r w:rsidRPr="00C9684A">
        <w:lastRenderedPageBreak/>
        <w:t>Mimořádné situace (COVID, odstraňování následků živelních katastrof</w:t>
      </w:r>
      <w:r w:rsidR="0040700B" w:rsidRPr="00C9684A">
        <w:t xml:space="preserve"> a další mimořádné situace</w:t>
      </w:r>
      <w:r w:rsidRPr="00C9684A">
        <w:t>)</w:t>
      </w:r>
      <w:bookmarkEnd w:id="67"/>
    </w:p>
    <w:p w:rsidR="00401B43" w:rsidRPr="00C9684A" w:rsidRDefault="00370229" w:rsidP="006D10DA">
      <w:pPr>
        <w:pStyle w:val="Nadpis3"/>
      </w:pPr>
      <w:bookmarkStart w:id="68" w:name="_Toc534878037"/>
      <w:r w:rsidRPr="00C9684A">
        <w:t xml:space="preserve"> </w:t>
      </w:r>
      <w:bookmarkStart w:id="69" w:name="_Toc124839852"/>
      <w:r w:rsidR="00401B43" w:rsidRPr="00C9684A">
        <w:t>Náklady a úspory COVID</w:t>
      </w:r>
      <w:bookmarkEnd w:id="69"/>
    </w:p>
    <w:p w:rsidR="00347B09" w:rsidRPr="00024E35" w:rsidRDefault="00024E35" w:rsidP="00401B43">
      <w:pPr>
        <w:spacing w:after="0"/>
        <w:rPr>
          <w:rFonts w:cstheme="minorHAnsi"/>
        </w:rPr>
      </w:pPr>
      <w:r w:rsidRPr="00024E35">
        <w:rPr>
          <w:rFonts w:cstheme="minorHAnsi"/>
        </w:rPr>
        <w:t>V roce 2022 již nebyly žádné výdaje</w:t>
      </w:r>
      <w:r>
        <w:rPr>
          <w:rFonts w:cstheme="minorHAnsi"/>
        </w:rPr>
        <w:t xml:space="preserve"> </w:t>
      </w:r>
      <w:r w:rsidRPr="00024E35">
        <w:rPr>
          <w:rFonts w:cstheme="minorHAnsi"/>
        </w:rPr>
        <w:t xml:space="preserve"> ani úspory v souvislosti s </w:t>
      </w:r>
      <w:r w:rsidR="00466321">
        <w:rPr>
          <w:rFonts w:cstheme="minorHAnsi"/>
        </w:rPr>
        <w:t>covid</w:t>
      </w:r>
      <w:r w:rsidRPr="00024E35">
        <w:rPr>
          <w:rFonts w:cstheme="minorHAnsi"/>
        </w:rPr>
        <w:t>em.</w:t>
      </w:r>
    </w:p>
    <w:p w:rsidR="00FE554C" w:rsidRDefault="00FE554C" w:rsidP="006D10DA">
      <w:pPr>
        <w:pStyle w:val="Nadpis3"/>
      </w:pPr>
      <w:bookmarkStart w:id="70" w:name="_Toc124839853"/>
      <w:r>
        <w:t>Náklady spojené s „Ukrajinou“</w:t>
      </w:r>
      <w:bookmarkEnd w:id="70"/>
    </w:p>
    <w:p w:rsidR="00A56CA0" w:rsidRPr="00A56CA0" w:rsidRDefault="00024E35" w:rsidP="00A56CA0">
      <w:r>
        <w:t xml:space="preserve">Nebyly žádné náklady s tímto spojené. </w:t>
      </w:r>
    </w:p>
    <w:p w:rsidR="00A21E25" w:rsidRPr="00C9684A" w:rsidRDefault="00A21E25" w:rsidP="006D10DA">
      <w:pPr>
        <w:pStyle w:val="Nadpis3"/>
      </w:pPr>
      <w:bookmarkStart w:id="71" w:name="_Toc124839854"/>
      <w:r w:rsidRPr="00C9684A">
        <w:t>Prostředky na odstraňování následků živelných katastrof</w:t>
      </w:r>
      <w:bookmarkEnd w:id="71"/>
    </w:p>
    <w:p w:rsidR="00A21E25" w:rsidRPr="00024E35" w:rsidRDefault="00024E35" w:rsidP="00401B43">
      <w:pPr>
        <w:spacing w:after="0"/>
        <w:rPr>
          <w:rFonts w:cstheme="minorHAnsi"/>
        </w:rPr>
      </w:pPr>
      <w:r w:rsidRPr="00024E35">
        <w:rPr>
          <w:rFonts w:cstheme="minorHAnsi"/>
        </w:rPr>
        <w:t>Oprava střešního pláště poničeného silným větrem v březnu ve výši 5.808,00 Kč.</w:t>
      </w:r>
    </w:p>
    <w:p w:rsidR="000D787C" w:rsidRDefault="00A21E25" w:rsidP="000D787C">
      <w:pPr>
        <w:pStyle w:val="Nadpis2"/>
      </w:pPr>
      <w:bookmarkStart w:id="72" w:name="_Toc124839855"/>
      <w:bookmarkStart w:id="73" w:name="_Toc534878043"/>
      <w:bookmarkEnd w:id="68"/>
      <w:r w:rsidRPr="00C9684A">
        <w:t>Účelové prostředky na celostátní programy</w:t>
      </w:r>
      <w:bookmarkEnd w:id="72"/>
      <w:r w:rsidRPr="00C9684A">
        <w:t xml:space="preserve"> </w:t>
      </w:r>
    </w:p>
    <w:p w:rsidR="00A21E25" w:rsidRPr="00C9684A" w:rsidRDefault="00A21E25" w:rsidP="000D787C">
      <w:pPr>
        <w:pStyle w:val="Nadpis2"/>
      </w:pPr>
      <w:bookmarkStart w:id="74" w:name="_Toc124839856"/>
      <w:r w:rsidRPr="00C9684A">
        <w:t>Poskytnuté a přijaté finanční prostředky na zahraniční aktivity</w:t>
      </w:r>
      <w:bookmarkEnd w:id="74"/>
    </w:p>
    <w:p w:rsidR="00A21E25" w:rsidRPr="00C9684A" w:rsidRDefault="00E11B84" w:rsidP="006D10DA">
      <w:pPr>
        <w:pStyle w:val="Nadpis3"/>
      </w:pPr>
      <w:bookmarkStart w:id="75" w:name="_Toc124839857"/>
      <w:r w:rsidRPr="00C9684A">
        <w:t>Prostředky na zapojení občanů ČR do civilních struktur EU a dalších mezinárodních vládních organizací a do volebních pozorovatelských misí</w:t>
      </w:r>
      <w:bookmarkEnd w:id="75"/>
    </w:p>
    <w:p w:rsidR="00E11B84" w:rsidRPr="00C9684A" w:rsidRDefault="00E11B84" w:rsidP="00E11B84">
      <w:pPr>
        <w:pStyle w:val="Odstavecseseznamem"/>
        <w:rPr>
          <w:color w:val="FF0000"/>
        </w:rPr>
      </w:pPr>
    </w:p>
    <w:p w:rsidR="00A21E25" w:rsidRPr="00C9684A" w:rsidRDefault="00A21E25" w:rsidP="00A21E25">
      <w:pPr>
        <w:rPr>
          <w:color w:val="FF0000"/>
        </w:rPr>
      </w:pPr>
    </w:p>
    <w:p w:rsidR="001A709F" w:rsidRPr="00C9684A" w:rsidRDefault="00115763" w:rsidP="00ED5733">
      <w:pPr>
        <w:pStyle w:val="Nadpis2"/>
      </w:pPr>
      <w:bookmarkStart w:id="76" w:name="_Toc124839858"/>
      <w:r w:rsidRPr="00C9684A">
        <w:t xml:space="preserve">Výdaje na </w:t>
      </w:r>
      <w:r w:rsidR="00393055" w:rsidRPr="00C9684A">
        <w:t xml:space="preserve">tuzemské a </w:t>
      </w:r>
      <w:r w:rsidRPr="00C9684A">
        <w:t>zahraniční pracovní cesty</w:t>
      </w:r>
      <w:bookmarkEnd w:id="73"/>
      <w:bookmarkEnd w:id="76"/>
    </w:p>
    <w:bookmarkStart w:id="77" w:name="_MON_1671631038"/>
    <w:bookmarkEnd w:id="77"/>
    <w:p w:rsidR="00875469" w:rsidRPr="00C9684A" w:rsidRDefault="005B78BA" w:rsidP="002021FE">
      <w:pPr>
        <w:spacing w:before="120" w:after="120"/>
        <w:rPr>
          <w:rFonts w:cstheme="minorHAnsi"/>
          <w:b/>
          <w:color w:val="FF0000"/>
        </w:rPr>
      </w:pPr>
      <w:r w:rsidRPr="00C9684A">
        <w:rPr>
          <w:rFonts w:cstheme="minorHAnsi"/>
          <w:b/>
          <w:color w:val="FF0000"/>
        </w:rPr>
        <w:object w:dxaOrig="7572" w:dyaOrig="1951" w14:anchorId="60E5E798">
          <v:shape id="_x0000_i1049" type="#_x0000_t75" style="width:378pt;height:96.75pt" o:ole="">
            <v:imagedata r:id="rId58" o:title=""/>
          </v:shape>
          <o:OLEObject Type="Embed" ProgID="Excel.Sheet.12" ShapeID="_x0000_i1049" DrawAspect="Content" ObjectID="_1738644128" r:id="rId59"/>
        </w:object>
      </w:r>
    </w:p>
    <w:p w:rsidR="003C503C" w:rsidRPr="005B78BA" w:rsidRDefault="003C503C" w:rsidP="003C503C">
      <w:pPr>
        <w:spacing w:after="0"/>
        <w:rPr>
          <w:rFonts w:cstheme="minorHAnsi"/>
        </w:rPr>
      </w:pPr>
      <w:r w:rsidRPr="005B78BA">
        <w:rPr>
          <w:rFonts w:cstheme="minorHAnsi"/>
        </w:rPr>
        <w:t>Cestovné vyplácené zaměstnancům se</w:t>
      </w:r>
      <w:r w:rsidR="00E85BB3" w:rsidRPr="005B78BA">
        <w:rPr>
          <w:rFonts w:cstheme="minorHAnsi"/>
        </w:rPr>
        <w:t xml:space="preserve"> oproti předchozímu roku zvýšilo o </w:t>
      </w:r>
      <w:r w:rsidR="005B78BA" w:rsidRPr="005B78BA">
        <w:rPr>
          <w:rFonts w:cstheme="minorHAnsi"/>
        </w:rPr>
        <w:t>25.882,00 Kč</w:t>
      </w:r>
      <w:r w:rsidRPr="005B78BA">
        <w:rPr>
          <w:rFonts w:cstheme="minorHAnsi"/>
        </w:rPr>
        <w:t xml:space="preserve">.  </w:t>
      </w:r>
      <w:r w:rsidR="005B78BA" w:rsidRPr="005B78BA">
        <w:rPr>
          <w:rFonts w:cstheme="minorHAnsi"/>
        </w:rPr>
        <w:t xml:space="preserve">Toto navýšení je způsobeno zejména ukončením proticovidových opatření, kdy se zaměstnanci opět zúčastňují školení a porady, tyto byly v roce 2021 on-line. </w:t>
      </w:r>
    </w:p>
    <w:p w:rsidR="00B21530" w:rsidRPr="005B78BA" w:rsidRDefault="00B21530" w:rsidP="002021FE">
      <w:pPr>
        <w:spacing w:before="120" w:after="120"/>
        <w:rPr>
          <w:rFonts w:cstheme="minorHAnsi"/>
          <w:b/>
        </w:rPr>
      </w:pPr>
      <w:r w:rsidRPr="005B78BA">
        <w:rPr>
          <w:rFonts w:cstheme="minorHAnsi"/>
          <w:b/>
        </w:rPr>
        <w:t>Zahraniční pracovní cesty</w:t>
      </w:r>
    </w:p>
    <w:bookmarkStart w:id="78" w:name="_MON_1671631200"/>
    <w:bookmarkEnd w:id="78"/>
    <w:p w:rsidR="00875469" w:rsidRPr="00C9684A" w:rsidRDefault="00CD5942" w:rsidP="002021FE">
      <w:pPr>
        <w:spacing w:before="120" w:after="120"/>
        <w:rPr>
          <w:rFonts w:cstheme="minorHAnsi"/>
          <w:b/>
          <w:color w:val="FF0000"/>
        </w:rPr>
      </w:pPr>
      <w:r w:rsidRPr="00C9684A">
        <w:rPr>
          <w:rFonts w:cstheme="minorHAnsi"/>
          <w:b/>
          <w:color w:val="FF0000"/>
        </w:rPr>
        <w:object w:dxaOrig="8346" w:dyaOrig="1179" w14:anchorId="4A9788BA">
          <v:shape id="_x0000_i1050" type="#_x0000_t75" style="width:417.75pt;height:59.25pt" o:ole="">
            <v:imagedata r:id="rId60" o:title=""/>
          </v:shape>
          <o:OLEObject Type="Embed" ProgID="Excel.Sheet.12" ShapeID="_x0000_i1050" DrawAspect="Content" ObjectID="_1738644129" r:id="rId61"/>
        </w:object>
      </w:r>
    </w:p>
    <w:p w:rsidR="00B21530" w:rsidRPr="005B78BA" w:rsidRDefault="0007377E" w:rsidP="002021FE">
      <w:pPr>
        <w:spacing w:before="120" w:after="120"/>
        <w:rPr>
          <w:rFonts w:cstheme="minorHAnsi"/>
        </w:rPr>
      </w:pPr>
      <w:r w:rsidRPr="005B78BA">
        <w:rPr>
          <w:rFonts w:cstheme="minorHAnsi"/>
        </w:rPr>
        <w:t xml:space="preserve">V roce </w:t>
      </w:r>
      <w:r w:rsidR="00803419" w:rsidRPr="005B78BA">
        <w:rPr>
          <w:rFonts w:cstheme="minorHAnsi"/>
        </w:rPr>
        <w:t>202</w:t>
      </w:r>
      <w:r w:rsidR="005B78BA" w:rsidRPr="005B78BA">
        <w:rPr>
          <w:rFonts w:cstheme="minorHAnsi"/>
        </w:rPr>
        <w:t>2</w:t>
      </w:r>
      <w:r w:rsidR="005B78BA">
        <w:rPr>
          <w:rFonts w:cstheme="minorHAnsi"/>
        </w:rPr>
        <w:t xml:space="preserve"> </w:t>
      </w:r>
      <w:r w:rsidRPr="005B78BA">
        <w:rPr>
          <w:rFonts w:cstheme="minorHAnsi"/>
        </w:rPr>
        <w:t>neproběhly žádné zahraniční pracovní cesty</w:t>
      </w:r>
      <w:r w:rsidR="005B78BA">
        <w:rPr>
          <w:rFonts w:cstheme="minorHAnsi"/>
        </w:rPr>
        <w:t>.</w:t>
      </w:r>
    </w:p>
    <w:p w:rsidR="001A709F" w:rsidRDefault="001A709F" w:rsidP="002021FE">
      <w:pPr>
        <w:spacing w:before="120" w:after="120"/>
        <w:rPr>
          <w:rFonts w:cstheme="minorHAnsi"/>
          <w:color w:val="FF0000"/>
        </w:rPr>
      </w:pPr>
    </w:p>
    <w:p w:rsidR="00B522CD" w:rsidRPr="00C9684A" w:rsidRDefault="00B522CD" w:rsidP="002021FE">
      <w:pPr>
        <w:spacing w:before="120" w:after="120"/>
        <w:rPr>
          <w:rFonts w:cstheme="minorHAnsi"/>
          <w:color w:val="FF0000"/>
        </w:rPr>
      </w:pPr>
    </w:p>
    <w:p w:rsidR="00CD5942" w:rsidRPr="00C9684A" w:rsidRDefault="00CD5942" w:rsidP="002021FE">
      <w:pPr>
        <w:spacing w:before="120" w:after="120"/>
        <w:rPr>
          <w:rFonts w:cstheme="minorHAnsi"/>
          <w:color w:val="FF0000"/>
        </w:rPr>
      </w:pPr>
    </w:p>
    <w:p w:rsidR="001A709F" w:rsidRDefault="00115763" w:rsidP="00ED5733">
      <w:pPr>
        <w:pStyle w:val="Nadpis2"/>
      </w:pPr>
      <w:r w:rsidRPr="00C9684A">
        <w:lastRenderedPageBreak/>
        <w:t xml:space="preserve"> </w:t>
      </w:r>
      <w:bookmarkStart w:id="79" w:name="_Toc534878044"/>
      <w:bookmarkStart w:id="80" w:name="_Toc124839859"/>
      <w:r w:rsidRPr="00C9684A">
        <w:t>Přehled zálohových plateb</w:t>
      </w:r>
      <w:bookmarkEnd w:id="79"/>
      <w:bookmarkEnd w:id="80"/>
    </w:p>
    <w:p w:rsidR="000D787C" w:rsidRDefault="000D787C" w:rsidP="000D787C"/>
    <w:p w:rsidR="000D787C" w:rsidRPr="000D787C" w:rsidRDefault="000D787C" w:rsidP="000D787C"/>
    <w:p w:rsidR="001A709F" w:rsidRDefault="003512AA" w:rsidP="002021FE">
      <w:pPr>
        <w:spacing w:before="120" w:after="120"/>
        <w:rPr>
          <w:rFonts w:cstheme="minorHAnsi"/>
          <w:b/>
        </w:rPr>
      </w:pPr>
      <w:r w:rsidRPr="005B78BA">
        <w:rPr>
          <w:rFonts w:cstheme="minorHAnsi"/>
          <w:b/>
        </w:rPr>
        <w:t>Zálohy investičního charakteru</w:t>
      </w:r>
    </w:p>
    <w:bookmarkStart w:id="81" w:name="_MON_1671631313"/>
    <w:bookmarkEnd w:id="81"/>
    <w:p w:rsidR="005B78BA" w:rsidRDefault="00414177" w:rsidP="002021FE">
      <w:pPr>
        <w:spacing w:before="120" w:after="120"/>
        <w:rPr>
          <w:rFonts w:cstheme="minorHAnsi"/>
          <w:b/>
          <w:color w:val="FF0000"/>
        </w:rPr>
      </w:pPr>
      <w:r w:rsidRPr="00C9684A">
        <w:rPr>
          <w:rFonts w:cstheme="minorHAnsi"/>
          <w:b/>
          <w:color w:val="FF0000"/>
        </w:rPr>
        <w:object w:dxaOrig="9583" w:dyaOrig="1048" w14:anchorId="329D84EA">
          <v:shape id="_x0000_i1051" type="#_x0000_t75" style="width:480pt;height:52.5pt" o:ole="">
            <v:imagedata r:id="rId62" o:title=""/>
          </v:shape>
          <o:OLEObject Type="Embed" ProgID="Excel.Sheet.12" ShapeID="_x0000_i1051" DrawAspect="Content" ObjectID="_1738644130" r:id="rId63"/>
        </w:object>
      </w:r>
    </w:p>
    <w:p w:rsidR="00A04824" w:rsidRDefault="005B78BA" w:rsidP="002021FE">
      <w:pPr>
        <w:spacing w:before="120" w:after="120"/>
        <w:rPr>
          <w:rFonts w:cstheme="minorHAnsi"/>
        </w:rPr>
      </w:pPr>
      <w:r w:rsidRPr="005B78BA">
        <w:rPr>
          <w:rFonts w:cstheme="minorHAnsi"/>
        </w:rPr>
        <w:t>V roce 2022</w:t>
      </w:r>
      <w:r>
        <w:rPr>
          <w:rFonts w:cstheme="minorHAnsi"/>
          <w:b/>
        </w:rPr>
        <w:t xml:space="preserve"> </w:t>
      </w:r>
      <w:r w:rsidR="005D70EB" w:rsidRPr="005B78BA">
        <w:rPr>
          <w:rFonts w:cstheme="minorHAnsi"/>
        </w:rPr>
        <w:t>nedošlo k žádným zálohovým platbám na dodávky a služby investičního charakteru.</w:t>
      </w:r>
    </w:p>
    <w:p w:rsidR="000D787C" w:rsidRDefault="000D787C" w:rsidP="002021FE">
      <w:pPr>
        <w:spacing w:before="120" w:after="120"/>
        <w:rPr>
          <w:rFonts w:cstheme="minorHAnsi"/>
          <w:b/>
        </w:rPr>
      </w:pPr>
    </w:p>
    <w:p w:rsidR="000D787C" w:rsidRPr="005B78BA" w:rsidRDefault="000D787C" w:rsidP="002021FE">
      <w:pPr>
        <w:spacing w:before="120" w:after="120"/>
        <w:rPr>
          <w:rFonts w:cstheme="minorHAnsi"/>
          <w:b/>
        </w:rPr>
      </w:pPr>
    </w:p>
    <w:p w:rsidR="003512AA" w:rsidRPr="005B78BA" w:rsidRDefault="003512AA" w:rsidP="002021FE">
      <w:pPr>
        <w:spacing w:before="120" w:after="120"/>
        <w:rPr>
          <w:rFonts w:cstheme="minorHAnsi"/>
          <w:b/>
        </w:rPr>
      </w:pPr>
      <w:r w:rsidRPr="005B78BA">
        <w:rPr>
          <w:rFonts w:cstheme="minorHAnsi"/>
          <w:b/>
        </w:rPr>
        <w:t>Zálohy neinvestičního charakteru</w:t>
      </w:r>
    </w:p>
    <w:bookmarkStart w:id="82" w:name="_MON_1672206038"/>
    <w:bookmarkEnd w:id="82"/>
    <w:p w:rsidR="00B85DFE" w:rsidRDefault="00B85DFE" w:rsidP="00C9356C">
      <w:pPr>
        <w:spacing w:before="120" w:after="120"/>
        <w:rPr>
          <w:rFonts w:cstheme="minorHAnsi"/>
          <w:b/>
          <w:color w:val="FF0000"/>
        </w:rPr>
      </w:pPr>
      <w:r w:rsidRPr="00C9684A">
        <w:rPr>
          <w:rFonts w:cstheme="minorHAnsi"/>
          <w:b/>
          <w:color w:val="FF0000"/>
        </w:rPr>
        <w:object w:dxaOrig="9488" w:dyaOrig="1903" w14:anchorId="33FE1BF0">
          <v:shape id="_x0000_i1068" type="#_x0000_t75" style="width:475.5pt;height:96pt" o:ole="">
            <v:imagedata r:id="rId64" o:title=""/>
          </v:shape>
          <o:OLEObject Type="Embed" ProgID="Excel.Sheet.12" ShapeID="_x0000_i1068" DrawAspect="Content" ObjectID="_1738644131" r:id="rId65"/>
        </w:object>
      </w:r>
    </w:p>
    <w:p w:rsidR="000D787C" w:rsidRDefault="00DD504F" w:rsidP="00C9356C">
      <w:pPr>
        <w:spacing w:before="120" w:after="120"/>
        <w:rPr>
          <w:rFonts w:cstheme="minorHAnsi"/>
        </w:rPr>
      </w:pPr>
      <w:r w:rsidRPr="005B78BA">
        <w:rPr>
          <w:rFonts w:cstheme="minorHAnsi"/>
        </w:rPr>
        <w:t>Shora uvedené zálohy jsou na provozní náklady soudu</w:t>
      </w:r>
      <w:r w:rsidR="005D70EB" w:rsidRPr="005B78BA">
        <w:rPr>
          <w:rFonts w:cstheme="minorHAnsi"/>
        </w:rPr>
        <w:t xml:space="preserve">, účtováno na </w:t>
      </w:r>
      <w:r w:rsidR="00414177" w:rsidRPr="005B78BA">
        <w:rPr>
          <w:rFonts w:cstheme="minorHAnsi"/>
        </w:rPr>
        <w:t>účtu</w:t>
      </w:r>
      <w:r w:rsidR="005D70EB" w:rsidRPr="005B78BA">
        <w:rPr>
          <w:rFonts w:cstheme="minorHAnsi"/>
        </w:rPr>
        <w:t xml:space="preserve"> 314.</w:t>
      </w:r>
      <w:r w:rsidRPr="005B78BA">
        <w:rPr>
          <w:rFonts w:cstheme="minorHAnsi"/>
        </w:rPr>
        <w:t xml:space="preserve"> Zůstat</w:t>
      </w:r>
      <w:r w:rsidR="00CD5942" w:rsidRPr="005B78BA">
        <w:rPr>
          <w:rFonts w:cstheme="minorHAnsi"/>
        </w:rPr>
        <w:t>ek ve frankovacím stroji, kt</w:t>
      </w:r>
      <w:r w:rsidR="00ED5DAC" w:rsidRPr="005B78BA">
        <w:rPr>
          <w:rFonts w:cstheme="minorHAnsi"/>
        </w:rPr>
        <w:t xml:space="preserve">erý zajistí frankování zásilek </w:t>
      </w:r>
      <w:r w:rsidR="005B78BA" w:rsidRPr="005B78BA">
        <w:rPr>
          <w:rFonts w:cstheme="minorHAnsi"/>
        </w:rPr>
        <w:t>v 1. čtvrtletí</w:t>
      </w:r>
      <w:r w:rsidR="00CD5942" w:rsidRPr="005B78BA">
        <w:rPr>
          <w:rFonts w:cstheme="minorHAnsi"/>
        </w:rPr>
        <w:t xml:space="preserve"> následujícího roku</w:t>
      </w:r>
      <w:r w:rsidRPr="005B78BA">
        <w:rPr>
          <w:rFonts w:cstheme="minorHAnsi"/>
        </w:rPr>
        <w:t xml:space="preserve">. Zálohy na vodné a stočné jsou vyúčtovány vždy v únoru následujícího roku. Záloha na předplatné Ústředního věstníku ČR  je vyúčtována vždy v lednu následujícího roku.  </w:t>
      </w:r>
    </w:p>
    <w:p w:rsidR="000D787C" w:rsidRDefault="000D787C" w:rsidP="00C9356C">
      <w:pPr>
        <w:spacing w:before="120" w:after="120"/>
        <w:rPr>
          <w:rFonts w:cstheme="minorHAnsi"/>
        </w:rPr>
      </w:pPr>
    </w:p>
    <w:p w:rsidR="000D787C" w:rsidRPr="005B78BA" w:rsidRDefault="000D787C" w:rsidP="00C9356C">
      <w:pPr>
        <w:spacing w:before="120" w:after="120"/>
        <w:rPr>
          <w:rFonts w:cstheme="minorHAnsi"/>
          <w:b/>
          <w:color w:val="FF0000"/>
        </w:rPr>
      </w:pPr>
    </w:p>
    <w:p w:rsidR="00E11B84" w:rsidRPr="00C9684A" w:rsidRDefault="00E11B84" w:rsidP="00ED5733">
      <w:pPr>
        <w:pStyle w:val="Nadpis2"/>
      </w:pPr>
      <w:bookmarkStart w:id="83" w:name="_Toc124839860"/>
      <w:r w:rsidRPr="00C9684A">
        <w:t>Odškodnění osob a výplata náhrad (vyplňuje aparát)</w:t>
      </w:r>
      <w:bookmarkEnd w:id="83"/>
    </w:p>
    <w:p w:rsidR="00E11B84" w:rsidRDefault="00E11B84" w:rsidP="00C9356C">
      <w:pPr>
        <w:spacing w:before="120" w:after="120"/>
        <w:rPr>
          <w:rFonts w:cstheme="minorHAnsi"/>
          <w:color w:val="FF0000"/>
        </w:rPr>
      </w:pPr>
    </w:p>
    <w:p w:rsidR="000D787C" w:rsidRDefault="000D787C" w:rsidP="00B85DFE">
      <w:pPr>
        <w:spacing w:before="120" w:after="120"/>
        <w:jc w:val="right"/>
        <w:rPr>
          <w:rFonts w:cstheme="minorHAnsi"/>
          <w:color w:val="FF0000"/>
        </w:rPr>
      </w:pPr>
    </w:p>
    <w:p w:rsidR="000D787C" w:rsidRDefault="000D787C" w:rsidP="00C9356C">
      <w:pPr>
        <w:spacing w:before="120" w:after="120"/>
        <w:rPr>
          <w:rFonts w:cstheme="minorHAnsi"/>
          <w:color w:val="FF0000"/>
        </w:rPr>
      </w:pPr>
    </w:p>
    <w:p w:rsidR="000D787C" w:rsidRDefault="000D787C" w:rsidP="00C9356C">
      <w:pPr>
        <w:spacing w:before="120" w:after="120"/>
        <w:rPr>
          <w:rFonts w:cstheme="minorHAnsi"/>
          <w:color w:val="FF0000"/>
        </w:rPr>
      </w:pPr>
    </w:p>
    <w:p w:rsidR="00B85DFE" w:rsidRDefault="00B85DFE" w:rsidP="00C9356C">
      <w:pPr>
        <w:spacing w:before="120" w:after="120"/>
        <w:rPr>
          <w:rFonts w:cstheme="minorHAnsi"/>
          <w:color w:val="FF0000"/>
        </w:rPr>
      </w:pPr>
      <w:bookmarkStart w:id="84" w:name="_GoBack"/>
      <w:bookmarkEnd w:id="84"/>
    </w:p>
    <w:p w:rsidR="000D787C" w:rsidRDefault="000D787C" w:rsidP="00C9356C">
      <w:pPr>
        <w:spacing w:before="120" w:after="120"/>
        <w:rPr>
          <w:rFonts w:cstheme="minorHAnsi"/>
          <w:color w:val="FF0000"/>
        </w:rPr>
      </w:pPr>
    </w:p>
    <w:p w:rsidR="000D787C" w:rsidRDefault="000D787C" w:rsidP="00C9356C">
      <w:pPr>
        <w:spacing w:before="120" w:after="120"/>
        <w:rPr>
          <w:rFonts w:cstheme="minorHAnsi"/>
          <w:color w:val="FF0000"/>
        </w:rPr>
      </w:pPr>
    </w:p>
    <w:p w:rsidR="000D787C" w:rsidRDefault="000D787C" w:rsidP="00C9356C">
      <w:pPr>
        <w:spacing w:before="120" w:after="120"/>
        <w:rPr>
          <w:rFonts w:cstheme="minorHAnsi"/>
          <w:color w:val="FF0000"/>
        </w:rPr>
      </w:pPr>
    </w:p>
    <w:p w:rsidR="00FE554C" w:rsidRPr="00147D1A" w:rsidRDefault="00FE554C" w:rsidP="009A77CF">
      <w:pPr>
        <w:pStyle w:val="Nadpis1"/>
        <w:numPr>
          <w:ilvl w:val="0"/>
          <w:numId w:val="6"/>
        </w:numPr>
        <w:rPr>
          <w:rFonts w:asciiTheme="minorHAnsi" w:hAnsiTheme="minorHAnsi" w:cstheme="minorHAnsi"/>
        </w:rPr>
      </w:pPr>
      <w:bookmarkStart w:id="85" w:name="_Toc124839861"/>
      <w:r w:rsidRPr="00147D1A">
        <w:rPr>
          <w:rFonts w:asciiTheme="minorHAnsi" w:hAnsiTheme="minorHAnsi" w:cstheme="minorHAnsi"/>
        </w:rPr>
        <w:lastRenderedPageBreak/>
        <w:t>Úspory</w:t>
      </w:r>
      <w:bookmarkEnd w:id="85"/>
    </w:p>
    <w:p w:rsidR="00147D1A" w:rsidRDefault="00147D1A" w:rsidP="00147D1A">
      <w:pPr>
        <w:spacing w:after="0" w:line="240" w:lineRule="auto"/>
        <w:rPr>
          <w:szCs w:val="24"/>
        </w:rPr>
      </w:pPr>
    </w:p>
    <w:p w:rsidR="00147D1A" w:rsidRDefault="00147D1A" w:rsidP="00147D1A">
      <w:pPr>
        <w:spacing w:after="0" w:line="240" w:lineRule="auto"/>
        <w:rPr>
          <w:szCs w:val="24"/>
        </w:rPr>
      </w:pPr>
      <w:r>
        <w:rPr>
          <w:szCs w:val="24"/>
        </w:rPr>
        <w:t xml:space="preserve">U Okresního soudu v Chebu nedošlo v roce 2022 k úsporám. Naopak čerpání oproti roku 2021 vzrostlo o 7.566.779,24 Kč. </w:t>
      </w:r>
      <w:r w:rsidR="0044365B">
        <w:rPr>
          <w:szCs w:val="24"/>
        </w:rPr>
        <w:t>Tento rozdíl je zejména z</w:t>
      </w:r>
      <w:r w:rsidR="004B05CD">
        <w:rPr>
          <w:szCs w:val="24"/>
        </w:rPr>
        <w:t> </w:t>
      </w:r>
      <w:r w:rsidR="0044365B">
        <w:rPr>
          <w:szCs w:val="24"/>
        </w:rPr>
        <w:t>důvodu</w:t>
      </w:r>
      <w:r w:rsidR="004B05CD">
        <w:rPr>
          <w:szCs w:val="24"/>
        </w:rPr>
        <w:t xml:space="preserve"> vyplácení paušálních náhrad exekutorům za zastavování bagatelních pohledávek a dále z důvodu</w:t>
      </w:r>
      <w:r w:rsidR="0044365B">
        <w:rPr>
          <w:szCs w:val="24"/>
        </w:rPr>
        <w:t xml:space="preserve"> nárůstu cen energií, pohonných hmot, materiálu a ostatních služeb.  I když byla z důvodu úsporných opatření snížena spotřeba energií, čerpání v roce 2022 je vyšší.</w:t>
      </w:r>
    </w:p>
    <w:p w:rsidR="00147D1A" w:rsidRDefault="00147D1A" w:rsidP="00147D1A">
      <w:pPr>
        <w:spacing w:after="0" w:line="240" w:lineRule="auto"/>
        <w:rPr>
          <w:szCs w:val="24"/>
        </w:rPr>
      </w:pPr>
    </w:p>
    <w:p w:rsidR="00147D1A" w:rsidRDefault="00147D1A" w:rsidP="00147D1A">
      <w:pPr>
        <w:spacing w:after="0" w:line="240" w:lineRule="auto"/>
        <w:rPr>
          <w:szCs w:val="24"/>
        </w:rPr>
      </w:pPr>
      <w:r>
        <w:rPr>
          <w:szCs w:val="24"/>
        </w:rPr>
        <w:t>Skutečnost 2021</w:t>
      </w:r>
      <w:r>
        <w:rPr>
          <w:szCs w:val="24"/>
        </w:rPr>
        <w:tab/>
      </w:r>
      <w:r>
        <w:rPr>
          <w:szCs w:val="24"/>
        </w:rPr>
        <w:tab/>
      </w:r>
      <w:r w:rsidRPr="00147D1A">
        <w:rPr>
          <w:szCs w:val="24"/>
        </w:rPr>
        <w:t>88.743.979,93</w:t>
      </w:r>
      <w:r>
        <w:rPr>
          <w:szCs w:val="24"/>
        </w:rPr>
        <w:t xml:space="preserve"> Kč</w:t>
      </w:r>
    </w:p>
    <w:p w:rsidR="00147D1A" w:rsidRDefault="00147D1A" w:rsidP="00147D1A">
      <w:pPr>
        <w:spacing w:after="0" w:line="240" w:lineRule="auto"/>
        <w:rPr>
          <w:szCs w:val="24"/>
        </w:rPr>
      </w:pPr>
      <w:r>
        <w:rPr>
          <w:szCs w:val="24"/>
        </w:rPr>
        <w:t>Skutečnost 2022</w:t>
      </w:r>
      <w:r>
        <w:rPr>
          <w:szCs w:val="24"/>
        </w:rPr>
        <w:tab/>
      </w:r>
      <w:r>
        <w:rPr>
          <w:szCs w:val="24"/>
        </w:rPr>
        <w:tab/>
      </w:r>
      <w:r w:rsidRPr="00147D1A">
        <w:rPr>
          <w:szCs w:val="24"/>
        </w:rPr>
        <w:t>96.310.759,17</w:t>
      </w:r>
      <w:r>
        <w:rPr>
          <w:szCs w:val="24"/>
        </w:rPr>
        <w:t xml:space="preserve"> Kč</w:t>
      </w:r>
    </w:p>
    <w:p w:rsidR="0044365B" w:rsidRPr="00147D1A" w:rsidRDefault="0044365B" w:rsidP="00147D1A">
      <w:pPr>
        <w:spacing w:after="0" w:line="240" w:lineRule="auto"/>
        <w:rPr>
          <w:szCs w:val="24"/>
        </w:rPr>
      </w:pPr>
    </w:p>
    <w:p w:rsidR="0044365B" w:rsidRDefault="0044365B" w:rsidP="0044365B">
      <w:pPr>
        <w:spacing w:after="0" w:line="240" w:lineRule="auto"/>
        <w:rPr>
          <w:szCs w:val="24"/>
        </w:rPr>
      </w:pPr>
      <w:r>
        <w:rPr>
          <w:szCs w:val="24"/>
        </w:rPr>
        <w:t>Nejvýzna</w:t>
      </w:r>
      <w:r w:rsidR="004B05CD">
        <w:rPr>
          <w:szCs w:val="24"/>
        </w:rPr>
        <w:t>mnější faktory, které jsou příčinou</w:t>
      </w:r>
      <w:r>
        <w:rPr>
          <w:szCs w:val="24"/>
        </w:rPr>
        <w:t xml:space="preserve"> vyšší</w:t>
      </w:r>
      <w:r w:rsidR="004B05CD">
        <w:rPr>
          <w:szCs w:val="24"/>
        </w:rPr>
        <w:t>ho</w:t>
      </w:r>
      <w:r>
        <w:rPr>
          <w:szCs w:val="24"/>
        </w:rPr>
        <w:t xml:space="preserve"> čerpání v roce </w:t>
      </w:r>
      <w:r w:rsidR="004B05CD">
        <w:rPr>
          <w:szCs w:val="24"/>
        </w:rPr>
        <w:t>2022</w:t>
      </w:r>
      <w:r>
        <w:rPr>
          <w:szCs w:val="24"/>
        </w:rPr>
        <w:t>:</w:t>
      </w:r>
    </w:p>
    <w:p w:rsidR="00147D1A" w:rsidRPr="0044365B" w:rsidRDefault="00147D1A" w:rsidP="0044365B">
      <w:pPr>
        <w:spacing w:after="0" w:line="240" w:lineRule="auto"/>
        <w:rPr>
          <w:szCs w:val="24"/>
        </w:rPr>
      </w:pPr>
    </w:p>
    <w:p w:rsidR="00147D1A" w:rsidRDefault="0044365B" w:rsidP="0044365B">
      <w:pPr>
        <w:spacing w:after="0" w:line="240" w:lineRule="auto"/>
        <w:rPr>
          <w:szCs w:val="24"/>
        </w:rPr>
      </w:pPr>
      <w:r>
        <w:rPr>
          <w:szCs w:val="24"/>
        </w:rPr>
        <w:t>P</w:t>
      </w:r>
      <w:r w:rsidR="00147D1A" w:rsidRPr="0044365B">
        <w:rPr>
          <w:szCs w:val="24"/>
        </w:rPr>
        <w:t>roplácení paušálních částek za bagatelní exekuce</w:t>
      </w:r>
      <w:r>
        <w:rPr>
          <w:szCs w:val="24"/>
        </w:rPr>
        <w:t xml:space="preserve"> a s tím související vyšší</w:t>
      </w:r>
      <w:r w:rsidR="00147D1A" w:rsidRPr="0044365B">
        <w:rPr>
          <w:szCs w:val="24"/>
        </w:rPr>
        <w:t xml:space="preserve"> spotřeba papíru a výdaje za tiskové služby.</w:t>
      </w:r>
      <w:r w:rsidR="00466321">
        <w:rPr>
          <w:szCs w:val="24"/>
        </w:rPr>
        <w:t xml:space="preserve"> Tento fakt nejvýrazněji ovlivnil zvýšené čerpání v roce 2022 oproti roku 2021.</w:t>
      </w:r>
    </w:p>
    <w:p w:rsidR="0044365B" w:rsidRDefault="0044365B" w:rsidP="0044365B">
      <w:pPr>
        <w:spacing w:after="0" w:line="240" w:lineRule="auto"/>
        <w:rPr>
          <w:szCs w:val="24"/>
        </w:rPr>
      </w:pPr>
    </w:p>
    <w:p w:rsidR="0044365B" w:rsidRDefault="00466321" w:rsidP="0044365B">
      <w:pPr>
        <w:spacing w:after="0" w:line="240" w:lineRule="auto"/>
        <w:rPr>
          <w:szCs w:val="24"/>
        </w:rPr>
      </w:pPr>
      <w:r>
        <w:rPr>
          <w:szCs w:val="24"/>
        </w:rPr>
        <w:t>Dále byly výrazně zvýšeny ceny za poštovní služby,</w:t>
      </w:r>
      <w:r w:rsidR="006C0DA1">
        <w:rPr>
          <w:szCs w:val="24"/>
        </w:rPr>
        <w:t xml:space="preserve"> dodávku energií</w:t>
      </w:r>
      <w:r>
        <w:rPr>
          <w:szCs w:val="24"/>
        </w:rPr>
        <w:t xml:space="preserve"> a </w:t>
      </w:r>
      <w:r w:rsidR="006C0DA1">
        <w:rPr>
          <w:szCs w:val="24"/>
        </w:rPr>
        <w:t xml:space="preserve">nákup </w:t>
      </w:r>
      <w:r>
        <w:rPr>
          <w:szCs w:val="24"/>
        </w:rPr>
        <w:t xml:space="preserve">materiál. Od 2. pololetí roku 2022 byl zvýšen příspěvek na stravování o 10,00 Kč na 1 e-stravenku, což za toto období činí  navýšení o cca 100.000,00 Kč. </w:t>
      </w:r>
    </w:p>
    <w:p w:rsidR="00466321" w:rsidRDefault="00466321" w:rsidP="0044365B">
      <w:pPr>
        <w:spacing w:after="0" w:line="240" w:lineRule="auto"/>
        <w:rPr>
          <w:szCs w:val="24"/>
        </w:rPr>
      </w:pPr>
    </w:p>
    <w:p w:rsidR="00A0404C" w:rsidRDefault="006C0DA1" w:rsidP="0044365B">
      <w:pPr>
        <w:spacing w:after="0" w:line="240" w:lineRule="auto"/>
        <w:rPr>
          <w:szCs w:val="24"/>
        </w:rPr>
      </w:pPr>
      <w:r>
        <w:rPr>
          <w:szCs w:val="24"/>
        </w:rPr>
        <w:t>Vetší</w:t>
      </w:r>
      <w:r w:rsidR="00466321">
        <w:rPr>
          <w:szCs w:val="24"/>
        </w:rPr>
        <w:t xml:space="preserve"> úspory jsou</w:t>
      </w:r>
      <w:r w:rsidR="004B05CD">
        <w:rPr>
          <w:szCs w:val="24"/>
        </w:rPr>
        <w:t xml:space="preserve"> pouze </w:t>
      </w:r>
      <w:r w:rsidR="00A0404C">
        <w:rPr>
          <w:szCs w:val="24"/>
        </w:rPr>
        <w:t xml:space="preserve"> na položce mandatorní výdaje –</w:t>
      </w:r>
      <w:r>
        <w:rPr>
          <w:szCs w:val="24"/>
        </w:rPr>
        <w:t xml:space="preserve"> advokáti trest ve výši cca 34</w:t>
      </w:r>
      <w:r w:rsidR="00A0404C">
        <w:rPr>
          <w:szCs w:val="24"/>
        </w:rPr>
        <w:t xml:space="preserve">0.000,00 Kč, což je z důvodu odchodu 1 soudce na stáž na Krajský soud v Plzni. </w:t>
      </w:r>
      <w:r>
        <w:rPr>
          <w:szCs w:val="24"/>
        </w:rPr>
        <w:t>Celkově ale na položce mandatorní výdaje došlo ke značnému navýšení s ohledem na vyplácení paušálních náhrad exekutorům za zastavování bagatelních pohledávek.</w:t>
      </w:r>
    </w:p>
    <w:p w:rsidR="006C0DA1" w:rsidRDefault="006C0DA1" w:rsidP="0044365B">
      <w:pPr>
        <w:spacing w:after="0" w:line="240" w:lineRule="auto"/>
        <w:rPr>
          <w:szCs w:val="24"/>
        </w:rPr>
      </w:pPr>
    </w:p>
    <w:p w:rsidR="00466321" w:rsidRDefault="00A0404C" w:rsidP="0044365B">
      <w:pPr>
        <w:spacing w:after="0" w:line="240" w:lineRule="auto"/>
        <w:rPr>
          <w:szCs w:val="24"/>
        </w:rPr>
      </w:pPr>
      <w:r>
        <w:rPr>
          <w:szCs w:val="24"/>
        </w:rPr>
        <w:t xml:space="preserve">Další úspory jsou </w:t>
      </w:r>
      <w:r w:rsidR="00466321">
        <w:rPr>
          <w:szCs w:val="24"/>
        </w:rPr>
        <w:t xml:space="preserve"> na výdaje v přímé souvislosti s proticovidovými opatřeními, neboť v roce 2022 již nebyly pořizovány žádné ochranné prostředky a nebyla prováděna desinfekce vnitřních prostor budovy. </w:t>
      </w:r>
      <w:r w:rsidR="00ED5733">
        <w:rPr>
          <w:szCs w:val="24"/>
        </w:rPr>
        <w:t xml:space="preserve">Další úspory jsou v oblasti plateb za poskytování telefonních služeb, kde jsme snížily tarify </w:t>
      </w:r>
    </w:p>
    <w:p w:rsidR="0044365B" w:rsidRPr="0044365B" w:rsidRDefault="0044365B" w:rsidP="0044365B">
      <w:pPr>
        <w:spacing w:after="0" w:line="240" w:lineRule="auto"/>
        <w:rPr>
          <w:szCs w:val="24"/>
        </w:rPr>
      </w:pPr>
    </w:p>
    <w:p w:rsidR="00FE554C" w:rsidRPr="00FE554C" w:rsidRDefault="00FE554C" w:rsidP="00FE554C"/>
    <w:p w:rsidR="00E11B84" w:rsidRPr="00147D1A" w:rsidRDefault="00E11B84" w:rsidP="009A77CF">
      <w:pPr>
        <w:pStyle w:val="Nadpis1"/>
        <w:numPr>
          <w:ilvl w:val="0"/>
          <w:numId w:val="6"/>
        </w:numPr>
        <w:rPr>
          <w:rFonts w:asciiTheme="minorHAnsi" w:hAnsiTheme="minorHAnsi" w:cstheme="minorHAnsi"/>
        </w:rPr>
      </w:pPr>
      <w:bookmarkStart w:id="86" w:name="_Toc124839862"/>
      <w:r w:rsidRPr="00147D1A">
        <w:rPr>
          <w:rFonts w:asciiTheme="minorHAnsi" w:hAnsiTheme="minorHAnsi" w:cstheme="minorHAnsi"/>
        </w:rPr>
        <w:t>Bezúplatné převody majetku (bez převodů mezi OSS)</w:t>
      </w:r>
      <w:bookmarkEnd w:id="86"/>
    </w:p>
    <w:p w:rsidR="00E11B84" w:rsidRDefault="00147D1A" w:rsidP="00E11B84">
      <w:r w:rsidRPr="00147D1A">
        <w:t>Nebyly žádné bezúplatné převody majetku tohoto charakteru.</w:t>
      </w:r>
    </w:p>
    <w:p w:rsidR="00466321" w:rsidRPr="00147D1A" w:rsidRDefault="00466321" w:rsidP="00E11B84"/>
    <w:p w:rsidR="00E11B84" w:rsidRPr="00466321" w:rsidRDefault="00E11B84" w:rsidP="009A77CF">
      <w:pPr>
        <w:pStyle w:val="Nadpis1"/>
        <w:numPr>
          <w:ilvl w:val="0"/>
          <w:numId w:val="6"/>
        </w:numPr>
        <w:rPr>
          <w:rFonts w:asciiTheme="minorHAnsi" w:hAnsiTheme="minorHAnsi" w:cstheme="minorHAnsi"/>
        </w:rPr>
      </w:pPr>
      <w:bookmarkStart w:id="87" w:name="_Toc124839863"/>
      <w:r w:rsidRPr="00466321">
        <w:rPr>
          <w:rFonts w:asciiTheme="minorHAnsi" w:hAnsiTheme="minorHAnsi" w:cstheme="minorHAnsi"/>
        </w:rPr>
        <w:t>Vyhodnocení výdajů z veřejných zakázek o předpokládané hodnotě nejméně 300 mil Kč</w:t>
      </w:r>
      <w:bookmarkEnd w:id="87"/>
    </w:p>
    <w:p w:rsidR="00466321" w:rsidRPr="00466321" w:rsidRDefault="00466321" w:rsidP="00466321"/>
    <w:p w:rsidR="00466321" w:rsidRDefault="00466321" w:rsidP="00466321">
      <w:r>
        <w:t xml:space="preserve">Neproběhla žádná veřejná zakázka takto velkého rozsahu. </w:t>
      </w:r>
    </w:p>
    <w:p w:rsidR="000D787C" w:rsidRDefault="000D787C" w:rsidP="00466321"/>
    <w:p w:rsidR="000D787C" w:rsidRDefault="000D787C" w:rsidP="00466321"/>
    <w:p w:rsidR="00B72C0D" w:rsidRPr="00E87914" w:rsidRDefault="00B72C0D" w:rsidP="009A77CF">
      <w:pPr>
        <w:pStyle w:val="Nadpis1"/>
        <w:numPr>
          <w:ilvl w:val="0"/>
          <w:numId w:val="6"/>
        </w:numPr>
        <w:rPr>
          <w:rFonts w:asciiTheme="minorHAnsi" w:hAnsiTheme="minorHAnsi" w:cstheme="minorHAnsi"/>
        </w:rPr>
      </w:pPr>
      <w:bookmarkStart w:id="88" w:name="_Toc124839864"/>
      <w:r w:rsidRPr="00E87914">
        <w:rPr>
          <w:rFonts w:asciiTheme="minorHAnsi" w:hAnsiTheme="minorHAnsi" w:cstheme="minorHAnsi"/>
        </w:rPr>
        <w:lastRenderedPageBreak/>
        <w:t>Specifika a ostatní</w:t>
      </w:r>
      <w:bookmarkEnd w:id="88"/>
    </w:p>
    <w:p w:rsidR="00466321" w:rsidRPr="00E87914" w:rsidRDefault="00466321" w:rsidP="00466321"/>
    <w:p w:rsidR="00744FE3" w:rsidRPr="00E87914" w:rsidRDefault="00FE554C" w:rsidP="00744FE3">
      <w:pPr>
        <w:jc w:val="both"/>
        <w:rPr>
          <w:rFonts w:cstheme="minorHAnsi"/>
          <w:b/>
          <w:sz w:val="28"/>
          <w:szCs w:val="28"/>
        </w:rPr>
      </w:pPr>
      <w:r w:rsidRPr="00E87914">
        <w:rPr>
          <w:rFonts w:cstheme="minorHAnsi"/>
          <w:b/>
          <w:sz w:val="28"/>
          <w:szCs w:val="28"/>
        </w:rPr>
        <w:t>8</w:t>
      </w:r>
      <w:r w:rsidR="00416DC3" w:rsidRPr="00E87914">
        <w:rPr>
          <w:rFonts w:cstheme="minorHAnsi"/>
          <w:b/>
          <w:sz w:val="28"/>
          <w:szCs w:val="28"/>
        </w:rPr>
        <w:t>.1</w:t>
      </w:r>
      <w:r w:rsidR="00E7386E" w:rsidRPr="00E87914">
        <w:rPr>
          <w:rFonts w:cstheme="minorHAnsi"/>
          <w:b/>
          <w:sz w:val="28"/>
          <w:szCs w:val="28"/>
        </w:rPr>
        <w:t xml:space="preserve"> </w:t>
      </w:r>
      <w:r w:rsidR="00744FE3" w:rsidRPr="00E87914">
        <w:rPr>
          <w:rFonts w:cstheme="minorHAnsi"/>
          <w:b/>
          <w:sz w:val="28"/>
          <w:szCs w:val="28"/>
        </w:rPr>
        <w:t>Inventarizace</w:t>
      </w:r>
    </w:p>
    <w:p w:rsidR="00744FE3" w:rsidRPr="00E87914" w:rsidRDefault="00744FE3" w:rsidP="00744FE3">
      <w:pPr>
        <w:jc w:val="both"/>
        <w:rPr>
          <w:rFonts w:cstheme="minorHAnsi"/>
        </w:rPr>
      </w:pPr>
      <w:r w:rsidRPr="00E87914">
        <w:rPr>
          <w:rFonts w:cstheme="minorHAnsi"/>
        </w:rPr>
        <w:t>Při provádění inventarizací hmotného i nehmotného majetku bylo postupováno ve smyslu zákona č. 563/1991 Sb. o účetnictví ve znění pozdějších předpisů, a v souladu s vyhláškou č. 410/2009 Sb., vyhlášky č. 270/2010 Sb. v platném znění, Českých účetních standardů č. 701 a 707 a v souladu s Instrukcí Ministerstva spravedlnosti ČR č. 16/2014 (č.</w:t>
      </w:r>
      <w:r w:rsidR="00ED5DAC" w:rsidRPr="00E87914">
        <w:rPr>
          <w:rFonts w:cstheme="minorHAnsi"/>
        </w:rPr>
        <w:t xml:space="preserve"> </w:t>
      </w:r>
      <w:r w:rsidR="00A0404C">
        <w:rPr>
          <w:rFonts w:cstheme="minorHAnsi"/>
        </w:rPr>
        <w:t>j. 326/2013-EO-SP z</w:t>
      </w:r>
      <w:r w:rsidRPr="00E87914">
        <w:rPr>
          <w:rFonts w:cstheme="minorHAnsi"/>
        </w:rPr>
        <w:t xml:space="preserve"> 15.</w:t>
      </w:r>
      <w:r w:rsidR="00A0404C">
        <w:rPr>
          <w:rFonts w:cstheme="minorHAnsi"/>
        </w:rPr>
        <w:t xml:space="preserve"> </w:t>
      </w:r>
      <w:r w:rsidRPr="00E87914">
        <w:rPr>
          <w:rFonts w:cstheme="minorHAnsi"/>
        </w:rPr>
        <w:t>1.</w:t>
      </w:r>
      <w:r w:rsidR="00A0404C">
        <w:rPr>
          <w:rFonts w:cstheme="minorHAnsi"/>
        </w:rPr>
        <w:t xml:space="preserve"> </w:t>
      </w:r>
      <w:r w:rsidRPr="00E87914">
        <w:rPr>
          <w:rFonts w:cstheme="minorHAnsi"/>
        </w:rPr>
        <w:t>2014</w:t>
      </w:r>
      <w:r w:rsidR="00A0404C">
        <w:rPr>
          <w:rFonts w:cstheme="minorHAnsi"/>
        </w:rPr>
        <w:t>)</w:t>
      </w:r>
      <w:r w:rsidRPr="00E87914">
        <w:rPr>
          <w:rFonts w:cstheme="minorHAnsi"/>
        </w:rPr>
        <w:t xml:space="preserve"> o provádění inventarizace majetku a závazků, která byla změněna Instrukcí Ministerstva sp</w:t>
      </w:r>
      <w:r w:rsidR="00A0404C">
        <w:rPr>
          <w:rFonts w:cstheme="minorHAnsi"/>
        </w:rPr>
        <w:t>ravedlnosti ČR č. 10/2018 z</w:t>
      </w:r>
      <w:r w:rsidRPr="00E87914">
        <w:rPr>
          <w:rFonts w:cstheme="minorHAnsi"/>
        </w:rPr>
        <w:t xml:space="preserve"> 25. 10. 2018 č.</w:t>
      </w:r>
      <w:r w:rsidR="00ED5DAC" w:rsidRPr="00E87914">
        <w:rPr>
          <w:rFonts w:cstheme="minorHAnsi"/>
        </w:rPr>
        <w:t xml:space="preserve"> </w:t>
      </w:r>
      <w:r w:rsidRPr="00E87914">
        <w:rPr>
          <w:rFonts w:cstheme="minorHAnsi"/>
        </w:rPr>
        <w:t xml:space="preserve">j. MSP-75/2018-EO-SP. Při inventarizaci nebyly zjištěny žádné inventurní rozdíly mezi stavem skutečným a účetním. </w:t>
      </w:r>
    </w:p>
    <w:p w:rsidR="00744FE3" w:rsidRPr="00E87914" w:rsidRDefault="00466321" w:rsidP="00744FE3">
      <w:pPr>
        <w:jc w:val="both"/>
        <w:rPr>
          <w:rFonts w:cstheme="minorHAnsi"/>
        </w:rPr>
      </w:pPr>
      <w:r w:rsidRPr="00E87914">
        <w:rPr>
          <w:rFonts w:cstheme="minorHAnsi"/>
        </w:rPr>
        <w:t>V roce 2022</w:t>
      </w:r>
      <w:r w:rsidR="00744FE3" w:rsidRPr="00E87914">
        <w:rPr>
          <w:rFonts w:cstheme="minorHAnsi"/>
        </w:rPr>
        <w:t xml:space="preserve"> byly prováděny kontroly pokladny vždy při předávání pokladny v době nemoci nebo dovolené pracovnice pokladny. Dále byly provedeny k 31. 12. 202</w:t>
      </w:r>
      <w:r w:rsidRPr="00E87914">
        <w:rPr>
          <w:rFonts w:cstheme="minorHAnsi"/>
        </w:rPr>
        <w:t>2</w:t>
      </w:r>
      <w:r w:rsidR="00744FE3" w:rsidRPr="00E87914">
        <w:rPr>
          <w:rFonts w:cstheme="minorHAnsi"/>
        </w:rPr>
        <w:t xml:space="preserve"> inventarizace majetku, nedokončeného dlouhodobého majetku, poskytnutých záloh na dlouhodobý majetek, poskytnutých provozních záloh, bankovních účtů, rezervního fondu, pohonných hmot, platebních karet, skladových zásob, knižních publikací, cizích peněz, soudních úschov, trvale odepsaných pohledávek a aktivních pohledávek.</w:t>
      </w:r>
    </w:p>
    <w:p w:rsidR="00744FE3" w:rsidRDefault="00744FE3" w:rsidP="00744FE3">
      <w:pPr>
        <w:jc w:val="both"/>
        <w:rPr>
          <w:rFonts w:cstheme="minorHAnsi"/>
        </w:rPr>
      </w:pPr>
      <w:r w:rsidRPr="00E87914">
        <w:rPr>
          <w:rFonts w:cstheme="minorHAnsi"/>
        </w:rPr>
        <w:t>Všechny stavy majetku jsou vyčísleny v inventurách, k</w:t>
      </w:r>
      <w:r w:rsidR="00E87914" w:rsidRPr="00E87914">
        <w:rPr>
          <w:rFonts w:cstheme="minorHAnsi"/>
        </w:rPr>
        <w:t>teré proběhly ke dni 31. 12. 2022</w:t>
      </w:r>
      <w:r w:rsidR="00186868">
        <w:rPr>
          <w:rFonts w:cstheme="minorHAnsi"/>
        </w:rPr>
        <w:t xml:space="preserve">. Veškeré záznamy o </w:t>
      </w:r>
      <w:r w:rsidRPr="00E87914">
        <w:rPr>
          <w:rFonts w:cstheme="minorHAnsi"/>
        </w:rPr>
        <w:t xml:space="preserve"> inventurách jsou uloženy u referentky pro hospodářské věci. </w:t>
      </w:r>
    </w:p>
    <w:p w:rsidR="000D787C" w:rsidRPr="00E87914" w:rsidRDefault="000D787C" w:rsidP="00744FE3">
      <w:pPr>
        <w:jc w:val="both"/>
        <w:rPr>
          <w:rFonts w:cstheme="minorHAnsi"/>
          <w:u w:val="single"/>
        </w:rPr>
      </w:pPr>
    </w:p>
    <w:p w:rsidR="00744FE3" w:rsidRPr="00ED5733" w:rsidRDefault="00FE554C" w:rsidP="00744FE3">
      <w:pPr>
        <w:jc w:val="both"/>
        <w:rPr>
          <w:rFonts w:cstheme="minorHAnsi"/>
          <w:b/>
          <w:sz w:val="28"/>
          <w:szCs w:val="28"/>
        </w:rPr>
      </w:pPr>
      <w:r w:rsidRPr="00ED5733">
        <w:rPr>
          <w:rFonts w:cstheme="minorHAnsi"/>
          <w:b/>
          <w:sz w:val="28"/>
          <w:szCs w:val="28"/>
        </w:rPr>
        <w:t>8</w:t>
      </w:r>
      <w:r w:rsidR="00E7386E" w:rsidRPr="00ED5733">
        <w:rPr>
          <w:rFonts w:cstheme="minorHAnsi"/>
          <w:b/>
          <w:sz w:val="28"/>
          <w:szCs w:val="28"/>
        </w:rPr>
        <w:t>.</w:t>
      </w:r>
      <w:r w:rsidR="006F429E" w:rsidRPr="00ED5733">
        <w:rPr>
          <w:rFonts w:cstheme="minorHAnsi"/>
          <w:b/>
          <w:sz w:val="28"/>
          <w:szCs w:val="28"/>
        </w:rPr>
        <w:t>2</w:t>
      </w:r>
      <w:r w:rsidR="00E7386E" w:rsidRPr="00ED5733">
        <w:rPr>
          <w:rFonts w:cstheme="minorHAnsi"/>
          <w:b/>
          <w:sz w:val="28"/>
          <w:szCs w:val="28"/>
        </w:rPr>
        <w:t xml:space="preserve"> </w:t>
      </w:r>
      <w:r w:rsidR="00744FE3" w:rsidRPr="00ED5733">
        <w:rPr>
          <w:rFonts w:cstheme="minorHAnsi"/>
          <w:b/>
          <w:sz w:val="28"/>
          <w:szCs w:val="28"/>
        </w:rPr>
        <w:t>Správa dlouhodobého hmotného a nehmotného majetku</w:t>
      </w:r>
    </w:p>
    <w:p w:rsidR="00744FE3" w:rsidRPr="00ED5733" w:rsidRDefault="00744FE3" w:rsidP="006F429E">
      <w:pPr>
        <w:jc w:val="both"/>
        <w:rPr>
          <w:rFonts w:cstheme="minorHAnsi"/>
        </w:rPr>
      </w:pPr>
      <w:r w:rsidRPr="00ED5733">
        <w:rPr>
          <w:rFonts w:cstheme="minorHAnsi"/>
        </w:rPr>
        <w:t>Okresní soud v Chebu věnoval správě dlouhodobého i drobného hmotného i nehmotného majetku, jeho ochraně a údržbě velkou pozornost. Zdejší soud kromě vlastního majetku využíval i cizí majetek a to Ministerstva spravedlnosti ČR. Veškerý majetek byl včas a řádně zaevidován v systému IRES</w:t>
      </w:r>
      <w:r w:rsidR="006F429E" w:rsidRPr="00ED5733">
        <w:rPr>
          <w:rFonts w:cstheme="minorHAnsi"/>
        </w:rPr>
        <w:t xml:space="preserve">. </w:t>
      </w:r>
    </w:p>
    <w:p w:rsidR="00491F29" w:rsidRPr="00ED5733" w:rsidRDefault="00E87914" w:rsidP="006F429E">
      <w:pPr>
        <w:jc w:val="both"/>
        <w:rPr>
          <w:rFonts w:cstheme="minorHAnsi"/>
          <w:b/>
        </w:rPr>
      </w:pPr>
      <w:r w:rsidRPr="00ED5733">
        <w:rPr>
          <w:rFonts w:cstheme="minorHAnsi"/>
          <w:b/>
        </w:rPr>
        <w:t>V roce 2022</w:t>
      </w:r>
      <w:r w:rsidR="00491F29" w:rsidRPr="00ED5733">
        <w:rPr>
          <w:rFonts w:cstheme="minorHAnsi"/>
          <w:b/>
        </w:rPr>
        <w:t xml:space="preserve"> byl pořízen majetek v celkové výši </w:t>
      </w:r>
      <w:r w:rsidRPr="00ED5733">
        <w:rPr>
          <w:rFonts w:cstheme="minorHAnsi"/>
          <w:b/>
        </w:rPr>
        <w:t xml:space="preserve"> 516.572,56</w:t>
      </w:r>
      <w:r w:rsidR="000D787C">
        <w:rPr>
          <w:rFonts w:cstheme="minorHAnsi"/>
          <w:b/>
        </w:rPr>
        <w:t xml:space="preserve"> Kč</w:t>
      </w:r>
    </w:p>
    <w:p w:rsidR="00491F29" w:rsidRPr="00ED5733" w:rsidRDefault="00491F29" w:rsidP="006F429E">
      <w:pPr>
        <w:jc w:val="both"/>
        <w:rPr>
          <w:rFonts w:cstheme="minorHAnsi"/>
        </w:rPr>
      </w:pPr>
      <w:r w:rsidRPr="00ED5733">
        <w:rPr>
          <w:rFonts w:cstheme="minorHAnsi"/>
        </w:rPr>
        <w:t xml:space="preserve">Dlouhodobý investiční majetek (druh 022)      </w:t>
      </w:r>
      <w:r w:rsidR="00E87914" w:rsidRPr="00ED5733">
        <w:rPr>
          <w:rFonts w:cstheme="minorHAnsi"/>
        </w:rPr>
        <w:t xml:space="preserve">         </w:t>
      </w:r>
      <w:r w:rsidR="000D787C">
        <w:rPr>
          <w:rFonts w:cstheme="minorHAnsi"/>
        </w:rPr>
        <w:t xml:space="preserve">    </w:t>
      </w:r>
      <w:r w:rsidR="00E87914" w:rsidRPr="00ED5733">
        <w:rPr>
          <w:rFonts w:cstheme="minorHAnsi"/>
        </w:rPr>
        <w:t xml:space="preserve">  </w:t>
      </w:r>
      <w:r w:rsidRPr="00ED5733">
        <w:rPr>
          <w:rFonts w:cstheme="minorHAnsi"/>
        </w:rPr>
        <w:t xml:space="preserve">  </w:t>
      </w:r>
      <w:r w:rsidR="00E87914" w:rsidRPr="00ED5733">
        <w:rPr>
          <w:rFonts w:cstheme="minorHAnsi"/>
        </w:rPr>
        <w:t>0,00</w:t>
      </w:r>
      <w:r w:rsidRPr="00ED5733">
        <w:rPr>
          <w:rFonts w:cstheme="minorHAnsi"/>
        </w:rPr>
        <w:t xml:space="preserve"> Kč</w:t>
      </w:r>
    </w:p>
    <w:p w:rsidR="001706A8" w:rsidRPr="00ED5733" w:rsidRDefault="001706A8" w:rsidP="006F429E">
      <w:pPr>
        <w:jc w:val="both"/>
        <w:rPr>
          <w:rFonts w:cstheme="minorHAnsi"/>
        </w:rPr>
      </w:pPr>
    </w:p>
    <w:p w:rsidR="00491F29" w:rsidRPr="00ED5733" w:rsidRDefault="00491F29" w:rsidP="006F429E">
      <w:pPr>
        <w:jc w:val="both"/>
        <w:rPr>
          <w:rFonts w:cstheme="minorHAnsi"/>
        </w:rPr>
      </w:pPr>
      <w:r w:rsidRPr="00ED5733">
        <w:rPr>
          <w:rFonts w:cstheme="minorHAnsi"/>
        </w:rPr>
        <w:t>Drobný majetek (druh 028)</w:t>
      </w:r>
      <w:r w:rsidRPr="00ED5733">
        <w:rPr>
          <w:rFonts w:cstheme="minorHAnsi"/>
        </w:rPr>
        <w:tab/>
      </w:r>
      <w:r w:rsidRPr="00ED5733">
        <w:rPr>
          <w:rFonts w:cstheme="minorHAnsi"/>
        </w:rPr>
        <w:tab/>
      </w:r>
      <w:r w:rsidRPr="00ED5733">
        <w:rPr>
          <w:rFonts w:cstheme="minorHAnsi"/>
        </w:rPr>
        <w:tab/>
      </w:r>
      <w:r w:rsidR="000D787C">
        <w:rPr>
          <w:rFonts w:cstheme="minorHAnsi"/>
        </w:rPr>
        <w:t xml:space="preserve">  </w:t>
      </w:r>
      <w:r w:rsidR="00E87914" w:rsidRPr="00ED5733">
        <w:rPr>
          <w:rFonts w:cstheme="minorHAnsi"/>
        </w:rPr>
        <w:t>486.645,53</w:t>
      </w:r>
      <w:r w:rsidRPr="00ED5733">
        <w:rPr>
          <w:rFonts w:cstheme="minorHAnsi"/>
        </w:rPr>
        <w:t>Kč</w:t>
      </w:r>
    </w:p>
    <w:p w:rsidR="00E87914" w:rsidRPr="00ED5733" w:rsidRDefault="001706A8" w:rsidP="00E87914">
      <w:pPr>
        <w:jc w:val="both"/>
        <w:rPr>
          <w:rFonts w:cstheme="minorHAnsi"/>
        </w:rPr>
      </w:pPr>
      <w:r w:rsidRPr="00ED5733">
        <w:rPr>
          <w:rFonts w:cstheme="minorHAnsi"/>
        </w:rPr>
        <w:t xml:space="preserve">Jde zejména o pořízení  </w:t>
      </w:r>
      <w:r w:rsidR="00E87914" w:rsidRPr="00ED5733">
        <w:rPr>
          <w:rFonts w:cstheme="minorHAnsi"/>
        </w:rPr>
        <w:t>25 počítačových sestav v celkové hodnotě 395.521,77 Kč, kancelářských židlí (33.985,00 Kč), tiskáren ( 31.595,12 Kč) a skartovací stroj na utajované věci (7.437,00 Kč).</w:t>
      </w:r>
    </w:p>
    <w:p w:rsidR="00491F29" w:rsidRPr="00ED5733" w:rsidRDefault="00491F29" w:rsidP="006F429E">
      <w:pPr>
        <w:jc w:val="both"/>
        <w:rPr>
          <w:rFonts w:cstheme="minorHAnsi"/>
        </w:rPr>
      </w:pPr>
      <w:r w:rsidRPr="00ED5733">
        <w:rPr>
          <w:rFonts w:cstheme="minorHAnsi"/>
        </w:rPr>
        <w:t>Operativní majetek (druh 902)</w:t>
      </w:r>
      <w:r w:rsidRPr="00ED5733">
        <w:rPr>
          <w:rFonts w:cstheme="minorHAnsi"/>
        </w:rPr>
        <w:tab/>
      </w:r>
      <w:r w:rsidRPr="00ED5733">
        <w:rPr>
          <w:rFonts w:cstheme="minorHAnsi"/>
        </w:rPr>
        <w:tab/>
        <w:t xml:space="preserve"> </w:t>
      </w:r>
      <w:r w:rsidRPr="00ED5733">
        <w:rPr>
          <w:rFonts w:cstheme="minorHAnsi"/>
        </w:rPr>
        <w:tab/>
      </w:r>
      <w:r w:rsidR="000D787C">
        <w:rPr>
          <w:rFonts w:cstheme="minorHAnsi"/>
        </w:rPr>
        <w:t xml:space="preserve"> </w:t>
      </w:r>
      <w:r w:rsidR="00E87914" w:rsidRPr="00ED5733">
        <w:rPr>
          <w:rFonts w:cstheme="minorHAnsi"/>
        </w:rPr>
        <w:t xml:space="preserve">  29.927,03 Kč</w:t>
      </w:r>
    </w:p>
    <w:p w:rsidR="001706A8" w:rsidRDefault="001706A8" w:rsidP="006F429E">
      <w:pPr>
        <w:jc w:val="both"/>
        <w:rPr>
          <w:rFonts w:cstheme="minorHAnsi"/>
        </w:rPr>
      </w:pPr>
      <w:r w:rsidRPr="00ED5733">
        <w:rPr>
          <w:rFonts w:cstheme="minorHAnsi"/>
        </w:rPr>
        <w:t>Jde zejm</w:t>
      </w:r>
      <w:r w:rsidR="00E87914" w:rsidRPr="00ED5733">
        <w:rPr>
          <w:rFonts w:cstheme="minorHAnsi"/>
        </w:rPr>
        <w:t xml:space="preserve">éna o pořízení 5 ks velkokapacitních děrovaček (10.278,95 Kč), konferenčního stolku, </w:t>
      </w:r>
      <w:r w:rsidR="00ED5733" w:rsidRPr="00ED5733">
        <w:rPr>
          <w:rFonts w:cstheme="minorHAnsi"/>
        </w:rPr>
        <w:t xml:space="preserve">pákové řezačky papíru, digitálních stolních telefonů, talárů a rychlovarných konvic. </w:t>
      </w:r>
    </w:p>
    <w:p w:rsidR="000D787C" w:rsidRPr="00ED5733" w:rsidRDefault="000D787C" w:rsidP="006F429E">
      <w:pPr>
        <w:jc w:val="both"/>
        <w:rPr>
          <w:rFonts w:cstheme="minorHAnsi"/>
        </w:rPr>
      </w:pPr>
    </w:p>
    <w:p w:rsidR="001A709F" w:rsidRPr="00ED5733" w:rsidRDefault="00873122" w:rsidP="009A77CF">
      <w:pPr>
        <w:pStyle w:val="Nadpis1"/>
        <w:numPr>
          <w:ilvl w:val="0"/>
          <w:numId w:val="6"/>
        </w:numPr>
        <w:rPr>
          <w:rFonts w:asciiTheme="minorHAnsi" w:hAnsiTheme="minorHAnsi" w:cstheme="minorHAnsi"/>
        </w:rPr>
      </w:pPr>
      <w:bookmarkStart w:id="89" w:name="_Toc534878048"/>
      <w:bookmarkStart w:id="90" w:name="_Toc124839865"/>
      <w:r w:rsidRPr="00ED5733">
        <w:rPr>
          <w:rFonts w:asciiTheme="minorHAnsi" w:hAnsiTheme="minorHAnsi" w:cstheme="minorHAnsi"/>
        </w:rPr>
        <w:lastRenderedPageBreak/>
        <w:t>Výsledky vnitřních a vnějších kontrol</w:t>
      </w:r>
      <w:bookmarkEnd w:id="89"/>
      <w:bookmarkEnd w:id="90"/>
    </w:p>
    <w:p w:rsidR="00D12DAC" w:rsidRDefault="00D12DAC" w:rsidP="00D12DAC">
      <w:pPr>
        <w:pStyle w:val="Odstavecseseznamem"/>
        <w:rPr>
          <w:rFonts w:cs="Arial"/>
        </w:rPr>
      </w:pPr>
    </w:p>
    <w:p w:rsidR="00562405" w:rsidRDefault="00562405" w:rsidP="00562405">
      <w:pPr>
        <w:pStyle w:val="Odstavecseseznamem"/>
        <w:ind w:hanging="720"/>
        <w:rPr>
          <w:rFonts w:cstheme="minorHAnsi"/>
          <w:b/>
        </w:rPr>
      </w:pPr>
      <w:r>
        <w:rPr>
          <w:rFonts w:cstheme="minorHAnsi"/>
          <w:b/>
        </w:rPr>
        <w:t>Vnitřní kontroly</w:t>
      </w:r>
    </w:p>
    <w:p w:rsidR="00562405" w:rsidRDefault="00562405" w:rsidP="00562405">
      <w:pPr>
        <w:autoSpaceDE w:val="0"/>
        <w:autoSpaceDN w:val="0"/>
        <w:adjustRightInd w:val="0"/>
        <w:spacing w:after="0"/>
        <w:jc w:val="both"/>
        <w:rPr>
          <w:rFonts w:cstheme="minorHAnsi"/>
        </w:rPr>
      </w:pPr>
      <w:r>
        <w:rPr>
          <w:rFonts w:cstheme="minorHAnsi"/>
        </w:rPr>
        <w:t xml:space="preserve">Spr 1451/2022 – 5. 12. 2022 Krajský soud v Plzni  zahájil veřejnosprávní  kontrolu </w:t>
      </w:r>
      <w:r>
        <w:rPr>
          <w:rFonts w:cstheme="minorHAnsi"/>
          <w:b/>
        </w:rPr>
        <w:t xml:space="preserve"> </w:t>
      </w:r>
      <w:r>
        <w:rPr>
          <w:rFonts w:cstheme="minorHAnsi"/>
        </w:rPr>
        <w:t xml:space="preserve"> hospodaření s veřejnými prostředky v letech 2019 – 2021. Kontrola stále probíhá. </w:t>
      </w:r>
    </w:p>
    <w:p w:rsidR="00562405" w:rsidRDefault="00562405" w:rsidP="00562405">
      <w:pPr>
        <w:autoSpaceDE w:val="0"/>
        <w:autoSpaceDN w:val="0"/>
        <w:adjustRightInd w:val="0"/>
        <w:spacing w:after="0"/>
        <w:jc w:val="both"/>
        <w:rPr>
          <w:rFonts w:cstheme="minorHAnsi"/>
        </w:rPr>
      </w:pPr>
    </w:p>
    <w:p w:rsidR="00562405" w:rsidRDefault="00562405" w:rsidP="00562405">
      <w:pPr>
        <w:autoSpaceDE w:val="0"/>
        <w:autoSpaceDN w:val="0"/>
        <w:adjustRightInd w:val="0"/>
        <w:spacing w:after="0"/>
        <w:jc w:val="both"/>
        <w:rPr>
          <w:rFonts w:cstheme="minorHAnsi"/>
        </w:rPr>
      </w:pPr>
    </w:p>
    <w:p w:rsidR="00562405" w:rsidRDefault="00562405" w:rsidP="00562405">
      <w:pPr>
        <w:rPr>
          <w:rFonts w:cstheme="minorHAnsi"/>
          <w:b/>
          <w:szCs w:val="16"/>
        </w:rPr>
      </w:pPr>
      <w:r>
        <w:rPr>
          <w:rFonts w:cstheme="minorHAnsi"/>
          <w:b/>
          <w:szCs w:val="16"/>
        </w:rPr>
        <w:t>Vnější kontroly:</w:t>
      </w:r>
    </w:p>
    <w:p w:rsidR="00562405" w:rsidRDefault="00562405" w:rsidP="00562405">
      <w:pPr>
        <w:autoSpaceDE w:val="0"/>
        <w:autoSpaceDN w:val="0"/>
        <w:adjustRightInd w:val="0"/>
        <w:spacing w:after="0"/>
        <w:jc w:val="both"/>
        <w:rPr>
          <w:rFonts w:cstheme="minorHAnsi"/>
        </w:rPr>
      </w:pPr>
      <w:r>
        <w:rPr>
          <w:rFonts w:cstheme="minorHAnsi"/>
        </w:rPr>
        <w:t xml:space="preserve">Spr 649/2022 – 2. 5. 2022 – 2. 6. 2022 Všeobecná zdravotní pojišťovna, pobočka Tachov provedla kontrolu plateb pojistného na veřejné zdravotní pojištění a dodržování ostatních povinností plátce pojistného  za období 07/2018 až 04/2022. Při kontrole zjištěn přeplatek  ve výši 814,00  Kč.  Žádné jiné závady nebyly kontrolou zjištěny. </w:t>
      </w:r>
    </w:p>
    <w:p w:rsidR="00562405" w:rsidRDefault="00562405" w:rsidP="00562405">
      <w:pPr>
        <w:spacing w:after="0"/>
        <w:ind w:left="720"/>
        <w:rPr>
          <w:rFonts w:cstheme="minorHAnsi"/>
          <w:szCs w:val="24"/>
        </w:rPr>
      </w:pPr>
    </w:p>
    <w:p w:rsidR="00562405" w:rsidRDefault="00562405" w:rsidP="00562405">
      <w:pPr>
        <w:autoSpaceDE w:val="0"/>
        <w:autoSpaceDN w:val="0"/>
        <w:adjustRightInd w:val="0"/>
        <w:spacing w:after="0"/>
        <w:jc w:val="both"/>
        <w:rPr>
          <w:rFonts w:cstheme="minorHAnsi"/>
        </w:rPr>
      </w:pPr>
      <w:r>
        <w:rPr>
          <w:rFonts w:cstheme="minorHAnsi"/>
        </w:rPr>
        <w:t>Spr 648/2022 – 23. 5. 2022 – 30. 5. 2022 Kontrola plnění ustanovení zákonů a předpisů o PO a BOZP provedená bezpečnostním technikem Ministerstva spravedlnosti ČR. Kontrolou nebyly nezjištěny žádné závady.</w:t>
      </w:r>
    </w:p>
    <w:p w:rsidR="00562405" w:rsidRDefault="00562405" w:rsidP="00562405">
      <w:pPr>
        <w:pStyle w:val="Odstavecseseznamem"/>
        <w:rPr>
          <w:rFonts w:cstheme="minorHAnsi"/>
        </w:rPr>
      </w:pPr>
    </w:p>
    <w:p w:rsidR="00562405" w:rsidRDefault="00562405" w:rsidP="00562405">
      <w:pPr>
        <w:autoSpaceDE w:val="0"/>
        <w:autoSpaceDN w:val="0"/>
        <w:adjustRightInd w:val="0"/>
        <w:spacing w:after="0"/>
        <w:jc w:val="both"/>
        <w:rPr>
          <w:rFonts w:cstheme="minorHAnsi"/>
        </w:rPr>
      </w:pPr>
      <w:r>
        <w:rPr>
          <w:rFonts w:cstheme="minorHAnsi"/>
        </w:rPr>
        <w:t>Spr 927/2022  – 18. 7. 2022 Kontrola Hasičského záchranného sboru Karlovarského kraje – plnění povinností stanovených předpisy o požární ochraně. Kontrolou bylo doporučeno aktualizovat předpisy (požární poplachové směrnice a evakuační plán). Vnitřní předpisy byly aktualizovány.</w:t>
      </w:r>
    </w:p>
    <w:p w:rsidR="00562405" w:rsidRDefault="00562405" w:rsidP="00562405">
      <w:pPr>
        <w:pStyle w:val="Odstavecseseznamem"/>
        <w:rPr>
          <w:rFonts w:cstheme="minorHAnsi"/>
        </w:rPr>
      </w:pPr>
    </w:p>
    <w:p w:rsidR="00562405" w:rsidRDefault="00562405" w:rsidP="00562405">
      <w:pPr>
        <w:autoSpaceDE w:val="0"/>
        <w:autoSpaceDN w:val="0"/>
        <w:adjustRightInd w:val="0"/>
        <w:spacing w:after="0"/>
        <w:jc w:val="both"/>
        <w:rPr>
          <w:rFonts w:cstheme="minorHAnsi"/>
        </w:rPr>
      </w:pPr>
      <w:r>
        <w:rPr>
          <w:rFonts w:cstheme="minorHAnsi"/>
        </w:rPr>
        <w:t xml:space="preserve">Spr 1092/2022 – 7. 9. 2022 Kontrola Krajské hygienické stanice Karlovarského kraje, oddělení hygieny práce Cheb – plnění povinností k ochraně zdraví pří práci. Kontrolou bylo nařízeno provedení měření rizikových faktorů pracovních podmínek lokální svalové zátěže na vybraných pozicích  (zapisovatelka, protokolující úřednice a rejstříková vedoucí) a podle výsledků jejich přeřazení do kategorie 3.  Odborným měřením firmou BZ LAB s.r.o. bylo doporučeno předmětné práce zařadit do kategorie 3. V současné době soud podniká kroky k tomuto přeřazení. </w:t>
      </w:r>
    </w:p>
    <w:p w:rsidR="00562405" w:rsidRDefault="00562405" w:rsidP="00562405">
      <w:pPr>
        <w:rPr>
          <w:color w:val="1F497D"/>
        </w:rPr>
      </w:pPr>
    </w:p>
    <w:p w:rsidR="00562405" w:rsidRDefault="00562405" w:rsidP="00562405">
      <w:pPr>
        <w:rPr>
          <w:rFonts w:ascii="Garamond" w:hAnsi="Garamond" w:cs="Times New Roman"/>
          <w:sz w:val="24"/>
          <w:szCs w:val="24"/>
        </w:rPr>
      </w:pPr>
    </w:p>
    <w:p w:rsidR="00D12DAC" w:rsidRDefault="00D12DAC" w:rsidP="00A22446">
      <w:pPr>
        <w:autoSpaceDE w:val="0"/>
        <w:autoSpaceDN w:val="0"/>
        <w:adjustRightInd w:val="0"/>
        <w:spacing w:after="0" w:line="240" w:lineRule="auto"/>
        <w:ind w:left="720"/>
        <w:jc w:val="both"/>
        <w:rPr>
          <w:rFonts w:cs="Arial"/>
        </w:rPr>
      </w:pPr>
    </w:p>
    <w:p w:rsidR="00D12DAC" w:rsidRDefault="00D12DAC" w:rsidP="00D12DAC">
      <w:pPr>
        <w:pStyle w:val="Odstavecseseznamem"/>
        <w:rPr>
          <w:rFonts w:cs="Arial"/>
        </w:rPr>
      </w:pPr>
    </w:p>
    <w:p w:rsidR="00E11B84" w:rsidRPr="00C9684A" w:rsidRDefault="00E11B84" w:rsidP="00CD5942">
      <w:pPr>
        <w:spacing w:before="120" w:after="120"/>
        <w:jc w:val="both"/>
        <w:rPr>
          <w:rFonts w:cstheme="minorHAnsi"/>
          <w:color w:val="FF0000"/>
        </w:rPr>
      </w:pPr>
    </w:p>
    <w:sectPr w:rsidR="00E11B84" w:rsidRPr="00C9684A" w:rsidSect="006C622A">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446" w:rsidRDefault="00A22446" w:rsidP="008251D4">
      <w:pPr>
        <w:spacing w:after="0" w:line="240" w:lineRule="auto"/>
      </w:pPr>
      <w:r>
        <w:separator/>
      </w:r>
    </w:p>
  </w:endnote>
  <w:endnote w:type="continuationSeparator" w:id="0">
    <w:p w:rsidR="00A22446" w:rsidRDefault="00A22446" w:rsidP="0082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375957"/>
      <w:docPartObj>
        <w:docPartGallery w:val="Page Numbers (Bottom of Page)"/>
        <w:docPartUnique/>
      </w:docPartObj>
    </w:sdtPr>
    <w:sdtEndPr/>
    <w:sdtContent>
      <w:p w:rsidR="00A22446" w:rsidRDefault="00A22446">
        <w:pPr>
          <w:pStyle w:val="Zpat"/>
          <w:jc w:val="center"/>
        </w:pPr>
        <w:r>
          <w:fldChar w:fldCharType="begin"/>
        </w:r>
        <w:r>
          <w:instrText>PAGE   \* MERGEFORMAT</w:instrText>
        </w:r>
        <w:r>
          <w:fldChar w:fldCharType="separate"/>
        </w:r>
        <w:r w:rsidR="00B85DFE">
          <w:rPr>
            <w:noProof/>
          </w:rPr>
          <w:t>41</w:t>
        </w:r>
        <w:r>
          <w:fldChar w:fldCharType="end"/>
        </w:r>
      </w:p>
    </w:sdtContent>
  </w:sdt>
  <w:p w:rsidR="00A22446" w:rsidRDefault="00A224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586210"/>
      <w:docPartObj>
        <w:docPartGallery w:val="Page Numbers (Bottom of Page)"/>
        <w:docPartUnique/>
      </w:docPartObj>
    </w:sdtPr>
    <w:sdtEndPr/>
    <w:sdtContent>
      <w:p w:rsidR="00A22446" w:rsidRDefault="00A22446">
        <w:pPr>
          <w:pStyle w:val="Zpat"/>
          <w:jc w:val="center"/>
        </w:pPr>
        <w:r>
          <w:fldChar w:fldCharType="begin"/>
        </w:r>
        <w:r>
          <w:instrText>PAGE   \* MERGEFORMAT</w:instrText>
        </w:r>
        <w:r>
          <w:fldChar w:fldCharType="separate"/>
        </w:r>
        <w:r w:rsidR="00B85DFE">
          <w:rPr>
            <w:noProof/>
          </w:rPr>
          <w:t>35</w:t>
        </w:r>
        <w:r>
          <w:fldChar w:fldCharType="end"/>
        </w:r>
      </w:p>
    </w:sdtContent>
  </w:sdt>
  <w:p w:rsidR="00A22446" w:rsidRDefault="00A224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446" w:rsidRDefault="00A22446" w:rsidP="008251D4">
      <w:pPr>
        <w:spacing w:after="0" w:line="240" w:lineRule="auto"/>
      </w:pPr>
      <w:r>
        <w:separator/>
      </w:r>
    </w:p>
  </w:footnote>
  <w:footnote w:type="continuationSeparator" w:id="0">
    <w:p w:rsidR="00A22446" w:rsidRDefault="00A22446" w:rsidP="00825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397"/>
    <w:multiLevelType w:val="hybridMultilevel"/>
    <w:tmpl w:val="85DCD0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69577E"/>
    <w:multiLevelType w:val="hybridMultilevel"/>
    <w:tmpl w:val="797CF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04887"/>
    <w:multiLevelType w:val="hybridMultilevel"/>
    <w:tmpl w:val="F1B40EA2"/>
    <w:lvl w:ilvl="0" w:tplc="DA442446">
      <w:start w:val="517"/>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810185"/>
    <w:multiLevelType w:val="hybridMultilevel"/>
    <w:tmpl w:val="20523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B3F77"/>
    <w:multiLevelType w:val="hybridMultilevel"/>
    <w:tmpl w:val="1FB4A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343B74"/>
    <w:multiLevelType w:val="hybridMultilevel"/>
    <w:tmpl w:val="8488F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CB06D7"/>
    <w:multiLevelType w:val="multilevel"/>
    <w:tmpl w:val="9508C4F0"/>
    <w:lvl w:ilvl="0">
      <w:start w:val="3"/>
      <w:numFmt w:val="decimal"/>
      <w:lvlText w:val="%1"/>
      <w:lvlJc w:val="left"/>
      <w:pPr>
        <w:ind w:left="360" w:hanging="360"/>
      </w:pPr>
      <w:rPr>
        <w:rFonts w:hint="default"/>
      </w:rPr>
    </w:lvl>
    <w:lvl w:ilvl="1">
      <w:start w:val="1"/>
      <w:numFmt w:val="decimal"/>
      <w:pStyle w:val="Nadpis2"/>
      <w:lvlText w:val="%1.%2"/>
      <w:lvlJc w:val="left"/>
      <w:pPr>
        <w:ind w:left="720" w:hanging="720"/>
      </w:pPr>
      <w:rPr>
        <w:rFonts w:hint="default"/>
      </w:rPr>
    </w:lvl>
    <w:lvl w:ilvl="2">
      <w:start w:val="1"/>
      <w:numFmt w:val="decimal"/>
      <w:pStyle w:val="Nadpis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90970E9"/>
    <w:multiLevelType w:val="hybridMultilevel"/>
    <w:tmpl w:val="E0D6F9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24550D4"/>
    <w:multiLevelType w:val="hybridMultilevel"/>
    <w:tmpl w:val="E5EC46A8"/>
    <w:lvl w:ilvl="0" w:tplc="DB40BB7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4811C0"/>
    <w:multiLevelType w:val="multilevel"/>
    <w:tmpl w:val="E9C01CBE"/>
    <w:lvl w:ilvl="0">
      <w:start w:val="9"/>
      <w:numFmt w:val="decimal"/>
      <w:pStyle w:val="Nadpis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379D2FB7"/>
    <w:multiLevelType w:val="hybridMultilevel"/>
    <w:tmpl w:val="50763520"/>
    <w:lvl w:ilvl="0" w:tplc="35F4180E">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397A4160"/>
    <w:multiLevelType w:val="hybridMultilevel"/>
    <w:tmpl w:val="7E8E9592"/>
    <w:lvl w:ilvl="0" w:tplc="A2B2FB90">
      <w:start w:val="2"/>
      <w:numFmt w:val="bullet"/>
      <w:lvlText w:val="-"/>
      <w:lvlJc w:val="left"/>
      <w:pPr>
        <w:ind w:left="1778"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33262B"/>
    <w:multiLevelType w:val="hybridMultilevel"/>
    <w:tmpl w:val="37088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D318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FE541C"/>
    <w:multiLevelType w:val="hybridMultilevel"/>
    <w:tmpl w:val="6DAE1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177F17"/>
    <w:multiLevelType w:val="hybridMultilevel"/>
    <w:tmpl w:val="F836D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884DFF"/>
    <w:multiLevelType w:val="hybridMultilevel"/>
    <w:tmpl w:val="B3A65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27D80"/>
    <w:multiLevelType w:val="hybridMultilevel"/>
    <w:tmpl w:val="673492FE"/>
    <w:lvl w:ilvl="0" w:tplc="44641B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7647EE"/>
    <w:multiLevelType w:val="multilevel"/>
    <w:tmpl w:val="804202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32E0B61"/>
    <w:multiLevelType w:val="hybridMultilevel"/>
    <w:tmpl w:val="CF128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84359A"/>
    <w:multiLevelType w:val="hybridMultilevel"/>
    <w:tmpl w:val="486E14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E2110FC"/>
    <w:multiLevelType w:val="hybridMultilevel"/>
    <w:tmpl w:val="EABA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5"/>
  </w:num>
  <w:num w:numId="5">
    <w:abstractNumId w:val="17"/>
  </w:num>
  <w:num w:numId="6">
    <w:abstractNumId w:val="6"/>
  </w:num>
  <w:num w:numId="7">
    <w:abstractNumId w:val="4"/>
  </w:num>
  <w:num w:numId="8">
    <w:abstractNumId w:val="3"/>
  </w:num>
  <w:num w:numId="9">
    <w:abstractNumId w:val="1"/>
  </w:num>
  <w:num w:numId="10">
    <w:abstractNumId w:val="11"/>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3"/>
  </w:num>
  <w:num w:numId="21">
    <w:abstractNumId w:val="15"/>
  </w:num>
  <w:num w:numId="22">
    <w:abstractNumId w:val="10"/>
  </w:num>
  <w:num w:numId="23">
    <w:abstractNumId w:val="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16"/>
  </w:num>
  <w:num w:numId="28">
    <w:abstractNumId w:val="21"/>
  </w:num>
  <w:num w:numId="29">
    <w:abstractNumId w:val="12"/>
  </w:num>
  <w:num w:numId="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18"/>
    <w:rsid w:val="00010B02"/>
    <w:rsid w:val="00013B73"/>
    <w:rsid w:val="00020CA8"/>
    <w:rsid w:val="00024026"/>
    <w:rsid w:val="000243FA"/>
    <w:rsid w:val="00024E35"/>
    <w:rsid w:val="00024F97"/>
    <w:rsid w:val="000253EE"/>
    <w:rsid w:val="000301B2"/>
    <w:rsid w:val="0003240A"/>
    <w:rsid w:val="00033042"/>
    <w:rsid w:val="00037F5A"/>
    <w:rsid w:val="00040220"/>
    <w:rsid w:val="00040C8B"/>
    <w:rsid w:val="0004480A"/>
    <w:rsid w:val="00050DB2"/>
    <w:rsid w:val="000514D7"/>
    <w:rsid w:val="00054EB8"/>
    <w:rsid w:val="000579A2"/>
    <w:rsid w:val="00057BA1"/>
    <w:rsid w:val="00063254"/>
    <w:rsid w:val="00063CEC"/>
    <w:rsid w:val="0006770F"/>
    <w:rsid w:val="0007377E"/>
    <w:rsid w:val="0007434C"/>
    <w:rsid w:val="000825EC"/>
    <w:rsid w:val="0008539F"/>
    <w:rsid w:val="0009456E"/>
    <w:rsid w:val="000956B9"/>
    <w:rsid w:val="000A313A"/>
    <w:rsid w:val="000A4004"/>
    <w:rsid w:val="000A6DEA"/>
    <w:rsid w:val="000A7BB1"/>
    <w:rsid w:val="000B11C5"/>
    <w:rsid w:val="000B1BB3"/>
    <w:rsid w:val="000B3840"/>
    <w:rsid w:val="000B5380"/>
    <w:rsid w:val="000B63DD"/>
    <w:rsid w:val="000B7704"/>
    <w:rsid w:val="000B7765"/>
    <w:rsid w:val="000C11DC"/>
    <w:rsid w:val="000C1A35"/>
    <w:rsid w:val="000C3F3D"/>
    <w:rsid w:val="000C623C"/>
    <w:rsid w:val="000D0307"/>
    <w:rsid w:val="000D0F88"/>
    <w:rsid w:val="000D2C64"/>
    <w:rsid w:val="000D7867"/>
    <w:rsid w:val="000D787C"/>
    <w:rsid w:val="000E16C6"/>
    <w:rsid w:val="000E1F4F"/>
    <w:rsid w:val="000E5F0B"/>
    <w:rsid w:val="000E7AF9"/>
    <w:rsid w:val="000F4043"/>
    <w:rsid w:val="000F4DEA"/>
    <w:rsid w:val="00103C60"/>
    <w:rsid w:val="0010577A"/>
    <w:rsid w:val="001065DF"/>
    <w:rsid w:val="001076CA"/>
    <w:rsid w:val="00110A15"/>
    <w:rsid w:val="00112B90"/>
    <w:rsid w:val="00112E0B"/>
    <w:rsid w:val="001148C7"/>
    <w:rsid w:val="00114C3C"/>
    <w:rsid w:val="0011507D"/>
    <w:rsid w:val="00115763"/>
    <w:rsid w:val="001172C0"/>
    <w:rsid w:val="00126B72"/>
    <w:rsid w:val="00130557"/>
    <w:rsid w:val="00130DAD"/>
    <w:rsid w:val="00132EB5"/>
    <w:rsid w:val="0013317C"/>
    <w:rsid w:val="00136EF2"/>
    <w:rsid w:val="00144A36"/>
    <w:rsid w:val="00145B80"/>
    <w:rsid w:val="001464B9"/>
    <w:rsid w:val="0014658A"/>
    <w:rsid w:val="00147D1A"/>
    <w:rsid w:val="00151200"/>
    <w:rsid w:val="00151311"/>
    <w:rsid w:val="00155A76"/>
    <w:rsid w:val="00157D08"/>
    <w:rsid w:val="00160FDC"/>
    <w:rsid w:val="001706A8"/>
    <w:rsid w:val="00170AF0"/>
    <w:rsid w:val="00177DDB"/>
    <w:rsid w:val="00180E0D"/>
    <w:rsid w:val="0018281A"/>
    <w:rsid w:val="00184D13"/>
    <w:rsid w:val="00186868"/>
    <w:rsid w:val="00190530"/>
    <w:rsid w:val="00190B74"/>
    <w:rsid w:val="0019238D"/>
    <w:rsid w:val="0019256E"/>
    <w:rsid w:val="00193C21"/>
    <w:rsid w:val="00194900"/>
    <w:rsid w:val="001A05B2"/>
    <w:rsid w:val="001A4E85"/>
    <w:rsid w:val="001A6639"/>
    <w:rsid w:val="001A709F"/>
    <w:rsid w:val="001B13E0"/>
    <w:rsid w:val="001B19D8"/>
    <w:rsid w:val="001B1F3B"/>
    <w:rsid w:val="001B7E1A"/>
    <w:rsid w:val="001C249F"/>
    <w:rsid w:val="001C32E3"/>
    <w:rsid w:val="001C5395"/>
    <w:rsid w:val="001C70CF"/>
    <w:rsid w:val="001C7CDA"/>
    <w:rsid w:val="001D453A"/>
    <w:rsid w:val="001D57D0"/>
    <w:rsid w:val="001D6A41"/>
    <w:rsid w:val="001D773E"/>
    <w:rsid w:val="001E33CB"/>
    <w:rsid w:val="001E4F22"/>
    <w:rsid w:val="001E5852"/>
    <w:rsid w:val="001E6240"/>
    <w:rsid w:val="001F37EF"/>
    <w:rsid w:val="001F4817"/>
    <w:rsid w:val="001F6F84"/>
    <w:rsid w:val="002004F0"/>
    <w:rsid w:val="00200C9C"/>
    <w:rsid w:val="0020126F"/>
    <w:rsid w:val="002021FE"/>
    <w:rsid w:val="00202FA3"/>
    <w:rsid w:val="002038AC"/>
    <w:rsid w:val="00207413"/>
    <w:rsid w:val="0021129C"/>
    <w:rsid w:val="002170B8"/>
    <w:rsid w:val="00222212"/>
    <w:rsid w:val="00227163"/>
    <w:rsid w:val="00231687"/>
    <w:rsid w:val="00231EC6"/>
    <w:rsid w:val="00233521"/>
    <w:rsid w:val="00235B31"/>
    <w:rsid w:val="002402C9"/>
    <w:rsid w:val="00241A52"/>
    <w:rsid w:val="00241BE7"/>
    <w:rsid w:val="00246ECE"/>
    <w:rsid w:val="002501E1"/>
    <w:rsid w:val="002512B6"/>
    <w:rsid w:val="0025141F"/>
    <w:rsid w:val="002545F8"/>
    <w:rsid w:val="0025612D"/>
    <w:rsid w:val="00265D65"/>
    <w:rsid w:val="00270B34"/>
    <w:rsid w:val="002716C7"/>
    <w:rsid w:val="002719DE"/>
    <w:rsid w:val="002734A8"/>
    <w:rsid w:val="00274723"/>
    <w:rsid w:val="002765F1"/>
    <w:rsid w:val="00276ADE"/>
    <w:rsid w:val="002808C0"/>
    <w:rsid w:val="002819E9"/>
    <w:rsid w:val="00285F62"/>
    <w:rsid w:val="00286C94"/>
    <w:rsid w:val="002933BC"/>
    <w:rsid w:val="00293D06"/>
    <w:rsid w:val="00294B52"/>
    <w:rsid w:val="00296E41"/>
    <w:rsid w:val="00297B05"/>
    <w:rsid w:val="002A186A"/>
    <w:rsid w:val="002A1936"/>
    <w:rsid w:val="002A3129"/>
    <w:rsid w:val="002A6673"/>
    <w:rsid w:val="002A6730"/>
    <w:rsid w:val="002A7247"/>
    <w:rsid w:val="002B0D8B"/>
    <w:rsid w:val="002B0E5C"/>
    <w:rsid w:val="002B2176"/>
    <w:rsid w:val="002B426A"/>
    <w:rsid w:val="002B75E6"/>
    <w:rsid w:val="002C0F89"/>
    <w:rsid w:val="002C1218"/>
    <w:rsid w:val="002C1935"/>
    <w:rsid w:val="002C3246"/>
    <w:rsid w:val="002D1038"/>
    <w:rsid w:val="002D4C7C"/>
    <w:rsid w:val="002E2170"/>
    <w:rsid w:val="002E2234"/>
    <w:rsid w:val="002E38D3"/>
    <w:rsid w:val="002E5A71"/>
    <w:rsid w:val="002E6715"/>
    <w:rsid w:val="002F004E"/>
    <w:rsid w:val="002F1647"/>
    <w:rsid w:val="002F43AC"/>
    <w:rsid w:val="00302191"/>
    <w:rsid w:val="003068E5"/>
    <w:rsid w:val="00310E35"/>
    <w:rsid w:val="00312D73"/>
    <w:rsid w:val="00315857"/>
    <w:rsid w:val="003163AD"/>
    <w:rsid w:val="0031785F"/>
    <w:rsid w:val="00327C26"/>
    <w:rsid w:val="00330424"/>
    <w:rsid w:val="003336EB"/>
    <w:rsid w:val="00335886"/>
    <w:rsid w:val="003375B7"/>
    <w:rsid w:val="00337E1B"/>
    <w:rsid w:val="0034003A"/>
    <w:rsid w:val="00342CE1"/>
    <w:rsid w:val="00343A5A"/>
    <w:rsid w:val="00344264"/>
    <w:rsid w:val="00345208"/>
    <w:rsid w:val="003472DB"/>
    <w:rsid w:val="00347B09"/>
    <w:rsid w:val="00350958"/>
    <w:rsid w:val="003512AA"/>
    <w:rsid w:val="00351F92"/>
    <w:rsid w:val="00352CAC"/>
    <w:rsid w:val="00354BC0"/>
    <w:rsid w:val="00355ECC"/>
    <w:rsid w:val="00356453"/>
    <w:rsid w:val="003606E1"/>
    <w:rsid w:val="003621EC"/>
    <w:rsid w:val="003623D6"/>
    <w:rsid w:val="00366E72"/>
    <w:rsid w:val="00370229"/>
    <w:rsid w:val="00370A44"/>
    <w:rsid w:val="00371D20"/>
    <w:rsid w:val="0037242C"/>
    <w:rsid w:val="00373B94"/>
    <w:rsid w:val="00373EF5"/>
    <w:rsid w:val="00373F27"/>
    <w:rsid w:val="003749B4"/>
    <w:rsid w:val="00375E08"/>
    <w:rsid w:val="00377A40"/>
    <w:rsid w:val="00380181"/>
    <w:rsid w:val="00381473"/>
    <w:rsid w:val="00381A5F"/>
    <w:rsid w:val="00384CAD"/>
    <w:rsid w:val="00385811"/>
    <w:rsid w:val="00393055"/>
    <w:rsid w:val="003966BA"/>
    <w:rsid w:val="003A05E0"/>
    <w:rsid w:val="003A2948"/>
    <w:rsid w:val="003A3DCF"/>
    <w:rsid w:val="003A6B40"/>
    <w:rsid w:val="003B08C8"/>
    <w:rsid w:val="003B2915"/>
    <w:rsid w:val="003B54E5"/>
    <w:rsid w:val="003B7915"/>
    <w:rsid w:val="003C0846"/>
    <w:rsid w:val="003C12EC"/>
    <w:rsid w:val="003C2832"/>
    <w:rsid w:val="003C503C"/>
    <w:rsid w:val="003C5432"/>
    <w:rsid w:val="003C71F1"/>
    <w:rsid w:val="003D1639"/>
    <w:rsid w:val="003D2FB9"/>
    <w:rsid w:val="003E2375"/>
    <w:rsid w:val="003E2FEF"/>
    <w:rsid w:val="003F0575"/>
    <w:rsid w:val="003F2341"/>
    <w:rsid w:val="003F2C94"/>
    <w:rsid w:val="003F2DC2"/>
    <w:rsid w:val="003F3E0D"/>
    <w:rsid w:val="003F6758"/>
    <w:rsid w:val="003F71A3"/>
    <w:rsid w:val="003F7997"/>
    <w:rsid w:val="00401B43"/>
    <w:rsid w:val="00401F1F"/>
    <w:rsid w:val="004022B0"/>
    <w:rsid w:val="00402AFD"/>
    <w:rsid w:val="00402E40"/>
    <w:rsid w:val="004057CC"/>
    <w:rsid w:val="00406E8A"/>
    <w:rsid w:val="0040700B"/>
    <w:rsid w:val="00410220"/>
    <w:rsid w:val="0041293D"/>
    <w:rsid w:val="00413CAD"/>
    <w:rsid w:val="00414097"/>
    <w:rsid w:val="00414177"/>
    <w:rsid w:val="00414970"/>
    <w:rsid w:val="00415313"/>
    <w:rsid w:val="00415C53"/>
    <w:rsid w:val="0041603B"/>
    <w:rsid w:val="00416DC3"/>
    <w:rsid w:val="00420F64"/>
    <w:rsid w:val="00422061"/>
    <w:rsid w:val="00424C6C"/>
    <w:rsid w:val="004263CF"/>
    <w:rsid w:val="004321BD"/>
    <w:rsid w:val="0043286D"/>
    <w:rsid w:val="004337C5"/>
    <w:rsid w:val="00441325"/>
    <w:rsid w:val="00442797"/>
    <w:rsid w:val="00442CA6"/>
    <w:rsid w:val="0044353D"/>
    <w:rsid w:val="0044365B"/>
    <w:rsid w:val="00443F2A"/>
    <w:rsid w:val="004454A7"/>
    <w:rsid w:val="00446418"/>
    <w:rsid w:val="00451C62"/>
    <w:rsid w:val="00455B39"/>
    <w:rsid w:val="00457329"/>
    <w:rsid w:val="0046051B"/>
    <w:rsid w:val="00462733"/>
    <w:rsid w:val="00462DC2"/>
    <w:rsid w:val="004650A9"/>
    <w:rsid w:val="00466094"/>
    <w:rsid w:val="00466321"/>
    <w:rsid w:val="00466CA9"/>
    <w:rsid w:val="004721C3"/>
    <w:rsid w:val="0047467A"/>
    <w:rsid w:val="00477840"/>
    <w:rsid w:val="00485CF7"/>
    <w:rsid w:val="00491188"/>
    <w:rsid w:val="00491F29"/>
    <w:rsid w:val="004926F9"/>
    <w:rsid w:val="004A19B8"/>
    <w:rsid w:val="004A1B2D"/>
    <w:rsid w:val="004A389A"/>
    <w:rsid w:val="004A43D2"/>
    <w:rsid w:val="004B05CD"/>
    <w:rsid w:val="004B3A2E"/>
    <w:rsid w:val="004B73C4"/>
    <w:rsid w:val="004B789D"/>
    <w:rsid w:val="004C00CB"/>
    <w:rsid w:val="004C04A8"/>
    <w:rsid w:val="004C37EA"/>
    <w:rsid w:val="004C4B5C"/>
    <w:rsid w:val="004C7221"/>
    <w:rsid w:val="004D0F72"/>
    <w:rsid w:val="004D2A6C"/>
    <w:rsid w:val="004D36BB"/>
    <w:rsid w:val="004D5163"/>
    <w:rsid w:val="004D57E0"/>
    <w:rsid w:val="004D61CE"/>
    <w:rsid w:val="004E07B5"/>
    <w:rsid w:val="004E3307"/>
    <w:rsid w:val="004E4248"/>
    <w:rsid w:val="004E4C2A"/>
    <w:rsid w:val="004E55EF"/>
    <w:rsid w:val="004E684E"/>
    <w:rsid w:val="004F0494"/>
    <w:rsid w:val="004F4C78"/>
    <w:rsid w:val="004F5D78"/>
    <w:rsid w:val="004F66F0"/>
    <w:rsid w:val="004F6863"/>
    <w:rsid w:val="005023B7"/>
    <w:rsid w:val="005051A5"/>
    <w:rsid w:val="005062C0"/>
    <w:rsid w:val="00511056"/>
    <w:rsid w:val="005119CA"/>
    <w:rsid w:val="00511BB9"/>
    <w:rsid w:val="005124F4"/>
    <w:rsid w:val="00513B73"/>
    <w:rsid w:val="00514BBB"/>
    <w:rsid w:val="005159A8"/>
    <w:rsid w:val="00517B91"/>
    <w:rsid w:val="00522417"/>
    <w:rsid w:val="00523CC8"/>
    <w:rsid w:val="00523D4E"/>
    <w:rsid w:val="0052460C"/>
    <w:rsid w:val="00526A17"/>
    <w:rsid w:val="00531841"/>
    <w:rsid w:val="00534B0E"/>
    <w:rsid w:val="005401C9"/>
    <w:rsid w:val="00546BE3"/>
    <w:rsid w:val="00556101"/>
    <w:rsid w:val="00556B53"/>
    <w:rsid w:val="00562405"/>
    <w:rsid w:val="00564510"/>
    <w:rsid w:val="00571C6B"/>
    <w:rsid w:val="005759CE"/>
    <w:rsid w:val="00576A1B"/>
    <w:rsid w:val="0058078A"/>
    <w:rsid w:val="00586B4E"/>
    <w:rsid w:val="005906E8"/>
    <w:rsid w:val="005A10F3"/>
    <w:rsid w:val="005A2DE6"/>
    <w:rsid w:val="005A4EC8"/>
    <w:rsid w:val="005A7A18"/>
    <w:rsid w:val="005B35E3"/>
    <w:rsid w:val="005B5EDE"/>
    <w:rsid w:val="005B67E3"/>
    <w:rsid w:val="005B78BA"/>
    <w:rsid w:val="005C1956"/>
    <w:rsid w:val="005C23D1"/>
    <w:rsid w:val="005C56DE"/>
    <w:rsid w:val="005C6CD2"/>
    <w:rsid w:val="005D08D5"/>
    <w:rsid w:val="005D70EB"/>
    <w:rsid w:val="005E23A3"/>
    <w:rsid w:val="005E4F4D"/>
    <w:rsid w:val="005E5C45"/>
    <w:rsid w:val="005E7D60"/>
    <w:rsid w:val="005F171D"/>
    <w:rsid w:val="005F4277"/>
    <w:rsid w:val="00600F73"/>
    <w:rsid w:val="00601B75"/>
    <w:rsid w:val="0060393D"/>
    <w:rsid w:val="00605689"/>
    <w:rsid w:val="00611FED"/>
    <w:rsid w:val="00612082"/>
    <w:rsid w:val="006211D3"/>
    <w:rsid w:val="00622E21"/>
    <w:rsid w:val="00624DB5"/>
    <w:rsid w:val="00625081"/>
    <w:rsid w:val="00630B3A"/>
    <w:rsid w:val="006375CD"/>
    <w:rsid w:val="00637AA2"/>
    <w:rsid w:val="00644DE2"/>
    <w:rsid w:val="006500E7"/>
    <w:rsid w:val="006525D6"/>
    <w:rsid w:val="00653D92"/>
    <w:rsid w:val="006552AB"/>
    <w:rsid w:val="00657561"/>
    <w:rsid w:val="006609B9"/>
    <w:rsid w:val="00660C6F"/>
    <w:rsid w:val="00663E30"/>
    <w:rsid w:val="00667535"/>
    <w:rsid w:val="006722AB"/>
    <w:rsid w:val="006734D3"/>
    <w:rsid w:val="0067376E"/>
    <w:rsid w:val="00673FE2"/>
    <w:rsid w:val="00676B51"/>
    <w:rsid w:val="00684929"/>
    <w:rsid w:val="00684E68"/>
    <w:rsid w:val="00686879"/>
    <w:rsid w:val="006868A0"/>
    <w:rsid w:val="006938EC"/>
    <w:rsid w:val="00693BB0"/>
    <w:rsid w:val="00693C82"/>
    <w:rsid w:val="00696736"/>
    <w:rsid w:val="00696E41"/>
    <w:rsid w:val="006B0148"/>
    <w:rsid w:val="006B799C"/>
    <w:rsid w:val="006B7A87"/>
    <w:rsid w:val="006C0DA1"/>
    <w:rsid w:val="006C0F4E"/>
    <w:rsid w:val="006C35C5"/>
    <w:rsid w:val="006C622A"/>
    <w:rsid w:val="006D0880"/>
    <w:rsid w:val="006D10DA"/>
    <w:rsid w:val="006D1419"/>
    <w:rsid w:val="006D3A17"/>
    <w:rsid w:val="006D5770"/>
    <w:rsid w:val="006D7188"/>
    <w:rsid w:val="006E01CE"/>
    <w:rsid w:val="006E0F68"/>
    <w:rsid w:val="006E11AD"/>
    <w:rsid w:val="006E13D8"/>
    <w:rsid w:val="006E2391"/>
    <w:rsid w:val="006E35F2"/>
    <w:rsid w:val="006F0500"/>
    <w:rsid w:val="006F1872"/>
    <w:rsid w:val="006F1A67"/>
    <w:rsid w:val="006F3647"/>
    <w:rsid w:val="006F429E"/>
    <w:rsid w:val="006F4D30"/>
    <w:rsid w:val="006F66C5"/>
    <w:rsid w:val="00703643"/>
    <w:rsid w:val="00705D2B"/>
    <w:rsid w:val="0070636C"/>
    <w:rsid w:val="00710BD4"/>
    <w:rsid w:val="00711D3A"/>
    <w:rsid w:val="00713E18"/>
    <w:rsid w:val="007153B2"/>
    <w:rsid w:val="0071615B"/>
    <w:rsid w:val="007169A7"/>
    <w:rsid w:val="00717D2B"/>
    <w:rsid w:val="00717D96"/>
    <w:rsid w:val="00722AB4"/>
    <w:rsid w:val="007232D9"/>
    <w:rsid w:val="00724AA0"/>
    <w:rsid w:val="00727EE9"/>
    <w:rsid w:val="00730D44"/>
    <w:rsid w:val="007322DF"/>
    <w:rsid w:val="007345FC"/>
    <w:rsid w:val="00735E6E"/>
    <w:rsid w:val="00737251"/>
    <w:rsid w:val="007437EC"/>
    <w:rsid w:val="00744FE3"/>
    <w:rsid w:val="00746406"/>
    <w:rsid w:val="00746EE9"/>
    <w:rsid w:val="007500F6"/>
    <w:rsid w:val="00750D70"/>
    <w:rsid w:val="00751267"/>
    <w:rsid w:val="00751919"/>
    <w:rsid w:val="0075257C"/>
    <w:rsid w:val="00752D3E"/>
    <w:rsid w:val="0075419C"/>
    <w:rsid w:val="00754380"/>
    <w:rsid w:val="00762710"/>
    <w:rsid w:val="00765F20"/>
    <w:rsid w:val="0076618C"/>
    <w:rsid w:val="0077031B"/>
    <w:rsid w:val="00772EF0"/>
    <w:rsid w:val="00777F28"/>
    <w:rsid w:val="00782830"/>
    <w:rsid w:val="00784BC2"/>
    <w:rsid w:val="007866CB"/>
    <w:rsid w:val="00792750"/>
    <w:rsid w:val="007965F4"/>
    <w:rsid w:val="007A3594"/>
    <w:rsid w:val="007A5863"/>
    <w:rsid w:val="007B6807"/>
    <w:rsid w:val="007C027E"/>
    <w:rsid w:val="007C26AA"/>
    <w:rsid w:val="007C571E"/>
    <w:rsid w:val="007C7182"/>
    <w:rsid w:val="007C7689"/>
    <w:rsid w:val="007D00E8"/>
    <w:rsid w:val="007D27CB"/>
    <w:rsid w:val="007D415E"/>
    <w:rsid w:val="007D638D"/>
    <w:rsid w:val="007D7B3F"/>
    <w:rsid w:val="007D7C9C"/>
    <w:rsid w:val="007E098E"/>
    <w:rsid w:val="007E1365"/>
    <w:rsid w:val="007E2192"/>
    <w:rsid w:val="007E43FC"/>
    <w:rsid w:val="007E4B5F"/>
    <w:rsid w:val="007E68B1"/>
    <w:rsid w:val="007E6CD2"/>
    <w:rsid w:val="007F0772"/>
    <w:rsid w:val="007F3E25"/>
    <w:rsid w:val="00801CC0"/>
    <w:rsid w:val="00802692"/>
    <w:rsid w:val="008028D2"/>
    <w:rsid w:val="00803419"/>
    <w:rsid w:val="00804496"/>
    <w:rsid w:val="008052ED"/>
    <w:rsid w:val="00811BDE"/>
    <w:rsid w:val="00816C25"/>
    <w:rsid w:val="0082120C"/>
    <w:rsid w:val="0082204D"/>
    <w:rsid w:val="008251D4"/>
    <w:rsid w:val="0082580B"/>
    <w:rsid w:val="00825A15"/>
    <w:rsid w:val="00830526"/>
    <w:rsid w:val="00834FC1"/>
    <w:rsid w:val="00835B31"/>
    <w:rsid w:val="00835EF4"/>
    <w:rsid w:val="00840B1F"/>
    <w:rsid w:val="008457AD"/>
    <w:rsid w:val="008477A2"/>
    <w:rsid w:val="00851D78"/>
    <w:rsid w:val="008523B1"/>
    <w:rsid w:val="00853CF0"/>
    <w:rsid w:val="008541E7"/>
    <w:rsid w:val="00855580"/>
    <w:rsid w:val="008607BA"/>
    <w:rsid w:val="00864961"/>
    <w:rsid w:val="008664B3"/>
    <w:rsid w:val="00866E12"/>
    <w:rsid w:val="008704C6"/>
    <w:rsid w:val="00872E77"/>
    <w:rsid w:val="00873122"/>
    <w:rsid w:val="0087409D"/>
    <w:rsid w:val="00875469"/>
    <w:rsid w:val="008772BB"/>
    <w:rsid w:val="00877D94"/>
    <w:rsid w:val="00882331"/>
    <w:rsid w:val="00890F09"/>
    <w:rsid w:val="00892C7B"/>
    <w:rsid w:val="00895AFD"/>
    <w:rsid w:val="00896400"/>
    <w:rsid w:val="008A08D2"/>
    <w:rsid w:val="008A1E52"/>
    <w:rsid w:val="008A24A7"/>
    <w:rsid w:val="008A3D94"/>
    <w:rsid w:val="008A451C"/>
    <w:rsid w:val="008B15E8"/>
    <w:rsid w:val="008B220A"/>
    <w:rsid w:val="008B2458"/>
    <w:rsid w:val="008B5353"/>
    <w:rsid w:val="008C036F"/>
    <w:rsid w:val="008C07D8"/>
    <w:rsid w:val="008C21E2"/>
    <w:rsid w:val="008C40D8"/>
    <w:rsid w:val="008C7C60"/>
    <w:rsid w:val="008C7D5E"/>
    <w:rsid w:val="008D5E54"/>
    <w:rsid w:val="008D61B6"/>
    <w:rsid w:val="008D7A48"/>
    <w:rsid w:val="008D7E21"/>
    <w:rsid w:val="008E338F"/>
    <w:rsid w:val="008E490D"/>
    <w:rsid w:val="008E6E42"/>
    <w:rsid w:val="008F01BE"/>
    <w:rsid w:val="008F2B09"/>
    <w:rsid w:val="00906B9C"/>
    <w:rsid w:val="00913372"/>
    <w:rsid w:val="0091357C"/>
    <w:rsid w:val="0091418C"/>
    <w:rsid w:val="00915928"/>
    <w:rsid w:val="00916F37"/>
    <w:rsid w:val="0092058E"/>
    <w:rsid w:val="009220C4"/>
    <w:rsid w:val="009241D6"/>
    <w:rsid w:val="009253F3"/>
    <w:rsid w:val="00926DE6"/>
    <w:rsid w:val="0092747C"/>
    <w:rsid w:val="00930443"/>
    <w:rsid w:val="00932A87"/>
    <w:rsid w:val="00934A27"/>
    <w:rsid w:val="00934DAC"/>
    <w:rsid w:val="00943311"/>
    <w:rsid w:val="0094632E"/>
    <w:rsid w:val="00951201"/>
    <w:rsid w:val="00954659"/>
    <w:rsid w:val="00955CB9"/>
    <w:rsid w:val="00960CC3"/>
    <w:rsid w:val="009611A5"/>
    <w:rsid w:val="00964718"/>
    <w:rsid w:val="00970CF4"/>
    <w:rsid w:val="00971AEB"/>
    <w:rsid w:val="00971D7D"/>
    <w:rsid w:val="0097255B"/>
    <w:rsid w:val="00983DC6"/>
    <w:rsid w:val="00984B15"/>
    <w:rsid w:val="00984CC8"/>
    <w:rsid w:val="009852E0"/>
    <w:rsid w:val="0098567F"/>
    <w:rsid w:val="0099010E"/>
    <w:rsid w:val="0099014D"/>
    <w:rsid w:val="009931AB"/>
    <w:rsid w:val="009945D2"/>
    <w:rsid w:val="00994AE3"/>
    <w:rsid w:val="009977AD"/>
    <w:rsid w:val="009A6A25"/>
    <w:rsid w:val="009A6A7D"/>
    <w:rsid w:val="009A6F3F"/>
    <w:rsid w:val="009A77CF"/>
    <w:rsid w:val="009B201E"/>
    <w:rsid w:val="009B32EE"/>
    <w:rsid w:val="009B345C"/>
    <w:rsid w:val="009B5D17"/>
    <w:rsid w:val="009B5D6E"/>
    <w:rsid w:val="009B72C9"/>
    <w:rsid w:val="009C58B8"/>
    <w:rsid w:val="009C7B7F"/>
    <w:rsid w:val="009C7D2A"/>
    <w:rsid w:val="009D4E85"/>
    <w:rsid w:val="009D6B4E"/>
    <w:rsid w:val="009E144C"/>
    <w:rsid w:val="009E2618"/>
    <w:rsid w:val="009E35AA"/>
    <w:rsid w:val="009E52D3"/>
    <w:rsid w:val="009E600E"/>
    <w:rsid w:val="009F2E80"/>
    <w:rsid w:val="009F31CE"/>
    <w:rsid w:val="009F4A48"/>
    <w:rsid w:val="00A002AD"/>
    <w:rsid w:val="00A0404C"/>
    <w:rsid w:val="00A04824"/>
    <w:rsid w:val="00A068AA"/>
    <w:rsid w:val="00A06F84"/>
    <w:rsid w:val="00A10BE6"/>
    <w:rsid w:val="00A14883"/>
    <w:rsid w:val="00A15C4D"/>
    <w:rsid w:val="00A15F27"/>
    <w:rsid w:val="00A17631"/>
    <w:rsid w:val="00A21E25"/>
    <w:rsid w:val="00A22190"/>
    <w:rsid w:val="00A22446"/>
    <w:rsid w:val="00A23760"/>
    <w:rsid w:val="00A25E5B"/>
    <w:rsid w:val="00A260CD"/>
    <w:rsid w:val="00A31A75"/>
    <w:rsid w:val="00A31B4C"/>
    <w:rsid w:val="00A3267C"/>
    <w:rsid w:val="00A33401"/>
    <w:rsid w:val="00A36177"/>
    <w:rsid w:val="00A370F2"/>
    <w:rsid w:val="00A375F8"/>
    <w:rsid w:val="00A42577"/>
    <w:rsid w:val="00A43D31"/>
    <w:rsid w:val="00A445F7"/>
    <w:rsid w:val="00A45DB3"/>
    <w:rsid w:val="00A4680F"/>
    <w:rsid w:val="00A52801"/>
    <w:rsid w:val="00A534AA"/>
    <w:rsid w:val="00A56458"/>
    <w:rsid w:val="00A56CA0"/>
    <w:rsid w:val="00A60610"/>
    <w:rsid w:val="00A64F03"/>
    <w:rsid w:val="00A66BD6"/>
    <w:rsid w:val="00A71C2E"/>
    <w:rsid w:val="00A7245F"/>
    <w:rsid w:val="00A7296D"/>
    <w:rsid w:val="00A72C6C"/>
    <w:rsid w:val="00A73A76"/>
    <w:rsid w:val="00A74BEA"/>
    <w:rsid w:val="00A75031"/>
    <w:rsid w:val="00A7561B"/>
    <w:rsid w:val="00A75C05"/>
    <w:rsid w:val="00A76D9C"/>
    <w:rsid w:val="00A863A4"/>
    <w:rsid w:val="00A86D48"/>
    <w:rsid w:val="00A93AB4"/>
    <w:rsid w:val="00A94B30"/>
    <w:rsid w:val="00A950AD"/>
    <w:rsid w:val="00A96D3E"/>
    <w:rsid w:val="00AA0321"/>
    <w:rsid w:val="00AB7A4C"/>
    <w:rsid w:val="00AC0241"/>
    <w:rsid w:val="00AC0767"/>
    <w:rsid w:val="00AC07A2"/>
    <w:rsid w:val="00AC1AF9"/>
    <w:rsid w:val="00AC2D3A"/>
    <w:rsid w:val="00AC36FA"/>
    <w:rsid w:val="00AC3E0B"/>
    <w:rsid w:val="00AC56C8"/>
    <w:rsid w:val="00AC6667"/>
    <w:rsid w:val="00AC7551"/>
    <w:rsid w:val="00AD0AAF"/>
    <w:rsid w:val="00AD0B80"/>
    <w:rsid w:val="00AD34AD"/>
    <w:rsid w:val="00AD4DAE"/>
    <w:rsid w:val="00AE1E17"/>
    <w:rsid w:val="00AE1E2F"/>
    <w:rsid w:val="00AE2F58"/>
    <w:rsid w:val="00AE7422"/>
    <w:rsid w:val="00AE7B34"/>
    <w:rsid w:val="00AF58FE"/>
    <w:rsid w:val="00AF6C71"/>
    <w:rsid w:val="00B032DA"/>
    <w:rsid w:val="00B07075"/>
    <w:rsid w:val="00B13C13"/>
    <w:rsid w:val="00B20694"/>
    <w:rsid w:val="00B21530"/>
    <w:rsid w:val="00B21E2B"/>
    <w:rsid w:val="00B26FB3"/>
    <w:rsid w:val="00B27C48"/>
    <w:rsid w:val="00B30C3D"/>
    <w:rsid w:val="00B3183E"/>
    <w:rsid w:val="00B335CA"/>
    <w:rsid w:val="00B340C1"/>
    <w:rsid w:val="00B3494B"/>
    <w:rsid w:val="00B36485"/>
    <w:rsid w:val="00B37C22"/>
    <w:rsid w:val="00B37E29"/>
    <w:rsid w:val="00B415EE"/>
    <w:rsid w:val="00B42D75"/>
    <w:rsid w:val="00B4352E"/>
    <w:rsid w:val="00B4641A"/>
    <w:rsid w:val="00B474A4"/>
    <w:rsid w:val="00B47CFD"/>
    <w:rsid w:val="00B522CD"/>
    <w:rsid w:val="00B525E8"/>
    <w:rsid w:val="00B5341D"/>
    <w:rsid w:val="00B5473A"/>
    <w:rsid w:val="00B55585"/>
    <w:rsid w:val="00B62081"/>
    <w:rsid w:val="00B62A0F"/>
    <w:rsid w:val="00B66584"/>
    <w:rsid w:val="00B67239"/>
    <w:rsid w:val="00B72C0D"/>
    <w:rsid w:val="00B76034"/>
    <w:rsid w:val="00B803AE"/>
    <w:rsid w:val="00B8136D"/>
    <w:rsid w:val="00B82074"/>
    <w:rsid w:val="00B8321E"/>
    <w:rsid w:val="00B84AD3"/>
    <w:rsid w:val="00B84EF8"/>
    <w:rsid w:val="00B84F58"/>
    <w:rsid w:val="00B855F4"/>
    <w:rsid w:val="00B85DFE"/>
    <w:rsid w:val="00B85F65"/>
    <w:rsid w:val="00B85FE4"/>
    <w:rsid w:val="00B861BF"/>
    <w:rsid w:val="00B865EB"/>
    <w:rsid w:val="00B9088F"/>
    <w:rsid w:val="00B90DA4"/>
    <w:rsid w:val="00B96361"/>
    <w:rsid w:val="00B96DE5"/>
    <w:rsid w:val="00BA309D"/>
    <w:rsid w:val="00BB3F19"/>
    <w:rsid w:val="00BB40EE"/>
    <w:rsid w:val="00BC16FD"/>
    <w:rsid w:val="00BC29BE"/>
    <w:rsid w:val="00BC2EE2"/>
    <w:rsid w:val="00BC3A62"/>
    <w:rsid w:val="00BC427A"/>
    <w:rsid w:val="00BC6B6E"/>
    <w:rsid w:val="00BC71EA"/>
    <w:rsid w:val="00BC7C20"/>
    <w:rsid w:val="00BD3433"/>
    <w:rsid w:val="00BD5335"/>
    <w:rsid w:val="00BD6930"/>
    <w:rsid w:val="00BD6C7C"/>
    <w:rsid w:val="00BE226A"/>
    <w:rsid w:val="00BE44CD"/>
    <w:rsid w:val="00BF1BC3"/>
    <w:rsid w:val="00BF1FB4"/>
    <w:rsid w:val="00BF4F98"/>
    <w:rsid w:val="00BF7D27"/>
    <w:rsid w:val="00C0202D"/>
    <w:rsid w:val="00C02946"/>
    <w:rsid w:val="00C0550D"/>
    <w:rsid w:val="00C144D5"/>
    <w:rsid w:val="00C15111"/>
    <w:rsid w:val="00C15A2E"/>
    <w:rsid w:val="00C170B8"/>
    <w:rsid w:val="00C17463"/>
    <w:rsid w:val="00C21128"/>
    <w:rsid w:val="00C23093"/>
    <w:rsid w:val="00C23FD0"/>
    <w:rsid w:val="00C24EB2"/>
    <w:rsid w:val="00C2538F"/>
    <w:rsid w:val="00C32048"/>
    <w:rsid w:val="00C33413"/>
    <w:rsid w:val="00C365CF"/>
    <w:rsid w:val="00C36A2D"/>
    <w:rsid w:val="00C415D1"/>
    <w:rsid w:val="00C41B85"/>
    <w:rsid w:val="00C41E5F"/>
    <w:rsid w:val="00C427AE"/>
    <w:rsid w:val="00C44F06"/>
    <w:rsid w:val="00C45EBA"/>
    <w:rsid w:val="00C460D5"/>
    <w:rsid w:val="00C46DE2"/>
    <w:rsid w:val="00C4704E"/>
    <w:rsid w:val="00C50533"/>
    <w:rsid w:val="00C51626"/>
    <w:rsid w:val="00C6125F"/>
    <w:rsid w:val="00C637A2"/>
    <w:rsid w:val="00C64A54"/>
    <w:rsid w:val="00C64D16"/>
    <w:rsid w:val="00C662FC"/>
    <w:rsid w:val="00C70507"/>
    <w:rsid w:val="00C72A93"/>
    <w:rsid w:val="00C72F12"/>
    <w:rsid w:val="00C75422"/>
    <w:rsid w:val="00C808F9"/>
    <w:rsid w:val="00C86B88"/>
    <w:rsid w:val="00C87433"/>
    <w:rsid w:val="00C9097B"/>
    <w:rsid w:val="00C9156B"/>
    <w:rsid w:val="00C92CA1"/>
    <w:rsid w:val="00C9356C"/>
    <w:rsid w:val="00C943E3"/>
    <w:rsid w:val="00C9684A"/>
    <w:rsid w:val="00C9720B"/>
    <w:rsid w:val="00CA2688"/>
    <w:rsid w:val="00CA3085"/>
    <w:rsid w:val="00CB143C"/>
    <w:rsid w:val="00CB4459"/>
    <w:rsid w:val="00CB4524"/>
    <w:rsid w:val="00CB5838"/>
    <w:rsid w:val="00CB6257"/>
    <w:rsid w:val="00CB6317"/>
    <w:rsid w:val="00CB6965"/>
    <w:rsid w:val="00CB7F84"/>
    <w:rsid w:val="00CC39A6"/>
    <w:rsid w:val="00CC598D"/>
    <w:rsid w:val="00CD3420"/>
    <w:rsid w:val="00CD412D"/>
    <w:rsid w:val="00CD44A2"/>
    <w:rsid w:val="00CD5942"/>
    <w:rsid w:val="00CE2721"/>
    <w:rsid w:val="00CE3787"/>
    <w:rsid w:val="00CE4F30"/>
    <w:rsid w:val="00CF08CE"/>
    <w:rsid w:val="00D01594"/>
    <w:rsid w:val="00D02454"/>
    <w:rsid w:val="00D02F22"/>
    <w:rsid w:val="00D03029"/>
    <w:rsid w:val="00D050BD"/>
    <w:rsid w:val="00D06D8D"/>
    <w:rsid w:val="00D06FC0"/>
    <w:rsid w:val="00D11478"/>
    <w:rsid w:val="00D12DAC"/>
    <w:rsid w:val="00D12FE1"/>
    <w:rsid w:val="00D16B1D"/>
    <w:rsid w:val="00D17711"/>
    <w:rsid w:val="00D20470"/>
    <w:rsid w:val="00D215F5"/>
    <w:rsid w:val="00D2398A"/>
    <w:rsid w:val="00D25F50"/>
    <w:rsid w:val="00D26453"/>
    <w:rsid w:val="00D311DD"/>
    <w:rsid w:val="00D33DE3"/>
    <w:rsid w:val="00D34C08"/>
    <w:rsid w:val="00D41B9A"/>
    <w:rsid w:val="00D440CC"/>
    <w:rsid w:val="00D47D5E"/>
    <w:rsid w:val="00D5776F"/>
    <w:rsid w:val="00D60B0F"/>
    <w:rsid w:val="00D67083"/>
    <w:rsid w:val="00D73D1D"/>
    <w:rsid w:val="00D770F7"/>
    <w:rsid w:val="00D777B3"/>
    <w:rsid w:val="00D811D8"/>
    <w:rsid w:val="00D933CA"/>
    <w:rsid w:val="00DA12B3"/>
    <w:rsid w:val="00DA1805"/>
    <w:rsid w:val="00DA6182"/>
    <w:rsid w:val="00DA6CC2"/>
    <w:rsid w:val="00DA746A"/>
    <w:rsid w:val="00DA769A"/>
    <w:rsid w:val="00DB1E35"/>
    <w:rsid w:val="00DB203C"/>
    <w:rsid w:val="00DB2D43"/>
    <w:rsid w:val="00DB39B5"/>
    <w:rsid w:val="00DB3F57"/>
    <w:rsid w:val="00DB5D7C"/>
    <w:rsid w:val="00DC461A"/>
    <w:rsid w:val="00DC7954"/>
    <w:rsid w:val="00DD504F"/>
    <w:rsid w:val="00DD62A8"/>
    <w:rsid w:val="00DE0EBC"/>
    <w:rsid w:val="00DE291F"/>
    <w:rsid w:val="00DF2571"/>
    <w:rsid w:val="00DF2915"/>
    <w:rsid w:val="00DF5CB8"/>
    <w:rsid w:val="00E0710A"/>
    <w:rsid w:val="00E077ED"/>
    <w:rsid w:val="00E102B8"/>
    <w:rsid w:val="00E11B84"/>
    <w:rsid w:val="00E13B92"/>
    <w:rsid w:val="00E145D4"/>
    <w:rsid w:val="00E14658"/>
    <w:rsid w:val="00E14DE1"/>
    <w:rsid w:val="00E1530F"/>
    <w:rsid w:val="00E15557"/>
    <w:rsid w:val="00E15B7B"/>
    <w:rsid w:val="00E20B44"/>
    <w:rsid w:val="00E21799"/>
    <w:rsid w:val="00E234D3"/>
    <w:rsid w:val="00E26863"/>
    <w:rsid w:val="00E2693F"/>
    <w:rsid w:val="00E3039E"/>
    <w:rsid w:val="00E32C66"/>
    <w:rsid w:val="00E33130"/>
    <w:rsid w:val="00E355F5"/>
    <w:rsid w:val="00E40CCF"/>
    <w:rsid w:val="00E41765"/>
    <w:rsid w:val="00E45559"/>
    <w:rsid w:val="00E52FE2"/>
    <w:rsid w:val="00E5466B"/>
    <w:rsid w:val="00E573E8"/>
    <w:rsid w:val="00E604F7"/>
    <w:rsid w:val="00E62C44"/>
    <w:rsid w:val="00E64C81"/>
    <w:rsid w:val="00E64FCC"/>
    <w:rsid w:val="00E728C8"/>
    <w:rsid w:val="00E7386E"/>
    <w:rsid w:val="00E74147"/>
    <w:rsid w:val="00E753AA"/>
    <w:rsid w:val="00E757B0"/>
    <w:rsid w:val="00E77C9A"/>
    <w:rsid w:val="00E804B5"/>
    <w:rsid w:val="00E831C8"/>
    <w:rsid w:val="00E854B7"/>
    <w:rsid w:val="00E85BB3"/>
    <w:rsid w:val="00E87914"/>
    <w:rsid w:val="00E90066"/>
    <w:rsid w:val="00E901F0"/>
    <w:rsid w:val="00E9062B"/>
    <w:rsid w:val="00E95671"/>
    <w:rsid w:val="00EA0EE1"/>
    <w:rsid w:val="00EA2BC9"/>
    <w:rsid w:val="00EA6878"/>
    <w:rsid w:val="00EA719F"/>
    <w:rsid w:val="00EA7ED6"/>
    <w:rsid w:val="00EB27DA"/>
    <w:rsid w:val="00EB4BE6"/>
    <w:rsid w:val="00EC1614"/>
    <w:rsid w:val="00EC17C9"/>
    <w:rsid w:val="00EC20E9"/>
    <w:rsid w:val="00EC571D"/>
    <w:rsid w:val="00ED3F94"/>
    <w:rsid w:val="00ED460F"/>
    <w:rsid w:val="00ED5733"/>
    <w:rsid w:val="00ED5DAC"/>
    <w:rsid w:val="00ED651D"/>
    <w:rsid w:val="00ED683C"/>
    <w:rsid w:val="00EE695F"/>
    <w:rsid w:val="00EF0B2C"/>
    <w:rsid w:val="00EF1F2C"/>
    <w:rsid w:val="00EF2EE3"/>
    <w:rsid w:val="00EF3198"/>
    <w:rsid w:val="00EF5E28"/>
    <w:rsid w:val="00F03481"/>
    <w:rsid w:val="00F03A38"/>
    <w:rsid w:val="00F04EEB"/>
    <w:rsid w:val="00F05F52"/>
    <w:rsid w:val="00F10A58"/>
    <w:rsid w:val="00F21F59"/>
    <w:rsid w:val="00F24E2A"/>
    <w:rsid w:val="00F252A2"/>
    <w:rsid w:val="00F25CB7"/>
    <w:rsid w:val="00F26574"/>
    <w:rsid w:val="00F33A6A"/>
    <w:rsid w:val="00F35F86"/>
    <w:rsid w:val="00F3659D"/>
    <w:rsid w:val="00F373F5"/>
    <w:rsid w:val="00F42F37"/>
    <w:rsid w:val="00F4360F"/>
    <w:rsid w:val="00F436DE"/>
    <w:rsid w:val="00F43AC4"/>
    <w:rsid w:val="00F43E89"/>
    <w:rsid w:val="00F46F73"/>
    <w:rsid w:val="00F51AAB"/>
    <w:rsid w:val="00F53385"/>
    <w:rsid w:val="00F54483"/>
    <w:rsid w:val="00F544B1"/>
    <w:rsid w:val="00F54786"/>
    <w:rsid w:val="00F63980"/>
    <w:rsid w:val="00F63E4C"/>
    <w:rsid w:val="00F75880"/>
    <w:rsid w:val="00F762AF"/>
    <w:rsid w:val="00F76581"/>
    <w:rsid w:val="00F80311"/>
    <w:rsid w:val="00F828C4"/>
    <w:rsid w:val="00F87A0D"/>
    <w:rsid w:val="00F945FA"/>
    <w:rsid w:val="00F9510E"/>
    <w:rsid w:val="00F976BC"/>
    <w:rsid w:val="00FA7FF4"/>
    <w:rsid w:val="00FB4082"/>
    <w:rsid w:val="00FC2550"/>
    <w:rsid w:val="00FC300A"/>
    <w:rsid w:val="00FC5349"/>
    <w:rsid w:val="00FD2050"/>
    <w:rsid w:val="00FD4916"/>
    <w:rsid w:val="00FD54F0"/>
    <w:rsid w:val="00FD5D0D"/>
    <w:rsid w:val="00FD7C97"/>
    <w:rsid w:val="00FE0654"/>
    <w:rsid w:val="00FE0D88"/>
    <w:rsid w:val="00FE2BA9"/>
    <w:rsid w:val="00FE554C"/>
    <w:rsid w:val="00FF00AB"/>
    <w:rsid w:val="00FF13CE"/>
    <w:rsid w:val="00FF13D1"/>
    <w:rsid w:val="00FF3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2A0C97D1"/>
  <w15:docId w15:val="{AE9D125B-BCBE-4F54-91D2-FE96F9EF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80181"/>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autoRedefine/>
    <w:uiPriority w:val="9"/>
    <w:unhideWhenUsed/>
    <w:qFormat/>
    <w:rsid w:val="00ED5733"/>
    <w:pPr>
      <w:keepNext/>
      <w:keepLines/>
      <w:numPr>
        <w:ilvl w:val="1"/>
        <w:numId w:val="6"/>
      </w:numPr>
      <w:spacing w:before="200" w:after="120"/>
      <w:outlineLvl w:val="1"/>
    </w:pPr>
    <w:rPr>
      <w:rFonts w:eastAsiaTheme="majorEastAsia" w:cstheme="minorHAnsi"/>
      <w:b/>
      <w:bCs/>
      <w:sz w:val="28"/>
      <w:szCs w:val="28"/>
    </w:rPr>
  </w:style>
  <w:style w:type="paragraph" w:styleId="Nadpis3">
    <w:name w:val="heading 3"/>
    <w:basedOn w:val="Normln"/>
    <w:next w:val="Normln"/>
    <w:link w:val="Nadpis3Char"/>
    <w:autoRedefine/>
    <w:uiPriority w:val="9"/>
    <w:unhideWhenUsed/>
    <w:qFormat/>
    <w:rsid w:val="006D10DA"/>
    <w:pPr>
      <w:keepNext/>
      <w:keepLines/>
      <w:numPr>
        <w:ilvl w:val="2"/>
        <w:numId w:val="6"/>
      </w:numPr>
      <w:spacing w:before="200" w:after="0"/>
      <w:contextualSpacing/>
      <w:outlineLvl w:val="2"/>
    </w:pPr>
    <w:rPr>
      <w:rFonts w:eastAsiaTheme="majorEastAsia" w:cstheme="minorHAnsi"/>
      <w:b/>
      <w:bCs/>
      <w:sz w:val="24"/>
      <w:szCs w:val="24"/>
    </w:rPr>
  </w:style>
  <w:style w:type="paragraph" w:styleId="Nadpis4">
    <w:name w:val="heading 4"/>
    <w:basedOn w:val="Normln"/>
    <w:next w:val="Normln"/>
    <w:link w:val="Nadpis4Char"/>
    <w:uiPriority w:val="9"/>
    <w:semiHidden/>
    <w:unhideWhenUsed/>
    <w:qFormat/>
    <w:rsid w:val="00184D1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84D1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84D1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84D1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84D1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84D1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018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ED5733"/>
    <w:rPr>
      <w:rFonts w:eastAsiaTheme="majorEastAsia" w:cstheme="minorHAnsi"/>
      <w:b/>
      <w:bCs/>
      <w:sz w:val="28"/>
      <w:szCs w:val="28"/>
    </w:rPr>
  </w:style>
  <w:style w:type="paragraph" w:styleId="Titulek">
    <w:name w:val="caption"/>
    <w:basedOn w:val="Normln"/>
    <w:next w:val="Normln"/>
    <w:uiPriority w:val="35"/>
    <w:unhideWhenUsed/>
    <w:qFormat/>
    <w:rsid w:val="00380181"/>
    <w:pPr>
      <w:spacing w:line="240" w:lineRule="auto"/>
    </w:pPr>
    <w:rPr>
      <w:b/>
      <w:bCs/>
      <w:sz w:val="18"/>
      <w:szCs w:val="18"/>
    </w:rPr>
  </w:style>
  <w:style w:type="character" w:customStyle="1" w:styleId="Nadpis3Char">
    <w:name w:val="Nadpis 3 Char"/>
    <w:basedOn w:val="Standardnpsmoodstavce"/>
    <w:link w:val="Nadpis3"/>
    <w:uiPriority w:val="9"/>
    <w:rsid w:val="006D10DA"/>
    <w:rPr>
      <w:rFonts w:eastAsiaTheme="majorEastAsia" w:cstheme="minorHAnsi"/>
      <w:b/>
      <w:bCs/>
      <w:sz w:val="24"/>
      <w:szCs w:val="24"/>
    </w:rPr>
  </w:style>
  <w:style w:type="paragraph" w:styleId="Zhlav">
    <w:name w:val="header"/>
    <w:basedOn w:val="Normln"/>
    <w:link w:val="ZhlavChar"/>
    <w:uiPriority w:val="99"/>
    <w:unhideWhenUsed/>
    <w:rsid w:val="008251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D4"/>
  </w:style>
  <w:style w:type="paragraph" w:styleId="Zpat">
    <w:name w:val="footer"/>
    <w:basedOn w:val="Normln"/>
    <w:link w:val="ZpatChar"/>
    <w:uiPriority w:val="99"/>
    <w:unhideWhenUsed/>
    <w:rsid w:val="008251D4"/>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D4"/>
  </w:style>
  <w:style w:type="paragraph" w:styleId="Textbubliny">
    <w:name w:val="Balloon Text"/>
    <w:basedOn w:val="Normln"/>
    <w:link w:val="TextbublinyChar"/>
    <w:uiPriority w:val="99"/>
    <w:semiHidden/>
    <w:unhideWhenUsed/>
    <w:rsid w:val="00D264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6453"/>
    <w:rPr>
      <w:rFonts w:ascii="Tahoma" w:hAnsi="Tahoma" w:cs="Tahoma"/>
      <w:sz w:val="16"/>
      <w:szCs w:val="16"/>
    </w:rPr>
  </w:style>
  <w:style w:type="paragraph" w:styleId="Odstavecseseznamem">
    <w:name w:val="List Paragraph"/>
    <w:basedOn w:val="Normln"/>
    <w:uiPriority w:val="34"/>
    <w:qFormat/>
    <w:rsid w:val="001D6A41"/>
    <w:pPr>
      <w:ind w:left="720"/>
      <w:contextualSpacing/>
    </w:pPr>
  </w:style>
  <w:style w:type="paragraph" w:styleId="Nadpisobsahu">
    <w:name w:val="TOC Heading"/>
    <w:basedOn w:val="Nadpis1"/>
    <w:next w:val="Normln"/>
    <w:uiPriority w:val="39"/>
    <w:unhideWhenUsed/>
    <w:qFormat/>
    <w:rsid w:val="001D6A41"/>
    <w:pPr>
      <w:numPr>
        <w:numId w:val="0"/>
      </w:numPr>
      <w:outlineLvl w:val="9"/>
    </w:pPr>
    <w:rPr>
      <w:color w:val="365F91" w:themeColor="accent1" w:themeShade="BF"/>
      <w:lang w:eastAsia="cs-CZ"/>
    </w:rPr>
  </w:style>
  <w:style w:type="paragraph" w:styleId="Obsah1">
    <w:name w:val="toc 1"/>
    <w:basedOn w:val="Normln"/>
    <w:next w:val="Normln"/>
    <w:autoRedefine/>
    <w:uiPriority w:val="39"/>
    <w:unhideWhenUsed/>
    <w:qFormat/>
    <w:rsid w:val="0075257C"/>
    <w:pPr>
      <w:tabs>
        <w:tab w:val="left" w:pos="440"/>
        <w:tab w:val="right" w:leader="dot" w:pos="9628"/>
      </w:tabs>
      <w:spacing w:before="120" w:after="120"/>
      <w:ind w:right="1134"/>
    </w:pPr>
    <w:rPr>
      <w:rFonts w:asciiTheme="majorHAnsi" w:hAnsiTheme="majorHAnsi"/>
      <w:b/>
      <w:bCs/>
      <w:caps/>
      <w:sz w:val="24"/>
      <w:szCs w:val="20"/>
    </w:rPr>
  </w:style>
  <w:style w:type="character" w:styleId="Hypertextovodkaz">
    <w:name w:val="Hyperlink"/>
    <w:basedOn w:val="Standardnpsmoodstavce"/>
    <w:uiPriority w:val="99"/>
    <w:unhideWhenUsed/>
    <w:rsid w:val="001D6A41"/>
    <w:rPr>
      <w:color w:val="0000FF" w:themeColor="hyperlink"/>
      <w:u w:val="single"/>
    </w:rPr>
  </w:style>
  <w:style w:type="paragraph" w:styleId="Seznamobrzk">
    <w:name w:val="table of figures"/>
    <w:basedOn w:val="Normln"/>
    <w:next w:val="Normln"/>
    <w:uiPriority w:val="99"/>
    <w:unhideWhenUsed/>
    <w:rsid w:val="00265D65"/>
    <w:pPr>
      <w:spacing w:after="0"/>
    </w:pPr>
  </w:style>
  <w:style w:type="paragraph" w:styleId="Obsah2">
    <w:name w:val="toc 2"/>
    <w:basedOn w:val="Normln"/>
    <w:next w:val="Normln"/>
    <w:autoRedefine/>
    <w:uiPriority w:val="39"/>
    <w:unhideWhenUsed/>
    <w:qFormat/>
    <w:rsid w:val="00422061"/>
    <w:pPr>
      <w:tabs>
        <w:tab w:val="left" w:pos="880"/>
        <w:tab w:val="right" w:leader="dot" w:pos="9639"/>
      </w:tabs>
      <w:spacing w:after="0"/>
      <w:ind w:left="220"/>
    </w:pPr>
    <w:rPr>
      <w:smallCaps/>
      <w:sz w:val="20"/>
      <w:szCs w:val="20"/>
    </w:rPr>
  </w:style>
  <w:style w:type="character" w:customStyle="1" w:styleId="Nadpis4Char">
    <w:name w:val="Nadpis 4 Char"/>
    <w:basedOn w:val="Standardnpsmoodstavce"/>
    <w:link w:val="Nadpis4"/>
    <w:uiPriority w:val="9"/>
    <w:semiHidden/>
    <w:rsid w:val="00184D1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84D1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184D1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184D1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84D1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184D13"/>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E573E8"/>
    <w:pPr>
      <w:spacing w:after="0" w:line="240" w:lineRule="auto"/>
    </w:pPr>
  </w:style>
  <w:style w:type="paragraph" w:styleId="Obsah3">
    <w:name w:val="toc 3"/>
    <w:basedOn w:val="Normln"/>
    <w:next w:val="Normln"/>
    <w:autoRedefine/>
    <w:uiPriority w:val="39"/>
    <w:unhideWhenUsed/>
    <w:qFormat/>
    <w:rsid w:val="004E4C2A"/>
    <w:pPr>
      <w:tabs>
        <w:tab w:val="left" w:pos="1100"/>
        <w:tab w:val="right" w:leader="dot" w:pos="9639"/>
      </w:tabs>
      <w:spacing w:after="0"/>
      <w:ind w:left="440" w:right="1134"/>
    </w:pPr>
    <w:rPr>
      <w:i/>
      <w:iCs/>
      <w:sz w:val="20"/>
      <w:szCs w:val="20"/>
    </w:rPr>
  </w:style>
  <w:style w:type="paragraph" w:styleId="Textpoznpodarou">
    <w:name w:val="footnote text"/>
    <w:basedOn w:val="Normln"/>
    <w:link w:val="TextpoznpodarouChar"/>
    <w:uiPriority w:val="99"/>
    <w:semiHidden/>
    <w:unhideWhenUsed/>
    <w:rsid w:val="0004022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0220"/>
    <w:rPr>
      <w:sz w:val="20"/>
      <w:szCs w:val="20"/>
    </w:rPr>
  </w:style>
  <w:style w:type="character" w:styleId="Znakapoznpodarou">
    <w:name w:val="footnote reference"/>
    <w:basedOn w:val="Standardnpsmoodstavce"/>
    <w:uiPriority w:val="99"/>
    <w:semiHidden/>
    <w:unhideWhenUsed/>
    <w:rsid w:val="00040220"/>
    <w:rPr>
      <w:vertAlign w:val="superscript"/>
    </w:rPr>
  </w:style>
  <w:style w:type="table" w:styleId="Mkatabulky">
    <w:name w:val="Table Grid"/>
    <w:basedOn w:val="Normlntabulka"/>
    <w:uiPriority w:val="59"/>
    <w:rsid w:val="003A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9A6F3F"/>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9A6F3F"/>
    <w:rPr>
      <w:rFonts w:ascii="Times New Roman" w:eastAsia="Times New Roman" w:hAnsi="Times New Roman" w:cs="Times New Roman"/>
      <w:sz w:val="20"/>
      <w:szCs w:val="20"/>
      <w:lang w:eastAsia="cs-CZ"/>
    </w:rPr>
  </w:style>
  <w:style w:type="paragraph" w:customStyle="1" w:styleId="l81">
    <w:name w:val="l81"/>
    <w:basedOn w:val="Normln"/>
    <w:rsid w:val="009977AD"/>
    <w:pPr>
      <w:spacing w:before="144" w:after="144" w:line="240" w:lineRule="auto"/>
      <w:jc w:val="both"/>
    </w:pPr>
    <w:rPr>
      <w:rFonts w:ascii="Times New Roman" w:eastAsia="Times New Roman" w:hAnsi="Times New Roman" w:cs="Times New Roman"/>
      <w:sz w:val="24"/>
      <w:szCs w:val="24"/>
      <w:lang w:eastAsia="cs-CZ"/>
    </w:rPr>
  </w:style>
  <w:style w:type="paragraph" w:customStyle="1" w:styleId="l91">
    <w:name w:val="l91"/>
    <w:basedOn w:val="Normln"/>
    <w:rsid w:val="00E52FE2"/>
    <w:pPr>
      <w:spacing w:before="144" w:after="144" w:line="240" w:lineRule="auto"/>
      <w:jc w:val="both"/>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unhideWhenUsed/>
    <w:rsid w:val="00A72C6C"/>
    <w:pPr>
      <w:spacing w:after="0"/>
      <w:ind w:left="660"/>
    </w:pPr>
    <w:rPr>
      <w:sz w:val="18"/>
      <w:szCs w:val="18"/>
    </w:rPr>
  </w:style>
  <w:style w:type="paragraph" w:styleId="Obsah5">
    <w:name w:val="toc 5"/>
    <w:basedOn w:val="Normln"/>
    <w:next w:val="Normln"/>
    <w:autoRedefine/>
    <w:uiPriority w:val="39"/>
    <w:unhideWhenUsed/>
    <w:rsid w:val="00A72C6C"/>
    <w:pPr>
      <w:spacing w:after="0"/>
      <w:ind w:left="880"/>
    </w:pPr>
    <w:rPr>
      <w:sz w:val="18"/>
      <w:szCs w:val="18"/>
    </w:rPr>
  </w:style>
  <w:style w:type="paragraph" w:styleId="Obsah6">
    <w:name w:val="toc 6"/>
    <w:basedOn w:val="Normln"/>
    <w:next w:val="Normln"/>
    <w:autoRedefine/>
    <w:uiPriority w:val="39"/>
    <w:unhideWhenUsed/>
    <w:rsid w:val="00A72C6C"/>
    <w:pPr>
      <w:spacing w:after="0"/>
      <w:ind w:left="1100"/>
    </w:pPr>
    <w:rPr>
      <w:sz w:val="18"/>
      <w:szCs w:val="18"/>
    </w:rPr>
  </w:style>
  <w:style w:type="paragraph" w:styleId="Obsah7">
    <w:name w:val="toc 7"/>
    <w:basedOn w:val="Normln"/>
    <w:next w:val="Normln"/>
    <w:autoRedefine/>
    <w:uiPriority w:val="39"/>
    <w:unhideWhenUsed/>
    <w:rsid w:val="00A72C6C"/>
    <w:pPr>
      <w:spacing w:after="0"/>
      <w:ind w:left="1320"/>
    </w:pPr>
    <w:rPr>
      <w:sz w:val="18"/>
      <w:szCs w:val="18"/>
    </w:rPr>
  </w:style>
  <w:style w:type="paragraph" w:styleId="Obsah8">
    <w:name w:val="toc 8"/>
    <w:basedOn w:val="Normln"/>
    <w:next w:val="Normln"/>
    <w:autoRedefine/>
    <w:uiPriority w:val="39"/>
    <w:unhideWhenUsed/>
    <w:rsid w:val="00A72C6C"/>
    <w:pPr>
      <w:spacing w:after="0"/>
      <w:ind w:left="1540"/>
    </w:pPr>
    <w:rPr>
      <w:sz w:val="18"/>
      <w:szCs w:val="18"/>
    </w:rPr>
  </w:style>
  <w:style w:type="paragraph" w:styleId="Obsah9">
    <w:name w:val="toc 9"/>
    <w:basedOn w:val="Normln"/>
    <w:next w:val="Normln"/>
    <w:autoRedefine/>
    <w:uiPriority w:val="39"/>
    <w:unhideWhenUsed/>
    <w:rsid w:val="00A72C6C"/>
    <w:pPr>
      <w:spacing w:after="0"/>
      <w:ind w:left="1760"/>
    </w:pPr>
    <w:rPr>
      <w:sz w:val="18"/>
      <w:szCs w:val="18"/>
    </w:rPr>
  </w:style>
  <w:style w:type="character" w:styleId="Odkaznakoment">
    <w:name w:val="annotation reference"/>
    <w:basedOn w:val="Standardnpsmoodstavce"/>
    <w:uiPriority w:val="99"/>
    <w:semiHidden/>
    <w:unhideWhenUsed/>
    <w:rsid w:val="003163AD"/>
    <w:rPr>
      <w:sz w:val="16"/>
      <w:szCs w:val="16"/>
    </w:rPr>
  </w:style>
  <w:style w:type="paragraph" w:styleId="Textkomente">
    <w:name w:val="annotation text"/>
    <w:basedOn w:val="Normln"/>
    <w:link w:val="TextkomenteChar"/>
    <w:uiPriority w:val="99"/>
    <w:semiHidden/>
    <w:unhideWhenUsed/>
    <w:rsid w:val="003163AD"/>
    <w:pPr>
      <w:spacing w:line="240" w:lineRule="auto"/>
    </w:pPr>
    <w:rPr>
      <w:sz w:val="20"/>
      <w:szCs w:val="20"/>
    </w:rPr>
  </w:style>
  <w:style w:type="character" w:customStyle="1" w:styleId="TextkomenteChar">
    <w:name w:val="Text komentáře Char"/>
    <w:basedOn w:val="Standardnpsmoodstavce"/>
    <w:link w:val="Textkomente"/>
    <w:uiPriority w:val="99"/>
    <w:semiHidden/>
    <w:rsid w:val="003163AD"/>
    <w:rPr>
      <w:sz w:val="20"/>
      <w:szCs w:val="20"/>
    </w:rPr>
  </w:style>
  <w:style w:type="paragraph" w:styleId="Pedmtkomente">
    <w:name w:val="annotation subject"/>
    <w:basedOn w:val="Textkomente"/>
    <w:next w:val="Textkomente"/>
    <w:link w:val="PedmtkomenteChar"/>
    <w:uiPriority w:val="99"/>
    <w:semiHidden/>
    <w:unhideWhenUsed/>
    <w:rsid w:val="003163AD"/>
    <w:rPr>
      <w:b/>
      <w:bCs/>
    </w:rPr>
  </w:style>
  <w:style w:type="character" w:customStyle="1" w:styleId="PedmtkomenteChar">
    <w:name w:val="Předmět komentáře Char"/>
    <w:basedOn w:val="TextkomenteChar"/>
    <w:link w:val="Pedmtkomente"/>
    <w:uiPriority w:val="99"/>
    <w:semiHidden/>
    <w:rsid w:val="003163AD"/>
    <w:rPr>
      <w:b/>
      <w:bCs/>
      <w:sz w:val="20"/>
      <w:szCs w:val="20"/>
    </w:rPr>
  </w:style>
  <w:style w:type="paragraph" w:styleId="Zkladntextodsazen">
    <w:name w:val="Body Text Indent"/>
    <w:basedOn w:val="Normln"/>
    <w:link w:val="ZkladntextodsazenChar"/>
    <w:rsid w:val="0013317C"/>
    <w:pPr>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13317C"/>
    <w:rPr>
      <w:rFonts w:ascii="Times New Roman" w:eastAsia="Times New Roman" w:hAnsi="Times New Roman" w:cs="Times New Roman"/>
      <w:sz w:val="24"/>
      <w:szCs w:val="24"/>
      <w:lang w:eastAsia="cs-CZ"/>
    </w:rPr>
  </w:style>
  <w:style w:type="paragraph" w:customStyle="1" w:styleId="Default">
    <w:name w:val="Default"/>
    <w:rsid w:val="00E45559"/>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6918">
      <w:bodyDiv w:val="1"/>
      <w:marLeft w:val="0"/>
      <w:marRight w:val="0"/>
      <w:marTop w:val="0"/>
      <w:marBottom w:val="0"/>
      <w:divBdr>
        <w:top w:val="none" w:sz="0" w:space="0" w:color="auto"/>
        <w:left w:val="none" w:sz="0" w:space="0" w:color="auto"/>
        <w:bottom w:val="none" w:sz="0" w:space="0" w:color="auto"/>
        <w:right w:val="none" w:sz="0" w:space="0" w:color="auto"/>
      </w:divBdr>
    </w:div>
    <w:div w:id="28651678">
      <w:bodyDiv w:val="1"/>
      <w:marLeft w:val="0"/>
      <w:marRight w:val="0"/>
      <w:marTop w:val="0"/>
      <w:marBottom w:val="0"/>
      <w:divBdr>
        <w:top w:val="none" w:sz="0" w:space="0" w:color="auto"/>
        <w:left w:val="none" w:sz="0" w:space="0" w:color="auto"/>
        <w:bottom w:val="none" w:sz="0" w:space="0" w:color="auto"/>
        <w:right w:val="none" w:sz="0" w:space="0" w:color="auto"/>
      </w:divBdr>
    </w:div>
    <w:div w:id="68384094">
      <w:bodyDiv w:val="1"/>
      <w:marLeft w:val="0"/>
      <w:marRight w:val="0"/>
      <w:marTop w:val="0"/>
      <w:marBottom w:val="0"/>
      <w:divBdr>
        <w:top w:val="none" w:sz="0" w:space="0" w:color="auto"/>
        <w:left w:val="none" w:sz="0" w:space="0" w:color="auto"/>
        <w:bottom w:val="none" w:sz="0" w:space="0" w:color="auto"/>
        <w:right w:val="none" w:sz="0" w:space="0" w:color="auto"/>
      </w:divBdr>
    </w:div>
    <w:div w:id="120466507">
      <w:bodyDiv w:val="1"/>
      <w:marLeft w:val="0"/>
      <w:marRight w:val="0"/>
      <w:marTop w:val="0"/>
      <w:marBottom w:val="0"/>
      <w:divBdr>
        <w:top w:val="none" w:sz="0" w:space="0" w:color="auto"/>
        <w:left w:val="none" w:sz="0" w:space="0" w:color="auto"/>
        <w:bottom w:val="none" w:sz="0" w:space="0" w:color="auto"/>
        <w:right w:val="none" w:sz="0" w:space="0" w:color="auto"/>
      </w:divBdr>
    </w:div>
    <w:div w:id="213004300">
      <w:bodyDiv w:val="1"/>
      <w:marLeft w:val="0"/>
      <w:marRight w:val="0"/>
      <w:marTop w:val="0"/>
      <w:marBottom w:val="0"/>
      <w:divBdr>
        <w:top w:val="none" w:sz="0" w:space="0" w:color="auto"/>
        <w:left w:val="none" w:sz="0" w:space="0" w:color="auto"/>
        <w:bottom w:val="none" w:sz="0" w:space="0" w:color="auto"/>
        <w:right w:val="none" w:sz="0" w:space="0" w:color="auto"/>
      </w:divBdr>
    </w:div>
    <w:div w:id="217475780">
      <w:bodyDiv w:val="1"/>
      <w:marLeft w:val="0"/>
      <w:marRight w:val="0"/>
      <w:marTop w:val="0"/>
      <w:marBottom w:val="0"/>
      <w:divBdr>
        <w:top w:val="none" w:sz="0" w:space="0" w:color="auto"/>
        <w:left w:val="none" w:sz="0" w:space="0" w:color="auto"/>
        <w:bottom w:val="none" w:sz="0" w:space="0" w:color="auto"/>
        <w:right w:val="none" w:sz="0" w:space="0" w:color="auto"/>
      </w:divBdr>
    </w:div>
    <w:div w:id="240018993">
      <w:bodyDiv w:val="1"/>
      <w:marLeft w:val="0"/>
      <w:marRight w:val="0"/>
      <w:marTop w:val="0"/>
      <w:marBottom w:val="0"/>
      <w:divBdr>
        <w:top w:val="none" w:sz="0" w:space="0" w:color="auto"/>
        <w:left w:val="none" w:sz="0" w:space="0" w:color="auto"/>
        <w:bottom w:val="none" w:sz="0" w:space="0" w:color="auto"/>
        <w:right w:val="none" w:sz="0" w:space="0" w:color="auto"/>
      </w:divBdr>
    </w:div>
    <w:div w:id="248539355">
      <w:bodyDiv w:val="1"/>
      <w:marLeft w:val="0"/>
      <w:marRight w:val="0"/>
      <w:marTop w:val="0"/>
      <w:marBottom w:val="0"/>
      <w:divBdr>
        <w:top w:val="none" w:sz="0" w:space="0" w:color="auto"/>
        <w:left w:val="none" w:sz="0" w:space="0" w:color="auto"/>
        <w:bottom w:val="none" w:sz="0" w:space="0" w:color="auto"/>
        <w:right w:val="none" w:sz="0" w:space="0" w:color="auto"/>
      </w:divBdr>
    </w:div>
    <w:div w:id="275065136">
      <w:bodyDiv w:val="1"/>
      <w:marLeft w:val="0"/>
      <w:marRight w:val="0"/>
      <w:marTop w:val="0"/>
      <w:marBottom w:val="0"/>
      <w:divBdr>
        <w:top w:val="none" w:sz="0" w:space="0" w:color="auto"/>
        <w:left w:val="none" w:sz="0" w:space="0" w:color="auto"/>
        <w:bottom w:val="none" w:sz="0" w:space="0" w:color="auto"/>
        <w:right w:val="none" w:sz="0" w:space="0" w:color="auto"/>
      </w:divBdr>
    </w:div>
    <w:div w:id="292369670">
      <w:bodyDiv w:val="1"/>
      <w:marLeft w:val="0"/>
      <w:marRight w:val="0"/>
      <w:marTop w:val="0"/>
      <w:marBottom w:val="0"/>
      <w:divBdr>
        <w:top w:val="none" w:sz="0" w:space="0" w:color="auto"/>
        <w:left w:val="none" w:sz="0" w:space="0" w:color="auto"/>
        <w:bottom w:val="none" w:sz="0" w:space="0" w:color="auto"/>
        <w:right w:val="none" w:sz="0" w:space="0" w:color="auto"/>
      </w:divBdr>
    </w:div>
    <w:div w:id="453714804">
      <w:bodyDiv w:val="1"/>
      <w:marLeft w:val="0"/>
      <w:marRight w:val="0"/>
      <w:marTop w:val="0"/>
      <w:marBottom w:val="0"/>
      <w:divBdr>
        <w:top w:val="none" w:sz="0" w:space="0" w:color="auto"/>
        <w:left w:val="none" w:sz="0" w:space="0" w:color="auto"/>
        <w:bottom w:val="none" w:sz="0" w:space="0" w:color="auto"/>
        <w:right w:val="none" w:sz="0" w:space="0" w:color="auto"/>
      </w:divBdr>
    </w:div>
    <w:div w:id="502404725">
      <w:bodyDiv w:val="1"/>
      <w:marLeft w:val="0"/>
      <w:marRight w:val="0"/>
      <w:marTop w:val="0"/>
      <w:marBottom w:val="0"/>
      <w:divBdr>
        <w:top w:val="none" w:sz="0" w:space="0" w:color="auto"/>
        <w:left w:val="none" w:sz="0" w:space="0" w:color="auto"/>
        <w:bottom w:val="none" w:sz="0" w:space="0" w:color="auto"/>
        <w:right w:val="none" w:sz="0" w:space="0" w:color="auto"/>
      </w:divBdr>
    </w:div>
    <w:div w:id="550386379">
      <w:bodyDiv w:val="1"/>
      <w:marLeft w:val="0"/>
      <w:marRight w:val="0"/>
      <w:marTop w:val="0"/>
      <w:marBottom w:val="0"/>
      <w:divBdr>
        <w:top w:val="none" w:sz="0" w:space="0" w:color="auto"/>
        <w:left w:val="none" w:sz="0" w:space="0" w:color="auto"/>
        <w:bottom w:val="none" w:sz="0" w:space="0" w:color="auto"/>
        <w:right w:val="none" w:sz="0" w:space="0" w:color="auto"/>
      </w:divBdr>
    </w:div>
    <w:div w:id="588733343">
      <w:bodyDiv w:val="1"/>
      <w:marLeft w:val="0"/>
      <w:marRight w:val="0"/>
      <w:marTop w:val="0"/>
      <w:marBottom w:val="0"/>
      <w:divBdr>
        <w:top w:val="none" w:sz="0" w:space="0" w:color="auto"/>
        <w:left w:val="none" w:sz="0" w:space="0" w:color="auto"/>
        <w:bottom w:val="none" w:sz="0" w:space="0" w:color="auto"/>
        <w:right w:val="none" w:sz="0" w:space="0" w:color="auto"/>
      </w:divBdr>
    </w:div>
    <w:div w:id="678895198">
      <w:bodyDiv w:val="1"/>
      <w:marLeft w:val="0"/>
      <w:marRight w:val="0"/>
      <w:marTop w:val="0"/>
      <w:marBottom w:val="0"/>
      <w:divBdr>
        <w:top w:val="none" w:sz="0" w:space="0" w:color="auto"/>
        <w:left w:val="none" w:sz="0" w:space="0" w:color="auto"/>
        <w:bottom w:val="none" w:sz="0" w:space="0" w:color="auto"/>
        <w:right w:val="none" w:sz="0" w:space="0" w:color="auto"/>
      </w:divBdr>
    </w:div>
    <w:div w:id="697850662">
      <w:bodyDiv w:val="1"/>
      <w:marLeft w:val="0"/>
      <w:marRight w:val="0"/>
      <w:marTop w:val="0"/>
      <w:marBottom w:val="0"/>
      <w:divBdr>
        <w:top w:val="none" w:sz="0" w:space="0" w:color="auto"/>
        <w:left w:val="none" w:sz="0" w:space="0" w:color="auto"/>
        <w:bottom w:val="none" w:sz="0" w:space="0" w:color="auto"/>
        <w:right w:val="none" w:sz="0" w:space="0" w:color="auto"/>
      </w:divBdr>
    </w:div>
    <w:div w:id="713038682">
      <w:bodyDiv w:val="1"/>
      <w:marLeft w:val="0"/>
      <w:marRight w:val="0"/>
      <w:marTop w:val="0"/>
      <w:marBottom w:val="0"/>
      <w:divBdr>
        <w:top w:val="none" w:sz="0" w:space="0" w:color="auto"/>
        <w:left w:val="none" w:sz="0" w:space="0" w:color="auto"/>
        <w:bottom w:val="none" w:sz="0" w:space="0" w:color="auto"/>
        <w:right w:val="none" w:sz="0" w:space="0" w:color="auto"/>
      </w:divBdr>
    </w:div>
    <w:div w:id="757945647">
      <w:bodyDiv w:val="1"/>
      <w:marLeft w:val="0"/>
      <w:marRight w:val="0"/>
      <w:marTop w:val="0"/>
      <w:marBottom w:val="0"/>
      <w:divBdr>
        <w:top w:val="none" w:sz="0" w:space="0" w:color="auto"/>
        <w:left w:val="none" w:sz="0" w:space="0" w:color="auto"/>
        <w:bottom w:val="none" w:sz="0" w:space="0" w:color="auto"/>
        <w:right w:val="none" w:sz="0" w:space="0" w:color="auto"/>
      </w:divBdr>
    </w:div>
    <w:div w:id="833448070">
      <w:bodyDiv w:val="1"/>
      <w:marLeft w:val="0"/>
      <w:marRight w:val="0"/>
      <w:marTop w:val="0"/>
      <w:marBottom w:val="0"/>
      <w:divBdr>
        <w:top w:val="none" w:sz="0" w:space="0" w:color="auto"/>
        <w:left w:val="none" w:sz="0" w:space="0" w:color="auto"/>
        <w:bottom w:val="none" w:sz="0" w:space="0" w:color="auto"/>
        <w:right w:val="none" w:sz="0" w:space="0" w:color="auto"/>
      </w:divBdr>
    </w:div>
    <w:div w:id="893546945">
      <w:bodyDiv w:val="1"/>
      <w:marLeft w:val="0"/>
      <w:marRight w:val="0"/>
      <w:marTop w:val="0"/>
      <w:marBottom w:val="0"/>
      <w:divBdr>
        <w:top w:val="none" w:sz="0" w:space="0" w:color="auto"/>
        <w:left w:val="none" w:sz="0" w:space="0" w:color="auto"/>
        <w:bottom w:val="none" w:sz="0" w:space="0" w:color="auto"/>
        <w:right w:val="none" w:sz="0" w:space="0" w:color="auto"/>
      </w:divBdr>
    </w:div>
    <w:div w:id="989750455">
      <w:bodyDiv w:val="1"/>
      <w:marLeft w:val="0"/>
      <w:marRight w:val="0"/>
      <w:marTop w:val="0"/>
      <w:marBottom w:val="0"/>
      <w:divBdr>
        <w:top w:val="none" w:sz="0" w:space="0" w:color="auto"/>
        <w:left w:val="none" w:sz="0" w:space="0" w:color="auto"/>
        <w:bottom w:val="none" w:sz="0" w:space="0" w:color="auto"/>
        <w:right w:val="none" w:sz="0" w:space="0" w:color="auto"/>
      </w:divBdr>
    </w:div>
    <w:div w:id="1034961425">
      <w:bodyDiv w:val="1"/>
      <w:marLeft w:val="0"/>
      <w:marRight w:val="0"/>
      <w:marTop w:val="0"/>
      <w:marBottom w:val="0"/>
      <w:divBdr>
        <w:top w:val="none" w:sz="0" w:space="0" w:color="auto"/>
        <w:left w:val="none" w:sz="0" w:space="0" w:color="auto"/>
        <w:bottom w:val="none" w:sz="0" w:space="0" w:color="auto"/>
        <w:right w:val="none" w:sz="0" w:space="0" w:color="auto"/>
      </w:divBdr>
    </w:div>
    <w:div w:id="1037006586">
      <w:bodyDiv w:val="1"/>
      <w:marLeft w:val="0"/>
      <w:marRight w:val="0"/>
      <w:marTop w:val="0"/>
      <w:marBottom w:val="0"/>
      <w:divBdr>
        <w:top w:val="none" w:sz="0" w:space="0" w:color="auto"/>
        <w:left w:val="none" w:sz="0" w:space="0" w:color="auto"/>
        <w:bottom w:val="none" w:sz="0" w:space="0" w:color="auto"/>
        <w:right w:val="none" w:sz="0" w:space="0" w:color="auto"/>
      </w:divBdr>
    </w:div>
    <w:div w:id="1135873653">
      <w:bodyDiv w:val="1"/>
      <w:marLeft w:val="0"/>
      <w:marRight w:val="0"/>
      <w:marTop w:val="0"/>
      <w:marBottom w:val="0"/>
      <w:divBdr>
        <w:top w:val="none" w:sz="0" w:space="0" w:color="auto"/>
        <w:left w:val="none" w:sz="0" w:space="0" w:color="auto"/>
        <w:bottom w:val="none" w:sz="0" w:space="0" w:color="auto"/>
        <w:right w:val="none" w:sz="0" w:space="0" w:color="auto"/>
      </w:divBdr>
    </w:div>
    <w:div w:id="1150755479">
      <w:bodyDiv w:val="1"/>
      <w:marLeft w:val="0"/>
      <w:marRight w:val="0"/>
      <w:marTop w:val="0"/>
      <w:marBottom w:val="0"/>
      <w:divBdr>
        <w:top w:val="none" w:sz="0" w:space="0" w:color="auto"/>
        <w:left w:val="none" w:sz="0" w:space="0" w:color="auto"/>
        <w:bottom w:val="none" w:sz="0" w:space="0" w:color="auto"/>
        <w:right w:val="none" w:sz="0" w:space="0" w:color="auto"/>
      </w:divBdr>
    </w:div>
    <w:div w:id="1278178039">
      <w:bodyDiv w:val="1"/>
      <w:marLeft w:val="0"/>
      <w:marRight w:val="0"/>
      <w:marTop w:val="0"/>
      <w:marBottom w:val="0"/>
      <w:divBdr>
        <w:top w:val="none" w:sz="0" w:space="0" w:color="auto"/>
        <w:left w:val="none" w:sz="0" w:space="0" w:color="auto"/>
        <w:bottom w:val="none" w:sz="0" w:space="0" w:color="auto"/>
        <w:right w:val="none" w:sz="0" w:space="0" w:color="auto"/>
      </w:divBdr>
    </w:div>
    <w:div w:id="1329946319">
      <w:bodyDiv w:val="1"/>
      <w:marLeft w:val="0"/>
      <w:marRight w:val="0"/>
      <w:marTop w:val="0"/>
      <w:marBottom w:val="0"/>
      <w:divBdr>
        <w:top w:val="none" w:sz="0" w:space="0" w:color="auto"/>
        <w:left w:val="none" w:sz="0" w:space="0" w:color="auto"/>
        <w:bottom w:val="none" w:sz="0" w:space="0" w:color="auto"/>
        <w:right w:val="none" w:sz="0" w:space="0" w:color="auto"/>
      </w:divBdr>
    </w:div>
    <w:div w:id="1347632183">
      <w:bodyDiv w:val="1"/>
      <w:marLeft w:val="0"/>
      <w:marRight w:val="0"/>
      <w:marTop w:val="0"/>
      <w:marBottom w:val="0"/>
      <w:divBdr>
        <w:top w:val="none" w:sz="0" w:space="0" w:color="auto"/>
        <w:left w:val="none" w:sz="0" w:space="0" w:color="auto"/>
        <w:bottom w:val="none" w:sz="0" w:space="0" w:color="auto"/>
        <w:right w:val="none" w:sz="0" w:space="0" w:color="auto"/>
      </w:divBdr>
    </w:div>
    <w:div w:id="1371302542">
      <w:bodyDiv w:val="1"/>
      <w:marLeft w:val="0"/>
      <w:marRight w:val="0"/>
      <w:marTop w:val="0"/>
      <w:marBottom w:val="0"/>
      <w:divBdr>
        <w:top w:val="none" w:sz="0" w:space="0" w:color="auto"/>
        <w:left w:val="none" w:sz="0" w:space="0" w:color="auto"/>
        <w:bottom w:val="none" w:sz="0" w:space="0" w:color="auto"/>
        <w:right w:val="none" w:sz="0" w:space="0" w:color="auto"/>
      </w:divBdr>
    </w:div>
    <w:div w:id="1400862120">
      <w:bodyDiv w:val="1"/>
      <w:marLeft w:val="0"/>
      <w:marRight w:val="0"/>
      <w:marTop w:val="0"/>
      <w:marBottom w:val="0"/>
      <w:divBdr>
        <w:top w:val="none" w:sz="0" w:space="0" w:color="auto"/>
        <w:left w:val="none" w:sz="0" w:space="0" w:color="auto"/>
        <w:bottom w:val="none" w:sz="0" w:space="0" w:color="auto"/>
        <w:right w:val="none" w:sz="0" w:space="0" w:color="auto"/>
      </w:divBdr>
    </w:div>
    <w:div w:id="1410419926">
      <w:bodyDiv w:val="1"/>
      <w:marLeft w:val="0"/>
      <w:marRight w:val="0"/>
      <w:marTop w:val="0"/>
      <w:marBottom w:val="0"/>
      <w:divBdr>
        <w:top w:val="none" w:sz="0" w:space="0" w:color="auto"/>
        <w:left w:val="none" w:sz="0" w:space="0" w:color="auto"/>
        <w:bottom w:val="none" w:sz="0" w:space="0" w:color="auto"/>
        <w:right w:val="none" w:sz="0" w:space="0" w:color="auto"/>
      </w:divBdr>
    </w:div>
    <w:div w:id="1520971674">
      <w:bodyDiv w:val="1"/>
      <w:marLeft w:val="0"/>
      <w:marRight w:val="0"/>
      <w:marTop w:val="0"/>
      <w:marBottom w:val="0"/>
      <w:divBdr>
        <w:top w:val="none" w:sz="0" w:space="0" w:color="auto"/>
        <w:left w:val="none" w:sz="0" w:space="0" w:color="auto"/>
        <w:bottom w:val="none" w:sz="0" w:space="0" w:color="auto"/>
        <w:right w:val="none" w:sz="0" w:space="0" w:color="auto"/>
      </w:divBdr>
    </w:div>
    <w:div w:id="1539009056">
      <w:bodyDiv w:val="1"/>
      <w:marLeft w:val="0"/>
      <w:marRight w:val="0"/>
      <w:marTop w:val="0"/>
      <w:marBottom w:val="0"/>
      <w:divBdr>
        <w:top w:val="none" w:sz="0" w:space="0" w:color="auto"/>
        <w:left w:val="none" w:sz="0" w:space="0" w:color="auto"/>
        <w:bottom w:val="none" w:sz="0" w:space="0" w:color="auto"/>
        <w:right w:val="none" w:sz="0" w:space="0" w:color="auto"/>
      </w:divBdr>
    </w:div>
    <w:div w:id="1608849313">
      <w:bodyDiv w:val="1"/>
      <w:marLeft w:val="0"/>
      <w:marRight w:val="0"/>
      <w:marTop w:val="0"/>
      <w:marBottom w:val="0"/>
      <w:divBdr>
        <w:top w:val="none" w:sz="0" w:space="0" w:color="auto"/>
        <w:left w:val="none" w:sz="0" w:space="0" w:color="auto"/>
        <w:bottom w:val="none" w:sz="0" w:space="0" w:color="auto"/>
        <w:right w:val="none" w:sz="0" w:space="0" w:color="auto"/>
      </w:divBdr>
    </w:div>
    <w:div w:id="1633365028">
      <w:bodyDiv w:val="1"/>
      <w:marLeft w:val="0"/>
      <w:marRight w:val="0"/>
      <w:marTop w:val="0"/>
      <w:marBottom w:val="0"/>
      <w:divBdr>
        <w:top w:val="none" w:sz="0" w:space="0" w:color="auto"/>
        <w:left w:val="none" w:sz="0" w:space="0" w:color="auto"/>
        <w:bottom w:val="none" w:sz="0" w:space="0" w:color="auto"/>
        <w:right w:val="none" w:sz="0" w:space="0" w:color="auto"/>
      </w:divBdr>
    </w:div>
    <w:div w:id="1698627862">
      <w:bodyDiv w:val="1"/>
      <w:marLeft w:val="0"/>
      <w:marRight w:val="0"/>
      <w:marTop w:val="0"/>
      <w:marBottom w:val="0"/>
      <w:divBdr>
        <w:top w:val="none" w:sz="0" w:space="0" w:color="auto"/>
        <w:left w:val="none" w:sz="0" w:space="0" w:color="auto"/>
        <w:bottom w:val="none" w:sz="0" w:space="0" w:color="auto"/>
        <w:right w:val="none" w:sz="0" w:space="0" w:color="auto"/>
      </w:divBdr>
    </w:div>
    <w:div w:id="1838769222">
      <w:bodyDiv w:val="1"/>
      <w:marLeft w:val="0"/>
      <w:marRight w:val="0"/>
      <w:marTop w:val="0"/>
      <w:marBottom w:val="0"/>
      <w:divBdr>
        <w:top w:val="none" w:sz="0" w:space="0" w:color="auto"/>
        <w:left w:val="none" w:sz="0" w:space="0" w:color="auto"/>
        <w:bottom w:val="none" w:sz="0" w:space="0" w:color="auto"/>
        <w:right w:val="none" w:sz="0" w:space="0" w:color="auto"/>
      </w:divBdr>
    </w:div>
    <w:div w:id="1906988979">
      <w:bodyDiv w:val="1"/>
      <w:marLeft w:val="0"/>
      <w:marRight w:val="0"/>
      <w:marTop w:val="0"/>
      <w:marBottom w:val="0"/>
      <w:divBdr>
        <w:top w:val="none" w:sz="0" w:space="0" w:color="auto"/>
        <w:left w:val="none" w:sz="0" w:space="0" w:color="auto"/>
        <w:bottom w:val="none" w:sz="0" w:space="0" w:color="auto"/>
        <w:right w:val="none" w:sz="0" w:space="0" w:color="auto"/>
      </w:divBdr>
    </w:div>
    <w:div w:id="1939680121">
      <w:bodyDiv w:val="1"/>
      <w:marLeft w:val="0"/>
      <w:marRight w:val="0"/>
      <w:marTop w:val="0"/>
      <w:marBottom w:val="0"/>
      <w:divBdr>
        <w:top w:val="none" w:sz="0" w:space="0" w:color="auto"/>
        <w:left w:val="none" w:sz="0" w:space="0" w:color="auto"/>
        <w:bottom w:val="none" w:sz="0" w:space="0" w:color="auto"/>
        <w:right w:val="none" w:sz="0" w:space="0" w:color="auto"/>
      </w:divBdr>
    </w:div>
    <w:div w:id="2103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List_aplikace_Microsoft_Excel1.xls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List_aplikace_Microsoft_Excel14.xlsx"/><Relationship Id="rId21" Type="http://schemas.openxmlformats.org/officeDocument/2006/relationships/package" Target="embeddings/List_aplikace_Microsoft_Excel5.xlsx"/><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List_aplikace_Microsoft_Excel18.xlsx"/><Relationship Id="rId50" Type="http://schemas.openxmlformats.org/officeDocument/2006/relationships/image" Target="media/image21.emf"/><Relationship Id="rId55" Type="http://schemas.openxmlformats.org/officeDocument/2006/relationships/package" Target="embeddings/List_aplikace_Microsoft_Excel22.xlsx"/><Relationship Id="rId63" Type="http://schemas.openxmlformats.org/officeDocument/2006/relationships/package" Target="embeddings/List_aplikace_Microsoft_Excel26.xls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package" Target="embeddings/List_aplikace_Microsoft_Excel9.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List_aplikace_Microsoft_Excel13.xlsx"/><Relationship Id="rId40" Type="http://schemas.openxmlformats.org/officeDocument/2006/relationships/image" Target="media/image16.emf"/><Relationship Id="rId45" Type="http://schemas.openxmlformats.org/officeDocument/2006/relationships/package" Target="embeddings/List_aplikace_Microsoft_Excel17.xlsx"/><Relationship Id="rId53" Type="http://schemas.openxmlformats.org/officeDocument/2006/relationships/package" Target="embeddings/List_aplikace_Microsoft_Excel21.xlsx"/><Relationship Id="rId58" Type="http://schemas.openxmlformats.org/officeDocument/2006/relationships/image" Target="media/image25.e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List_aplikace_Microsoft_Excel2.xlsx"/><Relationship Id="rId23" Type="http://schemas.openxmlformats.org/officeDocument/2006/relationships/package" Target="embeddings/List_aplikace_Microsoft_Excel6.xlsx"/><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List_aplikace_Microsoft_Excel19.xlsx"/><Relationship Id="rId57" Type="http://schemas.openxmlformats.org/officeDocument/2006/relationships/package" Target="embeddings/List_aplikace_Microsoft_Excel23.xlsx"/><Relationship Id="rId61" Type="http://schemas.openxmlformats.org/officeDocument/2006/relationships/package" Target="embeddings/List_aplikace_Microsoft_Excel25.xlsx"/><Relationship Id="rId10" Type="http://schemas.openxmlformats.org/officeDocument/2006/relationships/image" Target="media/image1.emf"/><Relationship Id="rId19" Type="http://schemas.openxmlformats.org/officeDocument/2006/relationships/package" Target="embeddings/List_aplikace_Microsoft_Excel4.xlsx"/><Relationship Id="rId31" Type="http://schemas.openxmlformats.org/officeDocument/2006/relationships/package" Target="embeddings/List_aplikace_Microsoft_Excel10.xlsx"/><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package" Target="embeddings/List_aplikace_Microsoft_Excel27.xlsx"/><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List_aplikace_Microsoft_Excel8.xlsx"/><Relationship Id="rId30" Type="http://schemas.openxmlformats.org/officeDocument/2006/relationships/image" Target="media/image11.emf"/><Relationship Id="rId35" Type="http://schemas.openxmlformats.org/officeDocument/2006/relationships/package" Target="embeddings/List_aplikace_Microsoft_Excel12.xlsx"/><Relationship Id="rId43" Type="http://schemas.openxmlformats.org/officeDocument/2006/relationships/package" Target="embeddings/List_aplikace_Microsoft_Excel16.xlsx"/><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image" Target="media/image28.emf"/><Relationship Id="rId8" Type="http://schemas.openxmlformats.org/officeDocument/2006/relationships/footer" Target="footer1.xml"/><Relationship Id="rId51" Type="http://schemas.openxmlformats.org/officeDocument/2006/relationships/package" Target="embeddings/List_aplikace_Microsoft_Excel20.xlsx"/><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package" Target="embeddings/List_aplikace_Microsoft_Excel3.xlsx"/><Relationship Id="rId25" Type="http://schemas.openxmlformats.org/officeDocument/2006/relationships/package" Target="embeddings/List_aplikace_Microsoft_Excel7.xlsx"/><Relationship Id="rId33" Type="http://schemas.openxmlformats.org/officeDocument/2006/relationships/package" Target="embeddings/List_aplikace_Microsoft_Excel11.xlsx"/><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package" Target="embeddings/List_aplikace_Microsoft_Excel24.xlsx"/><Relationship Id="rId67"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package" Target="embeddings/List_aplikace_Microsoft_Excel15.xlsx"/><Relationship Id="rId54" Type="http://schemas.openxmlformats.org/officeDocument/2006/relationships/image" Target="media/image23.emf"/><Relationship Id="rId62" Type="http://schemas.openxmlformats.org/officeDocument/2006/relationships/image" Target="media/image27.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2F6268B-9426-4C14-872D-FEDB1D2F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6375</TotalTime>
  <Pages>42</Pages>
  <Words>7273</Words>
  <Characters>42913</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Klobásová Daniela, Ing.</dc:creator>
  <cp:lastModifiedBy>Juhászová Naděžda</cp:lastModifiedBy>
  <cp:revision>57</cp:revision>
  <cp:lastPrinted>2023-01-30T06:21:00Z</cp:lastPrinted>
  <dcterms:created xsi:type="dcterms:W3CDTF">2022-12-27T07:05:00Z</dcterms:created>
  <dcterms:modified xsi:type="dcterms:W3CDTF">2023-02-23T06:55:00Z</dcterms:modified>
</cp:coreProperties>
</file>