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B4" w:rsidRDefault="00977C15" w:rsidP="00CD41B4">
      <w:pPr>
        <w:spacing w:after="600"/>
        <w:ind w:firstLine="567"/>
        <w:jc w:val="center"/>
        <w:rPr>
          <w:b/>
          <w:sz w:val="28"/>
        </w:rPr>
      </w:pPr>
      <w:r w:rsidRPr="00977C15">
        <w:rPr>
          <w:b/>
          <w:sz w:val="28"/>
        </w:rPr>
        <w:t>Informace k podání návrhu na výkon rozhodnutí</w:t>
      </w:r>
    </w:p>
    <w:p w:rsidR="00CD41B4" w:rsidRDefault="007C57FF" w:rsidP="00CD41B4">
      <w:pPr>
        <w:spacing w:after="240" w:line="276" w:lineRule="auto"/>
        <w:jc w:val="both"/>
      </w:pPr>
      <w:r>
        <w:t>Pro nařízení soudního výkonu rozhodnutí je příslušný k nařízení</w:t>
      </w:r>
      <w:r w:rsidR="00EE4C1B">
        <w:t xml:space="preserve"> a provedení výkonu rozhodnutí </w:t>
      </w:r>
      <w:r>
        <w:t>pro výživné na zletilého</w:t>
      </w:r>
      <w:r w:rsidR="00FE24E9">
        <w:t xml:space="preserve">, výživné na  nerozvedenou nebo rozvedenou  manželku je </w:t>
      </w:r>
      <w:r>
        <w:t xml:space="preserve">obecný soud (tj. </w:t>
      </w:r>
      <w:proofErr w:type="gramStart"/>
      <w:r>
        <w:t>soud v je</w:t>
      </w:r>
      <w:r w:rsidR="00FE24E9">
        <w:t>hož</w:t>
      </w:r>
      <w:proofErr w:type="gramEnd"/>
      <w:r w:rsidR="00FE24E9">
        <w:t xml:space="preserve"> obvodu má povinný bydliště), </w:t>
      </w:r>
      <w:r w:rsidRPr="00EE4C1B">
        <w:rPr>
          <w:u w:val="single"/>
        </w:rPr>
        <w:t xml:space="preserve">V případě návrhu na výkon rozhodnutí pro nezletilé dítě je příslušný soud </w:t>
      </w:r>
      <w:r w:rsidRPr="00EE4C1B">
        <w:rPr>
          <w:b/>
          <w:u w:val="single"/>
        </w:rPr>
        <w:t>podle bydliště nezletilého</w:t>
      </w:r>
      <w:r w:rsidRPr="00EE4C1B">
        <w:rPr>
          <w:b/>
        </w:rPr>
        <w:t>.</w:t>
      </w:r>
    </w:p>
    <w:p w:rsidR="00CD41B4" w:rsidRDefault="007C57FF" w:rsidP="00CD41B4">
      <w:pPr>
        <w:spacing w:after="240" w:line="276" w:lineRule="auto"/>
        <w:jc w:val="both"/>
      </w:pPr>
      <w:r>
        <w:t>U návrhu na výkon rozhodnutí pro nezletilé dítě je  účastníkem řízení na straně oprávněného</w:t>
      </w:r>
      <w:r w:rsidR="00EE4C1B">
        <w:t xml:space="preserve"> </w:t>
      </w:r>
      <w:r>
        <w:t>nezletilý, zastoupený zákonným zástupcem (tj. rodičem nebo tím, komu bylo rozsudkem dítě svěřeno do výchovy).</w:t>
      </w:r>
    </w:p>
    <w:p w:rsidR="00CD41B4" w:rsidRDefault="00A10236" w:rsidP="00CD41B4">
      <w:pPr>
        <w:spacing w:after="240" w:line="276" w:lineRule="auto"/>
        <w:jc w:val="both"/>
      </w:pPr>
      <w:r>
        <w:t>Podává-li návrh na výkon rozhodnu</w:t>
      </w:r>
      <w:r w:rsidR="00AB2943">
        <w:t>tí</w:t>
      </w:r>
      <w:r>
        <w:t xml:space="preserve"> zl</w:t>
      </w:r>
      <w:r w:rsidR="00AB2943">
        <w:t xml:space="preserve">etilé dítě, již není automaticky zastoupen </w:t>
      </w:r>
      <w:r>
        <w:t>rodičem, kterému byl svěř</w:t>
      </w:r>
      <w:r w:rsidR="007D17D5">
        <w:t>e</w:t>
      </w:r>
      <w:r w:rsidR="00AB2943">
        <w:t>n do výchovy, je třeba připojit</w:t>
      </w:r>
      <w:r w:rsidR="007D17D5">
        <w:t xml:space="preserve"> plnou moc k zastupování, pokud chce být zastoupen.</w:t>
      </w:r>
    </w:p>
    <w:p w:rsidR="00CD41B4" w:rsidRDefault="007C57FF" w:rsidP="00CD41B4">
      <w:pPr>
        <w:spacing w:after="240" w:line="276" w:lineRule="auto"/>
        <w:jc w:val="both"/>
      </w:pPr>
      <w:r>
        <w:t>Návrh na vý</w:t>
      </w:r>
      <w:r w:rsidR="007D17D5">
        <w:t>kon rozhodnutí pro dlužné a běž</w:t>
      </w:r>
      <w:r>
        <w:t xml:space="preserve">né výživné je možné podat pouze srážkou ze mzdy </w:t>
      </w:r>
      <w:r w:rsidR="00042521">
        <w:t xml:space="preserve">nebo jiných příjmů </w:t>
      </w:r>
      <w:r w:rsidR="00AB2943">
        <w:t>povinného</w:t>
      </w:r>
      <w:r>
        <w:t xml:space="preserve">, kde je nutno přesně označit plátce mzdy povinného tak, aby měl </w:t>
      </w:r>
      <w:r w:rsidR="00FE24E9">
        <w:t xml:space="preserve">právní subjektivitu (tj. tak jak je </w:t>
      </w:r>
      <w:r>
        <w:t>zapsán v obchodním nebo živnostenském rejstříku)</w:t>
      </w:r>
    </w:p>
    <w:p w:rsidR="00CD41B4" w:rsidRDefault="00AB2943" w:rsidP="00CD41B4">
      <w:pPr>
        <w:spacing w:after="240" w:line="276" w:lineRule="auto"/>
        <w:jc w:val="both"/>
      </w:pPr>
      <w:r>
        <w:t xml:space="preserve">Návrh na výkon rozhodnutí </w:t>
      </w:r>
      <w:r w:rsidR="00BF5C3A">
        <w:t>přikázáním pohled</w:t>
      </w:r>
      <w:r>
        <w:t>ávk</w:t>
      </w:r>
      <w:bookmarkStart w:id="0" w:name="_GoBack"/>
      <w:bookmarkEnd w:id="0"/>
      <w:r>
        <w:t xml:space="preserve">y z účtu u peněžního ústavu </w:t>
      </w:r>
      <w:r w:rsidR="00BF5C3A">
        <w:t>je možné podat p</w:t>
      </w:r>
      <w:r w:rsidR="007C57FF">
        <w:t xml:space="preserve">ouze </w:t>
      </w:r>
      <w:r>
        <w:t>pro dlužné výživné. V návrhu je nutno</w:t>
      </w:r>
      <w:r w:rsidR="00042521">
        <w:t xml:space="preserve"> přesně označit peněžní ústav (a jeho sídlo – dle obchodního rejstříku) a číslo účtu povinného</w:t>
      </w:r>
      <w:r w:rsidR="00BF5C3A">
        <w:t>.</w:t>
      </w:r>
    </w:p>
    <w:p w:rsidR="00CD41B4" w:rsidRDefault="00BF5C3A" w:rsidP="00CD41B4">
      <w:pPr>
        <w:spacing w:after="240" w:line="276" w:lineRule="auto"/>
        <w:jc w:val="both"/>
      </w:pPr>
      <w:r>
        <w:t>Návrh na výkon rozhodnutí prodejem movitých věcí je možné podat pouze pro dlužné výživné.</w:t>
      </w:r>
    </w:p>
    <w:p w:rsidR="00CD41B4" w:rsidRDefault="001924FE" w:rsidP="00CD41B4">
      <w:pPr>
        <w:spacing w:after="240" w:line="276" w:lineRule="auto"/>
        <w:jc w:val="both"/>
        <w:rPr>
          <w:b/>
        </w:rPr>
      </w:pPr>
      <w:r w:rsidRPr="00BF5C3A">
        <w:rPr>
          <w:b/>
        </w:rPr>
        <w:t>Ná</w:t>
      </w:r>
      <w:r w:rsidR="007F7C3A" w:rsidRPr="00BF5C3A">
        <w:rPr>
          <w:b/>
        </w:rPr>
        <w:t>vrh na výkon rozhodnutí</w:t>
      </w:r>
      <w:r w:rsidRPr="00BF5C3A">
        <w:rPr>
          <w:b/>
        </w:rPr>
        <w:t xml:space="preserve"> pro výživné </w:t>
      </w:r>
      <w:r w:rsidR="007F7C3A" w:rsidRPr="00BF5C3A">
        <w:rPr>
          <w:b/>
        </w:rPr>
        <w:t xml:space="preserve">je nutno podat pro každé dítě </w:t>
      </w:r>
      <w:r w:rsidRPr="00BF5C3A">
        <w:rPr>
          <w:b/>
        </w:rPr>
        <w:t xml:space="preserve"> samostatně</w:t>
      </w:r>
      <w:r w:rsidR="00BF5C3A" w:rsidRPr="00BF5C3A">
        <w:rPr>
          <w:b/>
        </w:rPr>
        <w:t>.</w:t>
      </w:r>
    </w:p>
    <w:p w:rsidR="00CD41B4" w:rsidRDefault="001924FE" w:rsidP="00CD41B4">
      <w:pPr>
        <w:spacing w:after="240" w:line="276" w:lineRule="auto"/>
        <w:jc w:val="both"/>
      </w:pPr>
      <w:r>
        <w:t>U všech návrhů nesmí chybět podpis oprávněného</w:t>
      </w:r>
      <w:r w:rsidR="00AB2943">
        <w:t xml:space="preserve"> (zákonného zástupce oprávněného)</w:t>
      </w:r>
      <w:r>
        <w:t xml:space="preserve"> a adresa nebo číslo účtu</w:t>
      </w:r>
      <w:r w:rsidR="00AB2943">
        <w:t xml:space="preserve"> (včetně peněžního ústavu)</w:t>
      </w:r>
      <w:r>
        <w:t>, kam mají být srážky zasílány.</w:t>
      </w:r>
    </w:p>
    <w:p w:rsidR="00CD41B4" w:rsidRDefault="008950A4" w:rsidP="00CD41B4">
      <w:pPr>
        <w:spacing w:after="240" w:line="276" w:lineRule="auto"/>
        <w:jc w:val="both"/>
      </w:pPr>
      <w:r>
        <w:t>Návrh učiněný telefaxem nebo v elektronické podobě má účinek jen tehdy,</w:t>
      </w:r>
      <w:r w:rsidR="00AB2943">
        <w:t xml:space="preserve"> jestliže byl do 3 dnů doplněn</w:t>
      </w:r>
      <w:r w:rsidR="00960944">
        <w:t xml:space="preserve"> písemným podáním </w:t>
      </w:r>
      <w:r>
        <w:t>(tj. předložením originálu ve dvojím vyhotovení.</w:t>
      </w:r>
      <w:r w:rsidR="00960944">
        <w:t xml:space="preserve"> </w:t>
      </w:r>
      <w:r>
        <w:t>Toto doplnění je povinen oprávněný</w:t>
      </w:r>
      <w:r w:rsidR="00960944">
        <w:t xml:space="preserve"> ve stanovené lhůtě provést bez</w:t>
      </w:r>
      <w:r>
        <w:t xml:space="preserve"> zvláštní výz</w:t>
      </w:r>
      <w:r w:rsidR="00960944">
        <w:t>vy soudu; neučiní</w:t>
      </w:r>
      <w:r w:rsidR="00960944">
        <w:noBreakHyphen/>
        <w:t xml:space="preserve">li tak, soud </w:t>
      </w:r>
      <w:r>
        <w:t xml:space="preserve">postupuje, jako by takové podání vůbec nebylo učiněno. </w:t>
      </w:r>
    </w:p>
    <w:p w:rsidR="008950A4" w:rsidRPr="004D40C6" w:rsidRDefault="00960944" w:rsidP="00CD41B4">
      <w:pPr>
        <w:spacing w:after="240" w:line="276" w:lineRule="auto"/>
        <w:jc w:val="both"/>
      </w:pPr>
      <w:r w:rsidRPr="004D40C6">
        <w:rPr>
          <w:u w:val="single"/>
        </w:rPr>
        <w:t>To neplatí</w:t>
      </w:r>
      <w:r>
        <w:t xml:space="preserve">, byl-li návrh zaslaný v elektronické podobě opatřen </w:t>
      </w:r>
      <w:r>
        <w:rPr>
          <w:szCs w:val="24"/>
        </w:rPr>
        <w:t>zaručeným elektronickým podpisem založeným na kvalifikovaném certifikátu vydaným akreditovaným poskytovatelem certifikačních služeb podle zvláštního právního předpisu (</w:t>
      </w:r>
      <w:proofErr w:type="spellStart"/>
      <w:proofErr w:type="gramStart"/>
      <w:r>
        <w:rPr>
          <w:szCs w:val="24"/>
        </w:rPr>
        <w:t>tj.</w:t>
      </w:r>
      <w:r>
        <w:rPr>
          <w:b/>
          <w:bCs/>
          <w:szCs w:val="24"/>
        </w:rPr>
        <w:t>uznávaným</w:t>
      </w:r>
      <w:proofErr w:type="spellEnd"/>
      <w:proofErr w:type="gramEnd"/>
      <w:r>
        <w:rPr>
          <w:b/>
          <w:bCs/>
          <w:szCs w:val="24"/>
        </w:rPr>
        <w:t xml:space="preserve"> elektronickým podpisem</w:t>
      </w:r>
      <w:r w:rsidR="004D40C6">
        <w:rPr>
          <w:bCs/>
          <w:szCs w:val="24"/>
        </w:rPr>
        <w:t xml:space="preserve">), případně odeslán </w:t>
      </w:r>
      <w:r w:rsidR="004D40C6">
        <w:t>prostřednictvím systému datových schránek.</w:t>
      </w:r>
    </w:p>
    <w:sectPr w:rsidR="008950A4" w:rsidRPr="004D40C6" w:rsidSect="00F0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FF"/>
    <w:rsid w:val="00042521"/>
    <w:rsid w:val="001924FE"/>
    <w:rsid w:val="002A76BD"/>
    <w:rsid w:val="002B1664"/>
    <w:rsid w:val="004D40C6"/>
    <w:rsid w:val="005162F7"/>
    <w:rsid w:val="00665270"/>
    <w:rsid w:val="00665592"/>
    <w:rsid w:val="007C57FF"/>
    <w:rsid w:val="007D17D5"/>
    <w:rsid w:val="007F7C3A"/>
    <w:rsid w:val="008211FC"/>
    <w:rsid w:val="00846C87"/>
    <w:rsid w:val="008950A4"/>
    <w:rsid w:val="008D5E22"/>
    <w:rsid w:val="00960944"/>
    <w:rsid w:val="00977C15"/>
    <w:rsid w:val="00A10236"/>
    <w:rsid w:val="00AB2943"/>
    <w:rsid w:val="00BF5C3A"/>
    <w:rsid w:val="00CD41B4"/>
    <w:rsid w:val="00E8168A"/>
    <w:rsid w:val="00EE4C1B"/>
    <w:rsid w:val="00F07F86"/>
    <w:rsid w:val="00F20259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1AD8"/>
  <w15:chartTrackingRefBased/>
  <w15:docId w15:val="{753577CD-BDA6-4C78-99D4-EB8CAA33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1B4"/>
    <w:pPr>
      <w:spacing w:after="120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24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4E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D41B4"/>
    <w:rPr>
      <w:rFonts w:ascii="Garamond" w:hAnsi="Garamon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ddvorakova</dc:creator>
  <cp:keywords/>
  <cp:lastModifiedBy>Hoyerová Milada</cp:lastModifiedBy>
  <cp:revision>3</cp:revision>
  <cp:lastPrinted>2013-09-10T07:07:00Z</cp:lastPrinted>
  <dcterms:created xsi:type="dcterms:W3CDTF">2021-01-28T05:54:00Z</dcterms:created>
  <dcterms:modified xsi:type="dcterms:W3CDTF">2021-01-28T05:57:00Z</dcterms:modified>
</cp:coreProperties>
</file>