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8F" w:rsidRDefault="00A51E8F" w:rsidP="00A51E8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A51E8F" w:rsidRDefault="00A51E8F" w:rsidP="00A51E8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A51E8F" w:rsidRDefault="00A51E8F" w:rsidP="00A51E8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A51E8F" w:rsidTr="00A51E8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51E8F" w:rsidRDefault="00A51E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1E8F" w:rsidRDefault="00A51E8F" w:rsidP="00A51E8F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250/2022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A51E8F" w:rsidRDefault="00A51E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:rsidR="00A51E8F" w:rsidRDefault="00A51E8F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Ivana T</w:t>
            </w:r>
            <w:r w:rsidR="002427C9">
              <w:rPr>
                <w:rFonts w:ascii="Garamond" w:hAnsi="Garamond"/>
              </w:rPr>
              <w:t>.</w:t>
            </w:r>
          </w:p>
          <w:p w:rsidR="00A51E8F" w:rsidRDefault="002427C9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</w:tc>
      </w:tr>
      <w:tr w:rsidR="00A51E8F" w:rsidTr="00A51E8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51E8F" w:rsidRDefault="00A51E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E8F" w:rsidRDefault="00A51E8F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1E8F" w:rsidRDefault="00A51E8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A51E8F" w:rsidTr="00A51E8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51E8F" w:rsidRDefault="00A51E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1E8F" w:rsidRDefault="00A51E8F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1E8F" w:rsidRDefault="00A51E8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A51E8F" w:rsidTr="00A51E8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51E8F" w:rsidRDefault="00A51E8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1E8F" w:rsidRDefault="00A51E8F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18. března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1E8F" w:rsidRDefault="00A51E8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A51E8F" w:rsidRDefault="00A51E8F" w:rsidP="00A51E8F">
      <w:pPr>
        <w:rPr>
          <w:rFonts w:ascii="Garamond" w:hAnsi="Garamond"/>
          <w:color w:val="000000"/>
        </w:rPr>
      </w:pPr>
    </w:p>
    <w:p w:rsidR="00A51E8F" w:rsidRDefault="00A51E8F" w:rsidP="00A51E8F">
      <w:pPr>
        <w:rPr>
          <w:rFonts w:ascii="Garamond" w:hAnsi="Garamond"/>
          <w:color w:val="000000"/>
        </w:rPr>
      </w:pPr>
    </w:p>
    <w:p w:rsidR="00A51E8F" w:rsidRDefault="00A51E8F" w:rsidP="00A51E8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>
        <w:rPr>
          <w:rFonts w:ascii="Garamond" w:hAnsi="Garamond"/>
          <w:b/>
          <w:color w:val="000000"/>
        </w:rPr>
        <w:t>ust</w:t>
      </w:r>
      <w:proofErr w:type="spellEnd"/>
      <w:r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</w:p>
    <w:p w:rsidR="00A51E8F" w:rsidRDefault="00A51E8F" w:rsidP="00A51E8F">
      <w:pPr>
        <w:rPr>
          <w:rFonts w:ascii="Garamond" w:hAnsi="Garamond"/>
          <w:color w:val="000000"/>
        </w:rPr>
      </w:pPr>
    </w:p>
    <w:p w:rsidR="00A51E8F" w:rsidRDefault="00A51E8F" w:rsidP="00A51E8F">
      <w:pPr>
        <w:spacing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Vážená paní T</w:t>
      </w:r>
      <w:r w:rsidR="002427C9">
        <w:rPr>
          <w:rFonts w:ascii="Garamond" w:hAnsi="Garamond"/>
          <w:color w:val="000000"/>
        </w:rPr>
        <w:t>.</w:t>
      </w:r>
      <w:bookmarkStart w:id="0" w:name="_GoBack"/>
      <w:bookmarkEnd w:id="0"/>
      <w:r>
        <w:rPr>
          <w:rFonts w:ascii="Garamond" w:hAnsi="Garamond"/>
          <w:color w:val="000000"/>
        </w:rPr>
        <w:t xml:space="preserve">, </w:t>
      </w:r>
    </w:p>
    <w:p w:rsidR="00A51E8F" w:rsidRDefault="00A51E8F" w:rsidP="00A51E8F">
      <w:pPr>
        <w:pStyle w:val="Zhlav"/>
        <w:tabs>
          <w:tab w:val="left" w:pos="708"/>
        </w:tabs>
        <w:jc w:val="both"/>
        <w:rPr>
          <w:rFonts w:ascii="Garamond" w:hAnsi="Garamond"/>
        </w:rPr>
      </w:pPr>
      <w:r>
        <w:rPr>
          <w:rFonts w:ascii="Garamond" w:hAnsi="Garamond"/>
        </w:rPr>
        <w:t>Okresní soud v Ostravě obdržel dne 17. března 2022 Vaši žádost podle zákona č. 106/1999 Sb., o svobodném přístupu k informacím, ve znění pozdějších předpisů (dále jen „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>“), ve které jste požadovala zodpovězení celkem 9 dotazů týkajících se však jiných povinných subjektů než Okresního soudu v Ostravě.</w:t>
      </w:r>
    </w:p>
    <w:p w:rsidR="00A51E8F" w:rsidRDefault="00A51E8F" w:rsidP="00A51E8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Podle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 xml:space="preserve">. § 2 odst. 1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 xml:space="preserve"> jsou povinné subjekty, mezi které náleží i Okresní soud v Ostravě, povinny poskytovat informace vztahující se k jejich působnosti. Vzhledem ke skutečnosti, že Vaše žádost podle znění uvedených dotazů jednoznačně směřuje jiným povinným subjektům, nevztahuje se Vámi požadovaná informace do působnosti zdejšího soudu. Z toho důvodu Okresní soud v Ostravě p</w:t>
      </w:r>
      <w:r>
        <w:rPr>
          <w:rFonts w:ascii="Garamond" w:hAnsi="Garamond"/>
          <w:bCs/>
        </w:rPr>
        <w:t xml:space="preserve">odle </w:t>
      </w:r>
      <w:proofErr w:type="spellStart"/>
      <w:r>
        <w:rPr>
          <w:rFonts w:ascii="Garamond" w:hAnsi="Garamond"/>
          <w:bCs/>
        </w:rPr>
        <w:t>ust</w:t>
      </w:r>
      <w:proofErr w:type="spellEnd"/>
      <w:r>
        <w:rPr>
          <w:rFonts w:ascii="Garamond" w:hAnsi="Garamond"/>
          <w:bCs/>
        </w:rPr>
        <w:t xml:space="preserve">. § 14 odst. 5 písm. c) </w:t>
      </w:r>
      <w:proofErr w:type="spellStart"/>
      <w:r>
        <w:rPr>
          <w:rFonts w:ascii="Garamond" w:hAnsi="Garamond"/>
          <w:bCs/>
        </w:rPr>
        <w:t>InfZ</w:t>
      </w:r>
      <w:proofErr w:type="spellEnd"/>
      <w:r>
        <w:rPr>
          <w:rFonts w:ascii="Garamond" w:hAnsi="Garamond"/>
          <w:bCs/>
        </w:rPr>
        <w:t xml:space="preserve">, Vaši žádost o poskytnutí informace </w:t>
      </w:r>
      <w:r>
        <w:rPr>
          <w:rFonts w:ascii="Garamond" w:hAnsi="Garamond"/>
          <w:b/>
          <w:bCs/>
        </w:rPr>
        <w:t>odkládá</w:t>
      </w:r>
      <w:r>
        <w:rPr>
          <w:rFonts w:ascii="Garamond" w:hAnsi="Garamond"/>
          <w:bCs/>
        </w:rPr>
        <w:t xml:space="preserve">. </w:t>
      </w:r>
    </w:p>
    <w:p w:rsidR="00A51E8F" w:rsidRDefault="00A51E8F" w:rsidP="00A51E8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Proti odložení žádosti lze podat stížnost dle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 xml:space="preserve">. § 16a odst. 3 písm. a)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>, a to ve lhůtě 30 dnů Okresnímu soudu v Ostravě.</w:t>
      </w:r>
    </w:p>
    <w:p w:rsidR="00A51E8F" w:rsidRDefault="00A51E8F" w:rsidP="00A51E8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A51E8F" w:rsidRDefault="00A51E8F" w:rsidP="00A51E8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A51E8F" w:rsidTr="00A51E8F">
        <w:tc>
          <w:tcPr>
            <w:tcW w:w="4048" w:type="dxa"/>
            <w:hideMark/>
          </w:tcPr>
          <w:p w:rsidR="00A51E8F" w:rsidRDefault="00A51E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Tamara Krátká</w:t>
            </w:r>
          </w:p>
        </w:tc>
      </w:tr>
      <w:tr w:rsidR="00A51E8F" w:rsidTr="00A51E8F">
        <w:tc>
          <w:tcPr>
            <w:tcW w:w="4048" w:type="dxa"/>
            <w:hideMark/>
          </w:tcPr>
          <w:p w:rsidR="00A51E8F" w:rsidRDefault="00A51E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A51E8F" w:rsidTr="00A51E8F">
        <w:tc>
          <w:tcPr>
            <w:tcW w:w="4048" w:type="dxa"/>
            <w:hideMark/>
          </w:tcPr>
          <w:p w:rsidR="00A51E8F" w:rsidRDefault="00A51E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A51E8F" w:rsidTr="00A51E8F">
        <w:tc>
          <w:tcPr>
            <w:tcW w:w="4048" w:type="dxa"/>
            <w:hideMark/>
          </w:tcPr>
          <w:p w:rsidR="00A51E8F" w:rsidRDefault="00A51E8F">
            <w:pPr>
              <w:widowControl w:val="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</w:t>
            </w:r>
            <w:proofErr w:type="gramEnd"/>
            <w:r>
              <w:rPr>
                <w:rFonts w:ascii="Garamond" w:hAnsi="Garamond"/>
              </w:rPr>
              <w:t xml:space="preserve"> 106/1999 Sb., o svobodném</w:t>
            </w:r>
          </w:p>
        </w:tc>
      </w:tr>
      <w:tr w:rsidR="00A51E8F" w:rsidTr="00A51E8F">
        <w:tc>
          <w:tcPr>
            <w:tcW w:w="4048" w:type="dxa"/>
            <w:hideMark/>
          </w:tcPr>
          <w:p w:rsidR="00A51E8F" w:rsidRDefault="00A51E8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A51E8F" w:rsidRDefault="00A51E8F" w:rsidP="00A51E8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A51E8F" w:rsidRDefault="00A51E8F" w:rsidP="00A51E8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A51E8F" w:rsidRDefault="00A51E8F" w:rsidP="00A51E8F"/>
    <w:p w:rsidR="00A51E8F" w:rsidRDefault="00A51E8F" w:rsidP="00A51E8F"/>
    <w:p w:rsidR="00A51E8F" w:rsidRDefault="00A51E8F" w:rsidP="00A51E8F"/>
    <w:p w:rsidR="00A51E8F" w:rsidRDefault="00A51E8F" w:rsidP="00A51E8F"/>
    <w:p w:rsidR="00A51E8F" w:rsidRDefault="00A51E8F" w:rsidP="00A51E8F"/>
    <w:p w:rsidR="00F30E21" w:rsidRDefault="00F30E21"/>
    <w:sectPr w:rsidR="00F30E2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1B" w:rsidRDefault="0023151B" w:rsidP="00A51E8F">
      <w:r>
        <w:separator/>
      </w:r>
    </w:p>
  </w:endnote>
  <w:endnote w:type="continuationSeparator" w:id="0">
    <w:p w:rsidR="0023151B" w:rsidRDefault="0023151B" w:rsidP="00A5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1B" w:rsidRDefault="0023151B" w:rsidP="00A51E8F">
      <w:r>
        <w:separator/>
      </w:r>
    </w:p>
  </w:footnote>
  <w:footnote w:type="continuationSeparator" w:id="0">
    <w:p w:rsidR="0023151B" w:rsidRDefault="0023151B" w:rsidP="00A5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8F" w:rsidRPr="00A51E8F" w:rsidRDefault="00A51E8F" w:rsidP="00A51E8F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0 Si 250/2022-25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8F"/>
    <w:rsid w:val="0023151B"/>
    <w:rsid w:val="002427C9"/>
    <w:rsid w:val="00A51E8F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E8F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1E8F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A51E8F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A51E8F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1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E8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E8F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1E8F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A51E8F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A51E8F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1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E8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2</cp:revision>
  <cp:lastPrinted>2022-03-18T08:33:00Z</cp:lastPrinted>
  <dcterms:created xsi:type="dcterms:W3CDTF">2022-03-18T08:31:00Z</dcterms:created>
  <dcterms:modified xsi:type="dcterms:W3CDTF">2022-04-20T04:58:00Z</dcterms:modified>
</cp:coreProperties>
</file>