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5EB3" w14:textId="77777777" w:rsidR="00896DB2" w:rsidRPr="0070096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0096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0096A">
        <w:rPr>
          <w:rFonts w:ascii="Garamond" w:hAnsi="Garamond"/>
          <w:b/>
          <w:color w:val="000000"/>
          <w:sz w:val="36"/>
        </w:rPr>
        <w:t> </w:t>
      </w:r>
    </w:p>
    <w:p w14:paraId="50A5FF4C" w14:textId="77777777" w:rsidR="00896DB2" w:rsidRPr="0070096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0096A">
        <w:rPr>
          <w:rFonts w:ascii="Garamond" w:hAnsi="Garamond"/>
          <w:color w:val="000000"/>
        </w:rPr>
        <w:t> U Soudu</w:t>
      </w:r>
      <w:r w:rsidR="00E930E4" w:rsidRPr="0070096A">
        <w:rPr>
          <w:rFonts w:ascii="Garamond" w:hAnsi="Garamond"/>
          <w:color w:val="000000"/>
        </w:rPr>
        <w:t xml:space="preserve"> 6187/4, 708 82 Ostrava-Poruba</w:t>
      </w:r>
    </w:p>
    <w:p w14:paraId="0B3FF3A2" w14:textId="77777777" w:rsidR="00896DB2" w:rsidRPr="0070096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0096A">
        <w:rPr>
          <w:rFonts w:ascii="Garamond" w:hAnsi="Garamond"/>
          <w:color w:val="000000"/>
        </w:rPr>
        <w:t>tel.: 596 972 111,</w:t>
      </w:r>
      <w:r w:rsidR="00E930E4" w:rsidRPr="0070096A">
        <w:rPr>
          <w:rFonts w:ascii="Garamond" w:hAnsi="Garamond"/>
          <w:color w:val="000000"/>
        </w:rPr>
        <w:t xml:space="preserve"> fax: 596 972 801,</w:t>
      </w:r>
      <w:r w:rsidRPr="0070096A">
        <w:rPr>
          <w:rFonts w:ascii="Garamond" w:hAnsi="Garamond"/>
          <w:color w:val="000000"/>
        </w:rPr>
        <w:t xml:space="preserve"> e-mail: osostrava@osoud.ova.justice.cz, </w:t>
      </w:r>
      <w:r w:rsidRPr="0070096A">
        <w:rPr>
          <w:rFonts w:ascii="Garamond" w:hAnsi="Garamond"/>
          <w:color w:val="000000"/>
          <w:szCs w:val="18"/>
        </w:rPr>
        <w:t>IDDS: 2mhaesg</w:t>
      </w:r>
    </w:p>
    <w:tbl>
      <w:tblPr>
        <w:tblW w:w="516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917"/>
        <w:gridCol w:w="4400"/>
      </w:tblGrid>
      <w:tr w:rsidR="00896DB2" w:rsidRPr="0070096A" w14:paraId="3878C0FE" w14:textId="77777777" w:rsidTr="0070096A">
        <w:tc>
          <w:tcPr>
            <w:tcW w:w="1092" w:type="pct"/>
            <w:tcMar>
              <w:bottom w:w="0" w:type="dxa"/>
            </w:tcMar>
          </w:tcPr>
          <w:p w14:paraId="2F724C58" w14:textId="77777777" w:rsidR="00896DB2" w:rsidRPr="0070096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096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0096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58" w:type="pct"/>
            <w:tcBorders>
              <w:right w:val="single" w:sz="4" w:space="0" w:color="auto"/>
            </w:tcBorders>
          </w:tcPr>
          <w:p w14:paraId="4EE7922D" w14:textId="77777777" w:rsidR="00896DB2" w:rsidRPr="0070096A" w:rsidRDefault="00E930E4" w:rsidP="00401AD9">
            <w:pPr>
              <w:rPr>
                <w:rFonts w:ascii="Garamond" w:hAnsi="Garamond"/>
                <w:color w:val="000000"/>
              </w:rPr>
            </w:pPr>
            <w:r w:rsidRPr="0070096A">
              <w:rPr>
                <w:rFonts w:ascii="Garamond" w:hAnsi="Garamond"/>
                <w:color w:val="000000"/>
              </w:rPr>
              <w:t>0 Si 383/2023</w:t>
            </w:r>
          </w:p>
        </w:tc>
        <w:tc>
          <w:tcPr>
            <w:tcW w:w="2350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4DFA9C2" w14:textId="5479EE81" w:rsidR="00873B33" w:rsidRPr="0070096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0096A">
              <w:rPr>
                <w:rFonts w:ascii="Garamond" w:hAnsi="Garamond"/>
              </w:rPr>
              <w:t>Vážený</w:t>
            </w:r>
            <w:r w:rsidR="00F656D8" w:rsidRPr="0070096A">
              <w:rPr>
                <w:rFonts w:ascii="Garamond" w:hAnsi="Garamond"/>
              </w:rPr>
              <w:t xml:space="preserve"> pan </w:t>
            </w:r>
          </w:p>
          <w:p w14:paraId="3380300C" w14:textId="701D3A52" w:rsidR="00FF4BEB" w:rsidRPr="0070096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0096A">
              <w:rPr>
                <w:rFonts w:ascii="Garamond" w:hAnsi="Garamond"/>
              </w:rPr>
              <w:t>Robert K</w:t>
            </w:r>
            <w:r w:rsidR="0070096A">
              <w:rPr>
                <w:rFonts w:ascii="Garamond" w:hAnsi="Garamond"/>
              </w:rPr>
              <w:t>.</w:t>
            </w:r>
          </w:p>
          <w:p w14:paraId="7FEC8B03" w14:textId="73D55A24" w:rsidR="00670D1E" w:rsidRPr="0070096A" w:rsidRDefault="0070096A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309E0028" w14:textId="77777777" w:rsidR="00896DB2" w:rsidRPr="0070096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0096A" w14:paraId="6964B221" w14:textId="77777777" w:rsidTr="0070096A">
        <w:trPr>
          <w:trHeight w:val="20"/>
        </w:trPr>
        <w:tc>
          <w:tcPr>
            <w:tcW w:w="1092" w:type="pct"/>
            <w:tcMar>
              <w:bottom w:w="0" w:type="dxa"/>
            </w:tcMar>
          </w:tcPr>
          <w:p w14:paraId="0B90AE89" w14:textId="77777777" w:rsidR="00896DB2" w:rsidRPr="0070096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096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58" w:type="pct"/>
            <w:tcBorders>
              <w:right w:val="single" w:sz="4" w:space="0" w:color="auto"/>
            </w:tcBorders>
          </w:tcPr>
          <w:p w14:paraId="48848494" w14:textId="77777777" w:rsidR="00896DB2" w:rsidRPr="0070096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0" w:type="pct"/>
            <w:vMerge/>
            <w:tcBorders>
              <w:left w:val="single" w:sz="4" w:space="0" w:color="auto"/>
            </w:tcBorders>
          </w:tcPr>
          <w:p w14:paraId="1EDEEE32" w14:textId="77777777" w:rsidR="00896DB2" w:rsidRPr="0070096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0096A" w14:paraId="7169EF3F" w14:textId="77777777" w:rsidTr="0070096A">
        <w:tc>
          <w:tcPr>
            <w:tcW w:w="1092" w:type="pct"/>
            <w:tcMar>
              <w:top w:w="0" w:type="dxa"/>
            </w:tcMar>
          </w:tcPr>
          <w:p w14:paraId="57127E25" w14:textId="77777777" w:rsidR="00896DB2" w:rsidRPr="0070096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096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58" w:type="pct"/>
            <w:tcBorders>
              <w:right w:val="single" w:sz="4" w:space="0" w:color="auto"/>
            </w:tcBorders>
          </w:tcPr>
          <w:p w14:paraId="7B7E2954" w14:textId="77777777" w:rsidR="00896DB2" w:rsidRPr="0070096A" w:rsidRDefault="00BA6A0B" w:rsidP="00401AD9">
            <w:pPr>
              <w:rPr>
                <w:rFonts w:ascii="Garamond" w:hAnsi="Garamond"/>
                <w:color w:val="000000"/>
              </w:rPr>
            </w:pPr>
            <w:r w:rsidRPr="0070096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0" w:type="pct"/>
            <w:vMerge/>
            <w:tcBorders>
              <w:left w:val="single" w:sz="4" w:space="0" w:color="auto"/>
            </w:tcBorders>
          </w:tcPr>
          <w:p w14:paraId="32047E31" w14:textId="77777777" w:rsidR="00896DB2" w:rsidRPr="0070096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0096A" w14:paraId="7729120A" w14:textId="77777777" w:rsidTr="0070096A">
        <w:tc>
          <w:tcPr>
            <w:tcW w:w="1092" w:type="pct"/>
            <w:tcMar>
              <w:top w:w="0" w:type="dxa"/>
            </w:tcMar>
          </w:tcPr>
          <w:p w14:paraId="080C2EBD" w14:textId="77777777" w:rsidR="00896DB2" w:rsidRPr="0070096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096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58" w:type="pct"/>
            <w:tcBorders>
              <w:right w:val="single" w:sz="4" w:space="0" w:color="auto"/>
            </w:tcBorders>
          </w:tcPr>
          <w:p w14:paraId="5669BD09" w14:textId="77777777" w:rsidR="00896DB2" w:rsidRPr="0070096A" w:rsidRDefault="00E930E4" w:rsidP="00401AD9">
            <w:pPr>
              <w:rPr>
                <w:rFonts w:ascii="Garamond" w:hAnsi="Garamond"/>
                <w:color w:val="000000"/>
              </w:rPr>
            </w:pPr>
            <w:r w:rsidRPr="0070096A">
              <w:rPr>
                <w:rFonts w:ascii="Garamond" w:hAnsi="Garamond"/>
                <w:color w:val="000000"/>
              </w:rPr>
              <w:t>12. června 2023</w:t>
            </w:r>
          </w:p>
        </w:tc>
        <w:tc>
          <w:tcPr>
            <w:tcW w:w="2350" w:type="pct"/>
            <w:vMerge/>
            <w:tcBorders>
              <w:left w:val="single" w:sz="4" w:space="0" w:color="auto"/>
            </w:tcBorders>
          </w:tcPr>
          <w:p w14:paraId="3185DAD6" w14:textId="77777777" w:rsidR="00896DB2" w:rsidRPr="0070096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DA602B7" w14:textId="77777777" w:rsidR="00896DB2" w:rsidRPr="0070096A" w:rsidRDefault="00896DB2" w:rsidP="00896DB2">
      <w:pPr>
        <w:rPr>
          <w:rFonts w:ascii="Garamond" w:hAnsi="Garamond"/>
          <w:color w:val="000000"/>
        </w:rPr>
      </w:pPr>
    </w:p>
    <w:p w14:paraId="64C314B3" w14:textId="77777777" w:rsidR="00896DB2" w:rsidRPr="0070096A" w:rsidRDefault="00896DB2" w:rsidP="00896DB2">
      <w:pPr>
        <w:rPr>
          <w:rFonts w:ascii="Garamond" w:hAnsi="Garamond"/>
          <w:color w:val="000000"/>
        </w:rPr>
      </w:pPr>
    </w:p>
    <w:p w14:paraId="2AFDF85C" w14:textId="25EB3840" w:rsidR="00896DB2" w:rsidRPr="0070096A" w:rsidRDefault="00896DB2" w:rsidP="00E930E4">
      <w:pPr>
        <w:jc w:val="both"/>
        <w:rPr>
          <w:rFonts w:ascii="Garamond" w:hAnsi="Garamond"/>
          <w:color w:val="000000"/>
        </w:rPr>
      </w:pPr>
      <w:r w:rsidRPr="0070096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D3F7A" w:rsidRPr="0070096A">
        <w:rPr>
          <w:rFonts w:ascii="Garamond" w:hAnsi="Garamond"/>
          <w:b/>
          <w:color w:val="000000"/>
        </w:rPr>
        <w:t xml:space="preserve">, </w:t>
      </w:r>
      <w:r w:rsidRPr="0070096A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70096A">
        <w:rPr>
          <w:rFonts w:ascii="Garamond" w:hAnsi="Garamond"/>
          <w:color w:val="000000"/>
        </w:rPr>
        <w:t xml:space="preserve"> </w:t>
      </w:r>
    </w:p>
    <w:p w14:paraId="6C2DB963" w14:textId="77777777" w:rsidR="002B20C2" w:rsidRPr="0070096A" w:rsidRDefault="002B20C2" w:rsidP="00E930E4">
      <w:pPr>
        <w:jc w:val="both"/>
        <w:rPr>
          <w:rFonts w:ascii="Garamond" w:hAnsi="Garamond"/>
          <w:color w:val="000000"/>
        </w:rPr>
      </w:pPr>
    </w:p>
    <w:p w14:paraId="312DEE3F" w14:textId="44250015" w:rsidR="005B440A" w:rsidRPr="0070096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0096A">
        <w:rPr>
          <w:rFonts w:ascii="Garamond" w:hAnsi="Garamond"/>
          <w:color w:val="000000"/>
        </w:rPr>
        <w:t>Vážený</w:t>
      </w:r>
      <w:r w:rsidR="00F656D8" w:rsidRPr="0070096A">
        <w:rPr>
          <w:rFonts w:ascii="Garamond" w:hAnsi="Garamond"/>
          <w:color w:val="000000"/>
        </w:rPr>
        <w:t xml:space="preserve"> pane K</w:t>
      </w:r>
      <w:r w:rsidR="0070096A">
        <w:rPr>
          <w:rFonts w:ascii="Garamond" w:hAnsi="Garamond"/>
          <w:color w:val="000000"/>
        </w:rPr>
        <w:t>.</w:t>
      </w:r>
      <w:r w:rsidR="00F656D8" w:rsidRPr="0070096A">
        <w:rPr>
          <w:rFonts w:ascii="Garamond" w:hAnsi="Garamond"/>
          <w:color w:val="000000"/>
        </w:rPr>
        <w:t>,</w:t>
      </w:r>
    </w:p>
    <w:p w14:paraId="4A19B44A" w14:textId="3B8A4E6C" w:rsidR="005B440A" w:rsidRPr="0070096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0096A">
        <w:rPr>
          <w:rFonts w:ascii="Garamond" w:hAnsi="Garamond"/>
          <w:color w:val="000000"/>
        </w:rPr>
        <w:t xml:space="preserve">Okresní soud v Ostravě obdržel dne </w:t>
      </w:r>
      <w:r w:rsidR="00CC6E1B" w:rsidRPr="0070096A">
        <w:rPr>
          <w:rFonts w:ascii="Garamond" w:hAnsi="Garamond"/>
          <w:color w:val="000000"/>
        </w:rPr>
        <w:t xml:space="preserve">28. května 2023 </w:t>
      </w:r>
      <w:r w:rsidRPr="0070096A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F656D8" w:rsidRPr="0070096A">
        <w:rPr>
          <w:rFonts w:ascii="Garamond" w:hAnsi="Garamond"/>
          <w:color w:val="000000"/>
        </w:rPr>
        <w:t xml:space="preserve">následujících informací: </w:t>
      </w:r>
    </w:p>
    <w:p w14:paraId="0DEEB20F" w14:textId="77777777" w:rsidR="00046B83" w:rsidRPr="0070096A" w:rsidRDefault="00046B83" w:rsidP="00A63C40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Garamond" w:eastAsia="Times New Roman" w:hAnsi="Garamond"/>
          <w:sz w:val="24"/>
          <w:szCs w:val="24"/>
        </w:rPr>
      </w:pPr>
      <w:r w:rsidRPr="0070096A">
        <w:rPr>
          <w:rFonts w:ascii="Garamond" w:eastAsia="Times New Roman" w:hAnsi="Garamond"/>
          <w:sz w:val="24"/>
          <w:szCs w:val="24"/>
        </w:rPr>
        <w:t xml:space="preserve">Jakým způsobem je u Vašeho soudu organizačně, personálně a technicky zajištěna pravomoc sepisovat </w:t>
      </w:r>
      <w:r w:rsidRPr="0070096A">
        <w:rPr>
          <w:rFonts w:ascii="Garamond" w:eastAsia="Times New Roman" w:hAnsi="Garamond"/>
          <w:b/>
          <w:bCs/>
          <w:sz w:val="24"/>
          <w:szCs w:val="24"/>
        </w:rPr>
        <w:t>podání ústně do protokolu dle trestního řádu</w:t>
      </w:r>
      <w:r w:rsidRPr="0070096A">
        <w:rPr>
          <w:rFonts w:ascii="Garamond" w:eastAsia="Times New Roman" w:hAnsi="Garamond"/>
          <w:sz w:val="24"/>
          <w:szCs w:val="24"/>
        </w:rPr>
        <w:t xml:space="preserve"> (§ 59 odst. 1 věty druhé a odst. 2 věty první), zejména:</w:t>
      </w:r>
    </w:p>
    <w:p w14:paraId="1931950F" w14:textId="77777777" w:rsidR="00046B83" w:rsidRPr="0070096A" w:rsidRDefault="00046B83" w:rsidP="00A63C40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14:paraId="1E302F5A" w14:textId="77777777" w:rsidR="00046B83" w:rsidRPr="0070096A" w:rsidRDefault="00046B83" w:rsidP="00A63C40">
      <w:pPr>
        <w:pStyle w:val="Odstavecseseznamem"/>
        <w:numPr>
          <w:ilvl w:val="1"/>
          <w:numId w:val="1"/>
        </w:numPr>
        <w:ind w:left="0" w:firstLine="0"/>
        <w:jc w:val="both"/>
        <w:rPr>
          <w:rFonts w:ascii="Garamond" w:eastAsia="Times New Roman" w:hAnsi="Garamond"/>
          <w:sz w:val="24"/>
          <w:szCs w:val="24"/>
        </w:rPr>
      </w:pPr>
      <w:r w:rsidRPr="0070096A">
        <w:rPr>
          <w:rFonts w:ascii="Garamond" w:eastAsia="Times New Roman" w:hAnsi="Garamond"/>
          <w:sz w:val="24"/>
          <w:szCs w:val="24"/>
        </w:rPr>
        <w:t>zda jsou určeny úřední hodiny, v nichž je možno podání ústně do protokolu učinit;</w:t>
      </w:r>
    </w:p>
    <w:p w14:paraId="39954D70" w14:textId="77777777" w:rsidR="00046B83" w:rsidRPr="0070096A" w:rsidRDefault="00046B83" w:rsidP="00A63C40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14:paraId="2FC88EF1" w14:textId="77777777" w:rsidR="00046B83" w:rsidRPr="0070096A" w:rsidRDefault="00046B83" w:rsidP="00A63C40">
      <w:pPr>
        <w:pStyle w:val="Odstavecseseznamem"/>
        <w:numPr>
          <w:ilvl w:val="1"/>
          <w:numId w:val="1"/>
        </w:numPr>
        <w:ind w:left="0" w:firstLine="0"/>
        <w:jc w:val="both"/>
        <w:rPr>
          <w:rFonts w:ascii="Garamond" w:eastAsia="Times New Roman" w:hAnsi="Garamond"/>
          <w:sz w:val="24"/>
          <w:szCs w:val="24"/>
        </w:rPr>
      </w:pPr>
      <w:r w:rsidRPr="0070096A">
        <w:rPr>
          <w:rFonts w:ascii="Garamond" w:eastAsia="Times New Roman" w:hAnsi="Garamond"/>
          <w:sz w:val="24"/>
          <w:szCs w:val="24"/>
        </w:rPr>
        <w:t>zda je možné podání ústně do protokolu učinit mimo úřední hodiny, a pokud ano, za jakých podmínek (např. naléhavost, předchozí domluva);</w:t>
      </w:r>
    </w:p>
    <w:p w14:paraId="3C207171" w14:textId="77777777" w:rsidR="00046B83" w:rsidRPr="0070096A" w:rsidRDefault="00046B83" w:rsidP="00A63C40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14:paraId="43ACD73D" w14:textId="77777777" w:rsidR="00046B83" w:rsidRPr="0070096A" w:rsidRDefault="00046B83" w:rsidP="00A63C40">
      <w:pPr>
        <w:pStyle w:val="Odstavecseseznamem"/>
        <w:numPr>
          <w:ilvl w:val="1"/>
          <w:numId w:val="1"/>
        </w:numPr>
        <w:ind w:left="0" w:firstLine="0"/>
        <w:jc w:val="both"/>
        <w:rPr>
          <w:rFonts w:ascii="Garamond" w:eastAsia="Times New Roman" w:hAnsi="Garamond"/>
          <w:sz w:val="24"/>
          <w:szCs w:val="24"/>
        </w:rPr>
      </w:pPr>
      <w:r w:rsidRPr="0070096A">
        <w:rPr>
          <w:rFonts w:ascii="Garamond" w:eastAsia="Times New Roman" w:hAnsi="Garamond"/>
          <w:sz w:val="24"/>
          <w:szCs w:val="24"/>
        </w:rPr>
        <w:t>jaká organizační část soudu sepsání protokolu zajišťuje;</w:t>
      </w:r>
    </w:p>
    <w:p w14:paraId="58CA1B2C" w14:textId="77777777" w:rsidR="00046B83" w:rsidRPr="0070096A" w:rsidRDefault="00046B83" w:rsidP="00A63C40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14:paraId="5C8142EC" w14:textId="77777777" w:rsidR="00046B83" w:rsidRPr="0070096A" w:rsidRDefault="00046B83" w:rsidP="00A63C40">
      <w:pPr>
        <w:pStyle w:val="Odstavecseseznamem"/>
        <w:numPr>
          <w:ilvl w:val="1"/>
          <w:numId w:val="1"/>
        </w:numPr>
        <w:ind w:left="0" w:firstLine="0"/>
        <w:jc w:val="both"/>
        <w:rPr>
          <w:rFonts w:ascii="Garamond" w:eastAsia="Times New Roman" w:hAnsi="Garamond"/>
          <w:sz w:val="24"/>
          <w:szCs w:val="24"/>
        </w:rPr>
      </w:pPr>
      <w:r w:rsidRPr="0070096A">
        <w:rPr>
          <w:rFonts w:ascii="Garamond" w:eastAsia="Times New Roman" w:hAnsi="Garamond"/>
          <w:sz w:val="24"/>
          <w:szCs w:val="24"/>
        </w:rPr>
        <w:t>kdo (z hlediska svého profesního zařazení, resp. pracovní pozice) sepsání protokolu zajišťuje?</w:t>
      </w:r>
    </w:p>
    <w:p w14:paraId="65F12CB3" w14:textId="77777777" w:rsidR="00046B83" w:rsidRPr="0070096A" w:rsidRDefault="00046B83" w:rsidP="00A63C40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14:paraId="704CCE7A" w14:textId="77777777" w:rsidR="00046B83" w:rsidRPr="0070096A" w:rsidRDefault="00046B83" w:rsidP="00A63C40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Garamond" w:eastAsia="Times New Roman" w:hAnsi="Garamond"/>
          <w:sz w:val="24"/>
          <w:szCs w:val="24"/>
        </w:rPr>
      </w:pPr>
      <w:r w:rsidRPr="0070096A">
        <w:rPr>
          <w:rFonts w:ascii="Garamond" w:eastAsia="Times New Roman" w:hAnsi="Garamond"/>
          <w:sz w:val="24"/>
          <w:szCs w:val="24"/>
        </w:rPr>
        <w:t xml:space="preserve">Je proces sepsání protokolu o ústním podání ve smyslu § 59 odst. 1 věty druhé a odst. 2 věty první trestního řádu u Vašeho soudu blíže upraven nějakým resortním </w:t>
      </w:r>
      <w:r w:rsidRPr="0070096A">
        <w:rPr>
          <w:rFonts w:ascii="Garamond" w:eastAsia="Times New Roman" w:hAnsi="Garamond"/>
          <w:b/>
          <w:bCs/>
          <w:sz w:val="24"/>
          <w:szCs w:val="24"/>
        </w:rPr>
        <w:t>či vnitřním předpisem</w:t>
      </w:r>
      <w:r w:rsidRPr="0070096A">
        <w:rPr>
          <w:rFonts w:ascii="Garamond" w:eastAsia="Times New Roman" w:hAnsi="Garamond"/>
          <w:sz w:val="24"/>
          <w:szCs w:val="24"/>
        </w:rPr>
        <w:t>?</w:t>
      </w:r>
    </w:p>
    <w:p w14:paraId="4D9A1D66" w14:textId="77777777" w:rsidR="00046B83" w:rsidRPr="0070096A" w:rsidRDefault="00046B83" w:rsidP="00A63C40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14:paraId="2C66AE4B" w14:textId="77777777" w:rsidR="00046B83" w:rsidRPr="0070096A" w:rsidRDefault="00046B83" w:rsidP="00A63C40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Garamond" w:eastAsia="Times New Roman" w:hAnsi="Garamond"/>
          <w:sz w:val="24"/>
          <w:szCs w:val="24"/>
        </w:rPr>
      </w:pPr>
      <w:proofErr w:type="gramStart"/>
      <w:r w:rsidRPr="0070096A">
        <w:rPr>
          <w:rFonts w:ascii="Garamond" w:eastAsia="Times New Roman" w:hAnsi="Garamond"/>
          <w:sz w:val="24"/>
          <w:szCs w:val="24"/>
        </w:rPr>
        <w:t>Liší</w:t>
      </w:r>
      <w:proofErr w:type="gramEnd"/>
      <w:r w:rsidRPr="0070096A">
        <w:rPr>
          <w:rFonts w:ascii="Garamond" w:eastAsia="Times New Roman" w:hAnsi="Garamond"/>
          <w:sz w:val="24"/>
          <w:szCs w:val="24"/>
        </w:rPr>
        <w:t xml:space="preserve"> se u Vašeho soudu nějak z hlediska organizačního, personálního a technického zajištění sepsání </w:t>
      </w:r>
      <w:r w:rsidRPr="0070096A">
        <w:rPr>
          <w:rFonts w:ascii="Garamond" w:eastAsia="Times New Roman" w:hAnsi="Garamond"/>
          <w:b/>
          <w:bCs/>
          <w:sz w:val="24"/>
          <w:szCs w:val="24"/>
        </w:rPr>
        <w:t>protokolu o ústně podávaném trestním oznámení</w:t>
      </w:r>
      <w:r w:rsidRPr="0070096A">
        <w:rPr>
          <w:rFonts w:ascii="Garamond" w:eastAsia="Times New Roman" w:hAnsi="Garamond"/>
          <w:sz w:val="24"/>
          <w:szCs w:val="24"/>
        </w:rPr>
        <w:t xml:space="preserve"> dle § 59 odst. 4 a 5 trestního řádu od sepsání ostatních podání dle § 59 odst. 1 věty druhé a odst. 2 věty první trestního řádu?</w:t>
      </w:r>
    </w:p>
    <w:p w14:paraId="7A393DB9" w14:textId="77777777" w:rsidR="00046B83" w:rsidRPr="0070096A" w:rsidRDefault="00046B83" w:rsidP="00A63C40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14:paraId="0101D12E" w14:textId="77777777" w:rsidR="00046B83" w:rsidRPr="0070096A" w:rsidRDefault="00046B83" w:rsidP="00A63C40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Garamond" w:eastAsia="Times New Roman" w:hAnsi="Garamond"/>
          <w:sz w:val="24"/>
          <w:szCs w:val="24"/>
        </w:rPr>
      </w:pPr>
      <w:r w:rsidRPr="0070096A">
        <w:rPr>
          <w:rFonts w:ascii="Garamond" w:eastAsia="Times New Roman" w:hAnsi="Garamond"/>
          <w:b/>
          <w:bCs/>
          <w:sz w:val="24"/>
          <w:szCs w:val="24"/>
        </w:rPr>
        <w:t>Kde</w:t>
      </w:r>
      <w:r w:rsidRPr="0070096A">
        <w:rPr>
          <w:rFonts w:ascii="Garamond" w:eastAsia="Times New Roman" w:hAnsi="Garamond"/>
          <w:sz w:val="24"/>
          <w:szCs w:val="24"/>
        </w:rPr>
        <w:t xml:space="preserve"> se může osoba chtějící u Vašeho soudu podat podání do protokolu ve smyslu § 59 odst. 1 věty druhé a odst. 2 věty první trestního řádu dozvědět </w:t>
      </w:r>
      <w:r w:rsidRPr="0070096A">
        <w:rPr>
          <w:rFonts w:ascii="Garamond" w:eastAsia="Times New Roman" w:hAnsi="Garamond"/>
          <w:b/>
          <w:bCs/>
          <w:sz w:val="24"/>
          <w:szCs w:val="24"/>
        </w:rPr>
        <w:t>bližší informace</w:t>
      </w:r>
      <w:r w:rsidRPr="0070096A">
        <w:rPr>
          <w:rFonts w:ascii="Garamond" w:eastAsia="Times New Roman" w:hAnsi="Garamond"/>
          <w:sz w:val="24"/>
          <w:szCs w:val="24"/>
        </w:rPr>
        <w:t xml:space="preserve"> (na jeho webových stránkách, na úřední desce, v informačním centru či jinde)?</w:t>
      </w:r>
    </w:p>
    <w:p w14:paraId="3DC285A3" w14:textId="77777777" w:rsidR="00046B83" w:rsidRPr="0070096A" w:rsidRDefault="00046B83" w:rsidP="00A63C40">
      <w:pPr>
        <w:jc w:val="both"/>
        <w:rPr>
          <w:rFonts w:ascii="Garamond" w:eastAsia="Calibri" w:hAnsi="Garamond"/>
        </w:rPr>
      </w:pPr>
    </w:p>
    <w:p w14:paraId="6A8D9355" w14:textId="77777777" w:rsidR="00046B83" w:rsidRPr="0070096A" w:rsidRDefault="00046B83" w:rsidP="00A63C40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Garamond" w:eastAsia="Times New Roman" w:hAnsi="Garamond"/>
          <w:sz w:val="24"/>
          <w:szCs w:val="24"/>
        </w:rPr>
      </w:pPr>
      <w:r w:rsidRPr="0070096A">
        <w:rPr>
          <w:rFonts w:ascii="Garamond" w:eastAsia="Times New Roman" w:hAnsi="Garamond"/>
          <w:b/>
          <w:bCs/>
          <w:sz w:val="24"/>
          <w:szCs w:val="24"/>
        </w:rPr>
        <w:t>Kolik</w:t>
      </w:r>
      <w:r w:rsidRPr="0070096A">
        <w:rPr>
          <w:rFonts w:ascii="Garamond" w:eastAsia="Times New Roman" w:hAnsi="Garamond"/>
          <w:sz w:val="24"/>
          <w:szCs w:val="24"/>
        </w:rPr>
        <w:t xml:space="preserve"> protokolů o ústních podáních Váš soud sepsal (mimo protokoly o jiných úkonech – zejm. o hlavním líčení, veřejném zasedání nebo vazebním zasedání – do nichž byly sepsána ústně učiněná podání v jejich průběhu):</w:t>
      </w:r>
    </w:p>
    <w:p w14:paraId="545A165E" w14:textId="77777777" w:rsidR="00046B83" w:rsidRPr="0070096A" w:rsidRDefault="00046B83" w:rsidP="00A63C40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14:paraId="1F1902F8" w14:textId="77777777" w:rsidR="00046B83" w:rsidRPr="0070096A" w:rsidRDefault="00046B83" w:rsidP="00A63C40">
      <w:pPr>
        <w:pStyle w:val="Odstavecseseznamem"/>
        <w:numPr>
          <w:ilvl w:val="1"/>
          <w:numId w:val="1"/>
        </w:numPr>
        <w:ind w:left="0" w:firstLine="0"/>
        <w:jc w:val="both"/>
        <w:rPr>
          <w:rFonts w:ascii="Garamond" w:eastAsia="Times New Roman" w:hAnsi="Garamond"/>
          <w:sz w:val="24"/>
          <w:szCs w:val="24"/>
        </w:rPr>
      </w:pPr>
      <w:r w:rsidRPr="0070096A">
        <w:rPr>
          <w:rFonts w:ascii="Garamond" w:eastAsia="Times New Roman" w:hAnsi="Garamond"/>
          <w:sz w:val="24"/>
          <w:szCs w:val="24"/>
        </w:rPr>
        <w:lastRenderedPageBreak/>
        <w:t>od 1. ledna 2022 do 31. prosince 2022;</w:t>
      </w:r>
    </w:p>
    <w:p w14:paraId="1D93B060" w14:textId="77777777" w:rsidR="00046B83" w:rsidRPr="0070096A" w:rsidRDefault="00046B83" w:rsidP="00A63C40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14:paraId="45E202E7" w14:textId="77777777" w:rsidR="00046B83" w:rsidRPr="0070096A" w:rsidRDefault="00046B83" w:rsidP="00A63C40">
      <w:pPr>
        <w:pStyle w:val="Odstavecseseznamem"/>
        <w:numPr>
          <w:ilvl w:val="1"/>
          <w:numId w:val="1"/>
        </w:numPr>
        <w:ind w:left="0" w:firstLine="0"/>
        <w:jc w:val="both"/>
        <w:rPr>
          <w:rFonts w:ascii="Garamond" w:eastAsia="Times New Roman" w:hAnsi="Garamond"/>
          <w:sz w:val="24"/>
          <w:szCs w:val="24"/>
        </w:rPr>
      </w:pPr>
      <w:r w:rsidRPr="0070096A">
        <w:rPr>
          <w:rFonts w:ascii="Garamond" w:eastAsia="Times New Roman" w:hAnsi="Garamond"/>
          <w:sz w:val="24"/>
          <w:szCs w:val="24"/>
        </w:rPr>
        <w:t>1. ledna 2023 do 31. března 2023.</w:t>
      </w:r>
    </w:p>
    <w:p w14:paraId="0A964252" w14:textId="77777777" w:rsidR="00046B83" w:rsidRPr="0070096A" w:rsidRDefault="00046B83" w:rsidP="00A63C40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14:paraId="04EA5DE0" w14:textId="29F14DC3" w:rsidR="00F656D8" w:rsidRPr="0070096A" w:rsidRDefault="00046B83" w:rsidP="00DE5484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Garamond" w:eastAsia="Times New Roman" w:hAnsi="Garamond"/>
          <w:sz w:val="24"/>
          <w:szCs w:val="24"/>
        </w:rPr>
      </w:pPr>
      <w:r w:rsidRPr="0070096A">
        <w:rPr>
          <w:rFonts w:ascii="Garamond" w:eastAsia="Times New Roman" w:hAnsi="Garamond"/>
          <w:sz w:val="24"/>
          <w:szCs w:val="24"/>
        </w:rPr>
        <w:t xml:space="preserve">Jakým datem (či časem) doručení ve smyslu § 3 odst. 3 písm. b) vyhlášky č. 259/2012 Sb. v otisku podacího razítka </w:t>
      </w:r>
      <w:proofErr w:type="gramStart"/>
      <w:r w:rsidRPr="0070096A">
        <w:rPr>
          <w:rFonts w:ascii="Garamond" w:eastAsia="Times New Roman" w:hAnsi="Garamond"/>
          <w:sz w:val="24"/>
          <w:szCs w:val="24"/>
        </w:rPr>
        <w:t>opatří</w:t>
      </w:r>
      <w:proofErr w:type="gramEnd"/>
      <w:r w:rsidRPr="0070096A">
        <w:rPr>
          <w:rFonts w:ascii="Garamond" w:eastAsia="Times New Roman" w:hAnsi="Garamond"/>
          <w:sz w:val="24"/>
          <w:szCs w:val="24"/>
        </w:rPr>
        <w:t xml:space="preserve"> Váš soud </w:t>
      </w:r>
      <w:r w:rsidRPr="0070096A">
        <w:rPr>
          <w:rFonts w:ascii="Garamond" w:eastAsia="Times New Roman" w:hAnsi="Garamond"/>
          <w:b/>
          <w:bCs/>
          <w:sz w:val="24"/>
          <w:szCs w:val="24"/>
        </w:rPr>
        <w:t>listinné podání</w:t>
      </w:r>
      <w:r w:rsidRPr="0070096A">
        <w:rPr>
          <w:rFonts w:ascii="Garamond" w:eastAsia="Times New Roman" w:hAnsi="Garamond"/>
          <w:sz w:val="24"/>
          <w:szCs w:val="24"/>
        </w:rPr>
        <w:t xml:space="preserve">, které mu bylo ve smyslu § 2 odst. 1 věty druhé vyhlášky č. 259/2012 Sb. doručeno (resp. předáno některému z jeho zaměstnanců či soudců) </w:t>
      </w:r>
      <w:r w:rsidRPr="0070096A">
        <w:rPr>
          <w:rFonts w:ascii="Garamond" w:eastAsia="Times New Roman" w:hAnsi="Garamond"/>
          <w:b/>
          <w:bCs/>
          <w:sz w:val="24"/>
          <w:szCs w:val="24"/>
        </w:rPr>
        <w:t>mimo podatelnu</w:t>
      </w:r>
      <w:r w:rsidRPr="0070096A">
        <w:rPr>
          <w:rFonts w:ascii="Garamond" w:eastAsia="Times New Roman" w:hAnsi="Garamond"/>
          <w:sz w:val="24"/>
          <w:szCs w:val="24"/>
        </w:rPr>
        <w:t xml:space="preserve"> (zda dle okamžiku doručení mimo podatelnu, nebo okamžiku předání podatelně)?</w:t>
      </w:r>
    </w:p>
    <w:p w14:paraId="2940F640" w14:textId="77777777" w:rsidR="00DE5484" w:rsidRPr="0070096A" w:rsidRDefault="00DE5484" w:rsidP="00DE5484">
      <w:pPr>
        <w:pStyle w:val="Odstavecseseznamem"/>
        <w:ind w:left="0"/>
        <w:jc w:val="both"/>
        <w:rPr>
          <w:rFonts w:ascii="Garamond" w:eastAsia="Times New Roman" w:hAnsi="Garamond"/>
          <w:sz w:val="24"/>
          <w:szCs w:val="24"/>
        </w:rPr>
      </w:pPr>
    </w:p>
    <w:p w14:paraId="572646B6" w14:textId="5C855130" w:rsidR="005B440A" w:rsidRPr="0070096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0096A">
        <w:rPr>
          <w:rFonts w:ascii="Garamond" w:hAnsi="Garamond"/>
          <w:color w:val="000000"/>
        </w:rPr>
        <w:t xml:space="preserve">V souladu s § 14 odst. 5 písm. d) </w:t>
      </w:r>
      <w:r w:rsidR="00586CB4" w:rsidRPr="0070096A">
        <w:rPr>
          <w:rFonts w:ascii="Garamond" w:hAnsi="Garamond"/>
          <w:color w:val="000000"/>
        </w:rPr>
        <w:t>InfZ</w:t>
      </w:r>
      <w:r w:rsidRPr="0070096A">
        <w:rPr>
          <w:rFonts w:ascii="Garamond" w:hAnsi="Garamond"/>
          <w:color w:val="000000"/>
        </w:rPr>
        <w:t xml:space="preserve"> vyhovuji</w:t>
      </w:r>
      <w:r w:rsidRPr="0070096A">
        <w:rPr>
          <w:rFonts w:ascii="Garamond" w:hAnsi="Garamond"/>
          <w:b/>
          <w:color w:val="000000"/>
        </w:rPr>
        <w:t xml:space="preserve"> </w:t>
      </w:r>
      <w:r w:rsidRPr="0070096A">
        <w:rPr>
          <w:rFonts w:ascii="Garamond" w:hAnsi="Garamond"/>
          <w:color w:val="000000"/>
        </w:rPr>
        <w:t>V</w:t>
      </w:r>
      <w:r w:rsidR="005B440A" w:rsidRPr="0070096A">
        <w:rPr>
          <w:rFonts w:ascii="Garamond" w:hAnsi="Garamond"/>
          <w:color w:val="000000"/>
        </w:rPr>
        <w:t xml:space="preserve">aší žádosti a </w:t>
      </w:r>
      <w:r w:rsidR="00F656D8" w:rsidRPr="0070096A">
        <w:rPr>
          <w:rFonts w:ascii="Garamond" w:hAnsi="Garamond"/>
          <w:color w:val="000000"/>
        </w:rPr>
        <w:t xml:space="preserve">sděluji následující: </w:t>
      </w:r>
    </w:p>
    <w:p w14:paraId="297C1B7A" w14:textId="53BE3BB0" w:rsidR="00F47DD9" w:rsidRPr="0070096A" w:rsidRDefault="00F656D8" w:rsidP="005B440A">
      <w:pPr>
        <w:spacing w:after="120"/>
        <w:jc w:val="both"/>
        <w:rPr>
          <w:rFonts w:ascii="Garamond" w:hAnsi="Garamond"/>
          <w:color w:val="000000"/>
        </w:rPr>
      </w:pPr>
      <w:r w:rsidRPr="0070096A">
        <w:rPr>
          <w:rFonts w:ascii="Garamond" w:hAnsi="Garamond"/>
          <w:color w:val="000000"/>
        </w:rPr>
        <w:t xml:space="preserve">Pro příjem podání ústně do protokolu jsou stanoveny úřední hodiny soudu stejně jako pro příjem jakýchkoli jiných podání. Dá se ovšem předpokládat, že v naléhavých případech by po předchozí domluvě mohlo být podání </w:t>
      </w:r>
      <w:r w:rsidR="00A63C40" w:rsidRPr="0070096A">
        <w:rPr>
          <w:rFonts w:ascii="Garamond" w:hAnsi="Garamond"/>
          <w:color w:val="000000"/>
        </w:rPr>
        <w:t xml:space="preserve">ústně </w:t>
      </w:r>
      <w:r w:rsidRPr="0070096A">
        <w:rPr>
          <w:rFonts w:ascii="Garamond" w:hAnsi="Garamond"/>
          <w:color w:val="000000"/>
        </w:rPr>
        <w:t xml:space="preserve">do protokolu učiněno i mimo úřední hodiny. Bližší informace sděluje informační </w:t>
      </w:r>
      <w:r w:rsidR="00F47DD9" w:rsidRPr="0070096A">
        <w:rPr>
          <w:rFonts w:ascii="Garamond" w:hAnsi="Garamond"/>
          <w:color w:val="000000"/>
        </w:rPr>
        <w:t>centrum</w:t>
      </w:r>
      <w:r w:rsidRPr="0070096A">
        <w:rPr>
          <w:rFonts w:ascii="Garamond" w:hAnsi="Garamond"/>
          <w:color w:val="000000"/>
        </w:rPr>
        <w:t xml:space="preserve">. </w:t>
      </w:r>
      <w:r w:rsidR="00B33B36" w:rsidRPr="0070096A">
        <w:rPr>
          <w:rFonts w:ascii="Garamond" w:hAnsi="Garamond"/>
          <w:color w:val="000000"/>
        </w:rPr>
        <w:t xml:space="preserve">Proces sepsání protokolu o ústním podání ve smyslu § 59 odst. 1 věty druhé a odst. 2 věty první trestního řádu není </w:t>
      </w:r>
      <w:r w:rsidR="003A3695" w:rsidRPr="0070096A">
        <w:rPr>
          <w:rFonts w:ascii="Garamond" w:hAnsi="Garamond"/>
          <w:color w:val="000000"/>
        </w:rPr>
        <w:t xml:space="preserve">u zdejšího soudu </w:t>
      </w:r>
      <w:r w:rsidR="00B33B36" w:rsidRPr="0070096A">
        <w:rPr>
          <w:rFonts w:ascii="Garamond" w:hAnsi="Garamond"/>
          <w:color w:val="000000"/>
        </w:rPr>
        <w:t>blíže upraven žádným vnitřním předpisem</w:t>
      </w:r>
      <w:r w:rsidR="00F47DD9" w:rsidRPr="0070096A">
        <w:rPr>
          <w:rFonts w:ascii="Garamond" w:hAnsi="Garamond"/>
          <w:color w:val="000000"/>
        </w:rPr>
        <w:t>. S</w:t>
      </w:r>
      <w:r w:rsidR="00A63C40" w:rsidRPr="0070096A">
        <w:rPr>
          <w:rFonts w:ascii="Garamond" w:hAnsi="Garamond"/>
          <w:color w:val="000000"/>
        </w:rPr>
        <w:t xml:space="preserve">epsání </w:t>
      </w:r>
      <w:r w:rsidR="00F47DD9" w:rsidRPr="0070096A">
        <w:rPr>
          <w:rFonts w:ascii="Garamond" w:hAnsi="Garamond"/>
          <w:color w:val="000000"/>
        </w:rPr>
        <w:t>protokolu o ústním podání</w:t>
      </w:r>
      <w:r w:rsidR="00A63C40" w:rsidRPr="0070096A">
        <w:rPr>
          <w:rFonts w:ascii="Garamond" w:hAnsi="Garamond"/>
          <w:color w:val="000000"/>
        </w:rPr>
        <w:t xml:space="preserve"> </w:t>
      </w:r>
      <w:r w:rsidR="00F47DD9" w:rsidRPr="0070096A">
        <w:rPr>
          <w:rFonts w:ascii="Garamond" w:hAnsi="Garamond"/>
          <w:color w:val="000000"/>
        </w:rPr>
        <w:t xml:space="preserve">(obecně) </w:t>
      </w:r>
      <w:r w:rsidR="00A63C40" w:rsidRPr="0070096A">
        <w:rPr>
          <w:rFonts w:ascii="Garamond" w:hAnsi="Garamond"/>
          <w:color w:val="000000"/>
        </w:rPr>
        <w:t>by zajistila vedoucí oddělení či vyšší soudní úřednice.</w:t>
      </w:r>
      <w:r w:rsidR="00120BD3" w:rsidRPr="0070096A">
        <w:rPr>
          <w:rFonts w:ascii="Garamond" w:hAnsi="Garamond"/>
          <w:color w:val="000000"/>
        </w:rPr>
        <w:t xml:space="preserve"> </w:t>
      </w:r>
      <w:r w:rsidRPr="0070096A">
        <w:rPr>
          <w:rFonts w:ascii="Garamond" w:hAnsi="Garamond"/>
          <w:color w:val="000000"/>
        </w:rPr>
        <w:t>Příjem trestního oznámení</w:t>
      </w:r>
      <w:r w:rsidR="00A63C40" w:rsidRPr="0070096A">
        <w:rPr>
          <w:rFonts w:ascii="Garamond" w:hAnsi="Garamond"/>
          <w:color w:val="000000"/>
        </w:rPr>
        <w:t xml:space="preserve"> do protokolu</w:t>
      </w:r>
      <w:r w:rsidRPr="0070096A">
        <w:rPr>
          <w:rFonts w:ascii="Garamond" w:hAnsi="Garamond"/>
          <w:color w:val="000000"/>
        </w:rPr>
        <w:t xml:space="preserve"> by řešila vyšší soudní úřednice určená rozvrhem práce. Statistika </w:t>
      </w:r>
      <w:r w:rsidR="003A3695" w:rsidRPr="0070096A">
        <w:rPr>
          <w:rFonts w:ascii="Garamond" w:hAnsi="Garamond"/>
          <w:color w:val="000000"/>
        </w:rPr>
        <w:t>týkající se</w:t>
      </w:r>
      <w:r w:rsidRPr="0070096A">
        <w:rPr>
          <w:rFonts w:ascii="Garamond" w:hAnsi="Garamond"/>
          <w:color w:val="000000"/>
        </w:rPr>
        <w:t xml:space="preserve"> počtu protokolů o</w:t>
      </w:r>
      <w:r w:rsidR="00120BD3" w:rsidRPr="0070096A">
        <w:rPr>
          <w:rFonts w:ascii="Garamond" w:hAnsi="Garamond"/>
          <w:color w:val="000000"/>
        </w:rPr>
        <w:t> </w:t>
      </w:r>
      <w:r w:rsidRPr="0070096A">
        <w:rPr>
          <w:rFonts w:ascii="Garamond" w:hAnsi="Garamond"/>
          <w:color w:val="000000"/>
        </w:rPr>
        <w:t xml:space="preserve">ústních podáních není zdejším soudem vedena. </w:t>
      </w:r>
    </w:p>
    <w:p w14:paraId="5621BF0E" w14:textId="44A04449" w:rsidR="00F656D8" w:rsidRPr="0070096A" w:rsidRDefault="00F47DD9" w:rsidP="005B440A">
      <w:pPr>
        <w:spacing w:after="120"/>
        <w:jc w:val="both"/>
        <w:rPr>
          <w:rFonts w:ascii="Garamond" w:hAnsi="Garamond"/>
          <w:color w:val="000000"/>
        </w:rPr>
      </w:pPr>
      <w:r w:rsidRPr="0070096A">
        <w:rPr>
          <w:rFonts w:ascii="Garamond" w:hAnsi="Garamond"/>
          <w:color w:val="000000"/>
        </w:rPr>
        <w:t>Listinná podání se</w:t>
      </w:r>
      <w:r w:rsidR="00120BD3" w:rsidRPr="0070096A">
        <w:rPr>
          <w:rFonts w:ascii="Garamond" w:hAnsi="Garamond"/>
          <w:color w:val="000000"/>
        </w:rPr>
        <w:t xml:space="preserve"> obecně podávají na podatelnu, která podání </w:t>
      </w:r>
      <w:proofErr w:type="gramStart"/>
      <w:r w:rsidR="00120BD3" w:rsidRPr="0070096A">
        <w:rPr>
          <w:rFonts w:ascii="Garamond" w:hAnsi="Garamond"/>
          <w:color w:val="000000"/>
        </w:rPr>
        <w:t>opatří</w:t>
      </w:r>
      <w:proofErr w:type="gramEnd"/>
      <w:r w:rsidR="00120BD3" w:rsidRPr="0070096A">
        <w:rPr>
          <w:rFonts w:ascii="Garamond" w:hAnsi="Garamond"/>
          <w:color w:val="000000"/>
        </w:rPr>
        <w:t xml:space="preserve"> podacím razítkem. Pokud by však šlo o případ, kdy zde funguje služba pro příjem listinných podání mimo úřední dobu soudu (typicky např. návrh na vzetí do vazby), </w:t>
      </w:r>
      <w:proofErr w:type="gramStart"/>
      <w:r w:rsidR="00120BD3" w:rsidRPr="0070096A">
        <w:rPr>
          <w:rFonts w:ascii="Garamond" w:hAnsi="Garamond"/>
          <w:color w:val="000000"/>
        </w:rPr>
        <w:t>vyznačí</w:t>
      </w:r>
      <w:proofErr w:type="gramEnd"/>
      <w:r w:rsidR="00120BD3" w:rsidRPr="0070096A">
        <w:rPr>
          <w:rFonts w:ascii="Garamond" w:hAnsi="Garamond"/>
          <w:color w:val="000000"/>
        </w:rPr>
        <w:t xml:space="preserve"> </w:t>
      </w:r>
      <w:r w:rsidR="00A71AB9" w:rsidRPr="0070096A">
        <w:rPr>
          <w:rFonts w:ascii="Garamond" w:hAnsi="Garamond"/>
          <w:color w:val="000000"/>
        </w:rPr>
        <w:t xml:space="preserve">službu konající osoba </w:t>
      </w:r>
      <w:r w:rsidR="00120BD3" w:rsidRPr="0070096A">
        <w:rPr>
          <w:rFonts w:ascii="Garamond" w:hAnsi="Garamond"/>
          <w:color w:val="000000"/>
        </w:rPr>
        <w:t xml:space="preserve">přijetí </w:t>
      </w:r>
      <w:r w:rsidR="00A71AB9" w:rsidRPr="0070096A">
        <w:rPr>
          <w:rFonts w:ascii="Garamond" w:hAnsi="Garamond"/>
          <w:color w:val="000000"/>
        </w:rPr>
        <w:t xml:space="preserve">při převzetí tohoto dokumentu a nečeká se na úřední dobu podatelny. </w:t>
      </w:r>
    </w:p>
    <w:p w14:paraId="7273870F" w14:textId="77777777" w:rsidR="005B440A" w:rsidRPr="0070096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5114D93" w14:textId="77777777" w:rsidR="005B440A" w:rsidRPr="0070096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0096A">
        <w:rPr>
          <w:rFonts w:ascii="Garamond" w:hAnsi="Garamond"/>
          <w:color w:val="000000"/>
        </w:rPr>
        <w:t>S</w:t>
      </w:r>
      <w:r w:rsidR="005B440A" w:rsidRPr="0070096A">
        <w:rPr>
          <w:rFonts w:ascii="Garamond" w:hAnsi="Garamond"/>
          <w:color w:val="000000"/>
        </w:rPr>
        <w:t> </w:t>
      </w:r>
      <w:r w:rsidRPr="0070096A">
        <w:rPr>
          <w:rFonts w:ascii="Garamond" w:hAnsi="Garamond"/>
          <w:color w:val="000000"/>
        </w:rPr>
        <w:t>pozdrav</w:t>
      </w:r>
      <w:r w:rsidR="005B440A" w:rsidRPr="0070096A">
        <w:rPr>
          <w:rFonts w:ascii="Garamond" w:hAnsi="Garamond"/>
          <w:color w:val="000000"/>
        </w:rPr>
        <w:t>em</w:t>
      </w:r>
    </w:p>
    <w:p w14:paraId="13D9D573" w14:textId="77777777" w:rsidR="005B440A" w:rsidRPr="0070096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0096A" w14:paraId="3AA8348D" w14:textId="77777777" w:rsidTr="00047ED5">
        <w:tc>
          <w:tcPr>
            <w:tcW w:w="4048" w:type="dxa"/>
            <w:hideMark/>
          </w:tcPr>
          <w:p w14:paraId="26DE5679" w14:textId="77777777" w:rsidR="00047ED5" w:rsidRPr="0070096A" w:rsidRDefault="00BA6A0B">
            <w:pPr>
              <w:widowControl w:val="0"/>
              <w:rPr>
                <w:rFonts w:ascii="Garamond" w:hAnsi="Garamond"/>
              </w:rPr>
            </w:pPr>
            <w:r w:rsidRPr="0070096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70096A" w14:paraId="0A8895B4" w14:textId="77777777" w:rsidTr="00047ED5">
        <w:tc>
          <w:tcPr>
            <w:tcW w:w="4048" w:type="dxa"/>
            <w:hideMark/>
          </w:tcPr>
          <w:p w14:paraId="61F4E1D5" w14:textId="734AA54B" w:rsidR="00047ED5" w:rsidRPr="0070096A" w:rsidRDefault="00F656D8">
            <w:pPr>
              <w:widowControl w:val="0"/>
              <w:rPr>
                <w:rFonts w:ascii="Garamond" w:hAnsi="Garamond"/>
              </w:rPr>
            </w:pPr>
            <w:r w:rsidRPr="0070096A">
              <w:rPr>
                <w:rFonts w:ascii="Garamond" w:hAnsi="Garamond"/>
              </w:rPr>
              <w:t>vyšší soudní úřednice</w:t>
            </w:r>
          </w:p>
        </w:tc>
      </w:tr>
      <w:tr w:rsidR="00047ED5" w:rsidRPr="0070096A" w14:paraId="2271AE6B" w14:textId="77777777" w:rsidTr="00047ED5">
        <w:tc>
          <w:tcPr>
            <w:tcW w:w="4048" w:type="dxa"/>
            <w:hideMark/>
          </w:tcPr>
          <w:p w14:paraId="34E3CE64" w14:textId="77777777" w:rsidR="00047ED5" w:rsidRPr="0070096A" w:rsidRDefault="00047ED5">
            <w:pPr>
              <w:widowControl w:val="0"/>
              <w:rPr>
                <w:rFonts w:ascii="Garamond" w:hAnsi="Garamond"/>
              </w:rPr>
            </w:pPr>
            <w:r w:rsidRPr="0070096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0096A" w14:paraId="0485E25C" w14:textId="77777777" w:rsidTr="00047ED5">
        <w:tc>
          <w:tcPr>
            <w:tcW w:w="4048" w:type="dxa"/>
            <w:hideMark/>
          </w:tcPr>
          <w:p w14:paraId="7E3CFB69" w14:textId="77777777" w:rsidR="00047ED5" w:rsidRPr="0070096A" w:rsidRDefault="00047ED5">
            <w:pPr>
              <w:widowControl w:val="0"/>
              <w:rPr>
                <w:rFonts w:ascii="Garamond" w:hAnsi="Garamond"/>
              </w:rPr>
            </w:pPr>
            <w:r w:rsidRPr="0070096A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70096A" w14:paraId="652347BE" w14:textId="77777777" w:rsidTr="00047ED5">
        <w:tc>
          <w:tcPr>
            <w:tcW w:w="4048" w:type="dxa"/>
            <w:hideMark/>
          </w:tcPr>
          <w:p w14:paraId="1F49969A" w14:textId="77777777" w:rsidR="00047ED5" w:rsidRPr="0070096A" w:rsidRDefault="00047ED5">
            <w:pPr>
              <w:widowControl w:val="0"/>
              <w:rPr>
                <w:rFonts w:ascii="Garamond" w:hAnsi="Garamond"/>
              </w:rPr>
            </w:pPr>
            <w:r w:rsidRPr="0070096A">
              <w:rPr>
                <w:rFonts w:ascii="Garamond" w:hAnsi="Garamond"/>
              </w:rPr>
              <w:t>přístupu k informacím</w:t>
            </w:r>
          </w:p>
        </w:tc>
      </w:tr>
    </w:tbl>
    <w:p w14:paraId="15842DE6" w14:textId="77777777" w:rsidR="00896DB2" w:rsidRPr="0070096A" w:rsidRDefault="00896DB2" w:rsidP="00896DB2">
      <w:pPr>
        <w:rPr>
          <w:b/>
          <w:color w:val="000000"/>
        </w:rPr>
      </w:pPr>
    </w:p>
    <w:p w14:paraId="0AE19D49" w14:textId="77777777" w:rsidR="00896DB2" w:rsidRPr="0070096A" w:rsidRDefault="00896DB2" w:rsidP="00896DB2">
      <w:pPr>
        <w:rPr>
          <w:b/>
          <w:color w:val="000000"/>
        </w:rPr>
      </w:pPr>
    </w:p>
    <w:p w14:paraId="0C5BAD00" w14:textId="77777777" w:rsidR="00E930E4" w:rsidRPr="0070096A" w:rsidRDefault="00E930E4" w:rsidP="00896DB2">
      <w:pPr>
        <w:rPr>
          <w:rFonts w:ascii="Garamond" w:hAnsi="Garamond"/>
          <w:b/>
          <w:color w:val="000000"/>
        </w:rPr>
      </w:pPr>
    </w:p>
    <w:p w14:paraId="3408844F" w14:textId="77777777" w:rsidR="00E930E4" w:rsidRPr="0070096A" w:rsidRDefault="00E930E4" w:rsidP="00896DB2">
      <w:pPr>
        <w:rPr>
          <w:rFonts w:ascii="Garamond" w:hAnsi="Garamond"/>
          <w:b/>
          <w:color w:val="000000"/>
        </w:rPr>
      </w:pPr>
    </w:p>
    <w:p w14:paraId="45C8A417" w14:textId="77777777" w:rsidR="00E930E4" w:rsidRPr="0070096A" w:rsidRDefault="00E930E4" w:rsidP="00896DB2">
      <w:pPr>
        <w:rPr>
          <w:rFonts w:ascii="Garamond" w:hAnsi="Garamond"/>
          <w:b/>
          <w:color w:val="000000"/>
        </w:rPr>
      </w:pPr>
    </w:p>
    <w:p w14:paraId="3D4BD495" w14:textId="77777777" w:rsidR="00E930E4" w:rsidRPr="0070096A" w:rsidRDefault="00E930E4" w:rsidP="00896DB2">
      <w:pPr>
        <w:rPr>
          <w:rFonts w:ascii="Garamond" w:hAnsi="Garamond"/>
          <w:b/>
          <w:color w:val="000000"/>
        </w:rPr>
      </w:pPr>
    </w:p>
    <w:p w14:paraId="212723E2" w14:textId="77777777" w:rsidR="00E930E4" w:rsidRPr="0070096A" w:rsidRDefault="00E930E4" w:rsidP="00896DB2">
      <w:pPr>
        <w:rPr>
          <w:rFonts w:ascii="Garamond" w:hAnsi="Garamond"/>
          <w:b/>
          <w:color w:val="000000"/>
        </w:rPr>
      </w:pPr>
    </w:p>
    <w:p w14:paraId="75986113" w14:textId="77777777" w:rsidR="00E930E4" w:rsidRPr="0070096A" w:rsidRDefault="00E930E4" w:rsidP="00896DB2">
      <w:pPr>
        <w:rPr>
          <w:rFonts w:ascii="Garamond" w:hAnsi="Garamond"/>
          <w:b/>
          <w:color w:val="000000"/>
        </w:rPr>
      </w:pPr>
    </w:p>
    <w:p w14:paraId="71D11D25" w14:textId="77777777" w:rsidR="00E930E4" w:rsidRPr="0070096A" w:rsidRDefault="00E930E4" w:rsidP="00896DB2">
      <w:pPr>
        <w:rPr>
          <w:rFonts w:ascii="Garamond" w:hAnsi="Garamond"/>
          <w:b/>
          <w:color w:val="000000"/>
        </w:rPr>
      </w:pPr>
    </w:p>
    <w:p w14:paraId="7E580F65" w14:textId="77777777" w:rsidR="00E930E4" w:rsidRPr="0070096A" w:rsidRDefault="00E930E4" w:rsidP="00896DB2">
      <w:pPr>
        <w:rPr>
          <w:rFonts w:ascii="Garamond" w:hAnsi="Garamond"/>
          <w:b/>
          <w:color w:val="000000"/>
        </w:rPr>
      </w:pPr>
    </w:p>
    <w:p w14:paraId="135398BE" w14:textId="77777777" w:rsidR="00E930E4" w:rsidRPr="0070096A" w:rsidRDefault="00E930E4" w:rsidP="00896DB2">
      <w:pPr>
        <w:rPr>
          <w:rFonts w:ascii="Garamond" w:hAnsi="Garamond"/>
          <w:b/>
          <w:color w:val="000000"/>
        </w:rPr>
      </w:pPr>
    </w:p>
    <w:p w14:paraId="09177F07" w14:textId="77777777" w:rsidR="00E930E4" w:rsidRPr="0070096A" w:rsidRDefault="00E930E4" w:rsidP="00896DB2">
      <w:pPr>
        <w:rPr>
          <w:rFonts w:ascii="Garamond" w:hAnsi="Garamond"/>
          <w:b/>
          <w:color w:val="000000"/>
        </w:rPr>
      </w:pPr>
    </w:p>
    <w:p w14:paraId="6570E663" w14:textId="77777777" w:rsidR="00E930E4" w:rsidRPr="0070096A" w:rsidRDefault="00E930E4" w:rsidP="00896DB2">
      <w:pPr>
        <w:rPr>
          <w:rFonts w:ascii="Garamond" w:hAnsi="Garamond"/>
          <w:b/>
          <w:color w:val="000000"/>
        </w:rPr>
      </w:pPr>
    </w:p>
    <w:p w14:paraId="374362AB" w14:textId="77777777" w:rsidR="00E930E4" w:rsidRPr="0070096A" w:rsidRDefault="00E930E4" w:rsidP="00896DB2">
      <w:pPr>
        <w:rPr>
          <w:rFonts w:ascii="Garamond" w:hAnsi="Garamond"/>
          <w:b/>
          <w:color w:val="000000"/>
        </w:rPr>
      </w:pPr>
    </w:p>
    <w:p w14:paraId="2F2D19E1" w14:textId="77777777" w:rsidR="00E930E4" w:rsidRPr="0070096A" w:rsidRDefault="00E930E4" w:rsidP="00896DB2">
      <w:pPr>
        <w:rPr>
          <w:rFonts w:ascii="Garamond" w:hAnsi="Garamond"/>
          <w:b/>
          <w:color w:val="000000"/>
        </w:rPr>
      </w:pPr>
    </w:p>
    <w:p w14:paraId="7046ABD2" w14:textId="77777777" w:rsidR="00E930E4" w:rsidRPr="0070096A" w:rsidRDefault="00E930E4" w:rsidP="00896DB2">
      <w:pPr>
        <w:rPr>
          <w:rFonts w:ascii="Garamond" w:hAnsi="Garamond"/>
          <w:b/>
          <w:color w:val="000000"/>
        </w:rPr>
      </w:pPr>
    </w:p>
    <w:p w14:paraId="623A8462" w14:textId="77777777" w:rsidR="00E930E4" w:rsidRPr="0070096A" w:rsidRDefault="00E930E4" w:rsidP="00896DB2">
      <w:pPr>
        <w:rPr>
          <w:rFonts w:ascii="Garamond" w:hAnsi="Garamond"/>
          <w:b/>
          <w:color w:val="000000"/>
        </w:rPr>
      </w:pPr>
    </w:p>
    <w:p w14:paraId="5C8C0AAF" w14:textId="230751AF" w:rsidR="00010725" w:rsidRPr="0070096A" w:rsidRDefault="00010725" w:rsidP="00896DB2"/>
    <w:sectPr w:rsidR="00010725" w:rsidRPr="0070096A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78824" w14:textId="77777777" w:rsidR="00E47086" w:rsidRDefault="00E47086">
      <w:r>
        <w:separator/>
      </w:r>
    </w:p>
  </w:endnote>
  <w:endnote w:type="continuationSeparator" w:id="0">
    <w:p w14:paraId="6E36BE9D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B41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5CE1B5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76F1" w14:textId="77777777" w:rsidR="00E47086" w:rsidRDefault="00E47086">
      <w:r>
        <w:separator/>
      </w:r>
    </w:p>
  </w:footnote>
  <w:footnote w:type="continuationSeparator" w:id="0">
    <w:p w14:paraId="2D3B0266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8114" w14:textId="2445F3F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383/2023</w:t>
    </w:r>
    <w:r w:rsidRPr="00943455">
      <w:rPr>
        <w:rFonts w:ascii="Garamond" w:hAnsi="Garamond"/>
      </w:rPr>
      <w:t>-</w:t>
    </w:r>
    <w:r w:rsidR="004D3F7A">
      <w:rPr>
        <w:rFonts w:ascii="Garamond" w:hAnsi="Garamond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48E0"/>
    <w:multiLevelType w:val="hybridMultilevel"/>
    <w:tmpl w:val="10D8A1A2"/>
    <w:lvl w:ilvl="0" w:tplc="7908B664">
      <w:start w:val="1"/>
      <w:numFmt w:val="decimal"/>
      <w:lvlText w:val="(%1)"/>
      <w:lvlJc w:val="left"/>
      <w:pPr>
        <w:ind w:left="720" w:hanging="360"/>
      </w:pPr>
      <w:rPr>
        <w:b w:val="0"/>
        <w:bCs/>
      </w:rPr>
    </w:lvl>
    <w:lvl w:ilvl="1" w:tplc="DFD0E498">
      <w:start w:val="1"/>
      <w:numFmt w:val="lowerLetter"/>
      <w:lvlText w:val="(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280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6/12 10:31:5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83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6B83"/>
    <w:rsid w:val="00047ED5"/>
    <w:rsid w:val="000D1598"/>
    <w:rsid w:val="00120BD3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A3695"/>
    <w:rsid w:val="00401AD9"/>
    <w:rsid w:val="00436AA6"/>
    <w:rsid w:val="004D3F7A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096A"/>
    <w:rsid w:val="007030A0"/>
    <w:rsid w:val="007127B1"/>
    <w:rsid w:val="00873B33"/>
    <w:rsid w:val="00896DB2"/>
    <w:rsid w:val="008970FE"/>
    <w:rsid w:val="008C78C0"/>
    <w:rsid w:val="00943455"/>
    <w:rsid w:val="00974F7F"/>
    <w:rsid w:val="00A63C40"/>
    <w:rsid w:val="00A71AB9"/>
    <w:rsid w:val="00AD4A8B"/>
    <w:rsid w:val="00B312D3"/>
    <w:rsid w:val="00B33B36"/>
    <w:rsid w:val="00B57D55"/>
    <w:rsid w:val="00BA6A0B"/>
    <w:rsid w:val="00C06A7E"/>
    <w:rsid w:val="00C7287D"/>
    <w:rsid w:val="00CC6E1B"/>
    <w:rsid w:val="00CE5697"/>
    <w:rsid w:val="00D21239"/>
    <w:rsid w:val="00DA1457"/>
    <w:rsid w:val="00DE5484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47DD9"/>
    <w:rsid w:val="00F53CC7"/>
    <w:rsid w:val="00F653E5"/>
    <w:rsid w:val="00F656D8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4A9AB"/>
  <w14:defaultImageDpi w14:val="0"/>
  <w15:docId w15:val="{6F3BAFA4-92F6-4B11-A96D-F2C877DC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46B83"/>
    <w:pPr>
      <w:autoSpaceDE/>
      <w:autoSpaceDN/>
      <w:adjustRightInd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634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2023-06-12T10:56:00Z</cp:lastPrinted>
  <dcterms:created xsi:type="dcterms:W3CDTF">2023-06-13T08:08:00Z</dcterms:created>
  <dcterms:modified xsi:type="dcterms:W3CDTF">2023-06-13T08:09:00Z</dcterms:modified>
</cp:coreProperties>
</file>