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72" w:rsidRPr="007E1872" w:rsidRDefault="007E1872" w:rsidP="007E1872">
      <w:pPr>
        <w:shd w:val="clear" w:color="auto" w:fill="FFFFFF"/>
        <w:spacing w:before="240" w:after="120"/>
        <w:outlineLvl w:val="1"/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</w:pPr>
      <w:r w:rsidRPr="007E1872"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  <w:t>Poučení pro osoby vstupující do budovy soudu</w:t>
      </w:r>
    </w:p>
    <w:p w:rsidR="007E1872" w:rsidRPr="007E1872" w:rsidRDefault="007E1872" w:rsidP="007E1872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7E1872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Do budovy soudu jsou oprávněny vstoupit pouze osoby soudem předvolané, osoby jež žádají o provedení úkonů podle občanského soudního řádu, trestního řádu, jednacího a kancelářského řádu, osoby jež se hodlají zúčastnit jednání, hlavního líčení nebo veřejného zasedání, pokud není z nich veřejnost vyloučena (§ 116 odst. 2 o.s.ř. a § 200 odst. 1 </w:t>
      </w:r>
      <w:proofErr w:type="spellStart"/>
      <w:r w:rsidRPr="007E1872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tr.ř</w:t>
      </w:r>
      <w:proofErr w:type="spellEnd"/>
      <w:r w:rsidRPr="007E1872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.).</w:t>
      </w:r>
    </w:p>
    <w:p w:rsidR="007E1872" w:rsidRPr="007E1872" w:rsidRDefault="007E1872" w:rsidP="007E1872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7E1872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7E1872" w:rsidRPr="007E1872" w:rsidRDefault="007E1872" w:rsidP="007E1872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7E1872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Osoby pohybující se v budově soudu jsou povinny dbát pokynů příslušníků justiční stráže, včetně prokázání totožnosti ( § 22 </w:t>
      </w:r>
      <w:proofErr w:type="spellStart"/>
      <w:r w:rsidRPr="007E1872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zák.č</w:t>
      </w:r>
      <w:proofErr w:type="spellEnd"/>
      <w:r w:rsidRPr="007E1872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. 555/1992 Sb.), zdržet se všeho, čím by byl narušen klid v budově a důstojnost soudního jednání ( § 13 odst. 6 jednacího řádu).</w:t>
      </w:r>
    </w:p>
    <w:p w:rsidR="007E1872" w:rsidRPr="007E1872" w:rsidRDefault="007E1872" w:rsidP="007E1872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7E1872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> </w:t>
      </w:r>
    </w:p>
    <w:p w:rsidR="007E1872" w:rsidRPr="007E1872" w:rsidRDefault="007E1872" w:rsidP="007E1872">
      <w:pPr>
        <w:shd w:val="clear" w:color="auto" w:fill="FFFFFF"/>
        <w:spacing w:line="384" w:lineRule="atLeast"/>
        <w:jc w:val="both"/>
        <w:rPr>
          <w:rFonts w:ascii="Times New Roman" w:eastAsia="Times New Roman" w:hAnsi="Times New Roman" w:cs="Times New Roman"/>
          <w:color w:val="030303"/>
          <w:szCs w:val="24"/>
          <w:lang w:eastAsia="cs-CZ"/>
        </w:rPr>
      </w:pPr>
      <w:r w:rsidRPr="007E1872">
        <w:rPr>
          <w:rFonts w:ascii="Times New Roman" w:eastAsia="Times New Roman" w:hAnsi="Times New Roman" w:cs="Times New Roman"/>
          <w:color w:val="030303"/>
          <w:szCs w:val="24"/>
          <w:lang w:eastAsia="cs-CZ"/>
        </w:rPr>
        <w:t xml:space="preserve">Do budovy soudu je zakázáno cizím osobám vnášet zbraně, střelivo a jiné nebezpečné předměty, s výjimkou příslušníků policie, vězeňské a justiční stráže ve službě. Při porušení tohoto zákazu justiční stráž zabrání takové osobě ve vstupu do budovy. Vstup však lze umožnit po odložení těchto věcí ve služebně justiční stráže. </w:t>
      </w:r>
    </w:p>
    <w:p w:rsidR="00245C65" w:rsidRPr="00EB29C0" w:rsidRDefault="00245C65" w:rsidP="00EB29C0">
      <w:bookmarkStart w:id="0" w:name="_GoBack"/>
      <w:bookmarkEnd w:id="0"/>
    </w:p>
    <w:sectPr w:rsidR="00245C65" w:rsidRPr="00EB2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872"/>
    <w:rsid w:val="00245C65"/>
    <w:rsid w:val="007630E4"/>
    <w:rsid w:val="007E1872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69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5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Praha Východ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Kladná Blanka</dc:creator>
  <cp:lastModifiedBy>Kladná Blanka</cp:lastModifiedBy>
  <cp:revision>1</cp:revision>
  <dcterms:created xsi:type="dcterms:W3CDTF">2018-09-14T09:24:00Z</dcterms:created>
  <dcterms:modified xsi:type="dcterms:W3CDTF">2018-09-14T09:28:00Z</dcterms:modified>
</cp:coreProperties>
</file>