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3FA" w:rsidRDefault="009453FA" w:rsidP="009453FA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Okresní soud v Příbrami</w:t>
      </w:r>
    </w:p>
    <w:p w:rsidR="009453FA" w:rsidRDefault="009453FA" w:rsidP="009453FA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Milínská 167</w:t>
      </w:r>
    </w:p>
    <w:p w:rsidR="009453FA" w:rsidRDefault="009453FA" w:rsidP="009453FA">
      <w:pPr>
        <w:pBdr>
          <w:bottom w:val="single" w:sz="6" w:space="1" w:color="auto"/>
        </w:pBd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Příbram III</w:t>
      </w:r>
    </w:p>
    <w:p w:rsidR="009453FA" w:rsidRDefault="009453FA" w:rsidP="009453FA">
      <w:pPr>
        <w:rPr>
          <w:rFonts w:ascii="Garamond" w:hAnsi="Garamond"/>
          <w:sz w:val="24"/>
          <w:szCs w:val="24"/>
        </w:rPr>
      </w:pPr>
    </w:p>
    <w:p w:rsidR="00481596" w:rsidRPr="00481596" w:rsidRDefault="00481596" w:rsidP="00481596">
      <w:pPr>
        <w:pStyle w:val="Zhlav"/>
        <w:jc w:val="both"/>
        <w:rPr>
          <w:rFonts w:ascii="Garamond" w:hAnsi="Garamond"/>
          <w:sz w:val="24"/>
          <w:szCs w:val="24"/>
        </w:rPr>
      </w:pPr>
      <w:r w:rsidRPr="00481596">
        <w:rPr>
          <w:rFonts w:ascii="Garamond" w:hAnsi="Garamond"/>
          <w:sz w:val="24"/>
          <w:szCs w:val="24"/>
        </w:rPr>
        <w:t xml:space="preserve">2 </w:t>
      </w:r>
      <w:proofErr w:type="spellStart"/>
      <w:r w:rsidRPr="00481596">
        <w:rPr>
          <w:rFonts w:ascii="Garamond" w:hAnsi="Garamond"/>
          <w:sz w:val="24"/>
          <w:szCs w:val="24"/>
        </w:rPr>
        <w:t>Spr</w:t>
      </w:r>
      <w:proofErr w:type="spellEnd"/>
      <w:r w:rsidRPr="00481596">
        <w:rPr>
          <w:rFonts w:ascii="Garamond" w:hAnsi="Garamond"/>
          <w:sz w:val="24"/>
          <w:szCs w:val="24"/>
        </w:rPr>
        <w:t xml:space="preserve"> 912/2021</w:t>
      </w:r>
      <w:r>
        <w:rPr>
          <w:rFonts w:ascii="Garamond" w:hAnsi="Garamond"/>
          <w:sz w:val="24"/>
          <w:szCs w:val="24"/>
        </w:rPr>
        <w:t>/</w:t>
      </w:r>
      <w:r w:rsidR="00F76C0A">
        <w:rPr>
          <w:rFonts w:ascii="Garamond" w:hAnsi="Garamond"/>
          <w:sz w:val="24"/>
          <w:szCs w:val="24"/>
        </w:rPr>
        <w:t>5</w:t>
      </w:r>
    </w:p>
    <w:p w:rsidR="00BC7574" w:rsidRDefault="00BC7574" w:rsidP="009453FA">
      <w:pPr>
        <w:rPr>
          <w:rFonts w:ascii="Garamond" w:hAnsi="Garamond"/>
          <w:sz w:val="24"/>
          <w:szCs w:val="24"/>
        </w:rPr>
      </w:pPr>
    </w:p>
    <w:p w:rsidR="009453FA" w:rsidRDefault="009453FA" w:rsidP="009453FA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</w:t>
      </w:r>
    </w:p>
    <w:p w:rsidR="009453FA" w:rsidRDefault="009453FA" w:rsidP="009453FA">
      <w:p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                                  </w:t>
      </w:r>
    </w:p>
    <w:p w:rsidR="00593A20" w:rsidRDefault="00593A20" w:rsidP="00593A20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Změna rozvrhu práce Okresního soudu v Příbrami </w:t>
      </w:r>
    </w:p>
    <w:p w:rsidR="00593A20" w:rsidRDefault="00593A20" w:rsidP="00593A20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pro rok </w:t>
      </w:r>
      <w:r w:rsidR="00481596">
        <w:rPr>
          <w:rFonts w:ascii="Garamond" w:hAnsi="Garamond"/>
          <w:b/>
          <w:sz w:val="24"/>
          <w:szCs w:val="24"/>
        </w:rPr>
        <w:t>2022</w:t>
      </w:r>
    </w:p>
    <w:p w:rsidR="00593A20" w:rsidRDefault="00593A20" w:rsidP="00593A20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č. </w:t>
      </w:r>
      <w:r w:rsidR="00F76C0A">
        <w:rPr>
          <w:rFonts w:ascii="Garamond" w:hAnsi="Garamond"/>
          <w:b/>
          <w:sz w:val="24"/>
          <w:szCs w:val="24"/>
        </w:rPr>
        <w:t>5</w:t>
      </w:r>
    </w:p>
    <w:p w:rsidR="00593A20" w:rsidRDefault="00593A20" w:rsidP="00593A20">
      <w:pPr>
        <w:jc w:val="center"/>
        <w:rPr>
          <w:rFonts w:ascii="Garamond" w:hAnsi="Garamond"/>
          <w:b/>
          <w:sz w:val="24"/>
          <w:szCs w:val="24"/>
        </w:rPr>
      </w:pPr>
    </w:p>
    <w:p w:rsidR="00593A20" w:rsidRDefault="00593A20" w:rsidP="00593A20">
      <w:pPr>
        <w:jc w:val="both"/>
        <w:rPr>
          <w:rFonts w:ascii="Garamond" w:hAnsi="Garamond"/>
          <w:b/>
          <w:sz w:val="24"/>
          <w:szCs w:val="24"/>
        </w:rPr>
      </w:pPr>
    </w:p>
    <w:p w:rsidR="00777DED" w:rsidRDefault="00777DED" w:rsidP="00777DED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Počínaje dnem </w:t>
      </w:r>
      <w:r w:rsidR="00F76C0A">
        <w:rPr>
          <w:rFonts w:ascii="Garamond" w:hAnsi="Garamond"/>
          <w:sz w:val="24"/>
          <w:szCs w:val="24"/>
        </w:rPr>
        <w:t>1. června</w:t>
      </w:r>
      <w:r w:rsidR="000A2A4D">
        <w:rPr>
          <w:rFonts w:ascii="Garamond" w:hAnsi="Garamond"/>
          <w:sz w:val="24"/>
          <w:szCs w:val="24"/>
        </w:rPr>
        <w:t xml:space="preserve"> 2022</w:t>
      </w:r>
      <w:r>
        <w:rPr>
          <w:rFonts w:ascii="Garamond" w:hAnsi="Garamond"/>
          <w:sz w:val="24"/>
          <w:szCs w:val="24"/>
        </w:rPr>
        <w:t xml:space="preserve"> se dosavadní rozvrh práce mění následovně:</w:t>
      </w:r>
    </w:p>
    <w:p w:rsidR="000A2A4D" w:rsidRDefault="000A2A4D" w:rsidP="003E5F22">
      <w:pPr>
        <w:jc w:val="both"/>
        <w:rPr>
          <w:rFonts w:ascii="Garamond" w:hAnsi="Garamond"/>
          <w:sz w:val="24"/>
          <w:szCs w:val="24"/>
        </w:rPr>
      </w:pPr>
    </w:p>
    <w:p w:rsidR="003E5F22" w:rsidRDefault="003E5F22" w:rsidP="003E5F22">
      <w:pPr>
        <w:jc w:val="both"/>
        <w:rPr>
          <w:rFonts w:ascii="Garamond" w:hAnsi="Garamond" w:cs="Arial"/>
          <w:bCs/>
          <w:color w:val="000000" w:themeColor="text1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Mgr. Lucie Šrámková není soudce </w:t>
      </w:r>
      <w:r w:rsidRPr="00EB51E3">
        <w:rPr>
          <w:rFonts w:ascii="Garamond" w:hAnsi="Garamond"/>
          <w:sz w:val="24"/>
          <w:szCs w:val="24"/>
        </w:rPr>
        <w:t xml:space="preserve">pro </w:t>
      </w:r>
      <w:r w:rsidRPr="00EB51E3">
        <w:rPr>
          <w:rFonts w:ascii="Garamond" w:hAnsi="Garamond" w:cs="Arial"/>
          <w:bCs/>
          <w:color w:val="000000" w:themeColor="text1"/>
          <w:sz w:val="24"/>
          <w:szCs w:val="24"/>
        </w:rPr>
        <w:t xml:space="preserve">úkony a rozhodování v přípravném řízení, rozhodování                    o zatčených osobách,  pro úkony podle § 88 a § 158d </w:t>
      </w:r>
      <w:proofErr w:type="spellStart"/>
      <w:r w:rsidRPr="00EB51E3">
        <w:rPr>
          <w:rFonts w:ascii="Garamond" w:hAnsi="Garamond" w:cs="Arial"/>
          <w:bCs/>
          <w:color w:val="000000" w:themeColor="text1"/>
          <w:sz w:val="24"/>
          <w:szCs w:val="24"/>
        </w:rPr>
        <w:t>tr</w:t>
      </w:r>
      <w:proofErr w:type="spellEnd"/>
      <w:r w:rsidRPr="00EB51E3">
        <w:rPr>
          <w:rFonts w:ascii="Garamond" w:hAnsi="Garamond" w:cs="Arial"/>
          <w:bCs/>
          <w:color w:val="000000" w:themeColor="text1"/>
          <w:sz w:val="24"/>
          <w:szCs w:val="24"/>
        </w:rPr>
        <w:t xml:space="preserve">. </w:t>
      </w:r>
      <w:proofErr w:type="gramStart"/>
      <w:r w:rsidRPr="00EB51E3">
        <w:rPr>
          <w:rFonts w:ascii="Garamond" w:hAnsi="Garamond" w:cs="Arial"/>
          <w:bCs/>
          <w:color w:val="000000" w:themeColor="text1"/>
          <w:sz w:val="24"/>
          <w:szCs w:val="24"/>
        </w:rPr>
        <w:t>řádu</w:t>
      </w:r>
      <w:proofErr w:type="gramEnd"/>
      <w:r w:rsidRPr="00EB51E3">
        <w:rPr>
          <w:rFonts w:ascii="Garamond" w:hAnsi="Garamond" w:cs="Arial"/>
          <w:bCs/>
          <w:color w:val="000000" w:themeColor="text1"/>
          <w:sz w:val="24"/>
          <w:szCs w:val="24"/>
        </w:rPr>
        <w:t xml:space="preserve"> (v pracovní i v mimopracovní době) a o předběžných opatřeních podle </w:t>
      </w:r>
      <w:proofErr w:type="spellStart"/>
      <w:r w:rsidRPr="00EB51E3">
        <w:rPr>
          <w:rFonts w:ascii="Garamond" w:hAnsi="Garamond" w:cs="Arial"/>
          <w:bCs/>
          <w:color w:val="000000" w:themeColor="text1"/>
          <w:sz w:val="24"/>
          <w:szCs w:val="24"/>
        </w:rPr>
        <w:t>tr</w:t>
      </w:r>
      <w:proofErr w:type="spellEnd"/>
      <w:r w:rsidRPr="00EB51E3">
        <w:rPr>
          <w:rFonts w:ascii="Garamond" w:hAnsi="Garamond" w:cs="Arial"/>
          <w:bCs/>
          <w:color w:val="000000" w:themeColor="text1"/>
          <w:sz w:val="24"/>
          <w:szCs w:val="24"/>
        </w:rPr>
        <w:t>. řádu.</w:t>
      </w:r>
    </w:p>
    <w:p w:rsidR="003E5F22" w:rsidRDefault="003E5F22" w:rsidP="00777DED">
      <w:pPr>
        <w:jc w:val="both"/>
        <w:rPr>
          <w:rFonts w:ascii="Garamond" w:hAnsi="Garamond"/>
          <w:sz w:val="24"/>
          <w:szCs w:val="24"/>
        </w:rPr>
      </w:pPr>
    </w:p>
    <w:p w:rsidR="00EB51E3" w:rsidRDefault="00EB51E3" w:rsidP="00EB51E3">
      <w:pPr>
        <w:jc w:val="both"/>
        <w:rPr>
          <w:rFonts w:ascii="Garamond" w:hAnsi="Garamond" w:cs="Arial"/>
          <w:bCs/>
          <w:color w:val="000000" w:themeColor="text1"/>
          <w:sz w:val="24"/>
          <w:szCs w:val="24"/>
        </w:rPr>
      </w:pPr>
      <w:r w:rsidRPr="00EB51E3">
        <w:rPr>
          <w:rFonts w:ascii="Garamond" w:hAnsi="Garamond"/>
          <w:sz w:val="24"/>
          <w:szCs w:val="24"/>
        </w:rPr>
        <w:t xml:space="preserve">JUDr. Lenka Chalupská je soudce pro </w:t>
      </w:r>
      <w:r w:rsidRPr="00EB51E3">
        <w:rPr>
          <w:rFonts w:ascii="Garamond" w:hAnsi="Garamond" w:cs="Arial"/>
          <w:bCs/>
          <w:color w:val="000000" w:themeColor="text1"/>
          <w:sz w:val="24"/>
          <w:szCs w:val="24"/>
        </w:rPr>
        <w:t xml:space="preserve">úkony a rozhodování v přípravném řízení, rozhodování                    o zatčených osobách,  pro úkony podle § 88 a § 158d </w:t>
      </w:r>
      <w:proofErr w:type="spellStart"/>
      <w:r w:rsidRPr="00EB51E3">
        <w:rPr>
          <w:rFonts w:ascii="Garamond" w:hAnsi="Garamond" w:cs="Arial"/>
          <w:bCs/>
          <w:color w:val="000000" w:themeColor="text1"/>
          <w:sz w:val="24"/>
          <w:szCs w:val="24"/>
        </w:rPr>
        <w:t>tr</w:t>
      </w:r>
      <w:proofErr w:type="spellEnd"/>
      <w:r w:rsidRPr="00EB51E3">
        <w:rPr>
          <w:rFonts w:ascii="Garamond" w:hAnsi="Garamond" w:cs="Arial"/>
          <w:bCs/>
          <w:color w:val="000000" w:themeColor="text1"/>
          <w:sz w:val="24"/>
          <w:szCs w:val="24"/>
        </w:rPr>
        <w:t xml:space="preserve">. </w:t>
      </w:r>
      <w:proofErr w:type="gramStart"/>
      <w:r w:rsidRPr="00EB51E3">
        <w:rPr>
          <w:rFonts w:ascii="Garamond" w:hAnsi="Garamond" w:cs="Arial"/>
          <w:bCs/>
          <w:color w:val="000000" w:themeColor="text1"/>
          <w:sz w:val="24"/>
          <w:szCs w:val="24"/>
        </w:rPr>
        <w:t>řádu</w:t>
      </w:r>
      <w:proofErr w:type="gramEnd"/>
      <w:r w:rsidRPr="00EB51E3">
        <w:rPr>
          <w:rFonts w:ascii="Garamond" w:hAnsi="Garamond" w:cs="Arial"/>
          <w:bCs/>
          <w:color w:val="000000" w:themeColor="text1"/>
          <w:sz w:val="24"/>
          <w:szCs w:val="24"/>
        </w:rPr>
        <w:t xml:space="preserve"> (v pracovní i v mimopracovní době) a o předběžných opatřeních podle </w:t>
      </w:r>
      <w:proofErr w:type="spellStart"/>
      <w:r w:rsidRPr="00EB51E3">
        <w:rPr>
          <w:rFonts w:ascii="Garamond" w:hAnsi="Garamond" w:cs="Arial"/>
          <w:bCs/>
          <w:color w:val="000000" w:themeColor="text1"/>
          <w:sz w:val="24"/>
          <w:szCs w:val="24"/>
        </w:rPr>
        <w:t>tr</w:t>
      </w:r>
      <w:proofErr w:type="spellEnd"/>
      <w:r w:rsidRPr="00EB51E3">
        <w:rPr>
          <w:rFonts w:ascii="Garamond" w:hAnsi="Garamond" w:cs="Arial"/>
          <w:bCs/>
          <w:color w:val="000000" w:themeColor="text1"/>
          <w:sz w:val="24"/>
          <w:szCs w:val="24"/>
        </w:rPr>
        <w:t>. řádu.</w:t>
      </w:r>
    </w:p>
    <w:p w:rsidR="00EB51E3" w:rsidRDefault="00EB51E3" w:rsidP="00EB51E3">
      <w:pPr>
        <w:jc w:val="both"/>
        <w:rPr>
          <w:rFonts w:ascii="Garamond" w:hAnsi="Garamond" w:cs="Arial"/>
          <w:bCs/>
          <w:color w:val="000000" w:themeColor="text1"/>
          <w:sz w:val="24"/>
          <w:szCs w:val="24"/>
        </w:rPr>
      </w:pPr>
    </w:p>
    <w:p w:rsidR="00126315" w:rsidRDefault="00EB51E3" w:rsidP="00EB51E3">
      <w:pPr>
        <w:jc w:val="both"/>
        <w:rPr>
          <w:rFonts w:ascii="Garamond" w:hAnsi="Garamond" w:cs="Arial"/>
          <w:bCs/>
          <w:color w:val="000000" w:themeColor="text1"/>
          <w:sz w:val="24"/>
          <w:szCs w:val="24"/>
        </w:rPr>
      </w:pPr>
      <w:r>
        <w:rPr>
          <w:rFonts w:ascii="Garamond" w:hAnsi="Garamond" w:cs="Arial"/>
          <w:bCs/>
          <w:color w:val="000000" w:themeColor="text1"/>
          <w:sz w:val="24"/>
          <w:szCs w:val="24"/>
        </w:rPr>
        <w:t>JUDr. Lenka Chalupská není soudcem pro rozhodování o předběžném opatření podle §§ 404 a 452 z. ř. s. v mimopracovní době.</w:t>
      </w:r>
    </w:p>
    <w:p w:rsidR="00126315" w:rsidRDefault="00126315" w:rsidP="00EB51E3">
      <w:pPr>
        <w:jc w:val="both"/>
        <w:rPr>
          <w:rFonts w:ascii="Garamond" w:hAnsi="Garamond" w:cs="Arial"/>
          <w:bCs/>
          <w:color w:val="000000" w:themeColor="text1"/>
          <w:sz w:val="24"/>
          <w:szCs w:val="24"/>
        </w:rPr>
      </w:pPr>
    </w:p>
    <w:p w:rsidR="00126315" w:rsidRDefault="00126315" w:rsidP="00126315">
      <w:pPr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126315">
        <w:rPr>
          <w:rFonts w:ascii="Garamond" w:hAnsi="Garamond"/>
          <w:color w:val="000000" w:themeColor="text1"/>
          <w:sz w:val="24"/>
          <w:szCs w:val="24"/>
        </w:rPr>
        <w:t xml:space="preserve">V případě, že napadne občanskoprávní senátní věc se specializací, která má přednost dle rozvrhu práce Okresního soudu v Příbrami platného od 1. ledna 2022 v pořadí před pracovními spory, </w:t>
      </w:r>
      <w:r w:rsidR="009A242A">
        <w:rPr>
          <w:rFonts w:ascii="Garamond" w:hAnsi="Garamond"/>
          <w:color w:val="000000" w:themeColor="text1"/>
          <w:sz w:val="24"/>
          <w:szCs w:val="24"/>
        </w:rPr>
        <w:t>jsou zákonnými přísedícími přísedící</w:t>
      </w:r>
      <w:r w:rsidRPr="00126315">
        <w:rPr>
          <w:rFonts w:ascii="Garamond" w:hAnsi="Garamond"/>
          <w:color w:val="000000" w:themeColor="text1"/>
          <w:sz w:val="24"/>
          <w:szCs w:val="24"/>
        </w:rPr>
        <w:t xml:space="preserve"> ze soudního oddělení 5 C. </w:t>
      </w:r>
    </w:p>
    <w:p w:rsidR="009A1DB3" w:rsidRDefault="009A1DB3" w:rsidP="00126315">
      <w:pPr>
        <w:jc w:val="both"/>
        <w:rPr>
          <w:rFonts w:ascii="Garamond" w:hAnsi="Garamond"/>
          <w:color w:val="000000" w:themeColor="text1"/>
          <w:sz w:val="24"/>
          <w:szCs w:val="24"/>
        </w:rPr>
      </w:pPr>
      <w:bookmarkStart w:id="0" w:name="_GoBack"/>
      <w:bookmarkEnd w:id="0"/>
    </w:p>
    <w:p w:rsidR="00BF46F5" w:rsidRDefault="009A1DB3" w:rsidP="00126315">
      <w:pPr>
        <w:jc w:val="both"/>
        <w:rPr>
          <w:rFonts w:ascii="Garamond" w:hAnsi="Garamond"/>
          <w:color w:val="000000" w:themeColor="text1"/>
          <w:sz w:val="24"/>
          <w:szCs w:val="24"/>
        </w:rPr>
      </w:pPr>
      <w:r>
        <w:rPr>
          <w:rFonts w:ascii="Garamond" w:hAnsi="Garamond"/>
          <w:color w:val="000000" w:themeColor="text1"/>
          <w:sz w:val="24"/>
          <w:szCs w:val="24"/>
        </w:rPr>
        <w:t xml:space="preserve">Mgr. Jana Novotná – </w:t>
      </w:r>
      <w:proofErr w:type="spellStart"/>
      <w:r>
        <w:rPr>
          <w:rFonts w:ascii="Garamond" w:hAnsi="Garamond"/>
          <w:color w:val="000000" w:themeColor="text1"/>
          <w:sz w:val="24"/>
          <w:szCs w:val="24"/>
        </w:rPr>
        <w:t>Kuzmová</w:t>
      </w:r>
      <w:proofErr w:type="spellEnd"/>
      <w:r>
        <w:rPr>
          <w:rFonts w:ascii="Garamond" w:hAnsi="Garamond"/>
          <w:color w:val="000000" w:themeColor="text1"/>
          <w:sz w:val="24"/>
          <w:szCs w:val="24"/>
        </w:rPr>
        <w:t xml:space="preserve"> je zástupem Mgr. Lukáše Honsy, asistenta soudního oddělení 9, pro rejstřík L.</w:t>
      </w:r>
    </w:p>
    <w:p w:rsidR="00BF46F5" w:rsidRDefault="00BF46F5" w:rsidP="00126315">
      <w:pPr>
        <w:jc w:val="both"/>
        <w:rPr>
          <w:rFonts w:ascii="Garamond" w:hAnsi="Garamond"/>
          <w:color w:val="000000" w:themeColor="text1"/>
          <w:sz w:val="24"/>
          <w:szCs w:val="24"/>
        </w:rPr>
      </w:pPr>
    </w:p>
    <w:p w:rsidR="00BF46F5" w:rsidRDefault="00BF46F5" w:rsidP="00126315">
      <w:pPr>
        <w:jc w:val="both"/>
        <w:rPr>
          <w:rFonts w:ascii="Garamond" w:hAnsi="Garamond"/>
          <w:color w:val="000000" w:themeColor="text1"/>
          <w:sz w:val="24"/>
          <w:szCs w:val="24"/>
        </w:rPr>
      </w:pPr>
      <w:r>
        <w:rPr>
          <w:rFonts w:ascii="Garamond" w:hAnsi="Garamond"/>
          <w:color w:val="000000" w:themeColor="text1"/>
          <w:sz w:val="24"/>
          <w:szCs w:val="24"/>
        </w:rPr>
        <w:t>Mgr. Lukáš Honsa není asistentem soudce soudního oddělení 15.</w:t>
      </w:r>
    </w:p>
    <w:p w:rsidR="00BF46F5" w:rsidRDefault="00BF46F5" w:rsidP="00126315">
      <w:pPr>
        <w:jc w:val="both"/>
        <w:rPr>
          <w:rFonts w:ascii="Garamond" w:hAnsi="Garamond"/>
          <w:color w:val="000000" w:themeColor="text1"/>
          <w:sz w:val="24"/>
          <w:szCs w:val="24"/>
        </w:rPr>
      </w:pPr>
    </w:p>
    <w:p w:rsidR="009A1DB3" w:rsidRPr="00126315" w:rsidRDefault="00BF46F5" w:rsidP="00126315">
      <w:pPr>
        <w:jc w:val="both"/>
        <w:rPr>
          <w:rFonts w:ascii="Garamond" w:hAnsi="Garamond"/>
          <w:color w:val="000000" w:themeColor="text1"/>
          <w:sz w:val="24"/>
          <w:szCs w:val="24"/>
        </w:rPr>
      </w:pPr>
      <w:r>
        <w:rPr>
          <w:rFonts w:ascii="Garamond" w:hAnsi="Garamond"/>
          <w:color w:val="000000" w:themeColor="text1"/>
          <w:sz w:val="24"/>
          <w:szCs w:val="24"/>
        </w:rPr>
        <w:t>Mgr. Bohuslav Viták je asistentem soudce soudního oddělení 15.</w:t>
      </w:r>
      <w:r w:rsidR="009A1DB3">
        <w:rPr>
          <w:rFonts w:ascii="Garamond" w:hAnsi="Garamond"/>
          <w:color w:val="000000" w:themeColor="text1"/>
          <w:sz w:val="24"/>
          <w:szCs w:val="24"/>
        </w:rPr>
        <w:t xml:space="preserve"> </w:t>
      </w:r>
    </w:p>
    <w:p w:rsidR="00EB51E3" w:rsidRPr="00126315" w:rsidRDefault="00EB51E3" w:rsidP="00EB51E3">
      <w:pPr>
        <w:jc w:val="both"/>
        <w:rPr>
          <w:rFonts w:ascii="Garamond" w:hAnsi="Garamond" w:cs="Arial"/>
          <w:bCs/>
          <w:color w:val="000000" w:themeColor="text1"/>
          <w:sz w:val="24"/>
          <w:szCs w:val="24"/>
        </w:rPr>
      </w:pPr>
      <w:r w:rsidRPr="00126315">
        <w:rPr>
          <w:rFonts w:ascii="Garamond" w:hAnsi="Garamond" w:cs="Arial"/>
          <w:bCs/>
          <w:color w:val="000000" w:themeColor="text1"/>
          <w:sz w:val="24"/>
          <w:szCs w:val="24"/>
        </w:rPr>
        <w:t xml:space="preserve"> </w:t>
      </w:r>
    </w:p>
    <w:p w:rsidR="00777DED" w:rsidRDefault="00777DED" w:rsidP="00777DED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Příbram </w:t>
      </w:r>
      <w:r w:rsidR="000A2A4D">
        <w:rPr>
          <w:rFonts w:ascii="Garamond" w:hAnsi="Garamond"/>
          <w:sz w:val="24"/>
          <w:szCs w:val="24"/>
        </w:rPr>
        <w:t>2</w:t>
      </w:r>
      <w:r w:rsidR="00EB51E3">
        <w:rPr>
          <w:rFonts w:ascii="Garamond" w:hAnsi="Garamond"/>
          <w:sz w:val="24"/>
          <w:szCs w:val="24"/>
        </w:rPr>
        <w:t>6</w:t>
      </w:r>
      <w:r w:rsidR="00D32820">
        <w:rPr>
          <w:rFonts w:ascii="Garamond" w:hAnsi="Garamond"/>
          <w:sz w:val="24"/>
          <w:szCs w:val="24"/>
        </w:rPr>
        <w:t xml:space="preserve">. května </w:t>
      </w:r>
      <w:r w:rsidR="000E7CE4">
        <w:rPr>
          <w:rFonts w:ascii="Garamond" w:hAnsi="Garamond"/>
          <w:sz w:val="24"/>
          <w:szCs w:val="24"/>
        </w:rPr>
        <w:t>2022</w:t>
      </w:r>
    </w:p>
    <w:p w:rsidR="00777DED" w:rsidRDefault="00777DED" w:rsidP="00777DED">
      <w:pPr>
        <w:jc w:val="both"/>
        <w:rPr>
          <w:rFonts w:ascii="Garamond" w:hAnsi="Garamond"/>
          <w:sz w:val="24"/>
          <w:szCs w:val="24"/>
        </w:rPr>
      </w:pPr>
    </w:p>
    <w:p w:rsidR="002D3176" w:rsidRDefault="00777DED" w:rsidP="00777DED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                                                                </w:t>
      </w:r>
    </w:p>
    <w:p w:rsidR="002D3176" w:rsidRDefault="00777DED" w:rsidP="00777DED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Mgr. Miloslav Boudník                                                                            </w:t>
      </w:r>
    </w:p>
    <w:p w:rsidR="00777DED" w:rsidRDefault="00777DED" w:rsidP="00777DED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předseda Okresního soudu v Příbrami</w:t>
      </w:r>
    </w:p>
    <w:p w:rsidR="00593A20" w:rsidRDefault="00593A20" w:rsidP="00593A20">
      <w:pPr>
        <w:rPr>
          <w:rFonts w:ascii="Garamond" w:hAnsi="Garamond"/>
        </w:rPr>
      </w:pPr>
    </w:p>
    <w:p w:rsidR="00593A20" w:rsidRDefault="00593A20" w:rsidP="00593A20"/>
    <w:p w:rsidR="004036A7" w:rsidRDefault="004036A7" w:rsidP="00593A20">
      <w:pPr>
        <w:jc w:val="center"/>
      </w:pPr>
    </w:p>
    <w:sectPr w:rsidR="004036A7" w:rsidSect="00363B61">
      <w:head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6295" w:rsidRDefault="00DE6295" w:rsidP="00363B61">
      <w:r>
        <w:separator/>
      </w:r>
    </w:p>
  </w:endnote>
  <w:endnote w:type="continuationSeparator" w:id="0">
    <w:p w:rsidR="00DE6295" w:rsidRDefault="00DE6295" w:rsidP="00363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6295" w:rsidRDefault="00DE6295" w:rsidP="00363B61">
      <w:r>
        <w:separator/>
      </w:r>
    </w:p>
  </w:footnote>
  <w:footnote w:type="continuationSeparator" w:id="0">
    <w:p w:rsidR="00DE6295" w:rsidRDefault="00DE6295" w:rsidP="00363B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B61" w:rsidRPr="00481596" w:rsidRDefault="00363B61" w:rsidP="00363B61">
    <w:pPr>
      <w:pStyle w:val="Zhlav"/>
      <w:jc w:val="right"/>
      <w:rPr>
        <w:rFonts w:ascii="Garamond" w:hAnsi="Garamond"/>
        <w:sz w:val="24"/>
        <w:szCs w:val="24"/>
      </w:rPr>
    </w:pPr>
    <w:r w:rsidRPr="00481596">
      <w:rPr>
        <w:rFonts w:ascii="Garamond" w:hAnsi="Garamond"/>
        <w:sz w:val="24"/>
        <w:szCs w:val="24"/>
      </w:rPr>
      <w:t xml:space="preserve">2 </w:t>
    </w:r>
    <w:proofErr w:type="spellStart"/>
    <w:r w:rsidRPr="00481596">
      <w:rPr>
        <w:rFonts w:ascii="Garamond" w:hAnsi="Garamond"/>
        <w:sz w:val="24"/>
        <w:szCs w:val="24"/>
      </w:rPr>
      <w:t>Spr</w:t>
    </w:r>
    <w:proofErr w:type="spellEnd"/>
    <w:r w:rsidRPr="00481596">
      <w:rPr>
        <w:rFonts w:ascii="Garamond" w:hAnsi="Garamond"/>
        <w:sz w:val="24"/>
        <w:szCs w:val="24"/>
      </w:rPr>
      <w:t xml:space="preserve"> 912/2021</w:t>
    </w:r>
    <w:r>
      <w:rPr>
        <w:rFonts w:ascii="Garamond" w:hAnsi="Garamond"/>
        <w:sz w:val="24"/>
        <w:szCs w:val="24"/>
      </w:rPr>
      <w:t>/1</w:t>
    </w:r>
  </w:p>
  <w:p w:rsidR="00363B61" w:rsidRDefault="00363B61" w:rsidP="00363B61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72726"/>
    <w:multiLevelType w:val="hybridMultilevel"/>
    <w:tmpl w:val="FBEC1C76"/>
    <w:lvl w:ilvl="0" w:tplc="E13C65C6">
      <w:start w:val="2"/>
      <w:numFmt w:val="bullet"/>
      <w:lvlText w:val="-"/>
      <w:lvlJc w:val="left"/>
      <w:pPr>
        <w:ind w:left="3196" w:hanging="360"/>
      </w:pPr>
      <w:rPr>
        <w:rFonts w:ascii="Garamond" w:eastAsiaTheme="minorHAnsi" w:hAnsi="Garamond" w:cs="Arial" w:hint="default"/>
      </w:rPr>
    </w:lvl>
    <w:lvl w:ilvl="1" w:tplc="0405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3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0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81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3FA"/>
    <w:rsid w:val="0003370C"/>
    <w:rsid w:val="000534BB"/>
    <w:rsid w:val="0005489B"/>
    <w:rsid w:val="000A2A4D"/>
    <w:rsid w:val="000C0120"/>
    <w:rsid w:val="000C2A1A"/>
    <w:rsid w:val="000D5C5C"/>
    <w:rsid w:val="000E7CE4"/>
    <w:rsid w:val="0011426C"/>
    <w:rsid w:val="00126315"/>
    <w:rsid w:val="00146345"/>
    <w:rsid w:val="00153FF2"/>
    <w:rsid w:val="00194DB3"/>
    <w:rsid w:val="001975D0"/>
    <w:rsid w:val="001C1BB1"/>
    <w:rsid w:val="001C1C96"/>
    <w:rsid w:val="001F57EF"/>
    <w:rsid w:val="001F7DAF"/>
    <w:rsid w:val="00223C1D"/>
    <w:rsid w:val="0027030B"/>
    <w:rsid w:val="0028488D"/>
    <w:rsid w:val="002D3176"/>
    <w:rsid w:val="002D658B"/>
    <w:rsid w:val="002F732F"/>
    <w:rsid w:val="00310E83"/>
    <w:rsid w:val="003160C6"/>
    <w:rsid w:val="0034160A"/>
    <w:rsid w:val="00350486"/>
    <w:rsid w:val="003548D8"/>
    <w:rsid w:val="00363B61"/>
    <w:rsid w:val="0038133D"/>
    <w:rsid w:val="003A25E3"/>
    <w:rsid w:val="003B32EF"/>
    <w:rsid w:val="003E5F22"/>
    <w:rsid w:val="003E68B0"/>
    <w:rsid w:val="004036A7"/>
    <w:rsid w:val="00403A9D"/>
    <w:rsid w:val="004218C2"/>
    <w:rsid w:val="00443EA5"/>
    <w:rsid w:val="00471B98"/>
    <w:rsid w:val="00481596"/>
    <w:rsid w:val="004901CB"/>
    <w:rsid w:val="00535F05"/>
    <w:rsid w:val="005831D2"/>
    <w:rsid w:val="00591CB3"/>
    <w:rsid w:val="00593A20"/>
    <w:rsid w:val="005F2C79"/>
    <w:rsid w:val="0065189F"/>
    <w:rsid w:val="006657B3"/>
    <w:rsid w:val="006777E6"/>
    <w:rsid w:val="0069734F"/>
    <w:rsid w:val="006C7CE3"/>
    <w:rsid w:val="006E496B"/>
    <w:rsid w:val="007140E9"/>
    <w:rsid w:val="00720C24"/>
    <w:rsid w:val="00751E7D"/>
    <w:rsid w:val="007536F7"/>
    <w:rsid w:val="00774C2B"/>
    <w:rsid w:val="00777DED"/>
    <w:rsid w:val="00797450"/>
    <w:rsid w:val="007E1C8E"/>
    <w:rsid w:val="007F1D25"/>
    <w:rsid w:val="007F4F51"/>
    <w:rsid w:val="008336AE"/>
    <w:rsid w:val="0083557B"/>
    <w:rsid w:val="008D5D4A"/>
    <w:rsid w:val="008F6FE8"/>
    <w:rsid w:val="009002F5"/>
    <w:rsid w:val="0093676E"/>
    <w:rsid w:val="009453FA"/>
    <w:rsid w:val="00982D4A"/>
    <w:rsid w:val="009921B9"/>
    <w:rsid w:val="009A1DB3"/>
    <w:rsid w:val="009A242A"/>
    <w:rsid w:val="009D7B28"/>
    <w:rsid w:val="009F2A53"/>
    <w:rsid w:val="00A27002"/>
    <w:rsid w:val="00A34C58"/>
    <w:rsid w:val="00A513CC"/>
    <w:rsid w:val="00A664B3"/>
    <w:rsid w:val="00A72B67"/>
    <w:rsid w:val="00A81BF8"/>
    <w:rsid w:val="00A87F25"/>
    <w:rsid w:val="00AC1C20"/>
    <w:rsid w:val="00B07A77"/>
    <w:rsid w:val="00B1171F"/>
    <w:rsid w:val="00B42684"/>
    <w:rsid w:val="00B57859"/>
    <w:rsid w:val="00B62805"/>
    <w:rsid w:val="00B84237"/>
    <w:rsid w:val="00B91179"/>
    <w:rsid w:val="00BB111D"/>
    <w:rsid w:val="00BB6060"/>
    <w:rsid w:val="00BC7574"/>
    <w:rsid w:val="00BF46F5"/>
    <w:rsid w:val="00C07D0E"/>
    <w:rsid w:val="00C10CC0"/>
    <w:rsid w:val="00C248ED"/>
    <w:rsid w:val="00C4396F"/>
    <w:rsid w:val="00C507E5"/>
    <w:rsid w:val="00C52A8A"/>
    <w:rsid w:val="00C67860"/>
    <w:rsid w:val="00CF1FA6"/>
    <w:rsid w:val="00D32820"/>
    <w:rsid w:val="00D510F4"/>
    <w:rsid w:val="00D7592F"/>
    <w:rsid w:val="00D768B5"/>
    <w:rsid w:val="00DA4F8E"/>
    <w:rsid w:val="00DC2205"/>
    <w:rsid w:val="00DE35C3"/>
    <w:rsid w:val="00DE3A62"/>
    <w:rsid w:val="00DE3A75"/>
    <w:rsid w:val="00DE6295"/>
    <w:rsid w:val="00E012ED"/>
    <w:rsid w:val="00E04C88"/>
    <w:rsid w:val="00E9264D"/>
    <w:rsid w:val="00EB51E3"/>
    <w:rsid w:val="00EC438E"/>
    <w:rsid w:val="00ED0171"/>
    <w:rsid w:val="00ED3DDE"/>
    <w:rsid w:val="00ED7AF9"/>
    <w:rsid w:val="00EE2649"/>
    <w:rsid w:val="00F20277"/>
    <w:rsid w:val="00F2239C"/>
    <w:rsid w:val="00F35008"/>
    <w:rsid w:val="00F60E4C"/>
    <w:rsid w:val="00F7390C"/>
    <w:rsid w:val="00F76C0A"/>
    <w:rsid w:val="00FB09E1"/>
    <w:rsid w:val="00FC2E58"/>
    <w:rsid w:val="00FE0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53F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unhideWhenUsed/>
    <w:rsid w:val="0065189F"/>
    <w:pPr>
      <w:overflowPunct/>
      <w:autoSpaceDE/>
      <w:autoSpaceDN/>
      <w:adjustRightInd/>
      <w:jc w:val="both"/>
    </w:pPr>
    <w:rPr>
      <w:rFonts w:eastAsia="Times New Roman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65189F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81596"/>
    <w:pPr>
      <w:tabs>
        <w:tab w:val="center" w:pos="4536"/>
        <w:tab w:val="right" w:pos="9072"/>
      </w:tabs>
      <w:overflowPunct/>
      <w:autoSpaceDE/>
      <w:autoSpaceDN/>
      <w:adjustRightInd/>
    </w:pPr>
    <w:rPr>
      <w:rFonts w:asciiTheme="minorHAnsi" w:hAnsiTheme="minorHAnsi" w:cstheme="minorBidi"/>
      <w:sz w:val="22"/>
      <w:szCs w:val="22"/>
    </w:rPr>
  </w:style>
  <w:style w:type="character" w:customStyle="1" w:styleId="ZhlavChar">
    <w:name w:val="Záhlaví Char"/>
    <w:basedOn w:val="Standardnpsmoodstavce"/>
    <w:link w:val="Zhlav"/>
    <w:uiPriority w:val="99"/>
    <w:rsid w:val="00481596"/>
    <w:rPr>
      <w:rFonts w:eastAsiaTheme="minorEastAsia"/>
      <w:lang w:eastAsia="cs-CZ"/>
    </w:rPr>
  </w:style>
  <w:style w:type="paragraph" w:styleId="Bezmezer">
    <w:name w:val="No Spacing"/>
    <w:uiPriority w:val="1"/>
    <w:qFormat/>
    <w:rsid w:val="0048159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63B6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63B61"/>
    <w:rPr>
      <w:rFonts w:ascii="Times New Roman" w:eastAsiaTheme="minorEastAsia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3E5F22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53F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unhideWhenUsed/>
    <w:rsid w:val="0065189F"/>
    <w:pPr>
      <w:overflowPunct/>
      <w:autoSpaceDE/>
      <w:autoSpaceDN/>
      <w:adjustRightInd/>
      <w:jc w:val="both"/>
    </w:pPr>
    <w:rPr>
      <w:rFonts w:eastAsia="Times New Roman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65189F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81596"/>
    <w:pPr>
      <w:tabs>
        <w:tab w:val="center" w:pos="4536"/>
        <w:tab w:val="right" w:pos="9072"/>
      </w:tabs>
      <w:overflowPunct/>
      <w:autoSpaceDE/>
      <w:autoSpaceDN/>
      <w:adjustRightInd/>
    </w:pPr>
    <w:rPr>
      <w:rFonts w:asciiTheme="minorHAnsi" w:hAnsiTheme="minorHAnsi" w:cstheme="minorBidi"/>
      <w:sz w:val="22"/>
      <w:szCs w:val="22"/>
    </w:rPr>
  </w:style>
  <w:style w:type="character" w:customStyle="1" w:styleId="ZhlavChar">
    <w:name w:val="Záhlaví Char"/>
    <w:basedOn w:val="Standardnpsmoodstavce"/>
    <w:link w:val="Zhlav"/>
    <w:uiPriority w:val="99"/>
    <w:rsid w:val="00481596"/>
    <w:rPr>
      <w:rFonts w:eastAsiaTheme="minorEastAsia"/>
      <w:lang w:eastAsia="cs-CZ"/>
    </w:rPr>
  </w:style>
  <w:style w:type="paragraph" w:styleId="Bezmezer">
    <w:name w:val="No Spacing"/>
    <w:uiPriority w:val="1"/>
    <w:qFormat/>
    <w:rsid w:val="0048159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63B6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63B61"/>
    <w:rPr>
      <w:rFonts w:ascii="Times New Roman" w:eastAsiaTheme="minorEastAsia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3E5F22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66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5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B5E18A-C2F4-47E7-8766-2330F9A6F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509</TotalTime>
  <Pages>1</Pages>
  <Words>237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SOUKO</Company>
  <LinksUpToDate>false</LinksUpToDate>
  <CharactersWithSpaces>1633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Prokešová Věra</dc:creator>
  <cp:lastModifiedBy>Prokešová Věra</cp:lastModifiedBy>
  <cp:revision>111</cp:revision>
  <cp:lastPrinted>2022-05-31T06:59:00Z</cp:lastPrinted>
  <dcterms:created xsi:type="dcterms:W3CDTF">2020-01-27T13:43:00Z</dcterms:created>
  <dcterms:modified xsi:type="dcterms:W3CDTF">2022-05-31T06:59:00Z</dcterms:modified>
</cp:coreProperties>
</file>