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1001/2018/3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BA25A6">
        <w:rPr>
          <w:rFonts w:ascii="Garamond" w:hAnsi="Garamond"/>
          <w:b/>
          <w:sz w:val="24"/>
          <w:szCs w:val="24"/>
        </w:rPr>
        <w:t>3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E1115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BA25A6">
        <w:rPr>
          <w:rFonts w:ascii="Garamond" w:hAnsi="Garamond"/>
          <w:sz w:val="24"/>
          <w:szCs w:val="24"/>
        </w:rPr>
        <w:t>4</w:t>
      </w:r>
      <w:r w:rsidR="00552D6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2019 </w:t>
      </w:r>
      <w:r w:rsidR="00AC5286">
        <w:rPr>
          <w:rFonts w:ascii="Garamond" w:hAnsi="Garamond"/>
          <w:sz w:val="24"/>
          <w:szCs w:val="24"/>
        </w:rPr>
        <w:t>se dosavadní rozvrh práce mění následovně:</w:t>
      </w:r>
    </w:p>
    <w:p w:rsidR="00BA25A6" w:rsidRDefault="00BA25A6" w:rsidP="00AC5286">
      <w:pPr>
        <w:jc w:val="both"/>
        <w:rPr>
          <w:rFonts w:ascii="Garamond" w:hAnsi="Garamond"/>
          <w:sz w:val="24"/>
          <w:szCs w:val="24"/>
        </w:rPr>
      </w:pPr>
    </w:p>
    <w:p w:rsidR="00BA25A6" w:rsidRDefault="00BA25A6" w:rsidP="00BA25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Přísedící</w:t>
      </w:r>
      <w:r w:rsidR="001D765F">
        <w:rPr>
          <w:rFonts w:ascii="Garamond" w:hAnsi="Garamond"/>
          <w:sz w:val="24"/>
          <w:szCs w:val="24"/>
        </w:rPr>
        <w:t xml:space="preserve"> paní </w:t>
      </w:r>
      <w:r w:rsidRPr="00E64027">
        <w:rPr>
          <w:rFonts w:ascii="Garamond" w:hAnsi="Garamond" w:cs="Arial"/>
          <w:color w:val="000000" w:themeColor="text1"/>
          <w:sz w:val="24"/>
          <w:szCs w:val="24"/>
        </w:rPr>
        <w:t xml:space="preserve">Naděžda </w:t>
      </w:r>
      <w:proofErr w:type="spellStart"/>
      <w:r w:rsidRPr="00E64027">
        <w:rPr>
          <w:rFonts w:ascii="Garamond" w:hAnsi="Garamond" w:cs="Arial"/>
          <w:color w:val="000000" w:themeColor="text1"/>
          <w:sz w:val="24"/>
          <w:szCs w:val="24"/>
        </w:rPr>
        <w:t>Kraťková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se vzdala funkce přísedícího. </w:t>
      </w:r>
    </w:p>
    <w:p w:rsidR="00BA25A6" w:rsidRDefault="00BA25A6" w:rsidP="00BA25A6">
      <w:pPr>
        <w:spacing w:before="20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senátu 6C </w:t>
      </w:r>
      <w:r>
        <w:rPr>
          <w:rFonts w:ascii="Garamond" w:hAnsi="Garamond" w:cs="Arial"/>
          <w:sz w:val="24"/>
          <w:szCs w:val="24"/>
        </w:rPr>
        <w:t>je r</w:t>
      </w:r>
      <w:r w:rsidRPr="008F5143">
        <w:rPr>
          <w:rFonts w:ascii="Garamond" w:hAnsi="Garamond" w:cs="Arial"/>
          <w:sz w:val="24"/>
          <w:szCs w:val="24"/>
        </w:rPr>
        <w:t xml:space="preserve">ozhodování ve věcech občanskoprávních - rejstřík C, EC, Cd, P a </w:t>
      </w:r>
      <w:proofErr w:type="spellStart"/>
      <w:r w:rsidRPr="008F5143">
        <w:rPr>
          <w:rFonts w:ascii="Garamond" w:hAnsi="Garamond" w:cs="Arial"/>
          <w:sz w:val="24"/>
          <w:szCs w:val="24"/>
        </w:rPr>
        <w:t>Nc</w:t>
      </w:r>
      <w:proofErr w:type="spellEnd"/>
      <w:r w:rsidRPr="008F5143">
        <w:rPr>
          <w:rFonts w:ascii="Garamond" w:hAnsi="Garamond" w:cs="Arial"/>
          <w:sz w:val="24"/>
          <w:szCs w:val="24"/>
        </w:rPr>
        <w:t xml:space="preserve"> v postupném časovém pořadí </w:t>
      </w:r>
      <w:r w:rsidRPr="008F5143">
        <w:rPr>
          <w:rFonts w:ascii="Garamond" w:hAnsi="Garamond" w:cs="Arial"/>
          <w:color w:val="000000" w:themeColor="text1"/>
          <w:sz w:val="24"/>
          <w:szCs w:val="24"/>
        </w:rPr>
        <w:t xml:space="preserve">v rozsahu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100 </w:t>
      </w:r>
      <w:r w:rsidRPr="008F5143">
        <w:rPr>
          <w:rFonts w:ascii="Garamond" w:hAnsi="Garamond" w:cs="Arial"/>
          <w:color w:val="000000" w:themeColor="text1"/>
          <w:sz w:val="24"/>
          <w:szCs w:val="24"/>
        </w:rPr>
        <w:t xml:space="preserve">% </w:t>
      </w:r>
      <w:proofErr w:type="gramStart"/>
      <w:r w:rsidRPr="008F5143">
        <w:rPr>
          <w:rFonts w:ascii="Garamond" w:hAnsi="Garamond" w:cs="Arial"/>
          <w:color w:val="000000" w:themeColor="text1"/>
          <w:sz w:val="24"/>
          <w:szCs w:val="24"/>
        </w:rPr>
        <w:t>nápadu</w:t>
      </w:r>
      <w:r w:rsidRPr="008F5143">
        <w:rPr>
          <w:rFonts w:ascii="Garamond" w:hAnsi="Garamond" w:cs="Arial"/>
          <w:sz w:val="24"/>
          <w:szCs w:val="24"/>
        </w:rPr>
        <w:t xml:space="preserve">  se</w:t>
      </w:r>
      <w:proofErr w:type="gramEnd"/>
      <w:r w:rsidRPr="008F5143">
        <w:rPr>
          <w:rFonts w:ascii="Garamond" w:hAnsi="Garamond" w:cs="Arial"/>
          <w:sz w:val="24"/>
          <w:szCs w:val="24"/>
        </w:rPr>
        <w:t xml:space="preserve"> specializací na spory mezi podnikateli při jejich podnikatelské činnosti a ve věcech podle </w:t>
      </w:r>
      <w:proofErr w:type="spellStart"/>
      <w:r w:rsidRPr="008F5143">
        <w:rPr>
          <w:rFonts w:ascii="Garamond" w:hAnsi="Garamond" w:cs="Arial"/>
          <w:sz w:val="24"/>
          <w:szCs w:val="24"/>
        </w:rPr>
        <w:t>insolvenčního</w:t>
      </w:r>
      <w:proofErr w:type="spellEnd"/>
      <w:r w:rsidRPr="008F5143">
        <w:rPr>
          <w:rFonts w:ascii="Garamond" w:hAnsi="Garamond" w:cs="Arial"/>
          <w:sz w:val="24"/>
          <w:szCs w:val="24"/>
        </w:rPr>
        <w:t xml:space="preserve"> zákona zapsaných do rejstříku 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F5143">
        <w:rPr>
          <w:rFonts w:ascii="Garamond" w:hAnsi="Garamond" w:cs="Arial"/>
          <w:sz w:val="24"/>
          <w:szCs w:val="24"/>
        </w:rPr>
        <w:t>Nc</w:t>
      </w:r>
      <w:proofErr w:type="spellEnd"/>
      <w:r w:rsidRPr="008F5143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8F5143">
        <w:rPr>
          <w:rFonts w:ascii="Garamond" w:hAnsi="Garamond" w:cs="Arial"/>
          <w:sz w:val="24"/>
          <w:szCs w:val="24"/>
        </w:rPr>
        <w:t>Věci</w:t>
      </w:r>
      <w:r>
        <w:rPr>
          <w:rFonts w:ascii="Garamond" w:hAnsi="Garamond" w:cs="Arial"/>
          <w:sz w:val="24"/>
          <w:szCs w:val="24"/>
        </w:rPr>
        <w:t xml:space="preserve"> </w:t>
      </w:r>
      <w:r w:rsidRPr="008F5143">
        <w:rPr>
          <w:rFonts w:ascii="Garamond" w:hAnsi="Garamond" w:cs="Arial"/>
          <w:sz w:val="24"/>
          <w:szCs w:val="24"/>
        </w:rPr>
        <w:t xml:space="preserve"> se</w:t>
      </w:r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r w:rsidRPr="008F5143">
        <w:rPr>
          <w:rFonts w:ascii="Garamond" w:hAnsi="Garamond" w:cs="Arial"/>
          <w:sz w:val="24"/>
          <w:szCs w:val="24"/>
        </w:rPr>
        <w:t xml:space="preserve"> specializací</w:t>
      </w:r>
      <w:r>
        <w:rPr>
          <w:rFonts w:ascii="Garamond" w:hAnsi="Garamond" w:cs="Arial"/>
          <w:sz w:val="24"/>
          <w:szCs w:val="24"/>
        </w:rPr>
        <w:t xml:space="preserve"> </w:t>
      </w:r>
      <w:r w:rsidRPr="008F5143">
        <w:rPr>
          <w:rFonts w:ascii="Garamond" w:hAnsi="Garamond" w:cs="Arial"/>
          <w:sz w:val="24"/>
          <w:szCs w:val="24"/>
        </w:rPr>
        <w:t xml:space="preserve"> napadají v postupném časovém pořadí</w:t>
      </w:r>
      <w:r w:rsidRPr="008F5143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8F5143">
        <w:rPr>
          <w:rFonts w:ascii="Garamond" w:hAnsi="Garamond" w:cs="Arial"/>
          <w:color w:val="000000" w:themeColor="text1"/>
          <w:sz w:val="24"/>
          <w:szCs w:val="24"/>
        </w:rPr>
        <w:t xml:space="preserve">v rozsahu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100 </w:t>
      </w:r>
      <w:r w:rsidRPr="008F5143">
        <w:rPr>
          <w:rFonts w:ascii="Garamond" w:hAnsi="Garamond" w:cs="Arial"/>
          <w:color w:val="000000" w:themeColor="text1"/>
          <w:sz w:val="24"/>
          <w:szCs w:val="24"/>
        </w:rPr>
        <w:t>%.</w:t>
      </w:r>
    </w:p>
    <w:p w:rsidR="00AE713D" w:rsidRDefault="00AE713D" w:rsidP="00AE713D">
      <w:pPr>
        <w:pStyle w:val="Zkladntext"/>
        <w:spacing w:before="200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Mgr. Iveta Ludvíková je asistentkou soudce v soudním oddělení 13 C i pro v</w:t>
      </w:r>
      <w:r w:rsidRPr="00EC3605">
        <w:rPr>
          <w:rFonts w:ascii="Garamond" w:hAnsi="Garamond" w:cs="Arial"/>
          <w:color w:val="000000" w:themeColor="text1"/>
          <w:sz w:val="24"/>
          <w:lang w:eastAsia="en-US"/>
        </w:rPr>
        <w:t xml:space="preserve">ěci napadlé do </w:t>
      </w:r>
      <w:proofErr w:type="gramStart"/>
      <w:r w:rsidRPr="00EC3605">
        <w:rPr>
          <w:rFonts w:ascii="Garamond" w:hAnsi="Garamond" w:cs="Arial"/>
          <w:color w:val="000000" w:themeColor="text1"/>
          <w:sz w:val="24"/>
          <w:lang w:eastAsia="en-US"/>
        </w:rPr>
        <w:t>31.8.2015</w:t>
      </w:r>
      <w:proofErr w:type="gramEnd"/>
      <w:r w:rsidRPr="00EC3605">
        <w:rPr>
          <w:rFonts w:ascii="Garamond" w:hAnsi="Garamond" w:cs="Arial"/>
          <w:color w:val="000000" w:themeColor="text1"/>
          <w:sz w:val="24"/>
          <w:lang w:eastAsia="en-US"/>
        </w:rPr>
        <w:t xml:space="preserve"> nebo přidělené k vyřízení JUDr. Renatě Klatovské</w:t>
      </w:r>
      <w:r>
        <w:rPr>
          <w:rFonts w:ascii="Garamond" w:hAnsi="Garamond" w:cs="Arial"/>
          <w:color w:val="000000" w:themeColor="text1"/>
          <w:sz w:val="24"/>
          <w:lang w:eastAsia="en-US"/>
        </w:rPr>
        <w:t>.</w:t>
      </w:r>
    </w:p>
    <w:p w:rsidR="00AE713D" w:rsidRDefault="00AE713D" w:rsidP="00AE713D">
      <w:pPr>
        <w:pStyle w:val="Zkladntext"/>
        <w:spacing w:before="200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Jana Farová, vyšší soudní úřednice pověřuje notáře v </w:t>
      </w:r>
      <w:proofErr w:type="gramStart"/>
      <w:r>
        <w:rPr>
          <w:rFonts w:ascii="Garamond" w:hAnsi="Garamond" w:cs="Arial"/>
          <w:color w:val="000000" w:themeColor="text1"/>
          <w:sz w:val="24"/>
          <w:lang w:eastAsia="en-US"/>
        </w:rPr>
        <w:t>dodatečných</w:t>
      </w:r>
      <w:proofErr w:type="gramEnd"/>
      <w:r>
        <w:rPr>
          <w:rFonts w:ascii="Garamond" w:hAnsi="Garamond" w:cs="Arial"/>
          <w:color w:val="000000" w:themeColor="text1"/>
          <w:sz w:val="24"/>
          <w:lang w:eastAsia="en-US"/>
        </w:rPr>
        <w:t xml:space="preserve"> projednání dědictví, krátkodobým i dlouhodobým zástupem je Jitka Poslušná. </w:t>
      </w:r>
    </w:p>
    <w:p w:rsidR="007C1333" w:rsidRDefault="007C1333" w:rsidP="007C1333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</w:p>
    <w:p w:rsidR="007C1333" w:rsidRPr="007C1333" w:rsidRDefault="007C1333" w:rsidP="007C1333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 w:rsidRPr="007C1333">
        <w:rPr>
          <w:rFonts w:ascii="Garamond" w:hAnsi="Garamond" w:cs="Arial"/>
          <w:sz w:val="24"/>
          <w:szCs w:val="24"/>
        </w:rPr>
        <w:t xml:space="preserve">V případě nápadu věci s více specializacemi v rejstříku P a </w:t>
      </w:r>
      <w:proofErr w:type="spellStart"/>
      <w:r w:rsidRPr="007C1333">
        <w:rPr>
          <w:rFonts w:ascii="Garamond" w:hAnsi="Garamond" w:cs="Arial"/>
          <w:sz w:val="24"/>
          <w:szCs w:val="24"/>
        </w:rPr>
        <w:t>Nc</w:t>
      </w:r>
      <w:proofErr w:type="spellEnd"/>
      <w:r w:rsidRPr="007C1333">
        <w:rPr>
          <w:rFonts w:ascii="Garamond" w:hAnsi="Garamond" w:cs="Arial"/>
          <w:sz w:val="24"/>
          <w:szCs w:val="24"/>
        </w:rPr>
        <w:t xml:space="preserve"> se věc zapíše dle následujícího pořadí specializací:</w:t>
      </w:r>
    </w:p>
    <w:p w:rsidR="007C1333" w:rsidRPr="007C1333" w:rsidRDefault="007C1333" w:rsidP="007C1333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 w:rsidRPr="007C1333">
        <w:rPr>
          <w:rFonts w:ascii="Garamond" w:hAnsi="Garamond" w:cs="Arial"/>
          <w:sz w:val="24"/>
          <w:szCs w:val="24"/>
        </w:rPr>
        <w:t>- věc s cizím prvkem,</w:t>
      </w:r>
    </w:p>
    <w:p w:rsidR="007C1333" w:rsidRPr="007C1333" w:rsidRDefault="007C1333" w:rsidP="007C1333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 w:rsidRPr="007C1333">
        <w:rPr>
          <w:rFonts w:ascii="Garamond" w:hAnsi="Garamond" w:cs="Arial"/>
          <w:sz w:val="24"/>
          <w:szCs w:val="24"/>
        </w:rPr>
        <w:t xml:space="preserve">- řízení o svéprávnosti nebo přezkum svéprávnosti a prodloužení lhůty. </w:t>
      </w:r>
    </w:p>
    <w:p w:rsidR="00E1115A" w:rsidRDefault="00E1115A" w:rsidP="00AC5286">
      <w:pPr>
        <w:jc w:val="both"/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A36C79">
        <w:rPr>
          <w:rFonts w:ascii="Garamond" w:hAnsi="Garamond"/>
          <w:sz w:val="24"/>
          <w:szCs w:val="24"/>
        </w:rPr>
        <w:t>28</w:t>
      </w:r>
      <w:r w:rsidR="007C1333">
        <w:rPr>
          <w:rFonts w:ascii="Garamond" w:hAnsi="Garamond"/>
          <w:sz w:val="24"/>
          <w:szCs w:val="24"/>
        </w:rPr>
        <w:t xml:space="preserve">. března 2019 </w:t>
      </w: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</w:p>
    <w:p w:rsidR="00E1115A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E1115A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AC5286" w:rsidRDefault="00AC5286" w:rsidP="00E1115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AC5286" w:rsidRDefault="00AC5286" w:rsidP="00AC5286">
      <w:pPr>
        <w:rPr>
          <w:rFonts w:ascii="Garamond" w:hAnsi="Garamond"/>
        </w:rPr>
      </w:pPr>
    </w:p>
    <w:p w:rsidR="00AC5286" w:rsidRDefault="00AC5286" w:rsidP="00AC5286"/>
    <w:p w:rsidR="00AC5286" w:rsidRDefault="00AC5286" w:rsidP="00AC5286"/>
    <w:p w:rsidR="00AC5286" w:rsidRDefault="00AC5286" w:rsidP="00AC5286"/>
    <w:p w:rsidR="008B2457" w:rsidRDefault="008B2457"/>
    <w:sectPr w:rsidR="008B2457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13D4F"/>
    <w:rsid w:val="00054C66"/>
    <w:rsid w:val="000943D8"/>
    <w:rsid w:val="000C1F00"/>
    <w:rsid w:val="000D175C"/>
    <w:rsid w:val="000F3D81"/>
    <w:rsid w:val="00124819"/>
    <w:rsid w:val="001402F4"/>
    <w:rsid w:val="00146C54"/>
    <w:rsid w:val="0019079C"/>
    <w:rsid w:val="001D765F"/>
    <w:rsid w:val="00235EC1"/>
    <w:rsid w:val="00254B1E"/>
    <w:rsid w:val="00270F76"/>
    <w:rsid w:val="002A617E"/>
    <w:rsid w:val="002B5E1F"/>
    <w:rsid w:val="002F5387"/>
    <w:rsid w:val="0034471D"/>
    <w:rsid w:val="00355544"/>
    <w:rsid w:val="003658AE"/>
    <w:rsid w:val="00372606"/>
    <w:rsid w:val="00376EC1"/>
    <w:rsid w:val="00396A39"/>
    <w:rsid w:val="003A42A8"/>
    <w:rsid w:val="003C441E"/>
    <w:rsid w:val="0040162B"/>
    <w:rsid w:val="00455779"/>
    <w:rsid w:val="00463DB7"/>
    <w:rsid w:val="004A0BB9"/>
    <w:rsid w:val="004A21D0"/>
    <w:rsid w:val="00552D66"/>
    <w:rsid w:val="005965AE"/>
    <w:rsid w:val="005F7EFA"/>
    <w:rsid w:val="00616235"/>
    <w:rsid w:val="00655348"/>
    <w:rsid w:val="0067115F"/>
    <w:rsid w:val="006C2E44"/>
    <w:rsid w:val="007166C2"/>
    <w:rsid w:val="0071798F"/>
    <w:rsid w:val="00734A4D"/>
    <w:rsid w:val="0079684A"/>
    <w:rsid w:val="007A2746"/>
    <w:rsid w:val="007C1333"/>
    <w:rsid w:val="00806965"/>
    <w:rsid w:val="008B2457"/>
    <w:rsid w:val="008D2932"/>
    <w:rsid w:val="008D2943"/>
    <w:rsid w:val="0096126A"/>
    <w:rsid w:val="00964DF7"/>
    <w:rsid w:val="00A34D3E"/>
    <w:rsid w:val="00A36C79"/>
    <w:rsid w:val="00A9608E"/>
    <w:rsid w:val="00AC5286"/>
    <w:rsid w:val="00AE713D"/>
    <w:rsid w:val="00B34758"/>
    <w:rsid w:val="00B459C1"/>
    <w:rsid w:val="00B4669D"/>
    <w:rsid w:val="00B9093D"/>
    <w:rsid w:val="00B92B17"/>
    <w:rsid w:val="00B92C7C"/>
    <w:rsid w:val="00B949C1"/>
    <w:rsid w:val="00BA25A6"/>
    <w:rsid w:val="00BB5CA5"/>
    <w:rsid w:val="00BC5DF8"/>
    <w:rsid w:val="00C530EB"/>
    <w:rsid w:val="00C97401"/>
    <w:rsid w:val="00CC1146"/>
    <w:rsid w:val="00CC372C"/>
    <w:rsid w:val="00CD4902"/>
    <w:rsid w:val="00CF51A6"/>
    <w:rsid w:val="00D57363"/>
    <w:rsid w:val="00D67A2B"/>
    <w:rsid w:val="00E1115A"/>
    <w:rsid w:val="00E3647F"/>
    <w:rsid w:val="00E5509F"/>
    <w:rsid w:val="00E607BC"/>
    <w:rsid w:val="00E75DCD"/>
    <w:rsid w:val="00F51246"/>
    <w:rsid w:val="00F66F34"/>
    <w:rsid w:val="00F956D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49</cp:revision>
  <cp:lastPrinted>2019-03-28T07:47:00Z</cp:lastPrinted>
  <dcterms:created xsi:type="dcterms:W3CDTF">2018-03-27T10:36:00Z</dcterms:created>
  <dcterms:modified xsi:type="dcterms:W3CDTF">2019-03-28T07:47:00Z</dcterms:modified>
</cp:coreProperties>
</file>