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bookmarkStart w:id="0" w:name="_GoBack"/>
      <w:bookmarkEnd w:id="0"/>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r w:rsidR="00CE5579" w:rsidRPr="00381A62">
        <w:rPr>
          <w:rFonts w:ascii="Garamond" w:hAnsi="Garamond"/>
          <w:sz w:val="24"/>
          <w:szCs w:val="24"/>
        </w:rPr>
        <w:t xml:space="preserve">Spr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D937A0">
        <w:rPr>
          <w:rFonts w:ascii="Garamond" w:hAnsi="Garamond"/>
          <w:b/>
          <w:color w:val="FF0000"/>
          <w:sz w:val="24"/>
          <w:szCs w:val="24"/>
        </w:rPr>
        <w:t>7</w:t>
      </w:r>
      <w:r>
        <w:rPr>
          <w:rFonts w:ascii="Garamond" w:hAnsi="Garamond"/>
          <w:b/>
          <w:color w:val="FF0000"/>
          <w:sz w:val="24"/>
          <w:szCs w:val="24"/>
        </w:rPr>
        <w:t xml:space="preserve">. 2020 </w:t>
      </w:r>
      <w:r w:rsidRPr="001A2CFA">
        <w:rPr>
          <w:rFonts w:ascii="Garamond" w:hAnsi="Garamond"/>
          <w:b/>
          <w:color w:val="FF0000"/>
          <w:sz w:val="24"/>
          <w:szCs w:val="24"/>
        </w:rPr>
        <w:t xml:space="preserve">– 0 Spr </w:t>
      </w:r>
      <w:r w:rsidR="00D937A0">
        <w:rPr>
          <w:rFonts w:ascii="Garamond" w:hAnsi="Garamond"/>
          <w:b/>
          <w:color w:val="FF0000"/>
          <w:sz w:val="24"/>
          <w:szCs w:val="24"/>
        </w:rPr>
        <w:t>1025/2020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D937A0">
        <w:rPr>
          <w:rFonts w:ascii="Garamond" w:hAnsi="Garamond"/>
          <w:b/>
          <w:color w:val="FF0000"/>
          <w:sz w:val="24"/>
          <w:szCs w:val="24"/>
        </w:rPr>
        <w:t>30. 6. 2020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Nc,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r w:rsidR="00101482" w:rsidRPr="00381A62">
        <w:rPr>
          <w:rFonts w:ascii="Garamond" w:hAnsi="Garamond"/>
          <w:color w:val="000000" w:themeColor="text1"/>
          <w:sz w:val="24"/>
          <w:szCs w:val="24"/>
        </w:rPr>
        <w:t xml:space="preserve">Tm,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Nt</w:t>
      </w:r>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r w:rsidR="00A5215A" w:rsidRPr="00381A62">
        <w:rPr>
          <w:rFonts w:ascii="Garamond" w:hAnsi="Garamond"/>
          <w:color w:val="000000" w:themeColor="text1"/>
          <w:sz w:val="24"/>
          <w:szCs w:val="24"/>
        </w:rPr>
        <w:t>Td</w:t>
      </w:r>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r w:rsidR="001C1305" w:rsidRPr="00022638">
        <w:rPr>
          <w:rFonts w:ascii="Garamond" w:hAnsi="Garamond"/>
          <w:b/>
          <w:color w:val="000000" w:themeColor="text1"/>
          <w:sz w:val="36"/>
          <w:szCs w:val="24"/>
        </w:rPr>
        <w:t>Tm,</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B75436" w:rsidRPr="00022638">
        <w:rPr>
          <w:rFonts w:ascii="Garamond" w:hAnsi="Garamond"/>
          <w:b/>
          <w:color w:val="000000" w:themeColor="text1"/>
          <w:sz w:val="36"/>
          <w:szCs w:val="24"/>
        </w:rPr>
        <w:t>Nt</w:t>
      </w:r>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r w:rsidR="009B32AF" w:rsidRPr="00022638">
        <w:rPr>
          <w:rFonts w:ascii="Garamond" w:hAnsi="Garamond"/>
          <w:b/>
          <w:color w:val="000000" w:themeColor="text1"/>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Mgr.Katarína Schromm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Jaroslava Jabornická-Remetová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r w:rsidR="00610507"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příslušníky Vězeňské služby ČR a tr.</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r w:rsidRPr="00B125E1">
              <w:rPr>
                <w:rFonts w:ascii="Garamond" w:eastAsia="Times New Roman" w:hAnsi="Garamond" w:cs="Arial"/>
                <w:strike/>
                <w:color w:val="FF0000"/>
                <w:sz w:val="24"/>
                <w:szCs w:val="24"/>
              </w:rPr>
              <w:t xml:space="preserve"> – od 1.</w:t>
            </w:r>
            <w:r w:rsidR="00C81B57" w:rsidRPr="00B125E1">
              <w:rPr>
                <w:rFonts w:ascii="Garamond" w:eastAsia="Times New Roman" w:hAnsi="Garamond" w:cs="Arial"/>
                <w:strike/>
                <w:color w:val="FF0000"/>
                <w:sz w:val="24"/>
                <w:szCs w:val="24"/>
              </w:rPr>
              <w:t xml:space="preserve"> </w:t>
            </w:r>
            <w:r w:rsidRPr="00B125E1">
              <w:rPr>
                <w:rFonts w:ascii="Garamond" w:eastAsia="Times New Roman" w:hAnsi="Garamond" w:cs="Arial"/>
                <w:strike/>
                <w:color w:val="FF0000"/>
                <w:sz w:val="24"/>
                <w:szCs w:val="24"/>
              </w:rPr>
              <w:t>4.</w:t>
            </w:r>
            <w:r w:rsidR="00C81B57" w:rsidRPr="00B125E1">
              <w:rPr>
                <w:rFonts w:ascii="Garamond" w:eastAsia="Times New Roman" w:hAnsi="Garamond" w:cs="Arial"/>
                <w:strike/>
                <w:color w:val="FF0000"/>
                <w:sz w:val="24"/>
                <w:szCs w:val="24"/>
              </w:rPr>
              <w:t xml:space="preserve"> </w:t>
            </w:r>
            <w:r w:rsidRPr="00B125E1">
              <w:rPr>
                <w:rFonts w:ascii="Garamond" w:eastAsia="Times New Roman" w:hAnsi="Garamond" w:cs="Arial"/>
                <w:strike/>
                <w:color w:val="FF0000"/>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 Břicháč Jaroslav Piela</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(Bc.Věra Klimčuková)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Ing. Leona Bernáthová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179b), 314b) tr. řádu,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 Grochal</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Blanka Puflerová)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Waltraud Partynglová</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Irena Chuderáková</w:t>
            </w:r>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Tonnerová)</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nápadu věcí trestných činů spáchaných na mládeži, kromě § 196 a § 201 tr.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Nt, Ntm – přípravné řízení </w:t>
            </w:r>
            <w:r w:rsidRPr="00C75FF8">
              <w:rPr>
                <w:rFonts w:ascii="Garamond" w:eastAsia="Times New Roman" w:hAnsi="Garamond" w:cs="Arial"/>
                <w:color w:val="0D0D0D" w:themeColor="text1" w:themeTint="F2"/>
                <w:sz w:val="24"/>
                <w:szCs w:val="20"/>
              </w:rPr>
              <w:t>v rámci přikázané dosažitelnosti podle ust.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179b), 314b) tr.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Tonnerová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žádosti a návrhy na podmíněné propuštění z výkonu trestu odnětí svobody v souvislosti s výkonem trestu ve věznici Kynšperk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Mezi soudní oddělení, v nichž se vyřizují věci T, Tm,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Pr>
          <w:rFonts w:ascii="Garamond" w:hAnsi="Garamond" w:cs="Arial"/>
          <w:color w:val="000000" w:themeColor="text1"/>
          <w:sz w:val="24"/>
          <w:szCs w:val="24"/>
        </w:rPr>
        <w:t xml:space="preserve">, </w:t>
      </w:r>
      <w:r w:rsidR="00B125E1" w:rsidRPr="00B125E1">
        <w:rPr>
          <w:rFonts w:ascii="Garamond" w:hAnsi="Garamond"/>
          <w:color w:val="FF0000"/>
          <w:sz w:val="24"/>
          <w:szCs w:val="24"/>
        </w:rPr>
        <w:t>trestné činy spáchané strážníky městské polic</w:t>
      </w:r>
      <w:r w:rsidR="00B125E1">
        <w:rPr>
          <w:rFonts w:ascii="Garamond" w:hAnsi="Garamond"/>
          <w:color w:val="FF0000"/>
          <w:sz w:val="24"/>
          <w:szCs w:val="24"/>
        </w:rPr>
        <w:t xml:space="preserve">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věci T silniční, důlní, železniční, říční a letecké dopravy (včetně tr. činů dle § 274 odst. 2a) tr. zákoníku) a trestné činy korespondující podle tr.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tr.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Tm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tr. zákoníku),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2012 senát 5T neobsazen, porozsudkovou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w:t>
      </w:r>
      <w:r w:rsidR="00421EA0">
        <w:rPr>
          <w:rFonts w:ascii="Garamond" w:hAnsi="Garamond" w:cs="Arial"/>
          <w:color w:val="FF0000"/>
          <w:sz w:val="24"/>
          <w:szCs w:val="24"/>
        </w:rPr>
        <w:t>, zmocněnec či opatrovník</w:t>
      </w:r>
      <w:r w:rsidRPr="00381A62">
        <w:rPr>
          <w:rFonts w:ascii="Garamond" w:hAnsi="Garamond" w:cs="Arial"/>
          <w:color w:val="000000" w:themeColor="text1"/>
          <w:sz w:val="24"/>
          <w:szCs w:val="24"/>
        </w:rPr>
        <w:t xml:space="preserve"> JUDr. František Siegel,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Tm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Siegelové</w:t>
      </w:r>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Nt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333b tr.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podněty k řízení o podmíněné propuštění a rozhodování o společném způsobu výkonu trestu (§ 320/3 tr.ř.), o změně způsobu výkonu trestu (§ 324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přerušení výkonu trestu (§ 325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e Věznici Kynšperk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t>z jiné věznice než Horní Slavkov, Kynšperk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Nt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Věci Nt cizinců a Nt s cizím prvkem (</w:t>
      </w:r>
      <w:r w:rsidR="00D13AF8" w:rsidRPr="00381A62">
        <w:rPr>
          <w:rFonts w:ascii="Garamond" w:hAnsi="Garamond" w:cs="Arial"/>
          <w:color w:val="000000" w:themeColor="text1"/>
          <w:sz w:val="24"/>
          <w:szCs w:val="24"/>
        </w:rPr>
        <w:t xml:space="preserve">kromě věcí Nt cizinců – státních příslušníků SR a </w:t>
      </w:r>
      <w:r w:rsidR="00F566D1" w:rsidRPr="00381A62">
        <w:rPr>
          <w:rFonts w:ascii="Garamond" w:hAnsi="Garamond" w:cs="Arial"/>
          <w:color w:val="000000" w:themeColor="text1"/>
          <w:sz w:val="24"/>
          <w:szCs w:val="24"/>
        </w:rPr>
        <w:t>kromě věcí Nt - přípravné řízení a věcí Nt souvisejících s rozhodovací činností ve věznici Horní Slavkov</w:t>
      </w:r>
      <w:r w:rsidR="00A53D2E" w:rsidRPr="00381A62">
        <w:rPr>
          <w:rFonts w:ascii="Garamond" w:hAnsi="Garamond" w:cs="Arial"/>
          <w:color w:val="000000" w:themeColor="text1"/>
          <w:sz w:val="24"/>
          <w:szCs w:val="24"/>
        </w:rPr>
        <w:t xml:space="preserve"> a </w:t>
      </w:r>
      <w:r w:rsidR="00F566D1" w:rsidRPr="00381A62">
        <w:rPr>
          <w:rFonts w:ascii="Garamond" w:hAnsi="Garamond" w:cs="Arial"/>
          <w:color w:val="000000" w:themeColor="text1"/>
          <w:sz w:val="24"/>
          <w:szCs w:val="24"/>
        </w:rPr>
        <w:t xml:space="preserve">Kynšperk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Nt - ochranné léčení = uložení a výkon ochranného léčení a zabezpečovací detence </w:t>
      </w:r>
      <w:r w:rsidR="000B7E83" w:rsidRPr="00381A62">
        <w:rPr>
          <w:rFonts w:ascii="Garamond" w:hAnsi="Garamond" w:cs="Arial"/>
          <w:color w:val="000000" w:themeColor="text1"/>
          <w:sz w:val="24"/>
          <w:szCs w:val="24"/>
        </w:rPr>
        <w:t xml:space="preserve">a Nt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Nt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Kynšperk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421EA0">
        <w:rPr>
          <w:rFonts w:ascii="Garamond" w:hAnsi="Garamond" w:cs="Arial"/>
          <w:color w:val="000000" w:themeColor="text1"/>
          <w:sz w:val="24"/>
          <w:szCs w:val="24"/>
        </w:rPr>
        <w:t xml:space="preserve">, </w:t>
      </w:r>
      <w:r w:rsidR="00421EA0" w:rsidRPr="00421EA0">
        <w:rPr>
          <w:rFonts w:ascii="Garamond" w:hAnsi="Garamond" w:cs="Arial"/>
          <w:b/>
          <w:color w:val="FF0000"/>
          <w:sz w:val="24"/>
          <w:szCs w:val="24"/>
        </w:rPr>
        <w:t>z jiné věznice než Horní Slavkov, Kynšperk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Nt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Nt,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Kynšperk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lastRenderedPageBreak/>
        <w:tab/>
        <w:t xml:space="preserve">Pravomocně skončené věci senátu 31PP a 35PP týkající se návrhů na podmíněné propuštění z výkonu trestu odnětí svobody, který byl vykonáván ve Věznici Kynšperk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tr. zákoníku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w:t>
      </w:r>
      <w:r w:rsidR="00E857F9" w:rsidRPr="00294434">
        <w:rPr>
          <w:rFonts w:ascii="Garamond" w:hAnsi="Garamond" w:cs="Arial"/>
          <w:b/>
          <w:color w:val="000000" w:themeColor="text1"/>
          <w:sz w:val="24"/>
          <w:szCs w:val="24"/>
        </w:rPr>
        <w:t>Mgr.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Kynšperk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Rt a Ntr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nařízení soudu vyššího stupně, aby byla věc projednána a rozhodnuta v jiném složení senátu dle § 262 tr.</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tr.</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 xml:space="preserve">svědka nebo v rekognici)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2 tr. řádu, ve věcech Nt,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w:t>
      </w:r>
      <w:r w:rsidR="000477D3" w:rsidRPr="00381A62">
        <w:rPr>
          <w:rFonts w:ascii="Garamond" w:hAnsi="Garamond" w:cs="Arial"/>
          <w:color w:val="000000" w:themeColor="text1"/>
          <w:sz w:val="24"/>
          <w:szCs w:val="24"/>
        </w:rPr>
        <w:lastRenderedPageBreak/>
        <w:t>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Věci Nt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stanovení § 30 odst. 2 tr.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Věci Nt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případě, že osoba vykonává trest odnětí svobody ve věznici Kynšperk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mundační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2248DB">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3928CA">
        <w:rPr>
          <w:rFonts w:ascii="Garamond" w:hAnsi="Garamond" w:cs="Arial"/>
          <w:color w:val="000000" w:themeColor="text1"/>
          <w:sz w:val="24"/>
          <w:szCs w:val="24"/>
        </w:rPr>
        <w:t>,</w:t>
      </w:r>
      <w:r w:rsidR="00035367" w:rsidRPr="00381A62">
        <w:rPr>
          <w:rFonts w:ascii="Garamond" w:hAnsi="Garamond" w:cs="Arial"/>
          <w:color w:val="000000" w:themeColor="text1"/>
          <w:sz w:val="24"/>
          <w:szCs w:val="24"/>
        </w:rPr>
        <w:t xml:space="preserve">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přípr.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40a), § 44 odst. 2, § 51 a) odst. 1, § 68, § 69 odst. 1, § 72 odst. 1 - § 146 a) odst. 1 písm. a), § 74 a) odst. 1, § 77, § 83 odst. 1, § 87 odst. 1, § 87 a) odst. 1, § 88 odst. 1,  § 88 a) odst. 1,  § 116/2, § 146a) odst. 1,2, § 158 a), § 158d) odst. 3, § 179 b), § 314 b) tr.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trestů (§ 320 odst. 3 tr. řádu), změna způsobu výkonu trestu ( § 324 tr.</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Rt a Ntr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spisovnu oddělení PP a Nt. Zajišťuje úkoly uvedené v ust.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ust.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mundační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421EA0">
        <w:rPr>
          <w:rFonts w:ascii="Garamond" w:hAnsi="Garamond" w:cs="Arial"/>
          <w:strike/>
          <w:color w:val="FF0000"/>
          <w:sz w:val="24"/>
          <w:szCs w:val="24"/>
        </w:rPr>
        <w:t>Michaela Sufčáková,</w:t>
      </w:r>
      <w:r w:rsidR="009F013E" w:rsidRPr="00421EA0">
        <w:rPr>
          <w:rFonts w:ascii="Garamond" w:hAnsi="Garamond" w:cs="Arial"/>
          <w:color w:val="FF0000"/>
          <w:sz w:val="24"/>
          <w:szCs w:val="24"/>
        </w:rPr>
        <w:t xml:space="preserve">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Schromm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(Waltraud Partynglová)</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Grochal)</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Waltraud Partynglová</w:t>
            </w:r>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Jaroslav Břicháč</w:t>
            </w:r>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(Bc.Michal Pehanič)</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Shonová-Smoligová)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Anna Shonová-Smoligová</w:t>
            </w:r>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Břicháč)</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(Waltraud Partynglová)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Grochal)</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Bc. Věra Klimčuková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Chuderáková)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2016 a ve smyslu ust.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Intervenční spory dle § 91a) o.s.ř.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lastRenderedPageBreak/>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Všechny věci, které se zapisují do občanskoprávních a všeobecných oddílů rejstříku Nc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o.s.ř.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lastRenderedPageBreak/>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O návrhu na předběžné opatření podle § 102 o.s.ř.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673A62">
        <w:rPr>
          <w:rFonts w:ascii="Garamond" w:hAnsi="Garamond" w:cs="Arial"/>
          <w:sz w:val="24"/>
          <w:szCs w:val="24"/>
        </w:rPr>
        <w:t xml:space="preserve"> </w:t>
      </w:r>
      <w:r w:rsidR="00673A62" w:rsidRPr="00673A62">
        <w:rPr>
          <w:rFonts w:ascii="Garamond" w:hAnsi="Garamond" w:cs="Arial"/>
          <w:color w:val="FF0000"/>
          <w:sz w:val="24"/>
          <w:szCs w:val="24"/>
        </w:rPr>
        <w:t>8C,</w:t>
      </w:r>
      <w:r w:rsidR="005C74C8" w:rsidRPr="00716F7B">
        <w:rPr>
          <w:rFonts w:ascii="Garamond" w:hAnsi="Garamond" w:cs="Arial"/>
          <w:sz w:val="24"/>
          <w:szCs w:val="24"/>
        </w:rPr>
        <w:t xml:space="preserve"> 10C, 11C, </w:t>
      </w:r>
      <w:r w:rsidR="005C74C8" w:rsidRPr="00673A62">
        <w:rPr>
          <w:rFonts w:ascii="Garamond" w:hAnsi="Garamond" w:cs="Arial"/>
          <w:strike/>
          <w:color w:val="FF0000"/>
          <w:sz w:val="24"/>
          <w:szCs w:val="24"/>
        </w:rPr>
        <w:t>12C,</w:t>
      </w:r>
      <w:r w:rsidR="005C74C8" w:rsidRPr="00716F7B">
        <w:rPr>
          <w:rFonts w:ascii="Garamond" w:hAnsi="Garamond" w:cs="Arial"/>
          <w:sz w:val="24"/>
          <w:szCs w:val="24"/>
        </w:rPr>
        <w:t xml:space="preserve">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Věci JUDr. Ondřeje Szalonnáse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Durdové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Vyřízené věci Mgr. Alžběty Durdové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Nevyřízené věci JUDr. Milana Tatára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mundační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ním právních mocí dle § 23 j.ř.</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samostatně provádí úkony a rozhoduje v porozsudkové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ním právních mocí dle § 23 j.ř.</w:t>
      </w:r>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ním právních mocí dle § 23 j.ř.</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D937A0" w:rsidRDefault="00D937A0">
      <w:pPr>
        <w:rPr>
          <w:rFonts w:ascii="Garamond" w:hAnsi="Garamond"/>
          <w:b/>
          <w:sz w:val="24"/>
          <w:szCs w:val="24"/>
        </w:rPr>
      </w:pPr>
      <w:r>
        <w:rPr>
          <w:rFonts w:ascii="Garamond" w:hAnsi="Garamond"/>
          <w:b/>
          <w:sz w:val="24"/>
          <w:szCs w:val="24"/>
        </w:rPr>
        <w:br w:type="page"/>
      </w: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lastRenderedPageBreak/>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vyznačováním právních mocí dle § 23 j.ř.</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B02163" w:rsidRDefault="00B02163">
      <w:pPr>
        <w:rPr>
          <w:rFonts w:ascii="Garamond" w:hAnsi="Garamond"/>
          <w:b/>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lastRenderedPageBreak/>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ěznici Kynšperk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je pověřena vyznačováním právních mocí dle § 23 j.ř.</w:t>
      </w:r>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r w:rsidR="006E447D" w:rsidRPr="00716F7B">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Sd,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Sd vyjma Sd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(Sd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r w:rsidRPr="00716F7B">
        <w:rPr>
          <w:rFonts w:ascii="Garamond" w:hAnsi="Garamond"/>
          <w:sz w:val="24"/>
          <w:szCs w:val="24"/>
        </w:rPr>
        <w:t>Sd,</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Nc</w:t>
      </w:r>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e věcech D, Nc (pozůstalostní oddíly), Sd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ním právních mocí dle § 23 j.ř.</w:t>
      </w:r>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Krajský soud v Plzni – Spr</w:t>
      </w:r>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Nc, </w:t>
            </w:r>
            <w:r w:rsidRPr="00716F7B">
              <w:rPr>
                <w:rFonts w:ascii="Garamond" w:eastAsia="Times New Roman" w:hAnsi="Garamond" w:cs="Arial"/>
                <w:sz w:val="24"/>
                <w:szCs w:val="24"/>
              </w:rPr>
              <w:t>PaNc</w:t>
            </w:r>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rozhodování ve věcech zapisovaných do rejstříků (seznamů) P, Nc, PaNc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Nc, PaNc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(P,Nc (opatrovnické), PaNc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Nc, PaNc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předběžná opatření podle § 74 o.s.ř.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Věci senátu 4Rod, v nichž se budou provádět úkony vykonávacího řízení a bezplatné obhajoby, budou přiděleny k vyřízení JUDr. Siegelové.</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dle § 452 a násl. z.ř.s.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mundační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421EA0">
        <w:rPr>
          <w:rFonts w:ascii="Garamond" w:hAnsi="Garamond"/>
          <w:b/>
          <w:strike/>
          <w:color w:val="FF0000"/>
          <w:sz w:val="24"/>
          <w:szCs w:val="24"/>
        </w:rPr>
        <w:t>Miroslava Tatárová</w:t>
      </w:r>
      <w:r w:rsidR="00E84976" w:rsidRPr="00421EA0">
        <w:rPr>
          <w:rFonts w:ascii="Garamond" w:hAnsi="Garamond"/>
          <w:b/>
          <w:strike/>
          <w:color w:val="FF0000"/>
          <w:sz w:val="24"/>
          <w:szCs w:val="24"/>
        </w:rPr>
        <w:t xml:space="preserve"> a</w:t>
      </w:r>
      <w:r w:rsidR="00C81B57" w:rsidRPr="00421EA0">
        <w:rPr>
          <w:rFonts w:ascii="Garamond" w:hAnsi="Garamond"/>
          <w:b/>
          <w:strike/>
          <w:color w:val="FF0000"/>
          <w:sz w:val="24"/>
          <w:szCs w:val="24"/>
        </w:rPr>
        <w:t xml:space="preserve"> Mgr. Dagmar Večerková</w:t>
      </w:r>
      <w:r w:rsidR="00421EA0" w:rsidRPr="00421EA0">
        <w:rPr>
          <w:rFonts w:ascii="Garamond" w:hAnsi="Garamond"/>
          <w:b/>
          <w:color w:val="FF0000"/>
          <w:sz w:val="24"/>
          <w:szCs w:val="24"/>
        </w:rPr>
        <w:t xml:space="preserve"> Michaela Sufčáková</w:t>
      </w:r>
      <w:r w:rsidR="00E84976" w:rsidRPr="00421EA0">
        <w:rPr>
          <w:rFonts w:ascii="Garamond" w:hAnsi="Garamond"/>
          <w:b/>
          <w:strike/>
          <w:color w:val="FF0000"/>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těchto věcech rovněž samostatně provádí úkony porozsudkové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úkony s výjimkou úkonů, k nimž je oprávněn výlučně soudce, včetně všech úkonů porozsu</w:t>
      </w:r>
      <w:r w:rsidR="00B96433" w:rsidRPr="00716F7B">
        <w:rPr>
          <w:rFonts w:ascii="Garamond" w:hAnsi="Garamond" w:cs="Arial"/>
          <w:sz w:val="24"/>
          <w:szCs w:val="24"/>
        </w:rPr>
        <w:t>dkové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lastRenderedPageBreak/>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pověření předsedy soudu vykonává úkony podle § 6 jednacího řádu v opatrovnických věcech vyřizovaných v senátě 14PaNc, 38PaNc, 41PaNc a 37Nc. V těchto věcech rovněž samostatně provádí úkony porozsudkové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j.ř.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úkony s výjimkou úkonů, k nimž je oprávněn výlučně soudce, včetně všech úkonů porozsudkové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o.s.ř.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mundační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sudé sp. zn.), 30Nc, 30EXE, 30E, vyřizuje žádosti podle § 260 o.s.ř.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j.ř.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liché sp. zn.), 29EXE, vyřizuje žádosti podle § 260 o.s.ř.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pověřena vyznačováním právních mocí dle § 23 j.ř.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lastRenderedPageBreak/>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zajišťuje platební styk s ČNB a dále s Českou poštou s. p. v aplikaci Crypta</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vede pokladnu, vymáhá pohledávky Sop, Nsn , Dv, Tř,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vymáhá pohledávky Sop, Nsn , Dv, Tř,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Eva J</w:t>
      </w:r>
      <w:r w:rsidR="00BD304F" w:rsidRPr="00716F7B">
        <w:rPr>
          <w:rFonts w:ascii="Garamond" w:hAnsi="Garamond" w:cs="Times New Roman"/>
          <w:b/>
          <w:sz w:val="24"/>
          <w:szCs w:val="24"/>
        </w:rPr>
        <w:t>amnická</w:t>
      </w: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Ing. Bernáthová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r w:rsidR="003635D2" w:rsidRPr="00716F7B">
        <w:rPr>
          <w:rFonts w:ascii="Garamond" w:hAnsi="Garamond"/>
          <w:b/>
          <w:sz w:val="24"/>
          <w:szCs w:val="24"/>
        </w:rPr>
        <w:t>Břicháč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r w:rsidR="00103C94" w:rsidRPr="00716F7B">
        <w:rPr>
          <w:rFonts w:ascii="Garamond" w:hAnsi="Garamond"/>
          <w:b/>
          <w:sz w:val="24"/>
          <w:szCs w:val="24"/>
        </w:rPr>
        <w:t>Chuderáková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r w:rsidRPr="00716F7B">
        <w:rPr>
          <w:rFonts w:ascii="Garamond" w:hAnsi="Garamond"/>
          <w:b/>
          <w:sz w:val="24"/>
          <w:szCs w:val="24"/>
        </w:rPr>
        <w:t>Jabornická Remetová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r w:rsidR="006366D4" w:rsidRPr="00716F7B">
        <w:rPr>
          <w:rFonts w:ascii="Garamond" w:hAnsi="Garamond"/>
          <w:b/>
          <w:sz w:val="24"/>
          <w:szCs w:val="24"/>
        </w:rPr>
        <w:t>Jurcsiková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r w:rsidR="003635D2" w:rsidRPr="00716F7B">
        <w:rPr>
          <w:rFonts w:ascii="Garamond" w:hAnsi="Garamond"/>
          <w:b/>
          <w:sz w:val="24"/>
          <w:szCs w:val="24"/>
        </w:rPr>
        <w:t>Klimčuková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Lapcová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421EA0" w:rsidRDefault="00B7255B" w:rsidP="00AF4319">
      <w:pPr>
        <w:spacing w:after="0" w:line="240" w:lineRule="auto"/>
        <w:rPr>
          <w:rFonts w:ascii="Garamond" w:hAnsi="Garamond"/>
          <w:color w:val="FF0000"/>
          <w:sz w:val="24"/>
          <w:szCs w:val="24"/>
        </w:rPr>
      </w:pPr>
      <w:r w:rsidRPr="00421EA0">
        <w:rPr>
          <w:rFonts w:ascii="Garamond" w:hAnsi="Garamond"/>
          <w:strike/>
          <w:color w:val="FF0000"/>
          <w:sz w:val="24"/>
          <w:szCs w:val="24"/>
        </w:rPr>
        <w:t>2</w:t>
      </w:r>
      <w:r w:rsidR="00E95F5F" w:rsidRPr="00421EA0">
        <w:rPr>
          <w:rFonts w:ascii="Garamond" w:hAnsi="Garamond"/>
          <w:strike/>
          <w:color w:val="FF0000"/>
          <w:sz w:val="24"/>
          <w:szCs w:val="24"/>
        </w:rPr>
        <w:t>6</w:t>
      </w:r>
      <w:r w:rsidR="00AF4319" w:rsidRPr="00421EA0">
        <w:rPr>
          <w:rFonts w:ascii="Garamond" w:hAnsi="Garamond"/>
          <w:b/>
          <w:strike/>
          <w:color w:val="FF0000"/>
          <w:sz w:val="24"/>
          <w:szCs w:val="24"/>
        </w:rPr>
        <w:t>. Partynglová Waltraud</w:t>
      </w:r>
      <w:r w:rsidR="00421EA0">
        <w:rPr>
          <w:rFonts w:ascii="Garamond" w:hAnsi="Garamond"/>
          <w:b/>
          <w:color w:val="FF0000"/>
          <w:sz w:val="24"/>
          <w:szCs w:val="24"/>
        </w:rPr>
        <w:t xml:space="preserve"> úmrtí 14. 4. 2020</w:t>
      </w:r>
    </w:p>
    <w:p w:rsidR="00AF4319" w:rsidRPr="00421EA0" w:rsidRDefault="003A1A36" w:rsidP="00AF4319">
      <w:pPr>
        <w:spacing w:after="0" w:line="240" w:lineRule="auto"/>
        <w:rPr>
          <w:rFonts w:ascii="Garamond" w:hAnsi="Garamond"/>
          <w:strike/>
          <w:color w:val="FF0000"/>
          <w:sz w:val="24"/>
          <w:szCs w:val="24"/>
        </w:rPr>
      </w:pPr>
      <w:r w:rsidRPr="00421EA0">
        <w:rPr>
          <w:rFonts w:ascii="Garamond" w:hAnsi="Garamond"/>
          <w:strike/>
          <w:color w:val="FF0000"/>
          <w:sz w:val="24"/>
          <w:szCs w:val="24"/>
        </w:rPr>
        <w:t>volební období do 23.</w:t>
      </w:r>
      <w:r w:rsidR="00713459" w:rsidRPr="00421EA0">
        <w:rPr>
          <w:rFonts w:ascii="Garamond" w:hAnsi="Garamond"/>
          <w:strike/>
          <w:color w:val="FF0000"/>
          <w:sz w:val="24"/>
          <w:szCs w:val="24"/>
        </w:rPr>
        <w:t xml:space="preserve"> </w:t>
      </w:r>
      <w:r w:rsidRPr="00421EA0">
        <w:rPr>
          <w:rFonts w:ascii="Garamond" w:hAnsi="Garamond"/>
          <w:strike/>
          <w:color w:val="FF0000"/>
          <w:sz w:val="24"/>
          <w:szCs w:val="24"/>
        </w:rPr>
        <w:t>1.</w:t>
      </w:r>
      <w:r w:rsidR="00713459" w:rsidRPr="00421EA0">
        <w:rPr>
          <w:rFonts w:ascii="Garamond" w:hAnsi="Garamond"/>
          <w:strike/>
          <w:color w:val="FF0000"/>
          <w:sz w:val="24"/>
          <w:szCs w:val="24"/>
        </w:rPr>
        <w:t xml:space="preserve"> </w:t>
      </w:r>
      <w:r w:rsidRPr="00421EA0">
        <w:rPr>
          <w:rFonts w:ascii="Garamond" w:hAnsi="Garamond"/>
          <w:strike/>
          <w:color w:val="FF0000"/>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Bc. Pehanič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Mgr. Puflerová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r w:rsidR="003635D2" w:rsidRPr="00716F7B">
        <w:rPr>
          <w:rFonts w:ascii="Garamond" w:hAnsi="Garamond"/>
          <w:b/>
          <w:sz w:val="24"/>
          <w:szCs w:val="24"/>
        </w:rPr>
        <w:t>Piela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r w:rsidR="003635D2" w:rsidRPr="00716F7B">
        <w:rPr>
          <w:rFonts w:ascii="Garamond" w:hAnsi="Garamond"/>
          <w:b/>
          <w:sz w:val="24"/>
          <w:szCs w:val="24"/>
        </w:rPr>
        <w:t>Shonová-Smoligová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r w:rsidRPr="00716F7B">
        <w:rPr>
          <w:rFonts w:ascii="Garamond" w:hAnsi="Garamond"/>
          <w:b/>
          <w:sz w:val="24"/>
          <w:szCs w:val="24"/>
        </w:rPr>
        <w:t>Schromm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r w:rsidR="003635D2" w:rsidRPr="00716F7B">
        <w:rPr>
          <w:rFonts w:ascii="Garamond" w:hAnsi="Garamond"/>
          <w:b/>
          <w:sz w:val="24"/>
          <w:szCs w:val="24"/>
        </w:rPr>
        <w:t>Tonnerová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039" w:rsidRDefault="00F67039" w:rsidP="009E3F51">
      <w:pPr>
        <w:spacing w:after="0" w:line="240" w:lineRule="auto"/>
      </w:pPr>
      <w:r>
        <w:separator/>
      </w:r>
    </w:p>
  </w:endnote>
  <w:endnote w:type="continuationSeparator" w:id="0">
    <w:p w:rsidR="00F67039" w:rsidRDefault="00F67039"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B125E1" w:rsidRPr="00B731FD" w:rsidRDefault="00B125E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34158">
          <w:rPr>
            <w:rFonts w:ascii="Garamond" w:hAnsi="Garamond"/>
            <w:noProof/>
          </w:rPr>
          <w:t>1</w:t>
        </w:r>
        <w:r w:rsidRPr="00B731FD">
          <w:rPr>
            <w:rFonts w:ascii="Garamond" w:hAnsi="Garamond"/>
            <w:noProof/>
          </w:rPr>
          <w:fldChar w:fldCharType="end"/>
        </w:r>
      </w:p>
    </w:sdtContent>
  </w:sdt>
  <w:p w:rsidR="00B125E1" w:rsidRDefault="00B125E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039" w:rsidRDefault="00F67039" w:rsidP="009E3F51">
      <w:pPr>
        <w:spacing w:after="0" w:line="240" w:lineRule="auto"/>
      </w:pPr>
      <w:r>
        <w:separator/>
      </w:r>
    </w:p>
  </w:footnote>
  <w:footnote w:type="continuationSeparator" w:id="0">
    <w:p w:rsidR="00F67039" w:rsidRDefault="00F67039"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1EC9"/>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19500-28DF-491A-96D0-F2837BAE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13931</Words>
  <Characters>82193</Characters>
  <Application>Microsoft Office Word</Application>
  <DocSecurity>0</DocSecurity>
  <Lines>684</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2</cp:revision>
  <cp:lastPrinted>2019-12-12T09:32:00Z</cp:lastPrinted>
  <dcterms:created xsi:type="dcterms:W3CDTF">2020-07-02T07:26:00Z</dcterms:created>
  <dcterms:modified xsi:type="dcterms:W3CDTF">2020-07-02T07:26:00Z</dcterms:modified>
</cp:coreProperties>
</file>