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r w:rsidR="00CE5579" w:rsidRPr="00381A62">
        <w:rPr>
          <w:rFonts w:ascii="Garamond" w:hAnsi="Garamond"/>
          <w:sz w:val="24"/>
          <w:szCs w:val="24"/>
        </w:rPr>
        <w:t xml:space="preserve">Spr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w:t>
      </w:r>
      <w:r w:rsidR="00192851">
        <w:rPr>
          <w:rFonts w:ascii="Garamond" w:hAnsi="Garamond"/>
          <w:b/>
          <w:color w:val="FF0000"/>
          <w:sz w:val="24"/>
          <w:szCs w:val="24"/>
        </w:rPr>
        <w:t>27</w:t>
      </w:r>
      <w:r>
        <w:rPr>
          <w:rFonts w:ascii="Garamond" w:hAnsi="Garamond"/>
          <w:b/>
          <w:color w:val="FF0000"/>
          <w:sz w:val="24"/>
          <w:szCs w:val="24"/>
        </w:rPr>
        <w:t xml:space="preserve">. </w:t>
      </w:r>
      <w:r w:rsidR="00D937A0">
        <w:rPr>
          <w:rFonts w:ascii="Garamond" w:hAnsi="Garamond"/>
          <w:b/>
          <w:color w:val="FF0000"/>
          <w:sz w:val="24"/>
          <w:szCs w:val="24"/>
        </w:rPr>
        <w:t>7</w:t>
      </w:r>
      <w:r>
        <w:rPr>
          <w:rFonts w:ascii="Garamond" w:hAnsi="Garamond"/>
          <w:b/>
          <w:color w:val="FF0000"/>
          <w:sz w:val="24"/>
          <w:szCs w:val="24"/>
        </w:rPr>
        <w:t>. 2020</w:t>
      </w:r>
      <w:r w:rsidR="00192851">
        <w:rPr>
          <w:rFonts w:ascii="Garamond" w:hAnsi="Garamond"/>
          <w:b/>
          <w:color w:val="FF0000"/>
          <w:sz w:val="24"/>
          <w:szCs w:val="24"/>
        </w:rPr>
        <w:t xml:space="preserve"> a k 1. 8. 2020</w:t>
      </w:r>
      <w:r>
        <w:rPr>
          <w:rFonts w:ascii="Garamond" w:hAnsi="Garamond"/>
          <w:b/>
          <w:color w:val="FF0000"/>
          <w:sz w:val="24"/>
          <w:szCs w:val="24"/>
        </w:rPr>
        <w:t xml:space="preserve"> </w:t>
      </w:r>
      <w:r w:rsidRPr="001A2CFA">
        <w:rPr>
          <w:rFonts w:ascii="Garamond" w:hAnsi="Garamond"/>
          <w:b/>
          <w:color w:val="FF0000"/>
          <w:sz w:val="24"/>
          <w:szCs w:val="24"/>
        </w:rPr>
        <w:t xml:space="preserve">– 0 Spr </w:t>
      </w:r>
      <w:r w:rsidR="00192851">
        <w:rPr>
          <w:rFonts w:ascii="Garamond" w:hAnsi="Garamond"/>
          <w:b/>
          <w:color w:val="FF0000"/>
          <w:sz w:val="24"/>
          <w:szCs w:val="24"/>
        </w:rPr>
        <w:t>1215</w:t>
      </w:r>
      <w:r w:rsidR="00D937A0">
        <w:rPr>
          <w:rFonts w:ascii="Garamond" w:hAnsi="Garamond"/>
          <w:b/>
          <w:color w:val="FF0000"/>
          <w:sz w:val="24"/>
          <w:szCs w:val="24"/>
        </w:rPr>
        <w:t>/2020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192851">
        <w:rPr>
          <w:rFonts w:ascii="Garamond" w:hAnsi="Garamond"/>
          <w:b/>
          <w:color w:val="FF0000"/>
          <w:sz w:val="24"/>
          <w:szCs w:val="24"/>
        </w:rPr>
        <w:t>27. 7. 2020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Nc,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r w:rsidR="00101482" w:rsidRPr="00381A62">
        <w:rPr>
          <w:rFonts w:ascii="Garamond" w:hAnsi="Garamond"/>
          <w:color w:val="000000" w:themeColor="text1"/>
          <w:sz w:val="24"/>
          <w:szCs w:val="24"/>
        </w:rPr>
        <w:t xml:space="preserve">Tm,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Nt</w:t>
      </w:r>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r w:rsidR="00A5215A" w:rsidRPr="00381A62">
        <w:rPr>
          <w:rFonts w:ascii="Garamond" w:hAnsi="Garamond"/>
          <w:color w:val="000000" w:themeColor="text1"/>
          <w:sz w:val="24"/>
          <w:szCs w:val="24"/>
        </w:rPr>
        <w:t>Td</w:t>
      </w:r>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r w:rsidR="001C1305" w:rsidRPr="00022638">
        <w:rPr>
          <w:rFonts w:ascii="Garamond" w:hAnsi="Garamond"/>
          <w:b/>
          <w:color w:val="000000" w:themeColor="text1"/>
          <w:sz w:val="36"/>
          <w:szCs w:val="24"/>
        </w:rPr>
        <w:t>Tm,</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B75436" w:rsidRPr="00022638">
        <w:rPr>
          <w:rFonts w:ascii="Garamond" w:hAnsi="Garamond"/>
          <w:b/>
          <w:color w:val="000000" w:themeColor="text1"/>
          <w:sz w:val="36"/>
          <w:szCs w:val="24"/>
        </w:rPr>
        <w:t>Nt</w:t>
      </w:r>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r w:rsidR="009B32AF" w:rsidRPr="00022638">
        <w:rPr>
          <w:rFonts w:ascii="Garamond" w:hAnsi="Garamond"/>
          <w:b/>
          <w:color w:val="000000" w:themeColor="text1"/>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Mgr.Katarína Schromm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Jaroslava Jabornická-Remetová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r w:rsidR="00610507"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příslušníky Vězeňské služby ČR a tr.</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 Břicháč Jaroslav Piela</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(Bc.Věra Klimčuková)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Ing. Leona Bernáthová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179b), 314b) tr. řádu,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 Grochal</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Blanka Puflerová)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Waltraud Partynglová</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Irena Chuderáková</w:t>
            </w:r>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Tonnerová)</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nápadu věcí trestných činů spáchaných na mládeži, kromě § 196 a § 201 tr.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Nt, Ntm – přípravné řízení </w:t>
            </w:r>
            <w:r w:rsidRPr="00C75FF8">
              <w:rPr>
                <w:rFonts w:ascii="Garamond" w:eastAsia="Times New Roman" w:hAnsi="Garamond" w:cs="Arial"/>
                <w:color w:val="0D0D0D" w:themeColor="text1" w:themeTint="F2"/>
                <w:sz w:val="24"/>
                <w:szCs w:val="20"/>
              </w:rPr>
              <w:t>v rámci přikázané dosažitelnosti podle ust.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179b), 314b) tr.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Tonnerová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žádosti a návrhy na podmíněné propuštění z výkonu trestu odnětí svobody v souvislosti s výkonem trestu ve věznici Kynšperk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Mezi soudní oddělení, v nichž se vyřizují věci T, Tm,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tr. zákona č. 140/1961 Sb., trestné činy spáchané příslušníky Policie ČR a BIS, trestné činy spáchané příslušníky Vězeňské </w:t>
      </w:r>
      <w:r w:rsidRPr="00192851">
        <w:rPr>
          <w:rFonts w:ascii="Garamond" w:hAnsi="Garamond" w:cs="Arial"/>
          <w:sz w:val="24"/>
          <w:szCs w:val="24"/>
        </w:rPr>
        <w:t>služby ČR</w:t>
      </w:r>
      <w:r w:rsidR="00B125E1" w:rsidRPr="00192851">
        <w:rPr>
          <w:rFonts w:ascii="Garamond" w:hAnsi="Garamond" w:cs="Arial"/>
          <w:sz w:val="24"/>
          <w:szCs w:val="24"/>
        </w:rPr>
        <w:t xml:space="preserve">, </w:t>
      </w:r>
      <w:r w:rsidR="00B125E1" w:rsidRPr="00192851">
        <w:rPr>
          <w:rFonts w:ascii="Garamond" w:hAnsi="Garamond"/>
          <w:sz w:val="24"/>
          <w:szCs w:val="24"/>
        </w:rPr>
        <w:t xml:space="preserve">trestné činy spáchané strážníky městské policie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věci T silniční, důlní, železniční, říční a letecké dopravy (včetně tr. činů dle § 274 odst. 2a) tr. zákoníku) a trestné činy korespondující podle tr.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tr.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Tm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tr. zákoníku),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2012 senát 5T neobsazen, porozsudkovou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w:t>
      </w:r>
      <w:r w:rsidRPr="00192851">
        <w:rPr>
          <w:rFonts w:ascii="Garamond" w:hAnsi="Garamond" w:cs="Arial"/>
          <w:sz w:val="24"/>
          <w:szCs w:val="24"/>
        </w:rPr>
        <w:t>advokát</w:t>
      </w:r>
      <w:r w:rsidR="00421EA0" w:rsidRPr="00192851">
        <w:rPr>
          <w:rFonts w:ascii="Garamond" w:hAnsi="Garamond" w:cs="Arial"/>
          <w:sz w:val="24"/>
          <w:szCs w:val="24"/>
        </w:rPr>
        <w:t>, zmocněnec či opatrovník</w:t>
      </w:r>
      <w:r w:rsidRPr="00192851">
        <w:rPr>
          <w:rFonts w:ascii="Garamond" w:hAnsi="Garamond" w:cs="Arial"/>
          <w:sz w:val="24"/>
          <w:szCs w:val="24"/>
        </w:rPr>
        <w:t xml:space="preserve"> JUDr</w:t>
      </w:r>
      <w:r w:rsidRPr="00381A62">
        <w:rPr>
          <w:rFonts w:ascii="Garamond" w:hAnsi="Garamond" w:cs="Arial"/>
          <w:color w:val="000000" w:themeColor="text1"/>
          <w:sz w:val="24"/>
          <w:szCs w:val="24"/>
        </w:rPr>
        <w:t>. František Siegel,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Tm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Siegelové</w:t>
      </w:r>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Nt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333b tr.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podněty k řízení o podmíněné propuštění a rozhodování o společném způsobu výkonu trestu (§ 320/3 tr.ř.), o změně způsobu výkonu trestu (§ 324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přerušení výkonu trestu (§ 325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e Věznici Kynšperk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r>
      <w:r w:rsidRPr="00192851">
        <w:rPr>
          <w:rFonts w:ascii="Garamond" w:hAnsi="Garamond" w:cs="Arial"/>
          <w:b/>
          <w:sz w:val="24"/>
          <w:szCs w:val="24"/>
        </w:rPr>
        <w:t>z jiné věznice než Horní Slavkov, Kynšperk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Nt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Věci Nt cizinců a Nt s cizím prvkem (</w:t>
      </w:r>
      <w:r w:rsidR="00D13AF8" w:rsidRPr="00381A62">
        <w:rPr>
          <w:rFonts w:ascii="Garamond" w:hAnsi="Garamond" w:cs="Arial"/>
          <w:color w:val="000000" w:themeColor="text1"/>
          <w:sz w:val="24"/>
          <w:szCs w:val="24"/>
        </w:rPr>
        <w:t xml:space="preserve">kromě věcí Nt cizinců – státních příslušníků SR a </w:t>
      </w:r>
      <w:r w:rsidR="00F566D1" w:rsidRPr="00381A62">
        <w:rPr>
          <w:rFonts w:ascii="Garamond" w:hAnsi="Garamond" w:cs="Arial"/>
          <w:color w:val="000000" w:themeColor="text1"/>
          <w:sz w:val="24"/>
          <w:szCs w:val="24"/>
        </w:rPr>
        <w:t>kromě věcí Nt - přípravné řízení a věcí Nt souvisejících s rozhodovací činností ve věznici Horní Slavkov</w:t>
      </w:r>
      <w:r w:rsidR="00A53D2E" w:rsidRPr="00381A62">
        <w:rPr>
          <w:rFonts w:ascii="Garamond" w:hAnsi="Garamond" w:cs="Arial"/>
          <w:color w:val="000000" w:themeColor="text1"/>
          <w:sz w:val="24"/>
          <w:szCs w:val="24"/>
        </w:rPr>
        <w:t xml:space="preserve"> a </w:t>
      </w:r>
      <w:r w:rsidR="00F566D1" w:rsidRPr="00381A62">
        <w:rPr>
          <w:rFonts w:ascii="Garamond" w:hAnsi="Garamond" w:cs="Arial"/>
          <w:color w:val="000000" w:themeColor="text1"/>
          <w:sz w:val="24"/>
          <w:szCs w:val="24"/>
        </w:rPr>
        <w:t xml:space="preserve">Kynšperk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Nt - ochranné léčení = uložení a výkon ochranného léčení a zabezpečovací detence </w:t>
      </w:r>
      <w:r w:rsidR="000B7E83" w:rsidRPr="00381A62">
        <w:rPr>
          <w:rFonts w:ascii="Garamond" w:hAnsi="Garamond" w:cs="Arial"/>
          <w:color w:val="000000" w:themeColor="text1"/>
          <w:sz w:val="24"/>
          <w:szCs w:val="24"/>
        </w:rPr>
        <w:t xml:space="preserve">a Nt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Nt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Kynšperk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8272F8" w:rsidRPr="0032157C">
        <w:rPr>
          <w:rFonts w:ascii="Garamond" w:hAnsi="Garamond" w:cs="Arial"/>
          <w:b/>
          <w:sz w:val="24"/>
          <w:szCs w:val="24"/>
        </w:rPr>
        <w:t>)</w:t>
      </w:r>
      <w:r w:rsidR="00421EA0" w:rsidRPr="0032157C">
        <w:rPr>
          <w:rFonts w:ascii="Garamond" w:hAnsi="Garamond" w:cs="Arial"/>
          <w:sz w:val="24"/>
          <w:szCs w:val="24"/>
        </w:rPr>
        <w:t xml:space="preserve">, </w:t>
      </w:r>
      <w:r w:rsidR="00421EA0" w:rsidRPr="0032157C">
        <w:rPr>
          <w:rFonts w:ascii="Garamond" w:hAnsi="Garamond" w:cs="Arial"/>
          <w:b/>
          <w:sz w:val="24"/>
          <w:szCs w:val="24"/>
        </w:rPr>
        <w:t>z jiné věznice než Horní Slavkov, Kynšperk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Nt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Nt,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Kynšperk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tr. zákoníku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w:t>
      </w:r>
      <w:r w:rsidR="00E857F9" w:rsidRPr="00294434">
        <w:rPr>
          <w:rFonts w:ascii="Garamond" w:hAnsi="Garamond" w:cs="Arial"/>
          <w:b/>
          <w:color w:val="000000" w:themeColor="text1"/>
          <w:sz w:val="24"/>
          <w:szCs w:val="24"/>
        </w:rPr>
        <w:t>Mgr.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Kynšperk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Rt a Ntr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nařízení soudu vyššího stupně, aby byla věc projednána a rozhodnuta v jiném složení senátu dle § 262 tr.</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tr.</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 xml:space="preserve">svědka nebo v rekognici)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2 tr. řádu, ve věcech Nt,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Věci Nt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stanovení § 30 odst. 2 tr.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Věci Nt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případě, že osoba vykonává trest odnětí svobody ve věznici Kynšperk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mundační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2248DB">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1640F0" w:rsidRPr="0032157C">
        <w:rPr>
          <w:rFonts w:ascii="Garamond" w:hAnsi="Garamond" w:cs="Arial"/>
          <w:strike/>
          <w:color w:val="FF0000"/>
          <w:sz w:val="24"/>
          <w:szCs w:val="24"/>
        </w:rPr>
        <w:t>Zoubková</w:t>
      </w:r>
      <w:r w:rsidR="003928CA">
        <w:rPr>
          <w:rFonts w:ascii="Garamond" w:hAnsi="Garamond" w:cs="Arial"/>
          <w:color w:val="000000" w:themeColor="text1"/>
          <w:sz w:val="24"/>
          <w:szCs w:val="24"/>
        </w:rPr>
        <w:t>,</w:t>
      </w:r>
      <w:r w:rsidR="00035367" w:rsidRPr="00381A62">
        <w:rPr>
          <w:rFonts w:ascii="Garamond" w:hAnsi="Garamond" w:cs="Arial"/>
          <w:color w:val="000000" w:themeColor="text1"/>
          <w:sz w:val="24"/>
          <w:szCs w:val="24"/>
        </w:rPr>
        <w:t xml:space="preserve"> Špulková, Schmiedkunzová</w:t>
      </w:r>
      <w:r w:rsidR="0032157C">
        <w:rPr>
          <w:rFonts w:ascii="Garamond" w:hAnsi="Garamond" w:cs="Arial"/>
          <w:color w:val="000000" w:themeColor="text1"/>
          <w:sz w:val="24"/>
          <w:szCs w:val="24"/>
        </w:rPr>
        <w:t xml:space="preserve">, </w:t>
      </w:r>
      <w:r w:rsidR="0032157C">
        <w:rPr>
          <w:rFonts w:ascii="Garamond" w:hAnsi="Garamond" w:cs="Arial"/>
          <w:color w:val="FF0000"/>
          <w:sz w:val="24"/>
          <w:szCs w:val="24"/>
        </w:rPr>
        <w:t>Gabriela Krausová Fialová</w:t>
      </w:r>
      <w:r w:rsidR="00035367" w:rsidRPr="00381A62">
        <w:rPr>
          <w:rFonts w:ascii="Garamond" w:hAnsi="Garamond" w:cs="Arial"/>
          <w:color w:val="000000" w:themeColor="text1"/>
          <w:sz w:val="24"/>
          <w:szCs w:val="24"/>
        </w:rPr>
        <w:t>)</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2157C">
        <w:rPr>
          <w:rFonts w:ascii="Garamond" w:hAnsi="Garamond" w:cs="Arial"/>
          <w:b/>
          <w:strike/>
          <w:color w:val="FF0000"/>
          <w:sz w:val="24"/>
          <w:szCs w:val="24"/>
        </w:rPr>
        <w:t>Gita Zoubková</w:t>
      </w:r>
      <w:r w:rsidR="0032157C">
        <w:rPr>
          <w:rFonts w:ascii="Garamond" w:hAnsi="Garamond" w:cs="Arial"/>
          <w:b/>
          <w:strike/>
          <w:color w:val="FF0000"/>
          <w:sz w:val="24"/>
          <w:szCs w:val="24"/>
        </w:rPr>
        <w:t xml:space="preserve"> </w:t>
      </w:r>
      <w:r w:rsidR="0032157C">
        <w:rPr>
          <w:rFonts w:ascii="Garamond" w:hAnsi="Garamond" w:cs="Arial"/>
          <w:color w:val="FF0000"/>
          <w:sz w:val="24"/>
          <w:szCs w:val="24"/>
        </w:rPr>
        <w:t>Gabriela Krausová Fialová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přípr.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40a), § 44 odst. 2, § 51 a) odst. 1, § 68, § 69 odst. 1, § 72 odst. 1 - § 146 a) odst. 1 písm. a), § 74 a) odst. 1, § 77, § 83 odst. 1, § 87 odst. 1, § 87 a) odst. 1, § 88 odst. 1,  § 88 a) odst. 1,  § 116/2, § 146a) odst. 1,2, § 158 a), § 158d) odst. 3, § 179 b), § 314 b) tr.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2157C">
        <w:rPr>
          <w:rFonts w:ascii="Garamond" w:hAnsi="Garamond" w:cs="Arial"/>
          <w:strike/>
          <w:color w:val="FF0000"/>
          <w:sz w:val="24"/>
          <w:szCs w:val="24"/>
        </w:rPr>
        <w:t>Zoubková,</w:t>
      </w:r>
      <w:r w:rsidR="001640F0"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Schmiedkunzová</w:t>
      </w:r>
      <w:r w:rsidR="0032157C">
        <w:rPr>
          <w:rFonts w:ascii="Garamond" w:hAnsi="Garamond" w:cs="Arial"/>
          <w:color w:val="000000" w:themeColor="text1"/>
          <w:sz w:val="24"/>
          <w:szCs w:val="24"/>
        </w:rPr>
        <w:t xml:space="preserve">, </w:t>
      </w:r>
      <w:r w:rsidR="0032157C">
        <w:rPr>
          <w:rFonts w:ascii="Garamond" w:hAnsi="Garamond" w:cs="Arial"/>
          <w:color w:val="FF0000"/>
          <w:sz w:val="24"/>
          <w:szCs w:val="24"/>
        </w:rPr>
        <w:t>Gabriela Krausová Fialová</w:t>
      </w:r>
      <w:r w:rsidRPr="00381A62">
        <w:rPr>
          <w:rFonts w:ascii="Garamond" w:hAnsi="Garamond" w:cs="Arial"/>
          <w:color w:val="000000" w:themeColor="text1"/>
          <w:sz w:val="24"/>
          <w:szCs w:val="24"/>
        </w:rPr>
        <w:t>)</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trestů (§ 320 odst. 3 tr. řádu), změna způsobu výkonu trestu ( § 324 tr.</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Rt a Ntr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spisovnu oddělení PP a Nt. Zajišťuje úkoly uvedené v ust.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ust.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001640F0" w:rsidRPr="0032157C">
        <w:rPr>
          <w:rFonts w:ascii="Garamond" w:hAnsi="Garamond" w:cs="Arial"/>
          <w:strike/>
          <w:color w:val="FF0000"/>
          <w:sz w:val="24"/>
          <w:szCs w:val="24"/>
        </w:rPr>
        <w:t>Zoubková,</w:t>
      </w:r>
      <w:r w:rsidR="009A0C14" w:rsidRPr="0032157C">
        <w:rPr>
          <w:rFonts w:ascii="Garamond" w:hAnsi="Garamond" w:cs="Arial"/>
          <w:color w:val="FF0000"/>
          <w:sz w:val="24"/>
          <w:szCs w:val="24"/>
        </w:rPr>
        <w:t xml:space="preserve"> </w:t>
      </w:r>
      <w:r w:rsidRPr="00381A62">
        <w:rPr>
          <w:rFonts w:ascii="Garamond" w:hAnsi="Garamond" w:cs="Arial"/>
          <w:color w:val="000000" w:themeColor="text1"/>
          <w:sz w:val="24"/>
          <w:szCs w:val="24"/>
        </w:rPr>
        <w:t>Špulková</w:t>
      </w:r>
      <w:r w:rsidR="0032157C">
        <w:rPr>
          <w:rFonts w:ascii="Garamond" w:hAnsi="Garamond" w:cs="Arial"/>
          <w:color w:val="000000" w:themeColor="text1"/>
          <w:sz w:val="24"/>
          <w:szCs w:val="24"/>
        </w:rPr>
        <w:t xml:space="preserve">, </w:t>
      </w:r>
      <w:r w:rsidR="0032157C">
        <w:rPr>
          <w:rFonts w:ascii="Garamond" w:hAnsi="Garamond" w:cs="Arial"/>
          <w:color w:val="FF0000"/>
          <w:sz w:val="24"/>
          <w:szCs w:val="24"/>
        </w:rPr>
        <w:t>Gabriela Krausová Fialová</w:t>
      </w:r>
      <w:r w:rsidRPr="00381A62">
        <w:rPr>
          <w:rFonts w:ascii="Garamond" w:hAnsi="Garamond" w:cs="Arial"/>
          <w:color w:val="000000" w:themeColor="text1"/>
          <w:sz w:val="24"/>
          <w:szCs w:val="24"/>
        </w:rPr>
        <w:t>)</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mundační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A32206" w:rsidRPr="00381A62">
        <w:rPr>
          <w:rFonts w:ascii="Garamond" w:hAnsi="Garamond" w:cs="Arial"/>
          <w:color w:val="000000" w:themeColor="text1"/>
          <w:sz w:val="24"/>
          <w:szCs w:val="24"/>
        </w:rPr>
        <w:t>Kateřina Švajcrová,</w:t>
      </w:r>
      <w:r w:rsidR="0032157C" w:rsidRPr="0032157C">
        <w:rPr>
          <w:rFonts w:ascii="Garamond" w:hAnsi="Garamond" w:cs="Arial"/>
          <w:color w:val="FF0000"/>
          <w:sz w:val="24"/>
          <w:szCs w:val="24"/>
        </w:rPr>
        <w:t xml:space="preserve"> </w:t>
      </w:r>
      <w:r w:rsidR="0032157C">
        <w:rPr>
          <w:rFonts w:ascii="Garamond" w:hAnsi="Garamond" w:cs="Arial"/>
          <w:color w:val="FF0000"/>
          <w:sz w:val="24"/>
          <w:szCs w:val="24"/>
        </w:rPr>
        <w:t>Tereza Švarcová (od 1. 8. 2020),</w:t>
      </w:r>
      <w:r w:rsidR="00A3220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Schromm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(Waltraud Partynglová)</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Grochal)</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Waltraud Partynglová</w:t>
            </w:r>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Jaroslav Břicháč</w:t>
            </w:r>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(Bc.Michal Pehanič)</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Shonová-Smoligová)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Anna Shonová-Smoligová</w:t>
            </w:r>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Břicháč)</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(Waltraud Partynglová)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Grochal)</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Bc. Věra Klimčuková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Chuderáková)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2016 a ve smyslu ust.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Intervenční spory dle § 91a) o.s.ř.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Všechny věci, které se zapisují do občanskoprávních a všeobecných oddílů rejstříku Nc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o.s.ř.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O návrhu na předběžné opatření podle § 102 o.s.ř.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673A62">
        <w:rPr>
          <w:rFonts w:ascii="Garamond" w:hAnsi="Garamond" w:cs="Arial"/>
          <w:sz w:val="24"/>
          <w:szCs w:val="24"/>
        </w:rPr>
        <w:t xml:space="preserve"> </w:t>
      </w:r>
      <w:r w:rsidR="00673A62" w:rsidRPr="00673A62">
        <w:rPr>
          <w:rFonts w:ascii="Garamond" w:hAnsi="Garamond" w:cs="Arial"/>
          <w:color w:val="FF0000"/>
          <w:sz w:val="24"/>
          <w:szCs w:val="24"/>
        </w:rPr>
        <w:t>8C,</w:t>
      </w:r>
      <w:r w:rsidR="005C74C8" w:rsidRPr="00716F7B">
        <w:rPr>
          <w:rFonts w:ascii="Garamond" w:hAnsi="Garamond" w:cs="Arial"/>
          <w:sz w:val="24"/>
          <w:szCs w:val="24"/>
        </w:rPr>
        <w:t xml:space="preserve"> 10C, 11C, </w:t>
      </w:r>
      <w:r w:rsidR="005C74C8" w:rsidRPr="00673A62">
        <w:rPr>
          <w:rFonts w:ascii="Garamond" w:hAnsi="Garamond" w:cs="Arial"/>
          <w:strike/>
          <w:color w:val="FF0000"/>
          <w:sz w:val="24"/>
          <w:szCs w:val="24"/>
        </w:rPr>
        <w:t>12C,</w:t>
      </w:r>
      <w:r w:rsidR="005C74C8" w:rsidRPr="00716F7B">
        <w:rPr>
          <w:rFonts w:ascii="Garamond" w:hAnsi="Garamond" w:cs="Arial"/>
          <w:sz w:val="24"/>
          <w:szCs w:val="24"/>
        </w:rPr>
        <w:t xml:space="preserve">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Věci JUDr. Ondřeje Szalonnáse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Durdové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Vyřízené věci Mgr. Alžběty Durdové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Nevyřízené věci JUDr. Milana Tatára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mundační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ním právních mocí dle § 23 j.ř.</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samostatně provádí úkony a rozhoduje v porozsudkové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ním právních mocí dle § 23 j.ř.</w:t>
      </w:r>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ním právních mocí dle § 23 j.ř.</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D937A0" w:rsidRDefault="00D937A0">
      <w:pPr>
        <w:rPr>
          <w:rFonts w:ascii="Garamond" w:hAnsi="Garamond"/>
          <w:b/>
          <w:sz w:val="24"/>
          <w:szCs w:val="24"/>
        </w:rPr>
      </w:pPr>
      <w:r>
        <w:rPr>
          <w:rFonts w:ascii="Garamond" w:hAnsi="Garamond"/>
          <w:b/>
          <w:sz w:val="24"/>
          <w:szCs w:val="24"/>
        </w:rPr>
        <w:br w:type="page"/>
      </w: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vyznačováním právních mocí dle § 23 j.ř.</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B02163" w:rsidRDefault="00B02163">
      <w:pPr>
        <w:rPr>
          <w:rFonts w:ascii="Garamond" w:hAnsi="Garamond"/>
          <w:b/>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ěznici Kynšperk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je pověřena vyznačováním právních mocí dle § 23 j.ř.</w:t>
      </w:r>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r w:rsidR="006E447D" w:rsidRPr="00716F7B">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Sd,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Sd vyjma Sd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(Sd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r w:rsidRPr="00716F7B">
        <w:rPr>
          <w:rFonts w:ascii="Garamond" w:hAnsi="Garamond"/>
          <w:sz w:val="24"/>
          <w:szCs w:val="24"/>
        </w:rPr>
        <w:t>Sd,</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Nc</w:t>
      </w:r>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e věcech D, Nc (pozůstalostní oddíly), Sd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ním právních mocí dle § 23 j.ř.</w:t>
      </w:r>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Krajský soud v Plzni – Spr</w:t>
      </w:r>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Nc, </w:t>
            </w:r>
            <w:r w:rsidRPr="00716F7B">
              <w:rPr>
                <w:rFonts w:ascii="Garamond" w:eastAsia="Times New Roman" w:hAnsi="Garamond" w:cs="Arial"/>
                <w:sz w:val="24"/>
                <w:szCs w:val="24"/>
              </w:rPr>
              <w:t>PaNc</w:t>
            </w:r>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rozhodování ve věcech zapisovaných do rejstříků (seznamů) P, Nc, PaNc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Nc, PaNc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(P,Nc (opatrovnické), PaNc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Nc, PaNc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předběžná opatření podle § 74 o.s.ř.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Věci senátu 4Rod, v nichž se budou provádět úkony vykonávacího řízení a bezplatné obhajoby, budou přiděleny k vyřízení JUDr. Siegelové.</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dle § 452 a násl. z.ř.s.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mundační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421EA0" w:rsidRPr="0032157C">
        <w:rPr>
          <w:rFonts w:ascii="Garamond" w:hAnsi="Garamond"/>
          <w:b/>
          <w:sz w:val="24"/>
          <w:szCs w:val="24"/>
        </w:rPr>
        <w:t>Michaela Sufčáková</w:t>
      </w:r>
      <w:r w:rsidR="0032157C">
        <w:rPr>
          <w:rFonts w:ascii="Garamond" w:hAnsi="Garamond"/>
          <w:b/>
          <w:sz w:val="24"/>
          <w:szCs w:val="24"/>
        </w:rPr>
        <w:t xml:space="preserve"> a </w:t>
      </w:r>
      <w:bookmarkStart w:id="0" w:name="_GoBack"/>
      <w:r w:rsidR="0032157C" w:rsidRPr="0032157C">
        <w:rPr>
          <w:rFonts w:ascii="Garamond" w:hAnsi="Garamond"/>
          <w:b/>
          <w:color w:val="FF0000"/>
          <w:sz w:val="24"/>
          <w:szCs w:val="24"/>
        </w:rPr>
        <w:t>Gita Zoubková</w:t>
      </w:r>
      <w:bookmarkEnd w:id="0"/>
      <w:r w:rsidR="0032157C">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těchto věcech rovněž samostatně provádí úkony porozsudkové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úkony s výjimkou úkonů, k nimž je oprávněn výlučně soudce, včetně všech úkonů porozsu</w:t>
      </w:r>
      <w:r w:rsidR="00B96433" w:rsidRPr="00716F7B">
        <w:rPr>
          <w:rFonts w:ascii="Garamond" w:hAnsi="Garamond" w:cs="Arial"/>
          <w:sz w:val="24"/>
          <w:szCs w:val="24"/>
        </w:rPr>
        <w:t>dkové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pověření předsedy soudu vykonává úkony podle § 6 jednacího řádu v opatrovnických věcech vyřizovaných v senátě 14PaNc, 38PaNc, 41PaNc a 37Nc. V těchto věcech rovněž samostatně provádí úkony porozsudkové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j.ř.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úkony s výjimkou úkonů, k nimž je oprávněn výlučně soudce, včetně všech úkonů porozsudkové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o.s.ř.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mundační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sudé sp. zn.), 30Nc, 30EXE, 30E, vyřizuje žádosti podle § 260 o.s.ř.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j.ř.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liché sp. zn.), 29EXE, vyřizuje žádosti podle § 260 o.s.ř.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pověřena vyznačováním právních mocí dle § 23 j.ř.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zajišťuje platební styk s ČNB a dále s Českou poštou s. p. v aplikaci Crypta</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vede pokladnu, vymáhá pohledávky Sop, Nsn , Dv, Tř,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vymáhá pohledávky Sop, Nsn , Dv, Tř,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Eva J</w:t>
      </w:r>
      <w:r w:rsidR="00BD304F" w:rsidRPr="00716F7B">
        <w:rPr>
          <w:rFonts w:ascii="Garamond" w:hAnsi="Garamond" w:cs="Times New Roman"/>
          <w:b/>
          <w:sz w:val="24"/>
          <w:szCs w:val="24"/>
        </w:rPr>
        <w:t>amnická</w:t>
      </w: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Ing. Bernáthová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r w:rsidR="003635D2" w:rsidRPr="00716F7B">
        <w:rPr>
          <w:rFonts w:ascii="Garamond" w:hAnsi="Garamond"/>
          <w:b/>
          <w:sz w:val="24"/>
          <w:szCs w:val="24"/>
        </w:rPr>
        <w:t>Břicháč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r w:rsidR="00103C94" w:rsidRPr="00716F7B">
        <w:rPr>
          <w:rFonts w:ascii="Garamond" w:hAnsi="Garamond"/>
          <w:b/>
          <w:sz w:val="24"/>
          <w:szCs w:val="24"/>
        </w:rPr>
        <w:t>Chuderáková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r w:rsidRPr="00716F7B">
        <w:rPr>
          <w:rFonts w:ascii="Garamond" w:hAnsi="Garamond"/>
          <w:b/>
          <w:sz w:val="24"/>
          <w:szCs w:val="24"/>
        </w:rPr>
        <w:t>Jabornická Remetová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r w:rsidR="006366D4" w:rsidRPr="00716F7B">
        <w:rPr>
          <w:rFonts w:ascii="Garamond" w:hAnsi="Garamond"/>
          <w:b/>
          <w:sz w:val="24"/>
          <w:szCs w:val="24"/>
        </w:rPr>
        <w:t>Jurcsiková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r w:rsidR="003635D2" w:rsidRPr="00716F7B">
        <w:rPr>
          <w:rFonts w:ascii="Garamond" w:hAnsi="Garamond"/>
          <w:b/>
          <w:sz w:val="24"/>
          <w:szCs w:val="24"/>
        </w:rPr>
        <w:t>Klimčuková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Lapcová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B128DE" w:rsidRPr="00716F7B" w:rsidRDefault="0032157C" w:rsidP="00B128DE">
      <w:pPr>
        <w:spacing w:after="0" w:line="240" w:lineRule="auto"/>
        <w:rPr>
          <w:rFonts w:ascii="Garamond" w:hAnsi="Garamond"/>
          <w:b/>
          <w:sz w:val="24"/>
          <w:szCs w:val="24"/>
        </w:rPr>
      </w:pPr>
      <w:r>
        <w:rPr>
          <w:rFonts w:ascii="Garamond" w:hAnsi="Garamond"/>
          <w:sz w:val="24"/>
          <w:szCs w:val="24"/>
        </w:rPr>
        <w:t>26</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Bc. Pehanič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32157C">
        <w:rPr>
          <w:rFonts w:ascii="Garamond" w:hAnsi="Garamond"/>
          <w:sz w:val="24"/>
          <w:szCs w:val="24"/>
        </w:rPr>
        <w:t>7</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28</w:t>
      </w:r>
      <w:r w:rsidR="003635D2" w:rsidRPr="00716F7B">
        <w:rPr>
          <w:rFonts w:ascii="Garamond" w:hAnsi="Garamond"/>
          <w:sz w:val="24"/>
          <w:szCs w:val="24"/>
        </w:rPr>
        <w:t xml:space="preserve">. </w:t>
      </w:r>
      <w:r w:rsidR="00C2781F" w:rsidRPr="00716F7B">
        <w:rPr>
          <w:rFonts w:ascii="Garamond" w:hAnsi="Garamond"/>
          <w:b/>
          <w:sz w:val="24"/>
          <w:szCs w:val="24"/>
        </w:rPr>
        <w:t>Mgr. Puflerová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29</w:t>
      </w:r>
      <w:r w:rsidR="003635D2" w:rsidRPr="00716F7B">
        <w:rPr>
          <w:rFonts w:ascii="Garamond" w:hAnsi="Garamond"/>
          <w:sz w:val="24"/>
          <w:szCs w:val="24"/>
        </w:rPr>
        <w:t xml:space="preserve">. </w:t>
      </w:r>
      <w:r w:rsidR="003635D2" w:rsidRPr="00716F7B">
        <w:rPr>
          <w:rFonts w:ascii="Garamond" w:hAnsi="Garamond"/>
          <w:b/>
          <w:sz w:val="24"/>
          <w:szCs w:val="24"/>
        </w:rPr>
        <w:t>Piela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32157C" w:rsidP="003635D2">
      <w:pPr>
        <w:spacing w:after="0" w:line="240" w:lineRule="auto"/>
        <w:rPr>
          <w:rFonts w:ascii="Garamond" w:hAnsi="Garamond"/>
          <w:b/>
          <w:sz w:val="24"/>
          <w:szCs w:val="24"/>
        </w:rPr>
      </w:pPr>
      <w:r>
        <w:rPr>
          <w:rFonts w:ascii="Garamond" w:hAnsi="Garamond"/>
          <w:sz w:val="24"/>
          <w:szCs w:val="24"/>
        </w:rPr>
        <w:t>30</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1</w:t>
      </w:r>
      <w:r w:rsidR="003635D2" w:rsidRPr="00716F7B">
        <w:rPr>
          <w:rFonts w:ascii="Garamond" w:hAnsi="Garamond"/>
          <w:sz w:val="24"/>
          <w:szCs w:val="24"/>
        </w:rPr>
        <w:t xml:space="preserve">. </w:t>
      </w:r>
      <w:r w:rsidR="003635D2" w:rsidRPr="00716F7B">
        <w:rPr>
          <w:rFonts w:ascii="Garamond" w:hAnsi="Garamond"/>
          <w:b/>
          <w:sz w:val="24"/>
          <w:szCs w:val="24"/>
        </w:rPr>
        <w:t>Shonová-Smoligová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2</w:t>
      </w:r>
      <w:r w:rsidRPr="00716F7B">
        <w:rPr>
          <w:rFonts w:ascii="Garamond" w:hAnsi="Garamond"/>
          <w:sz w:val="24"/>
          <w:szCs w:val="24"/>
        </w:rPr>
        <w:t xml:space="preserve">. </w:t>
      </w:r>
      <w:r w:rsidR="00F353ED" w:rsidRPr="00716F7B">
        <w:rPr>
          <w:rFonts w:ascii="Garamond" w:hAnsi="Garamond"/>
          <w:b/>
          <w:sz w:val="24"/>
          <w:szCs w:val="24"/>
        </w:rPr>
        <w:t xml:space="preserve">Mgr. </w:t>
      </w:r>
      <w:r w:rsidRPr="00716F7B">
        <w:rPr>
          <w:rFonts w:ascii="Garamond" w:hAnsi="Garamond"/>
          <w:b/>
          <w:sz w:val="24"/>
          <w:szCs w:val="24"/>
        </w:rPr>
        <w:t>Schromm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32157C">
        <w:rPr>
          <w:rFonts w:ascii="Garamond" w:hAnsi="Garamond"/>
          <w:sz w:val="24"/>
          <w:szCs w:val="24"/>
        </w:rPr>
        <w:t>3</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4</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5</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6</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7</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38</w:t>
      </w:r>
      <w:r w:rsidR="003635D2" w:rsidRPr="00716F7B">
        <w:rPr>
          <w:rFonts w:ascii="Garamond" w:hAnsi="Garamond"/>
          <w:sz w:val="24"/>
          <w:szCs w:val="24"/>
        </w:rPr>
        <w:t xml:space="preserve">. </w:t>
      </w:r>
      <w:r w:rsidR="003635D2" w:rsidRPr="00716F7B">
        <w:rPr>
          <w:rFonts w:ascii="Garamond" w:hAnsi="Garamond"/>
          <w:b/>
          <w:sz w:val="24"/>
          <w:szCs w:val="24"/>
        </w:rPr>
        <w:t>Tonnerová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32157C" w:rsidP="006A1577">
      <w:pPr>
        <w:spacing w:after="0" w:line="240" w:lineRule="auto"/>
        <w:rPr>
          <w:rFonts w:ascii="Garamond" w:hAnsi="Garamond"/>
          <w:sz w:val="24"/>
          <w:szCs w:val="24"/>
        </w:rPr>
      </w:pPr>
      <w:r>
        <w:rPr>
          <w:rFonts w:ascii="Garamond" w:hAnsi="Garamond"/>
          <w:sz w:val="24"/>
          <w:szCs w:val="24"/>
        </w:rPr>
        <w:t>39</w:t>
      </w:r>
      <w:r w:rsidR="006A1577" w:rsidRPr="00716F7B">
        <w:rPr>
          <w:rFonts w:ascii="Garamond" w:hAnsi="Garamond"/>
          <w:sz w:val="24"/>
          <w:szCs w:val="24"/>
        </w:rPr>
        <w:t xml:space="preserve">. </w:t>
      </w:r>
      <w:r w:rsidR="006A1577"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0</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1</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2</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3</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w:t>
      </w:r>
      <w:r w:rsidR="0032157C">
        <w:rPr>
          <w:rFonts w:ascii="Garamond" w:hAnsi="Garamond"/>
          <w:sz w:val="24"/>
          <w:szCs w:val="24"/>
        </w:rPr>
        <w:t>4</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32157C">
        <w:rPr>
          <w:rFonts w:ascii="Garamond" w:hAnsi="Garamond"/>
          <w:sz w:val="24"/>
          <w:szCs w:val="24"/>
        </w:rPr>
        <w:t>5</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51" w:rsidRDefault="00192851" w:rsidP="009E3F51">
      <w:pPr>
        <w:spacing w:after="0" w:line="240" w:lineRule="auto"/>
      </w:pPr>
      <w:r>
        <w:separator/>
      </w:r>
    </w:p>
  </w:endnote>
  <w:endnote w:type="continuationSeparator" w:id="0">
    <w:p w:rsidR="00192851" w:rsidRDefault="0019285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192851" w:rsidRPr="00B731FD" w:rsidRDefault="0019285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32157C">
          <w:rPr>
            <w:rFonts w:ascii="Garamond" w:hAnsi="Garamond"/>
            <w:noProof/>
          </w:rPr>
          <w:t>38</w:t>
        </w:r>
        <w:r w:rsidRPr="00B731FD">
          <w:rPr>
            <w:rFonts w:ascii="Garamond" w:hAnsi="Garamond"/>
            <w:noProof/>
          </w:rPr>
          <w:fldChar w:fldCharType="end"/>
        </w:r>
      </w:p>
    </w:sdtContent>
  </w:sdt>
  <w:p w:rsidR="00192851" w:rsidRDefault="001928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51" w:rsidRDefault="00192851" w:rsidP="009E3F51">
      <w:pPr>
        <w:spacing w:after="0" w:line="240" w:lineRule="auto"/>
      </w:pPr>
      <w:r>
        <w:separator/>
      </w:r>
    </w:p>
  </w:footnote>
  <w:footnote w:type="continuationSeparator" w:id="0">
    <w:p w:rsidR="00192851" w:rsidRDefault="0019285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1EC9"/>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DCC32-6789-40B9-A5E4-1D5D955C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13931</Words>
  <Characters>82197</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2019-12-12T09:32:00Z</cp:lastPrinted>
  <dcterms:created xsi:type="dcterms:W3CDTF">2020-08-05T07:06:00Z</dcterms:created>
  <dcterms:modified xsi:type="dcterms:W3CDTF">2020-08-05T07:12:00Z</dcterms:modified>
</cp:coreProperties>
</file>