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1D" w:rsidRDefault="00BF1B1D"/>
    <w:p w:rsidR="00BF1B1D" w:rsidRDefault="00BF1B1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F1B1D" w:rsidTr="00BF1B1D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B1D" w:rsidRDefault="00BF1B1D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OKRESNÍ SOUD V TACHOVĚ</w:t>
            </w:r>
          </w:p>
          <w:p w:rsidR="00BF1B1D" w:rsidRDefault="00BF1B1D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:rsidR="00BF1B1D" w:rsidRDefault="00BF1B1D" w:rsidP="00BF1B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          tel.: 377 867 611, fax: 377 867 650, 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</w:t>
      </w:r>
      <w:r>
        <w:rPr>
          <w:rFonts w:ascii="Garamond" w:hAnsi="Garamond"/>
          <w:sz w:val="24"/>
          <w:szCs w:val="24"/>
        </w:rPr>
        <w:t>h6nabrx</w:t>
      </w:r>
    </w:p>
    <w:p w:rsidR="00BF1B1D" w:rsidRDefault="00BF1B1D" w:rsidP="00BF1B1D">
      <w:pPr>
        <w:rPr>
          <w:rFonts w:ascii="Garamond" w:hAnsi="Garamond"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sz w:val="24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BF1B1D" w:rsidTr="00BF1B1D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B1D" w:rsidRDefault="00BF1B1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  <w:sz w:val="24"/>
                <w:szCs w:val="24"/>
              </w:rPr>
              <w:t>25 Si 106/2023</w:t>
            </w:r>
            <w:bookmarkEnd w:id="0"/>
          </w:p>
          <w:p w:rsidR="00BF1B1D" w:rsidRDefault="00BF1B1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:rsidR="00BF1B1D" w:rsidRDefault="00BF1B1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:rsidR="00BF1B1D" w:rsidRDefault="00BF1B1D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13. 7.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B1D" w:rsidRDefault="00BF1B1D">
            <w:pP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BF1B1D" w:rsidRDefault="00BF1B1D" w:rsidP="00BF1B1D">
      <w:pPr>
        <w:rPr>
          <w:rFonts w:ascii="Garamond" w:hAnsi="Garamond"/>
          <w:b/>
          <w:bCs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 </w:t>
      </w:r>
    </w:p>
    <w:p w:rsidR="00BF1B1D" w:rsidRDefault="00BF1B1D" w:rsidP="00BF1B1D">
      <w:pPr>
        <w:rPr>
          <w:rFonts w:ascii="Garamond" w:hAnsi="Garamond"/>
          <w:b/>
          <w:bCs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b/>
          <w:bCs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b/>
          <w:bCs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dle zákona č. 106/1999 Sb.</w:t>
      </w:r>
    </w:p>
    <w:p w:rsidR="00BF1B1D" w:rsidRDefault="00BF1B1D" w:rsidP="00BF1B1D">
      <w:pPr>
        <w:rPr>
          <w:rFonts w:ascii="Garamond" w:hAnsi="Garamond"/>
          <w:sz w:val="24"/>
          <w:szCs w:val="24"/>
          <w:lang w:eastAsia="cs-CZ"/>
        </w:rPr>
      </w:pPr>
    </w:p>
    <w:p w:rsidR="00BF1B1D" w:rsidRDefault="00BF1B1D" w:rsidP="00BF1B1D">
      <w:pPr>
        <w:rPr>
          <w:rFonts w:ascii="Garamond" w:hAnsi="Garamond"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Vážený pane, </w:t>
      </w:r>
    </w:p>
    <w:p w:rsidR="00BF1B1D" w:rsidRDefault="00BF1B1D" w:rsidP="00BF1B1D">
      <w:pPr>
        <w:pStyle w:val="Zkladntext"/>
        <w:rPr>
          <w:rFonts w:ascii="Garamond" w:hAnsi="Garamond"/>
        </w:rPr>
      </w:pPr>
    </w:p>
    <w:p w:rsidR="00BF1B1D" w:rsidRDefault="00BF1B1D" w:rsidP="00BF1B1D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k Vaší žádosti o informace ze dne 30. 6. 2023 Vám sděluji údaje umožňující vyhledání a získání zveřejněné informace, tj. odkazy na internetové stránky, kde se nachází informace o aktuálním rozvrhu práce na rok 2023, výkazy  na předepsaných tiskopisech, interní protikorupční program, etický kodex a instrukci k bezpečnosti informací v prostředí PC:</w:t>
      </w:r>
    </w:p>
    <w:p w:rsidR="00BF1B1D" w:rsidRDefault="00BF1B1D" w:rsidP="00BF1B1D">
      <w:pPr>
        <w:rPr>
          <w:rFonts w:ascii="Garamond" w:hAnsi="Garamond"/>
          <w:sz w:val="24"/>
          <w:szCs w:val="24"/>
        </w:rPr>
      </w:pPr>
    </w:p>
    <w:p w:rsidR="00BF1B1D" w:rsidRDefault="00BF1B1D" w:rsidP="00BF1B1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rozvrh práce 2023</w:t>
      </w:r>
    </w:p>
    <w:p w:rsidR="00BF1B1D" w:rsidRDefault="00BF1B1D" w:rsidP="00BF1B1D">
      <w:pPr>
        <w:rPr>
          <w:rFonts w:ascii="Garamond" w:hAnsi="Garamond"/>
          <w:sz w:val="24"/>
          <w:szCs w:val="24"/>
        </w:rPr>
      </w:pPr>
      <w:hyperlink r:id="rId6" w:history="1">
        <w:r>
          <w:rPr>
            <w:rStyle w:val="Hypertextovodkaz"/>
            <w:rFonts w:ascii="Garamond" w:hAnsi="Garamond"/>
            <w:sz w:val="24"/>
            <w:szCs w:val="24"/>
          </w:rPr>
          <w:t>https://www.justice.cz/web/okresni-soud-v-tachove/rozvrh-prace</w:t>
        </w:r>
      </w:hyperlink>
    </w:p>
    <w:p w:rsidR="00BF1B1D" w:rsidRDefault="00BF1B1D" w:rsidP="00BF1B1D">
      <w:pPr>
        <w:rPr>
          <w:rFonts w:ascii="Garamond" w:hAnsi="Garamond"/>
          <w:sz w:val="24"/>
          <w:szCs w:val="24"/>
        </w:rPr>
      </w:pPr>
    </w:p>
    <w:p w:rsidR="00BF1B1D" w:rsidRDefault="00BF1B1D" w:rsidP="00BF1B1D">
      <w:pPr>
        <w:pStyle w:val="Odstavecseseznamem"/>
        <w:numPr>
          <w:ilvl w:val="0"/>
          <w:numId w:val="1"/>
        </w:numPr>
        <w:rPr>
          <w:rStyle w:val="Hypertextovodkaz"/>
          <w:color w:val="auto"/>
          <w:u w:val="none"/>
        </w:rPr>
      </w:pPr>
      <w:r>
        <w:rPr>
          <w:rStyle w:val="Hypertextovodkaz"/>
          <w:rFonts w:ascii="Garamond" w:hAnsi="Garamond"/>
          <w:color w:val="auto"/>
          <w:sz w:val="24"/>
          <w:szCs w:val="24"/>
          <w:u w:val="none"/>
        </w:rPr>
        <w:t>výkazy</w:t>
      </w:r>
    </w:p>
    <w:p w:rsidR="00BF1B1D" w:rsidRDefault="00BF1B1D" w:rsidP="00BF1B1D">
      <w:pPr>
        <w:pStyle w:val="Zkladntext"/>
      </w:pPr>
      <w:hyperlink r:id="rId7" w:history="1">
        <w:r>
          <w:rPr>
            <w:rStyle w:val="Hypertextovodkaz"/>
            <w:rFonts w:ascii="Garamond" w:hAnsi="Garamond"/>
          </w:rPr>
          <w:t>https://cslav.justice.cz/InfoData/vykazy-soudu-a-statnich-zastupitelstvi.html</w:t>
        </w:r>
      </w:hyperlink>
      <w:r>
        <w:rPr>
          <w:rFonts w:ascii="Garamond" w:hAnsi="Garamond"/>
        </w:rPr>
        <w:t xml:space="preserve"> </w:t>
      </w:r>
    </w:p>
    <w:p w:rsidR="00BF1B1D" w:rsidRDefault="00BF1B1D" w:rsidP="00BF1B1D">
      <w:pPr>
        <w:pStyle w:val="Zkladntext"/>
        <w:rPr>
          <w:rFonts w:ascii="Garamond" w:hAnsi="Garamond"/>
          <w:color w:val="1F497D"/>
          <w:lang w:eastAsia="en-US"/>
        </w:rPr>
      </w:pPr>
    </w:p>
    <w:p w:rsidR="00BF1B1D" w:rsidRDefault="00BF1B1D" w:rsidP="00BF1B1D">
      <w:pPr>
        <w:pStyle w:val="Zkladntext"/>
        <w:numPr>
          <w:ilvl w:val="0"/>
          <w:numId w:val="1"/>
        </w:numPr>
        <w:rPr>
          <w:rFonts w:ascii="Garamond" w:hAnsi="Garamond"/>
          <w:color w:val="1F497D"/>
          <w:lang w:eastAsia="en-US"/>
        </w:rPr>
      </w:pPr>
      <w:r>
        <w:rPr>
          <w:rFonts w:ascii="Garamond" w:hAnsi="Garamond"/>
          <w:color w:val="1F497D"/>
          <w:lang w:eastAsia="en-US"/>
        </w:rPr>
        <w:t>interní protikorupční program</w:t>
      </w:r>
    </w:p>
    <w:p w:rsidR="00BF1B1D" w:rsidRDefault="00BF1B1D" w:rsidP="00BF1B1D">
      <w:pPr>
        <w:rPr>
          <w:rFonts w:ascii="Garamond" w:hAnsi="Garamond"/>
          <w:sz w:val="24"/>
          <w:szCs w:val="24"/>
          <w:lang w:eastAsia="cs-CZ"/>
        </w:rPr>
      </w:pPr>
    </w:p>
    <w:p w:rsidR="00BF1B1D" w:rsidRDefault="00BF1B1D" w:rsidP="00BF1B1D">
      <w:pPr>
        <w:rPr>
          <w:rFonts w:ascii="Garamond" w:hAnsi="Garamond"/>
          <w:color w:val="1F497D"/>
          <w:sz w:val="24"/>
          <w:szCs w:val="24"/>
        </w:rPr>
      </w:pPr>
      <w:hyperlink r:id="rId8" w:history="1">
        <w:r>
          <w:rPr>
            <w:rStyle w:val="Hypertextovodkaz"/>
            <w:rFonts w:ascii="Garamond" w:hAnsi="Garamond"/>
            <w:sz w:val="24"/>
            <w:szCs w:val="24"/>
          </w:rPr>
          <w:t>https://www.justice.cz/web/okresni-soud-v-tachove/zakladni-informace?clanek=interni-protikorupcni-progr-1&amp;clanek=interni-protikorupcni-progr-1</w:t>
        </w:r>
      </w:hyperlink>
    </w:p>
    <w:p w:rsidR="00BF1B1D" w:rsidRDefault="00BF1B1D" w:rsidP="00BF1B1D">
      <w:pPr>
        <w:rPr>
          <w:rFonts w:ascii="Garamond" w:hAnsi="Garamond"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      8.   instrukce k bezpečnosti informací v prostředí PC</w:t>
      </w:r>
    </w:p>
    <w:p w:rsidR="00BF1B1D" w:rsidRDefault="00BF1B1D" w:rsidP="00BF1B1D">
      <w:pPr>
        <w:rPr>
          <w:rFonts w:ascii="Garamond" w:hAnsi="Garamond"/>
          <w:color w:val="1F497D"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color w:val="1F497D"/>
          <w:sz w:val="24"/>
          <w:szCs w:val="24"/>
        </w:rPr>
      </w:pPr>
      <w:hyperlink r:id="rId9" w:history="1">
        <w:r>
          <w:rPr>
            <w:rStyle w:val="Hypertextovodkaz"/>
            <w:rFonts w:ascii="Garamond" w:hAnsi="Garamond"/>
            <w:sz w:val="24"/>
            <w:szCs w:val="24"/>
          </w:rPr>
          <w:t>https://www.google.cz/url?sa=t&amp;rct=j&amp;q=&amp;esrc=s&amp;source=web&amp;cd=&amp;ved=2ahUKEwjhoa_-9_T_AhWOhv0HHYI5C9EQFnoECA8QAQ&amp;url=https%3A%2F%2Fjustice.cz%2Fdocuments%2F12681%2F1078155%2FInstrukce%2B5_2022.docx%2F19988763-3dc5-4088-bf72-ce980db02fe2&amp;usg=AOvVaw2BSJZysKRaOLaEFI0rkEbG&amp;opi=89978449</w:t>
        </w:r>
      </w:hyperlink>
    </w:p>
    <w:p w:rsidR="00BF1B1D" w:rsidRDefault="00BF1B1D" w:rsidP="00BF1B1D">
      <w:pPr>
        <w:pStyle w:val="Zkladntext"/>
        <w:rPr>
          <w:rFonts w:ascii="Garamond" w:hAnsi="Garamond"/>
          <w:color w:val="1F497D"/>
          <w:lang w:eastAsia="en-US"/>
        </w:rPr>
      </w:pPr>
    </w:p>
    <w:p w:rsidR="00BF1B1D" w:rsidRDefault="00BF1B1D" w:rsidP="00BF1B1D">
      <w:pPr>
        <w:rPr>
          <w:rFonts w:ascii="Garamond" w:hAnsi="Garamond"/>
          <w:color w:val="1F497D"/>
          <w:sz w:val="24"/>
          <w:szCs w:val="24"/>
        </w:rPr>
      </w:pPr>
      <w:r>
        <w:rPr>
          <w:rFonts w:ascii="Garamond" w:hAnsi="Garamond"/>
          <w:color w:val="1F497D"/>
          <w:sz w:val="24"/>
          <w:szCs w:val="24"/>
        </w:rPr>
        <w:t>    </w:t>
      </w:r>
    </w:p>
    <w:p w:rsidR="00BF1B1D" w:rsidRDefault="00BF1B1D" w:rsidP="00BF1B1D">
      <w:pPr>
        <w:rPr>
          <w:rFonts w:ascii="Garamond" w:hAnsi="Garamond"/>
          <w:color w:val="1F497D"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color w:val="1F497D"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color w:val="1F497D"/>
          <w:sz w:val="24"/>
          <w:szCs w:val="24"/>
        </w:rPr>
      </w:pPr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7.    etický kodex</w:t>
      </w:r>
    </w:p>
    <w:p w:rsidR="00BF1B1D" w:rsidRDefault="00BF1B1D" w:rsidP="00BF1B1D">
      <w:pPr>
        <w:rPr>
          <w:rFonts w:ascii="Garamond" w:hAnsi="Garamond"/>
          <w:color w:val="1F497D"/>
          <w:sz w:val="24"/>
          <w:szCs w:val="24"/>
        </w:rPr>
      </w:pPr>
    </w:p>
    <w:p w:rsidR="00BF1B1D" w:rsidRDefault="00BF1B1D" w:rsidP="00BF1B1D">
      <w:pPr>
        <w:rPr>
          <w:rStyle w:val="Hypertextovodkaz"/>
        </w:rPr>
      </w:pPr>
      <w:hyperlink r:id="rId10" w:history="1">
        <w:r>
          <w:rPr>
            <w:rStyle w:val="Hypertextovodkaz"/>
            <w:rFonts w:ascii="Garamond" w:hAnsi="Garamond"/>
            <w:sz w:val="24"/>
            <w:szCs w:val="24"/>
          </w:rPr>
          <w:t>https://www.justice.cz/web/okresni-soud-v-tachove/zakladni-informace?clanek=interni-protikorupcni-progr-1&amp;clanek=interni-protikorupcni-progr-1</w:t>
        </w:r>
      </w:hyperlink>
    </w:p>
    <w:p w:rsidR="00BF1B1D" w:rsidRDefault="00BF1B1D" w:rsidP="00BF1B1D">
      <w:pPr>
        <w:rPr>
          <w:color w:val="1F497D"/>
        </w:rPr>
      </w:pPr>
    </w:p>
    <w:p w:rsidR="00BF1B1D" w:rsidRDefault="00BF1B1D" w:rsidP="00BF1B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Dále k bodu 3. sděluji, že v roce 2020 až 2022 nebyla u zdejšího soudu projednávaná škodná událost. </w:t>
      </w:r>
    </w:p>
    <w:p w:rsidR="00BF1B1D" w:rsidRDefault="00BF1B1D" w:rsidP="00BF1B1D">
      <w:pPr>
        <w:rPr>
          <w:rFonts w:ascii="Garamond" w:hAnsi="Garamond"/>
          <w:color w:val="1F497D"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color w:val="1F497D"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:rsidR="00BF1B1D" w:rsidRDefault="00BF1B1D" w:rsidP="00BF1B1D">
      <w:pPr>
        <w:rPr>
          <w:rFonts w:ascii="Garamond" w:hAnsi="Garamond"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sz w:val="24"/>
          <w:szCs w:val="24"/>
        </w:rPr>
      </w:pPr>
    </w:p>
    <w:p w:rsidR="00BF1B1D" w:rsidRDefault="00BF1B1D" w:rsidP="00BF1B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:rsidR="00BF1B1D" w:rsidRDefault="00BF1B1D" w:rsidP="00BF1B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:rsidR="00BF1B1D" w:rsidRDefault="00BF1B1D" w:rsidP="00BF1B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11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:rsidR="00BF1B1D" w:rsidRDefault="00BF1B1D" w:rsidP="00BF1B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+ 420 377 867 615</w:t>
      </w:r>
    </w:p>
    <w:p w:rsidR="00BF1B1D" w:rsidRDefault="00BF1B1D" w:rsidP="00BF1B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26C"/>
    <w:multiLevelType w:val="hybridMultilevel"/>
    <w:tmpl w:val="68EA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1D"/>
    <w:rsid w:val="004633A2"/>
    <w:rsid w:val="00B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963E"/>
  <w15:chartTrackingRefBased/>
  <w15:docId w15:val="{A78E3646-B762-4564-A3CA-2877E759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1B1D"/>
    <w:pPr>
      <w:spacing w:after="0"/>
      <w:jc w:val="left"/>
    </w:pPr>
    <w:rPr>
      <w:rFonts w:ascii="Calibri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1B1D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F1B1D"/>
    <w:pPr>
      <w:jc w:val="both"/>
    </w:pPr>
    <w:rPr>
      <w:rFonts w:ascii="Bookman Old Style" w:hAnsi="Bookman Old Style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F1B1D"/>
    <w:rPr>
      <w:rFonts w:ascii="Bookman Old Style" w:hAnsi="Bookman Old Style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1B1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ice.cz/web/okresni-soud-v-tachove/zakladni-informace?clanek=interni-protikorupcni-progr-1&amp;clanek=interni-protikorupcni-progr-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slav.justice.cz/InfoData/vykazy-soudu-a-statnich-zastupitelstvi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tice.cz/web/okresni-soud-v-tachove/rozvrh-prace" TargetMode="External"/><Relationship Id="rId11" Type="http://schemas.openxmlformats.org/officeDocument/2006/relationships/hyperlink" Target="mailto:mgraclikova@osoud.tch.justice.cz" TargetMode="External"/><Relationship Id="rId5" Type="http://schemas.openxmlformats.org/officeDocument/2006/relationships/hyperlink" Target="mailto:podatelna@osoud.tch.justice.cz" TargetMode="External"/><Relationship Id="rId10" Type="http://schemas.openxmlformats.org/officeDocument/2006/relationships/hyperlink" Target="https://www.justice.cz/web/okresni-soud-v-tachove/zakladni-informace?clanek=interni-protikorupcni-progr-1&amp;clanek=interni-protikorupcni-progr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z/url?sa=t&amp;rct=j&amp;q=&amp;esrc=s&amp;source=web&amp;cd=&amp;ved=2ahUKEwjhoa_-9_T_AhWOhv0HHYI5C9EQFnoECA8QAQ&amp;url=https%3A%2F%2Fjustice.cz%2Fdocuments%2F12681%2F1078155%2FInstrukce%2B5_2022.docx%2F19988763-3dc5-4088-bf72-ce980db02fe2&amp;usg=AOvVaw2BSJZysKRaOLaEFI0rkEbG&amp;opi=8997844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2023-07-14T04:46:00Z</dcterms:created>
  <dcterms:modified xsi:type="dcterms:W3CDTF">2023-07-14T04:47:00Z</dcterms:modified>
</cp:coreProperties>
</file>