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3C" w:rsidRPr="0016732A" w:rsidRDefault="0074733C" w:rsidP="0074733C">
      <w:pPr>
        <w:jc w:val="right"/>
      </w:pPr>
      <w:r w:rsidRPr="0016732A">
        <w:t xml:space="preserve">35 </w:t>
      </w:r>
      <w:proofErr w:type="spellStart"/>
      <w:r w:rsidRPr="0016732A">
        <w:t>Spr</w:t>
      </w:r>
      <w:proofErr w:type="spellEnd"/>
      <w:r w:rsidRPr="0016732A">
        <w:t xml:space="preserve"> 94/2023 </w:t>
      </w:r>
    </w:p>
    <w:p w:rsidR="0074733C" w:rsidRPr="0016732A" w:rsidRDefault="0074733C" w:rsidP="0074733C">
      <w:pPr>
        <w:jc w:val="right"/>
      </w:pPr>
      <w:r w:rsidRPr="0016732A">
        <w:t xml:space="preserve"> V Trutnově   </w:t>
      </w:r>
    </w:p>
    <w:p w:rsidR="0074733C" w:rsidRPr="0016732A" w:rsidRDefault="0074733C" w:rsidP="0074733C">
      <w:pPr>
        <w:spacing w:before="360" w:after="120"/>
        <w:ind w:left="1441" w:hanging="1418"/>
        <w:jc w:val="center"/>
        <w:rPr>
          <w:b/>
          <w:bCs/>
        </w:rPr>
      </w:pPr>
      <w:r w:rsidRPr="0016732A">
        <w:rPr>
          <w:b/>
          <w:bCs/>
        </w:rPr>
        <w:t>Změna rozvrhu práce Okresního soudu v Trutnově pro rok 2023</w:t>
      </w:r>
    </w:p>
    <w:p w:rsidR="0074733C" w:rsidRPr="0016732A" w:rsidRDefault="0074733C" w:rsidP="0074733C">
      <w:pPr>
        <w:spacing w:after="360"/>
        <w:ind w:left="1441" w:hanging="1418"/>
        <w:jc w:val="center"/>
        <w:rPr>
          <w:b/>
          <w:bCs/>
        </w:rPr>
      </w:pPr>
      <w:r w:rsidRPr="0016732A">
        <w:rPr>
          <w:b/>
          <w:bCs/>
        </w:rPr>
        <w:t>číslo 2</w:t>
      </w:r>
    </w:p>
    <w:p w:rsidR="0074733C" w:rsidRPr="0016732A" w:rsidRDefault="0074733C" w:rsidP="0074733C">
      <w:pPr>
        <w:spacing w:after="120"/>
        <w:jc w:val="both"/>
        <w:rPr>
          <w:b/>
          <w:bCs/>
        </w:rPr>
      </w:pPr>
      <w:r w:rsidRPr="0016732A">
        <w:t xml:space="preserve">S účinností od 16. 2. </w:t>
      </w:r>
      <w:proofErr w:type="gramStart"/>
      <w:r w:rsidRPr="0016732A">
        <w:t>2023</w:t>
      </w:r>
      <w:r w:rsidRPr="0016732A">
        <w:rPr>
          <w:b/>
          <w:bCs/>
        </w:rPr>
        <w:t xml:space="preserve">  </w:t>
      </w:r>
      <w:r w:rsidRPr="0016732A">
        <w:t>měním</w:t>
      </w:r>
      <w:proofErr w:type="gramEnd"/>
      <w:r w:rsidRPr="0016732A">
        <w:t xml:space="preserve"> rozvrh práce Okresního soudu v Trutnově vedený pod 35 </w:t>
      </w:r>
      <w:proofErr w:type="spellStart"/>
      <w:r w:rsidRPr="0016732A">
        <w:t>Spr</w:t>
      </w:r>
      <w:proofErr w:type="spellEnd"/>
      <w:r w:rsidRPr="0016732A">
        <w:t xml:space="preserve"> 1306/2022  </w:t>
      </w:r>
      <w:r w:rsidRPr="0016732A">
        <w:rPr>
          <w:b/>
          <w:bCs/>
        </w:rPr>
        <w:t>takto:</w:t>
      </w:r>
    </w:p>
    <w:p w:rsidR="0074733C" w:rsidRPr="0016732A" w:rsidRDefault="0074733C" w:rsidP="0074733C">
      <w:pPr>
        <w:spacing w:after="120"/>
        <w:jc w:val="both"/>
        <w:rPr>
          <w:b/>
          <w:bCs/>
        </w:rPr>
      </w:pPr>
    </w:p>
    <w:p w:rsidR="0074733C" w:rsidRPr="0016732A" w:rsidRDefault="0074733C" w:rsidP="0074733C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</w:rPr>
      </w:pPr>
      <w:r w:rsidRPr="0016732A">
        <w:rPr>
          <w:b/>
          <w:bCs/>
        </w:rPr>
        <w:t>Správa soudu (strana 5)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spacing w:after="120"/>
        <w:jc w:val="both"/>
        <w:rPr>
          <w:bCs/>
        </w:rPr>
      </w:pPr>
      <w:r w:rsidRPr="0016732A">
        <w:rPr>
          <w:bCs/>
        </w:rPr>
        <w:t>pracovní pozice „Referent pro hospodářské věci“ se mění na pracovní pozici „Obchodní referent“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spacing w:after="120"/>
        <w:jc w:val="both"/>
        <w:rPr>
          <w:bCs/>
        </w:rPr>
      </w:pPr>
      <w:r w:rsidRPr="0016732A">
        <w:rPr>
          <w:bCs/>
        </w:rPr>
        <w:t>zřizuje se pracovní pozice „Bezpečnostní referent“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spacing w:after="120"/>
        <w:jc w:val="both"/>
        <w:rPr>
          <w:bCs/>
        </w:rPr>
      </w:pPr>
      <w:r w:rsidRPr="0016732A">
        <w:rPr>
          <w:bCs/>
        </w:rPr>
        <w:t>doplňuje se zástup pro inventarizace – Stanislav Feik</w:t>
      </w:r>
    </w:p>
    <w:p w:rsidR="0074733C" w:rsidRPr="0016732A" w:rsidRDefault="0074733C" w:rsidP="0074733C">
      <w:pPr>
        <w:spacing w:after="120"/>
        <w:jc w:val="both"/>
        <w:rPr>
          <w:bCs/>
        </w:rPr>
      </w:pPr>
      <w:r w:rsidRPr="0016732A">
        <w:rPr>
          <w:bCs/>
        </w:rPr>
        <w:t>Tabulka na straně 5 bude v bodě dotčeném změnou v tomto znění:</w:t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74733C" w:rsidRPr="0016732A" w:rsidTr="009F7BF1">
        <w:tc>
          <w:tcPr>
            <w:tcW w:w="2694" w:type="dxa"/>
          </w:tcPr>
          <w:p w:rsidR="0074733C" w:rsidRPr="0016732A" w:rsidRDefault="0074733C" w:rsidP="009F7BF1">
            <w:pPr>
              <w:ind w:left="34"/>
            </w:pPr>
            <w:r w:rsidRPr="0016732A">
              <w:t>Obchodní referent</w:t>
            </w:r>
          </w:p>
          <w:p w:rsidR="0074733C" w:rsidRPr="0016732A" w:rsidRDefault="0074733C" w:rsidP="009F7BF1">
            <w:pPr>
              <w:ind w:left="34"/>
            </w:pPr>
            <w:r w:rsidRPr="0016732A">
              <w:t>Bezpečnostní referent</w:t>
            </w:r>
          </w:p>
        </w:tc>
        <w:tc>
          <w:tcPr>
            <w:tcW w:w="5479" w:type="dxa"/>
          </w:tcPr>
          <w:p w:rsidR="0074733C" w:rsidRPr="0016732A" w:rsidRDefault="0074733C" w:rsidP="009F7BF1">
            <w:pPr>
              <w:ind w:left="34"/>
              <w:rPr>
                <w:b/>
              </w:rPr>
            </w:pPr>
            <w:r w:rsidRPr="0016732A">
              <w:rPr>
                <w:b/>
              </w:rPr>
              <w:t>Lenka Jankovičová</w:t>
            </w:r>
          </w:p>
        </w:tc>
        <w:tc>
          <w:tcPr>
            <w:tcW w:w="2553" w:type="dxa"/>
          </w:tcPr>
          <w:p w:rsidR="0074733C" w:rsidRPr="0016732A" w:rsidRDefault="0074733C" w:rsidP="009F7BF1">
            <w:r w:rsidRPr="0016732A">
              <w:t>P. Hnyková</w:t>
            </w:r>
          </w:p>
          <w:p w:rsidR="0074733C" w:rsidRPr="0016732A" w:rsidRDefault="0074733C" w:rsidP="009F7BF1">
            <w:r w:rsidRPr="0016732A">
              <w:t>L. Hanušová</w:t>
            </w:r>
          </w:p>
          <w:p w:rsidR="0074733C" w:rsidRPr="0016732A" w:rsidRDefault="0074733C" w:rsidP="009F7BF1">
            <w:r w:rsidRPr="0016732A">
              <w:t>D. Pokorná</w:t>
            </w:r>
          </w:p>
          <w:p w:rsidR="0074733C" w:rsidRPr="0016732A" w:rsidRDefault="0074733C" w:rsidP="009F7BF1">
            <w:r w:rsidRPr="0016732A">
              <w:t>pro inventarizaci S. Feik</w:t>
            </w:r>
          </w:p>
        </w:tc>
      </w:tr>
    </w:tbl>
    <w:p w:rsidR="0074733C" w:rsidRPr="0016732A" w:rsidRDefault="0074733C" w:rsidP="0074733C">
      <w:pPr>
        <w:spacing w:after="120"/>
        <w:jc w:val="both"/>
        <w:rPr>
          <w:bCs/>
        </w:rPr>
      </w:pPr>
    </w:p>
    <w:p w:rsidR="0074733C" w:rsidRPr="0016732A" w:rsidRDefault="0074733C" w:rsidP="0074733C">
      <w:pPr>
        <w:spacing w:after="120"/>
        <w:jc w:val="both"/>
        <w:rPr>
          <w:i/>
        </w:rPr>
      </w:pPr>
      <w:r w:rsidRPr="0016732A">
        <w:rPr>
          <w:i/>
        </w:rPr>
        <w:t>Důvodem změny je upřesnění pracovních pozic ve smyslu novely Nařízení vlády, kterým se mění nařízení vlády č. 222/2010 Sb., o katalogu prací ve veřejných službách a správě, ve znění pozdějších předpisů, a doplnění zástupu pro inventarizace, který dosud nebyl stanoven.</w:t>
      </w:r>
    </w:p>
    <w:p w:rsidR="0074733C" w:rsidRPr="0016732A" w:rsidRDefault="0074733C" w:rsidP="0074733C"/>
    <w:p w:rsidR="0074733C" w:rsidRPr="0016732A" w:rsidRDefault="0074733C" w:rsidP="0074733C">
      <w:pPr>
        <w:pStyle w:val="Odstavecseseznamem"/>
        <w:numPr>
          <w:ilvl w:val="0"/>
          <w:numId w:val="1"/>
        </w:numPr>
        <w:rPr>
          <w:b/>
        </w:rPr>
      </w:pPr>
      <w:r w:rsidRPr="0016732A">
        <w:rPr>
          <w:b/>
        </w:rPr>
        <w:t>Občanskoprávní agenda</w:t>
      </w:r>
    </w:p>
    <w:p w:rsidR="0074733C" w:rsidRPr="0016732A" w:rsidRDefault="0074733C" w:rsidP="0074733C">
      <w:pPr>
        <w:pStyle w:val="Odstavecseseznamem"/>
        <w:rPr>
          <w:b/>
        </w:rPr>
      </w:pPr>
      <w:r w:rsidRPr="0016732A">
        <w:rPr>
          <w:b/>
        </w:rPr>
        <w:t>Obecné zásady pro přidělování a zápis občanskoprávní agendy (strana 19-20)</w:t>
      </w:r>
    </w:p>
    <w:p w:rsidR="0074733C" w:rsidRPr="0016732A" w:rsidRDefault="0074733C" w:rsidP="0074733C">
      <w:pPr>
        <w:pStyle w:val="Odstavecseseznamem"/>
        <w:rPr>
          <w:b/>
        </w:rPr>
      </w:pPr>
      <w:r w:rsidRPr="0016732A">
        <w:rPr>
          <w:b/>
        </w:rPr>
        <w:t>Elektronické platební rozkazy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</w:pPr>
      <w:r w:rsidRPr="0016732A">
        <w:t>zrušuje se řešitelský tým č. 4.</w:t>
      </w:r>
    </w:p>
    <w:p w:rsidR="0074733C" w:rsidRPr="0016732A" w:rsidRDefault="0074733C" w:rsidP="0074733C"/>
    <w:p w:rsidR="0074733C" w:rsidRPr="0016732A" w:rsidRDefault="0074733C" w:rsidP="0074733C">
      <w:r w:rsidRPr="0016732A">
        <w:t>Tabulka na straně 19-20 bude v bodě dotčené změnou v tomto znění:</w:t>
      </w:r>
    </w:p>
    <w:p w:rsidR="0074733C" w:rsidRPr="0016732A" w:rsidRDefault="0074733C" w:rsidP="0074733C"/>
    <w:tbl>
      <w:tblPr>
        <w:tblStyle w:val="Mkatabulky2"/>
        <w:tblW w:w="8897" w:type="dxa"/>
        <w:tblInd w:w="392" w:type="dxa"/>
        <w:tblLook w:val="04A0" w:firstRow="1" w:lastRow="0" w:firstColumn="1" w:lastColumn="0" w:noHBand="0" w:noVBand="1"/>
      </w:tblPr>
      <w:tblGrid>
        <w:gridCol w:w="1843"/>
        <w:gridCol w:w="4430"/>
        <w:gridCol w:w="2624"/>
      </w:tblGrid>
      <w:tr w:rsidR="0074733C" w:rsidRPr="0016732A" w:rsidTr="009F7BF1">
        <w:trPr>
          <w:trHeight w:val="284"/>
        </w:trPr>
        <w:tc>
          <w:tcPr>
            <w:tcW w:w="1843" w:type="dxa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b/>
                <w:sz w:val="22"/>
                <w:szCs w:val="22"/>
                <w:lang w:eastAsia="en-US"/>
              </w:rPr>
              <w:t>Řešitelský tým</w:t>
            </w:r>
          </w:p>
        </w:tc>
        <w:tc>
          <w:tcPr>
            <w:tcW w:w="4430" w:type="dxa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b/>
                <w:sz w:val="22"/>
                <w:szCs w:val="22"/>
                <w:lang w:eastAsia="en-US"/>
              </w:rPr>
              <w:t>Vyšší soudní úřednice/soudní tajemník, vedoucí kanceláře zapisovatelka</w:t>
            </w:r>
          </w:p>
        </w:tc>
        <w:tc>
          <w:tcPr>
            <w:tcW w:w="2624" w:type="dxa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b/>
                <w:sz w:val="22"/>
                <w:szCs w:val="22"/>
                <w:lang w:eastAsia="en-US"/>
              </w:rPr>
              <w:t>Nadřízený soudce</w:t>
            </w:r>
          </w:p>
        </w:tc>
      </w:tr>
      <w:tr w:rsidR="0074733C" w:rsidRPr="0016732A" w:rsidTr="009F7BF1">
        <w:trPr>
          <w:trHeight w:val="284"/>
        </w:trPr>
        <w:tc>
          <w:tcPr>
            <w:tcW w:w="1843" w:type="dxa"/>
            <w:vAlign w:val="center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430" w:type="dxa"/>
            <w:vAlign w:val="center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>Mgr. Eliška Hanušová</w:t>
            </w:r>
          </w:p>
        </w:tc>
        <w:tc>
          <w:tcPr>
            <w:tcW w:w="2624" w:type="dxa"/>
            <w:vAlign w:val="center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>JUDr. Tomáš Suchánek</w:t>
            </w:r>
          </w:p>
        </w:tc>
      </w:tr>
      <w:tr w:rsidR="0074733C" w:rsidRPr="0016732A" w:rsidTr="009F7BF1">
        <w:trPr>
          <w:trHeight w:val="284"/>
        </w:trPr>
        <w:tc>
          <w:tcPr>
            <w:tcW w:w="1843" w:type="dxa"/>
            <w:vAlign w:val="center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430" w:type="dxa"/>
            <w:vAlign w:val="center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>Bc. Radka Řezníčková</w:t>
            </w:r>
          </w:p>
        </w:tc>
        <w:tc>
          <w:tcPr>
            <w:tcW w:w="2624" w:type="dxa"/>
            <w:vAlign w:val="center"/>
            <w:hideMark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>JUDr. Tomáš Suchánek</w:t>
            </w:r>
          </w:p>
        </w:tc>
      </w:tr>
      <w:tr w:rsidR="0074733C" w:rsidRPr="0016732A" w:rsidTr="009F7BF1">
        <w:trPr>
          <w:trHeight w:val="284"/>
        </w:trPr>
        <w:tc>
          <w:tcPr>
            <w:tcW w:w="1843" w:type="dxa"/>
            <w:vAlign w:val="center"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30" w:type="dxa"/>
            <w:vAlign w:val="center"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>Bc. Monika Syrová</w:t>
            </w:r>
          </w:p>
        </w:tc>
        <w:tc>
          <w:tcPr>
            <w:tcW w:w="2624" w:type="dxa"/>
            <w:vAlign w:val="center"/>
          </w:tcPr>
          <w:p w:rsidR="0074733C" w:rsidRPr="0016732A" w:rsidRDefault="0074733C" w:rsidP="009F7BF1">
            <w:pPr>
              <w:autoSpaceDE w:val="0"/>
              <w:autoSpaceDN w:val="0"/>
              <w:spacing w:after="120"/>
              <w:rPr>
                <w:rFonts w:cs="Arial"/>
                <w:sz w:val="22"/>
                <w:szCs w:val="22"/>
                <w:lang w:eastAsia="en-US"/>
              </w:rPr>
            </w:pPr>
            <w:r w:rsidRPr="0016732A">
              <w:rPr>
                <w:rFonts w:cs="Arial"/>
                <w:sz w:val="22"/>
                <w:szCs w:val="22"/>
                <w:lang w:eastAsia="en-US"/>
              </w:rPr>
              <w:t>JUDr. Tomáš Suchánek</w:t>
            </w:r>
          </w:p>
        </w:tc>
      </w:tr>
    </w:tbl>
    <w:p w:rsidR="0074733C" w:rsidRPr="0016732A" w:rsidRDefault="0074733C" w:rsidP="0074733C">
      <w:pPr>
        <w:pStyle w:val="Odstavecseseznamem"/>
        <w:rPr>
          <w:b/>
        </w:rPr>
      </w:pPr>
    </w:p>
    <w:p w:rsidR="0074733C" w:rsidRPr="0016732A" w:rsidRDefault="0074733C" w:rsidP="0074733C">
      <w:pPr>
        <w:pStyle w:val="Odstavecseseznamem"/>
        <w:jc w:val="both"/>
        <w:rPr>
          <w:i/>
        </w:rPr>
      </w:pPr>
      <w:r w:rsidRPr="0016732A">
        <w:rPr>
          <w:i/>
        </w:rPr>
        <w:t xml:space="preserve">Důvodem změny je přeřazení Jana </w:t>
      </w:r>
      <w:proofErr w:type="spellStart"/>
      <w:r w:rsidRPr="0016732A">
        <w:rPr>
          <w:i/>
        </w:rPr>
        <w:t>Ildži</w:t>
      </w:r>
      <w:proofErr w:type="spellEnd"/>
      <w:r w:rsidRPr="0016732A">
        <w:rPr>
          <w:i/>
        </w:rPr>
        <w:t xml:space="preserve"> na pozici soudního tajemníka v opatrovnické agendě.</w:t>
      </w:r>
    </w:p>
    <w:p w:rsidR="0074733C" w:rsidRPr="0016732A" w:rsidRDefault="0074733C" w:rsidP="0074733C">
      <w:pPr>
        <w:jc w:val="both"/>
        <w:rPr>
          <w:i/>
        </w:rPr>
      </w:pPr>
    </w:p>
    <w:p w:rsidR="0074733C" w:rsidRPr="0016732A" w:rsidRDefault="0074733C" w:rsidP="0074733C">
      <w:pPr>
        <w:pStyle w:val="Odstavecseseznamem"/>
        <w:numPr>
          <w:ilvl w:val="0"/>
          <w:numId w:val="1"/>
        </w:numPr>
        <w:jc w:val="both"/>
      </w:pPr>
      <w:r w:rsidRPr="0016732A">
        <w:rPr>
          <w:b/>
        </w:rPr>
        <w:t>Soudci občanskoprávní agendy</w:t>
      </w:r>
      <w:r w:rsidRPr="0016732A">
        <w:t xml:space="preserve"> (strana 20-23)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jc w:val="both"/>
      </w:pPr>
      <w:r w:rsidRPr="0016732A">
        <w:t>v soudním oddělení 7 C se kromě 7 EVC zastavuje nápad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jc w:val="both"/>
      </w:pPr>
      <w:r w:rsidRPr="0016732A">
        <w:t>v soudním oddělení 13 se ruší specializace EPOU (Evropský příkaz k obstavení účtu)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jc w:val="both"/>
      </w:pPr>
      <w:r w:rsidRPr="0016732A">
        <w:t>do soudního oddělení 26 se doplňuje specializace EPOU (Evropský příkaz k obstavení účtu)</w:t>
      </w:r>
    </w:p>
    <w:p w:rsidR="0074733C" w:rsidRPr="0016732A" w:rsidRDefault="0074733C" w:rsidP="0074733C">
      <w:pPr>
        <w:pStyle w:val="Odstavecseseznamem"/>
        <w:jc w:val="both"/>
      </w:pPr>
    </w:p>
    <w:p w:rsidR="0074733C" w:rsidRPr="0016732A" w:rsidRDefault="0074733C" w:rsidP="0074733C">
      <w:pPr>
        <w:jc w:val="both"/>
      </w:pPr>
    </w:p>
    <w:p w:rsidR="0074733C" w:rsidRPr="0016732A" w:rsidRDefault="0074733C" w:rsidP="0074733C">
      <w:pPr>
        <w:jc w:val="both"/>
      </w:pPr>
    </w:p>
    <w:p w:rsidR="0074733C" w:rsidRPr="0016732A" w:rsidRDefault="0074733C" w:rsidP="0074733C">
      <w:pPr>
        <w:jc w:val="both"/>
      </w:pPr>
      <w:r w:rsidRPr="0016732A">
        <w:t>Tabulka na straně 20-23 bude v bodech dotčených změnou v tomto znění:</w:t>
      </w:r>
    </w:p>
    <w:p w:rsidR="0074733C" w:rsidRPr="0016732A" w:rsidRDefault="0074733C" w:rsidP="0074733C">
      <w:pPr>
        <w:jc w:val="both"/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74733C" w:rsidRPr="0016732A" w:rsidTr="009F7BF1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7 C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  <w:rPr>
                <w:strike/>
              </w:rPr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4733C" w:rsidRPr="0016732A" w:rsidRDefault="0074733C" w:rsidP="009F7BF1">
            <w:pPr>
              <w:spacing w:after="360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>JUDr. Jiří Vošvrda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JUDr. Pavla Novotná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JUDr. Michaela Koblasová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Mgr. Naděžda Vaňurová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Mgr. Gabriela Řezníčková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JUDr. Tomáš Suchánek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Mgr. Pavla Ondráčková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JUDr. Irena Šolínová</w:t>
            </w:r>
          </w:p>
          <w:p w:rsidR="0074733C" w:rsidRPr="0016732A" w:rsidRDefault="0074733C" w:rsidP="009F7BF1">
            <w:pPr>
              <w:ind w:firstLine="170"/>
              <w:jc w:val="center"/>
            </w:pPr>
          </w:p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  <w:rPr>
                <w:strike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107 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7 EVC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ostatní věci EVC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7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oddíl </w:t>
            </w:r>
            <w:proofErr w:type="spellStart"/>
            <w:r w:rsidRPr="0016732A">
              <w:t>EvET</w:t>
            </w:r>
            <w:proofErr w:type="spellEnd"/>
            <w:r w:rsidRPr="0016732A">
              <w:t xml:space="preserve">, specializace </w:t>
            </w:r>
            <w:proofErr w:type="spellStart"/>
            <w:r w:rsidRPr="0016732A"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4733C" w:rsidRPr="0016732A" w:rsidRDefault="0074733C" w:rsidP="0074733C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Všeobecný, specializace ZÁSTAVA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733C" w:rsidRPr="0016732A" w:rsidRDefault="0074733C" w:rsidP="009F7BF1"/>
        </w:tc>
      </w:tr>
      <w:tr w:rsidR="0074733C" w:rsidRPr="0016732A" w:rsidTr="009F7BF1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7 Cd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</w:tbl>
    <w:p w:rsidR="0074733C" w:rsidRPr="0016732A" w:rsidRDefault="0074733C" w:rsidP="0074733C">
      <w:pPr>
        <w:jc w:val="both"/>
      </w:pPr>
    </w:p>
    <w:p w:rsidR="0074733C" w:rsidRPr="0016732A" w:rsidRDefault="0074733C" w:rsidP="0074733C">
      <w:pPr>
        <w:jc w:val="both"/>
        <w:rPr>
          <w:i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74733C" w:rsidRPr="0016732A" w:rsidTr="009F7BF1">
        <w:trPr>
          <w:trHeight w:val="1128"/>
          <w:jc w:val="center"/>
        </w:trPr>
        <w:tc>
          <w:tcPr>
            <w:tcW w:w="1514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13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  <w:p w:rsidR="0074733C" w:rsidRPr="0016732A" w:rsidRDefault="0074733C" w:rsidP="009F7BF1">
            <w:pPr>
              <w:jc w:val="center"/>
            </w:pPr>
          </w:p>
          <w:p w:rsidR="0074733C" w:rsidRPr="0016732A" w:rsidRDefault="0074733C" w:rsidP="009F7BF1">
            <w:pPr>
              <w:jc w:val="center"/>
            </w:pPr>
          </w:p>
        </w:tc>
        <w:tc>
          <w:tcPr>
            <w:tcW w:w="4038" w:type="dxa"/>
            <w:tcBorders>
              <w:top w:val="single" w:sz="12" w:space="0" w:color="auto"/>
              <w:bottom w:val="single" w:sz="2" w:space="0" w:color="auto"/>
            </w:tcBorders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Všeobecný, specializace ZÁSTAVA</w:t>
            </w:r>
          </w:p>
          <w:p w:rsidR="0074733C" w:rsidRPr="0016732A" w:rsidRDefault="0074733C" w:rsidP="009F7BF1"/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4733C" w:rsidRPr="0016732A" w:rsidRDefault="0074733C" w:rsidP="009F7BF1">
            <w:pPr>
              <w:spacing w:after="120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 xml:space="preserve">Mgr. Lenka Hamplová 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Mgr. Miloslava Mervartová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JUDr. Jiří Vošvrda</w:t>
            </w:r>
          </w:p>
          <w:p w:rsidR="0074733C" w:rsidRPr="0016732A" w:rsidRDefault="0074733C" w:rsidP="009F7BF1">
            <w:pPr>
              <w:spacing w:line="254" w:lineRule="auto"/>
              <w:jc w:val="both"/>
              <w:rPr>
                <w:bCs/>
              </w:rPr>
            </w:pPr>
          </w:p>
          <w:p w:rsidR="0074733C" w:rsidRPr="0016732A" w:rsidRDefault="0074733C" w:rsidP="009F7BF1">
            <w:pPr>
              <w:spacing w:line="254" w:lineRule="auto"/>
              <w:jc w:val="both"/>
              <w:rPr>
                <w:bCs/>
                <w:strike/>
              </w:rPr>
            </w:pPr>
            <w:r w:rsidRPr="0016732A">
              <w:rPr>
                <w:bCs/>
                <w:strike/>
              </w:rPr>
              <w:t xml:space="preserve"> </w:t>
            </w:r>
          </w:p>
          <w:p w:rsidR="0074733C" w:rsidRPr="0016732A" w:rsidRDefault="0074733C" w:rsidP="009F7BF1">
            <w:pPr>
              <w:spacing w:line="254" w:lineRule="auto"/>
              <w:jc w:val="both"/>
              <w:rPr>
                <w:b/>
                <w:bCs/>
              </w:rPr>
            </w:pPr>
          </w:p>
        </w:tc>
      </w:tr>
      <w:tr w:rsidR="0074733C" w:rsidRPr="0016732A" w:rsidTr="009F7BF1">
        <w:trPr>
          <w:trHeight w:val="691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13 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žaloby pro zmatečnost, pokud bylo ve věci rozhodováno v soudním oddělení 26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  <w:bCs/>
              </w:rPr>
            </w:pPr>
          </w:p>
        </w:tc>
      </w:tr>
    </w:tbl>
    <w:p w:rsidR="0074733C" w:rsidRPr="0016732A" w:rsidRDefault="0074733C" w:rsidP="0074733C">
      <w:pPr>
        <w:jc w:val="both"/>
        <w:rPr>
          <w:i/>
        </w:rPr>
      </w:pPr>
    </w:p>
    <w:p w:rsidR="0074733C" w:rsidRPr="0016732A" w:rsidRDefault="0074733C" w:rsidP="0074733C">
      <w:pPr>
        <w:jc w:val="both"/>
        <w:rPr>
          <w:i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74733C" w:rsidRPr="0016732A" w:rsidTr="009F7BF1">
        <w:trPr>
          <w:trHeight w:val="65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26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</w:tc>
        <w:tc>
          <w:tcPr>
            <w:tcW w:w="40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74733C" w:rsidRPr="0016732A" w:rsidRDefault="0074733C" w:rsidP="009F7BF1">
            <w:pPr>
              <w:spacing w:after="120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>Mgr. Miloslava Mervartová</w:t>
            </w:r>
          </w:p>
          <w:p w:rsidR="0074733C" w:rsidRPr="0016732A" w:rsidRDefault="0074733C" w:rsidP="009F7BF1">
            <w:pPr>
              <w:jc w:val="both"/>
              <w:rPr>
                <w:bCs/>
              </w:rPr>
            </w:pPr>
            <w:r w:rsidRPr="0016732A">
              <w:rPr>
                <w:bCs/>
              </w:rPr>
              <w:t>Mgr. Lenka Hamplová</w:t>
            </w:r>
          </w:p>
          <w:p w:rsidR="0074733C" w:rsidRPr="0016732A" w:rsidRDefault="0074733C" w:rsidP="009F7BF1">
            <w:pPr>
              <w:jc w:val="both"/>
              <w:rPr>
                <w:b/>
                <w:bCs/>
              </w:rPr>
            </w:pPr>
            <w:r w:rsidRPr="0016732A">
              <w:rPr>
                <w:bCs/>
              </w:rPr>
              <w:t>JUDr. Jiří Vošvrda</w:t>
            </w:r>
          </w:p>
        </w:tc>
      </w:tr>
      <w:tr w:rsidR="0074733C" w:rsidRPr="0016732A" w:rsidTr="009F7BF1">
        <w:trPr>
          <w:trHeight w:val="691"/>
          <w:jc w:val="center"/>
        </w:trPr>
        <w:tc>
          <w:tcPr>
            <w:tcW w:w="15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3C" w:rsidRPr="0016732A" w:rsidRDefault="0074733C" w:rsidP="009F7BF1">
            <w:pPr>
              <w:ind w:left="176" w:hanging="6"/>
            </w:pPr>
            <w:r w:rsidRPr="0016732A">
              <w:t>oddíl Všeobecný, specializace EPOU (Evropský příkaz k obstavení účtu)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4733C" w:rsidRPr="0016732A" w:rsidRDefault="0074733C" w:rsidP="009F7BF1">
            <w:pPr>
              <w:rPr>
                <w:b/>
                <w:bCs/>
              </w:rPr>
            </w:pPr>
          </w:p>
        </w:tc>
      </w:tr>
      <w:tr w:rsidR="0074733C" w:rsidRPr="0016732A" w:rsidTr="009F7BF1">
        <w:trPr>
          <w:trHeight w:val="691"/>
          <w:jc w:val="center"/>
        </w:trPr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26 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žaloby pro zmatečnost, pokud bylo ve věci rozhodováno v soudním oddělení 7 a 13 včetně věcí podřízených VSÚ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  <w:bCs/>
              </w:rPr>
            </w:pPr>
          </w:p>
        </w:tc>
      </w:tr>
    </w:tbl>
    <w:p w:rsidR="0074733C" w:rsidRPr="0016732A" w:rsidRDefault="0074733C" w:rsidP="0074733C">
      <w:pPr>
        <w:jc w:val="both"/>
        <w:rPr>
          <w:i/>
        </w:rPr>
      </w:pPr>
    </w:p>
    <w:p w:rsidR="0074733C" w:rsidRPr="0016732A" w:rsidRDefault="0074733C" w:rsidP="0074733C">
      <w:pPr>
        <w:jc w:val="both"/>
        <w:rPr>
          <w:i/>
          <w:szCs w:val="22"/>
        </w:rPr>
      </w:pPr>
      <w:r w:rsidRPr="0016732A">
        <w:rPr>
          <w:i/>
        </w:rPr>
        <w:t>Důvodem změny je zvýšení nápadu v soudním oddělení 7 v opatrovnické agendě</w:t>
      </w:r>
      <w:r w:rsidRPr="0016732A">
        <w:rPr>
          <w:i/>
          <w:szCs w:val="22"/>
        </w:rPr>
        <w:t xml:space="preserve"> pro zajištění stejného pracovního vytížení jednotlivých soudních oddělení. Důvodem přesunu specializace EPOU je zajištění rovnoměrného vytížení soudců zařazených na občanskoprávním úseku a zároveň na exekučním oddělení. </w:t>
      </w:r>
    </w:p>
    <w:p w:rsidR="0074733C" w:rsidRPr="0016732A" w:rsidRDefault="0074733C" w:rsidP="0074733C">
      <w:pPr>
        <w:jc w:val="both"/>
        <w:rPr>
          <w:i/>
        </w:rPr>
      </w:pPr>
    </w:p>
    <w:p w:rsidR="0074733C" w:rsidRPr="0016732A" w:rsidRDefault="0074733C" w:rsidP="0074733C">
      <w:pPr>
        <w:pStyle w:val="Odstavecseseznamem"/>
        <w:rPr>
          <w:b/>
        </w:rPr>
      </w:pPr>
    </w:p>
    <w:p w:rsidR="0074733C" w:rsidRPr="0016732A" w:rsidRDefault="0074733C" w:rsidP="0074733C">
      <w:pPr>
        <w:pStyle w:val="Odstavecseseznamem"/>
        <w:numPr>
          <w:ilvl w:val="0"/>
          <w:numId w:val="1"/>
        </w:numPr>
      </w:pPr>
      <w:r w:rsidRPr="0016732A">
        <w:rPr>
          <w:b/>
        </w:rPr>
        <w:t xml:space="preserve">Vyšší soudní úředníci a tajemníci občanskoprávní agendy </w:t>
      </w:r>
      <w:r w:rsidRPr="0016732A">
        <w:t>(strana 23-25)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</w:pPr>
      <w:r w:rsidRPr="0016732A">
        <w:t xml:space="preserve">soudní tajemník Jan Ildža se vypouští ze zastupování a z vykonávání agendy soudního tajemníka na </w:t>
      </w:r>
      <w:proofErr w:type="gramStart"/>
      <w:r w:rsidRPr="0016732A">
        <w:t>občanskoprávní</w:t>
      </w:r>
      <w:proofErr w:type="gramEnd"/>
      <w:r w:rsidRPr="0016732A">
        <w:t xml:space="preserve"> úseku 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</w:pPr>
      <w:r w:rsidRPr="0016732A">
        <w:t xml:space="preserve">soudní tajemnici Romaně </w:t>
      </w:r>
      <w:proofErr w:type="spellStart"/>
      <w:r w:rsidRPr="0016732A">
        <w:t>Kumstové</w:t>
      </w:r>
      <w:proofErr w:type="spellEnd"/>
      <w:r w:rsidRPr="0016732A">
        <w:t xml:space="preserve"> se přiřazuje agenda rozhodování a provádění úkonů ve věcech 116 C, 119 C a </w:t>
      </w:r>
      <w:proofErr w:type="gramStart"/>
      <w:r w:rsidRPr="0016732A">
        <w:t>130 C  do</w:t>
      </w:r>
      <w:proofErr w:type="gramEnd"/>
      <w:r w:rsidRPr="0016732A">
        <w:t xml:space="preserve"> doby podání včasného odporu oprávněnou osobou, zrušení platebního rozkazu či v případě, že nebude možné platební rozkaz vydat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jc w:val="both"/>
      </w:pPr>
      <w:r w:rsidRPr="0016732A">
        <w:t xml:space="preserve">soudní tajemnici Romaně </w:t>
      </w:r>
      <w:proofErr w:type="spellStart"/>
      <w:r w:rsidRPr="0016732A">
        <w:t>Kumstové</w:t>
      </w:r>
      <w:proofErr w:type="spellEnd"/>
      <w:r w:rsidRPr="0016732A">
        <w:t xml:space="preserve"> se odebírá výkon agendy evidence insolvenčního řízení, zápisů rozhodčí agendy a provádění </w:t>
      </w:r>
      <w:r w:rsidRPr="0016732A">
        <w:rPr>
          <w:bCs/>
          <w:lang w:eastAsia="en-US"/>
        </w:rPr>
        <w:t xml:space="preserve">úkonů na pokyn soudce dle instrukce </w:t>
      </w:r>
      <w:proofErr w:type="spellStart"/>
      <w:r w:rsidRPr="0016732A">
        <w:rPr>
          <w:bCs/>
          <w:lang w:eastAsia="en-US"/>
        </w:rPr>
        <w:t>MSp</w:t>
      </w:r>
      <w:proofErr w:type="spellEnd"/>
      <w:r w:rsidRPr="0016732A">
        <w:rPr>
          <w:bCs/>
          <w:lang w:eastAsia="en-US"/>
        </w:rPr>
        <w:t xml:space="preserve"> č. 20/2002-Sm v platném znění v soudních odděleních 9 C, 109 C, 14 C, 114 C, 15 C, 115 C v celém rozsahu 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jc w:val="both"/>
      </w:pPr>
      <w:r w:rsidRPr="0016732A">
        <w:rPr>
          <w:bCs/>
          <w:lang w:eastAsia="en-US"/>
        </w:rPr>
        <w:t xml:space="preserve">soudnímu tajemníkovi Stanislavu </w:t>
      </w:r>
      <w:proofErr w:type="spellStart"/>
      <w:r w:rsidRPr="0016732A">
        <w:rPr>
          <w:bCs/>
          <w:lang w:eastAsia="en-US"/>
        </w:rPr>
        <w:t>Feikovi</w:t>
      </w:r>
      <w:proofErr w:type="spellEnd"/>
      <w:r w:rsidRPr="0016732A">
        <w:rPr>
          <w:bCs/>
          <w:lang w:eastAsia="en-US"/>
        </w:rPr>
        <w:t xml:space="preserve"> se přiřazuje výkon agendy </w:t>
      </w:r>
      <w:r w:rsidRPr="0016732A">
        <w:t xml:space="preserve">evidence insolvenčního řízení, zápisů rozhodčí agendy a provádění </w:t>
      </w:r>
      <w:r w:rsidRPr="0016732A">
        <w:rPr>
          <w:bCs/>
        </w:rPr>
        <w:t xml:space="preserve">úkonů na pokyn soudce dle vyhlášky č. 403/2022 Sb. v platném znění ve všech soudních odděleních C v celém rozsahu  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jc w:val="both"/>
      </w:pPr>
      <w:r w:rsidRPr="0016732A">
        <w:rPr>
          <w:bCs/>
        </w:rPr>
        <w:t xml:space="preserve">soudní tajemnice Hana Hůlková se zařazuje jako zastupující Stanislava </w:t>
      </w:r>
      <w:proofErr w:type="spellStart"/>
      <w:r w:rsidRPr="0016732A">
        <w:rPr>
          <w:bCs/>
        </w:rPr>
        <w:t>Feika</w:t>
      </w:r>
      <w:proofErr w:type="spellEnd"/>
      <w:r w:rsidRPr="0016732A">
        <w:rPr>
          <w:bCs/>
        </w:rPr>
        <w:t xml:space="preserve"> pro </w:t>
      </w:r>
      <w:r w:rsidRPr="0016732A">
        <w:t xml:space="preserve">provádění </w:t>
      </w:r>
      <w:r w:rsidRPr="0016732A">
        <w:rPr>
          <w:bCs/>
        </w:rPr>
        <w:t xml:space="preserve">úkonů na pokyn soudce dle vyhlášky č. 403/2022 Sb. v platném znění ve všech soudních odděleních C v celém rozsahu  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jc w:val="both"/>
      </w:pPr>
      <w:r w:rsidRPr="0016732A">
        <w:t xml:space="preserve">soudní tajemnici Haně Hůlkové se odebírá agenda </w:t>
      </w:r>
      <w:r w:rsidRPr="0016732A">
        <w:rPr>
          <w:bCs/>
          <w:szCs w:val="22"/>
          <w:lang w:eastAsia="en-US"/>
        </w:rPr>
        <w:t xml:space="preserve">provádění úkonů na pokyn soudce dle instrukce </w:t>
      </w:r>
      <w:proofErr w:type="spellStart"/>
      <w:r w:rsidRPr="0016732A">
        <w:rPr>
          <w:bCs/>
          <w:szCs w:val="22"/>
          <w:lang w:eastAsia="en-US"/>
        </w:rPr>
        <w:t>MSp</w:t>
      </w:r>
      <w:proofErr w:type="spellEnd"/>
      <w:r w:rsidRPr="0016732A">
        <w:rPr>
          <w:bCs/>
          <w:szCs w:val="22"/>
          <w:lang w:eastAsia="en-US"/>
        </w:rPr>
        <w:t xml:space="preserve"> č. 20/2002-Sm v platném znění v soudních odděleních 6 C, 106 C, 7 C, 107 C a přiřazuje se jí agenda </w:t>
      </w:r>
      <w:r w:rsidRPr="0016732A">
        <w:rPr>
          <w:lang w:eastAsia="en-US"/>
        </w:rPr>
        <w:t>50 % výslechů civilního dožádání agendy 0 Cd (mimo dožádání v exekučních, opatrovnických a dědických věcech) s výjimkou věcí s cizím prvkem, pokud nejsou výslovně svěřeny jinému zaměstnanci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jc w:val="both"/>
      </w:pPr>
      <w:r w:rsidRPr="0016732A">
        <w:rPr>
          <w:lang w:eastAsia="en-US"/>
        </w:rPr>
        <w:t xml:space="preserve">nadřízeného řešitele soudní tajemnice Hany Hůlkové a Stanislava </w:t>
      </w:r>
      <w:proofErr w:type="spellStart"/>
      <w:r w:rsidRPr="0016732A">
        <w:rPr>
          <w:lang w:eastAsia="en-US"/>
        </w:rPr>
        <w:t>Feika</w:t>
      </w:r>
      <w:proofErr w:type="spellEnd"/>
      <w:r w:rsidRPr="0016732A">
        <w:rPr>
          <w:lang w:eastAsia="en-US"/>
        </w:rPr>
        <w:t xml:space="preserve"> bude v plném rozsahu vykonávat JUDr. Pavla Novotná</w:t>
      </w:r>
    </w:p>
    <w:p w:rsidR="0074733C" w:rsidRPr="0016732A" w:rsidRDefault="0074733C" w:rsidP="0074733C">
      <w:pPr>
        <w:pStyle w:val="Odstavecseseznamem"/>
        <w:jc w:val="both"/>
      </w:pPr>
    </w:p>
    <w:p w:rsidR="0074733C" w:rsidRPr="0016732A" w:rsidRDefault="0074733C" w:rsidP="0074733C">
      <w:pPr>
        <w:pStyle w:val="Odstavecseseznamem"/>
      </w:pPr>
      <w:r w:rsidRPr="0016732A">
        <w:t>tabulka na straně 23-25 bude nadále v tomto znění:</w:t>
      </w:r>
    </w:p>
    <w:p w:rsidR="0074733C" w:rsidRPr="0016732A" w:rsidRDefault="0074733C" w:rsidP="0074733C">
      <w:pPr>
        <w:pStyle w:val="Odstavecseseznamem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3969"/>
      </w:tblGrid>
      <w:tr w:rsidR="0074733C" w:rsidRPr="0016732A" w:rsidTr="009F7BF1">
        <w:tc>
          <w:tcPr>
            <w:tcW w:w="1134" w:type="dxa"/>
            <w:hideMark/>
          </w:tcPr>
          <w:p w:rsidR="0074733C" w:rsidRPr="0016732A" w:rsidRDefault="0074733C" w:rsidP="009F7BF1">
            <w:pPr>
              <w:autoSpaceDE w:val="0"/>
              <w:autoSpaceDN w:val="0"/>
              <w:ind w:left="33"/>
              <w:jc w:val="center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Funkce</w:t>
            </w:r>
          </w:p>
        </w:tc>
        <w:tc>
          <w:tcPr>
            <w:tcW w:w="2835" w:type="dxa"/>
            <w:hideMark/>
          </w:tcPr>
          <w:p w:rsidR="0074733C" w:rsidRPr="0016732A" w:rsidRDefault="0074733C" w:rsidP="009F7BF1">
            <w:pPr>
              <w:autoSpaceDE w:val="0"/>
              <w:autoSpaceDN w:val="0"/>
              <w:ind w:firstLine="33"/>
              <w:jc w:val="center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Jméno a příjmení</w:t>
            </w:r>
          </w:p>
        </w:tc>
        <w:tc>
          <w:tcPr>
            <w:tcW w:w="2410" w:type="dxa"/>
            <w:hideMark/>
          </w:tcPr>
          <w:p w:rsidR="0074733C" w:rsidRPr="0016732A" w:rsidRDefault="0074733C" w:rsidP="009F7BF1">
            <w:pPr>
              <w:autoSpaceDE w:val="0"/>
              <w:autoSpaceDN w:val="0"/>
              <w:ind w:firstLine="34"/>
              <w:jc w:val="center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Nadřízený řešitel</w:t>
            </w:r>
          </w:p>
        </w:tc>
        <w:tc>
          <w:tcPr>
            <w:tcW w:w="3969" w:type="dxa"/>
            <w:hideMark/>
          </w:tcPr>
          <w:p w:rsidR="0074733C" w:rsidRPr="0016732A" w:rsidRDefault="0074733C" w:rsidP="009F7BF1">
            <w:pPr>
              <w:autoSpaceDE w:val="0"/>
              <w:autoSpaceDN w:val="0"/>
              <w:jc w:val="center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Náplň práce</w:t>
            </w:r>
          </w:p>
        </w:tc>
      </w:tr>
      <w:tr w:rsidR="0074733C" w:rsidRPr="0016732A" w:rsidTr="009F7BF1">
        <w:tc>
          <w:tcPr>
            <w:tcW w:w="1134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vyšší soudní úřednice</w:t>
            </w:r>
          </w:p>
        </w:tc>
        <w:tc>
          <w:tcPr>
            <w:tcW w:w="2835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Mgr. Eliška Hanušová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zástup:</w:t>
            </w:r>
            <w:r w:rsidRPr="0016732A">
              <w:rPr>
                <w:lang w:eastAsia="en-US"/>
              </w:rPr>
              <w:tab/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CEPR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  <w:t xml:space="preserve">Bc. </w:t>
            </w:r>
            <w:r w:rsidRPr="0016732A">
              <w:rPr>
                <w:bCs/>
                <w:lang w:eastAsia="en-US"/>
              </w:rPr>
              <w:t>Monika Syrová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Bc. Radka Řezníčková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Cs/>
                <w:strike/>
                <w:color w:val="FF0000"/>
                <w:lang w:eastAsia="en-US"/>
              </w:rPr>
            </w:pPr>
            <w:r w:rsidRPr="0016732A">
              <w:rPr>
                <w:lang w:eastAsia="en-US"/>
              </w:rPr>
              <w:tab/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ostatní agendy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  <w:t xml:space="preserve">Bc. </w:t>
            </w:r>
            <w:r w:rsidRPr="0016732A">
              <w:rPr>
                <w:bCs/>
                <w:lang w:eastAsia="en-US"/>
              </w:rPr>
              <w:t>Monika Syrová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Bc. Radka Řezníčková</w:t>
            </w:r>
          </w:p>
        </w:tc>
        <w:tc>
          <w:tcPr>
            <w:tcW w:w="2410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i/>
                <w:lang w:eastAsia="en-US"/>
              </w:rPr>
            </w:pPr>
            <w:r w:rsidRPr="0016732A">
              <w:rPr>
                <w:i/>
                <w:lang w:eastAsia="en-US"/>
              </w:rPr>
              <w:t xml:space="preserve">pro  CEPR, oznámení výhrady a </w:t>
            </w:r>
            <w:proofErr w:type="spellStart"/>
            <w:r w:rsidRPr="0016732A">
              <w:rPr>
                <w:i/>
                <w:lang w:eastAsia="en-US"/>
              </w:rPr>
              <w:t>Nc</w:t>
            </w:r>
            <w:proofErr w:type="spellEnd"/>
            <w:r w:rsidRPr="0016732A">
              <w:rPr>
                <w:i/>
                <w:lang w:eastAsia="en-US"/>
              </w:rPr>
              <w:t>-nejasná podání</w:t>
            </w:r>
          </w:p>
          <w:p w:rsidR="0074733C" w:rsidRPr="0016732A" w:rsidRDefault="0074733C" w:rsidP="009F7BF1">
            <w:pPr>
              <w:tabs>
                <w:tab w:val="left" w:pos="356"/>
              </w:tabs>
              <w:spacing w:after="120"/>
              <w:ind w:left="176" w:hanging="6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>JUDr. T. Suchánek</w:t>
            </w:r>
          </w:p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lang w:eastAsia="en-US"/>
              </w:rPr>
            </w:pPr>
            <w:r w:rsidRPr="0016732A">
              <w:rPr>
                <w:i/>
                <w:lang w:eastAsia="en-US"/>
              </w:rPr>
              <w:t>pro ostatní agendy</w:t>
            </w:r>
          </w:p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>soudci, pro které jsou činěny úkony</w:t>
            </w:r>
          </w:p>
        </w:tc>
        <w:tc>
          <w:tcPr>
            <w:tcW w:w="3969" w:type="dxa"/>
            <w:hideMark/>
          </w:tcPr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 xml:space="preserve">provádí úkony v soudních odděleních 7 C, 107 C, 9 C, 109 C, 30 C a 130 C (u senátů se stovkovým označením mimo úkony, kterými jsou pověřeni soudní tajemníci) </w:t>
            </w:r>
          </w:p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100 % úkony dle § 354 o. s. ř. – oznámení výhrady</w:t>
            </w:r>
          </w:p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řeší agendu EPR 1. tým včetně statistiky</w:t>
            </w:r>
          </w:p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 xml:space="preserve">33 % nejasných podání </w:t>
            </w:r>
            <w:proofErr w:type="spellStart"/>
            <w:r w:rsidRPr="0016732A">
              <w:rPr>
                <w:bCs/>
                <w:lang w:eastAsia="en-US"/>
              </w:rPr>
              <w:t>Nc</w:t>
            </w:r>
            <w:proofErr w:type="spellEnd"/>
          </w:p>
        </w:tc>
      </w:tr>
      <w:tr w:rsidR="0074733C" w:rsidRPr="0016732A" w:rsidTr="009F7BF1">
        <w:trPr>
          <w:trHeight w:val="2875"/>
        </w:trPr>
        <w:tc>
          <w:tcPr>
            <w:tcW w:w="1134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vyšší soudní úřednice</w:t>
            </w:r>
          </w:p>
        </w:tc>
        <w:tc>
          <w:tcPr>
            <w:tcW w:w="2835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Bc. Monika Syrová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zástup:</w:t>
            </w:r>
            <w:r w:rsidRPr="0016732A">
              <w:rPr>
                <w:lang w:eastAsia="en-US"/>
              </w:rPr>
              <w:tab/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CEPR</w:t>
            </w:r>
            <w:r w:rsidRPr="0016732A">
              <w:rPr>
                <w:bCs/>
                <w:lang w:eastAsia="en-US"/>
              </w:rPr>
              <w:t xml:space="preserve"> 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Mgr. Eliška Hanušová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 xml:space="preserve">      Bc. Radka Řezníčková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ostatní agendy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Bc. Radka Řezníčková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ab/>
              <w:t>Mgr. Eliška Hanušová</w:t>
            </w:r>
          </w:p>
        </w:tc>
        <w:tc>
          <w:tcPr>
            <w:tcW w:w="2410" w:type="dxa"/>
          </w:tcPr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i/>
                <w:lang w:eastAsia="en-US"/>
              </w:rPr>
            </w:pPr>
            <w:r w:rsidRPr="0016732A">
              <w:rPr>
                <w:i/>
                <w:lang w:eastAsia="en-US"/>
              </w:rPr>
              <w:t xml:space="preserve">pro CEPR a </w:t>
            </w:r>
            <w:proofErr w:type="spellStart"/>
            <w:r w:rsidRPr="0016732A">
              <w:rPr>
                <w:i/>
                <w:lang w:eastAsia="en-US"/>
              </w:rPr>
              <w:t>Nc</w:t>
            </w:r>
            <w:proofErr w:type="spellEnd"/>
            <w:r w:rsidRPr="0016732A">
              <w:rPr>
                <w:i/>
                <w:lang w:eastAsia="en-US"/>
              </w:rPr>
              <w:t>-nejasná podání</w:t>
            </w:r>
          </w:p>
          <w:p w:rsidR="0074733C" w:rsidRPr="0016732A" w:rsidRDefault="0074733C" w:rsidP="009F7BF1">
            <w:pPr>
              <w:tabs>
                <w:tab w:val="left" w:pos="356"/>
              </w:tabs>
              <w:spacing w:after="120"/>
              <w:ind w:left="176" w:hanging="6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>JUDr. T. Suchánek</w:t>
            </w:r>
          </w:p>
          <w:p w:rsidR="0074733C" w:rsidRPr="0016732A" w:rsidRDefault="0074733C" w:rsidP="009F7BF1">
            <w:pPr>
              <w:tabs>
                <w:tab w:val="left" w:pos="356"/>
              </w:tabs>
              <w:spacing w:after="120"/>
              <w:ind w:left="176" w:hanging="6"/>
              <w:jc w:val="both"/>
              <w:rPr>
                <w:lang w:eastAsia="en-US"/>
              </w:rPr>
            </w:pPr>
          </w:p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i/>
                <w:lang w:eastAsia="en-US"/>
              </w:rPr>
            </w:pPr>
            <w:r w:rsidRPr="0016732A">
              <w:rPr>
                <w:i/>
                <w:lang w:eastAsia="en-US"/>
              </w:rPr>
              <w:t>pro ostatní agendy</w:t>
            </w:r>
          </w:p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i/>
                <w:lang w:eastAsia="en-US"/>
              </w:rPr>
            </w:pPr>
            <w:r w:rsidRPr="0016732A">
              <w:rPr>
                <w:lang w:eastAsia="en-US"/>
              </w:rPr>
              <w:t>soudci, pro které jsou činěny úkony</w:t>
            </w:r>
          </w:p>
        </w:tc>
        <w:tc>
          <w:tcPr>
            <w:tcW w:w="3969" w:type="dxa"/>
          </w:tcPr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provádí úkony v soudních odděleních 6 C, 106 C, 14 C 114 C, 19 C, 119 C, 26 C (u senátů se stovkovým označením mimo úkony, kterými jsou pověřeni soudní tajemníci)</w:t>
            </w:r>
          </w:p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řeší agendu EPR 3. tým včetně statistiky</w:t>
            </w:r>
          </w:p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 xml:space="preserve">33 % nejasných podání </w:t>
            </w:r>
            <w:proofErr w:type="spellStart"/>
            <w:r w:rsidRPr="0016732A">
              <w:rPr>
                <w:bCs/>
                <w:lang w:eastAsia="en-US"/>
              </w:rPr>
              <w:t>Nc</w:t>
            </w:r>
            <w:proofErr w:type="spellEnd"/>
          </w:p>
          <w:p w:rsidR="0074733C" w:rsidRPr="0016732A" w:rsidRDefault="0074733C" w:rsidP="009F7BF1">
            <w:pPr>
              <w:ind w:left="175"/>
              <w:jc w:val="both"/>
              <w:rPr>
                <w:bCs/>
                <w:lang w:eastAsia="en-US"/>
              </w:rPr>
            </w:pPr>
          </w:p>
        </w:tc>
      </w:tr>
      <w:tr w:rsidR="0074733C" w:rsidRPr="0016732A" w:rsidTr="009F7BF1">
        <w:tc>
          <w:tcPr>
            <w:tcW w:w="1134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vyšší soudní úřednice</w:t>
            </w:r>
          </w:p>
        </w:tc>
        <w:tc>
          <w:tcPr>
            <w:tcW w:w="2835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Bc. Radka Řezníčková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zástup:</w:t>
            </w:r>
            <w:r w:rsidRPr="0016732A">
              <w:rPr>
                <w:lang w:eastAsia="en-US"/>
              </w:rPr>
              <w:t xml:space="preserve"> 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CEPR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Mgr. Eliška Hanušová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 xml:space="preserve">     Bc. </w:t>
            </w:r>
            <w:r w:rsidRPr="0016732A">
              <w:rPr>
                <w:bCs/>
                <w:lang w:eastAsia="en-US"/>
              </w:rPr>
              <w:t>Monika</w:t>
            </w:r>
            <w:r w:rsidRPr="0016732A">
              <w:rPr>
                <w:lang w:eastAsia="en-US"/>
              </w:rPr>
              <w:t xml:space="preserve"> </w:t>
            </w:r>
            <w:r w:rsidRPr="0016732A">
              <w:rPr>
                <w:bCs/>
                <w:lang w:eastAsia="en-US"/>
              </w:rPr>
              <w:t>Syrová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ostatní agendy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ab/>
              <w:t>Mgr. Eliška Hanušová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  <w:t xml:space="preserve">Bc. </w:t>
            </w:r>
            <w:r w:rsidRPr="0016732A">
              <w:rPr>
                <w:bCs/>
                <w:lang w:eastAsia="en-US"/>
              </w:rPr>
              <w:t>Monika Syrová</w:t>
            </w:r>
          </w:p>
        </w:tc>
        <w:tc>
          <w:tcPr>
            <w:tcW w:w="2410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i/>
                <w:lang w:eastAsia="en-US"/>
              </w:rPr>
            </w:pPr>
            <w:r w:rsidRPr="0016732A">
              <w:rPr>
                <w:i/>
                <w:lang w:eastAsia="en-US"/>
              </w:rPr>
              <w:t xml:space="preserve">pro CEPR a </w:t>
            </w:r>
            <w:proofErr w:type="spellStart"/>
            <w:r w:rsidRPr="0016732A">
              <w:rPr>
                <w:i/>
                <w:lang w:eastAsia="en-US"/>
              </w:rPr>
              <w:t>Nc</w:t>
            </w:r>
            <w:proofErr w:type="spellEnd"/>
            <w:r w:rsidRPr="0016732A">
              <w:rPr>
                <w:i/>
                <w:lang w:eastAsia="en-US"/>
              </w:rPr>
              <w:t>-nejasná podání</w:t>
            </w:r>
          </w:p>
          <w:p w:rsidR="0074733C" w:rsidRPr="0016732A" w:rsidRDefault="0074733C" w:rsidP="009F7BF1">
            <w:pPr>
              <w:tabs>
                <w:tab w:val="left" w:pos="356"/>
              </w:tabs>
              <w:spacing w:after="120"/>
              <w:ind w:left="176" w:hanging="6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>JUDr. T. Suchánek</w:t>
            </w:r>
          </w:p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lang w:eastAsia="en-US"/>
              </w:rPr>
            </w:pPr>
            <w:r w:rsidRPr="0016732A">
              <w:rPr>
                <w:i/>
                <w:lang w:eastAsia="en-US"/>
              </w:rPr>
              <w:t>pro ostatní agendy</w:t>
            </w:r>
          </w:p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 xml:space="preserve">soudci, pro které jsou činěny úkony </w:t>
            </w:r>
          </w:p>
        </w:tc>
        <w:tc>
          <w:tcPr>
            <w:tcW w:w="3969" w:type="dxa"/>
            <w:hideMark/>
          </w:tcPr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provádí úkony v soudních odděleních 13 C, 15 C, 115 C, 16 C a 116 C (u senátů se stovkovým označením mimo úkony, kterými jsou pověřeni soudní tajemníci)</w:t>
            </w:r>
          </w:p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řeší agendu EPR 2. tým včetně statistiky</w:t>
            </w:r>
          </w:p>
          <w:p w:rsidR="0074733C" w:rsidRPr="0016732A" w:rsidRDefault="0074733C" w:rsidP="0074733C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 xml:space="preserve">33 % nejasných podání </w:t>
            </w:r>
            <w:proofErr w:type="spellStart"/>
            <w:r w:rsidRPr="0016732A">
              <w:rPr>
                <w:bCs/>
                <w:lang w:eastAsia="en-US"/>
              </w:rPr>
              <w:t>Nc</w:t>
            </w:r>
            <w:proofErr w:type="spellEnd"/>
          </w:p>
        </w:tc>
      </w:tr>
      <w:tr w:rsidR="0074733C" w:rsidRPr="0016732A" w:rsidTr="009F7BF1">
        <w:tc>
          <w:tcPr>
            <w:tcW w:w="1134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soudní tajemnice</w:t>
            </w:r>
          </w:p>
        </w:tc>
        <w:tc>
          <w:tcPr>
            <w:tcW w:w="2835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Romana Kumstová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zástup</w:t>
            </w:r>
            <w:r w:rsidRPr="0016732A">
              <w:rPr>
                <w:bCs/>
                <w:lang w:eastAsia="en-US"/>
              </w:rPr>
              <w:t xml:space="preserve">: 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agendu Cd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  <w:t>Hana Hůlková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ostatní agendy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Mgr. Eliška Hanušová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Bc. Radka Řezníčková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Bc. Monika Syrová</w:t>
            </w:r>
          </w:p>
        </w:tc>
        <w:tc>
          <w:tcPr>
            <w:tcW w:w="2410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  <w:i/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pro agendu Cd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176" w:hanging="6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JUDr. P. Novotná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ind w:left="176" w:hanging="6"/>
              <w:jc w:val="both"/>
              <w:rPr>
                <w:i/>
                <w:lang w:eastAsia="en-US"/>
              </w:rPr>
            </w:pPr>
            <w:r w:rsidRPr="0016732A">
              <w:rPr>
                <w:i/>
                <w:lang w:eastAsia="en-US"/>
              </w:rPr>
              <w:t>pro ostatní agendy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soudci, pro které jsou činěny úkony</w:t>
            </w:r>
          </w:p>
        </w:tc>
        <w:tc>
          <w:tcPr>
            <w:tcW w:w="3969" w:type="dxa"/>
            <w:hideMark/>
          </w:tcPr>
          <w:p w:rsidR="0074733C" w:rsidRPr="0016732A" w:rsidRDefault="0074733C" w:rsidP="0074733C">
            <w:pPr>
              <w:numPr>
                <w:ilvl w:val="0"/>
                <w:numId w:val="4"/>
              </w:numPr>
              <w:ind w:left="175" w:hanging="141"/>
              <w:contextualSpacing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 xml:space="preserve"> řeší 50 % výslechů civilního dožádání agendy 0 Cd (mimo dožádání v exekučních, opatrovnických a dědických věcech) s výjimkou věcí s cizím prvkem, pokud nejsou výslovně svěřeny jinému zaměstnanci</w:t>
            </w:r>
          </w:p>
          <w:p w:rsidR="0074733C" w:rsidRPr="0016732A" w:rsidRDefault="0074733C" w:rsidP="0074733C">
            <w:pPr>
              <w:numPr>
                <w:ilvl w:val="0"/>
                <w:numId w:val="4"/>
              </w:numPr>
              <w:ind w:left="175" w:hanging="141"/>
              <w:contextualSpacing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 xml:space="preserve">řeší 100 % výslechů občanskoprávního dožádání ve věznici </w:t>
            </w:r>
            <w:proofErr w:type="spellStart"/>
            <w:r w:rsidRPr="0016732A">
              <w:rPr>
                <w:lang w:eastAsia="en-US"/>
              </w:rPr>
              <w:t>Odolov</w:t>
            </w:r>
            <w:proofErr w:type="spellEnd"/>
            <w:r w:rsidRPr="0016732A">
              <w:rPr>
                <w:lang w:eastAsia="en-US"/>
              </w:rPr>
              <w:t>, pokud nejsou výslovně svěřeny jinému zaměstnanci</w:t>
            </w:r>
          </w:p>
          <w:p w:rsidR="0074733C" w:rsidRPr="0016732A" w:rsidRDefault="0074733C" w:rsidP="0074733C">
            <w:pPr>
              <w:numPr>
                <w:ilvl w:val="0"/>
                <w:numId w:val="4"/>
              </w:numPr>
              <w:ind w:left="175" w:hanging="141"/>
              <w:contextualSpacing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>rozhoduje a provádí úkony ve věcech 106 C, 107 C,</w:t>
            </w:r>
            <w:r w:rsidRPr="0016732A">
              <w:rPr>
                <w:color w:val="FF0000"/>
                <w:lang w:eastAsia="en-US"/>
              </w:rPr>
              <w:t xml:space="preserve"> </w:t>
            </w:r>
            <w:r w:rsidRPr="0016732A">
              <w:rPr>
                <w:lang w:eastAsia="en-US"/>
              </w:rPr>
              <w:t>109 C, 114 C, 115 C, 116 C, 119 C, 130 C do doby podání včasného odporu oprávněnou osobou, zrušení platebního rozkazu či v případě, že nebude možné platební rozkaz vydat</w:t>
            </w:r>
          </w:p>
          <w:p w:rsidR="0074733C" w:rsidRPr="0016732A" w:rsidRDefault="0074733C" w:rsidP="0074733C">
            <w:pPr>
              <w:numPr>
                <w:ilvl w:val="0"/>
                <w:numId w:val="4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>provádí úkony dle § 6 odst. 2 písm. a-c), e), g-i) vyhlášky č. 37/1992 Sb., ve všech soudních odděleních agendy C</w:t>
            </w:r>
          </w:p>
          <w:p w:rsidR="0074733C" w:rsidRPr="0016732A" w:rsidRDefault="0074733C" w:rsidP="009F7BF1">
            <w:pPr>
              <w:autoSpaceDE w:val="0"/>
              <w:autoSpaceDN w:val="0"/>
              <w:ind w:left="175" w:hanging="141"/>
              <w:jc w:val="both"/>
              <w:rPr>
                <w:bCs/>
                <w:lang w:eastAsia="en-US"/>
              </w:rPr>
            </w:pPr>
          </w:p>
        </w:tc>
      </w:tr>
      <w:tr w:rsidR="0074733C" w:rsidRPr="0016732A" w:rsidTr="009F7BF1">
        <w:tc>
          <w:tcPr>
            <w:tcW w:w="1134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soudní tajemník</w:t>
            </w:r>
          </w:p>
        </w:tc>
        <w:tc>
          <w:tcPr>
            <w:tcW w:w="2835" w:type="dxa"/>
            <w:hideMark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jc w:val="both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Stanislav Feik</w:t>
            </w:r>
          </w:p>
          <w:p w:rsidR="0074733C" w:rsidRPr="0016732A" w:rsidRDefault="0074733C" w:rsidP="009F7BF1">
            <w:pPr>
              <w:autoSpaceDE w:val="0"/>
              <w:autoSpaceDN w:val="0"/>
              <w:ind w:left="33"/>
              <w:jc w:val="both"/>
              <w:rPr>
                <w:lang w:eastAsia="en-US"/>
              </w:rPr>
            </w:pPr>
            <w:r w:rsidRPr="0016732A">
              <w:rPr>
                <w:bCs/>
                <w:i/>
                <w:lang w:eastAsia="en-US"/>
              </w:rPr>
              <w:t>zástup:</w:t>
            </w:r>
          </w:p>
          <w:p w:rsidR="0074733C" w:rsidRPr="0016732A" w:rsidRDefault="0074733C" w:rsidP="009F7BF1">
            <w:pPr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Romana Kumstová</w:t>
            </w:r>
          </w:p>
          <w:p w:rsidR="0074733C" w:rsidRPr="0016732A" w:rsidRDefault="0074733C" w:rsidP="009F7BF1">
            <w:pPr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</w:p>
          <w:p w:rsidR="0074733C" w:rsidRPr="0016732A" w:rsidRDefault="0074733C" w:rsidP="009F7BF1">
            <w:pPr>
              <w:autoSpaceDE w:val="0"/>
              <w:autoSpaceDN w:val="0"/>
              <w:ind w:left="33"/>
              <w:rPr>
                <w:bCs/>
              </w:rPr>
            </w:pPr>
            <w:r w:rsidRPr="0016732A">
              <w:rPr>
                <w:bCs/>
              </w:rPr>
              <w:t xml:space="preserve">           Hana Hůlková pouze pro úkony dle </w:t>
            </w:r>
            <w:proofErr w:type="spellStart"/>
            <w:r w:rsidRPr="0016732A">
              <w:rPr>
                <w:bCs/>
              </w:rPr>
              <w:t>vyhl</w:t>
            </w:r>
            <w:proofErr w:type="spellEnd"/>
            <w:r w:rsidRPr="0016732A">
              <w:rPr>
                <w:bCs/>
              </w:rPr>
              <w:t xml:space="preserve">. č. 403/2022 Sb., </w:t>
            </w:r>
          </w:p>
          <w:p w:rsidR="0074733C" w:rsidRPr="0016732A" w:rsidRDefault="0074733C" w:rsidP="009F7BF1">
            <w:pPr>
              <w:autoSpaceDE w:val="0"/>
              <w:autoSpaceDN w:val="0"/>
              <w:ind w:left="33"/>
              <w:jc w:val="both"/>
              <w:rPr>
                <w:bCs/>
                <w:strike/>
                <w:color w:val="FF0000"/>
                <w:lang w:eastAsia="en-US"/>
              </w:rPr>
            </w:pPr>
          </w:p>
          <w:p w:rsidR="0074733C" w:rsidRPr="0016732A" w:rsidRDefault="0074733C" w:rsidP="009F7BF1">
            <w:pPr>
              <w:autoSpaceDE w:val="0"/>
              <w:autoSpaceDN w:val="0"/>
              <w:ind w:left="33"/>
              <w:jc w:val="both"/>
              <w:rPr>
                <w:bCs/>
                <w:strike/>
                <w:color w:val="FF0000"/>
                <w:lang w:eastAsia="en-US"/>
              </w:rPr>
            </w:pPr>
          </w:p>
        </w:tc>
        <w:tc>
          <w:tcPr>
            <w:tcW w:w="2410" w:type="dxa"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 xml:space="preserve">JUDr. P. Novotná 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i/>
                <w:strike/>
                <w:color w:val="FF0000"/>
                <w:lang w:eastAsia="en-US"/>
              </w:rPr>
              <w:t xml:space="preserve"> </w:t>
            </w:r>
          </w:p>
        </w:tc>
        <w:tc>
          <w:tcPr>
            <w:tcW w:w="3969" w:type="dxa"/>
            <w:hideMark/>
          </w:tcPr>
          <w:p w:rsidR="0074733C" w:rsidRPr="0016732A" w:rsidRDefault="0074733C" w:rsidP="009F7BF1">
            <w:pPr>
              <w:ind w:left="175" w:hanging="141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>-</w:t>
            </w:r>
            <w:r w:rsidRPr="0016732A">
              <w:rPr>
                <w:lang w:eastAsia="en-US"/>
              </w:rPr>
              <w:tab/>
              <w:t>provádí statistiku ve všech soudních odděleních agendy C</w:t>
            </w:r>
          </w:p>
          <w:p w:rsidR="0074733C" w:rsidRPr="0016732A" w:rsidRDefault="0074733C" w:rsidP="0074733C">
            <w:pPr>
              <w:numPr>
                <w:ilvl w:val="0"/>
                <w:numId w:val="4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>eviduje insolvenční řízení</w:t>
            </w:r>
          </w:p>
          <w:p w:rsidR="0074733C" w:rsidRPr="0016732A" w:rsidRDefault="0074733C" w:rsidP="009F7BF1">
            <w:pPr>
              <w:autoSpaceDE w:val="0"/>
              <w:autoSpaceDN w:val="0"/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-</w:t>
            </w: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 xml:space="preserve">zapisuje rozhodčí agendu  </w:t>
            </w:r>
          </w:p>
          <w:p w:rsidR="0074733C" w:rsidRPr="0016732A" w:rsidRDefault="0074733C" w:rsidP="009F7BF1">
            <w:pPr>
              <w:ind w:left="175" w:hanging="141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>-</w:t>
            </w: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 xml:space="preserve">provádí na pokyn soudce úkony dle vyhlášky č. 403/2022 Sb. v platném znění ve všech soudních odděleních C v celém rozsahu  </w:t>
            </w:r>
          </w:p>
          <w:p w:rsidR="0074733C" w:rsidRPr="0016732A" w:rsidRDefault="0074733C" w:rsidP="009F7BF1">
            <w:pPr>
              <w:ind w:left="175" w:hanging="141"/>
              <w:jc w:val="both"/>
              <w:rPr>
                <w:strike/>
                <w:lang w:eastAsia="en-US"/>
              </w:rPr>
            </w:pPr>
            <w:r w:rsidRPr="0016732A">
              <w:rPr>
                <w:rFonts w:eastAsia="BatangChe"/>
                <w:bCs/>
                <w:lang w:eastAsia="en-US"/>
              </w:rPr>
              <w:t xml:space="preserve">  </w:t>
            </w:r>
          </w:p>
        </w:tc>
      </w:tr>
      <w:tr w:rsidR="0074733C" w:rsidRPr="0016732A" w:rsidTr="009F7BF1">
        <w:tc>
          <w:tcPr>
            <w:tcW w:w="1134" w:type="dxa"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soudní tajemnice</w:t>
            </w:r>
          </w:p>
        </w:tc>
        <w:tc>
          <w:tcPr>
            <w:tcW w:w="2835" w:type="dxa"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/>
                <w:bCs/>
                <w:lang w:eastAsia="en-US"/>
              </w:rPr>
            </w:pPr>
            <w:r w:rsidRPr="0016732A">
              <w:rPr>
                <w:b/>
                <w:bCs/>
                <w:lang w:eastAsia="en-US"/>
              </w:rPr>
              <w:t>Hana Hůlková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zástup: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lang w:eastAsia="en-US"/>
              </w:rPr>
            </w:pPr>
            <w:r w:rsidRPr="0016732A">
              <w:rPr>
                <w:lang w:eastAsia="en-US"/>
              </w:rPr>
              <w:tab/>
              <w:t>Romana Kumstová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Mgr. Eliška Hanušová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Bc. Radka Řezníčková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jc w:val="both"/>
              <w:rPr>
                <w:b/>
                <w:bCs/>
                <w:lang w:eastAsia="en-US"/>
              </w:rPr>
            </w:pPr>
            <w:r w:rsidRPr="0016732A">
              <w:rPr>
                <w:lang w:eastAsia="en-US"/>
              </w:rPr>
              <w:tab/>
            </w:r>
            <w:r w:rsidRPr="0016732A">
              <w:rPr>
                <w:bCs/>
                <w:lang w:eastAsia="en-US"/>
              </w:rPr>
              <w:t>Bc. Monika Syrová</w:t>
            </w:r>
          </w:p>
        </w:tc>
        <w:tc>
          <w:tcPr>
            <w:tcW w:w="2410" w:type="dxa"/>
          </w:tcPr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176" w:hanging="6"/>
              <w:jc w:val="both"/>
              <w:rPr>
                <w:bCs/>
                <w:lang w:eastAsia="en-US"/>
              </w:rPr>
            </w:pPr>
            <w:r w:rsidRPr="0016732A">
              <w:rPr>
                <w:bCs/>
                <w:lang w:eastAsia="en-US"/>
              </w:rPr>
              <w:t>JUDr. P. Novotná</w:t>
            </w: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u w:val="single"/>
                <w:lang w:eastAsia="en-US"/>
              </w:rPr>
            </w:pPr>
          </w:p>
          <w:p w:rsidR="0074733C" w:rsidRPr="0016732A" w:rsidRDefault="0074733C" w:rsidP="009F7BF1">
            <w:pPr>
              <w:tabs>
                <w:tab w:val="left" w:pos="356"/>
              </w:tabs>
              <w:autoSpaceDE w:val="0"/>
              <w:autoSpaceDN w:val="0"/>
              <w:spacing w:after="120"/>
              <w:ind w:left="176" w:hanging="6"/>
              <w:jc w:val="both"/>
              <w:rPr>
                <w:bCs/>
                <w:lang w:eastAsia="en-US"/>
              </w:rPr>
            </w:pPr>
          </w:p>
        </w:tc>
        <w:tc>
          <w:tcPr>
            <w:tcW w:w="3969" w:type="dxa"/>
          </w:tcPr>
          <w:p w:rsidR="0074733C" w:rsidRPr="0016732A" w:rsidRDefault="0074733C" w:rsidP="0074733C">
            <w:pPr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strike/>
                <w:szCs w:val="22"/>
                <w:lang w:eastAsia="en-US"/>
              </w:rPr>
            </w:pPr>
            <w:r w:rsidRPr="0016732A">
              <w:rPr>
                <w:lang w:eastAsia="en-US"/>
              </w:rPr>
              <w:t>řeší 50 % výslechů civilního dožádání agendy 0 Cd (mimo dožádání v exekučních, opatrovnických a dědických věcech) s výjimkou věcí s cizím prvkem, pokud nejsou výslovně svěřeny jinému zaměstnanci</w:t>
            </w:r>
          </w:p>
          <w:p w:rsidR="0074733C" w:rsidRPr="0016732A" w:rsidRDefault="0074733C" w:rsidP="009F7BF1">
            <w:pPr>
              <w:ind w:left="317"/>
              <w:contextualSpacing/>
              <w:jc w:val="both"/>
              <w:rPr>
                <w:strike/>
                <w:szCs w:val="22"/>
                <w:lang w:eastAsia="en-US"/>
              </w:rPr>
            </w:pPr>
          </w:p>
        </w:tc>
      </w:tr>
    </w:tbl>
    <w:p w:rsidR="0074733C" w:rsidRPr="0016732A" w:rsidRDefault="0074733C" w:rsidP="0074733C">
      <w:pPr>
        <w:pStyle w:val="Odstavecseseznamem"/>
      </w:pPr>
    </w:p>
    <w:p w:rsidR="0074733C" w:rsidRPr="0016732A" w:rsidRDefault="0074733C" w:rsidP="0074733C">
      <w:pPr>
        <w:jc w:val="both"/>
        <w:rPr>
          <w:i/>
        </w:rPr>
      </w:pPr>
      <w:r w:rsidRPr="0016732A">
        <w:rPr>
          <w:i/>
        </w:rPr>
        <w:t xml:space="preserve">Důvodem změny je jmenování Mgr. Bc. Vlčkové soudkyní a její zařazení na opatrovnickou agendu, v důsledku čehož je třeba posílit střední odborný personál na opatrovnické agendě. Byla proto zřízena pracovní pozice soudního tajemníka, na niž byl zařazen Jan Ildža. Vyhláškou 403/2022 Sb., ze dne 8. 12. 2022 o zveřejňování soudních rozhodnutí byl podstatně snížen počet soudních rozhodnutí, která je třeba </w:t>
      </w:r>
      <w:proofErr w:type="spellStart"/>
      <w:r w:rsidRPr="0016732A">
        <w:rPr>
          <w:i/>
        </w:rPr>
        <w:t>pseudonymizovat</w:t>
      </w:r>
      <w:proofErr w:type="spellEnd"/>
      <w:r w:rsidRPr="0016732A">
        <w:rPr>
          <w:i/>
        </w:rPr>
        <w:t xml:space="preserve">, a bylo proto třeba upravit pracovní náplň soudního tajemníka Stanislava  </w:t>
      </w:r>
      <w:proofErr w:type="spellStart"/>
      <w:r w:rsidRPr="0016732A">
        <w:rPr>
          <w:i/>
        </w:rPr>
        <w:t>Feika</w:t>
      </w:r>
      <w:proofErr w:type="spellEnd"/>
      <w:r w:rsidRPr="0016732A">
        <w:rPr>
          <w:i/>
        </w:rPr>
        <w:t>. Byly mu přiřazeny agendy, které původně vykonávala soudní tajemnice Romana Kumstová. Agendu CEPR budou nadále vykonávat vyšší soudní úředníci na úseku C a soudní tajemnice Romana Kumstová bude vykonávat</w:t>
      </w:r>
      <w:r w:rsidRPr="0016732A">
        <w:rPr>
          <w:lang w:eastAsia="en-US"/>
        </w:rPr>
        <w:t xml:space="preserve"> </w:t>
      </w:r>
      <w:r w:rsidRPr="0016732A">
        <w:rPr>
          <w:i/>
          <w:lang w:eastAsia="en-US"/>
        </w:rPr>
        <w:t xml:space="preserve">úkony do doby podání včasného odporu oprávněnou osobou, zrušení platebního rozkazu či v případě, že nebude možné platební rozkaz vydat, pro všechna soudní oddělení na úseku C. Soudní tajemnici Haně Hůlkové byla odebrána agenda </w:t>
      </w:r>
      <w:proofErr w:type="spellStart"/>
      <w:r w:rsidRPr="0016732A">
        <w:rPr>
          <w:i/>
          <w:lang w:eastAsia="en-US"/>
        </w:rPr>
        <w:t>pseudonymizace</w:t>
      </w:r>
      <w:proofErr w:type="spellEnd"/>
      <w:r w:rsidRPr="0016732A">
        <w:rPr>
          <w:i/>
          <w:lang w:eastAsia="en-US"/>
        </w:rPr>
        <w:t xml:space="preserve"> v soudních odděleních 6 C, 7 C a 107 C, která byla přidělena soudnímu tajemníkovi Stanislavu </w:t>
      </w:r>
      <w:proofErr w:type="spellStart"/>
      <w:r w:rsidRPr="0016732A">
        <w:rPr>
          <w:i/>
          <w:lang w:eastAsia="en-US"/>
        </w:rPr>
        <w:t>Feikovi</w:t>
      </w:r>
      <w:proofErr w:type="spellEnd"/>
      <w:r w:rsidRPr="0016732A">
        <w:rPr>
          <w:i/>
          <w:lang w:eastAsia="en-US"/>
        </w:rPr>
        <w:t>, a naopak jí byla přiřazena agenda 50 % výslechů civilního dožádání agendy 0 Cd (mimo dožádání v exekučních, opatrovnických a dědických věcech) s výjimkou věcí s cizím prvkem, pokud nejsou výslovně svěřeny jinému zaměstnanci.</w:t>
      </w:r>
    </w:p>
    <w:p w:rsidR="0074733C" w:rsidRPr="0016732A" w:rsidRDefault="0074733C" w:rsidP="0074733C"/>
    <w:p w:rsidR="0074733C" w:rsidRPr="0016732A" w:rsidRDefault="0074733C" w:rsidP="0074733C">
      <w:pPr>
        <w:pStyle w:val="Odstavecseseznamem"/>
        <w:numPr>
          <w:ilvl w:val="0"/>
          <w:numId w:val="1"/>
        </w:numPr>
      </w:pPr>
      <w:bookmarkStart w:id="0" w:name="_Toc54253802"/>
      <w:bookmarkStart w:id="1" w:name="_Toc120282852"/>
      <w:r w:rsidRPr="0016732A">
        <w:rPr>
          <w:b/>
          <w:bCs/>
        </w:rPr>
        <w:t>Soudci opatrovnické agendy</w:t>
      </w:r>
      <w:bookmarkEnd w:id="0"/>
      <w:bookmarkEnd w:id="1"/>
      <w:r w:rsidRPr="0016732A">
        <w:rPr>
          <w:b/>
          <w:bCs/>
        </w:rPr>
        <w:t xml:space="preserve"> </w:t>
      </w:r>
      <w:r w:rsidRPr="0016732A">
        <w:rPr>
          <w:bCs/>
        </w:rPr>
        <w:t>(strana 27-29)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</w:pPr>
      <w:r w:rsidRPr="0016732A">
        <w:rPr>
          <w:bCs/>
        </w:rPr>
        <w:t>zřizuje se soudní oddělení 8, do nějž se zařazuje Mgr. Bc. Veronika Vlčková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</w:pPr>
      <w:r w:rsidRPr="0016732A">
        <w:rPr>
          <w:bCs/>
        </w:rPr>
        <w:t>zvyšuje se nápad do soudního oddělení 7 na 90%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</w:pPr>
      <w:r w:rsidRPr="0016732A">
        <w:rPr>
          <w:bCs/>
        </w:rPr>
        <w:t>snižuje se nápad v soudním oddělení 10 na 90%</w:t>
      </w:r>
    </w:p>
    <w:p w:rsidR="0074733C" w:rsidRPr="0016732A" w:rsidRDefault="0074733C" w:rsidP="0074733C"/>
    <w:p w:rsidR="0074733C" w:rsidRPr="0016732A" w:rsidRDefault="0074733C" w:rsidP="0074733C">
      <w:r w:rsidRPr="0016732A">
        <w:t>Tabulka na straně 27-29 bude nadále v bodech dotčených změnou v tomto znění, v ostatních bodech tabulka beze změny:</w:t>
      </w:r>
    </w:p>
    <w:p w:rsidR="0074733C" w:rsidRPr="0016732A" w:rsidRDefault="0074733C" w:rsidP="0074733C"/>
    <w:p w:rsidR="0074733C" w:rsidRPr="0016732A" w:rsidRDefault="0074733C" w:rsidP="0074733C"/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7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ostatní věci </w:t>
            </w:r>
            <w:proofErr w:type="spellStart"/>
            <w:r w:rsidRPr="0016732A">
              <w:t>Nc</w:t>
            </w:r>
            <w:proofErr w:type="spellEnd"/>
            <w:r w:rsidRPr="0016732A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733C" w:rsidRPr="0016732A" w:rsidRDefault="0074733C" w:rsidP="009F7BF1">
            <w:pPr>
              <w:autoSpaceDE w:val="0"/>
              <w:autoSpaceDN w:val="0"/>
              <w:spacing w:after="360"/>
              <w:ind w:left="33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>JUDr. Jiří Vošvrda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Mgr. Lenka Vošvrdová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Mgr. Adéla Hálová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Mgr. Bc. Veronika Vlčková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Mgr. Monika Petráčková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 xml:space="preserve">Mgr. Tereza Teršová 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Mgr. Veronika Tomanová</w:t>
            </w:r>
          </w:p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 oddíl </w:t>
            </w:r>
            <w:proofErr w:type="spellStart"/>
            <w:r w:rsidRPr="0016732A">
              <w:t>EvET</w:t>
            </w:r>
            <w:proofErr w:type="spellEnd"/>
            <w:r w:rsidRPr="0016732A">
              <w:t xml:space="preserve">, specializace </w:t>
            </w:r>
            <w:proofErr w:type="spellStart"/>
            <w:r w:rsidRPr="0016732A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7 P a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ostatní věci P a </w:t>
            </w:r>
            <w:proofErr w:type="spellStart"/>
            <w:r w:rsidRPr="0016732A">
              <w:t>Nc</w:t>
            </w:r>
            <w:proofErr w:type="spellEnd"/>
            <w:r w:rsidRPr="0016732A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nápad při převodu z agendy 7 </w:t>
            </w:r>
            <w:proofErr w:type="spellStart"/>
            <w:r w:rsidRPr="0016732A">
              <w:t>Nc</w:t>
            </w:r>
            <w:proofErr w:type="spellEnd"/>
            <w:r w:rsidRPr="0016732A"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7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tabs>
                <w:tab w:val="left" w:pos="2742"/>
              </w:tabs>
              <w:ind w:left="176" w:hanging="6"/>
              <w:jc w:val="both"/>
            </w:pPr>
            <w:r w:rsidRPr="0016732A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</w:tbl>
    <w:p w:rsidR="0074733C" w:rsidRPr="0016732A" w:rsidRDefault="0074733C" w:rsidP="0074733C"/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8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ostatní věci </w:t>
            </w:r>
            <w:proofErr w:type="spellStart"/>
            <w:r w:rsidRPr="0016732A">
              <w:t>Nc</w:t>
            </w:r>
            <w:proofErr w:type="spellEnd"/>
            <w:r w:rsidRPr="0016732A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733C" w:rsidRPr="0016732A" w:rsidRDefault="0074733C" w:rsidP="009F7BF1">
            <w:pPr>
              <w:autoSpaceDE w:val="0"/>
              <w:autoSpaceDN w:val="0"/>
              <w:spacing w:after="360"/>
              <w:rPr>
                <w:b/>
                <w:bCs/>
              </w:rPr>
            </w:pPr>
            <w:r w:rsidRPr="0016732A">
              <w:rPr>
                <w:b/>
                <w:bCs/>
              </w:rPr>
              <w:t>Mgr. Bc. Veronika Vlčková</w:t>
            </w:r>
          </w:p>
          <w:p w:rsidR="0074733C" w:rsidRPr="0016732A" w:rsidRDefault="0074733C" w:rsidP="009F7BF1">
            <w:pPr>
              <w:autoSpaceDE w:val="0"/>
              <w:autoSpaceDN w:val="0"/>
              <w:jc w:val="both"/>
            </w:pPr>
            <w:r w:rsidRPr="0016732A">
              <w:t xml:space="preserve">Mgr. Monika Petráčková </w:t>
            </w:r>
          </w:p>
          <w:p w:rsidR="0074733C" w:rsidRPr="0016732A" w:rsidRDefault="0074733C" w:rsidP="009F7BF1">
            <w:pPr>
              <w:autoSpaceDE w:val="0"/>
              <w:autoSpaceDN w:val="0"/>
              <w:jc w:val="both"/>
            </w:pPr>
            <w:r w:rsidRPr="0016732A">
              <w:t>JUDr. Jiří Vošvrda</w:t>
            </w:r>
          </w:p>
          <w:p w:rsidR="0074733C" w:rsidRPr="0016732A" w:rsidRDefault="0074733C" w:rsidP="009F7BF1">
            <w:pPr>
              <w:autoSpaceDE w:val="0"/>
              <w:autoSpaceDN w:val="0"/>
              <w:jc w:val="both"/>
            </w:pPr>
            <w:r w:rsidRPr="0016732A">
              <w:t>Mgr. Adéla Hálová</w:t>
            </w:r>
          </w:p>
          <w:p w:rsidR="0074733C" w:rsidRPr="0016732A" w:rsidRDefault="0074733C" w:rsidP="009F7BF1">
            <w:pPr>
              <w:autoSpaceDE w:val="0"/>
              <w:autoSpaceDN w:val="0"/>
              <w:jc w:val="both"/>
            </w:pPr>
            <w:r w:rsidRPr="0016732A">
              <w:t>Mgr. Lenka Vošvrdová</w:t>
            </w:r>
          </w:p>
          <w:p w:rsidR="0074733C" w:rsidRPr="0016732A" w:rsidRDefault="0074733C" w:rsidP="009F7BF1">
            <w:pPr>
              <w:autoSpaceDE w:val="0"/>
              <w:autoSpaceDN w:val="0"/>
              <w:jc w:val="both"/>
            </w:pPr>
            <w:r w:rsidRPr="0016732A">
              <w:t xml:space="preserve">Mgr. Veronika Tomanová </w:t>
            </w:r>
          </w:p>
          <w:p w:rsidR="0074733C" w:rsidRPr="0016732A" w:rsidRDefault="0074733C" w:rsidP="009F7BF1">
            <w:pPr>
              <w:autoSpaceDE w:val="0"/>
              <w:autoSpaceDN w:val="0"/>
              <w:jc w:val="both"/>
            </w:pPr>
            <w:r w:rsidRPr="0016732A">
              <w:t>Mgr. Tereza Teršová</w:t>
            </w:r>
          </w:p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oddíl </w:t>
            </w:r>
            <w:proofErr w:type="spellStart"/>
            <w:r w:rsidRPr="0016732A">
              <w:t>EvET</w:t>
            </w:r>
            <w:proofErr w:type="spellEnd"/>
            <w:r w:rsidRPr="0016732A">
              <w:t xml:space="preserve">, specializace </w:t>
            </w:r>
            <w:proofErr w:type="spellStart"/>
            <w:r w:rsidRPr="0016732A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8 P a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ostatní věci P a </w:t>
            </w:r>
            <w:proofErr w:type="spellStart"/>
            <w:r w:rsidRPr="0016732A">
              <w:t>Nc</w:t>
            </w:r>
            <w:proofErr w:type="spellEnd"/>
            <w:r w:rsidRPr="0016732A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tabs>
                <w:tab w:val="right" w:pos="3966"/>
              </w:tabs>
              <w:ind w:left="176" w:hanging="6"/>
              <w:jc w:val="both"/>
            </w:pPr>
            <w:r w:rsidRPr="0016732A">
              <w:t xml:space="preserve">nápad při převodu z agendy 8 </w:t>
            </w:r>
            <w:proofErr w:type="spellStart"/>
            <w:r w:rsidRPr="0016732A"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8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tabs>
                <w:tab w:val="right" w:pos="3966"/>
              </w:tabs>
              <w:ind w:left="176" w:hanging="6"/>
              <w:jc w:val="both"/>
            </w:pPr>
            <w:r w:rsidRPr="0016732A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</w:tbl>
    <w:p w:rsidR="0074733C" w:rsidRPr="0016732A" w:rsidRDefault="0074733C" w:rsidP="0074733C"/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10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ostatní věci </w:t>
            </w:r>
            <w:proofErr w:type="spellStart"/>
            <w:r w:rsidRPr="0016732A">
              <w:t>Nc</w:t>
            </w:r>
            <w:proofErr w:type="spellEnd"/>
            <w:r w:rsidRPr="0016732A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733C" w:rsidRPr="0016732A" w:rsidRDefault="0074733C" w:rsidP="009F7BF1">
            <w:pPr>
              <w:autoSpaceDE w:val="0"/>
              <w:autoSpaceDN w:val="0"/>
              <w:spacing w:after="360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>Mgr. Adéla Hálová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Mgr. Bc. Veronika Vlčková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 xml:space="preserve">Mgr. Monika Petráčková 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JUDr. Jiří Vošvrda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Mgr. Lenka Vošvrdová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 xml:space="preserve">Mgr. Veronika Tomanová </w:t>
            </w:r>
          </w:p>
          <w:p w:rsidR="0074733C" w:rsidRPr="0016732A" w:rsidRDefault="0074733C" w:rsidP="009F7BF1">
            <w:pPr>
              <w:ind w:left="33"/>
              <w:jc w:val="both"/>
            </w:pPr>
            <w:r w:rsidRPr="0016732A">
              <w:t>Mgr. Tereza Teršová</w:t>
            </w:r>
          </w:p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oddíl </w:t>
            </w:r>
            <w:proofErr w:type="spellStart"/>
            <w:r w:rsidRPr="0016732A">
              <w:t>EvET</w:t>
            </w:r>
            <w:proofErr w:type="spellEnd"/>
            <w:r w:rsidRPr="0016732A">
              <w:t xml:space="preserve">, specializace </w:t>
            </w:r>
            <w:proofErr w:type="spellStart"/>
            <w:r w:rsidRPr="0016732A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tabs>
                <w:tab w:val="left" w:pos="2742"/>
              </w:tabs>
              <w:ind w:left="176" w:hanging="6"/>
              <w:jc w:val="both"/>
            </w:pPr>
            <w:r w:rsidRPr="0016732A"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 xml:space="preserve">10 P a </w:t>
            </w:r>
            <w:proofErr w:type="spellStart"/>
            <w:r w:rsidRPr="0016732A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ostatní věci P a </w:t>
            </w:r>
            <w:proofErr w:type="spellStart"/>
            <w:r w:rsidRPr="0016732A">
              <w:t>Nc</w:t>
            </w:r>
            <w:proofErr w:type="spellEnd"/>
            <w:r w:rsidRPr="0016732A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 xml:space="preserve">nápad při převodu z agendy 10 </w:t>
            </w:r>
            <w:proofErr w:type="spellStart"/>
            <w:r w:rsidRPr="0016732A">
              <w:t>Nc</w:t>
            </w:r>
            <w:proofErr w:type="spellEnd"/>
            <w:r w:rsidRPr="0016732A"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firstLine="170"/>
              <w:jc w:val="both"/>
              <w:rPr>
                <w:b/>
              </w:rPr>
            </w:pPr>
            <w:r w:rsidRPr="0016732A">
              <w:rPr>
                <w:b/>
              </w:rPr>
              <w:t>10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tabs>
                <w:tab w:val="left" w:pos="2742"/>
              </w:tabs>
              <w:ind w:left="176" w:hanging="6"/>
              <w:jc w:val="both"/>
            </w:pPr>
            <w:r w:rsidRPr="0016732A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  <w:tr w:rsidR="0074733C" w:rsidRPr="0016732A" w:rsidTr="009F7BF1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733C" w:rsidRPr="0016732A" w:rsidRDefault="0074733C" w:rsidP="009F7BF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jc w:val="center"/>
            </w:pPr>
            <w:r w:rsidRPr="0016732A">
              <w:t>90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733C" w:rsidRPr="0016732A" w:rsidRDefault="0074733C" w:rsidP="009F7BF1">
            <w:pPr>
              <w:ind w:left="176" w:hanging="6"/>
              <w:jc w:val="both"/>
            </w:pPr>
            <w:r w:rsidRPr="0016732A"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733C" w:rsidRPr="0016732A" w:rsidRDefault="0074733C" w:rsidP="009F7BF1"/>
        </w:tc>
      </w:tr>
    </w:tbl>
    <w:p w:rsidR="0074733C" w:rsidRPr="0016732A" w:rsidRDefault="0074733C" w:rsidP="0074733C"/>
    <w:p w:rsidR="0074733C" w:rsidRPr="0016732A" w:rsidRDefault="0074733C" w:rsidP="0074733C">
      <w:pPr>
        <w:jc w:val="both"/>
        <w:rPr>
          <w:i/>
        </w:rPr>
      </w:pPr>
      <w:r w:rsidRPr="0016732A">
        <w:rPr>
          <w:i/>
        </w:rPr>
        <w:t xml:space="preserve">Důvodem změny je jmenování Mgr. Bc. Veroniky Vlčkové soudkyní a její zařazení do nově zřízeného soudního oddělení 8, snížení nápadu v soudním oddělení 10 v důsledku zrušení pracovní pozice asistenta v soudním oddělení </w:t>
      </w:r>
      <w:proofErr w:type="gramStart"/>
      <w:r w:rsidRPr="0016732A">
        <w:rPr>
          <w:i/>
        </w:rPr>
        <w:t xml:space="preserve">10,  a </w:t>
      </w:r>
      <w:r w:rsidRPr="0016732A">
        <w:rPr>
          <w:i/>
          <w:szCs w:val="22"/>
        </w:rPr>
        <w:t>pro</w:t>
      </w:r>
      <w:proofErr w:type="gramEnd"/>
      <w:r w:rsidRPr="0016732A">
        <w:rPr>
          <w:i/>
          <w:szCs w:val="22"/>
        </w:rPr>
        <w:t xml:space="preserve"> zajištění stejného pracovního vytížení jednotlivých soudních oddělení byl zvýšen  nápad o 15% v soudním oddělení 7.</w:t>
      </w:r>
    </w:p>
    <w:p w:rsidR="0074733C" w:rsidRPr="0016732A" w:rsidRDefault="0074733C" w:rsidP="0074733C"/>
    <w:p w:rsidR="0074733C" w:rsidRPr="0016732A" w:rsidRDefault="0074733C" w:rsidP="0074733C"/>
    <w:p w:rsidR="0074733C" w:rsidRPr="0016732A" w:rsidRDefault="0074733C" w:rsidP="0074733C">
      <w:pPr>
        <w:pStyle w:val="Odstavecseseznamem"/>
        <w:numPr>
          <w:ilvl w:val="0"/>
          <w:numId w:val="1"/>
        </w:numPr>
      </w:pPr>
      <w:r w:rsidRPr="0016732A">
        <w:rPr>
          <w:b/>
        </w:rPr>
        <w:t>Vyšší soudní úředníci opatrovnické agendy</w:t>
      </w:r>
      <w:r w:rsidRPr="0016732A">
        <w:t xml:space="preserve"> (strana 29-30)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</w:pPr>
      <w:r w:rsidRPr="0016732A">
        <w:t>zřizuje se pracovní pozice soudní tajemník, do níž se zařazuje Jan Ildža</w:t>
      </w:r>
    </w:p>
    <w:p w:rsidR="0074733C" w:rsidRPr="0016732A" w:rsidRDefault="0074733C" w:rsidP="0074733C">
      <w:pPr>
        <w:keepNext/>
        <w:autoSpaceDE w:val="0"/>
        <w:autoSpaceDN w:val="0"/>
        <w:spacing w:before="240" w:after="240"/>
        <w:outlineLvl w:val="2"/>
        <w:rPr>
          <w:bCs/>
        </w:rPr>
      </w:pPr>
      <w:bookmarkStart w:id="2" w:name="_Toc392248849"/>
      <w:bookmarkStart w:id="3" w:name="_Toc394669749"/>
      <w:bookmarkStart w:id="4" w:name="_Toc404155042"/>
      <w:bookmarkStart w:id="5" w:name="_Toc466378023"/>
      <w:bookmarkStart w:id="6" w:name="_Toc54253803"/>
      <w:bookmarkStart w:id="7" w:name="_Toc120282854"/>
      <w:r w:rsidRPr="0016732A">
        <w:rPr>
          <w:bCs/>
        </w:rPr>
        <w:t>tabulka na straně 29-30 bude nadále v tomto znění:</w:t>
      </w:r>
    </w:p>
    <w:p w:rsidR="0074733C" w:rsidRPr="0016732A" w:rsidRDefault="0074733C" w:rsidP="0074733C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</w:rPr>
      </w:pPr>
      <w:r w:rsidRPr="0016732A">
        <w:rPr>
          <w:b/>
          <w:bCs/>
        </w:rPr>
        <w:t>Vyšší soudní úředníci a soudní tajemník opatrovnické agendy</w:t>
      </w:r>
      <w:bookmarkEnd w:id="2"/>
      <w:bookmarkEnd w:id="3"/>
      <w:bookmarkEnd w:id="4"/>
      <w:bookmarkEnd w:id="5"/>
      <w:bookmarkEnd w:id="6"/>
      <w:bookmarkEnd w:id="7"/>
      <w:r w:rsidRPr="0016732A">
        <w:rPr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2552"/>
        <w:gridCol w:w="2835"/>
      </w:tblGrid>
      <w:tr w:rsidR="0074733C" w:rsidRPr="0016732A" w:rsidTr="009F7BF1">
        <w:tc>
          <w:tcPr>
            <w:tcW w:w="1701" w:type="dxa"/>
          </w:tcPr>
          <w:p w:rsidR="0074733C" w:rsidRPr="0016732A" w:rsidRDefault="0074733C" w:rsidP="009F7BF1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6732A">
              <w:rPr>
                <w:b/>
                <w:bCs/>
              </w:rPr>
              <w:t>Funkce</w:t>
            </w:r>
          </w:p>
        </w:tc>
        <w:tc>
          <w:tcPr>
            <w:tcW w:w="2268" w:type="dxa"/>
          </w:tcPr>
          <w:p w:rsidR="0074733C" w:rsidRPr="0016732A" w:rsidRDefault="0074733C" w:rsidP="009F7BF1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6732A">
              <w:rPr>
                <w:b/>
                <w:bCs/>
              </w:rPr>
              <w:t>Jméno a příjmení</w:t>
            </w:r>
          </w:p>
        </w:tc>
        <w:tc>
          <w:tcPr>
            <w:tcW w:w="2552" w:type="dxa"/>
          </w:tcPr>
          <w:p w:rsidR="0074733C" w:rsidRPr="0016732A" w:rsidRDefault="0074733C" w:rsidP="009F7BF1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6732A">
              <w:rPr>
                <w:b/>
                <w:bCs/>
              </w:rPr>
              <w:t>Nadřízený řešitel</w:t>
            </w:r>
          </w:p>
        </w:tc>
        <w:tc>
          <w:tcPr>
            <w:tcW w:w="2835" w:type="dxa"/>
          </w:tcPr>
          <w:p w:rsidR="0074733C" w:rsidRPr="0016732A" w:rsidRDefault="0074733C" w:rsidP="009F7BF1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6732A">
              <w:rPr>
                <w:b/>
                <w:bCs/>
              </w:rPr>
              <w:t>Poznámka</w:t>
            </w:r>
          </w:p>
        </w:tc>
      </w:tr>
      <w:tr w:rsidR="0074733C" w:rsidRPr="0016732A" w:rsidTr="009F7BF1">
        <w:tc>
          <w:tcPr>
            <w:tcW w:w="1701" w:type="dxa"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  <w:r w:rsidRPr="0016732A">
              <w:rPr>
                <w:bCs/>
              </w:rPr>
              <w:t>vyšší soudní úřednice</w:t>
            </w:r>
          </w:p>
        </w:tc>
        <w:tc>
          <w:tcPr>
            <w:tcW w:w="2268" w:type="dxa"/>
          </w:tcPr>
          <w:p w:rsidR="0074733C" w:rsidRPr="0016732A" w:rsidRDefault="0074733C" w:rsidP="009F7BF1">
            <w:pPr>
              <w:tabs>
                <w:tab w:val="left" w:pos="742"/>
              </w:tabs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>Eva Jandová</w:t>
            </w:r>
          </w:p>
          <w:p w:rsidR="0074733C" w:rsidRPr="0016732A" w:rsidRDefault="0074733C" w:rsidP="009F7BF1">
            <w:pPr>
              <w:tabs>
                <w:tab w:val="left" w:pos="700"/>
                <w:tab w:val="left" w:pos="742"/>
              </w:tabs>
              <w:autoSpaceDE w:val="0"/>
              <w:autoSpaceDN w:val="0"/>
              <w:ind w:firstLine="170"/>
              <w:jc w:val="both"/>
            </w:pPr>
            <w:r w:rsidRPr="0016732A">
              <w:rPr>
                <w:bCs/>
                <w:i/>
              </w:rPr>
              <w:t>zástup</w:t>
            </w:r>
            <w:r w:rsidRPr="0016732A">
              <w:rPr>
                <w:bCs/>
              </w:rPr>
              <w:t>:</w:t>
            </w:r>
            <w:r w:rsidRPr="0016732A">
              <w:t xml:space="preserve"> </w:t>
            </w:r>
          </w:p>
          <w:p w:rsidR="0074733C" w:rsidRPr="0016732A" w:rsidRDefault="0074733C" w:rsidP="009F7BF1">
            <w:pPr>
              <w:tabs>
                <w:tab w:val="left" w:pos="700"/>
                <w:tab w:val="left" w:pos="742"/>
              </w:tabs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16732A">
              <w:rPr>
                <w:bCs/>
              </w:rPr>
              <w:t>K. Šrámková</w:t>
            </w:r>
          </w:p>
          <w:p w:rsidR="0074733C" w:rsidRPr="0016732A" w:rsidRDefault="0074733C" w:rsidP="009F7BF1">
            <w:pPr>
              <w:tabs>
                <w:tab w:val="left" w:pos="742"/>
              </w:tabs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16732A">
              <w:rPr>
                <w:bCs/>
              </w:rPr>
              <w:t>G. Bulawová</w:t>
            </w:r>
          </w:p>
        </w:tc>
        <w:tc>
          <w:tcPr>
            <w:tcW w:w="2552" w:type="dxa"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  <w:r w:rsidRPr="0016732A">
              <w:rPr>
                <w:bCs/>
              </w:rPr>
              <w:t xml:space="preserve">JUDr. Jiří Vošvrda </w:t>
            </w:r>
          </w:p>
        </w:tc>
        <w:tc>
          <w:tcPr>
            <w:tcW w:w="2835" w:type="dxa"/>
            <w:vMerge w:val="restart"/>
            <w:vAlign w:val="center"/>
          </w:tcPr>
          <w:p w:rsidR="0074733C" w:rsidRPr="0016732A" w:rsidRDefault="0074733C" w:rsidP="0074733C">
            <w:pPr>
              <w:numPr>
                <w:ilvl w:val="0"/>
                <w:numId w:val="4"/>
              </w:numPr>
              <w:autoSpaceDE w:val="0"/>
              <w:autoSpaceDN w:val="0"/>
              <w:ind w:left="317" w:hanging="283"/>
              <w:contextualSpacing/>
              <w:rPr>
                <w:bCs/>
              </w:rPr>
            </w:pPr>
            <w:r w:rsidRPr="0016732A">
              <w:rPr>
                <w:bCs/>
              </w:rPr>
              <w:t>úkony ve věcech podle obvodů dle přílohy č. l, pokud jimi nejsou pověřeni jiní zaměstnanci</w:t>
            </w:r>
          </w:p>
          <w:p w:rsidR="0074733C" w:rsidRPr="0016732A" w:rsidRDefault="0074733C" w:rsidP="0074733C">
            <w:pPr>
              <w:numPr>
                <w:ilvl w:val="0"/>
                <w:numId w:val="4"/>
              </w:numPr>
              <w:autoSpaceDE w:val="0"/>
              <w:autoSpaceDN w:val="0"/>
              <w:ind w:left="317" w:hanging="283"/>
              <w:contextualSpacing/>
              <w:rPr>
                <w:bCs/>
              </w:rPr>
            </w:pPr>
            <w:r w:rsidRPr="0016732A">
              <w:rPr>
                <w:bCs/>
              </w:rPr>
              <w:t xml:space="preserve">výslechy civilního dožádání agendy 0 Cd ve věcech péče o </w:t>
            </w:r>
            <w:proofErr w:type="spellStart"/>
            <w:r w:rsidRPr="0016732A">
              <w:rPr>
                <w:bCs/>
              </w:rPr>
              <w:t>nezl</w:t>
            </w:r>
            <w:proofErr w:type="spellEnd"/>
            <w:r w:rsidRPr="0016732A">
              <w:rPr>
                <w:bCs/>
              </w:rPr>
              <w:t xml:space="preserve">. děti a ve věcech </w:t>
            </w:r>
            <w:proofErr w:type="gramStart"/>
            <w:r w:rsidRPr="0016732A">
              <w:rPr>
                <w:bCs/>
              </w:rPr>
              <w:t>svéprávnosti, v výjimkou</w:t>
            </w:r>
            <w:proofErr w:type="gramEnd"/>
            <w:r w:rsidRPr="0016732A">
              <w:rPr>
                <w:bCs/>
              </w:rPr>
              <w:t xml:space="preserve"> dožádání ve věznici </w:t>
            </w:r>
            <w:proofErr w:type="spellStart"/>
            <w:r w:rsidRPr="0016732A">
              <w:rPr>
                <w:bCs/>
              </w:rPr>
              <w:t>Odolov</w:t>
            </w:r>
            <w:proofErr w:type="spellEnd"/>
            <w:r w:rsidRPr="0016732A">
              <w:rPr>
                <w:bCs/>
              </w:rPr>
              <w:t>, věcí s cizím prvkem a zhlédnutí soudce, pokud jimi nejsou pověřeni jiní zaměstnanci (</w:t>
            </w:r>
            <w:proofErr w:type="spellStart"/>
            <w:r w:rsidRPr="0016732A">
              <w:rPr>
                <w:bCs/>
              </w:rPr>
              <w:t>kolovací</w:t>
            </w:r>
            <w:proofErr w:type="spellEnd"/>
            <w:r w:rsidRPr="0016732A">
              <w:rPr>
                <w:bCs/>
              </w:rPr>
              <w:t xml:space="preserve"> způsob přidělování dle abecedního pořadí vyšších soudních úředníků bez omezení kalendářním rokem)</w:t>
            </w:r>
          </w:p>
        </w:tc>
      </w:tr>
      <w:tr w:rsidR="0074733C" w:rsidRPr="0016732A" w:rsidTr="009F7BF1">
        <w:tc>
          <w:tcPr>
            <w:tcW w:w="1701" w:type="dxa"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  <w:r w:rsidRPr="0016732A">
              <w:rPr>
                <w:bCs/>
              </w:rPr>
              <w:t>vyšší soudní úřednice</w:t>
            </w:r>
          </w:p>
        </w:tc>
        <w:tc>
          <w:tcPr>
            <w:tcW w:w="2268" w:type="dxa"/>
          </w:tcPr>
          <w:p w:rsidR="0074733C" w:rsidRPr="0016732A" w:rsidRDefault="0074733C" w:rsidP="009F7BF1">
            <w:pPr>
              <w:tabs>
                <w:tab w:val="left" w:pos="742"/>
              </w:tabs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>Kateřina Šrámková</w:t>
            </w:r>
          </w:p>
          <w:p w:rsidR="0074733C" w:rsidRPr="0016732A" w:rsidRDefault="0074733C" w:rsidP="009F7BF1">
            <w:pPr>
              <w:autoSpaceDE w:val="0"/>
              <w:autoSpaceDN w:val="0"/>
              <w:ind w:firstLine="170"/>
              <w:jc w:val="both"/>
            </w:pPr>
            <w:r w:rsidRPr="0016732A">
              <w:rPr>
                <w:bCs/>
                <w:i/>
              </w:rPr>
              <w:t>zástup:</w:t>
            </w:r>
            <w:r w:rsidRPr="0016732A">
              <w:t xml:space="preserve"> </w:t>
            </w:r>
          </w:p>
          <w:p w:rsidR="0074733C" w:rsidRPr="0016732A" w:rsidRDefault="0074733C" w:rsidP="009F7BF1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16732A">
              <w:rPr>
                <w:bCs/>
              </w:rPr>
              <w:t>E. Jandová</w:t>
            </w:r>
          </w:p>
          <w:p w:rsidR="0074733C" w:rsidRPr="0016732A" w:rsidRDefault="0074733C" w:rsidP="009F7BF1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16732A">
              <w:rPr>
                <w:bCs/>
              </w:rPr>
              <w:t>G. Bulawová</w:t>
            </w:r>
          </w:p>
        </w:tc>
        <w:tc>
          <w:tcPr>
            <w:tcW w:w="2552" w:type="dxa"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  <w:r w:rsidRPr="0016732A">
              <w:rPr>
                <w:bCs/>
              </w:rPr>
              <w:t>Mgr. Adéla Hálová</w:t>
            </w:r>
          </w:p>
        </w:tc>
        <w:tc>
          <w:tcPr>
            <w:tcW w:w="2835" w:type="dxa"/>
            <w:vMerge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</w:p>
        </w:tc>
      </w:tr>
      <w:tr w:rsidR="0074733C" w:rsidRPr="0016732A" w:rsidTr="009F7BF1">
        <w:tc>
          <w:tcPr>
            <w:tcW w:w="1701" w:type="dxa"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  <w:r w:rsidRPr="0016732A">
              <w:rPr>
                <w:bCs/>
              </w:rPr>
              <w:t>vyšší soudní úřednice</w:t>
            </w:r>
          </w:p>
        </w:tc>
        <w:tc>
          <w:tcPr>
            <w:tcW w:w="2268" w:type="dxa"/>
          </w:tcPr>
          <w:p w:rsidR="0074733C" w:rsidRPr="0016732A" w:rsidRDefault="0074733C" w:rsidP="009F7BF1">
            <w:pPr>
              <w:tabs>
                <w:tab w:val="left" w:pos="742"/>
              </w:tabs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>Gabriela Bulawová</w:t>
            </w:r>
          </w:p>
          <w:p w:rsidR="0074733C" w:rsidRPr="0016732A" w:rsidRDefault="0074733C" w:rsidP="009F7BF1">
            <w:pPr>
              <w:autoSpaceDE w:val="0"/>
              <w:autoSpaceDN w:val="0"/>
              <w:ind w:firstLine="170"/>
              <w:jc w:val="both"/>
            </w:pPr>
            <w:r w:rsidRPr="0016732A">
              <w:rPr>
                <w:bCs/>
                <w:i/>
              </w:rPr>
              <w:t>zástup:</w:t>
            </w:r>
            <w:r w:rsidRPr="0016732A">
              <w:t xml:space="preserve"> </w:t>
            </w:r>
          </w:p>
          <w:p w:rsidR="0074733C" w:rsidRPr="0016732A" w:rsidRDefault="0074733C" w:rsidP="009F7BF1">
            <w:pPr>
              <w:autoSpaceDE w:val="0"/>
              <w:autoSpaceDN w:val="0"/>
              <w:ind w:firstLine="170"/>
              <w:jc w:val="both"/>
            </w:pPr>
            <w:r w:rsidRPr="0016732A">
              <w:rPr>
                <w:bCs/>
              </w:rPr>
              <w:t>K. Šrámková</w:t>
            </w:r>
          </w:p>
          <w:p w:rsidR="0074733C" w:rsidRPr="0016732A" w:rsidRDefault="0074733C" w:rsidP="009F7BF1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16732A">
              <w:rPr>
                <w:bCs/>
              </w:rPr>
              <w:t>E. Jandová</w:t>
            </w:r>
          </w:p>
        </w:tc>
        <w:tc>
          <w:tcPr>
            <w:tcW w:w="2552" w:type="dxa"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  <w:r w:rsidRPr="0016732A">
              <w:rPr>
                <w:bCs/>
              </w:rPr>
              <w:t>Mgr. Monika Petráčková</w:t>
            </w:r>
          </w:p>
        </w:tc>
        <w:tc>
          <w:tcPr>
            <w:tcW w:w="2835" w:type="dxa"/>
            <w:vMerge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</w:p>
        </w:tc>
      </w:tr>
      <w:tr w:rsidR="0074733C" w:rsidRPr="0016732A" w:rsidTr="009F7BF1">
        <w:tc>
          <w:tcPr>
            <w:tcW w:w="1701" w:type="dxa"/>
          </w:tcPr>
          <w:p w:rsidR="0074733C" w:rsidRPr="0016732A" w:rsidRDefault="0074733C" w:rsidP="009F7BF1">
            <w:pPr>
              <w:autoSpaceDE w:val="0"/>
              <w:autoSpaceDN w:val="0"/>
              <w:rPr>
                <w:bCs/>
              </w:rPr>
            </w:pPr>
            <w:r w:rsidRPr="0016732A">
              <w:rPr>
                <w:bCs/>
              </w:rPr>
              <w:t>soudní tajemník</w:t>
            </w:r>
          </w:p>
        </w:tc>
        <w:tc>
          <w:tcPr>
            <w:tcW w:w="2268" w:type="dxa"/>
          </w:tcPr>
          <w:p w:rsidR="0074733C" w:rsidRPr="0016732A" w:rsidRDefault="0074733C" w:rsidP="009F7BF1">
            <w:pPr>
              <w:tabs>
                <w:tab w:val="left" w:pos="742"/>
              </w:tabs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16732A">
              <w:rPr>
                <w:b/>
                <w:bCs/>
              </w:rPr>
              <w:t>Jan Ildža</w:t>
            </w:r>
          </w:p>
          <w:p w:rsidR="0074733C" w:rsidRPr="0016732A" w:rsidRDefault="0074733C" w:rsidP="009F7BF1">
            <w:pPr>
              <w:tabs>
                <w:tab w:val="left" w:pos="700"/>
                <w:tab w:val="left" w:pos="742"/>
              </w:tabs>
              <w:autoSpaceDE w:val="0"/>
              <w:autoSpaceDN w:val="0"/>
              <w:ind w:firstLine="170"/>
              <w:jc w:val="both"/>
            </w:pPr>
            <w:r w:rsidRPr="0016732A">
              <w:rPr>
                <w:bCs/>
                <w:i/>
              </w:rPr>
              <w:t>zástup</w:t>
            </w:r>
            <w:r w:rsidRPr="0016732A">
              <w:rPr>
                <w:bCs/>
              </w:rPr>
              <w:t>:</w:t>
            </w:r>
            <w:r w:rsidRPr="0016732A">
              <w:t xml:space="preserve"> </w:t>
            </w:r>
          </w:p>
          <w:p w:rsidR="0074733C" w:rsidRPr="0016732A" w:rsidRDefault="0074733C" w:rsidP="009F7BF1">
            <w:pPr>
              <w:tabs>
                <w:tab w:val="left" w:pos="742"/>
              </w:tabs>
              <w:autoSpaceDE w:val="0"/>
              <w:autoSpaceDN w:val="0"/>
              <w:rPr>
                <w:bCs/>
              </w:rPr>
            </w:pPr>
            <w:r w:rsidRPr="0016732A">
              <w:rPr>
                <w:bCs/>
              </w:rPr>
              <w:t>vyšší soudní úřednice opatrovnického oddělení podle obvodů dle přílohy č. 1</w:t>
            </w:r>
          </w:p>
        </w:tc>
        <w:tc>
          <w:tcPr>
            <w:tcW w:w="2552" w:type="dxa"/>
          </w:tcPr>
          <w:p w:rsidR="0074733C" w:rsidRPr="0016732A" w:rsidRDefault="0074733C" w:rsidP="009F7BF1">
            <w:pPr>
              <w:autoSpaceDE w:val="0"/>
              <w:autoSpaceDN w:val="0"/>
              <w:ind w:left="317"/>
              <w:contextualSpacing/>
              <w:jc w:val="both"/>
              <w:rPr>
                <w:bCs/>
              </w:rPr>
            </w:pPr>
            <w:r w:rsidRPr="0016732A">
              <w:rPr>
                <w:bCs/>
              </w:rPr>
              <w:t>JUDr. Jiří Vošvrda</w:t>
            </w:r>
          </w:p>
        </w:tc>
        <w:tc>
          <w:tcPr>
            <w:tcW w:w="2835" w:type="dxa"/>
          </w:tcPr>
          <w:p w:rsidR="0074733C" w:rsidRPr="0016732A" w:rsidRDefault="0074733C" w:rsidP="009F7BF1">
            <w:pPr>
              <w:autoSpaceDE w:val="0"/>
              <w:autoSpaceDN w:val="0"/>
              <w:ind w:left="317"/>
              <w:contextualSpacing/>
              <w:rPr>
                <w:bCs/>
              </w:rPr>
            </w:pPr>
            <w:r w:rsidRPr="0016732A">
              <w:rPr>
                <w:bCs/>
              </w:rPr>
              <w:t>provádí úkony podle § 6 odst. 2 písm. a), b), c), d), g), h), i), l), p), odst. 5 vyhlášky č. 37/1992  Sb.</w:t>
            </w:r>
          </w:p>
        </w:tc>
      </w:tr>
    </w:tbl>
    <w:p w:rsidR="0074733C" w:rsidRPr="0016732A" w:rsidRDefault="0074733C" w:rsidP="0074733C">
      <w:pPr>
        <w:tabs>
          <w:tab w:val="left" w:pos="527"/>
        </w:tabs>
      </w:pPr>
    </w:p>
    <w:p w:rsidR="0074733C" w:rsidRPr="0016732A" w:rsidRDefault="0074733C" w:rsidP="0074733C">
      <w:pPr>
        <w:tabs>
          <w:tab w:val="left" w:pos="527"/>
        </w:tabs>
      </w:pPr>
    </w:p>
    <w:p w:rsidR="0074733C" w:rsidRPr="0016732A" w:rsidRDefault="0074733C" w:rsidP="0074733C">
      <w:pPr>
        <w:tabs>
          <w:tab w:val="left" w:pos="527"/>
        </w:tabs>
        <w:jc w:val="both"/>
        <w:rPr>
          <w:i/>
        </w:rPr>
      </w:pPr>
      <w:r w:rsidRPr="0016732A">
        <w:rPr>
          <w:i/>
        </w:rPr>
        <w:t xml:space="preserve">Důvodem změny je jmenování Mgr. Bc. Veroniky Vlčkové soudkyní a její zařazení na opatrovnický úsek a následně pak zařazení Jana </w:t>
      </w:r>
      <w:proofErr w:type="spellStart"/>
      <w:r w:rsidRPr="0016732A">
        <w:rPr>
          <w:i/>
        </w:rPr>
        <w:t>Ildži</w:t>
      </w:r>
      <w:proofErr w:type="spellEnd"/>
      <w:r w:rsidRPr="0016732A">
        <w:rPr>
          <w:i/>
        </w:rPr>
        <w:t xml:space="preserve"> na pozici soudního tajemníka z důvodu zajištění rovnoměrného počtu středního odborného personálu na jednotlivých odděleních.</w:t>
      </w:r>
    </w:p>
    <w:p w:rsidR="0074733C" w:rsidRPr="0016732A" w:rsidRDefault="0074733C" w:rsidP="0074733C">
      <w:pPr>
        <w:tabs>
          <w:tab w:val="left" w:pos="527"/>
        </w:tabs>
      </w:pPr>
    </w:p>
    <w:p w:rsidR="0074733C" w:rsidRPr="0016732A" w:rsidRDefault="0074733C" w:rsidP="0074733C">
      <w:pPr>
        <w:pStyle w:val="Odstavecseseznamem"/>
        <w:numPr>
          <w:ilvl w:val="0"/>
          <w:numId w:val="1"/>
        </w:numPr>
      </w:pPr>
      <w:bookmarkStart w:id="8" w:name="_Toc120282853"/>
      <w:r w:rsidRPr="0016732A">
        <w:rPr>
          <w:b/>
          <w:bCs/>
        </w:rPr>
        <w:t xml:space="preserve">Asistent v soudním oddělení </w:t>
      </w:r>
      <w:bookmarkEnd w:id="8"/>
      <w:r w:rsidRPr="0016732A">
        <w:rPr>
          <w:b/>
          <w:bCs/>
        </w:rPr>
        <w:t xml:space="preserve">10 </w:t>
      </w:r>
      <w:r w:rsidRPr="0016732A">
        <w:rPr>
          <w:bCs/>
        </w:rPr>
        <w:t>(strana 29)</w:t>
      </w:r>
    </w:p>
    <w:p w:rsidR="0074733C" w:rsidRPr="0016732A" w:rsidRDefault="0074733C" w:rsidP="0074733C">
      <w:pPr>
        <w:pStyle w:val="Odstavecseseznamem"/>
        <w:numPr>
          <w:ilvl w:val="0"/>
          <w:numId w:val="2"/>
        </w:numPr>
        <w:tabs>
          <w:tab w:val="left" w:pos="6237"/>
        </w:tabs>
        <w:spacing w:after="120"/>
        <w:rPr>
          <w:bCs/>
        </w:rPr>
      </w:pPr>
      <w:r w:rsidRPr="0016732A">
        <w:rPr>
          <w:bCs/>
        </w:rPr>
        <w:t>ruší se pracovní pozice asistenta Mgr. Bc. Veroniky Vlčkové v soudním oddělení 10</w:t>
      </w:r>
    </w:p>
    <w:p w:rsidR="0074733C" w:rsidRPr="0016732A" w:rsidRDefault="0074733C" w:rsidP="0074733C">
      <w:pPr>
        <w:autoSpaceDE w:val="0"/>
        <w:autoSpaceDN w:val="0"/>
        <w:spacing w:before="240" w:after="120"/>
        <w:jc w:val="both"/>
        <w:rPr>
          <w:i/>
        </w:rPr>
      </w:pPr>
      <w:r w:rsidRPr="0016732A">
        <w:rPr>
          <w:i/>
        </w:rPr>
        <w:t>Důvodem změny je jmenování Mgr. Bc. Veroniky Vlčkové soudkyní.</w:t>
      </w:r>
    </w:p>
    <w:p w:rsidR="0074733C" w:rsidRPr="0016732A" w:rsidRDefault="0074733C" w:rsidP="0074733C">
      <w:pPr>
        <w:pStyle w:val="Odstavecseseznamem"/>
        <w:numPr>
          <w:ilvl w:val="0"/>
          <w:numId w:val="1"/>
        </w:numPr>
        <w:autoSpaceDE w:val="0"/>
        <w:autoSpaceDN w:val="0"/>
        <w:spacing w:before="240" w:after="120"/>
        <w:jc w:val="both"/>
        <w:rPr>
          <w:b/>
        </w:rPr>
      </w:pPr>
      <w:r w:rsidRPr="0016732A">
        <w:rPr>
          <w:b/>
        </w:rPr>
        <w:t>Vedoucí kanceláře (strana 30)</w:t>
      </w:r>
    </w:p>
    <w:p w:rsidR="0074733C" w:rsidRPr="0016732A" w:rsidRDefault="0074733C" w:rsidP="0074733C">
      <w:pPr>
        <w:autoSpaceDE w:val="0"/>
        <w:autoSpaceDN w:val="0"/>
        <w:spacing w:before="240" w:after="120"/>
        <w:jc w:val="both"/>
        <w:rPr>
          <w:b/>
          <w:bCs/>
        </w:rPr>
      </w:pPr>
      <w:r w:rsidRPr="0016732A">
        <w:rPr>
          <w:u w:val="single"/>
        </w:rPr>
        <w:t>Vedoucí kanceláře</w:t>
      </w:r>
      <w:r w:rsidRPr="0016732A">
        <w:rPr>
          <w:u w:val="single"/>
        </w:rPr>
        <w:tab/>
      </w:r>
      <w:r w:rsidRPr="0016732A">
        <w:rPr>
          <w:b/>
          <w:bCs/>
        </w:rPr>
        <w:t>Eva Kozáková</w:t>
      </w:r>
    </w:p>
    <w:p w:rsidR="0074733C" w:rsidRPr="0016732A" w:rsidRDefault="0074733C" w:rsidP="0074733C">
      <w:pPr>
        <w:autoSpaceDE w:val="0"/>
        <w:autoSpaceDN w:val="0"/>
        <w:spacing w:after="120"/>
        <w:ind w:left="709" w:hanging="142"/>
        <w:jc w:val="both"/>
        <w:rPr>
          <w:bCs/>
        </w:rPr>
      </w:pPr>
      <w:r w:rsidRPr="0016732A">
        <w:rPr>
          <w:bCs/>
        </w:rPr>
        <w:t xml:space="preserve">- vede rejstříky a pomocné evidence pro soudní oddělení 2, 7, 10, 11, 27 agendy </w:t>
      </w:r>
      <w:proofErr w:type="spellStart"/>
      <w:r w:rsidRPr="0016732A">
        <w:rPr>
          <w:bCs/>
        </w:rPr>
        <w:t>Nc</w:t>
      </w:r>
      <w:proofErr w:type="spellEnd"/>
      <w:r w:rsidRPr="0016732A">
        <w:rPr>
          <w:bCs/>
        </w:rPr>
        <w:t xml:space="preserve"> (opatrovnické oddíly) a P a </w:t>
      </w:r>
      <w:proofErr w:type="spellStart"/>
      <w:r w:rsidRPr="0016732A">
        <w:rPr>
          <w:bCs/>
        </w:rPr>
        <w:t>Nc</w:t>
      </w:r>
      <w:proofErr w:type="spellEnd"/>
      <w:r w:rsidRPr="0016732A">
        <w:rPr>
          <w:bCs/>
        </w:rPr>
        <w:t xml:space="preserve"> a přidělené věci v soudním oddělení 12 P, 0 P </w:t>
      </w:r>
    </w:p>
    <w:p w:rsidR="0074733C" w:rsidRPr="0016732A" w:rsidRDefault="0074733C" w:rsidP="0074733C">
      <w:pPr>
        <w:tabs>
          <w:tab w:val="left" w:pos="1560"/>
          <w:tab w:val="left" w:pos="2410"/>
          <w:tab w:val="left" w:pos="2977"/>
        </w:tabs>
        <w:autoSpaceDE w:val="0"/>
        <w:autoSpaceDN w:val="0"/>
        <w:jc w:val="both"/>
      </w:pPr>
      <w:r w:rsidRPr="0016732A">
        <w:rPr>
          <w:i/>
        </w:rPr>
        <w:tab/>
        <w:t>zástup:</w:t>
      </w:r>
      <w:r w:rsidRPr="0016732A">
        <w:rPr>
          <w:i/>
        </w:rPr>
        <w:tab/>
      </w:r>
      <w:r w:rsidRPr="0016732A">
        <w:t>V. Večeřová</w:t>
      </w:r>
    </w:p>
    <w:p w:rsidR="0074733C" w:rsidRPr="0016732A" w:rsidRDefault="0074733C" w:rsidP="0074733C">
      <w:pPr>
        <w:tabs>
          <w:tab w:val="left" w:pos="1560"/>
          <w:tab w:val="left" w:pos="2410"/>
          <w:tab w:val="left" w:pos="2977"/>
        </w:tabs>
        <w:autoSpaceDE w:val="0"/>
        <w:autoSpaceDN w:val="0"/>
        <w:spacing w:after="120"/>
        <w:ind w:left="3261" w:hanging="851"/>
        <w:jc w:val="both"/>
      </w:pPr>
      <w:r w:rsidRPr="0016732A">
        <w:t>R. Paulů</w:t>
      </w:r>
    </w:p>
    <w:p w:rsidR="0074733C" w:rsidRPr="0016732A" w:rsidRDefault="0074733C" w:rsidP="0074733C">
      <w:pPr>
        <w:tabs>
          <w:tab w:val="left" w:pos="2410"/>
        </w:tabs>
        <w:autoSpaceDE w:val="0"/>
        <w:autoSpaceDN w:val="0"/>
        <w:spacing w:after="120"/>
        <w:ind w:hanging="2977"/>
        <w:jc w:val="both"/>
        <w:rPr>
          <w:b/>
          <w:bCs/>
        </w:rPr>
      </w:pPr>
      <w:r w:rsidRPr="0016732A">
        <w:rPr>
          <w:b/>
          <w:bCs/>
        </w:rPr>
        <w:tab/>
      </w:r>
      <w:r w:rsidRPr="0016732A">
        <w:rPr>
          <w:u w:val="single"/>
        </w:rPr>
        <w:t>Vedoucí kanceláře</w:t>
      </w:r>
      <w:r w:rsidRPr="0016732A">
        <w:rPr>
          <w:u w:val="single"/>
        </w:rPr>
        <w:tab/>
      </w:r>
      <w:r w:rsidRPr="0016732A">
        <w:rPr>
          <w:b/>
          <w:bCs/>
        </w:rPr>
        <w:t>Veronika Večeřová</w:t>
      </w:r>
    </w:p>
    <w:p w:rsidR="0074733C" w:rsidRPr="0016732A" w:rsidRDefault="0074733C" w:rsidP="0074733C">
      <w:pPr>
        <w:autoSpaceDE w:val="0"/>
        <w:autoSpaceDN w:val="0"/>
        <w:spacing w:after="120"/>
        <w:ind w:left="709" w:hanging="142"/>
        <w:jc w:val="both"/>
      </w:pPr>
      <w:r w:rsidRPr="0016732A">
        <w:rPr>
          <w:b/>
          <w:bCs/>
        </w:rPr>
        <w:t xml:space="preserve">- </w:t>
      </w:r>
      <w:r w:rsidRPr="0016732A">
        <w:t xml:space="preserve">vede rejstříky a pomocné evidence </w:t>
      </w:r>
      <w:r w:rsidRPr="0016732A">
        <w:rPr>
          <w:bCs/>
        </w:rPr>
        <w:t xml:space="preserve">pro soudní oddělení 3, 4, 5, 8, 28 agendy </w:t>
      </w:r>
      <w:proofErr w:type="spellStart"/>
      <w:r w:rsidRPr="0016732A">
        <w:rPr>
          <w:bCs/>
        </w:rPr>
        <w:t>Nc</w:t>
      </w:r>
      <w:proofErr w:type="spellEnd"/>
      <w:r w:rsidRPr="0016732A">
        <w:rPr>
          <w:bCs/>
        </w:rPr>
        <w:t xml:space="preserve"> (opatrovnické oddíly) a P a </w:t>
      </w:r>
      <w:proofErr w:type="spellStart"/>
      <w:r w:rsidRPr="0016732A">
        <w:rPr>
          <w:bCs/>
        </w:rPr>
        <w:t>Nc</w:t>
      </w:r>
      <w:proofErr w:type="spellEnd"/>
      <w:r w:rsidRPr="0016732A">
        <w:rPr>
          <w:bCs/>
        </w:rPr>
        <w:t xml:space="preserve"> a přidělené věci v soudním oddělení 12 P, 0 P</w:t>
      </w:r>
    </w:p>
    <w:p w:rsidR="0074733C" w:rsidRPr="0016732A" w:rsidRDefault="0074733C" w:rsidP="0074733C">
      <w:pPr>
        <w:tabs>
          <w:tab w:val="left" w:pos="1560"/>
          <w:tab w:val="left" w:pos="2410"/>
        </w:tabs>
        <w:autoSpaceDE w:val="0"/>
        <w:autoSpaceDN w:val="0"/>
        <w:jc w:val="both"/>
      </w:pPr>
      <w:r w:rsidRPr="0016732A">
        <w:rPr>
          <w:i/>
        </w:rPr>
        <w:tab/>
        <w:t>zástup:</w:t>
      </w:r>
      <w:r w:rsidRPr="0016732A">
        <w:tab/>
        <w:t>E. Kozáková</w:t>
      </w:r>
    </w:p>
    <w:p w:rsidR="0074733C" w:rsidRPr="0016732A" w:rsidRDefault="0074733C" w:rsidP="0074733C">
      <w:pPr>
        <w:tabs>
          <w:tab w:val="left" w:pos="1560"/>
          <w:tab w:val="left" w:pos="2410"/>
        </w:tabs>
        <w:autoSpaceDE w:val="0"/>
        <w:autoSpaceDN w:val="0"/>
        <w:spacing w:after="240"/>
        <w:jc w:val="both"/>
      </w:pPr>
      <w:r w:rsidRPr="0016732A">
        <w:tab/>
      </w:r>
      <w:r w:rsidRPr="0016732A">
        <w:tab/>
        <w:t>B. Volfová</w:t>
      </w:r>
    </w:p>
    <w:p w:rsidR="0074733C" w:rsidRPr="0016732A" w:rsidRDefault="0074733C" w:rsidP="0074733C">
      <w:pPr>
        <w:pStyle w:val="Odstavecseseznamem"/>
        <w:ind w:left="426"/>
        <w:jc w:val="both"/>
        <w:rPr>
          <w:i/>
        </w:rPr>
      </w:pPr>
      <w:r w:rsidRPr="0016732A">
        <w:rPr>
          <w:i/>
        </w:rPr>
        <w:t>Důvodem změny je jmenování Mgr. Bc. Veroniky Vlčkové soudkyní</w:t>
      </w:r>
      <w:r w:rsidRPr="0016732A">
        <w:t xml:space="preserve"> </w:t>
      </w:r>
      <w:r w:rsidRPr="0016732A">
        <w:rPr>
          <w:i/>
        </w:rPr>
        <w:t xml:space="preserve">a zařazení soudního oddělení 8 pod vedoucí kanceláře s ohledem na </w:t>
      </w:r>
      <w:proofErr w:type="gramStart"/>
      <w:r w:rsidRPr="0016732A">
        <w:rPr>
          <w:i/>
        </w:rPr>
        <w:t>zajištění  s</w:t>
      </w:r>
      <w:r w:rsidRPr="0016732A">
        <w:rPr>
          <w:i/>
          <w:szCs w:val="22"/>
        </w:rPr>
        <w:t>tejného</w:t>
      </w:r>
      <w:proofErr w:type="gramEnd"/>
      <w:r w:rsidRPr="0016732A">
        <w:rPr>
          <w:i/>
          <w:szCs w:val="22"/>
        </w:rPr>
        <w:t xml:space="preserve"> pracovního vytížení jednotlivých vedoucích na opatrovnické agendě. </w:t>
      </w:r>
    </w:p>
    <w:p w:rsidR="0074733C" w:rsidRPr="0016732A" w:rsidRDefault="0074733C" w:rsidP="0074733C">
      <w:pPr>
        <w:pStyle w:val="Odstavecseseznamem"/>
      </w:pPr>
    </w:p>
    <w:p w:rsidR="0074733C" w:rsidRPr="0016732A" w:rsidRDefault="0074733C" w:rsidP="0074733C">
      <w:pPr>
        <w:pStyle w:val="Odstavecseseznamem"/>
      </w:pPr>
    </w:p>
    <w:p w:rsidR="0074733C" w:rsidRPr="0016732A" w:rsidRDefault="0074733C" w:rsidP="0074733C">
      <w:pPr>
        <w:pStyle w:val="Odstavecseseznamem"/>
        <w:keepNext/>
        <w:keepLines/>
        <w:numPr>
          <w:ilvl w:val="0"/>
          <w:numId w:val="1"/>
        </w:numPr>
        <w:spacing w:before="200" w:after="120" w:line="276" w:lineRule="auto"/>
        <w:outlineLvl w:val="1"/>
        <w:rPr>
          <w:rFonts w:eastAsiaTheme="majorEastAsia"/>
          <w:b/>
          <w:bCs/>
        </w:rPr>
      </w:pPr>
      <w:r w:rsidRPr="0016732A">
        <w:rPr>
          <w:rFonts w:eastAsiaTheme="majorEastAsia"/>
          <w:b/>
          <w:bCs/>
        </w:rPr>
        <w:t>Příloha č. 2 Rozdělení přísedících Okresního soudu v Trutnově</w:t>
      </w:r>
    </w:p>
    <w:p w:rsidR="0074733C" w:rsidRPr="0016732A" w:rsidRDefault="0074733C" w:rsidP="0074733C">
      <w:pPr>
        <w:keepNext/>
        <w:keepLines/>
        <w:spacing w:before="200" w:after="120"/>
        <w:ind w:left="360"/>
        <w:outlineLvl w:val="1"/>
        <w:rPr>
          <w:rFonts w:eastAsiaTheme="majorEastAsia"/>
          <w:bCs/>
        </w:rPr>
      </w:pPr>
      <w:r w:rsidRPr="0016732A">
        <w:rPr>
          <w:rFonts w:eastAsiaTheme="majorEastAsia"/>
          <w:b/>
          <w:bCs/>
        </w:rPr>
        <w:t xml:space="preserve">Trestní oddělení a soud pro mládež </w:t>
      </w:r>
      <w:r w:rsidRPr="0016732A">
        <w:rPr>
          <w:rFonts w:eastAsiaTheme="majorEastAsia"/>
          <w:bCs/>
        </w:rPr>
        <w:t>(strana 37)</w:t>
      </w:r>
    </w:p>
    <w:p w:rsidR="0074733C" w:rsidRPr="0016732A" w:rsidRDefault="0074733C" w:rsidP="0074733C">
      <w:pPr>
        <w:spacing w:after="120" w:line="276" w:lineRule="auto"/>
        <w:ind w:left="360"/>
        <w:jc w:val="both"/>
        <w:rPr>
          <w:rFonts w:eastAsiaTheme="minorHAnsi" w:cstheme="minorBidi"/>
          <w:lang w:eastAsia="en-US"/>
        </w:rPr>
      </w:pPr>
      <w:r w:rsidRPr="0016732A">
        <w:rPr>
          <w:rFonts w:eastAsiaTheme="minorHAnsi" w:cstheme="minorBidi"/>
          <w:lang w:eastAsia="en-US"/>
        </w:rPr>
        <w:t>Ze soudního oddělení 17 T se vypouští přísedící JUDr. Danuše Holubová.</w:t>
      </w:r>
    </w:p>
    <w:p w:rsidR="0074733C" w:rsidRPr="0016732A" w:rsidRDefault="0074733C" w:rsidP="0074733C">
      <w:pPr>
        <w:spacing w:after="120" w:line="276" w:lineRule="auto"/>
        <w:jc w:val="both"/>
        <w:rPr>
          <w:rFonts w:eastAsiaTheme="minorHAnsi" w:cstheme="minorBidi"/>
          <w:i/>
          <w:lang w:eastAsia="en-US"/>
        </w:rPr>
      </w:pPr>
      <w:r w:rsidRPr="0016732A">
        <w:rPr>
          <w:rFonts w:eastAsiaTheme="minorHAnsi" w:cstheme="minorBidi"/>
          <w:bCs/>
          <w:i/>
          <w:lang w:eastAsia="en-US"/>
        </w:rPr>
        <w:t xml:space="preserve">Důvodem změny je </w:t>
      </w:r>
      <w:r w:rsidRPr="0016732A">
        <w:rPr>
          <w:rFonts w:eastAsiaTheme="minorHAnsi" w:cstheme="minorBidi"/>
          <w:i/>
          <w:lang w:eastAsia="en-US"/>
        </w:rPr>
        <w:t>vypuštění soudní přísedící JUDr. Danuše Holubové, které skončilo funkční období.</w:t>
      </w:r>
    </w:p>
    <w:p w:rsidR="0074733C" w:rsidRPr="0016732A" w:rsidRDefault="0074733C" w:rsidP="0074733C">
      <w:pPr>
        <w:spacing w:after="120" w:line="276" w:lineRule="auto"/>
        <w:jc w:val="both"/>
        <w:rPr>
          <w:rFonts w:eastAsiaTheme="minorHAnsi" w:cstheme="minorBidi"/>
          <w:i/>
          <w:lang w:eastAsia="en-US"/>
        </w:rPr>
      </w:pPr>
    </w:p>
    <w:p w:rsidR="0074733C" w:rsidRPr="0016732A" w:rsidRDefault="0074733C" w:rsidP="0074733C">
      <w:pPr>
        <w:pStyle w:val="Odstavecseseznamem"/>
        <w:keepNext/>
        <w:numPr>
          <w:ilvl w:val="0"/>
          <w:numId w:val="1"/>
        </w:numPr>
        <w:autoSpaceDE w:val="0"/>
        <w:autoSpaceDN w:val="0"/>
        <w:outlineLvl w:val="0"/>
        <w:rPr>
          <w:b/>
        </w:rPr>
      </w:pPr>
      <w:bookmarkStart w:id="9" w:name="_Toc120282868"/>
      <w:bookmarkStart w:id="10" w:name="_Toc54253816"/>
      <w:r w:rsidRPr="0016732A">
        <w:rPr>
          <w:b/>
        </w:rPr>
        <w:t>Příloha č. 3</w:t>
      </w:r>
      <w:bookmarkEnd w:id="9"/>
      <w:r w:rsidRPr="0016732A">
        <w:rPr>
          <w:b/>
        </w:rPr>
        <w:t xml:space="preserve"> (strana 38)</w:t>
      </w:r>
    </w:p>
    <w:p w:rsidR="0074733C" w:rsidRPr="0016732A" w:rsidRDefault="0074733C" w:rsidP="0074733C">
      <w:pPr>
        <w:pStyle w:val="Odstavecseseznamem"/>
        <w:keepNext/>
        <w:autoSpaceDE w:val="0"/>
        <w:autoSpaceDN w:val="0"/>
        <w:outlineLvl w:val="0"/>
        <w:rPr>
          <w:b/>
        </w:rPr>
      </w:pPr>
      <w:r w:rsidRPr="0016732A">
        <w:rPr>
          <w:b/>
        </w:rPr>
        <w:t xml:space="preserve"> </w:t>
      </w:r>
      <w:bookmarkStart w:id="11" w:name="_Toc120282869"/>
      <w:r w:rsidRPr="0016732A">
        <w:rPr>
          <w:b/>
        </w:rPr>
        <w:t>Přístupy pracovníků do externích aplikací a informačních systémů</w:t>
      </w:r>
      <w:bookmarkEnd w:id="10"/>
      <w:bookmarkEnd w:id="11"/>
      <w:r w:rsidRPr="0016732A">
        <w:rPr>
          <w:b/>
        </w:rPr>
        <w:t xml:space="preserve"> </w:t>
      </w:r>
    </w:p>
    <w:p w:rsidR="0074733C" w:rsidRPr="0016732A" w:rsidRDefault="0074733C" w:rsidP="0074733C">
      <w:pPr>
        <w:pStyle w:val="Odstavecseseznamem"/>
        <w:spacing w:after="120" w:line="276" w:lineRule="auto"/>
        <w:jc w:val="both"/>
        <w:rPr>
          <w:rFonts w:eastAsiaTheme="minorHAnsi" w:cstheme="minorBidi"/>
          <w:lang w:eastAsia="en-US"/>
        </w:rPr>
      </w:pPr>
    </w:p>
    <w:p w:rsidR="0074733C" w:rsidRPr="0016732A" w:rsidRDefault="0074733C" w:rsidP="0074733C">
      <w:pPr>
        <w:pStyle w:val="Odstavecseseznamem"/>
      </w:pPr>
      <w:r w:rsidRPr="0016732A">
        <w:t>Odebírá se přístup asistentce Mgr. Bc. Veronice Vlčkové.</w:t>
      </w:r>
    </w:p>
    <w:p w:rsidR="0074733C" w:rsidRPr="0016732A" w:rsidRDefault="0074733C" w:rsidP="0074733C">
      <w:pPr>
        <w:pStyle w:val="Odstavecseseznamem"/>
      </w:pPr>
    </w:p>
    <w:p w:rsidR="0074733C" w:rsidRPr="0016732A" w:rsidRDefault="0074733C" w:rsidP="0074733C">
      <w:pPr>
        <w:pStyle w:val="Odstavecseseznamem"/>
        <w:rPr>
          <w:i/>
        </w:rPr>
      </w:pPr>
      <w:r w:rsidRPr="0016732A">
        <w:rPr>
          <w:i/>
        </w:rPr>
        <w:t>Důvodem změny je jmenování Mgr. Bc. Veroniky Vlčkové soudkyní.</w:t>
      </w:r>
    </w:p>
    <w:p w:rsidR="0074733C" w:rsidRPr="0016732A" w:rsidRDefault="0074733C" w:rsidP="0074733C">
      <w:pPr>
        <w:pStyle w:val="Odstavecseseznamem"/>
        <w:rPr>
          <w:i/>
        </w:rPr>
      </w:pPr>
    </w:p>
    <w:p w:rsidR="0074733C" w:rsidRPr="0016732A" w:rsidRDefault="0074733C" w:rsidP="0074733C">
      <w:r w:rsidRPr="0016732A">
        <w:t>Mgr. Miroslava Purkertová</w:t>
      </w:r>
    </w:p>
    <w:p w:rsidR="0074733C" w:rsidRPr="0016732A" w:rsidRDefault="0074733C" w:rsidP="0074733C">
      <w:r w:rsidRPr="0016732A">
        <w:t>předsedkyně soudu</w:t>
      </w:r>
    </w:p>
    <w:p w:rsidR="00390983" w:rsidRPr="0016732A" w:rsidRDefault="00390983" w:rsidP="0074733C"/>
    <w:sectPr w:rsidR="00390983" w:rsidRPr="0016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577"/>
    <w:multiLevelType w:val="hybridMultilevel"/>
    <w:tmpl w:val="E12E4456"/>
    <w:lvl w:ilvl="0" w:tplc="17069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90E48"/>
    <w:multiLevelType w:val="hybridMultilevel"/>
    <w:tmpl w:val="6FCEB9C0"/>
    <w:lvl w:ilvl="0" w:tplc="DA16FA6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3F6C2C"/>
    <w:multiLevelType w:val="hybridMultilevel"/>
    <w:tmpl w:val="2B52733E"/>
    <w:lvl w:ilvl="0" w:tplc="7F4E4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P č. 2 příprava.do 2023/02/15 13:10:5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DF6540"/>
    <w:rsid w:val="00021514"/>
    <w:rsid w:val="000530A5"/>
    <w:rsid w:val="00057926"/>
    <w:rsid w:val="000A3CF5"/>
    <w:rsid w:val="000B641E"/>
    <w:rsid w:val="000F4258"/>
    <w:rsid w:val="0014230C"/>
    <w:rsid w:val="00146F82"/>
    <w:rsid w:val="0016732A"/>
    <w:rsid w:val="00182388"/>
    <w:rsid w:val="001853FB"/>
    <w:rsid w:val="001B6E62"/>
    <w:rsid w:val="00207F19"/>
    <w:rsid w:val="0024089F"/>
    <w:rsid w:val="00280F16"/>
    <w:rsid w:val="0028781D"/>
    <w:rsid w:val="00295787"/>
    <w:rsid w:val="002C6443"/>
    <w:rsid w:val="002F0BC6"/>
    <w:rsid w:val="002F6459"/>
    <w:rsid w:val="0030732D"/>
    <w:rsid w:val="0031178C"/>
    <w:rsid w:val="00314B82"/>
    <w:rsid w:val="00345755"/>
    <w:rsid w:val="0036257E"/>
    <w:rsid w:val="003854E8"/>
    <w:rsid w:val="00390983"/>
    <w:rsid w:val="003A5BC3"/>
    <w:rsid w:val="003B0671"/>
    <w:rsid w:val="00404E6E"/>
    <w:rsid w:val="00407C8E"/>
    <w:rsid w:val="00463DA3"/>
    <w:rsid w:val="004765F8"/>
    <w:rsid w:val="0047669F"/>
    <w:rsid w:val="004960CD"/>
    <w:rsid w:val="004D57ED"/>
    <w:rsid w:val="004F72B4"/>
    <w:rsid w:val="0051616A"/>
    <w:rsid w:val="0055308A"/>
    <w:rsid w:val="00590982"/>
    <w:rsid w:val="00595106"/>
    <w:rsid w:val="00646567"/>
    <w:rsid w:val="00687577"/>
    <w:rsid w:val="006B61BD"/>
    <w:rsid w:val="0073522F"/>
    <w:rsid w:val="00735282"/>
    <w:rsid w:val="0073549F"/>
    <w:rsid w:val="00736C81"/>
    <w:rsid w:val="0074733C"/>
    <w:rsid w:val="00763707"/>
    <w:rsid w:val="00782580"/>
    <w:rsid w:val="007A4086"/>
    <w:rsid w:val="007E1DC8"/>
    <w:rsid w:val="007E4B5B"/>
    <w:rsid w:val="00823485"/>
    <w:rsid w:val="00827391"/>
    <w:rsid w:val="00852A59"/>
    <w:rsid w:val="00864D97"/>
    <w:rsid w:val="008D36B4"/>
    <w:rsid w:val="008E2404"/>
    <w:rsid w:val="00911200"/>
    <w:rsid w:val="009627C4"/>
    <w:rsid w:val="00972A88"/>
    <w:rsid w:val="009C6F7C"/>
    <w:rsid w:val="009D7A1C"/>
    <w:rsid w:val="009E0D26"/>
    <w:rsid w:val="009E1255"/>
    <w:rsid w:val="009F7BF1"/>
    <w:rsid w:val="00A03835"/>
    <w:rsid w:val="00A120C6"/>
    <w:rsid w:val="00A15F3F"/>
    <w:rsid w:val="00A30428"/>
    <w:rsid w:val="00A46A87"/>
    <w:rsid w:val="00A73DCB"/>
    <w:rsid w:val="00A82DA8"/>
    <w:rsid w:val="00A8379B"/>
    <w:rsid w:val="00A8499F"/>
    <w:rsid w:val="00A90A80"/>
    <w:rsid w:val="00AB311B"/>
    <w:rsid w:val="00AB6800"/>
    <w:rsid w:val="00AC768D"/>
    <w:rsid w:val="00AD2857"/>
    <w:rsid w:val="00AE20CC"/>
    <w:rsid w:val="00AF4023"/>
    <w:rsid w:val="00AF4D0F"/>
    <w:rsid w:val="00B1772A"/>
    <w:rsid w:val="00B20805"/>
    <w:rsid w:val="00B711D1"/>
    <w:rsid w:val="00B83CBA"/>
    <w:rsid w:val="00BF5717"/>
    <w:rsid w:val="00C532BB"/>
    <w:rsid w:val="00CA1679"/>
    <w:rsid w:val="00CD7897"/>
    <w:rsid w:val="00CE62B6"/>
    <w:rsid w:val="00D13A32"/>
    <w:rsid w:val="00D47871"/>
    <w:rsid w:val="00D67694"/>
    <w:rsid w:val="00D87ADE"/>
    <w:rsid w:val="00D92A6B"/>
    <w:rsid w:val="00DB4D0F"/>
    <w:rsid w:val="00DF6540"/>
    <w:rsid w:val="00E0647B"/>
    <w:rsid w:val="00E8341F"/>
    <w:rsid w:val="00E85214"/>
    <w:rsid w:val="00EB2632"/>
    <w:rsid w:val="00EB5B43"/>
    <w:rsid w:val="00EC1E08"/>
    <w:rsid w:val="00EC2A94"/>
    <w:rsid w:val="00ED2B8A"/>
    <w:rsid w:val="00ED6723"/>
    <w:rsid w:val="00EF5692"/>
    <w:rsid w:val="00F04406"/>
    <w:rsid w:val="00F122CA"/>
    <w:rsid w:val="00F256AB"/>
    <w:rsid w:val="00F8163C"/>
    <w:rsid w:val="00FB714F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4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540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B20805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4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540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B20805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2159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3</cp:revision>
  <cp:lastPrinted>2023-01-23T13:02:00Z</cp:lastPrinted>
  <dcterms:created xsi:type="dcterms:W3CDTF">2023-02-15T12:17:00Z</dcterms:created>
  <dcterms:modified xsi:type="dcterms:W3CDTF">2023-02-15T13:07:00Z</dcterms:modified>
</cp:coreProperties>
</file>