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center"/>
        <w:rPr>
          <w:rFonts w:ascii="Garamond" w:hAnsi="Garamond" w:cs="Arial"/>
          <w:b/>
          <w:sz w:val="24"/>
          <w:szCs w:val="24"/>
          <w:u w:val="single"/>
        </w:rPr>
      </w:pPr>
      <w:r w:rsidRPr="005265EB">
        <w:rPr>
          <w:rFonts w:ascii="Garamond" w:hAnsi="Garamond" w:cs="Arial"/>
          <w:b/>
          <w:sz w:val="24"/>
          <w:szCs w:val="24"/>
          <w:u w:val="single"/>
        </w:rPr>
        <w:t>U P O Z O R N Ě N Í</w:t>
      </w:r>
    </w:p>
    <w:p w:rsidR="00EB2FD2" w:rsidRPr="005265EB" w:rsidRDefault="00EB2FD2" w:rsidP="00654116">
      <w:pPr>
        <w:widowControl w:val="0"/>
        <w:autoSpaceDE w:val="0"/>
        <w:autoSpaceDN w:val="0"/>
        <w:adjustRightInd w:val="0"/>
        <w:spacing w:after="0" w:line="240" w:lineRule="auto"/>
        <w:jc w:val="center"/>
        <w:rPr>
          <w:rFonts w:ascii="Garamond" w:hAnsi="Garamond" w:cs="Arial"/>
          <w:b/>
          <w:sz w:val="24"/>
          <w:szCs w:val="24"/>
          <w:u w:val="single"/>
        </w:rPr>
      </w:pP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p>
    <w:p w:rsidR="00654116" w:rsidRPr="005265EB" w:rsidRDefault="00EB2FD2" w:rsidP="00654116">
      <w:pPr>
        <w:widowControl w:val="0"/>
        <w:autoSpaceDE w:val="0"/>
        <w:autoSpaceDN w:val="0"/>
        <w:adjustRightInd w:val="0"/>
        <w:spacing w:after="0" w:line="240" w:lineRule="auto"/>
        <w:jc w:val="both"/>
        <w:rPr>
          <w:rFonts w:ascii="Garamond" w:hAnsi="Garamond" w:cs="Arial"/>
          <w:bCs/>
          <w:sz w:val="24"/>
          <w:szCs w:val="24"/>
        </w:rPr>
      </w:pPr>
      <w:r w:rsidRPr="005265EB">
        <w:rPr>
          <w:rFonts w:ascii="Garamond" w:hAnsi="Garamond" w:cs="Arial"/>
          <w:sz w:val="24"/>
          <w:szCs w:val="24"/>
        </w:rPr>
        <w:t>Ke dni 5. 10. 2021</w:t>
      </w:r>
      <w:r w:rsidR="00654116" w:rsidRPr="005265EB">
        <w:rPr>
          <w:rFonts w:ascii="Garamond" w:hAnsi="Garamond" w:cs="Arial"/>
          <w:sz w:val="24"/>
          <w:szCs w:val="24"/>
        </w:rPr>
        <w:t xml:space="preserve"> </w:t>
      </w:r>
      <w:r w:rsidRPr="005265EB">
        <w:rPr>
          <w:rFonts w:ascii="Garamond" w:hAnsi="Garamond" w:cs="Arial"/>
          <w:sz w:val="24"/>
          <w:szCs w:val="24"/>
        </w:rPr>
        <w:t>nabyl</w:t>
      </w:r>
      <w:r w:rsidR="00654116" w:rsidRPr="005265EB">
        <w:rPr>
          <w:rFonts w:ascii="Garamond" w:hAnsi="Garamond" w:cs="Arial"/>
          <w:sz w:val="24"/>
          <w:szCs w:val="24"/>
        </w:rPr>
        <w:t xml:space="preserve"> </w:t>
      </w:r>
      <w:r w:rsidRPr="005265EB">
        <w:rPr>
          <w:rFonts w:ascii="Garamond" w:hAnsi="Garamond" w:cs="Arial"/>
          <w:sz w:val="24"/>
          <w:szCs w:val="24"/>
        </w:rPr>
        <w:t xml:space="preserve">účinnosti zákon č. 286/2021 Sb., ze dne 7. 7. 2021, </w:t>
      </w:r>
      <w:r w:rsidRPr="005265EB">
        <w:rPr>
          <w:rFonts w:ascii="Garamond" w:hAnsi="Garamond" w:cs="Arial"/>
          <w:bCs/>
          <w:sz w:val="24"/>
          <w:szCs w:val="24"/>
        </w:rPr>
        <w:t xml:space="preserve">kterým se mění zákon č. </w:t>
      </w:r>
      <w:hyperlink r:id="rId5" w:history="1">
        <w:r w:rsidRPr="005265EB">
          <w:rPr>
            <w:rFonts w:ascii="Garamond" w:hAnsi="Garamond" w:cs="Arial"/>
            <w:bCs/>
            <w:sz w:val="24"/>
            <w:szCs w:val="24"/>
            <w:u w:val="single"/>
          </w:rPr>
          <w:t>99/1963 Sb.</w:t>
        </w:r>
      </w:hyperlink>
      <w:r w:rsidRPr="005265EB">
        <w:rPr>
          <w:rFonts w:ascii="Garamond" w:hAnsi="Garamond" w:cs="Arial"/>
          <w:bCs/>
          <w:sz w:val="24"/>
          <w:szCs w:val="24"/>
        </w:rPr>
        <w:t xml:space="preserve">, občanský soudní řád, ve znění pozdějších předpisů, zákon č. </w:t>
      </w:r>
      <w:hyperlink r:id="rId6" w:history="1">
        <w:r w:rsidRPr="005265EB">
          <w:rPr>
            <w:rFonts w:ascii="Garamond" w:hAnsi="Garamond" w:cs="Arial"/>
            <w:bCs/>
            <w:sz w:val="24"/>
            <w:szCs w:val="24"/>
          </w:rPr>
          <w:t>120/2001 Sb.</w:t>
        </w:r>
      </w:hyperlink>
      <w:r w:rsidRPr="005265EB">
        <w:rPr>
          <w:rFonts w:ascii="Garamond" w:hAnsi="Garamond" w:cs="Arial"/>
          <w:bCs/>
          <w:sz w:val="24"/>
          <w:szCs w:val="24"/>
        </w:rPr>
        <w:t>, o soudních exekutorech a exekuční činnosti (</w:t>
      </w:r>
      <w:hyperlink r:id="rId7" w:history="1">
        <w:r w:rsidRPr="005265EB">
          <w:rPr>
            <w:rFonts w:ascii="Garamond" w:hAnsi="Garamond" w:cs="Arial"/>
            <w:bCs/>
            <w:sz w:val="24"/>
            <w:szCs w:val="24"/>
          </w:rPr>
          <w:t>exekuční řád</w:t>
        </w:r>
      </w:hyperlink>
      <w:r w:rsidRPr="005265EB">
        <w:rPr>
          <w:rFonts w:ascii="Garamond" w:hAnsi="Garamond" w:cs="Arial"/>
          <w:bCs/>
          <w:sz w:val="24"/>
          <w:szCs w:val="24"/>
        </w:rPr>
        <w:t xml:space="preserve">) a o změně dalších zákonů, ve znění pozdějších předpisů, a některé další zákony, jehož součástí je i </w:t>
      </w:r>
      <w:r w:rsidRPr="005265EB">
        <w:rPr>
          <w:rFonts w:ascii="Garamond" w:hAnsi="Garamond" w:cs="Arial"/>
          <w:sz w:val="24"/>
          <w:szCs w:val="24"/>
        </w:rPr>
        <w:t xml:space="preserve">ustanovení části druhé </w:t>
      </w:r>
      <w:hyperlink r:id="rId8" w:history="1">
        <w:r w:rsidRPr="005265EB">
          <w:rPr>
            <w:rFonts w:ascii="Garamond" w:hAnsi="Garamond" w:cs="Arial"/>
            <w:sz w:val="24"/>
            <w:szCs w:val="24"/>
          </w:rPr>
          <w:t>čl. IV</w:t>
        </w:r>
      </w:hyperlink>
      <w:r w:rsidRPr="005265EB">
        <w:rPr>
          <w:rFonts w:ascii="Garamond" w:hAnsi="Garamond" w:cs="Arial"/>
          <w:sz w:val="24"/>
          <w:szCs w:val="24"/>
        </w:rPr>
        <w:t xml:space="preserve"> bodu 25, </w:t>
      </w:r>
      <w:r w:rsidRPr="005265EB">
        <w:rPr>
          <w:rFonts w:ascii="Garamond" w:hAnsi="Garamond" w:cs="Arial"/>
          <w:b/>
          <w:sz w:val="24"/>
          <w:szCs w:val="24"/>
          <w:u w:val="single"/>
        </w:rPr>
        <w:t>týkající se zastavení exekučního řízení soudním exekutorem</w:t>
      </w:r>
      <w:r w:rsidRPr="005265EB">
        <w:rPr>
          <w:rFonts w:ascii="Garamond" w:hAnsi="Garamond" w:cs="Arial"/>
          <w:sz w:val="24"/>
          <w:szCs w:val="24"/>
        </w:rPr>
        <w:t>,  a to v tomto znění:</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(1) Řízení zahájená přede dnem nabytí účinnosti tohoto zákona, ve kterých je povinným fyzická osoba a oprávněným je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a) Česká republika,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b) územní samosprávný celek, včetně městské části nebo městského obvodu územně členěného statutárního města nebo městské části hlavního města Prahy,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c) státní příspěvková organizace,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d) státní fond,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e) veřejná výzkumná instituce nebo veřejná vysoká škola,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f) dobrovolný svazek obcí,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g) regionální rada regionu soudržnosti,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h) příspěvková organizace územního samosprávného celku,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i) ústav založený státem nebo územním samosprávným celkem,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j) obecně prospěšná společnost založená státem nebo územním samosprávným celkem,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k) státní podnik nebo národní podnik,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l) zdravotní pojišťovna,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m) Český rozhlas nebo Česká televize, nebo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n) právnická osoba, v níž má stát nebo územní samosprávný celek sám nebo s jinými územními samosprávnými celky většinovou majetkovou účast, a to i prostřednictvím jiné právnické osoby (dále jen "veřejnoprávní oprávnění")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exekutor i bez souhlasu oprávněného a bez návrhu exekuci zastaví, pokud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1. uhradí povinný do tří měsíců ode dne nabytí účinnosti tohoto zákona nezaplacenou nebo jinak nezaniklou jistinu vymáhanou v exekučním řízení a na nákladech exekuce částku 750 Kč zvýšenou o daň z přidané hodnoty, je-li exekutor plátcem daně z přidané hodnoty, nebo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 xml:space="preserve">2. byla ke dni nabytí účinnosti tohoto zákona v exekučním řízení vymožena nejméně celá vymáhaná jistina a 750 Kč zvýšených o daň z přidané hodnoty, je-li exekutor plátcem daně z přidané hodnoty, a takto vymožené plnění není dotčeno právy třetích osob.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Nebyla-li exekuce ještě nařízena, exekutor zastaví exekuční řízení. Je-li exekuce vedena jen pro část jistiny, postupuje se podle ustanovení tohoto bodu přiměřeně a povinný může doplatit pouze nezaplacenou nebo jinak nezaniklou část jistiny vymáhané v exekučním řízení a na nákladech exekuce částku 750 Kč zvýšenou o daň z přidané hodnoty, je-li exekutor plátcem daně z přidané hodnoty. Je-li exekuce vedena jen pro vymožení příslušenství vzniklého podle hmotného práva, má se za to, že celá jistina byla vymožena a postupuje se podle ustanovení tohoto bodu přiměřeně. Ustanovení tohoto odstavce se vztahují přiměřeně i na pohledávky veřejnoprávních oprávněných, kteří jsou dalšími oprávněnými, zástavními věřiteli nebo přihlášenými věřiteli v exekučním řízení.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(2) Částka 750 Kč se považuje za paušální výši nákladů exekuce zahrnující odměnu exekutora i jeho hotové výdaje.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(3) Po zaplacení jistiny vymáhané v exekučním řízení a nákladů exekuce ve výši 750 Kč zvýšených o daň z přidané hodnoty, je-li exekutor plátcem daně z přidané hodnoty, vydá exekutor rozhodnutí, jímž povinného, který je fyzickou osobou, osvobodí od placení veškerých dalších vymáhaných pohledávek přesahujících zaplacenou jistinu v exekučním řízení v rozsahu, v němž nebyly dosud uspokojeny, a povinným zaplacenou jistinu vyplatí oprávněnému, dalšímu oprávněnému, věřiteli ze zástavního práva anebo přihlášenému věřiteli podle toho, čí jistinu povinný zaplatil. Vymožené, avšak oprávněnému nevyplacené plnění, se použije na úhradu nezaplacených anebo nezaniklých pohledávek dalších oprávněných, pohledávek zajištěných zástavním právem a pohledávek přihlášených do exekuce podle pravidel pro rozvrh. Není-li jich, vyplatí se vymožené, avšak nevyplacené plnění, povinnému. S rozhodnutím o osvobození od placení spojí exekutor i bez návrhu rozhodnutí o zastavení exekuce v rozsahu zaplacených anebo zaniklých pohledávek, ledaže jsou do exekuce přihlášeny další pohledávky, které postupem podle tohoto odstavce nebo jinak nezanikly a exekuce tak k jejich vymožení trvá. Veškeré dosud vymožené a vyplacené plnění na jakýkoliv nárok, byť by přesahovalo vymáhanou jistinu v exekučním řízení, přísluší tomu, komu již bylo vyplaceno. Vymáhané příslušenství pohledávky, od jehož placení je dlužník osvobozen, zaniká právní mocí usnesení exekutora o osvobození od placení.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(4) Je-li vymáhaných jistin veřejnoprávních oprávněných v postavení oprávněného, dalšího oprávněného, věřitelů ze zástavního práva anebo přihlášených věřitelů v jednom exekučním řízení více, použije se ustanovení odstavce 1 na každou jistinu vymáhanou v exekučním řízení zvlášť s tím, že v případě zaplacení jen některých jistin vymáhaných v exekučním řízení zanikají pouze pohledávky, které jsou příslušenstvím zaplacené jistiny. O osvobození od placení a zastavení exekuce rozhodne exekutor pouze v rozsahu, v němž pohledávky zanikly.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(5) Osvobození podle odstavců 3 a 4 se vztahuje i na ručitele a jiné osoby, které měly vůči povinnému pro tyto pohledávky právo postihu.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(6) Proti rozhodnutí, jímž exekutor přizná povinnému osvobození podle odstavce 3 anebo 4, se může odvolat pouze oprávněný, další oprávněný, věřitel ze zástavního práva a přihlášený věřitel, v případě, že jejich pohledávka na jistině vymáhaná v exekučním řízení vůči povinnému nebyla v exekučním řízení zcela uspokojena. Odvoláním však lze namítat pouze to, že nebyly splněny předpoklady pro přiznání osvobození povinnému.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(7) Ustanovení předchozích odstavců se vztahují obdobně i na pohledávky dalších oprávněných, pohledávky zajištěné zástavním právem anebo pohledávky přihlášené do exekučního řízení, jde-li o pohledávky veřejnoprávních oprávněných. </w:t>
      </w:r>
    </w:p>
    <w:p w:rsidR="00654116" w:rsidRPr="005265EB" w:rsidRDefault="00654116" w:rsidP="00654116">
      <w:pPr>
        <w:widowControl w:val="0"/>
        <w:autoSpaceDE w:val="0"/>
        <w:autoSpaceDN w:val="0"/>
        <w:adjustRightInd w:val="0"/>
        <w:spacing w:after="0" w:line="240" w:lineRule="auto"/>
        <w:rPr>
          <w:rFonts w:ascii="Garamond" w:hAnsi="Garamond" w:cs="Arial"/>
          <w:sz w:val="24"/>
          <w:szCs w:val="24"/>
        </w:rPr>
      </w:pPr>
      <w:r w:rsidRPr="005265EB">
        <w:rPr>
          <w:rFonts w:ascii="Garamond" w:hAnsi="Garamond" w:cs="Arial"/>
          <w:sz w:val="24"/>
          <w:szCs w:val="24"/>
        </w:rPr>
        <w:t xml:space="preserve"> </w:t>
      </w:r>
    </w:p>
    <w:p w:rsidR="00654116" w:rsidRPr="005265EB" w:rsidRDefault="00654116" w:rsidP="00654116">
      <w:pPr>
        <w:widowControl w:val="0"/>
        <w:autoSpaceDE w:val="0"/>
        <w:autoSpaceDN w:val="0"/>
        <w:adjustRightInd w:val="0"/>
        <w:spacing w:after="0" w:line="240" w:lineRule="auto"/>
        <w:jc w:val="both"/>
        <w:rPr>
          <w:rFonts w:ascii="Garamond" w:hAnsi="Garamond" w:cs="Arial"/>
          <w:sz w:val="24"/>
          <w:szCs w:val="24"/>
        </w:rPr>
      </w:pPr>
      <w:r w:rsidRPr="005265EB">
        <w:rPr>
          <w:rFonts w:ascii="Garamond" w:hAnsi="Garamond" w:cs="Arial"/>
          <w:sz w:val="24"/>
          <w:szCs w:val="24"/>
        </w:rPr>
        <w:tab/>
        <w:t xml:space="preserve">(8) Ustanovení odstavců 1 až 7 se nevztahují na peněžité tresty nebo jiné majetkové sankce, které byly dlužníku uloženy v trestním řízení pro úmyslný trestný čin, pohledávky na náhradu škody způsobené úmyslným porušením právní povinnosti a dále pohledávky věřitelů na výživném ze zákona, pohledávky za náhradní výživné podle jiného zákona a pohledávky věřitelů na náhradu škody způsobené na zdraví. </w:t>
      </w:r>
    </w:p>
    <w:p w:rsidR="00E61CF5" w:rsidRPr="005265EB" w:rsidRDefault="00E45A91">
      <w:pPr>
        <w:rPr>
          <w:rFonts w:ascii="Garamond" w:hAnsi="Garamond"/>
          <w:sz w:val="24"/>
          <w:szCs w:val="24"/>
        </w:rPr>
      </w:pPr>
    </w:p>
    <w:p w:rsidR="00EC1DB5" w:rsidRPr="005265EB" w:rsidRDefault="00EC1DB5">
      <w:pPr>
        <w:rPr>
          <w:rFonts w:ascii="Garamond" w:hAnsi="Garamond"/>
          <w:sz w:val="24"/>
          <w:szCs w:val="24"/>
        </w:rPr>
      </w:pPr>
    </w:p>
    <w:p w:rsidR="00EC1DB5" w:rsidRPr="005265EB" w:rsidRDefault="00EC1DB5">
      <w:pPr>
        <w:rPr>
          <w:rFonts w:ascii="Garamond" w:hAnsi="Garamond"/>
          <w:sz w:val="24"/>
          <w:szCs w:val="24"/>
        </w:rPr>
      </w:pPr>
      <w:r w:rsidRPr="005265EB">
        <w:rPr>
          <w:rFonts w:ascii="Garamond" w:hAnsi="Garamond"/>
          <w:sz w:val="24"/>
          <w:szCs w:val="24"/>
        </w:rPr>
        <w:t>Mgr. Miroslava Purkertová</w:t>
      </w:r>
    </w:p>
    <w:p w:rsidR="00EC1DB5" w:rsidRPr="005265EB" w:rsidRDefault="00EC1DB5">
      <w:pPr>
        <w:rPr>
          <w:rFonts w:ascii="Garamond" w:hAnsi="Garamond"/>
          <w:sz w:val="24"/>
          <w:szCs w:val="24"/>
        </w:rPr>
      </w:pPr>
      <w:r w:rsidRPr="005265EB">
        <w:rPr>
          <w:rFonts w:ascii="Garamond" w:hAnsi="Garamond"/>
          <w:sz w:val="24"/>
          <w:szCs w:val="24"/>
        </w:rPr>
        <w:t>předsedkyně Okresního soudu v Trutnově</w:t>
      </w:r>
    </w:p>
    <w:sectPr w:rsidR="00EC1DB5" w:rsidRPr="00526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milostivé léto.docx 2021/10/11 11:19:07"/>
    <w:docVar w:name="DOKUMENT_ADRESAR_FS" w:val="C:\TMP\DB"/>
    <w:docVar w:name="DOKUMENT_AUTOMATICKE_UKLADANI" w:val="ANO"/>
    <w:docVar w:name="DOKUMENT_PERIODA_UKLADANI" w:val="5"/>
    <w:docVar w:name="DOKUMENT_ULOZIT_JAKO_DOCX" w:val="NE"/>
  </w:docVars>
  <w:rsids>
    <w:rsidRoot w:val="00654116"/>
    <w:rsid w:val="005265EB"/>
    <w:rsid w:val="00654116"/>
    <w:rsid w:val="00C532BB"/>
    <w:rsid w:val="00CA1679"/>
    <w:rsid w:val="00EB2FD2"/>
    <w:rsid w:val="00EC1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116"/>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116"/>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286/2021%20Sb.%2523%25C8l.IV'&amp;ucin-k-dni='30.12.9999'" TargetMode="External"/><Relationship Id="rId3" Type="http://schemas.openxmlformats.org/officeDocument/2006/relationships/settings" Target="settings.xml"/><Relationship Id="rId7" Type="http://schemas.openxmlformats.org/officeDocument/2006/relationships/hyperlink" Target="aspi://module='ASPI'&amp;link='120/2001%20Sb.%2523'&amp;ucin-k-dni='30.12.99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spi://module='ASPI'&amp;link='120/2001%20Sb.%2523'&amp;ucin-k-dni='30.12.9999'" TargetMode="External"/><Relationship Id="rId5" Type="http://schemas.openxmlformats.org/officeDocument/2006/relationships/hyperlink" Target="aspi://module='ASPI'&amp;link='99/1963%20Sb.%2523'&amp;ucin-k-dni='30.12.99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67</TotalTime>
  <Pages>1</Pages>
  <Words>962</Words>
  <Characters>5679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OS v Trutnově</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Purkertová Miroslava Mgr.</dc:creator>
  <cp:lastModifiedBy>Purkertová Miroslava Mgr.</cp:lastModifiedBy>
  <cp:revision>2</cp:revision>
  <cp:lastPrinted>2021-10-11T09:17:00Z</cp:lastPrinted>
  <dcterms:created xsi:type="dcterms:W3CDTF">2021-10-11T08:08:00Z</dcterms:created>
  <dcterms:modified xsi:type="dcterms:W3CDTF">2021-10-11T09:18:00Z</dcterms:modified>
</cp:coreProperties>
</file>