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74" w:rsidRPr="00171697" w:rsidRDefault="00FC5030" w:rsidP="00412F74">
      <w:pPr>
        <w:spacing w:line="360" w:lineRule="auto"/>
        <w:jc w:val="right"/>
        <w:rPr>
          <w:rFonts w:ascii="Garamond" w:hAnsi="Garamond"/>
          <w:bCs/>
        </w:rPr>
      </w:pPr>
      <w:bookmarkStart w:id="0" w:name="_GoBack"/>
      <w:bookmarkEnd w:id="0"/>
      <w:r w:rsidRPr="00171697">
        <w:rPr>
          <w:rFonts w:ascii="Garamond" w:hAnsi="Garamond"/>
          <w:bCs/>
        </w:rPr>
        <w:t xml:space="preserve"> </w:t>
      </w:r>
    </w:p>
    <w:p w:rsidR="00412F74" w:rsidRPr="00171697" w:rsidRDefault="00412F74" w:rsidP="00412F74">
      <w:pPr>
        <w:spacing w:line="360" w:lineRule="auto"/>
        <w:jc w:val="right"/>
        <w:rPr>
          <w:rFonts w:ascii="Garamond" w:hAnsi="Garamond"/>
          <w:bCs/>
        </w:rPr>
      </w:pPr>
    </w:p>
    <w:p w:rsidR="00412F74" w:rsidRPr="00171697" w:rsidRDefault="00412F74" w:rsidP="00412F74">
      <w:pPr>
        <w:spacing w:line="36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171697">
        <w:rPr>
          <w:rFonts w:ascii="Garamond" w:hAnsi="Garamond"/>
          <w:b/>
          <w:bCs/>
          <w:sz w:val="36"/>
          <w:szCs w:val="36"/>
        </w:rPr>
        <w:t xml:space="preserve">Smlouva o vedení exekucí </w:t>
      </w:r>
    </w:p>
    <w:p w:rsidR="00412F74" w:rsidRPr="00171697" w:rsidRDefault="00412F74" w:rsidP="00412F74">
      <w:pPr>
        <w:spacing w:line="360" w:lineRule="auto"/>
        <w:jc w:val="center"/>
        <w:rPr>
          <w:rFonts w:ascii="Garamond" w:hAnsi="Garamond"/>
          <w:b/>
          <w:bCs/>
        </w:rPr>
      </w:pPr>
    </w:p>
    <w:p w:rsidR="00412F74" w:rsidRPr="00171697" w:rsidRDefault="00412F74" w:rsidP="00412F74">
      <w:pPr>
        <w:spacing w:line="360" w:lineRule="auto"/>
        <w:rPr>
          <w:rFonts w:ascii="Garamond" w:hAnsi="Garamond" w:cs="Arial"/>
          <w:b/>
          <w:bCs/>
        </w:rPr>
      </w:pPr>
      <w:r w:rsidRPr="00171697">
        <w:rPr>
          <w:rFonts w:ascii="Garamond" w:hAnsi="Garamond" w:cs="Arial"/>
          <w:b/>
          <w:bCs/>
        </w:rPr>
        <w:t>Česká republika – Okresní soud v Trutnově</w:t>
      </w:r>
    </w:p>
    <w:p w:rsidR="00412F74" w:rsidRPr="00171697" w:rsidRDefault="00412F74" w:rsidP="00412F74">
      <w:pPr>
        <w:spacing w:line="360" w:lineRule="auto"/>
        <w:ind w:left="426"/>
        <w:rPr>
          <w:rFonts w:ascii="Garamond" w:hAnsi="Garamond"/>
        </w:rPr>
      </w:pPr>
      <w:r w:rsidRPr="00171697">
        <w:rPr>
          <w:rFonts w:ascii="Garamond" w:hAnsi="Garamond"/>
        </w:rPr>
        <w:t>se sídlem Nádražní 106/5, 541 20 Trutnov</w:t>
      </w:r>
    </w:p>
    <w:p w:rsidR="00412F74" w:rsidRPr="00171697" w:rsidRDefault="00412F74" w:rsidP="00412F74">
      <w:pPr>
        <w:spacing w:line="360" w:lineRule="auto"/>
        <w:ind w:left="426"/>
        <w:rPr>
          <w:rFonts w:ascii="Garamond" w:hAnsi="Garamond"/>
          <w:color w:val="FF0000"/>
        </w:rPr>
      </w:pPr>
      <w:r w:rsidRPr="00171697">
        <w:rPr>
          <w:rFonts w:ascii="Garamond" w:hAnsi="Garamond"/>
        </w:rPr>
        <w:t xml:space="preserve">IČO: </w:t>
      </w:r>
      <w:r w:rsidR="00902DBC" w:rsidRPr="00171697">
        <w:rPr>
          <w:rFonts w:ascii="Garamond" w:hAnsi="Garamond"/>
        </w:rPr>
        <w:t>00025020</w:t>
      </w:r>
    </w:p>
    <w:p w:rsidR="00412F74" w:rsidRPr="00171697" w:rsidRDefault="00412F74" w:rsidP="00412F74">
      <w:pPr>
        <w:spacing w:line="360" w:lineRule="auto"/>
        <w:ind w:left="448"/>
        <w:rPr>
          <w:rFonts w:ascii="Garamond" w:hAnsi="Garamond"/>
        </w:rPr>
      </w:pPr>
      <w:r w:rsidRPr="00171697">
        <w:rPr>
          <w:rFonts w:ascii="Garamond" w:hAnsi="Garamond"/>
        </w:rPr>
        <w:t>zastoupená Mgr. Miroslavou Purkertovou, předsedkyní Okresního soudu v Trutnově</w:t>
      </w:r>
    </w:p>
    <w:p w:rsidR="00412F74" w:rsidRPr="00171697" w:rsidRDefault="00412F74" w:rsidP="00412F74">
      <w:pPr>
        <w:spacing w:line="360" w:lineRule="auto"/>
        <w:ind w:left="448"/>
        <w:rPr>
          <w:rFonts w:ascii="Garamond" w:hAnsi="Garamond"/>
        </w:rPr>
      </w:pPr>
      <w:r w:rsidRPr="00171697">
        <w:rPr>
          <w:rFonts w:ascii="Garamond" w:hAnsi="Garamond"/>
        </w:rPr>
        <w:t>(dále jen „oprávněný“)</w:t>
      </w:r>
    </w:p>
    <w:p w:rsidR="00412F74" w:rsidRPr="00171697" w:rsidRDefault="00412F74" w:rsidP="00412F74">
      <w:pPr>
        <w:spacing w:line="360" w:lineRule="auto"/>
        <w:ind w:firstLine="448"/>
        <w:rPr>
          <w:rFonts w:ascii="Garamond" w:hAnsi="Garamond"/>
        </w:rPr>
      </w:pPr>
      <w:r w:rsidRPr="00171697">
        <w:rPr>
          <w:rFonts w:ascii="Garamond" w:hAnsi="Garamond"/>
        </w:rPr>
        <w:t>a</w:t>
      </w:r>
    </w:p>
    <w:p w:rsidR="00412F74" w:rsidRPr="00171697" w:rsidRDefault="00412F74" w:rsidP="00902DBC">
      <w:pPr>
        <w:spacing w:line="360" w:lineRule="auto"/>
        <w:ind w:firstLine="448"/>
        <w:rPr>
          <w:rFonts w:ascii="Garamond" w:hAnsi="Garamond" w:cs="Arial"/>
          <w:b/>
          <w:bCs/>
        </w:rPr>
      </w:pPr>
      <w:r w:rsidRPr="00171697">
        <w:rPr>
          <w:rFonts w:ascii="Garamond" w:hAnsi="Garamond" w:cs="Arial"/>
          <w:b/>
          <w:bCs/>
        </w:rPr>
        <w:t>…..</w:t>
      </w:r>
    </w:p>
    <w:p w:rsidR="00412F74" w:rsidRPr="00171697" w:rsidRDefault="00412F74" w:rsidP="00DE39A8">
      <w:pPr>
        <w:spacing w:after="120"/>
        <w:ind w:left="448"/>
        <w:rPr>
          <w:rFonts w:ascii="Garamond" w:hAnsi="Garamond"/>
        </w:rPr>
      </w:pPr>
      <w:r w:rsidRPr="00171697">
        <w:rPr>
          <w:rFonts w:ascii="Garamond" w:hAnsi="Garamond"/>
        </w:rPr>
        <w:t xml:space="preserve">se sídlem </w:t>
      </w:r>
    </w:p>
    <w:p w:rsidR="00412F74" w:rsidRPr="00171697" w:rsidRDefault="00412F74" w:rsidP="00412F74">
      <w:pPr>
        <w:spacing w:line="360" w:lineRule="auto"/>
        <w:ind w:left="448"/>
        <w:rPr>
          <w:rFonts w:ascii="Garamond" w:hAnsi="Garamond"/>
        </w:rPr>
      </w:pPr>
      <w:r w:rsidRPr="00171697">
        <w:rPr>
          <w:rFonts w:ascii="Garamond" w:hAnsi="Garamond"/>
        </w:rPr>
        <w:t>IČO: …., DIČ: ……</w:t>
      </w:r>
    </w:p>
    <w:p w:rsidR="00412F74" w:rsidRPr="00171697" w:rsidRDefault="00412F74" w:rsidP="00412F74">
      <w:pPr>
        <w:spacing w:line="360" w:lineRule="auto"/>
        <w:ind w:left="448"/>
        <w:rPr>
          <w:rFonts w:ascii="Garamond" w:hAnsi="Garamond"/>
        </w:rPr>
      </w:pPr>
      <w:r w:rsidRPr="00171697">
        <w:rPr>
          <w:rFonts w:ascii="Garamond" w:hAnsi="Garamond"/>
        </w:rPr>
        <w:t>zapsán v seznamu soudních exekutorů pod č. ……</w:t>
      </w:r>
    </w:p>
    <w:p w:rsidR="00412F74" w:rsidRPr="00171697" w:rsidRDefault="00412F74" w:rsidP="00412F74">
      <w:pPr>
        <w:spacing w:line="360" w:lineRule="auto"/>
        <w:ind w:left="448"/>
        <w:rPr>
          <w:rFonts w:ascii="Garamond" w:hAnsi="Garamond"/>
        </w:rPr>
      </w:pPr>
      <w:r w:rsidRPr="00171697">
        <w:rPr>
          <w:rFonts w:ascii="Garamond" w:hAnsi="Garamond"/>
        </w:rPr>
        <w:t>(dále jen „exekutor“)</w:t>
      </w:r>
    </w:p>
    <w:p w:rsidR="00412F74" w:rsidRPr="00171697" w:rsidRDefault="00412F74" w:rsidP="00412F74">
      <w:pPr>
        <w:spacing w:line="360" w:lineRule="auto"/>
        <w:ind w:left="448"/>
        <w:rPr>
          <w:rFonts w:ascii="Garamond" w:hAnsi="Garamond"/>
        </w:rPr>
      </w:pPr>
    </w:p>
    <w:p w:rsidR="00412F74" w:rsidRPr="00171697" w:rsidRDefault="00412F74" w:rsidP="00DE39A8">
      <w:pPr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uzavřeli podle zák. č. 120/2001 Sb., o soudních exekutorech a exekuční činnosti (exekuční řád) a o změně dalších zákonů ve znění pozdějších předpisů (dále jen „exekuční řád“) a Instrukce Ministerstva spravedlnosti ze dne 19. 12. 2012, č. j. 4/2012-INV-M, o vymáhání pohledávek ve znění pozdějších předpisů </w:t>
      </w:r>
    </w:p>
    <w:p w:rsidR="00412F74" w:rsidRPr="00171697" w:rsidRDefault="00412F74" w:rsidP="00DE39A8">
      <w:pPr>
        <w:jc w:val="both"/>
        <w:rPr>
          <w:rFonts w:ascii="Garamond" w:hAnsi="Garamond"/>
        </w:rPr>
      </w:pPr>
    </w:p>
    <w:p w:rsidR="00412F74" w:rsidRPr="00171697" w:rsidRDefault="00412F74" w:rsidP="00412F74">
      <w:pPr>
        <w:spacing w:line="360" w:lineRule="auto"/>
        <w:jc w:val="center"/>
        <w:rPr>
          <w:rFonts w:ascii="Garamond" w:hAnsi="Garamond"/>
        </w:rPr>
      </w:pPr>
      <w:r w:rsidRPr="00171697">
        <w:rPr>
          <w:rFonts w:ascii="Garamond" w:hAnsi="Garamond"/>
        </w:rPr>
        <w:t xml:space="preserve"> tuto</w:t>
      </w:r>
    </w:p>
    <w:p w:rsidR="00412F74" w:rsidRPr="00171697" w:rsidRDefault="00412F74" w:rsidP="00412F74">
      <w:pPr>
        <w:spacing w:line="360" w:lineRule="auto"/>
        <w:jc w:val="center"/>
        <w:rPr>
          <w:rFonts w:ascii="Garamond" w:hAnsi="Garamond"/>
        </w:rPr>
      </w:pPr>
    </w:p>
    <w:p w:rsidR="00412F74" w:rsidRPr="00171697" w:rsidRDefault="00412F74" w:rsidP="00DE39A8">
      <w:pPr>
        <w:jc w:val="center"/>
        <w:rPr>
          <w:rFonts w:ascii="Garamond" w:hAnsi="Garamond"/>
          <w:b/>
          <w:bCs/>
        </w:rPr>
      </w:pPr>
      <w:r w:rsidRPr="00171697">
        <w:rPr>
          <w:rFonts w:ascii="Garamond" w:hAnsi="Garamond"/>
          <w:b/>
          <w:bCs/>
        </w:rPr>
        <w:t>rámcovou smlouvu o vedení exekucí</w:t>
      </w:r>
    </w:p>
    <w:p w:rsidR="00412F74" w:rsidRPr="00171697" w:rsidRDefault="00412F74" w:rsidP="00DE39A8">
      <w:pPr>
        <w:jc w:val="center"/>
        <w:rPr>
          <w:rFonts w:ascii="Garamond" w:hAnsi="Garamond"/>
        </w:rPr>
      </w:pPr>
      <w:r w:rsidRPr="00171697">
        <w:rPr>
          <w:rFonts w:ascii="Garamond" w:hAnsi="Garamond"/>
        </w:rPr>
        <w:t>(dále jen smlouva):</w:t>
      </w:r>
    </w:p>
    <w:p w:rsidR="00412F74" w:rsidRPr="00171697" w:rsidRDefault="00412F74" w:rsidP="00DE39A8">
      <w:pPr>
        <w:jc w:val="center"/>
        <w:rPr>
          <w:rFonts w:ascii="Garamond" w:hAnsi="Garamond"/>
        </w:rPr>
      </w:pPr>
    </w:p>
    <w:p w:rsidR="00412F74" w:rsidRPr="00171697" w:rsidRDefault="00412F74" w:rsidP="00DE39A8">
      <w:pPr>
        <w:pStyle w:val="Nadpis1"/>
        <w:spacing w:before="0" w:after="240"/>
        <w:ind w:left="431" w:hanging="431"/>
        <w:rPr>
          <w:rFonts w:ascii="Garamond" w:eastAsia="Times New Roman" w:hAnsi="Garamond" w:cs="Times New Roman"/>
          <w:sz w:val="24"/>
          <w:szCs w:val="24"/>
        </w:rPr>
      </w:pPr>
      <w:r w:rsidRPr="00171697">
        <w:rPr>
          <w:rFonts w:ascii="Garamond" w:eastAsia="Times New Roman" w:hAnsi="Garamond" w:cs="Times New Roman"/>
          <w:sz w:val="24"/>
          <w:szCs w:val="24"/>
        </w:rPr>
        <w:t>I. Předmět smlouvy</w:t>
      </w:r>
    </w:p>
    <w:p w:rsidR="00412F74" w:rsidRPr="00171697" w:rsidRDefault="00412F74" w:rsidP="00DE39A8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Tato smlouva upravuje vzájemné vztahy mezi smluvními stranami v rámci poskytování služeb exekutora pro oprávněného v režimu exekučního řádu. </w:t>
      </w:r>
    </w:p>
    <w:p w:rsidR="00412F74" w:rsidRPr="00171697" w:rsidRDefault="00412F74" w:rsidP="00DE39A8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Exekutor se tímto dohodl s oprávněným na vedení exekucí a další činnosti ve smyslu § 74 exekučního řádu za podmínek uvedených níže. </w:t>
      </w:r>
    </w:p>
    <w:p w:rsidR="00412F74" w:rsidRPr="00171697" w:rsidRDefault="00412F74" w:rsidP="00DE39A8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Exekutor provede pro oprávněného exekuce na základě pověření, kterými bude exekučními soudy pověřen k vedení exekucí k uspokojení pohledávek oprávněného za jeho dlužníky, kterými jsou:</w:t>
      </w:r>
    </w:p>
    <w:p w:rsidR="00412F74" w:rsidRPr="00171697" w:rsidRDefault="00412F74" w:rsidP="00DE39A8">
      <w:pPr>
        <w:pStyle w:val="Zkladntextodsazen"/>
        <w:tabs>
          <w:tab w:val="left" w:pos="567"/>
          <w:tab w:val="left" w:pos="709"/>
          <w:tab w:val="left" w:pos="851"/>
        </w:tabs>
        <w:ind w:left="284" w:firstLine="142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-   pohledávky z rozhodovací činnosti </w:t>
      </w:r>
      <w:r w:rsidRPr="00171697">
        <w:rPr>
          <w:rFonts w:ascii="Garamond" w:hAnsi="Garamond" w:cs="Arial"/>
        </w:rPr>
        <w:t xml:space="preserve">Okresního soudu v Trutnově </w:t>
      </w:r>
      <w:r w:rsidRPr="00171697">
        <w:rPr>
          <w:rFonts w:ascii="Garamond" w:hAnsi="Garamond"/>
        </w:rPr>
        <w:t xml:space="preserve">– tj. zejména pohledávky ze soudních poplatků, exekuční náklady dle § 182 a násl. zák. č. 280/2009 Sb., daňový řád ve znění pozdějších přepisů (dále jen „daňový řád“), pořádkové pokuty uložené dle § 247 daňového řádu, pohledávky z nákladů občanskoprávního řízení, včetně svědečného, znalečného a tlumočného, pohledávky z nákladů trestního řízení, z náhrad ustanoveným </w:t>
      </w:r>
      <w:r w:rsidRPr="00171697">
        <w:rPr>
          <w:rFonts w:ascii="Garamond" w:hAnsi="Garamond"/>
        </w:rPr>
        <w:lastRenderedPageBreak/>
        <w:t>advokátům, z peněžitých trestů, z nákladů spojených s výkonem trestu domácího vězení, z pořádkových pokut z trestního řízení, náklady spojené s využitím elektronického kontrolního systému při podmíněném propuštění z výkonu trestu odnětí svobody</w:t>
      </w:r>
      <w:r w:rsidR="001F060D" w:rsidRPr="00171697">
        <w:rPr>
          <w:rFonts w:ascii="Garamond" w:hAnsi="Garamond"/>
        </w:rPr>
        <w:t xml:space="preserve"> </w:t>
      </w:r>
      <w:r w:rsidR="001F060D" w:rsidRPr="00171697">
        <w:rPr>
          <w:rFonts w:ascii="Garamond" w:hAnsi="Garamond" w:cs="Arial"/>
        </w:rPr>
        <w:t>a při nahrazení vazby</w:t>
      </w:r>
      <w:r w:rsidRPr="00171697">
        <w:rPr>
          <w:rFonts w:ascii="Garamond" w:hAnsi="Garamond"/>
        </w:rPr>
        <w:t>, pohledávky z pořádkových pokut z občanskoprávního řízení, z nákladů kárného řízení podle § 19 zákona č. 7/2002 Sb., o řízení ve věcech soudců, státních zástupců a soudních exekutorů ve znění pozdějších předpisů;</w:t>
      </w:r>
    </w:p>
    <w:p w:rsidR="00412F74" w:rsidRPr="00171697" w:rsidRDefault="00412F74" w:rsidP="00DE39A8">
      <w:pPr>
        <w:pStyle w:val="Zkladntextodsazen"/>
        <w:numPr>
          <w:ilvl w:val="0"/>
          <w:numId w:val="5"/>
        </w:numPr>
        <w:tabs>
          <w:tab w:val="left" w:pos="709"/>
          <w:tab w:val="left" w:pos="851"/>
        </w:tabs>
        <w:ind w:left="284" w:firstLine="142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ostatní pohledávky, kterými jsou zejména pohledávky vzniklé z titulu náhrady škody z hospodaření s majetkem státu, z občanskoprávních, obchodních a pracovních vztahů.</w:t>
      </w:r>
    </w:p>
    <w:p w:rsidR="00412F74" w:rsidRPr="00171697" w:rsidRDefault="00412F74" w:rsidP="00DE39A8">
      <w:pPr>
        <w:pStyle w:val="Zkladntextodsazen"/>
        <w:numPr>
          <w:ilvl w:val="0"/>
          <w:numId w:val="8"/>
        </w:numPr>
        <w:tabs>
          <w:tab w:val="left" w:pos="567"/>
        </w:tabs>
        <w:ind w:left="567" w:hanging="567"/>
        <w:jc w:val="both"/>
      </w:pPr>
      <w:r w:rsidRPr="00171697">
        <w:rPr>
          <w:rFonts w:ascii="Garamond" w:hAnsi="Garamond"/>
        </w:rPr>
        <w:t xml:space="preserve">Oprávněný prohlašuje, že mu není známo nic bližšího o majetku povinných, jejichž pohledávky budou exekutorovi předávány. </w:t>
      </w:r>
    </w:p>
    <w:p w:rsidR="00412F74" w:rsidRPr="00171697" w:rsidRDefault="006102BC" w:rsidP="00DE39A8">
      <w:pPr>
        <w:pStyle w:val="Zkladntextodsazen"/>
        <w:numPr>
          <w:ilvl w:val="0"/>
          <w:numId w:val="8"/>
        </w:numPr>
        <w:tabs>
          <w:tab w:val="left" w:pos="567"/>
        </w:tabs>
        <w:ind w:left="567" w:hanging="567"/>
        <w:jc w:val="both"/>
      </w:pPr>
      <w:r w:rsidRPr="00171697">
        <w:rPr>
          <w:rFonts w:ascii="Garamond" w:hAnsi="Garamond"/>
        </w:rPr>
        <w:t>E</w:t>
      </w:r>
      <w:r w:rsidR="00412F74" w:rsidRPr="00171697">
        <w:rPr>
          <w:rFonts w:ascii="Garamond" w:hAnsi="Garamond"/>
        </w:rPr>
        <w:t>xekutor prohlašuje, že pro oprávněného je připraven bezplatně vypracovávat exekuční návrhy, a to dle exekučních titulů předaných mu oprávněným.</w:t>
      </w:r>
    </w:p>
    <w:p w:rsidR="00412F74" w:rsidRPr="00171697" w:rsidRDefault="00412F74" w:rsidP="00DE39A8">
      <w:pPr>
        <w:pStyle w:val="Nadpis1"/>
        <w:spacing w:before="0" w:after="0"/>
        <w:rPr>
          <w:rFonts w:ascii="Garamond" w:eastAsia="Times New Roman" w:hAnsi="Garamond" w:cs="Times New Roman"/>
          <w:sz w:val="24"/>
          <w:szCs w:val="24"/>
        </w:rPr>
      </w:pPr>
    </w:p>
    <w:p w:rsidR="00412F74" w:rsidRPr="00171697" w:rsidRDefault="00412F74" w:rsidP="00DE39A8">
      <w:pPr>
        <w:pStyle w:val="Nadpis1"/>
        <w:spacing w:before="0" w:after="240"/>
        <w:ind w:left="431" w:hanging="431"/>
        <w:rPr>
          <w:rFonts w:ascii="Garamond" w:eastAsia="Times New Roman" w:hAnsi="Garamond" w:cs="Times New Roman"/>
          <w:sz w:val="24"/>
          <w:szCs w:val="24"/>
        </w:rPr>
      </w:pPr>
      <w:r w:rsidRPr="00171697">
        <w:rPr>
          <w:rFonts w:ascii="Garamond" w:eastAsia="Times New Roman" w:hAnsi="Garamond" w:cs="Times New Roman"/>
          <w:sz w:val="24"/>
          <w:szCs w:val="24"/>
        </w:rPr>
        <w:t>II. Práva a povinnosti</w:t>
      </w:r>
    </w:p>
    <w:p w:rsidR="00412F74" w:rsidRPr="00171697" w:rsidRDefault="005A771E" w:rsidP="00DE39A8">
      <w:pPr>
        <w:keepNext/>
        <w:tabs>
          <w:tab w:val="left" w:pos="709"/>
        </w:tabs>
        <w:spacing w:after="120"/>
        <w:ind w:left="567" w:hanging="567"/>
        <w:rPr>
          <w:rFonts w:ascii="Garamond" w:hAnsi="Garamond"/>
        </w:rPr>
      </w:pPr>
      <w:r w:rsidRPr="00171697">
        <w:rPr>
          <w:rFonts w:ascii="Garamond" w:hAnsi="Garamond"/>
        </w:rPr>
        <w:t xml:space="preserve">1. </w:t>
      </w:r>
      <w:r w:rsidRPr="00171697">
        <w:rPr>
          <w:rFonts w:ascii="Garamond" w:hAnsi="Garamond"/>
        </w:rPr>
        <w:tab/>
      </w:r>
      <w:r w:rsidR="00412F74" w:rsidRPr="00171697">
        <w:rPr>
          <w:rFonts w:ascii="Garamond" w:hAnsi="Garamond"/>
        </w:rPr>
        <w:t>Exekutor se zavazuje:</w:t>
      </w:r>
    </w:p>
    <w:p w:rsidR="00412F74" w:rsidRPr="00171697" w:rsidRDefault="00412F74" w:rsidP="00DE39A8">
      <w:pPr>
        <w:tabs>
          <w:tab w:val="left" w:pos="709"/>
        </w:tabs>
        <w:spacing w:after="120"/>
        <w:jc w:val="both"/>
        <w:rPr>
          <w:rFonts w:ascii="Garamond" w:hAnsi="Garamond" w:cs="Calibri"/>
        </w:rPr>
      </w:pPr>
      <w:r w:rsidRPr="00171697">
        <w:rPr>
          <w:rFonts w:ascii="Garamond" w:hAnsi="Garamond"/>
        </w:rPr>
        <w:t xml:space="preserve">a) bezplatně zpracovat elektronický koncept </w:t>
      </w:r>
      <w:r w:rsidRPr="00171697">
        <w:rPr>
          <w:rFonts w:ascii="Garamond" w:hAnsi="Garamond" w:cs="Calibri"/>
        </w:rPr>
        <w:t>exekučního návrhu,</w:t>
      </w:r>
    </w:p>
    <w:p w:rsidR="00412F74" w:rsidRPr="00171697" w:rsidRDefault="00412F74" w:rsidP="00DE39A8">
      <w:pPr>
        <w:tabs>
          <w:tab w:val="left" w:pos="709"/>
        </w:tabs>
        <w:spacing w:after="120"/>
        <w:jc w:val="both"/>
        <w:rPr>
          <w:rFonts w:ascii="Garamond" w:hAnsi="Garamond"/>
        </w:rPr>
      </w:pPr>
      <w:r w:rsidRPr="00171697">
        <w:rPr>
          <w:rFonts w:ascii="Garamond" w:hAnsi="Garamond" w:cs="Calibri"/>
        </w:rPr>
        <w:t xml:space="preserve">b) </w:t>
      </w:r>
      <w:r w:rsidRPr="00171697">
        <w:rPr>
          <w:rFonts w:ascii="Garamond" w:hAnsi="Garamond"/>
        </w:rPr>
        <w:t>bezodkladně po obdržení pověření provést šetření ke zjištění postižitelného majetku dlužníka,</w:t>
      </w:r>
    </w:p>
    <w:p w:rsidR="00412F74" w:rsidRPr="00171697" w:rsidRDefault="00412F74" w:rsidP="00DE39A8">
      <w:pPr>
        <w:tabs>
          <w:tab w:val="left" w:pos="709"/>
        </w:tabs>
        <w:spacing w:after="120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c) bezodkladně přistoupit k zajištění exekučně postižitelného majetku dlužníka (tj. neprodleně vydat exekuční příkaz), je-li to účelné k provedení exekuce,</w:t>
      </w:r>
    </w:p>
    <w:p w:rsidR="00412F74" w:rsidRPr="00171697" w:rsidRDefault="00412F74" w:rsidP="00DE39A8">
      <w:pPr>
        <w:tabs>
          <w:tab w:val="left" w:pos="709"/>
        </w:tabs>
        <w:spacing w:after="120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d) poté, co exekuční příkaz nabude právní moci, učinit bezodkladně procesní úkony ke zpeněžení majetku dlužníka, nebudou-li tomu bránit jiné právní důvody,</w:t>
      </w:r>
    </w:p>
    <w:p w:rsidR="00412F74" w:rsidRPr="00171697" w:rsidRDefault="00412F74" w:rsidP="00DE39A8">
      <w:pPr>
        <w:tabs>
          <w:tab w:val="left" w:pos="709"/>
        </w:tabs>
        <w:spacing w:after="120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e) vymáhat pro oprávněného pohledávku v celé její výši včetně příslušenství a nákladů účelně vynaložených k vymáhání nároku (tzv. náklady oprávněného),</w:t>
      </w:r>
    </w:p>
    <w:p w:rsidR="00412F74" w:rsidRPr="00171697" w:rsidRDefault="00412F74" w:rsidP="00DE39A8">
      <w:pPr>
        <w:tabs>
          <w:tab w:val="left" w:pos="709"/>
        </w:tabs>
        <w:spacing w:after="120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f) nepožadovat po oprávněném odměnu za poskytování právní pomoci,</w:t>
      </w:r>
    </w:p>
    <w:p w:rsidR="00412F74" w:rsidRPr="00171697" w:rsidRDefault="00412F74" w:rsidP="00DE39A8">
      <w:pPr>
        <w:tabs>
          <w:tab w:val="left" w:pos="709"/>
        </w:tabs>
        <w:spacing w:after="120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g) po provedení exekuce oprávněnému bezodkladně vrátit veškeré dokumenty, které mu byly oprávněným za účelem provedení exekuce poskytnuty.</w:t>
      </w:r>
    </w:p>
    <w:p w:rsidR="00412F74" w:rsidRPr="00171697" w:rsidRDefault="00412F74" w:rsidP="00DE39A8">
      <w:pPr>
        <w:jc w:val="both"/>
      </w:pPr>
    </w:p>
    <w:p w:rsidR="00412F74" w:rsidRPr="00171697" w:rsidRDefault="00412F74" w:rsidP="00DE39A8">
      <w:pPr>
        <w:pStyle w:val="Nadpis1"/>
        <w:spacing w:before="0" w:after="240"/>
        <w:ind w:left="431" w:hanging="431"/>
        <w:rPr>
          <w:rFonts w:ascii="Garamond" w:eastAsia="Times New Roman" w:hAnsi="Garamond" w:cs="Times New Roman"/>
          <w:sz w:val="24"/>
          <w:szCs w:val="24"/>
        </w:rPr>
      </w:pPr>
      <w:r w:rsidRPr="00171697">
        <w:rPr>
          <w:rFonts w:ascii="Garamond" w:eastAsia="Times New Roman" w:hAnsi="Garamond" w:cs="Times New Roman"/>
          <w:sz w:val="24"/>
          <w:szCs w:val="24"/>
        </w:rPr>
        <w:t>III. Náklady exekuce a průběh exekuce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Výše nákladů exekuce je upravena vyhláškou Ministerstva spravedlnosti č. 330/2001 Sb., o odměně a náhradách soudního exekutora, o odměně a náhradě hotových výdajů správce podniku a o podmínkách pojištění odpovědnosti za škody způsobené exekutorem ve znění pozdějších předpisů (dále jen „vyhláška č. 330/2001 Sb.“).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  <w:color w:val="000000"/>
        </w:rPr>
        <w:t xml:space="preserve">Exekutor nebude v případě zastavení exekuce pro </w:t>
      </w:r>
      <w:r w:rsidRPr="00171697">
        <w:rPr>
          <w:rFonts w:ascii="Garamond" w:hAnsi="Garamond"/>
        </w:rPr>
        <w:t>nemajetnost povinného požadovat</w:t>
      </w:r>
      <w:r w:rsidRPr="00171697">
        <w:rPr>
          <w:rFonts w:ascii="Garamond" w:hAnsi="Garamond"/>
          <w:color w:val="000000"/>
        </w:rPr>
        <w:t xml:space="preserve"> po oprávněném úhradu paušálně určených či účelně vynaložených výdajů dle ust. § 89 exekučního řádu.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Exekutor nebude požadovat po oprávněném náklady cestovného a náhradu ztraceného času převyšující částky stanovené prováděcím předpisem ve smyslu § 87 odst. 1 exekučního řádu.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Exekutor nebude požadovat po oprávněném smluvní odměnu za vedení exekuce podle § 90 odst. 2 exekučního řádu.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Exekutor nebude požadovat po oprávněném zálohu na náklady exekuce.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lastRenderedPageBreak/>
        <w:t xml:space="preserve">Exekutor se zavazuje za podmínek uvedených v článku IV. této smlouvy na žádost oprávněného zřídit bezodkladně po zahájení exekuční činnosti vzdálený přístup pro oprávněného do exekučních spisů o vymáhání pohledávek oprávněného (bezplatná licence k používání elektronického informačního systému exekutora, dále též „EIS“). 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Exekutor se zavazuje umožnit oprávněnému na jeho žádost osobní nahlédnutí do exekučních spisů o vymáhání pohledávek oprávněného, a to v sídle soudního exekutora v čase, na kterém se s oprávněným předem dohodnou.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Exekutor se zavazuje na žádost oprávněného vytvořit bezplatně speciální telefonní spojení vyhrazené pouze pro oprávněného. 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Exekutor se zavazuje poskytovat oprávněnému pravidelné zprávy o průběhu vymáhání pohledávek ve čtvrtletních intervalech. 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Exekutor se zavazuje chránit dobré jméno oprávněného.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Exekutor se zavazuje přistoupit operativně k mobiliární exekuci v případech, kdy je to vhodné, a to ihned poté, co bude osvědčeno, že ostatní způsoby provedení exekuce (např. srážky ze mzdy, přikázání pohledávky z účtu u peněžního ústavu, přikázání jiné pohledávky aj.) by nevedly k uspokojení pohledávky oprávněného.  Při provádění mobiliárních exekucí je exekutor povinen s vynaložením maximálního úsilí dbát na to, aby nebyl neoprávněně postihován majetek třetích osob, majetek vyloučený z exekuce (např. zdravotnické pomůcky, věci tvořící obvyklé vybavení domácnosti, věci osobní potřeby aj.). Exekutor je povinen při provádění mobiliárních exekucí postupovat účelně s vynaložením jen nezbytně nutných výdajů.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  <w:color w:val="000000"/>
        </w:rPr>
        <w:t xml:space="preserve">Plnění </w:t>
      </w:r>
      <w:r w:rsidRPr="00171697">
        <w:rPr>
          <w:rFonts w:ascii="Garamond" w:hAnsi="Garamond"/>
        </w:rPr>
        <w:t xml:space="preserve">vymožené pro oprávněného bude průběžně rozdělováno tak, že exekutorovi připadne vždy částka odpovídající příslušné procentní sazbě odměny podle vyhlášky č. 330/2001 Sb. a částka odpovídající platné sazbě daně z přidané hodnoty z každého vymoženého plnění na úhradu odměny exekutora. To platí pro všechny exekutorem přijaté částky, tedy i pro ty, kdy odměna z nich vypočtená nedosahuje minimální výše odměny dle </w:t>
      </w:r>
      <w:r w:rsidRPr="00171697">
        <w:rPr>
          <w:rFonts w:ascii="Garamond" w:hAnsi="Garamond"/>
        </w:rPr>
        <w:br/>
        <w:t>§ 6 odst. 3 vyhlášky č. 330/2001 Sb. Teprve následně budou uspokojeny zbývající náklady exekuce. Výše uvedené se neuplatní, pokud je prováděna exekuce prodejem movitých věcí, nemovitých věcí či prodejem závodu, a dále tehdy, pokud je vymožené plnění získané provedením exekuce podle § 46 odst. 6 exekučního řádu. Sazba DPH náleží soudnímu exekutorovi pouze tehdy, pokud je plátcem DPH.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Oprávněný a exekutor se dohodli ve smyslu § 46 odst. 4 exekučního řádu, že pro oprávněného vymožené plnění bude soudním exekutorem vyplaceno oprávněnému </w:t>
      </w:r>
      <w:r w:rsidRPr="00171697">
        <w:rPr>
          <w:rFonts w:ascii="Garamond" w:hAnsi="Garamond"/>
          <w:color w:val="000000"/>
        </w:rPr>
        <w:t xml:space="preserve">na bankovní účet sdělený pro tento účel oprávněným, a to vždy do 30 dnů poté, co obdrží takové plnění od povinného. 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  <w:color w:val="000000"/>
        </w:rPr>
        <w:t>Exekutor se zavazuje označovat platby převáděné oprávněnému variabilními symboly, které oprávněný sdělí ke každému předanému exekučnímu titulu, a to i v případě, že bude probíhat vymáhání pohledávek z více exekučních titulů v jednom exekučním řízení.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  <w:color w:val="000000"/>
        </w:rPr>
        <w:t>Oprávněný může podat návrh na zastavení exekuce bez nároku exekutora na odměnu v případě, že se exekutorovi ani zčásti nezdařilo zajistit vymožení pohledávky ve lhůtě 3 let ode dne převzetí exekučního návrhu a pověření k provedení exekuce soudním exekutorem.</w:t>
      </w:r>
    </w:p>
    <w:p w:rsidR="00412F74" w:rsidRPr="00171697" w:rsidRDefault="00412F74" w:rsidP="00DE39A8">
      <w:pPr>
        <w:pStyle w:val="Odstavecseseznamem"/>
        <w:numPr>
          <w:ilvl w:val="1"/>
          <w:numId w:val="2"/>
        </w:numPr>
        <w:tabs>
          <w:tab w:val="clear" w:pos="108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  <w:color w:val="000000"/>
        </w:rPr>
        <w:t xml:space="preserve">Účastníci mohou Smlouvu o vedení exekucí soudním exekutorem vypovědět bez udání důvodu, a to ke konci kalendářního čtvrtletí výpovědí podanou alespoň tři měsíce předem. Soudní exekutor se zavazuje v případě ukončení smlouvy vymoci pro oprávněného pohledávky, které ke dni ukončení smlouvy podléhaly této smlouvě, a to za stejných podmínek, za kterých byla smlouva uzavřena. To neplatí v případě, kdy oprávněný podá do jednoho měsíce od ukončení smlouvy exekučnímu soudu návrh na změnu exekutora; pro </w:t>
      </w:r>
      <w:r w:rsidRPr="00171697">
        <w:rPr>
          <w:rFonts w:ascii="Garamond" w:hAnsi="Garamond"/>
          <w:color w:val="000000"/>
        </w:rPr>
        <w:lastRenderedPageBreak/>
        <w:t>tento případ exekutor již nyní vyslovuje souhlas se změnou a nebude po oprávněném požadovat odměnu a úhradu nákladů exekuce.</w:t>
      </w:r>
    </w:p>
    <w:p w:rsidR="00412F74" w:rsidRPr="00171697" w:rsidRDefault="00412F74" w:rsidP="00DE39A8">
      <w:pPr>
        <w:ind w:left="142"/>
        <w:jc w:val="both"/>
        <w:rPr>
          <w:color w:val="000000"/>
        </w:rPr>
      </w:pPr>
    </w:p>
    <w:p w:rsidR="00412F74" w:rsidRPr="00171697" w:rsidRDefault="00412F74" w:rsidP="00DE39A8">
      <w:pPr>
        <w:pStyle w:val="Nadpis1"/>
        <w:spacing w:before="0" w:after="240"/>
        <w:ind w:left="431" w:hanging="431"/>
        <w:rPr>
          <w:rFonts w:ascii="Garamond" w:eastAsia="Times New Roman" w:hAnsi="Garamond" w:cs="Times New Roman"/>
          <w:sz w:val="24"/>
          <w:szCs w:val="24"/>
        </w:rPr>
      </w:pPr>
      <w:r w:rsidRPr="00171697">
        <w:rPr>
          <w:rFonts w:ascii="Garamond" w:eastAsia="Times New Roman" w:hAnsi="Garamond" w:cs="Times New Roman"/>
          <w:sz w:val="24"/>
          <w:szCs w:val="24"/>
        </w:rPr>
        <w:t>IV. Dálkový přístup do exekučních spisů</w:t>
      </w:r>
    </w:p>
    <w:p w:rsidR="00412F74" w:rsidRPr="00171697" w:rsidRDefault="00412F74" w:rsidP="00DE39A8">
      <w:pPr>
        <w:numPr>
          <w:ilvl w:val="1"/>
          <w:numId w:val="3"/>
        </w:numPr>
        <w:tabs>
          <w:tab w:val="clear" w:pos="1080"/>
          <w:tab w:val="num" w:pos="709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Exekutor se zavazuje poskytnout oprávněnému bezplatný dálkový přístup do exekučních spisů o pohledávkách oprávněného.  V rámci dálkového přístupu zajistí exekutor oprávněnému přehled o stavu řízení, tj. o všech provedených úkonech, o podáních povinného, o průběhu doručování, o finančních operacích, o zahájení i ukončení exekuce apod. V rámci poskytnutí bezplatné licence k používání elektronického informačního systému (EIS) exekutor rovněž bezplatně zaškolí pověřené zaměstnance oprávněného. </w:t>
      </w:r>
    </w:p>
    <w:p w:rsidR="00412F74" w:rsidRPr="00171697" w:rsidRDefault="00412F74" w:rsidP="00DE39A8">
      <w:pPr>
        <w:numPr>
          <w:ilvl w:val="1"/>
          <w:numId w:val="3"/>
        </w:numPr>
        <w:tabs>
          <w:tab w:val="clear" w:pos="1080"/>
          <w:tab w:val="num" w:pos="709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Oprávněný bere na vědomí, že údaje poskytnuté prostřednictvím dálkového přístupu se z bezpečnostních důvodů aktualizují s časovým odstupem až jednoho pracovního dne, a nemusí proto odpovídat aktuálnímu stavu exekuce.</w:t>
      </w:r>
    </w:p>
    <w:p w:rsidR="00412F74" w:rsidRPr="00171697" w:rsidRDefault="00412F74" w:rsidP="00DE39A8">
      <w:pPr>
        <w:numPr>
          <w:ilvl w:val="1"/>
          <w:numId w:val="3"/>
        </w:numPr>
        <w:tabs>
          <w:tab w:val="clear" w:pos="1080"/>
          <w:tab w:val="num" w:pos="709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Oprávněný bere na vědomí, že dálkový přístup lze z důvodu zajištění bezpečnosti informací uskutečnit pouze za použití platného kvalifikovaného elektronického certifikátu oprávněného.</w:t>
      </w:r>
    </w:p>
    <w:p w:rsidR="00412F74" w:rsidRPr="00171697" w:rsidRDefault="00412F74" w:rsidP="00DE39A8">
      <w:pPr>
        <w:numPr>
          <w:ilvl w:val="1"/>
          <w:numId w:val="3"/>
        </w:numPr>
        <w:tabs>
          <w:tab w:val="clear" w:pos="1080"/>
          <w:tab w:val="num" w:pos="709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Oprávněný se zavazuje, že přístupové údaje k dálkovému nahlížení do spisu neposkytne třetí osobě.</w:t>
      </w:r>
    </w:p>
    <w:p w:rsidR="005A771E" w:rsidRPr="00171697" w:rsidRDefault="005A771E" w:rsidP="00DE39A8">
      <w:pPr>
        <w:pStyle w:val="Nadpis1"/>
        <w:spacing w:before="0" w:after="0"/>
        <w:rPr>
          <w:rFonts w:ascii="Garamond" w:eastAsia="Times New Roman" w:hAnsi="Garamond" w:cs="Times New Roman"/>
          <w:sz w:val="24"/>
          <w:szCs w:val="24"/>
        </w:rPr>
      </w:pPr>
    </w:p>
    <w:p w:rsidR="00412F74" w:rsidRPr="00171697" w:rsidRDefault="00412F74" w:rsidP="00DE39A8">
      <w:pPr>
        <w:pStyle w:val="Nadpis1"/>
        <w:spacing w:before="0" w:after="240"/>
        <w:ind w:left="431" w:hanging="431"/>
        <w:rPr>
          <w:rFonts w:ascii="Garamond" w:eastAsia="Times New Roman" w:hAnsi="Garamond" w:cs="Times New Roman"/>
          <w:sz w:val="24"/>
          <w:szCs w:val="24"/>
        </w:rPr>
      </w:pPr>
      <w:r w:rsidRPr="00171697">
        <w:rPr>
          <w:rFonts w:ascii="Garamond" w:eastAsia="Times New Roman" w:hAnsi="Garamond" w:cs="Times New Roman"/>
          <w:sz w:val="24"/>
          <w:szCs w:val="24"/>
        </w:rPr>
        <w:t>V. Další ujednání</w:t>
      </w:r>
    </w:p>
    <w:p w:rsidR="00412F74" w:rsidRPr="00171697" w:rsidRDefault="00412F74" w:rsidP="00DE39A8">
      <w:pPr>
        <w:numPr>
          <w:ilvl w:val="2"/>
          <w:numId w:val="3"/>
        </w:numPr>
        <w:tabs>
          <w:tab w:val="clear" w:pos="144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Exekutor je povinen postupovat při provádění exekucí s odbornou péčí a v souladu se zákony a dalšími právními předpisy České republiky a podle rozhodnutí soudu vydaných v  exekučním řízení. </w:t>
      </w:r>
    </w:p>
    <w:p w:rsidR="00412F74" w:rsidRPr="00171697" w:rsidRDefault="00412F74" w:rsidP="00DE39A8">
      <w:pPr>
        <w:numPr>
          <w:ilvl w:val="2"/>
          <w:numId w:val="3"/>
        </w:numPr>
        <w:tabs>
          <w:tab w:val="clear" w:pos="144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Exekutor bude v exekučním řízení postupovat tak, aby předcházel vzniku hmotných škod, důvodných stížností občanů nebo negativní publicity oprávněného nebo exekutora v médiích. </w:t>
      </w:r>
    </w:p>
    <w:p w:rsidR="00412F74" w:rsidRPr="00171697" w:rsidRDefault="00412F74" w:rsidP="00DE39A8">
      <w:pPr>
        <w:numPr>
          <w:ilvl w:val="2"/>
          <w:numId w:val="3"/>
        </w:numPr>
        <w:tabs>
          <w:tab w:val="clear" w:pos="144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Nestanoví-li zvláštní zákon jinak, exekutor odpovídá za škodu tomu, komu ji způsobil v souvislosti se svou činností. Exekutor odpovídá za škodu i tehdy, byla-li škoda způsobena jeho zaměstnancem. Exekutor je pro případ vzniku škody pojištěn. </w:t>
      </w:r>
    </w:p>
    <w:p w:rsidR="00412F74" w:rsidRPr="00171697" w:rsidRDefault="00412F74" w:rsidP="00DE39A8">
      <w:pPr>
        <w:numPr>
          <w:ilvl w:val="2"/>
          <w:numId w:val="3"/>
        </w:numPr>
        <w:tabs>
          <w:tab w:val="clear" w:pos="144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Exekutor i jím zmocněné osoby jsou povinni zachovávat mlčenlivost o všech skutečnostech, o nichž se dozvěděli při provádění své činnosti. Povinnost mlčenlivosti trvá i po zániku exekutorského úřadu a po skončení pracovního poměru zaměstnance exekutora, který se na exekuční činnosti z pověření exekutora podílel. </w:t>
      </w:r>
    </w:p>
    <w:p w:rsidR="00412F74" w:rsidRPr="00171697" w:rsidRDefault="00412F74" w:rsidP="00DE39A8">
      <w:pPr>
        <w:numPr>
          <w:ilvl w:val="2"/>
          <w:numId w:val="3"/>
        </w:numPr>
        <w:tabs>
          <w:tab w:val="clear" w:pos="144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Exekutor je oprávněn přijímat od povinného plnění ve prospěch oprávněného k uspokojení pohledávky oprávněného, a to jak v hotovosti nebo bezhotovostně, tak i z účtu povinného u peněžního ústavu na základě exekuce přikázáním pohledávky z účtu povinného, tak i od poddlužníků povinného na základě exekuce přikázáním jiné pohledávky, tak i od zaměstnavatele povinného na základě exekuce srážkami ze mzdy povinného. </w:t>
      </w:r>
    </w:p>
    <w:p w:rsidR="00412F74" w:rsidRPr="00171697" w:rsidRDefault="00412F74" w:rsidP="00DE39A8">
      <w:pPr>
        <w:numPr>
          <w:ilvl w:val="2"/>
          <w:numId w:val="3"/>
        </w:numPr>
        <w:tabs>
          <w:tab w:val="clear" w:pos="144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Tato smlouva se vztahuje na exekuce na peněžitá plnění. </w:t>
      </w:r>
    </w:p>
    <w:p w:rsidR="00412F74" w:rsidRPr="00171697" w:rsidRDefault="00412F74" w:rsidP="00DE39A8">
      <w:pPr>
        <w:numPr>
          <w:ilvl w:val="2"/>
          <w:numId w:val="3"/>
        </w:numPr>
        <w:tabs>
          <w:tab w:val="clear" w:pos="144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Exekutor je povinen neprodleně informovat oprávněného o ukončení či pozastavení výkonu exekutorského úřadu.</w:t>
      </w:r>
    </w:p>
    <w:p w:rsidR="00412F74" w:rsidRPr="00171697" w:rsidRDefault="00412F74" w:rsidP="00DE39A8">
      <w:pPr>
        <w:numPr>
          <w:ilvl w:val="2"/>
          <w:numId w:val="3"/>
        </w:numPr>
        <w:tabs>
          <w:tab w:val="clear" w:pos="144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>Oprávněný má právo provést u exekutora kontrolu spisů, v nichž vystupuje jako oprávněný, a inventarizaci spisů ke stavu k 31. 12. kalendářního roku.</w:t>
      </w:r>
    </w:p>
    <w:p w:rsidR="00412F74" w:rsidRPr="00171697" w:rsidRDefault="00412F74" w:rsidP="00DE39A8">
      <w:pPr>
        <w:numPr>
          <w:ilvl w:val="2"/>
          <w:numId w:val="3"/>
        </w:numPr>
        <w:tabs>
          <w:tab w:val="clear" w:pos="1440"/>
          <w:tab w:val="num" w:pos="567"/>
        </w:tabs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lastRenderedPageBreak/>
        <w:t>Exekutor je povinen do 20. února následujícího roku předložit oprávněnému přehledovou tabulku, ve které vyhodnotí úspěšnost vymáhání vzhledem k finančnímu objemu předaných spisů.</w:t>
      </w:r>
      <w:r w:rsidR="00DE39A8" w:rsidRPr="00171697">
        <w:rPr>
          <w:rFonts w:ascii="Garamond" w:hAnsi="Garamond"/>
        </w:rPr>
        <w:t xml:space="preserve"> </w:t>
      </w:r>
    </w:p>
    <w:p w:rsidR="00DE39A8" w:rsidRPr="00171697" w:rsidRDefault="00DE39A8" w:rsidP="00DE39A8">
      <w:pPr>
        <w:pStyle w:val="Zkladntext"/>
      </w:pPr>
    </w:p>
    <w:p w:rsidR="00412F74" w:rsidRPr="00171697" w:rsidRDefault="00412F74" w:rsidP="00DE39A8">
      <w:pPr>
        <w:pStyle w:val="Nadpis1"/>
        <w:spacing w:before="0" w:after="240"/>
        <w:ind w:left="431" w:hanging="431"/>
        <w:rPr>
          <w:rFonts w:ascii="Garamond" w:eastAsia="Times New Roman" w:hAnsi="Garamond" w:cs="Times New Roman"/>
          <w:sz w:val="24"/>
          <w:szCs w:val="24"/>
        </w:rPr>
      </w:pPr>
      <w:r w:rsidRPr="00171697">
        <w:rPr>
          <w:rFonts w:ascii="Garamond" w:eastAsia="Times New Roman" w:hAnsi="Garamond" w:cs="Times New Roman"/>
          <w:sz w:val="24"/>
          <w:szCs w:val="24"/>
        </w:rPr>
        <w:t>VI. Závěrečná ujednání</w:t>
      </w:r>
    </w:p>
    <w:p w:rsidR="00412F74" w:rsidRPr="00171697" w:rsidRDefault="00DE39A8" w:rsidP="00DE39A8">
      <w:pPr>
        <w:pStyle w:val="Odstavecseseznamem"/>
        <w:keepNext/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1. </w:t>
      </w:r>
      <w:r w:rsidRPr="00171697">
        <w:rPr>
          <w:rFonts w:ascii="Garamond" w:hAnsi="Garamond"/>
        </w:rPr>
        <w:tab/>
      </w:r>
      <w:r w:rsidR="00412F74" w:rsidRPr="00171697">
        <w:rPr>
          <w:rFonts w:ascii="Garamond" w:hAnsi="Garamond"/>
        </w:rPr>
        <w:t xml:space="preserve">Účastníci Smlouvy prohlašují, že Smlouva byla sjednána na základě jejich pravé a svobodné vůle, že si její obsah přečetli a bezvýhradně s ním souhlasí, což stvrzují svými vlastnoručními podpisy. </w:t>
      </w:r>
    </w:p>
    <w:p w:rsidR="00412F74" w:rsidRPr="00171697" w:rsidRDefault="00DE39A8" w:rsidP="00DE39A8">
      <w:pPr>
        <w:pStyle w:val="Odstavecseseznamem"/>
        <w:keepNext/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2. </w:t>
      </w:r>
      <w:r w:rsidRPr="00171697">
        <w:rPr>
          <w:rFonts w:ascii="Garamond" w:hAnsi="Garamond"/>
        </w:rPr>
        <w:tab/>
      </w:r>
      <w:r w:rsidR="00412F74" w:rsidRPr="00171697">
        <w:rPr>
          <w:rFonts w:ascii="Garamond" w:hAnsi="Garamond"/>
        </w:rPr>
        <w:t xml:space="preserve">Smlouva je vyhotovena ve dvou (2) stejnopisech s platností originálu, z nichž každá ze smluvních stran obdrží po jednom (1) vyhotovení. </w:t>
      </w:r>
    </w:p>
    <w:p w:rsidR="00412F74" w:rsidRPr="00171697" w:rsidRDefault="00DE39A8" w:rsidP="00DE39A8">
      <w:pPr>
        <w:pStyle w:val="Odstavecseseznamem"/>
        <w:keepNext/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3. </w:t>
      </w:r>
      <w:r w:rsidRPr="00171697">
        <w:rPr>
          <w:rFonts w:ascii="Garamond" w:hAnsi="Garamond"/>
        </w:rPr>
        <w:tab/>
      </w:r>
      <w:r w:rsidR="00412F74" w:rsidRPr="00171697">
        <w:rPr>
          <w:rFonts w:ascii="Garamond" w:hAnsi="Garamond"/>
        </w:rPr>
        <w:t>Veškeré změny a doplňky Smlouvy musí být učiněny písemně ve formě číslovaného dodatku ke smlouvě, podepsaného oprávněnými zástupci obou smluvních stran.</w:t>
      </w:r>
    </w:p>
    <w:p w:rsidR="00412F74" w:rsidRPr="00171697" w:rsidRDefault="00DE39A8" w:rsidP="00DE39A8">
      <w:pPr>
        <w:pStyle w:val="Odstavecseseznamem"/>
        <w:keepNext/>
        <w:spacing w:after="120"/>
        <w:ind w:left="567" w:hanging="567"/>
        <w:jc w:val="both"/>
        <w:rPr>
          <w:rFonts w:ascii="Garamond" w:hAnsi="Garamond"/>
        </w:rPr>
      </w:pPr>
      <w:r w:rsidRPr="00171697">
        <w:rPr>
          <w:rFonts w:ascii="Garamond" w:hAnsi="Garamond"/>
        </w:rPr>
        <w:t xml:space="preserve">4. </w:t>
      </w:r>
      <w:r w:rsidRPr="00171697">
        <w:rPr>
          <w:rFonts w:ascii="Garamond" w:hAnsi="Garamond"/>
        </w:rPr>
        <w:tab/>
      </w:r>
      <w:r w:rsidR="00412F74" w:rsidRPr="00171697">
        <w:rPr>
          <w:rFonts w:ascii="Garamond" w:hAnsi="Garamond"/>
        </w:rPr>
        <w:t>Smlouva vstupuje v platnost a účinnost dnem jejího podpisu oběma smluvními stranami.</w:t>
      </w:r>
    </w:p>
    <w:p w:rsidR="00412F74" w:rsidRPr="00171697" w:rsidRDefault="00412F74" w:rsidP="00DE39A8">
      <w:pPr>
        <w:spacing w:after="120" w:line="360" w:lineRule="auto"/>
        <w:jc w:val="both"/>
      </w:pPr>
    </w:p>
    <w:p w:rsidR="00412F74" w:rsidRPr="00171697" w:rsidRDefault="00412F74" w:rsidP="00412F74">
      <w:pPr>
        <w:spacing w:line="360" w:lineRule="auto"/>
        <w:rPr>
          <w:rFonts w:ascii="Garamond" w:hAnsi="Garamond"/>
        </w:rPr>
      </w:pPr>
      <w:r w:rsidRPr="00171697">
        <w:rPr>
          <w:rFonts w:ascii="Garamond" w:hAnsi="Garamond"/>
        </w:rPr>
        <w:t>Trutnov ………………………..</w:t>
      </w:r>
    </w:p>
    <w:p w:rsidR="008D0BCA" w:rsidRPr="00171697" w:rsidRDefault="008D0BCA" w:rsidP="00412F74"/>
    <w:p w:rsidR="00412F74" w:rsidRPr="00171697" w:rsidRDefault="00412F74" w:rsidP="00412F74"/>
    <w:p w:rsidR="00412F74" w:rsidRPr="00171697" w:rsidRDefault="00412F74" w:rsidP="00412F74">
      <w:r w:rsidRPr="00171697">
        <w:t>………………………………………</w:t>
      </w:r>
      <w:r w:rsidRPr="00171697">
        <w:tab/>
      </w:r>
      <w:r w:rsidRPr="00171697">
        <w:tab/>
      </w:r>
      <w:r w:rsidRPr="00171697">
        <w:tab/>
        <w:t>……………………………………</w:t>
      </w:r>
    </w:p>
    <w:p w:rsidR="00412F74" w:rsidRPr="00171697" w:rsidRDefault="004E07E8" w:rsidP="00412F74">
      <w:pPr>
        <w:ind w:firstLine="708"/>
        <w:rPr>
          <w:rFonts w:ascii="Garamond" w:hAnsi="Garamond"/>
        </w:rPr>
      </w:pPr>
      <w:r w:rsidRPr="00171697">
        <w:rPr>
          <w:rFonts w:ascii="Garamond" w:hAnsi="Garamond"/>
        </w:rPr>
        <w:t>Exekutorský úřad ……..</w:t>
      </w:r>
      <w:r w:rsidRPr="00171697">
        <w:rPr>
          <w:rFonts w:ascii="Garamond" w:hAnsi="Garamond"/>
        </w:rPr>
        <w:tab/>
      </w:r>
      <w:r w:rsidR="00412F74" w:rsidRPr="00171697">
        <w:rPr>
          <w:rFonts w:ascii="Garamond" w:hAnsi="Garamond"/>
        </w:rPr>
        <w:tab/>
        <w:t xml:space="preserve">   </w:t>
      </w:r>
      <w:r w:rsidR="00412F74" w:rsidRPr="00171697">
        <w:rPr>
          <w:rFonts w:ascii="Garamond" w:hAnsi="Garamond"/>
        </w:rPr>
        <w:tab/>
        <w:t xml:space="preserve">                    Mgr. Miroslava Purkertová</w:t>
      </w:r>
    </w:p>
    <w:p w:rsidR="00412F74" w:rsidRPr="00171697" w:rsidRDefault="00412F74" w:rsidP="00412F74">
      <w:pPr>
        <w:rPr>
          <w:rFonts w:ascii="Garamond" w:hAnsi="Garamond"/>
        </w:rPr>
      </w:pPr>
      <w:r w:rsidRPr="00171697">
        <w:rPr>
          <w:rFonts w:ascii="Garamond" w:hAnsi="Garamond"/>
        </w:rPr>
        <w:tab/>
      </w:r>
      <w:r w:rsidRPr="00171697">
        <w:rPr>
          <w:rFonts w:ascii="Garamond" w:hAnsi="Garamond"/>
        </w:rPr>
        <w:tab/>
      </w:r>
      <w:r w:rsidRPr="00171697">
        <w:rPr>
          <w:rFonts w:ascii="Garamond" w:hAnsi="Garamond"/>
        </w:rPr>
        <w:tab/>
      </w:r>
      <w:r w:rsidRPr="00171697">
        <w:rPr>
          <w:rFonts w:ascii="Garamond" w:hAnsi="Garamond"/>
        </w:rPr>
        <w:tab/>
      </w:r>
      <w:r w:rsidRPr="00171697">
        <w:rPr>
          <w:rFonts w:ascii="Garamond" w:hAnsi="Garamond"/>
        </w:rPr>
        <w:tab/>
      </w:r>
      <w:r w:rsidR="004E07E8" w:rsidRPr="00171697">
        <w:rPr>
          <w:rFonts w:ascii="Garamond" w:hAnsi="Garamond"/>
        </w:rPr>
        <w:tab/>
      </w:r>
      <w:r w:rsidR="004E07E8" w:rsidRPr="00171697">
        <w:rPr>
          <w:rFonts w:ascii="Garamond" w:hAnsi="Garamond"/>
        </w:rPr>
        <w:tab/>
      </w:r>
      <w:r w:rsidR="004E07E8" w:rsidRPr="00171697">
        <w:rPr>
          <w:rFonts w:ascii="Garamond" w:hAnsi="Garamond"/>
        </w:rPr>
        <w:tab/>
      </w:r>
      <w:r w:rsidR="004E07E8" w:rsidRPr="00171697">
        <w:rPr>
          <w:rFonts w:ascii="Garamond" w:hAnsi="Garamond"/>
        </w:rPr>
        <w:tab/>
        <w:t xml:space="preserve">   </w:t>
      </w:r>
      <w:r w:rsidRPr="00171697">
        <w:rPr>
          <w:rFonts w:ascii="Garamond" w:hAnsi="Garamond"/>
        </w:rPr>
        <w:t xml:space="preserve">předsedkyně soudu </w:t>
      </w:r>
    </w:p>
    <w:sectPr w:rsidR="00412F74" w:rsidRPr="001716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74" w:rsidRDefault="00412F74" w:rsidP="00412F74">
      <w:r>
        <w:separator/>
      </w:r>
    </w:p>
  </w:endnote>
  <w:endnote w:type="continuationSeparator" w:id="0">
    <w:p w:rsidR="00412F74" w:rsidRDefault="00412F74" w:rsidP="0041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7" w:rsidRPr="007A212E" w:rsidRDefault="00412F74" w:rsidP="00412F74">
    <w:pPr>
      <w:pStyle w:val="Zpat"/>
      <w:tabs>
        <w:tab w:val="clear" w:pos="4536"/>
      </w:tabs>
      <w:ind w:right="360"/>
      <w:jc w:val="right"/>
      <w:rPr>
        <w:rFonts w:ascii="Garamond" w:hAnsi="Garamond"/>
      </w:rPr>
    </w:pPr>
    <w:r>
      <w:rPr>
        <w:rFonts w:ascii="Garamond" w:hAnsi="Garamond"/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CA63FB" wp14:editId="686A785C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1755" cy="170180"/>
              <wp:effectExtent l="1270" t="635" r="3175" b="635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827" w:rsidRDefault="00412F7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71697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35pt;margin-top:.05pt;width:5.65pt;height:13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" stroked="f">
              <v:fill opacity="0"/>
              <v:textbox inset="0,0,0,0">
                <w:txbxContent>
                  <w:p w:rsidR="00340827" w:rsidRDefault="00412F7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71697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7A212E">
      <w:rPr>
        <w:rFonts w:ascii="Garamond" w:hAnsi="Garamond"/>
      </w:rPr>
      <w:t>Strana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74" w:rsidRDefault="00412F74" w:rsidP="00412F74">
      <w:r>
        <w:separator/>
      </w:r>
    </w:p>
  </w:footnote>
  <w:footnote w:type="continuationSeparator" w:id="0">
    <w:p w:rsidR="00412F74" w:rsidRDefault="00412F74" w:rsidP="0041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AF5D3A"/>
    <w:multiLevelType w:val="multilevel"/>
    <w:tmpl w:val="33D28BF0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4">
    <w:nsid w:val="1C7E40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5045EA4"/>
    <w:multiLevelType w:val="hybridMultilevel"/>
    <w:tmpl w:val="A3C2D54C"/>
    <w:lvl w:ilvl="0" w:tplc="96166F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5C267B2"/>
    <w:multiLevelType w:val="hybridMultilevel"/>
    <w:tmpl w:val="1FE4E250"/>
    <w:lvl w:ilvl="0" w:tplc="CB6200D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623CB"/>
    <w:multiLevelType w:val="hybridMultilevel"/>
    <w:tmpl w:val="996E86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S TU - návrh smlouvy o v 2021/07/15 10:21:5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412F74"/>
    <w:rsid w:val="00171697"/>
    <w:rsid w:val="001F060D"/>
    <w:rsid w:val="002E721C"/>
    <w:rsid w:val="00412F74"/>
    <w:rsid w:val="004E07E8"/>
    <w:rsid w:val="005A771E"/>
    <w:rsid w:val="006102BC"/>
    <w:rsid w:val="008D0BCA"/>
    <w:rsid w:val="00902DBC"/>
    <w:rsid w:val="00DE39A8"/>
    <w:rsid w:val="00F3631A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F74"/>
    <w:pPr>
      <w:suppressAutoHyphens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412F74"/>
    <w:pPr>
      <w:keepNext/>
      <w:numPr>
        <w:numId w:val="1"/>
      </w:numPr>
      <w:spacing w:before="522" w:after="289"/>
      <w:jc w:val="center"/>
      <w:outlineLvl w:val="0"/>
    </w:pPr>
    <w:rPr>
      <w:rFonts w:eastAsia="Droid Sans" w:cs="Lohit Hindi"/>
      <w:b/>
      <w:bCs/>
      <w:sz w:val="26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F74"/>
    <w:rPr>
      <w:rFonts w:ascii="Times New Roman" w:eastAsia="Droid Sans" w:hAnsi="Times New Roman" w:cs="Lohit Hindi"/>
      <w:b/>
      <w:bCs/>
      <w:sz w:val="26"/>
      <w:szCs w:val="32"/>
      <w:u w:val="single"/>
      <w:lang w:eastAsia="ar-SA"/>
    </w:rPr>
  </w:style>
  <w:style w:type="character" w:styleId="slostrnky">
    <w:name w:val="page number"/>
    <w:basedOn w:val="Standardnpsmoodstavce"/>
    <w:rsid w:val="00412F74"/>
  </w:style>
  <w:style w:type="paragraph" w:styleId="Zkladntext">
    <w:name w:val="Body Text"/>
    <w:basedOn w:val="Normln"/>
    <w:link w:val="ZkladntextChar"/>
    <w:rsid w:val="00412F7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12F74"/>
    <w:rPr>
      <w:rFonts w:ascii="Times New Roman" w:eastAsia="Times New Roman" w:hAnsi="Times New Roman" w:cs="Times New Roman"/>
      <w:szCs w:val="24"/>
      <w:lang w:eastAsia="ar-SA"/>
    </w:rPr>
  </w:style>
  <w:style w:type="paragraph" w:styleId="Zpat">
    <w:name w:val="footer"/>
    <w:basedOn w:val="Normln"/>
    <w:link w:val="ZpatChar"/>
    <w:rsid w:val="00412F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2F74"/>
    <w:rPr>
      <w:rFonts w:ascii="Times New Roman" w:eastAsia="Times New Roman" w:hAnsi="Times New Roman" w:cs="Times New Roman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12F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12F74"/>
    <w:rPr>
      <w:rFonts w:ascii="Times New Roman" w:eastAsia="Times New Roman" w:hAnsi="Times New Roman" w:cs="Times New Roman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12F7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12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F74"/>
    <w:rPr>
      <w:rFonts w:ascii="Times New Roman" w:eastAsia="Times New Roman" w:hAnsi="Times New Roman" w:cs="Times New Roman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7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F74"/>
    <w:pPr>
      <w:suppressAutoHyphens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412F74"/>
    <w:pPr>
      <w:keepNext/>
      <w:numPr>
        <w:numId w:val="1"/>
      </w:numPr>
      <w:spacing w:before="522" w:after="289"/>
      <w:jc w:val="center"/>
      <w:outlineLvl w:val="0"/>
    </w:pPr>
    <w:rPr>
      <w:rFonts w:eastAsia="Droid Sans" w:cs="Lohit Hindi"/>
      <w:b/>
      <w:bCs/>
      <w:sz w:val="26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F74"/>
    <w:rPr>
      <w:rFonts w:ascii="Times New Roman" w:eastAsia="Droid Sans" w:hAnsi="Times New Roman" w:cs="Lohit Hindi"/>
      <w:b/>
      <w:bCs/>
      <w:sz w:val="26"/>
      <w:szCs w:val="32"/>
      <w:u w:val="single"/>
      <w:lang w:eastAsia="ar-SA"/>
    </w:rPr>
  </w:style>
  <w:style w:type="character" w:styleId="slostrnky">
    <w:name w:val="page number"/>
    <w:basedOn w:val="Standardnpsmoodstavce"/>
    <w:rsid w:val="00412F74"/>
  </w:style>
  <w:style w:type="paragraph" w:styleId="Zkladntext">
    <w:name w:val="Body Text"/>
    <w:basedOn w:val="Normln"/>
    <w:link w:val="ZkladntextChar"/>
    <w:rsid w:val="00412F7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12F74"/>
    <w:rPr>
      <w:rFonts w:ascii="Times New Roman" w:eastAsia="Times New Roman" w:hAnsi="Times New Roman" w:cs="Times New Roman"/>
      <w:szCs w:val="24"/>
      <w:lang w:eastAsia="ar-SA"/>
    </w:rPr>
  </w:style>
  <w:style w:type="paragraph" w:styleId="Zpat">
    <w:name w:val="footer"/>
    <w:basedOn w:val="Normln"/>
    <w:link w:val="ZpatChar"/>
    <w:rsid w:val="00412F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2F74"/>
    <w:rPr>
      <w:rFonts w:ascii="Times New Roman" w:eastAsia="Times New Roman" w:hAnsi="Times New Roman" w:cs="Times New Roman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12F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12F74"/>
    <w:rPr>
      <w:rFonts w:ascii="Times New Roman" w:eastAsia="Times New Roman" w:hAnsi="Times New Roman" w:cs="Times New Roman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12F7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12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F74"/>
    <w:rPr>
      <w:rFonts w:ascii="Times New Roman" w:eastAsia="Times New Roman" w:hAnsi="Times New Roman" w:cs="Times New Roman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F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F7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5</Pages>
  <Words>1696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Pavla JUDr.</dc:creator>
  <cp:lastModifiedBy>Štočková Jitka</cp:lastModifiedBy>
  <cp:revision>2</cp:revision>
  <cp:lastPrinted>2021-07-14T12:21:00Z</cp:lastPrinted>
  <dcterms:created xsi:type="dcterms:W3CDTF">2021-07-15T09:11:00Z</dcterms:created>
  <dcterms:modified xsi:type="dcterms:W3CDTF">2021-07-15T09:11:00Z</dcterms:modified>
</cp:coreProperties>
</file>