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C079" w14:textId="4A42C204" w:rsidR="00E657D2" w:rsidRPr="00DD25CA" w:rsidRDefault="00E657D2" w:rsidP="00E657D2">
      <w:pPr>
        <w:spacing w:after="240"/>
        <w:jc w:val="center"/>
        <w:rPr>
          <w:rFonts w:eastAsia="Calibri"/>
          <w:sz w:val="32"/>
          <w:szCs w:val="32"/>
          <w:lang w:eastAsia="en-US"/>
        </w:rPr>
      </w:pPr>
      <w:r>
        <w:rPr>
          <w:noProof/>
        </w:rPr>
        <w:drawing>
          <wp:anchor distT="1800225" distB="360045" distL="114300" distR="114300" simplePos="0" relativeHeight="251659264" behindDoc="0" locked="0" layoutInCell="1" allowOverlap="1" wp14:anchorId="1599BDC4" wp14:editId="389BC0DD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1" name="Obrázek 1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lý%20státní%20znak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25CA">
        <w:rPr>
          <w:rFonts w:eastAsia="Calibri"/>
          <w:sz w:val="32"/>
          <w:szCs w:val="32"/>
          <w:lang w:eastAsia="en-US"/>
        </w:rPr>
        <w:t>ČESKÁ REPUBLIKA</w:t>
      </w:r>
    </w:p>
    <w:p w14:paraId="3211CB9B" w14:textId="77777777" w:rsidR="00E657D2" w:rsidRPr="00DD25CA" w:rsidRDefault="00E657D2" w:rsidP="00E657D2">
      <w:pPr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DD25CA">
        <w:rPr>
          <w:rFonts w:eastAsia="Calibri"/>
          <w:b/>
          <w:bCs/>
          <w:sz w:val="40"/>
          <w:szCs w:val="40"/>
          <w:lang w:eastAsia="en-US"/>
        </w:rPr>
        <w:t>ROZSUDEK</w:t>
      </w:r>
    </w:p>
    <w:p w14:paraId="6FBCD77E" w14:textId="77777777" w:rsidR="00E657D2" w:rsidRPr="00DD25CA" w:rsidRDefault="00E657D2" w:rsidP="00E657D2">
      <w:pPr>
        <w:spacing w:after="480"/>
        <w:jc w:val="center"/>
        <w:rPr>
          <w:rFonts w:eastAsia="Calibri"/>
          <w:b/>
          <w:bCs/>
          <w:lang w:eastAsia="en-US"/>
        </w:rPr>
      </w:pPr>
      <w:r w:rsidRPr="00DD25CA">
        <w:rPr>
          <w:rFonts w:eastAsia="Calibri"/>
          <w:b/>
          <w:bCs/>
          <w:sz w:val="40"/>
          <w:szCs w:val="40"/>
          <w:lang w:eastAsia="en-US"/>
        </w:rPr>
        <w:t>JMÉNEM REPUBLIKY</w:t>
      </w:r>
    </w:p>
    <w:p w14:paraId="3AA3E2FA" w14:textId="77777777" w:rsidR="00E657D2" w:rsidRPr="00DD25CA" w:rsidRDefault="00E657D2" w:rsidP="00E657D2">
      <w:pPr>
        <w:spacing w:before="100" w:after="240"/>
        <w:rPr>
          <w:szCs w:val="22"/>
          <w:lang w:eastAsia="en-US" w:bidi="en-US"/>
        </w:rPr>
      </w:pPr>
      <w:r w:rsidRPr="00DD25CA">
        <w:rPr>
          <w:szCs w:val="22"/>
          <w:lang w:eastAsia="en-US" w:bidi="en-US"/>
        </w:rPr>
        <w:t xml:space="preserve">Krajský soud v Brně, soud pro mládež, rozhodl v hlavním líčení konaném dne 11. listopadu 2021 v senátě složeném z předsedy senátu Mgr. Adama Kafky a přísedících Mileny Trnečkové, DiS. a Jany Hlavicové </w:t>
      </w:r>
    </w:p>
    <w:p w14:paraId="3C47615E" w14:textId="77777777" w:rsidR="00E657D2" w:rsidRPr="00DD25CA" w:rsidRDefault="00E657D2" w:rsidP="00E657D2">
      <w:pPr>
        <w:spacing w:before="240"/>
        <w:jc w:val="center"/>
        <w:rPr>
          <w:rFonts w:eastAsia="Calibri"/>
          <w:b/>
          <w:spacing w:val="50"/>
          <w:szCs w:val="22"/>
          <w:lang w:eastAsia="en-US"/>
        </w:rPr>
      </w:pPr>
      <w:r w:rsidRPr="00DD25CA">
        <w:rPr>
          <w:rFonts w:eastAsia="Calibri"/>
          <w:b/>
          <w:szCs w:val="22"/>
          <w:lang w:eastAsia="en-US"/>
        </w:rPr>
        <w:t>takto</w:t>
      </w:r>
      <w:r w:rsidRPr="00DD25CA">
        <w:rPr>
          <w:rFonts w:eastAsia="Calibri"/>
          <w:b/>
          <w:spacing w:val="50"/>
          <w:szCs w:val="22"/>
          <w:lang w:eastAsia="en-US"/>
        </w:rPr>
        <w:t>:</w:t>
      </w:r>
    </w:p>
    <w:p w14:paraId="196F371B" w14:textId="77777777" w:rsidR="00E657D2" w:rsidRPr="00DD25CA" w:rsidRDefault="00E657D2" w:rsidP="00E657D2">
      <w:pPr>
        <w:overflowPunct w:val="0"/>
        <w:autoSpaceDE w:val="0"/>
        <w:autoSpaceDN w:val="0"/>
        <w:adjustRightInd w:val="0"/>
        <w:spacing w:after="0"/>
        <w:rPr>
          <w:b/>
        </w:rPr>
      </w:pPr>
    </w:p>
    <w:p w14:paraId="5AA1C61F" w14:textId="77777777" w:rsidR="00E657D2" w:rsidRPr="00DD25CA" w:rsidRDefault="00E657D2" w:rsidP="00E657D2">
      <w:pPr>
        <w:autoSpaceDE w:val="0"/>
        <w:autoSpaceDN w:val="0"/>
        <w:adjustRightInd w:val="0"/>
        <w:spacing w:after="0"/>
        <w:jc w:val="center"/>
        <w:rPr>
          <w:rFonts w:cs="Arial"/>
          <w:b/>
        </w:rPr>
      </w:pPr>
      <w:r w:rsidRPr="00DD25CA">
        <w:rPr>
          <w:rFonts w:cs="Arial"/>
          <w:b/>
        </w:rPr>
        <w:t>I.</w:t>
      </w:r>
    </w:p>
    <w:p w14:paraId="0B3A7FC3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</w:rPr>
      </w:pPr>
    </w:p>
    <w:p w14:paraId="5E440FEA" w14:textId="1ADA8F56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b/>
        </w:rPr>
      </w:pPr>
      <w:r w:rsidRPr="00DD25CA">
        <w:rPr>
          <w:rFonts w:cs="Arial"/>
        </w:rPr>
        <w:t xml:space="preserve">Podle § 314r odst. 4 trestního řádu za použití § 206b odst. 3 trestního řádu </w:t>
      </w:r>
      <w:r w:rsidRPr="00DD25CA">
        <w:rPr>
          <w:rFonts w:cs="Arial"/>
          <w:b/>
        </w:rPr>
        <w:t xml:space="preserve">soud schvaluje dohodu o vině a trestu, </w:t>
      </w:r>
      <w:r w:rsidRPr="00DD25CA">
        <w:rPr>
          <w:rFonts w:cs="Arial"/>
        </w:rPr>
        <w:t>uzavřenou mezi státní zástupkyní Krajského státního zastupitelství v Brně a mladistvým S</w:t>
      </w:r>
      <w:r w:rsidR="008B73C9">
        <w:rPr>
          <w:rFonts w:cs="Arial"/>
        </w:rPr>
        <w:t>.</w:t>
      </w:r>
      <w:r w:rsidRPr="00DD25CA">
        <w:rPr>
          <w:rFonts w:cs="Arial"/>
        </w:rPr>
        <w:t xml:space="preserve"> Ž</w:t>
      </w:r>
      <w:r w:rsidR="008B73C9">
        <w:rPr>
          <w:rFonts w:cs="Arial"/>
        </w:rPr>
        <w:t>.</w:t>
      </w:r>
      <w:r w:rsidRPr="00DD25CA">
        <w:rPr>
          <w:rFonts w:cs="Arial"/>
        </w:rPr>
        <w:t xml:space="preserve"> dne 11. 10. 2021.</w:t>
      </w:r>
    </w:p>
    <w:p w14:paraId="7423670F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b/>
        </w:rPr>
      </w:pPr>
    </w:p>
    <w:p w14:paraId="0D35AF9A" w14:textId="77777777" w:rsidR="00E657D2" w:rsidRPr="00DD25CA" w:rsidRDefault="00E657D2" w:rsidP="00E657D2">
      <w:pPr>
        <w:autoSpaceDE w:val="0"/>
        <w:autoSpaceDN w:val="0"/>
        <w:adjustRightInd w:val="0"/>
        <w:spacing w:after="0"/>
        <w:jc w:val="center"/>
        <w:rPr>
          <w:rFonts w:cs="Arial"/>
          <w:b/>
        </w:rPr>
      </w:pPr>
      <w:r w:rsidRPr="00DD25CA">
        <w:rPr>
          <w:rFonts w:cs="Arial"/>
          <w:b/>
        </w:rPr>
        <w:t>II.</w:t>
      </w:r>
    </w:p>
    <w:p w14:paraId="5F9E51E1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b/>
        </w:rPr>
      </w:pPr>
    </w:p>
    <w:p w14:paraId="57B801A6" w14:textId="77777777" w:rsidR="00E657D2" w:rsidRPr="00DD25CA" w:rsidRDefault="00E657D2" w:rsidP="00E657D2">
      <w:pPr>
        <w:autoSpaceDE w:val="0"/>
        <w:autoSpaceDN w:val="0"/>
        <w:adjustRightInd w:val="0"/>
        <w:spacing w:after="0"/>
        <w:jc w:val="left"/>
        <w:rPr>
          <w:rFonts w:cs="Arial"/>
          <w:b/>
        </w:rPr>
      </w:pPr>
      <w:r w:rsidRPr="00DD25CA">
        <w:rPr>
          <w:rFonts w:cs="Arial"/>
          <w:b/>
        </w:rPr>
        <w:t>mladistvý</w:t>
      </w:r>
    </w:p>
    <w:p w14:paraId="49242023" w14:textId="369390DF" w:rsidR="00E657D2" w:rsidRPr="00DD25CA" w:rsidRDefault="00E657D2" w:rsidP="00E657D2">
      <w:pPr>
        <w:autoSpaceDE w:val="0"/>
        <w:autoSpaceDN w:val="0"/>
        <w:adjustRightInd w:val="0"/>
        <w:spacing w:after="0"/>
        <w:jc w:val="center"/>
        <w:rPr>
          <w:rFonts w:cs="Arial"/>
        </w:rPr>
      </w:pPr>
      <w:r w:rsidRPr="00DD25CA">
        <w:rPr>
          <w:rFonts w:cs="Arial"/>
          <w:b/>
        </w:rPr>
        <w:t>S</w:t>
      </w:r>
      <w:r w:rsidR="008B73C9">
        <w:rPr>
          <w:rFonts w:cs="Arial"/>
          <w:b/>
        </w:rPr>
        <w:t>.</w:t>
      </w:r>
      <w:r w:rsidRPr="00DD25CA">
        <w:rPr>
          <w:rFonts w:cs="Arial"/>
          <w:b/>
        </w:rPr>
        <w:t xml:space="preserve"> Ž</w:t>
      </w:r>
      <w:r w:rsidR="008B73C9">
        <w:rPr>
          <w:rFonts w:cs="Arial"/>
          <w:b/>
        </w:rPr>
        <w:t>.</w:t>
      </w:r>
    </w:p>
    <w:p w14:paraId="09F1A899" w14:textId="0B4621E6" w:rsidR="00E657D2" w:rsidRPr="00DD25CA" w:rsidRDefault="00E657D2" w:rsidP="00E657D2">
      <w:pPr>
        <w:autoSpaceDE w:val="0"/>
        <w:autoSpaceDN w:val="0"/>
        <w:adjustRightInd w:val="0"/>
        <w:spacing w:after="0"/>
        <w:jc w:val="center"/>
        <w:rPr>
          <w:rFonts w:cs="Arial"/>
        </w:rPr>
      </w:pPr>
      <w:r w:rsidRPr="00DD25CA">
        <w:rPr>
          <w:rFonts w:cs="Arial"/>
        </w:rPr>
        <w:t xml:space="preserve">nar. </w:t>
      </w:r>
      <w:r w:rsidR="008B73C9">
        <w:rPr>
          <w:rFonts w:cs="Arial"/>
        </w:rPr>
        <w:t>XXXXX</w:t>
      </w:r>
      <w:r w:rsidRPr="00DD25CA">
        <w:rPr>
          <w:rFonts w:cs="Arial"/>
        </w:rPr>
        <w:t xml:space="preserve"> v </w:t>
      </w:r>
      <w:r w:rsidR="008B73C9">
        <w:rPr>
          <w:rFonts w:cs="Arial"/>
        </w:rPr>
        <w:t>XXXXX</w:t>
      </w:r>
      <w:r w:rsidRPr="00DD25CA">
        <w:rPr>
          <w:rFonts w:cs="Arial"/>
        </w:rPr>
        <w:t>,</w:t>
      </w:r>
    </w:p>
    <w:p w14:paraId="16DDACCF" w14:textId="77777777" w:rsidR="00E657D2" w:rsidRPr="00DD25CA" w:rsidRDefault="00E657D2" w:rsidP="00E657D2">
      <w:pPr>
        <w:autoSpaceDE w:val="0"/>
        <w:autoSpaceDN w:val="0"/>
        <w:adjustRightInd w:val="0"/>
        <w:spacing w:after="0"/>
        <w:jc w:val="center"/>
        <w:rPr>
          <w:rFonts w:cs="Arial"/>
        </w:rPr>
      </w:pPr>
      <w:r w:rsidRPr="00DD25CA">
        <w:rPr>
          <w:rFonts w:cs="Arial"/>
        </w:rPr>
        <w:t>dělník,</w:t>
      </w:r>
    </w:p>
    <w:p w14:paraId="513B2FA7" w14:textId="4CF255DE" w:rsidR="00E657D2" w:rsidRPr="00DD25CA" w:rsidRDefault="00E657D2" w:rsidP="00E657D2">
      <w:pPr>
        <w:autoSpaceDE w:val="0"/>
        <w:autoSpaceDN w:val="0"/>
        <w:adjustRightInd w:val="0"/>
        <w:spacing w:after="0"/>
        <w:jc w:val="center"/>
        <w:rPr>
          <w:rFonts w:cs="Arial"/>
        </w:rPr>
      </w:pPr>
      <w:r w:rsidRPr="00DD25CA">
        <w:rPr>
          <w:rFonts w:cs="Arial"/>
        </w:rPr>
        <w:t xml:space="preserve">trvale bytem </w:t>
      </w:r>
      <w:r w:rsidR="008B73C9">
        <w:rPr>
          <w:rFonts w:cs="Arial"/>
        </w:rPr>
        <w:t>XXXXX</w:t>
      </w:r>
      <w:r w:rsidRPr="00DD25CA">
        <w:rPr>
          <w:rFonts w:cs="Arial"/>
        </w:rPr>
        <w:t>,</w:t>
      </w:r>
    </w:p>
    <w:p w14:paraId="66A00B2F" w14:textId="0C41D4DA" w:rsidR="00E657D2" w:rsidRPr="00DD25CA" w:rsidRDefault="00E657D2" w:rsidP="00E657D2">
      <w:pPr>
        <w:autoSpaceDE w:val="0"/>
        <w:autoSpaceDN w:val="0"/>
        <w:adjustRightInd w:val="0"/>
        <w:spacing w:after="0"/>
        <w:jc w:val="center"/>
        <w:rPr>
          <w:rFonts w:cs="Arial"/>
        </w:rPr>
      </w:pPr>
    </w:p>
    <w:p w14:paraId="24D9EB09" w14:textId="77777777" w:rsidR="00E657D2" w:rsidRPr="00DD25CA" w:rsidRDefault="00E657D2" w:rsidP="00E657D2">
      <w:pPr>
        <w:autoSpaceDE w:val="0"/>
        <w:autoSpaceDN w:val="0"/>
        <w:adjustRightInd w:val="0"/>
        <w:spacing w:after="0"/>
        <w:jc w:val="center"/>
        <w:rPr>
          <w:rFonts w:cs="Arial"/>
        </w:rPr>
      </w:pPr>
    </w:p>
    <w:p w14:paraId="571A6D65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</w:rPr>
      </w:pPr>
    </w:p>
    <w:p w14:paraId="2BE38D37" w14:textId="77777777" w:rsidR="00E657D2" w:rsidRPr="00DD25CA" w:rsidRDefault="00E657D2" w:rsidP="00E657D2">
      <w:pPr>
        <w:autoSpaceDE w:val="0"/>
        <w:autoSpaceDN w:val="0"/>
        <w:adjustRightInd w:val="0"/>
        <w:spacing w:after="0"/>
        <w:jc w:val="center"/>
        <w:rPr>
          <w:rFonts w:cs="Arial"/>
          <w:b/>
        </w:rPr>
      </w:pPr>
      <w:r w:rsidRPr="00DD25CA">
        <w:rPr>
          <w:rFonts w:cs="Arial"/>
          <w:b/>
        </w:rPr>
        <w:t>je vinen, že</w:t>
      </w:r>
    </w:p>
    <w:p w14:paraId="53AD426F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</w:rPr>
      </w:pPr>
    </w:p>
    <w:p w14:paraId="38DA72CB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</w:rPr>
      </w:pPr>
    </w:p>
    <w:p w14:paraId="2F72A0C0" w14:textId="0A9C8313" w:rsidR="00E657D2" w:rsidRPr="00DD25CA" w:rsidRDefault="00E657D2" w:rsidP="00E657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v blíže nezjištěnou dobu v roce 2019 koupil od M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P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, nar.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ve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v 5 případech celkem 100 g marihuany za účelem další distribuce,</w:t>
      </w:r>
    </w:p>
    <w:p w14:paraId="5B8DB8C5" w14:textId="77777777" w:rsidR="00E657D2" w:rsidRPr="00DD25CA" w:rsidRDefault="00E657D2" w:rsidP="00E657D2">
      <w:pPr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</w:p>
    <w:p w14:paraId="66F6414B" w14:textId="0F93AF95" w:rsidR="00E657D2" w:rsidRPr="00DD25CA" w:rsidRDefault="00E657D2" w:rsidP="00E657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v listopadu 2019 prodal J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D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, nar.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v 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3 kusy tablet extáze za částku 150 Kč za 1 kus,</w:t>
      </w:r>
    </w:p>
    <w:p w14:paraId="1033D163" w14:textId="77777777" w:rsidR="00E657D2" w:rsidRPr="00DD25CA" w:rsidRDefault="00E657D2" w:rsidP="00E657D2">
      <w:pPr>
        <w:autoSpaceDE w:val="0"/>
        <w:autoSpaceDN w:val="0"/>
        <w:adjustRightInd w:val="0"/>
        <w:spacing w:after="0"/>
        <w:ind w:left="708"/>
        <w:rPr>
          <w:rFonts w:cs="Arial"/>
          <w:lang w:val="en-US" w:eastAsia="en-US" w:bidi="en-US"/>
        </w:rPr>
      </w:pPr>
    </w:p>
    <w:p w14:paraId="2EF46F19" w14:textId="573789B9" w:rsidR="00E657D2" w:rsidRPr="00DD25CA" w:rsidRDefault="00E657D2" w:rsidP="00E657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začátkem roku 2020 prodal A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Z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, nar.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ve Víru, okres</w:t>
      </w:r>
      <w:r w:rsidR="008B73C9">
        <w:rPr>
          <w:rFonts w:cs="Arial"/>
          <w:lang w:val="en-US" w:eastAsia="en-US" w:bidi="en-US"/>
        </w:rPr>
        <w:t xml:space="preserve"> XXXXXX</w:t>
      </w:r>
      <w:r w:rsidRPr="00DD25CA">
        <w:rPr>
          <w:rFonts w:cs="Arial"/>
          <w:lang w:val="en-US" w:eastAsia="en-US" w:bidi="en-US"/>
        </w:rPr>
        <w:t xml:space="preserve"> 20 g MDMA za částku 1.000 Kč,</w:t>
      </w:r>
    </w:p>
    <w:p w14:paraId="7256EB65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b/>
          <w:bCs/>
          <w:lang w:val="en-US" w:eastAsia="en-US" w:bidi="en-US"/>
        </w:rPr>
      </w:pPr>
    </w:p>
    <w:p w14:paraId="0B916F51" w14:textId="0FF6F1D4" w:rsidR="00E657D2" w:rsidRPr="00DD25CA" w:rsidRDefault="00E657D2" w:rsidP="00E657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 xml:space="preserve">dne 1.4.2020 ve večerních hodinách ve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s cílem další neoprávněné distribuce zakoupil od K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B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, nar.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>, 10 g MDMA a 10 g speedu a zprostředkoval K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B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neoprávněný prodej nejméně 4000 ks tablet extáze a 400 ks tripů LSD, nezjištěného množství MDMA a speedu, kdy tyto látky pro tento obchod obstaral podle předchozí domluvy M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P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, nar.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a k předání došlo dne 8. 4. 2020 kolem 18:00 hod. v</w:t>
      </w:r>
      <w:r w:rsidR="008B73C9">
        <w:rPr>
          <w:rFonts w:cs="Arial"/>
          <w:lang w:val="en-US" w:eastAsia="en-US" w:bidi="en-US"/>
        </w:rPr>
        <w:t xml:space="preserve"> XXXXX</w:t>
      </w:r>
      <w:r w:rsidRPr="00DD25CA">
        <w:rPr>
          <w:rFonts w:cs="Arial"/>
          <w:lang w:val="en-US" w:eastAsia="en-US" w:bidi="en-US"/>
        </w:rPr>
        <w:t>,</w:t>
      </w:r>
    </w:p>
    <w:p w14:paraId="65682002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66A0E5A9" w14:textId="29B7F0E5" w:rsidR="00E657D2" w:rsidRPr="00DD25CA" w:rsidRDefault="00E657D2" w:rsidP="00E657D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 xml:space="preserve">dne 22. 6. 2020 kolem 23:50 hod. v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>, neoprávněně zakoupil společně s K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B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s cílem další nedovolené distribuce od M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P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700 ks tablet extáze a 1000 ks tripů LSD za částku ve výši 105.000 Kč, současně zprostředkoval mezi K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B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a M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P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prodej 10000 ks tablet extáze v ceně 25 Kč za 1 ks tablety s dodatkem, že v případě navýšení objednávky o dalších 10000 ks tablet extáze bude cena za 1 ks tablety 23 Kč,</w:t>
      </w:r>
    </w:p>
    <w:p w14:paraId="459764AD" w14:textId="77777777" w:rsidR="00E657D2" w:rsidRPr="00DD25CA" w:rsidRDefault="00E657D2" w:rsidP="00E657D2">
      <w:pPr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</w:p>
    <w:p w14:paraId="5BFE2A58" w14:textId="02C39724" w:rsidR="00E657D2" w:rsidRPr="00DD25CA" w:rsidRDefault="00E657D2" w:rsidP="00E657D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 xml:space="preserve">dne 30. 7. 2020 v době od 18:28 hod. v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>, zakoupil od M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P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200 g MDMA a 60 g metamfetaminu za blíže nezjištěnou částku, dále vyjednával zprostředkování možného obchodu, kdy by koupil další metamfetamin v ceně 800 až 900 Kč za 1 gram,</w:t>
      </w:r>
    </w:p>
    <w:p w14:paraId="40AB6895" w14:textId="77777777" w:rsidR="00E657D2" w:rsidRPr="00DD25CA" w:rsidRDefault="00E657D2" w:rsidP="00E657D2">
      <w:pPr>
        <w:autoSpaceDE w:val="0"/>
        <w:autoSpaceDN w:val="0"/>
        <w:adjustRightInd w:val="0"/>
        <w:spacing w:after="0"/>
        <w:ind w:left="720"/>
        <w:contextualSpacing/>
        <w:rPr>
          <w:rFonts w:cs="Arial"/>
          <w:lang w:val="en-US" w:eastAsia="en-US" w:bidi="en-US"/>
        </w:rPr>
      </w:pPr>
    </w:p>
    <w:p w14:paraId="0AD7E437" w14:textId="5F77444D" w:rsidR="00E657D2" w:rsidRPr="00DD25CA" w:rsidRDefault="00E657D2" w:rsidP="00E657D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dne 6. 8. 2020 v době po 22:40 hod. na čerpací stanici Benzina v 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zakoupil od M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P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350 ks tripů LSD za blíže nezjištěnou částku,</w:t>
      </w:r>
    </w:p>
    <w:p w14:paraId="175ABB6B" w14:textId="77777777" w:rsidR="00E657D2" w:rsidRPr="00DD25CA" w:rsidRDefault="00E657D2" w:rsidP="00E657D2">
      <w:pPr>
        <w:autoSpaceDE w:val="0"/>
        <w:autoSpaceDN w:val="0"/>
        <w:adjustRightInd w:val="0"/>
        <w:spacing w:after="0"/>
        <w:ind w:left="720"/>
        <w:contextualSpacing/>
        <w:rPr>
          <w:rFonts w:cs="Arial"/>
          <w:lang w:val="en-US" w:eastAsia="en-US" w:bidi="en-US"/>
        </w:rPr>
      </w:pPr>
    </w:p>
    <w:p w14:paraId="0ED4BC82" w14:textId="7D1227B8" w:rsidR="00E657D2" w:rsidRPr="00DD25CA" w:rsidRDefault="00E657D2" w:rsidP="00E657D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 xml:space="preserve">dne 13. 8. 2020 v době kolem 18:45 hod. v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zakoupil od M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P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>, 2000 ks tablet extáze za částku ve výši 60.000 Kč,</w:t>
      </w:r>
    </w:p>
    <w:p w14:paraId="12508964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36B383B7" w14:textId="5D62DEF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kdy od M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P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převzal v ostatních případech zejména v 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a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další tablety extáze, MDMA, LSD tripy, speed, a tak za uvedené období nedovoleně od M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P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zakoupil nejméně 30000 ks tablet extáze, 4 kg MDMA, 2000 ks LSD tripů a 2 kg speedu, kdy </w:t>
      </w:r>
    </w:p>
    <w:p w14:paraId="1FD0DAC6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2A65A8DC" w14:textId="6712AFD4" w:rsidR="00E657D2" w:rsidRPr="00DD25CA" w:rsidRDefault="00E657D2" w:rsidP="00E657D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únoru až březnu 2020 prodal K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B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v Brně 2300 kusů tablet extáze a 500 g MDMA,</w:t>
      </w:r>
    </w:p>
    <w:p w14:paraId="190BCBFA" w14:textId="77777777" w:rsidR="00E657D2" w:rsidRPr="00DD25CA" w:rsidRDefault="00E657D2" w:rsidP="00E657D2">
      <w:pPr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</w:p>
    <w:p w14:paraId="749CF74E" w14:textId="036C64A1" w:rsidR="00E657D2" w:rsidRPr="00DD25CA" w:rsidRDefault="00E657D2" w:rsidP="00E657D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v rozmezí týden a tři týdny od prodeje prodal K</w:t>
      </w:r>
      <w:r w:rsidR="00162D4F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B</w:t>
      </w:r>
      <w:r w:rsidR="00162D4F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800 g amfetaminu za částku 60 Kč za 1 g amfetaminu v okolí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>, 70 g metamfetaminu za 70.000 Kč v 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nebo v okolí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metamfetamin za 40.000 Kč za částku 800 Kč za 1 gram a metamfetamin za 70.000 Kč za částku 1.000 Kč za 1 g, </w:t>
      </w:r>
    </w:p>
    <w:p w14:paraId="44C86219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56682F2C" w14:textId="41061D8E" w:rsidR="00E657D2" w:rsidRPr="00DD25CA" w:rsidRDefault="00E657D2" w:rsidP="00E657D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v červnu 2020 prodal V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F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, nar.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>, v 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nejméně 10 kusů tripů LSD za částku 200 Kč za kus, 10 g marihuany za částku 200 Kč za 1 g a daroval mu pervitin v množství 0,1 až 0,2 g,</w:t>
      </w:r>
    </w:p>
    <w:p w14:paraId="75E69FDF" w14:textId="43E91733" w:rsidR="00E657D2" w:rsidRPr="00DD25CA" w:rsidRDefault="00E657D2" w:rsidP="00E657D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od června do počátku srpna 2020 předal zdarma R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P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, nar.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>, v 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, okres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nejméně 5 g marihuany,</w:t>
      </w:r>
    </w:p>
    <w:p w14:paraId="2B9015A4" w14:textId="77777777" w:rsidR="00E657D2" w:rsidRPr="00DD25CA" w:rsidRDefault="00E657D2" w:rsidP="00E657D2">
      <w:pPr>
        <w:spacing w:after="0"/>
        <w:ind w:left="720"/>
        <w:contextualSpacing/>
        <w:rPr>
          <w:rFonts w:cs="Arial"/>
          <w:b/>
          <w:bCs/>
          <w:lang w:val="en-US" w:eastAsia="en-US" w:bidi="en-US"/>
        </w:rPr>
      </w:pPr>
    </w:p>
    <w:p w14:paraId="519AF025" w14:textId="46A0DAC2" w:rsidR="00E657D2" w:rsidRPr="00DD25CA" w:rsidRDefault="00E657D2" w:rsidP="00E657D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předal L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 H</w:t>
      </w:r>
      <w:r w:rsidR="008B73C9">
        <w:rPr>
          <w:rFonts w:cs="Arial"/>
          <w:lang w:val="en-US" w:eastAsia="en-US" w:bidi="en-US"/>
        </w:rPr>
        <w:t>.</w:t>
      </w:r>
      <w:r w:rsidRPr="00DD25CA">
        <w:rPr>
          <w:rFonts w:cs="Arial"/>
          <w:lang w:val="en-US" w:eastAsia="en-US" w:bidi="en-US"/>
        </w:rPr>
        <w:t xml:space="preserve">, nar. </w:t>
      </w:r>
      <w:r w:rsidR="008B73C9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dne 18. 8. 2020 v době kolem 18:00 hodin v </w:t>
      </w:r>
      <w:r w:rsidR="0088320B">
        <w:rPr>
          <w:rFonts w:cs="Arial"/>
          <w:lang w:val="en-US" w:eastAsia="en-US" w:bidi="en-US"/>
        </w:rPr>
        <w:t xml:space="preserve"> XXXXX</w:t>
      </w:r>
      <w:r w:rsidRPr="00DD25CA">
        <w:rPr>
          <w:rFonts w:cs="Arial"/>
          <w:lang w:val="en-US" w:eastAsia="en-US" w:bidi="en-US"/>
        </w:rPr>
        <w:t xml:space="preserve">, v blíže neustanoveném vozidle tovární značky BMW, které bylo zaparkováno na parkovací ploše poblíž hospody </w:t>
      </w:r>
      <w:r w:rsidR="0088320B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igelitový sáček obsahující:</w:t>
      </w:r>
    </w:p>
    <w:p w14:paraId="3FFBA4CA" w14:textId="77777777" w:rsidR="00E657D2" w:rsidRPr="00DD25CA" w:rsidRDefault="00E657D2" w:rsidP="00E657D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lastRenderedPageBreak/>
        <w:t>plastový sáček se zipovým uzávěrem obsahující celkem 10,21 g metamfetaminu, z toho 8,005 g metamfetaminu báze, uloženého v plastových sáčcích,</w:t>
      </w:r>
    </w:p>
    <w:p w14:paraId="33EDC20F" w14:textId="77777777" w:rsidR="00E657D2" w:rsidRPr="00DD25CA" w:rsidRDefault="00E657D2" w:rsidP="00E657D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plastový sáček se zipovým uzávěrem obsahující 4,513 g metamfetaminu a plastový sáček se zipovým uzávěrem obsahující 0,421 g metamfetaminu uloženého ve dvou uříznutých plastových injekčních stříkačkách o celkové hmotnosti 4,934 g metamfetaminu z toho 3,671 g metamfetaminu báze,</w:t>
      </w:r>
    </w:p>
    <w:p w14:paraId="433A89C6" w14:textId="77777777" w:rsidR="00E657D2" w:rsidRPr="00DD25CA" w:rsidRDefault="00E657D2" w:rsidP="00E657D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plastový sáček se zipovým uzávěrem obsahující 2,231 g MDMA z toho 1,664 g MDMA báze ve formě sypké hmoty,</w:t>
      </w:r>
    </w:p>
    <w:p w14:paraId="37C43FFB" w14:textId="77777777" w:rsidR="00E657D2" w:rsidRPr="00DD25CA" w:rsidRDefault="00E657D2" w:rsidP="00E657D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platový sáček se zipovým uzávěrem obsahující 69 ks tablet extáze, z toho 13,699 g MDMA báze o celkové hmotnosti 41,141 g,</w:t>
      </w:r>
    </w:p>
    <w:p w14:paraId="7ED74BDC" w14:textId="77777777" w:rsidR="00E657D2" w:rsidRPr="00DD25CA" w:rsidRDefault="00E657D2" w:rsidP="00E657D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plastový sáček se zipovým uzávěrem obsahující 130 ks tablet extáze, z toho 26,424 g MDMA báze o celkové hmotnosti 62,914 g,</w:t>
      </w:r>
    </w:p>
    <w:p w14:paraId="2486224C" w14:textId="77777777" w:rsidR="00E657D2" w:rsidRPr="00DD25CA" w:rsidRDefault="00E657D2" w:rsidP="00E657D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plastový sáček se zipovým uzávěrem obsahující 12 ks tablet extáze, z toho 2,085 g MDMA báze o celkové hmotnosti 5,373 g,</w:t>
      </w:r>
    </w:p>
    <w:p w14:paraId="48DE7C53" w14:textId="77777777" w:rsidR="00E657D2" w:rsidRPr="00DD25CA" w:rsidRDefault="00E657D2" w:rsidP="00E657D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 xml:space="preserve">plastový sáček se zipovým uzávěrem obsahující 5 ks tablet extáze, z toho 0,472 g MDMA báze o celkové hmotnosti 1,773 g, </w:t>
      </w:r>
    </w:p>
    <w:p w14:paraId="1A545745" w14:textId="77777777" w:rsidR="00E657D2" w:rsidRPr="00DD25CA" w:rsidRDefault="00E657D2" w:rsidP="00E657D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plastový sáček se zipovým uzávěrem obsahující 48 ks tripů – čtverců LSD o celkové hmotnosti 0,002938 lysergidu – diethylamidu kyseliny D-lysergové uložených v zataveném černém plastovém sáčku v aluminiové folii, neboť věděl, že policejní orgán podniká kroky k jeho zadržení,</w:t>
      </w:r>
    </w:p>
    <w:p w14:paraId="30A4A0BF" w14:textId="77777777" w:rsidR="00E657D2" w:rsidRPr="00DD25CA" w:rsidRDefault="00E657D2" w:rsidP="00E657D2">
      <w:pPr>
        <w:ind w:left="720"/>
        <w:contextualSpacing/>
        <w:rPr>
          <w:rFonts w:cs="Arial"/>
          <w:lang w:val="en-US" w:eastAsia="en-US" w:bidi="en-US"/>
        </w:rPr>
      </w:pPr>
    </w:p>
    <w:p w14:paraId="36B79F72" w14:textId="7F9675D3" w:rsidR="00E657D2" w:rsidRPr="00DD25CA" w:rsidRDefault="00E657D2" w:rsidP="00E657D2">
      <w:pPr>
        <w:autoSpaceDE w:val="0"/>
        <w:autoSpaceDN w:val="0"/>
        <w:adjustRightInd w:val="0"/>
        <w:contextualSpacing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 xml:space="preserve">dne 18. 8. 2020 v místě trvalého bydliště v bytě na ulici </w:t>
      </w:r>
      <w:r w:rsidR="0088320B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v </w:t>
      </w:r>
      <w:r w:rsidR="0088320B">
        <w:rPr>
          <w:rFonts w:cs="Arial"/>
          <w:lang w:val="en-US" w:eastAsia="en-US" w:bidi="en-US"/>
        </w:rPr>
        <w:t>XXXXX</w:t>
      </w:r>
      <w:r w:rsidRPr="00DD25CA">
        <w:rPr>
          <w:rFonts w:cs="Arial"/>
          <w:lang w:val="en-US" w:eastAsia="en-US" w:bidi="en-US"/>
        </w:rPr>
        <w:t xml:space="preserve"> přechovával p</w:t>
      </w:r>
      <w:r w:rsidR="00A0142C">
        <w:rPr>
          <w:rFonts w:cs="Arial"/>
          <w:lang w:val="en-US" w:eastAsia="en-US" w:bidi="en-US"/>
        </w:rPr>
        <w:t>l</w:t>
      </w:r>
      <w:r w:rsidRPr="00DD25CA">
        <w:rPr>
          <w:rFonts w:cs="Arial"/>
          <w:lang w:val="en-US" w:eastAsia="en-US" w:bidi="en-US"/>
        </w:rPr>
        <w:t>astový sáček se zipovým uzávěrem obsahující sypkou hmotu s obsahem 0,007 g MDMA,  plastový sáček se zipovým uzávěrem obsahující dózu s drtičkou znečištěnou marihuanou, plastový sáček se zipovým uzávěrem obsahující dvě skleněné ohořelé trubičky silně znečištěné marihuanou, platový sáček se zipovým uzávěrem obsahující dózu s kovovou drtičkou znečištěnou marihuanou, plastový sáček se zipovým uzávěrem obsahující krabičku s obsahem celkem 24 ks tablet extáze o celkové hmotnosti 10,942 g, plastový sáček se zipovým uzávěrem obsahující plastové sáčky s obsahem 0,966 g MDMA, z toho 0,297 g MDMA báze ve formě sypké soli,</w:t>
      </w:r>
    </w:p>
    <w:p w14:paraId="3D6CAD02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b/>
          <w:bCs/>
          <w:lang w:val="en-US" w:eastAsia="en-US" w:bidi="en-US"/>
        </w:rPr>
      </w:pPr>
    </w:p>
    <w:p w14:paraId="0D360257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přičemž tohoto jednání se dopustil bez příslušného povolení a s vědomím, že se o takové látky jedná, ačkoli konopí je omamnou látkou zařazenou do seznamu IV podle Jednotné úmluvy o omamných látkách a je zařazeno v příloze č. 3 nařízení vlády č. 463/2013 Sb. o seznamech návykových látek, jeho přirozenou součástí je delta-9-tetrahydrocannabinol (THC), který je psychotropní látkou zařazenou do přílohy II Úmluvy o psychotropních látkách a do přílohy č. 4 nařízení vlády č. 463/2013 Sb. o seznamech návykových látek,</w:t>
      </w:r>
    </w:p>
    <w:p w14:paraId="6C048A8F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054490AE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MDMA – 3,4-Methylen-dioxy-methamfetamin náleží mezi psychotropní látky zařazené do seznamu I podle Úmluvy o psychotropních látkách a je uveden v příloze č. 4 nařízení vlády č. 463/2013 Sb., o seznamech návykových látek,</w:t>
      </w:r>
    </w:p>
    <w:p w14:paraId="326F1916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6B222B78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LSD – Lysergid – diethylamid kyseliny D-lysergové náleží mezi psychotropní látky zařazené do seznamu I podle Úmluvy o psychotropních látkách a je uveden v příloze č. 4 nařízení vlády č. 463/2013 Sb., o seznamech návykových látek,</w:t>
      </w:r>
    </w:p>
    <w:p w14:paraId="18EA8991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78AC3399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amfetamin, zvaný speed, náleží mezi psychotropní látky zařazené do seznamu II podle Úmluvy o psychotropních látkách a je uveden v příloze č. 5 nařízení vlády č. 463/2013 Sb., o seznamech návykových látek,</w:t>
      </w:r>
    </w:p>
    <w:p w14:paraId="01447011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398BFCD7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lastRenderedPageBreak/>
        <w:t xml:space="preserve">metamfetamin, zvaný pervitin, náleží mezi psychotropní látky zařazené do seznamu II podle Úmluvy o psychotropních látkách a uvedené v příloze č. 5 nařízení vlády č. 463/2013 Sb., o seznamech návykových látek, </w:t>
      </w:r>
    </w:p>
    <w:p w14:paraId="4A6F9494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35A3DA37" w14:textId="77777777" w:rsidR="00E657D2" w:rsidRPr="00DD25CA" w:rsidRDefault="00E657D2" w:rsidP="00E657D2">
      <w:pPr>
        <w:spacing w:after="0"/>
        <w:rPr>
          <w:rFonts w:cs="Arial"/>
        </w:rPr>
      </w:pPr>
    </w:p>
    <w:p w14:paraId="69F751C2" w14:textId="77777777" w:rsidR="00E657D2" w:rsidRPr="00DD25CA" w:rsidRDefault="00E657D2" w:rsidP="00E657D2">
      <w:pPr>
        <w:spacing w:after="0"/>
        <w:jc w:val="center"/>
        <w:rPr>
          <w:rFonts w:cs="Arial"/>
          <w:b/>
          <w:color w:val="000000"/>
        </w:rPr>
      </w:pPr>
      <w:r w:rsidRPr="00DD25CA">
        <w:rPr>
          <w:rFonts w:cs="Arial"/>
          <w:b/>
          <w:color w:val="000000"/>
        </w:rPr>
        <w:t>tedy</w:t>
      </w:r>
    </w:p>
    <w:p w14:paraId="50088140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</w:rPr>
      </w:pPr>
    </w:p>
    <w:p w14:paraId="7153652A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</w:rPr>
      </w:pPr>
      <w:r w:rsidRPr="00DD25CA">
        <w:rPr>
          <w:rFonts w:cs="Arial"/>
        </w:rPr>
        <w:t>- neoprávněně zprostředkoval, prodal a pro jiného přechovával omamnou nebo psychotropní látku a takový čin spáchal ve velkém rozsahu</w:t>
      </w:r>
    </w:p>
    <w:p w14:paraId="275CF232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</w:rPr>
      </w:pPr>
    </w:p>
    <w:p w14:paraId="33C43E68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bCs/>
        </w:rPr>
      </w:pPr>
    </w:p>
    <w:p w14:paraId="0A9AF83F" w14:textId="77777777" w:rsidR="00E657D2" w:rsidRPr="00DD25CA" w:rsidRDefault="00E657D2" w:rsidP="00E657D2">
      <w:pPr>
        <w:spacing w:after="0"/>
        <w:jc w:val="center"/>
        <w:rPr>
          <w:rFonts w:cs="Arial"/>
          <w:b/>
          <w:bCs/>
          <w:color w:val="000000"/>
        </w:rPr>
      </w:pPr>
      <w:r w:rsidRPr="00DD25CA">
        <w:rPr>
          <w:rFonts w:cs="Arial"/>
          <w:b/>
          <w:bCs/>
          <w:color w:val="000000"/>
        </w:rPr>
        <w:t>tím spáchal</w:t>
      </w:r>
    </w:p>
    <w:p w14:paraId="763241E7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011743E4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- přečin nedovolené výroby a jiného nakládání s omamnými a psychotropními látkami a jedy podle § 283 odst. 1, odst. 3 písm. c) trestního zákoníku</w:t>
      </w:r>
    </w:p>
    <w:p w14:paraId="749436CD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7507406B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323F4E78" w14:textId="77777777" w:rsidR="00E657D2" w:rsidRPr="00DD25CA" w:rsidRDefault="00E657D2" w:rsidP="00E657D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lang w:val="en-US" w:eastAsia="en-US" w:bidi="en-US"/>
        </w:rPr>
      </w:pPr>
      <w:r w:rsidRPr="00DD25CA">
        <w:rPr>
          <w:rFonts w:cs="Arial"/>
          <w:b/>
          <w:bCs/>
          <w:lang w:val="en-US" w:eastAsia="en-US" w:bidi="en-US"/>
        </w:rPr>
        <w:t>a za to se mu ukládá</w:t>
      </w:r>
    </w:p>
    <w:p w14:paraId="41B22656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b/>
          <w:bCs/>
          <w:lang w:val="en-US" w:eastAsia="en-US" w:bidi="en-US"/>
        </w:rPr>
      </w:pPr>
    </w:p>
    <w:p w14:paraId="6A759BCA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podle § 283 odst. 3 trestního zákoníku a § 31 odst. 1 zákona o soudnictví ve věcech mládeže trestní opatření odnětí svobody v trvání</w:t>
      </w:r>
    </w:p>
    <w:p w14:paraId="3CE67976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70CE7EFA" w14:textId="77777777" w:rsidR="00E657D2" w:rsidRPr="00DD25CA" w:rsidRDefault="00E657D2" w:rsidP="00E657D2">
      <w:pPr>
        <w:autoSpaceDE w:val="0"/>
        <w:autoSpaceDN w:val="0"/>
        <w:adjustRightInd w:val="0"/>
        <w:spacing w:after="0"/>
        <w:jc w:val="center"/>
        <w:rPr>
          <w:rFonts w:cs="Arial"/>
          <w:b/>
          <w:lang w:val="en-US" w:eastAsia="en-US" w:bidi="en-US"/>
        </w:rPr>
      </w:pPr>
      <w:r w:rsidRPr="00DD25CA">
        <w:rPr>
          <w:rFonts w:cs="Arial"/>
          <w:b/>
          <w:lang w:val="en-US" w:eastAsia="en-US" w:bidi="en-US"/>
        </w:rPr>
        <w:t>2 (dvou) let</w:t>
      </w:r>
    </w:p>
    <w:p w14:paraId="3CEA383A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007BE935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>Podle § 81 odst. 1 trestního zákoníku a § 33 odst. 1 zákona o soudnictví ve věcech mládeže se mladistvému výkon uloženého trestního opatření odnětí svobody podmíněně odkládá na zkušební dobu v trvání</w:t>
      </w:r>
    </w:p>
    <w:p w14:paraId="2CAE4B74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359179A2" w14:textId="77777777" w:rsidR="00E657D2" w:rsidRPr="00DD25CA" w:rsidRDefault="00E657D2" w:rsidP="00E657D2">
      <w:pPr>
        <w:autoSpaceDE w:val="0"/>
        <w:autoSpaceDN w:val="0"/>
        <w:adjustRightInd w:val="0"/>
        <w:spacing w:after="0"/>
        <w:jc w:val="center"/>
        <w:rPr>
          <w:rFonts w:cs="Arial"/>
          <w:b/>
          <w:lang w:val="en-US" w:eastAsia="en-US" w:bidi="en-US"/>
        </w:rPr>
      </w:pPr>
      <w:r w:rsidRPr="00DD25CA">
        <w:rPr>
          <w:rFonts w:cs="Arial"/>
          <w:b/>
          <w:lang w:val="en-US" w:eastAsia="en-US" w:bidi="en-US"/>
        </w:rPr>
        <w:t>3 (tří) roků.</w:t>
      </w:r>
    </w:p>
    <w:p w14:paraId="28F40EB0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35E43507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b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 xml:space="preserve">Podle § 33 odst. 1 a § 15 odst. 1, odst. 2 písm. a) zákona o soudnictví ve věcech mládeže se mladistvému na zkušební dobu podmíněného odsouzení ukládá výchovné opatření </w:t>
      </w:r>
      <w:r w:rsidRPr="00DD25CA">
        <w:rPr>
          <w:rFonts w:cs="Arial"/>
          <w:b/>
          <w:lang w:val="en-US" w:eastAsia="en-US" w:bidi="en-US"/>
        </w:rPr>
        <w:t xml:space="preserve">– dohled probačního úředníka </w:t>
      </w:r>
    </w:p>
    <w:p w14:paraId="0ED32523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55447027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b/>
          <w:lang w:val="en-US" w:eastAsia="en-US" w:bidi="en-US"/>
        </w:rPr>
      </w:pPr>
      <w:r w:rsidRPr="00DD25CA">
        <w:rPr>
          <w:rFonts w:cs="Arial"/>
          <w:lang w:val="en-US" w:eastAsia="en-US" w:bidi="en-US"/>
        </w:rPr>
        <w:t xml:space="preserve">Podle § 33 odst. 1 a § 15 odst. 1, odst. 2 písm. a), § 19 odst. 1 písm. e), g) zákona o soudnictví ve věcech mládeže se mladistvému na zkušební dobu podmíněného odsouzení ukládají výchovná opatření </w:t>
      </w:r>
      <w:r w:rsidRPr="00DD25CA">
        <w:rPr>
          <w:rFonts w:cs="Arial"/>
          <w:b/>
          <w:lang w:val="en-US" w:eastAsia="en-US" w:bidi="en-US"/>
        </w:rPr>
        <w:t>– výchovná omezení:</w:t>
      </w:r>
    </w:p>
    <w:p w14:paraId="3D8F6A1A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  <w:lang w:val="en-US" w:eastAsia="en-US" w:bidi="en-US"/>
        </w:rPr>
      </w:pPr>
    </w:p>
    <w:p w14:paraId="41E62A6E" w14:textId="77777777" w:rsidR="00E657D2" w:rsidRPr="00DD25CA" w:rsidRDefault="00E657D2" w:rsidP="00E657D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eastAsia="en-US" w:bidi="en-US"/>
        </w:rPr>
      </w:pPr>
      <w:r w:rsidRPr="00DD25CA">
        <w:rPr>
          <w:rFonts w:cs="Arial"/>
          <w:lang w:eastAsia="en-US" w:bidi="en-US"/>
        </w:rPr>
        <w:t>neužívat návykové látky a na výzvu probačního úředníka se podrobit testu na přítomnost omamných a psychotropních látek v těle nejméně 1x měsíčně,</w:t>
      </w:r>
    </w:p>
    <w:p w14:paraId="35F6A6A3" w14:textId="77777777" w:rsidR="00E657D2" w:rsidRPr="00DD25CA" w:rsidRDefault="00E657D2" w:rsidP="00E657D2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eastAsia="en-US" w:bidi="en-US"/>
        </w:rPr>
      </w:pPr>
    </w:p>
    <w:p w14:paraId="52638B8A" w14:textId="77777777" w:rsidR="00E657D2" w:rsidRPr="00DD25CA" w:rsidRDefault="00E657D2" w:rsidP="00E657D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cs="Arial"/>
          <w:lang w:eastAsia="en-US" w:bidi="en-US"/>
        </w:rPr>
      </w:pPr>
      <w:r w:rsidRPr="00DD25CA">
        <w:rPr>
          <w:rFonts w:cs="Arial"/>
          <w:lang w:eastAsia="en-US" w:bidi="en-US"/>
        </w:rPr>
        <w:t>bez předchozího ohlášení probačnímu úředníkovi neměnit místo pobytu.</w:t>
      </w:r>
    </w:p>
    <w:p w14:paraId="4FECFC2E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</w:rPr>
      </w:pPr>
    </w:p>
    <w:p w14:paraId="519362C0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rFonts w:cs="Arial"/>
        </w:rPr>
      </w:pPr>
    </w:p>
    <w:p w14:paraId="1E404B20" w14:textId="77777777" w:rsidR="00E657D2" w:rsidRPr="00DD25CA" w:rsidRDefault="00E657D2" w:rsidP="00E657D2">
      <w:pPr>
        <w:overflowPunct w:val="0"/>
        <w:autoSpaceDE w:val="0"/>
        <w:autoSpaceDN w:val="0"/>
        <w:adjustRightInd w:val="0"/>
        <w:spacing w:after="0"/>
      </w:pPr>
    </w:p>
    <w:p w14:paraId="238EC944" w14:textId="77777777" w:rsidR="00E657D2" w:rsidRPr="00DD25CA" w:rsidRDefault="00E657D2" w:rsidP="00E657D2">
      <w:pPr>
        <w:rPr>
          <w:szCs w:val="22"/>
          <w:lang w:eastAsia="en-US"/>
        </w:rPr>
      </w:pPr>
    </w:p>
    <w:p w14:paraId="37CC09D9" w14:textId="77777777" w:rsidR="00E657D2" w:rsidRPr="00DD25CA" w:rsidRDefault="00E657D2" w:rsidP="00E657D2">
      <w:pPr>
        <w:rPr>
          <w:szCs w:val="22"/>
          <w:lang w:eastAsia="en-US"/>
        </w:rPr>
      </w:pPr>
    </w:p>
    <w:p w14:paraId="29A2A300" w14:textId="77777777" w:rsidR="00E657D2" w:rsidRPr="00DD25CA" w:rsidRDefault="00E657D2" w:rsidP="00E657D2">
      <w:pPr>
        <w:rPr>
          <w:szCs w:val="22"/>
          <w:lang w:eastAsia="en-US"/>
        </w:rPr>
      </w:pPr>
    </w:p>
    <w:p w14:paraId="5F53F052" w14:textId="77777777" w:rsidR="00E657D2" w:rsidRPr="00DD25CA" w:rsidRDefault="00E657D2" w:rsidP="00E657D2">
      <w:pPr>
        <w:spacing w:before="240"/>
        <w:rPr>
          <w:rFonts w:eastAsia="Calibri"/>
          <w:i/>
          <w:szCs w:val="22"/>
          <w:lang w:eastAsia="en-US"/>
        </w:rPr>
      </w:pPr>
      <w:r w:rsidRPr="00DD25CA">
        <w:rPr>
          <w:rFonts w:eastAsia="Calibri"/>
          <w:i/>
          <w:szCs w:val="22"/>
          <w:lang w:eastAsia="en-US"/>
        </w:rPr>
        <w:lastRenderedPageBreak/>
        <w:t xml:space="preserve">Vzhledem ke skutečnosti, že po vyhlášení rozsudku se mladistvý, státní zástupce, </w:t>
      </w:r>
      <w:r w:rsidRPr="00DD25CA">
        <w:rPr>
          <w:rFonts w:eastAsia="Calibri"/>
          <w:bCs/>
          <w:i/>
          <w:lang w:eastAsia="en-US"/>
        </w:rPr>
        <w:t>oddělení sociálně právní ochrany dětí Statutární město Olomouc,</w:t>
      </w:r>
      <w:r w:rsidRPr="00DD25CA">
        <w:rPr>
          <w:rFonts w:eastAsia="Calibri"/>
          <w:i/>
          <w:szCs w:val="22"/>
          <w:lang w:eastAsia="en-US"/>
        </w:rPr>
        <w:t xml:space="preserve"> výslovně vzdali odvolání, přičemž všechny výše uvedené procesní strany souhlasily s vyhotovením zjednodušeného rozsudku podle § 129 odst. 2 trestního řádu, soud vyhotovil rozhodnutí, které neobsahuje odůvodnění.</w:t>
      </w:r>
    </w:p>
    <w:p w14:paraId="323751E8" w14:textId="77777777" w:rsidR="00E657D2" w:rsidRPr="00DD25CA" w:rsidRDefault="00E657D2" w:rsidP="00E657D2">
      <w:pPr>
        <w:spacing w:before="240"/>
        <w:jc w:val="center"/>
        <w:rPr>
          <w:rFonts w:eastAsia="Calibri"/>
          <w:b/>
          <w:szCs w:val="22"/>
          <w:lang w:eastAsia="en-US"/>
        </w:rPr>
      </w:pPr>
      <w:r w:rsidRPr="00DD25CA">
        <w:rPr>
          <w:rFonts w:eastAsia="Calibri"/>
          <w:b/>
          <w:szCs w:val="22"/>
          <w:lang w:eastAsia="en-US"/>
        </w:rPr>
        <w:t>Poučení:</w:t>
      </w:r>
    </w:p>
    <w:p w14:paraId="0F4DFC23" w14:textId="77777777" w:rsidR="00E657D2" w:rsidRPr="00DD25CA" w:rsidRDefault="00E657D2" w:rsidP="00E657D2">
      <w:pPr>
        <w:spacing w:line="100" w:lineRule="atLeast"/>
        <w:rPr>
          <w:b/>
          <w:lang w:eastAsia="zh-CN" w:bidi="en-US"/>
        </w:rPr>
      </w:pPr>
      <w:r w:rsidRPr="00DD25CA">
        <w:rPr>
          <w:lang w:eastAsia="zh-CN" w:bidi="en-US"/>
        </w:rPr>
        <w:t>Proti tomuto rozsudku je možno podat odvolání do osmi dnů od jeho doručení k Vrchnímu soudu v Olomouci, soudu pro mládež prostřednictvím Krajského soudu v Brně, soudu pro mládež.</w:t>
      </w:r>
      <w:r w:rsidRPr="00DD25CA">
        <w:rPr>
          <w:lang w:eastAsia="zh-CN" w:bidi="en-US"/>
        </w:rPr>
        <w:tab/>
      </w:r>
    </w:p>
    <w:p w14:paraId="3DCE8FCD" w14:textId="77777777" w:rsidR="00E657D2" w:rsidRPr="00DD25CA" w:rsidRDefault="00E657D2" w:rsidP="00E657D2">
      <w:pPr>
        <w:suppressAutoHyphens/>
        <w:snapToGrid w:val="0"/>
        <w:spacing w:before="120" w:after="0" w:line="100" w:lineRule="atLeast"/>
        <w:rPr>
          <w:b/>
          <w:lang w:eastAsia="zh-CN" w:bidi="en-US"/>
        </w:rPr>
      </w:pPr>
      <w:r w:rsidRPr="00DD25CA">
        <w:rPr>
          <w:b/>
          <w:lang w:eastAsia="zh-CN" w:bidi="en-US"/>
        </w:rPr>
        <w:t>V neprospěch</w:t>
      </w:r>
      <w:r w:rsidRPr="00DD25CA">
        <w:rPr>
          <w:lang w:eastAsia="zh-CN" w:bidi="en-US"/>
        </w:rPr>
        <w:t xml:space="preserve"> obžalovaného může rozsudek napadnout odvoláním jen státní zástupce; toliko pokud jde o povinnost k náhradě škody, má toto právo též poškozený, který uplatnil nárok na náhradu škody.</w:t>
      </w:r>
    </w:p>
    <w:p w14:paraId="386F7115" w14:textId="77777777" w:rsidR="00E657D2" w:rsidRPr="00DD25CA" w:rsidRDefault="00E657D2" w:rsidP="00E657D2">
      <w:pPr>
        <w:suppressAutoHyphens/>
        <w:snapToGrid w:val="0"/>
        <w:spacing w:before="120" w:after="0" w:line="100" w:lineRule="atLeast"/>
        <w:rPr>
          <w:lang w:eastAsia="zh-CN" w:bidi="en-US"/>
        </w:rPr>
      </w:pPr>
      <w:r w:rsidRPr="00DD25CA">
        <w:rPr>
          <w:b/>
          <w:lang w:eastAsia="zh-CN" w:bidi="en-US"/>
        </w:rPr>
        <w:t>Ve prospěch</w:t>
      </w:r>
      <w:r w:rsidRPr="00DD25CA">
        <w:rPr>
          <w:lang w:eastAsia="zh-CN" w:bidi="en-US"/>
        </w:rPr>
        <w:t xml:space="preserve"> obžalovaného mohou rozsudek odvoláním napadnout kromě obžalovaného a státního zástupce i příbuzní v pokolení přímém, jeho sourozenci, osvojitel, osvojenec, manžel, partner a druh. Státní zástupce tak může učinit i proti vůli obžalovaného. Je-li obžalovaný omezen ve svéprávnosti (mladistvý), může i proti vůli obžalovaného za něho v jeho prospěch odvolání podat též jeho opatrovník a jeho obhájce. </w:t>
      </w:r>
    </w:p>
    <w:p w14:paraId="265202A7" w14:textId="77777777" w:rsidR="00E657D2" w:rsidRPr="00DD25CA" w:rsidRDefault="00E657D2" w:rsidP="00E657D2">
      <w:pPr>
        <w:suppressAutoHyphens/>
        <w:snapToGrid w:val="0"/>
        <w:spacing w:before="120" w:after="0" w:line="100" w:lineRule="atLeast"/>
        <w:rPr>
          <w:lang w:eastAsia="zh-CN" w:bidi="en-US"/>
        </w:rPr>
      </w:pPr>
      <w:r w:rsidRPr="00DD25CA">
        <w:rPr>
          <w:lang w:eastAsia="zh-CN" w:bidi="en-US"/>
        </w:rPr>
        <w:t>Odvolání se podává u soudu, proti jehož rozsudku směřuje, a to do osmi dnů od doručení opisu rozsudku.</w:t>
      </w:r>
    </w:p>
    <w:p w14:paraId="333C9A35" w14:textId="77777777" w:rsidR="00E657D2" w:rsidRPr="00DD25CA" w:rsidRDefault="00E657D2" w:rsidP="00E657D2">
      <w:pPr>
        <w:suppressAutoHyphens/>
        <w:snapToGrid w:val="0"/>
        <w:spacing w:before="120" w:after="0" w:line="100" w:lineRule="atLeast"/>
        <w:rPr>
          <w:lang w:eastAsia="zh-CN" w:bidi="en-US"/>
        </w:rPr>
      </w:pPr>
      <w:r w:rsidRPr="00DD25CA">
        <w:rPr>
          <w:lang w:eastAsia="zh-CN" w:bidi="en-US"/>
        </w:rPr>
        <w:t>Jestliže se rozsudek doručuje jak obžalovanému, tak i jeho obhájci a zákonnému zástupci, běží lhůta od toho doručení, které bylo provedeno nejpozději.</w:t>
      </w:r>
    </w:p>
    <w:p w14:paraId="36F4BF6B" w14:textId="77777777" w:rsidR="00E657D2" w:rsidRPr="00DD25CA" w:rsidRDefault="00E657D2" w:rsidP="00E657D2">
      <w:pPr>
        <w:suppressAutoHyphens/>
        <w:snapToGrid w:val="0"/>
        <w:spacing w:before="120" w:after="0" w:line="100" w:lineRule="atLeast"/>
        <w:rPr>
          <w:lang w:eastAsia="zh-CN" w:bidi="en-US"/>
        </w:rPr>
      </w:pPr>
      <w:r w:rsidRPr="00DD25CA">
        <w:rPr>
          <w:lang w:eastAsia="zh-CN" w:bidi="en-US"/>
        </w:rPr>
        <w:t>Ostatním osobám vyjmenovaným shora, s výjimkou státního zástupce, končí lhůta týmž dnem jako obžalovanému.</w:t>
      </w:r>
      <w:r w:rsidRPr="00DD25CA">
        <w:rPr>
          <w:lang w:eastAsia="zh-CN" w:bidi="en-US"/>
        </w:rPr>
        <w:tab/>
      </w:r>
    </w:p>
    <w:p w14:paraId="66602F61" w14:textId="77777777" w:rsidR="00E657D2" w:rsidRPr="00DD25CA" w:rsidRDefault="00E657D2" w:rsidP="00E657D2">
      <w:pPr>
        <w:suppressAutoHyphens/>
        <w:snapToGrid w:val="0"/>
        <w:spacing w:before="120" w:after="0" w:line="100" w:lineRule="atLeast"/>
        <w:rPr>
          <w:lang w:eastAsia="zh-CN" w:bidi="en-US"/>
        </w:rPr>
      </w:pPr>
      <w:r w:rsidRPr="00DD25CA">
        <w:rPr>
          <w:lang w:eastAsia="zh-CN" w:bidi="en-US"/>
        </w:rPr>
        <w:t>Opravný prostředek ve prospěch mladistvého může podat, a to i proti jeho vůli, příslušný orgán sociálně-právní ochrany dětí; lhůta k podání opravného prostředku mu běží samostatně (§ 72 odst. 1 zákona o soudnictví ve věcech mládeže).</w:t>
      </w:r>
    </w:p>
    <w:p w14:paraId="13068F55" w14:textId="77777777" w:rsidR="00E657D2" w:rsidRPr="00DD25CA" w:rsidRDefault="00E657D2" w:rsidP="00E657D2">
      <w:pPr>
        <w:suppressAutoHyphens/>
        <w:snapToGrid w:val="0"/>
        <w:spacing w:before="120" w:after="0" w:line="100" w:lineRule="atLeast"/>
        <w:rPr>
          <w:lang w:eastAsia="zh-CN" w:bidi="en-US"/>
        </w:rPr>
      </w:pPr>
      <w:r w:rsidRPr="00DD25CA">
        <w:rPr>
          <w:lang w:eastAsia="zh-CN" w:bidi="en-US"/>
        </w:rPr>
        <w:t>Osoba, oprávněná napadat rozsudek pro nesprávnost některého jeho výroku, může jej napadat také proto, že takový výrok učiněn nebyl, jakož i pro porušení ustanovení o řízení předcházejícím rozsudku, jestliže toto porušení mohlo způsobit,  že výrok je nesprávný nebo že chybí (§ 246 odst. 1, odst. 2 tr. ř).</w:t>
      </w:r>
    </w:p>
    <w:p w14:paraId="7DB5635A" w14:textId="77777777" w:rsidR="00E657D2" w:rsidRPr="00DD25CA" w:rsidRDefault="00E657D2" w:rsidP="00E657D2">
      <w:pPr>
        <w:suppressAutoHyphens/>
        <w:snapToGrid w:val="0"/>
        <w:spacing w:before="120" w:after="0" w:line="100" w:lineRule="atLeast"/>
        <w:rPr>
          <w:lang w:eastAsia="zh-CN" w:bidi="en-US"/>
        </w:rPr>
      </w:pPr>
      <w:r w:rsidRPr="00DD25CA">
        <w:rPr>
          <w:lang w:eastAsia="zh-CN" w:bidi="en-US"/>
        </w:rPr>
        <w:t>Odvolání musí být v zákonné lhůtě, případně v další lhůtě určené předsedou senátu odůvodněno tak, aby bylo patrno, v kterých výrocích je rozsudek napadán a jaké vady jsou rozsudku nebo řízení, které mu předcházelo, vytýkány. Státní zástupce je povinen uvést, zda odvolání podává ve prospěch či neprospěch obžalovaného (§ 249/ 1,2 tr.ř.).</w:t>
      </w:r>
    </w:p>
    <w:p w14:paraId="32B16BBB" w14:textId="77777777" w:rsidR="00E657D2" w:rsidRPr="00DD25CA" w:rsidRDefault="00E657D2" w:rsidP="00E657D2">
      <w:pPr>
        <w:suppressAutoHyphens/>
        <w:snapToGrid w:val="0"/>
        <w:spacing w:before="120" w:after="0" w:line="100" w:lineRule="atLeast"/>
        <w:rPr>
          <w:b/>
          <w:lang w:eastAsia="zh-CN" w:bidi="en-US"/>
        </w:rPr>
      </w:pPr>
      <w:r w:rsidRPr="00DD25CA">
        <w:rPr>
          <w:lang w:eastAsia="zh-CN" w:bidi="en-US"/>
        </w:rPr>
        <w:t>Odvolacím soudem bude odmítnuto odvolání, které nesplňuje náležitosti obsahu odvolání (§ 253 odst. 3 tr.ř.).</w:t>
      </w:r>
    </w:p>
    <w:p w14:paraId="5B7EBE79" w14:textId="77777777" w:rsidR="00E657D2" w:rsidRPr="00DD25CA" w:rsidRDefault="00E657D2" w:rsidP="00E657D2">
      <w:pPr>
        <w:keepNext/>
        <w:keepLines/>
        <w:spacing w:before="480" w:after="840"/>
        <w:rPr>
          <w:szCs w:val="22"/>
          <w:lang w:eastAsia="en-US" w:bidi="en-US"/>
        </w:rPr>
      </w:pPr>
      <w:bookmarkStart w:id="0" w:name="predseda"/>
      <w:r w:rsidRPr="00DD25CA">
        <w:rPr>
          <w:rFonts w:eastAsia="Calibri"/>
          <w:szCs w:val="22"/>
          <w:lang w:eastAsia="en-US"/>
        </w:rPr>
        <w:t>Brno 11. listopadu 2021</w:t>
      </w:r>
    </w:p>
    <w:bookmarkEnd w:id="0"/>
    <w:p w14:paraId="285E041F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szCs w:val="22"/>
          <w:lang w:eastAsia="en-US" w:bidi="en-US"/>
        </w:rPr>
      </w:pPr>
      <w:r w:rsidRPr="00DD25CA">
        <w:rPr>
          <w:szCs w:val="22"/>
          <w:lang w:eastAsia="en-US" w:bidi="en-US"/>
        </w:rPr>
        <w:t>Mgr. Adam Kafka</w:t>
      </w:r>
      <w:r>
        <w:rPr>
          <w:szCs w:val="22"/>
          <w:lang w:eastAsia="en-US" w:bidi="en-US"/>
        </w:rPr>
        <w:t xml:space="preserve">, v. r. </w:t>
      </w:r>
    </w:p>
    <w:p w14:paraId="39D0DCC6" w14:textId="77777777" w:rsidR="00E657D2" w:rsidRPr="00DD25CA" w:rsidRDefault="00E657D2" w:rsidP="00E657D2">
      <w:pPr>
        <w:autoSpaceDE w:val="0"/>
        <w:autoSpaceDN w:val="0"/>
        <w:adjustRightInd w:val="0"/>
        <w:spacing w:after="0"/>
        <w:rPr>
          <w:szCs w:val="22"/>
          <w:lang w:eastAsia="en-US" w:bidi="en-US"/>
        </w:rPr>
      </w:pPr>
      <w:r w:rsidRPr="00DD25CA">
        <w:rPr>
          <w:szCs w:val="22"/>
          <w:lang w:eastAsia="en-US" w:bidi="en-US"/>
        </w:rPr>
        <w:t>předseda senátu</w:t>
      </w:r>
    </w:p>
    <w:p w14:paraId="1CB264A9" w14:textId="77777777" w:rsidR="00E657D2" w:rsidRPr="00A4678C" w:rsidRDefault="00E657D2" w:rsidP="00E657D2"/>
    <w:p w14:paraId="088DC371" w14:textId="77777777" w:rsidR="00282005" w:rsidRDefault="00282005"/>
    <w:sectPr w:rsidR="00282005" w:rsidSect="004E341D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5077" w14:textId="77777777" w:rsidR="00F91212" w:rsidRDefault="00F91212">
      <w:pPr>
        <w:spacing w:after="0"/>
      </w:pPr>
      <w:r>
        <w:separator/>
      </w:r>
    </w:p>
  </w:endnote>
  <w:endnote w:type="continuationSeparator" w:id="0">
    <w:p w14:paraId="046230C9" w14:textId="77777777" w:rsidR="00F91212" w:rsidRDefault="00F912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50F5" w14:textId="77777777" w:rsidR="00E657D2" w:rsidRDefault="00E657D2">
    <w:pPr>
      <w:pStyle w:val="Zpat"/>
    </w:pPr>
    <w:r>
      <w:t>Shodu s prvopisem potvrzuje Alena Pelikánová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010F5" w14:textId="77777777" w:rsidR="00F91212" w:rsidRDefault="00F91212">
      <w:pPr>
        <w:spacing w:after="0"/>
      </w:pPr>
      <w:r>
        <w:separator/>
      </w:r>
    </w:p>
  </w:footnote>
  <w:footnote w:type="continuationSeparator" w:id="0">
    <w:p w14:paraId="06D9DB53" w14:textId="77777777" w:rsidR="00F91212" w:rsidRDefault="00F912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5AE0" w14:textId="77777777" w:rsidR="00E657D2" w:rsidRDefault="00E657D2" w:rsidP="00F421E6">
    <w:pPr>
      <w:pStyle w:val="Zhlav"/>
      <w:jc w:val="left"/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  <w:r>
      <w:tab/>
      <w:t>2 Tm 6/2021</w:t>
    </w:r>
  </w:p>
  <w:p w14:paraId="74C6EEAE" w14:textId="77777777" w:rsidR="00E657D2" w:rsidRPr="0019000B" w:rsidRDefault="00E657D2" w:rsidP="004E34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D5E4" w14:textId="77777777" w:rsidR="00E657D2" w:rsidRDefault="00E657D2" w:rsidP="004E341D">
    <w:pPr>
      <w:jc w:val="right"/>
    </w:pPr>
    <w:r>
      <w:rPr>
        <w:rFonts w:eastAsia="Calibri"/>
      </w:rPr>
      <w:t xml:space="preserve">č. j. </w:t>
    </w:r>
    <w:bookmarkStart w:id="1" w:name="spisova_zn_M"/>
    <w:r>
      <w:rPr>
        <w:rFonts w:eastAsia="Calibri"/>
      </w:rPr>
      <w:t>2 Tm 6/202</w:t>
    </w:r>
    <w:bookmarkEnd w:id="1"/>
    <w:r>
      <w:rPr>
        <w:rFonts w:eastAsia="Calibri"/>
      </w:rPr>
      <w:t>1-887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2CBB"/>
    <w:multiLevelType w:val="hybridMultilevel"/>
    <w:tmpl w:val="A0E62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E380E"/>
    <w:multiLevelType w:val="hybridMultilevel"/>
    <w:tmpl w:val="6B3449BC"/>
    <w:lvl w:ilvl="0" w:tplc="3B8E4058">
      <w:start w:val="1050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778B7"/>
    <w:multiLevelType w:val="hybridMultilevel"/>
    <w:tmpl w:val="E262634A"/>
    <w:lvl w:ilvl="0" w:tplc="3B8E4058">
      <w:start w:val="1050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86693">
    <w:abstractNumId w:val="1"/>
  </w:num>
  <w:num w:numId="2" w16cid:durableId="831675881">
    <w:abstractNumId w:val="2"/>
  </w:num>
  <w:num w:numId="3" w16cid:durableId="21038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D2"/>
    <w:rsid w:val="00001ECE"/>
    <w:rsid w:val="00162D4F"/>
    <w:rsid w:val="00282005"/>
    <w:rsid w:val="003332A8"/>
    <w:rsid w:val="00397888"/>
    <w:rsid w:val="0088320B"/>
    <w:rsid w:val="008B73C9"/>
    <w:rsid w:val="00A0142C"/>
    <w:rsid w:val="00AF490D"/>
    <w:rsid w:val="00E16B4E"/>
    <w:rsid w:val="00E657D2"/>
    <w:rsid w:val="00F9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E196"/>
  <w15:chartTrackingRefBased/>
  <w15:docId w15:val="{9D59014A-5834-422A-9F03-B3C8D8D0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7D2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E657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57D2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657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57D2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1540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Vilkusová Jarmila</cp:lastModifiedBy>
  <cp:revision>6</cp:revision>
  <dcterms:created xsi:type="dcterms:W3CDTF">2024-06-27T08:56:00Z</dcterms:created>
  <dcterms:modified xsi:type="dcterms:W3CDTF">2024-07-01T06:52:00Z</dcterms:modified>
</cp:coreProperties>
</file>