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9148" w14:textId="48186479" w:rsidR="00470726" w:rsidRPr="002D211F" w:rsidRDefault="00470726" w:rsidP="00470726">
      <w:pPr>
        <w:spacing w:after="240"/>
        <w:jc w:val="center"/>
        <w:rPr>
          <w:rFonts w:eastAsia="Calibri"/>
          <w:sz w:val="32"/>
          <w:szCs w:val="32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2F47DA89" wp14:editId="6729C285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211F">
        <w:rPr>
          <w:rFonts w:eastAsia="Calibri"/>
          <w:sz w:val="32"/>
          <w:szCs w:val="32"/>
        </w:rPr>
        <w:t>ČESKÁ REPUBLIKA</w:t>
      </w:r>
    </w:p>
    <w:p w14:paraId="3BAD7D5A" w14:textId="77777777" w:rsidR="00470726" w:rsidRPr="002D211F" w:rsidRDefault="00470726" w:rsidP="00470726">
      <w:pPr>
        <w:jc w:val="center"/>
        <w:rPr>
          <w:rFonts w:eastAsia="Calibri"/>
          <w:b/>
          <w:bCs/>
          <w:sz w:val="32"/>
          <w:szCs w:val="32"/>
        </w:rPr>
      </w:pPr>
      <w:r w:rsidRPr="002D211F">
        <w:rPr>
          <w:rFonts w:eastAsia="Calibri"/>
          <w:b/>
          <w:bCs/>
          <w:sz w:val="32"/>
          <w:szCs w:val="32"/>
        </w:rPr>
        <w:t>ROZSUDEK</w:t>
      </w:r>
    </w:p>
    <w:p w14:paraId="09AECBD4" w14:textId="77777777" w:rsidR="00470726" w:rsidRPr="002D211F" w:rsidRDefault="00470726" w:rsidP="00470726">
      <w:pPr>
        <w:spacing w:after="480"/>
        <w:jc w:val="center"/>
        <w:rPr>
          <w:rFonts w:eastAsia="Calibri"/>
          <w:b/>
          <w:bCs/>
          <w:sz w:val="32"/>
          <w:szCs w:val="32"/>
        </w:rPr>
      </w:pPr>
      <w:r w:rsidRPr="002D211F">
        <w:rPr>
          <w:rFonts w:eastAsia="Calibri"/>
          <w:b/>
          <w:bCs/>
          <w:sz w:val="32"/>
          <w:szCs w:val="32"/>
        </w:rPr>
        <w:t>JMÉNEM REPUBLIKY</w:t>
      </w:r>
    </w:p>
    <w:p w14:paraId="11CE273C" w14:textId="77777777" w:rsidR="00470726" w:rsidRPr="002D211F" w:rsidRDefault="00470726" w:rsidP="00470726">
      <w:pPr>
        <w:spacing w:before="100" w:after="240" w:line="276" w:lineRule="auto"/>
      </w:pPr>
      <w:r w:rsidRPr="002D211F">
        <w:t>Krajský soud v Brně rozhodl v senátě složeném z předsedy senátu Mgr. Aleše Novotného a přísedících</w:t>
      </w:r>
      <w:r>
        <w:t xml:space="preserve"> Ing. Jitky Perutkové a Jolany Svobodové v hlavním líčení</w:t>
      </w:r>
      <w:r w:rsidRPr="002D211F">
        <w:t xml:space="preserve"> konaném dne </w:t>
      </w:r>
      <w:r>
        <w:t>12. května 2023</w:t>
      </w:r>
    </w:p>
    <w:p w14:paraId="2CC3EA83" w14:textId="77777777" w:rsidR="00470726" w:rsidRPr="002519D3" w:rsidRDefault="00470726" w:rsidP="00470726">
      <w:pPr>
        <w:spacing w:before="100"/>
        <w:jc w:val="center"/>
        <w:rPr>
          <w:b/>
        </w:rPr>
      </w:pPr>
      <w:r w:rsidRPr="002519D3">
        <w:rPr>
          <w:b/>
        </w:rPr>
        <w:t>takto:</w:t>
      </w:r>
    </w:p>
    <w:p w14:paraId="73086287" w14:textId="376B0C81" w:rsidR="00470726" w:rsidRPr="002519D3" w:rsidRDefault="00470726" w:rsidP="00470726">
      <w:pPr>
        <w:numPr>
          <w:ilvl w:val="0"/>
          <w:numId w:val="1"/>
        </w:numPr>
        <w:spacing w:before="100" w:after="240"/>
        <w:ind w:left="0" w:hanging="426"/>
        <w:contextualSpacing/>
        <w:rPr>
          <w:bCs/>
        </w:rPr>
      </w:pPr>
      <w:bookmarkStart w:id="0" w:name="_Hlk132189034"/>
      <w:r w:rsidRPr="002519D3">
        <w:t xml:space="preserve">Podle § 314r odst. 4 trestního řádu se schvaluje Dohoda o vině a trestu ze dne 12. 5. 2023, č. j. 2 KZV 29/2021-78, uzavřená mezi státní zástupkyní Krajského státního zastupitelství v Brně Mgr. Petrou Křížovou Charvátovou, obžalovanou </w:t>
      </w:r>
      <w:r w:rsidR="008D0C14">
        <w:t>M.</w:t>
      </w:r>
      <w:r w:rsidRPr="002519D3">
        <w:t xml:space="preserve"> </w:t>
      </w:r>
      <w:r w:rsidR="008D0C14">
        <w:t>V.</w:t>
      </w:r>
      <w:r w:rsidRPr="002519D3">
        <w:t xml:space="preserve">, nar. </w:t>
      </w:r>
      <w:r w:rsidR="008D0C14">
        <w:t xml:space="preserve">XXXXX </w:t>
      </w:r>
      <w:r w:rsidRPr="002519D3">
        <w:t xml:space="preserve"> v</w:t>
      </w:r>
      <w:r w:rsidR="008D0C14">
        <w:t xml:space="preserve"> XXXXX,   </w:t>
      </w:r>
      <w:r w:rsidRPr="002519D3">
        <w:t xml:space="preserve"> trvale bytem </w:t>
      </w:r>
      <w:r w:rsidR="008D0C14">
        <w:t xml:space="preserve">XXXXX, </w:t>
      </w:r>
      <w:r w:rsidRPr="002519D3">
        <w:t xml:space="preserve"> adresa pro doručování </w:t>
      </w:r>
      <w:r w:rsidR="008D0C14">
        <w:t xml:space="preserve">XXXXX, </w:t>
      </w:r>
      <w:r w:rsidRPr="002519D3">
        <w:t xml:space="preserve"> zastoupenou obhájcem JUDr. Jakubem Pilným, advokátem, ev. č. ČAK 17094, se sídlem Hutařova 1465/18, Brno, a obžalovaným J</w:t>
      </w:r>
      <w:r w:rsidR="008D0C14">
        <w:t xml:space="preserve">.H.,  </w:t>
      </w:r>
      <w:r w:rsidRPr="002519D3">
        <w:t xml:space="preserve">nar. </w:t>
      </w:r>
      <w:r w:rsidR="008D0C14">
        <w:t>XXXXX</w:t>
      </w:r>
      <w:r w:rsidRPr="002519D3">
        <w:t xml:space="preserve"> v</w:t>
      </w:r>
      <w:r w:rsidR="008D0C14">
        <w:t xml:space="preserve"> XXXXX,   </w:t>
      </w:r>
      <w:r w:rsidRPr="002519D3">
        <w:t xml:space="preserve"> trvale bytem </w:t>
      </w:r>
      <w:r w:rsidR="008D0C14">
        <w:t xml:space="preserve">XXXXX, </w:t>
      </w:r>
      <w:r w:rsidRPr="002519D3">
        <w:t xml:space="preserve"> adresa pro doručování </w:t>
      </w:r>
      <w:r w:rsidR="008D0C14">
        <w:t xml:space="preserve">XXXXX,                    </w:t>
      </w:r>
      <w:r w:rsidRPr="002519D3">
        <w:t xml:space="preserve"> zastoupeným obhájcem Mgr. Tomášem Rotreklem, advokátem, ev. č. ČAK 18424, se sídlem Milady Horákové 329/26, Brno, v substituci Mgr. Markéta Zerdaloglu, advokátka se sídlem v Brně, Dominikánské náměstí č. 656/2, ev. č</w:t>
      </w:r>
      <w:r w:rsidRPr="002519D3">
        <w:rPr>
          <w:bCs/>
        </w:rPr>
        <w:t>. ČAK 11892,</w:t>
      </w:r>
    </w:p>
    <w:p w14:paraId="23B8C510" w14:textId="77777777" w:rsidR="00470726" w:rsidRPr="002519D3" w:rsidRDefault="00470726" w:rsidP="00470726">
      <w:pPr>
        <w:spacing w:before="100" w:after="240"/>
        <w:contextualSpacing/>
        <w:rPr>
          <w:b/>
        </w:rPr>
      </w:pPr>
    </w:p>
    <w:p w14:paraId="026CBF92" w14:textId="3DD73DCE" w:rsidR="00470726" w:rsidRPr="002519D3" w:rsidRDefault="00470726" w:rsidP="00470726">
      <w:pPr>
        <w:spacing w:before="100" w:after="240"/>
        <w:contextualSpacing/>
        <w:rPr>
          <w:bCs/>
        </w:rPr>
      </w:pPr>
      <w:r w:rsidRPr="002519D3">
        <w:rPr>
          <w:bCs/>
        </w:rPr>
        <w:t xml:space="preserve">za účasti poškozené obce </w:t>
      </w:r>
      <w:r w:rsidR="006C4ABC">
        <w:rPr>
          <w:bCs/>
        </w:rPr>
        <w:t>XXXXX</w:t>
      </w:r>
      <w:r w:rsidRPr="002519D3">
        <w:rPr>
          <w:bCs/>
        </w:rPr>
        <w:t xml:space="preserve">, IČ: </w:t>
      </w:r>
      <w:r w:rsidR="004815F7">
        <w:rPr>
          <w:bCs/>
        </w:rPr>
        <w:t xml:space="preserve">XXXXX, </w:t>
      </w:r>
      <w:r w:rsidRPr="002519D3">
        <w:rPr>
          <w:bCs/>
        </w:rPr>
        <w:t xml:space="preserve"> se sídlem </w:t>
      </w:r>
      <w:r w:rsidR="006C4ABC">
        <w:rPr>
          <w:bCs/>
        </w:rPr>
        <w:t>XXXXX</w:t>
      </w:r>
      <w:r w:rsidRPr="002519D3">
        <w:rPr>
          <w:bCs/>
        </w:rPr>
        <w:t>, zastoupené zmocněncem JUDr. Pavlem Holubem, advokátem se sídlem v Brně, Kopečná 940/14, ev. č. ČAK 02939, v substituci Mgr. Martin Holánek, advokát, AK Brno, Kopečná 940/14, ev. č. ČAK 13969,</w:t>
      </w:r>
    </w:p>
    <w:p w14:paraId="20FE05D4" w14:textId="77777777" w:rsidR="00470726" w:rsidRPr="002519D3" w:rsidRDefault="00470726" w:rsidP="00470726">
      <w:pPr>
        <w:spacing w:before="100" w:after="240"/>
        <w:contextualSpacing/>
        <w:rPr>
          <w:bCs/>
        </w:rPr>
      </w:pPr>
    </w:p>
    <w:p w14:paraId="4C325BED" w14:textId="77777777" w:rsidR="00470726" w:rsidRPr="002519D3" w:rsidRDefault="00470726" w:rsidP="00470726">
      <w:pPr>
        <w:spacing w:before="100" w:after="240"/>
        <w:contextualSpacing/>
        <w:rPr>
          <w:bCs/>
        </w:rPr>
      </w:pPr>
      <w:r w:rsidRPr="002519D3">
        <w:rPr>
          <w:bCs/>
        </w:rPr>
        <w:t>bez účasti poškozené České republiky, zastoupené Ministerstvem Životního prostředí ČR, Vršovická 1442/62, 100 10 Praha 10.</w:t>
      </w:r>
    </w:p>
    <w:p w14:paraId="42FD6FA2" w14:textId="77777777" w:rsidR="00470726" w:rsidRPr="002519D3" w:rsidRDefault="00470726" w:rsidP="00470726">
      <w:pPr>
        <w:spacing w:before="100" w:after="240"/>
        <w:contextualSpacing/>
        <w:rPr>
          <w:b/>
        </w:rPr>
      </w:pPr>
    </w:p>
    <w:p w14:paraId="0FB08035" w14:textId="77777777" w:rsidR="00470726" w:rsidRPr="002519D3" w:rsidRDefault="00470726" w:rsidP="00470726">
      <w:pPr>
        <w:numPr>
          <w:ilvl w:val="0"/>
          <w:numId w:val="1"/>
        </w:numPr>
        <w:spacing w:before="120" w:after="240"/>
        <w:ind w:left="0" w:hanging="425"/>
        <w:rPr>
          <w:b/>
        </w:rPr>
      </w:pPr>
      <w:r w:rsidRPr="002519D3">
        <w:rPr>
          <w:b/>
        </w:rPr>
        <w:t>Obžalovaní</w:t>
      </w:r>
    </w:p>
    <w:p w14:paraId="01332961" w14:textId="010A9E5B" w:rsidR="00470726" w:rsidRPr="002519D3" w:rsidRDefault="008D0C14" w:rsidP="00470726">
      <w:pPr>
        <w:numPr>
          <w:ilvl w:val="0"/>
          <w:numId w:val="2"/>
        </w:numPr>
        <w:spacing w:after="240"/>
        <w:ind w:left="357" w:hanging="357"/>
        <w:rPr>
          <w:rFonts w:cs="Arial"/>
        </w:rPr>
      </w:pPr>
      <w:bookmarkStart w:id="1" w:name="_Hlk131666499"/>
      <w:r>
        <w:rPr>
          <w:b/>
          <w:lang w:eastAsia="zh-CN"/>
        </w:rPr>
        <w:t>M.V.</w:t>
      </w:r>
      <w:r w:rsidR="00470726" w:rsidRPr="002519D3">
        <w:rPr>
          <w:lang w:eastAsia="zh-CN"/>
        </w:rPr>
        <w:t xml:space="preserve">, nar. </w:t>
      </w:r>
      <w:r>
        <w:rPr>
          <w:lang w:eastAsia="zh-CN"/>
        </w:rPr>
        <w:t xml:space="preserve">XXXXX  </w:t>
      </w:r>
      <w:r w:rsidR="00470726" w:rsidRPr="002519D3">
        <w:rPr>
          <w:lang w:eastAsia="zh-CN"/>
        </w:rPr>
        <w:t xml:space="preserve"> v</w:t>
      </w:r>
      <w:r>
        <w:rPr>
          <w:lang w:eastAsia="zh-CN"/>
        </w:rPr>
        <w:t xml:space="preserve"> XXXXX,   </w:t>
      </w:r>
      <w:r w:rsidR="00470726" w:rsidRPr="002519D3">
        <w:rPr>
          <w:lang w:eastAsia="zh-CN"/>
        </w:rPr>
        <w:t xml:space="preserve"> bez zaměstnání, v evidenci Úřadu práce </w:t>
      </w:r>
      <w:r w:rsidR="004815F7">
        <w:rPr>
          <w:lang w:eastAsia="zh-CN"/>
        </w:rPr>
        <w:t xml:space="preserve">XXXXX,  </w:t>
      </w:r>
      <w:r w:rsidR="00470726" w:rsidRPr="002519D3">
        <w:rPr>
          <w:lang w:eastAsia="zh-CN"/>
        </w:rPr>
        <w:t xml:space="preserve"> trvale bytem </w:t>
      </w:r>
      <w:r>
        <w:rPr>
          <w:lang w:eastAsia="zh-CN"/>
        </w:rPr>
        <w:t xml:space="preserve">XXXXX,   </w:t>
      </w:r>
      <w:r w:rsidR="00470726" w:rsidRPr="002519D3">
        <w:rPr>
          <w:lang w:eastAsia="zh-CN"/>
        </w:rPr>
        <w:t xml:space="preserve">adresa pro účely doručování </w:t>
      </w:r>
      <w:r>
        <w:rPr>
          <w:lang w:eastAsia="zh-CN"/>
        </w:rPr>
        <w:t xml:space="preserve">XXXXX                                            </w:t>
      </w:r>
    </w:p>
    <w:p w14:paraId="22C72397" w14:textId="21643D88" w:rsidR="00470726" w:rsidRPr="002519D3" w:rsidRDefault="008D0C14" w:rsidP="00470726">
      <w:pPr>
        <w:numPr>
          <w:ilvl w:val="0"/>
          <w:numId w:val="2"/>
        </w:numPr>
        <w:spacing w:after="240"/>
        <w:ind w:left="357" w:hanging="357"/>
        <w:rPr>
          <w:rFonts w:cs="Arial"/>
        </w:rPr>
      </w:pPr>
      <w:r>
        <w:rPr>
          <w:b/>
          <w:lang w:eastAsia="zh-CN"/>
        </w:rPr>
        <w:lastRenderedPageBreak/>
        <w:t>J.H.</w:t>
      </w:r>
      <w:r w:rsidR="00470726" w:rsidRPr="000A577C">
        <w:rPr>
          <w:lang w:eastAsia="zh-CN"/>
        </w:rPr>
        <w:t xml:space="preserve">, nar. </w:t>
      </w:r>
      <w:r>
        <w:rPr>
          <w:lang w:eastAsia="zh-CN"/>
        </w:rPr>
        <w:t xml:space="preserve">XXXXX   </w:t>
      </w:r>
      <w:r w:rsidR="00470726" w:rsidRPr="000A577C">
        <w:rPr>
          <w:lang w:eastAsia="zh-CN"/>
        </w:rPr>
        <w:t xml:space="preserve"> v</w:t>
      </w:r>
      <w:r>
        <w:rPr>
          <w:lang w:eastAsia="zh-CN"/>
        </w:rPr>
        <w:t xml:space="preserve"> XXXXX,   </w:t>
      </w:r>
      <w:r w:rsidR="00470726" w:rsidRPr="000A577C">
        <w:rPr>
          <w:lang w:eastAsia="zh-CN"/>
        </w:rPr>
        <w:t xml:space="preserve"> stavbyvedoucí ve spol. </w:t>
      </w:r>
      <w:r>
        <w:rPr>
          <w:lang w:eastAsia="zh-CN"/>
        </w:rPr>
        <w:t xml:space="preserve">XXXXX,   </w:t>
      </w:r>
      <w:r w:rsidR="00470726" w:rsidRPr="002519D3">
        <w:rPr>
          <w:rFonts w:cs="Arial"/>
        </w:rPr>
        <w:t xml:space="preserve"> trvale </w:t>
      </w:r>
      <w:r w:rsidR="00470726" w:rsidRPr="000A577C">
        <w:rPr>
          <w:lang w:eastAsia="zh-CN"/>
        </w:rPr>
        <w:t xml:space="preserve">bytem </w:t>
      </w:r>
      <w:r>
        <w:rPr>
          <w:lang w:eastAsia="zh-CN"/>
        </w:rPr>
        <w:t xml:space="preserve">XXXXX,                       </w:t>
      </w:r>
      <w:r w:rsidR="00470726" w:rsidRPr="000A577C">
        <w:rPr>
          <w:lang w:eastAsia="zh-CN"/>
        </w:rPr>
        <w:t xml:space="preserve"> adresa pro doručování </w:t>
      </w:r>
      <w:r>
        <w:rPr>
          <w:lang w:eastAsia="zh-CN"/>
        </w:rPr>
        <w:t xml:space="preserve">XXXXX,                                                     </w:t>
      </w:r>
    </w:p>
    <w:bookmarkEnd w:id="1"/>
    <w:p w14:paraId="4CAD17EB" w14:textId="77777777" w:rsidR="00470726" w:rsidRPr="002519D3" w:rsidRDefault="00470726" w:rsidP="00470726">
      <w:pPr>
        <w:spacing w:after="240"/>
        <w:ind w:left="357"/>
        <w:jc w:val="center"/>
        <w:rPr>
          <w:b/>
        </w:rPr>
      </w:pPr>
      <w:r w:rsidRPr="002519D3">
        <w:rPr>
          <w:b/>
        </w:rPr>
        <w:t>jsou vinni, že</w:t>
      </w:r>
    </w:p>
    <w:p w14:paraId="277B8354" w14:textId="44D90787" w:rsidR="00470726" w:rsidRPr="000A577C" w:rsidRDefault="00470726" w:rsidP="00470726">
      <w:pPr>
        <w:rPr>
          <w:rFonts w:eastAsia="Calibri"/>
        </w:rPr>
      </w:pPr>
      <w:bookmarkStart w:id="2" w:name="_Hlk49157551"/>
      <w:r w:rsidRPr="000A577C">
        <w:rPr>
          <w:rFonts w:eastAsia="Calibri"/>
          <w:lang w:eastAsia="zh-CN"/>
        </w:rPr>
        <w:t xml:space="preserve">poté, co zastupitelstvo Obce </w:t>
      </w:r>
      <w:r w:rsidR="008D0C14">
        <w:rPr>
          <w:rFonts w:eastAsia="Calibri"/>
          <w:lang w:eastAsia="zh-CN"/>
        </w:rPr>
        <w:t xml:space="preserve">XXXXX,  </w:t>
      </w:r>
      <w:r w:rsidRPr="000A577C">
        <w:rPr>
          <w:rFonts w:eastAsia="Calibri"/>
          <w:lang w:eastAsia="zh-CN"/>
        </w:rPr>
        <w:t xml:space="preserve"> se sídlem </w:t>
      </w:r>
      <w:r w:rsidR="008D0C14">
        <w:rPr>
          <w:rFonts w:eastAsia="Calibri"/>
          <w:lang w:eastAsia="zh-CN"/>
        </w:rPr>
        <w:t>XXXXX,   k</w:t>
      </w:r>
      <w:r w:rsidRPr="000A577C">
        <w:rPr>
          <w:rFonts w:eastAsia="Calibri"/>
          <w:lang w:eastAsia="zh-CN"/>
        </w:rPr>
        <w:t xml:space="preserve">oncem roku 2013 schválilo záměr výstavby sběrného dvora odpadů v obci a obec dne 18. 12. 2013 podala prostřednictvím obžalované jakožto starostky obce žádost o podporu tohoto projektu do Operačního programu Životní prostředí a poté, co obec dne 8. 8. 2014 zveřejnila jako zadavatel výzvu k podání nabídek a oznámení o zahájení zadávacího řízení k veřejné zakázce malého rozsahu s názvem „Sběrný dvůr odpadů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“, spolufinancované ze zdrojů Evropské unie, obžalovaná jakožto osoba znalá z titulu své funkce starostky obce předmětné zadávací dokumentace, projektové dokumentace stavby, včetně položkového rozpočtu stavby, v rozporu s ustanovením </w:t>
      </w:r>
      <w:r w:rsidRPr="000A577C">
        <w:rPr>
          <w:rFonts w:eastAsia="Calibri" w:cs="Arial"/>
          <w:lang w:eastAsia="zh-CN"/>
        </w:rPr>
        <w:t xml:space="preserve">§ 6 odst. 1 zákona č. 137/2006 Sb., o veřejných zakázkách, </w:t>
      </w:r>
      <w:r w:rsidRPr="000A577C">
        <w:rPr>
          <w:rFonts w:eastAsia="Calibri"/>
          <w:lang w:eastAsia="zh-CN"/>
        </w:rPr>
        <w:t xml:space="preserve">vědomě zvýhodnila v rámci dané veřejné zakázky uchazeče o tuto zakázku, a to obžalovaného </w:t>
      </w:r>
      <w:r w:rsidR="008D0C14">
        <w:rPr>
          <w:rFonts w:eastAsia="Calibri"/>
          <w:lang w:eastAsia="zh-CN"/>
        </w:rPr>
        <w:t>J.H.</w:t>
      </w:r>
      <w:r w:rsidRPr="000A577C">
        <w:rPr>
          <w:rFonts w:eastAsia="Calibri"/>
          <w:lang w:eastAsia="zh-CN"/>
        </w:rPr>
        <w:t xml:space="preserve"> vystupujícího jako osoba samostatně výdělečně činná </w:t>
      </w:r>
      <w:r w:rsidR="008D0C14">
        <w:rPr>
          <w:rFonts w:eastAsia="Calibri"/>
          <w:lang w:eastAsia="zh-CN"/>
        </w:rPr>
        <w:t>J.H.</w:t>
      </w:r>
      <w:r w:rsidRPr="000A577C">
        <w:rPr>
          <w:rFonts w:eastAsia="Calibri"/>
          <w:lang w:eastAsia="zh-CN"/>
        </w:rPr>
        <w:t xml:space="preserve">, </w:t>
      </w:r>
      <w:r w:rsidR="006C4ABC">
        <w:rPr>
          <w:rFonts w:eastAsia="Calibri"/>
          <w:lang w:eastAsia="zh-CN"/>
        </w:rPr>
        <w:t xml:space="preserve">XXXXX, </w:t>
      </w:r>
      <w:r w:rsidRPr="000A577C">
        <w:rPr>
          <w:rFonts w:eastAsia="Calibri"/>
          <w:lang w:eastAsia="zh-CN"/>
        </w:rPr>
        <w:t xml:space="preserve">IČ: </w:t>
      </w:r>
      <w:r w:rsidR="006C4ABC">
        <w:rPr>
          <w:rFonts w:eastAsia="Calibri"/>
          <w:lang w:eastAsia="zh-CN"/>
        </w:rPr>
        <w:t xml:space="preserve">XXXXX,  </w:t>
      </w:r>
      <w:r w:rsidR="008463C9">
        <w:rPr>
          <w:rFonts w:eastAsia="Calibri"/>
          <w:lang w:eastAsia="zh-CN"/>
        </w:rPr>
        <w:t>k</w:t>
      </w:r>
      <w:r w:rsidRPr="000A577C">
        <w:rPr>
          <w:rFonts w:eastAsia="Calibri"/>
          <w:lang w:eastAsia="zh-CN"/>
        </w:rPr>
        <w:t xml:space="preserve">terý se teprve na popud obžalované ucházel o danou zakázku, obžalovaná mu s jeho souhlasem a vědomím v průběhu měsíce srpna 2014 účelově připravila a vyhotovila potřebné podklady pro podání nabídky, zejména pak ve vztahu ke specifikaci výše nabízené ceny díla a době záruky na dílo, v důsledku čehož nabídka obžalovaného byla pro obec výhodnější oproti dalším uchazečům, společnostem Vodohospodářské stavby Javorník - CZ s.r.o. a STAVEBNÍ FIRMA PLUS s.r.o., přičemž poté, co byla dne 25. 8. 2014 nabídka obžalovaného vyhodnocena jako nejvýhodnější, a ačkoli oba obžalovaní věděli, že obžalovaný není z důvodu své finanční situace schopen zhotovit předmětné dílo na své náklady, obžalovaný započal s realizací výstavby sběrného dvora, ačkoliv teprve dne 20. 11. 2014 uzavřel jako zhotovitel díla s obcí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, zastoupenou obžalovanou, jakožto objednatelem příslušnou smlouvu o dílo, jejímž předmětem byl závazek obžalovaného provést na vlastní náklad a nebezpečí novostavbu sběrného dvora odpadů a závazek obce dílo převzít a zaplatit za ně cenu dle podmínek smlouvy, která mimo jiné stanovila, že: </w:t>
      </w:r>
    </w:p>
    <w:p w14:paraId="4869ED5B" w14:textId="751CF3EE" w:rsidR="00470726" w:rsidRPr="002519D3" w:rsidRDefault="00470726" w:rsidP="00470726">
      <w:pPr>
        <w:numPr>
          <w:ilvl w:val="0"/>
          <w:numId w:val="4"/>
        </w:numPr>
        <w:ind w:left="357" w:hanging="357"/>
        <w:rPr>
          <w:lang w:eastAsia="zh-CN"/>
        </w:rPr>
      </w:pPr>
      <w:r w:rsidRPr="002519D3">
        <w:rPr>
          <w:lang w:eastAsia="zh-CN"/>
        </w:rPr>
        <w:t xml:space="preserve">dílem se rozumí provedení v projektové dokumentaci specifikovaného díla novostavby sběrného dvora odpadů; jedná se o stavební práce a související dodávky a služby nutno k řádnému provedení stavby přesně definované projektovou dokumentací v obci </w:t>
      </w:r>
      <w:r w:rsidR="006C4ABC">
        <w:rPr>
          <w:lang w:eastAsia="zh-CN"/>
        </w:rPr>
        <w:t>XXXXX</w:t>
      </w:r>
      <w:r w:rsidRPr="002519D3">
        <w:rPr>
          <w:lang w:eastAsia="zh-CN"/>
        </w:rPr>
        <w:t>,</w:t>
      </w:r>
    </w:p>
    <w:p w14:paraId="22C38C9C" w14:textId="77777777" w:rsidR="00470726" w:rsidRPr="002519D3" w:rsidRDefault="00470726" w:rsidP="00470726">
      <w:pPr>
        <w:numPr>
          <w:ilvl w:val="0"/>
          <w:numId w:val="4"/>
        </w:numPr>
        <w:ind w:left="357" w:hanging="357"/>
        <w:rPr>
          <w:lang w:eastAsia="zh-CN"/>
        </w:rPr>
      </w:pPr>
      <w:r w:rsidRPr="002519D3">
        <w:rPr>
          <w:lang w:eastAsia="zh-CN"/>
        </w:rPr>
        <w:t xml:space="preserve">zhotovitel se zavázal řádně dokončit dílo a předat jej objednateli nejpozději do 60 dní ode dne převzetí staveniště, </w:t>
      </w:r>
    </w:p>
    <w:p w14:paraId="42F5FA43" w14:textId="77777777" w:rsidR="00470726" w:rsidRPr="002519D3" w:rsidRDefault="00470726" w:rsidP="00470726">
      <w:pPr>
        <w:numPr>
          <w:ilvl w:val="0"/>
          <w:numId w:val="4"/>
        </w:numPr>
        <w:ind w:left="357" w:hanging="357"/>
        <w:rPr>
          <w:lang w:eastAsia="zh-CN"/>
        </w:rPr>
      </w:pPr>
      <w:r w:rsidRPr="002519D3">
        <w:rPr>
          <w:lang w:eastAsia="zh-CN"/>
        </w:rPr>
        <w:t xml:space="preserve">cena díla činila 2.483.169,38 Kč včetně DPH, </w:t>
      </w:r>
    </w:p>
    <w:p w14:paraId="718EC204" w14:textId="77777777" w:rsidR="00470726" w:rsidRPr="002519D3" w:rsidRDefault="00470726" w:rsidP="00470726">
      <w:pPr>
        <w:numPr>
          <w:ilvl w:val="0"/>
          <w:numId w:val="4"/>
        </w:numPr>
        <w:ind w:left="357" w:hanging="357"/>
        <w:rPr>
          <w:lang w:eastAsia="zh-CN"/>
        </w:rPr>
      </w:pPr>
      <w:r w:rsidRPr="002519D3">
        <w:rPr>
          <w:lang w:eastAsia="zh-CN"/>
        </w:rPr>
        <w:t>právo vystavení faktury na cenu díla mělo zhotoviteli vzniknout dnem podpisu protokolu o předání a převzetí celého díla a odstranění vad a nedodělků zjištěných při přejímacím řízení,</w:t>
      </w:r>
    </w:p>
    <w:p w14:paraId="0CB5FFF4" w14:textId="5115DEC4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přičemž dle projektové dokumentace měl být součástí technického vybavení sběrného dvora štěpkovač dřevní hmoty stanovených parametrů, obžalovaný si byl přitom vědom, že cena za dílo měla být z větší části hrazena z projektu Operačního programu Životní prostředí CZ 1.02/4.1.00/13.22624 „Sběrný dvůr odpadů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“, obžalovaná poté v přesně nezjištěné době za objednatele uzavřela s obžalovaným jakožto zhotovitelem díla nejméně tři dodatky smlouvy o dílo označené vždy jako Dodatek č. 1 ke Smlouvě o dílo, avšak všechny s rozdílným obsahem, a to: </w:t>
      </w:r>
    </w:p>
    <w:p w14:paraId="3D28E7B7" w14:textId="2F53F603" w:rsidR="00470726" w:rsidRPr="000A577C" w:rsidRDefault="00470726" w:rsidP="00470726">
      <w:pPr>
        <w:numPr>
          <w:ilvl w:val="0"/>
          <w:numId w:val="3"/>
        </w:num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dodatek datovaný dnem 21. 11. 2014 s ustanovením, podle něhož právo vystavení zálohových faktur vzniká zhotoviteli v průběhu prací, vždy po dokončení alikvotní části díla – tento dodatek předložila obžalovaná účetní obce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, </w:t>
      </w:r>
    </w:p>
    <w:p w14:paraId="654E3A89" w14:textId="77777777" w:rsidR="00470726" w:rsidRPr="000A577C" w:rsidRDefault="00470726" w:rsidP="00470726">
      <w:pPr>
        <w:numPr>
          <w:ilvl w:val="0"/>
          <w:numId w:val="3"/>
        </w:num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lastRenderedPageBreak/>
        <w:t xml:space="preserve">dodatek datovaný dnem 21. 11. 2014, podle něhož právo vystavení faktury vzniká zhotoviteli až do výše 60 % ceny díla po dokončení alikvotní části díla – tento dodatek byl spolu se smlouvou o dílo zveřejněn na portálu veřejných zakázek, </w:t>
      </w:r>
    </w:p>
    <w:p w14:paraId="0528788F" w14:textId="77777777" w:rsidR="00470726" w:rsidRPr="000A577C" w:rsidRDefault="00470726" w:rsidP="00470726">
      <w:pPr>
        <w:numPr>
          <w:ilvl w:val="0"/>
          <w:numId w:val="3"/>
        </w:num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dodatek datovaný dnem 20. 4. 2015 o dohodě stran o ceně méněprací a víceprací po realizaci díla ve výši 161.800 Kč bez DPH s odkazem na změnový list č. 1 – tato verze dodatku byla zaslána Státnímu fondu životního prostředí České republiky, </w:t>
      </w:r>
    </w:p>
    <w:p w14:paraId="7CA5B0CE" w14:textId="77777777" w:rsidR="00470726" w:rsidRPr="000A577C" w:rsidRDefault="00470726" w:rsidP="00470726">
      <w:pPr>
        <w:rPr>
          <w:rFonts w:eastAsia="Calibri"/>
          <w:lang w:eastAsia="zh-CN"/>
        </w:rPr>
      </w:pPr>
    </w:p>
    <w:p w14:paraId="7B7CCB24" w14:textId="6B41EDC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>obžalovaný byl povinen vzhledem k předání staveniště dne 20. 11. 2014 dílo zhotovit do 20. 1. 2014, předal je však teprve dne 23. 2. 2015, a to bez štěpkovače dřevní hmoty ve vykázané hodnotě 415.896 Kč bez DPH, přičemž dílo převzala za objednatele obžalovaná bez vědomí zastupitelstva obce a ačkoli věděla, že dílo bylo dodáno bez štěpkovače a po termínu, převzala je bez výhrad,</w:t>
      </w:r>
      <w:r w:rsidRPr="000A577C">
        <w:rPr>
          <w:rFonts w:eastAsia="Calibri" w:cs="Arial"/>
          <w:lang w:eastAsia="zh-CN"/>
        </w:rPr>
        <w:t xml:space="preserve"> k tomuto nechala obžalovaného </w:t>
      </w:r>
      <w:r w:rsidR="008D0C14">
        <w:rPr>
          <w:rFonts w:eastAsia="Calibri" w:cs="Arial"/>
          <w:lang w:eastAsia="zh-CN"/>
        </w:rPr>
        <w:t>J.H.</w:t>
      </w:r>
      <w:r w:rsidRPr="000A577C">
        <w:rPr>
          <w:rFonts w:eastAsia="Calibri" w:cs="Arial"/>
          <w:lang w:eastAsia="zh-CN"/>
        </w:rPr>
        <w:t xml:space="preserve"> vystavit zápis o předání a převzetí dokončené stavby, jímž oba obžalovaní deklarovali, že jakost provedených prací odpovídá schválené dokumentaci, smluvním a právním podmínkám, a ačkoli oba obžalovaní věděli, že se tyto údaje nezakládají na pravdě, předložila obžalovaná tento zápis Státnímu fondu životního prostředí jako podklad do dotačního řízení, přičemž obžalovaná</w:t>
      </w:r>
      <w:r w:rsidRPr="000A577C">
        <w:rPr>
          <w:rFonts w:eastAsia="Calibri"/>
          <w:lang w:eastAsia="zh-CN"/>
        </w:rPr>
        <w:t xml:space="preserve"> v rozporu s ustanovením § 38 odst.1, odst. 7 zákona č. 128/2000 Sb., o obcích, ve znění pozdějších předpisů, ani následně neuplatňovala jménem obce nároky ze smlouvy o dílo vyplývající z jeho předání v nikoliv řádném stavu a ve stanoveném termínu, obžalovaní tak předáním a převzetím díla bez štěpkovače způsobili Obci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, IČ: </w:t>
      </w:r>
      <w:r w:rsidR="00FD6F8E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, se sídlem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  škodu ve výši nejméně 415.896 Kč bez DPH, </w:t>
      </w:r>
    </w:p>
    <w:p w14:paraId="7D8A0B1A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 w:cs="Arial"/>
          <w:lang w:eastAsia="zh-CN"/>
        </w:rPr>
        <w:t xml:space="preserve">obžalovaný přitom již krátce po ukončení výběrového řízení a po vzájemné dohodě s obžalovanou, přestože oba nejpozději od výběrového řízení věděli, že obžalovaný je povinen zhotovit dílo na svůj náklad a oprávnění fakturace mu vznikne teprve předáním celého díla, </w:t>
      </w:r>
      <w:r w:rsidRPr="000A577C">
        <w:rPr>
          <w:rFonts w:eastAsia="Calibri"/>
          <w:lang w:eastAsia="zh-CN"/>
        </w:rPr>
        <w:t xml:space="preserve">od měsíce září 2014 průběžně vystavoval zálohové faktury na cenu předmětného díla, a to: </w:t>
      </w:r>
    </w:p>
    <w:p w14:paraId="33D8DB5C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fakturu číslo  </w:t>
      </w:r>
      <w:r w:rsidRPr="000A577C">
        <w:rPr>
          <w:rFonts w:eastAsia="Calibri"/>
          <w:lang w:eastAsia="zh-CN"/>
        </w:rPr>
        <w:tab/>
        <w:t xml:space="preserve">           vystavenou dne  </w:t>
      </w:r>
      <w:r w:rsidRPr="000A577C">
        <w:rPr>
          <w:rFonts w:eastAsia="Calibri"/>
          <w:lang w:eastAsia="zh-CN"/>
        </w:rPr>
        <w:tab/>
        <w:t xml:space="preserve">na částku </w:t>
      </w:r>
    </w:p>
    <w:p w14:paraId="21641617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2014016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24. 09. 2014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242.000 Kč </w:t>
      </w:r>
    </w:p>
    <w:p w14:paraId="17B036A4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2014018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01. 10. 2014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121.000 Kč </w:t>
      </w:r>
    </w:p>
    <w:p w14:paraId="5E2CF397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2014019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14. 11. 2014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242.000 Kč </w:t>
      </w:r>
    </w:p>
    <w:p w14:paraId="7D89C2AA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2014020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21. 11. 2014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242.000 Kč </w:t>
      </w:r>
    </w:p>
    <w:p w14:paraId="28FDF9A8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>201501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05. 01. 2015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242.000 Kč </w:t>
      </w:r>
    </w:p>
    <w:p w14:paraId="325F6C49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201502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12. 01. 2015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242.000 Kč </w:t>
      </w:r>
    </w:p>
    <w:p w14:paraId="11CA0696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201503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15. 01. 2015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242.000 Kč </w:t>
      </w:r>
    </w:p>
    <w:p w14:paraId="0E6B68B6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201504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02. 04. 2015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363.000 Kč </w:t>
      </w:r>
    </w:p>
    <w:p w14:paraId="499CB4C8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>201506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01. 07. 2015 </w:t>
      </w:r>
      <w:r w:rsidRPr="000A577C">
        <w:rPr>
          <w:rFonts w:eastAsia="Calibri"/>
          <w:lang w:eastAsia="zh-CN"/>
        </w:rPr>
        <w:tab/>
      </w:r>
      <w:r w:rsidRPr="000A577C">
        <w:rPr>
          <w:rFonts w:eastAsia="Calibri"/>
          <w:lang w:eastAsia="zh-CN"/>
        </w:rPr>
        <w:tab/>
        <w:t xml:space="preserve">547.169,38 Kč </w:t>
      </w:r>
    </w:p>
    <w:p w14:paraId="1BD02C02" w14:textId="17872692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tj., celkem na částku ve výši 2.483.169,38 Kč, které mu byly propláceny, přesto poté, co bylo dne 11. 5. 2015 Ministerstvem životního prostředí pod č. 115D242002418 rozhodnuto o poskytnutí dotace a dále poté, co byla dne  12. 6. 2015 podepsána obžalovanou za obec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 se Státním fondem životního prostředí smlouva č. 14186064 o poskytnutí podpory ze Státního fondu životního prostředí, vystavil na základě požadavku obžalované obci další fakturu na celkovou cenu díla, a to opět s číslem 201506 datovanou dne 1. 7. 2015 na částku 2.483.169,38 Kč, kterou obžalovaná nechala z účtu obce proplatit a dne 12. 8. 2015 ji použila jako přílohu žádosti ke Státnímu fondu životního prostředí ČR (dále jen SFŽP) o výplatu finanční podpory (dotace) na předmětné dílo z Operačního programu Životní prostředí, která byla na základě těchto podkladů dne 17. 8. 2015 schválena, následně byla dne 19. 8. 2015 na účet obce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 poskytnuta z </w:t>
      </w:r>
      <w:r w:rsidRPr="000A577C">
        <w:rPr>
          <w:rFonts w:eastAsia="Calibri"/>
          <w:lang w:eastAsia="zh-CN"/>
        </w:rPr>
        <w:lastRenderedPageBreak/>
        <w:t xml:space="preserve">rozpočtu Evropské unie prostřednictvím strukturálních fondů a Fondu soudržnosti podpora (dotace) ve výši 2.271.508,87 Kč a dne 20.8.2015 pak dotace SFŽP ve výši 133.618,15 Kč, </w:t>
      </w:r>
    </w:p>
    <w:p w14:paraId="1C3509EB" w14:textId="77777777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 w:cs="Arial"/>
          <w:lang w:eastAsia="zh-CN"/>
        </w:rPr>
        <w:t xml:space="preserve">obžalovaní tak vědomě porušili podmínky poskytnutí dotace, a to jednak specifikované v příloze č. 1 Rozhodnutí o poskytnutí dotace v oddílu A, písm. c) a ve Smlouvě o poskytnutí podpory ze Státního fondu životního prostředí České republiky v části III, oddílu A, písm. c) a jednak uvedené v příloze č. 1 Rozhodnutí o poskytnutí dotace v oddílu B, odstavci 1, písmenu b) a části III, oddílu 6 A, písmenu b) Smlouvy o poskytnutí podpory ze Státního fondu životního prostředí České republiky, a takto </w:t>
      </w:r>
      <w:r w:rsidRPr="000A577C">
        <w:rPr>
          <w:rFonts w:eastAsia="Calibri"/>
          <w:lang w:eastAsia="zh-CN"/>
        </w:rPr>
        <w:t xml:space="preserve"> způsobili škodu Evropské unii v zastoupení Ministerstvem životního prostředí, IČ: 00164801, se sídlem Vršovická č. p. 1442, 100 00 Praha, ve výši 2.271.508,87 Kč, a České republice zastoupené Státním fondem životního prostředí České republiky, IČ: 00020729, se sídlem Kaplanova č. p. 1931, 148 00 Praha-Chodov, ve výši 133.618,15 Kč, tedy celkem 2.405.127,02 Kč, </w:t>
      </w:r>
    </w:p>
    <w:p w14:paraId="39CA30E6" w14:textId="33FE262D" w:rsidR="00470726" w:rsidRPr="000A577C" w:rsidRDefault="00470726" w:rsidP="00470726">
      <w:pPr>
        <w:rPr>
          <w:rFonts w:eastAsia="Calibri" w:cs="Arial"/>
        </w:rPr>
      </w:pPr>
      <w:r w:rsidRPr="000A577C">
        <w:rPr>
          <w:rFonts w:eastAsia="Calibri" w:cs="Arial"/>
          <w:lang w:eastAsia="zh-CN"/>
        </w:rPr>
        <w:t xml:space="preserve">obžalovaný </w:t>
      </w:r>
      <w:r w:rsidR="008D0C14">
        <w:rPr>
          <w:rFonts w:eastAsia="Calibri" w:cs="Arial"/>
          <w:lang w:eastAsia="zh-CN"/>
        </w:rPr>
        <w:t>J.H.</w:t>
      </w:r>
      <w:r w:rsidRPr="000A577C">
        <w:rPr>
          <w:rFonts w:eastAsia="Calibri" w:cs="Arial"/>
          <w:lang w:eastAsia="zh-CN"/>
        </w:rPr>
        <w:t xml:space="preserve"> bezprostředně poté, co na svůj účet číslo 168014148/0600 obdržel od obce </w:t>
      </w:r>
      <w:r w:rsidR="006C4ABC">
        <w:rPr>
          <w:rFonts w:eastAsia="Calibri" w:cs="Arial"/>
          <w:lang w:eastAsia="zh-CN"/>
        </w:rPr>
        <w:t>XXXXX</w:t>
      </w:r>
      <w:r w:rsidRPr="000A577C">
        <w:rPr>
          <w:rFonts w:eastAsia="Calibri" w:cs="Arial"/>
          <w:lang w:eastAsia="zh-CN"/>
        </w:rPr>
        <w:t xml:space="preserve"> úhradu faktury číslo 201506 ve výši 2.483.169,38 Kč, představující opětovnou úhradu celkové ceny za dílo, tuto dne 25. 9. 2015 vrátil zpět na účet obce, a</w:t>
      </w:r>
    </w:p>
    <w:p w14:paraId="1CC2A7B2" w14:textId="274DDD45" w:rsidR="00470726" w:rsidRPr="000A577C" w:rsidRDefault="00470726" w:rsidP="00470726">
      <w:pPr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poté, kdy dne 15. 9. 2015 byly při kontrole pracovníky SFŽP zjištěny nedostatky a pochybení na straně příjemce dotace (obce) spočívající především v převzetí nekompletního díla, tedy chybějícího štěpkovače, a neoprávněného zálohového proplácení díla, byla obec dne 13. 10. 2016 vyzvána k vrácení vyplacené dotace, obec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 pak následně dne 11. 11. 2016 dotaci ve výši 2.271.508,87 Kč ministerstvu životního prostředí a ve výši 133.618,15 Kč Státnímu fondu životního prostředí České republiky vrátila, </w:t>
      </w:r>
    </w:p>
    <w:bookmarkEnd w:id="2"/>
    <w:p w14:paraId="72A81DB8" w14:textId="77777777" w:rsidR="00470726" w:rsidRPr="000A577C" w:rsidRDefault="00470726" w:rsidP="00470726">
      <w:pPr>
        <w:spacing w:after="240"/>
        <w:jc w:val="center"/>
        <w:rPr>
          <w:rFonts w:eastAsia="Calibri"/>
          <w:b/>
        </w:rPr>
      </w:pPr>
      <w:r w:rsidRPr="000A577C">
        <w:rPr>
          <w:rFonts w:eastAsia="Calibri"/>
          <w:b/>
        </w:rPr>
        <w:t>tedy</w:t>
      </w:r>
    </w:p>
    <w:p w14:paraId="368915AE" w14:textId="37DCA61E" w:rsidR="00470726" w:rsidRPr="000A577C" w:rsidRDefault="00470726" w:rsidP="00470726">
      <w:pPr>
        <w:rPr>
          <w:rFonts w:eastAsia="Calibri" w:cs="Arial"/>
          <w:b/>
          <w:bCs/>
        </w:rPr>
      </w:pPr>
      <w:r w:rsidRPr="000A577C">
        <w:rPr>
          <w:rFonts w:eastAsia="Calibri" w:cs="Arial"/>
          <w:b/>
          <w:bCs/>
        </w:rPr>
        <w:t xml:space="preserve">obžalovaná  </w:t>
      </w:r>
      <w:r w:rsidR="008D0C14">
        <w:rPr>
          <w:rFonts w:eastAsia="Calibri" w:cs="Arial"/>
          <w:b/>
          <w:bCs/>
        </w:rPr>
        <w:t>M.V.</w:t>
      </w:r>
    </w:p>
    <w:p w14:paraId="4411752D" w14:textId="77777777" w:rsidR="00470726" w:rsidRPr="000A577C" w:rsidRDefault="00470726" w:rsidP="00470726">
      <w:pPr>
        <w:numPr>
          <w:ilvl w:val="0"/>
          <w:numId w:val="5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porušila podle zákona jí uloženou povinnost opatrovat cizí majetek, a tím jinému způsobila škodu nikoli malou, </w:t>
      </w:r>
    </w:p>
    <w:p w14:paraId="6CC90554" w14:textId="77777777" w:rsidR="00470726" w:rsidRPr="000A577C" w:rsidRDefault="00470726" w:rsidP="00470726">
      <w:pPr>
        <w:numPr>
          <w:ilvl w:val="0"/>
          <w:numId w:val="5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v žádosti o poskytnutí dotace uvedla nepravdivé údaje a způsobila takovým činem značnou škodu, </w:t>
      </w:r>
    </w:p>
    <w:p w14:paraId="76DE5A61" w14:textId="77777777" w:rsidR="00470726" w:rsidRPr="000A577C" w:rsidRDefault="00470726" w:rsidP="00470726">
      <w:pPr>
        <w:numPr>
          <w:ilvl w:val="0"/>
          <w:numId w:val="5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v souvislosti se zadáním veřejné zakázky v úmyslu opatřit jinému prospěch zjednala některému dodavateli výhodnější podmínky na úkor jiných dodavatelů, </w:t>
      </w:r>
    </w:p>
    <w:p w14:paraId="4B3E269C" w14:textId="77777777" w:rsidR="00470726" w:rsidRPr="000A577C" w:rsidRDefault="00470726" w:rsidP="00470726">
      <w:pPr>
        <w:numPr>
          <w:ilvl w:val="0"/>
          <w:numId w:val="5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předložila nepravdivé doklady vztahující se k výdajům souhrnného rozpočtu Evropské unie a tím umožnila nesprávné použití finančních prostředků z takového rozpočtu a způsobila takovým činem značnou škodu, </w:t>
      </w:r>
    </w:p>
    <w:p w14:paraId="2A5C13C0" w14:textId="77777777" w:rsidR="00470726" w:rsidRPr="000A577C" w:rsidRDefault="00470726" w:rsidP="00470726">
      <w:pPr>
        <w:numPr>
          <w:ilvl w:val="0"/>
          <w:numId w:val="5"/>
        </w:numPr>
        <w:spacing w:after="240"/>
        <w:ind w:left="357" w:hanging="357"/>
        <w:rPr>
          <w:rFonts w:eastAsia="Calibri"/>
          <w:lang w:eastAsia="zh-CN"/>
        </w:rPr>
      </w:pPr>
      <w:r w:rsidRPr="000A577C">
        <w:rPr>
          <w:rFonts w:eastAsia="Calibri" w:cs="Arial"/>
          <w:lang w:eastAsia="zh-CN"/>
        </w:rPr>
        <w:t xml:space="preserve">jako úřední osoba v úmyslu opatřit jinému neoprávněný prospěch vykonávala svou pravomoc způsobem odporujícím jinému právnímu předpisu, </w:t>
      </w:r>
    </w:p>
    <w:p w14:paraId="296E87DD" w14:textId="3C65660E" w:rsidR="00470726" w:rsidRPr="000A577C" w:rsidRDefault="00470726" w:rsidP="00470726">
      <w:pPr>
        <w:rPr>
          <w:rFonts w:eastAsia="Calibri" w:cs="Arial"/>
          <w:b/>
          <w:bCs/>
          <w:lang w:eastAsia="zh-CN"/>
        </w:rPr>
      </w:pPr>
      <w:r w:rsidRPr="000A577C">
        <w:rPr>
          <w:rFonts w:eastAsia="Calibri" w:cs="Arial"/>
          <w:b/>
          <w:bCs/>
          <w:lang w:eastAsia="zh-CN"/>
        </w:rPr>
        <w:t xml:space="preserve">obžalovaný </w:t>
      </w:r>
      <w:r w:rsidR="008D0C14">
        <w:rPr>
          <w:rFonts w:eastAsia="Calibri" w:cs="Arial"/>
          <w:b/>
          <w:bCs/>
          <w:lang w:eastAsia="zh-CN"/>
        </w:rPr>
        <w:t>J.H.</w:t>
      </w:r>
    </w:p>
    <w:p w14:paraId="105EFE55" w14:textId="77777777" w:rsidR="00470726" w:rsidRPr="000A577C" w:rsidRDefault="00470726" w:rsidP="00470726">
      <w:pPr>
        <w:numPr>
          <w:ilvl w:val="0"/>
          <w:numId w:val="5"/>
        </w:numPr>
        <w:spacing w:line="257" w:lineRule="auto"/>
        <w:ind w:left="357" w:hanging="357"/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úmyslně umožnil jinému porušit podle zákona mu uloženou povinnost opatrovat cizí majetek, a tím jinému způsobit škodu nikoli malou, </w:t>
      </w:r>
    </w:p>
    <w:p w14:paraId="274FBC93" w14:textId="77777777" w:rsidR="00470726" w:rsidRPr="000A577C" w:rsidRDefault="00470726" w:rsidP="00470726">
      <w:pPr>
        <w:numPr>
          <w:ilvl w:val="0"/>
          <w:numId w:val="5"/>
        </w:numPr>
        <w:spacing w:line="257" w:lineRule="auto"/>
        <w:ind w:left="357" w:hanging="357"/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úmyslně umožnil jinému v žádosti o poskytnutí dotace uvést nepravdivé údaje a způsobit takovým činem značnou škodu, </w:t>
      </w:r>
    </w:p>
    <w:p w14:paraId="390227FF" w14:textId="77777777" w:rsidR="00470726" w:rsidRPr="000A577C" w:rsidRDefault="00470726" w:rsidP="00470726">
      <w:pPr>
        <w:numPr>
          <w:ilvl w:val="0"/>
          <w:numId w:val="5"/>
        </w:numPr>
        <w:spacing w:after="240" w:line="257" w:lineRule="auto"/>
        <w:ind w:left="357" w:hanging="357"/>
        <w:rPr>
          <w:rFonts w:eastAsia="Calibri"/>
          <w:lang w:eastAsia="zh-CN"/>
        </w:rPr>
      </w:pPr>
      <w:r w:rsidRPr="000A577C">
        <w:rPr>
          <w:rFonts w:eastAsia="Calibri"/>
          <w:lang w:eastAsia="zh-CN"/>
        </w:rPr>
        <w:t xml:space="preserve">úmyslně umožnil jinému předložit nepravdivé doklady </w:t>
      </w:r>
      <w:r w:rsidRPr="000A577C">
        <w:rPr>
          <w:rFonts w:eastAsia="Calibri" w:cs="Arial"/>
          <w:lang w:eastAsia="zh-CN"/>
        </w:rPr>
        <w:t>vztahující se k výdajům souhrnného rozpočtu Evropské unie, tím umožnit nesprávné použití finančních prostředků z takového rozpočtu a způsobit takovým činem značnou škodu,</w:t>
      </w:r>
    </w:p>
    <w:p w14:paraId="22C53E40" w14:textId="77777777" w:rsidR="00470726" w:rsidRPr="000A577C" w:rsidRDefault="00470726" w:rsidP="00470726">
      <w:pPr>
        <w:spacing w:after="240"/>
        <w:jc w:val="center"/>
        <w:rPr>
          <w:rFonts w:eastAsia="Calibri"/>
          <w:b/>
        </w:rPr>
      </w:pPr>
      <w:r w:rsidRPr="000A577C">
        <w:rPr>
          <w:rFonts w:eastAsia="Calibri"/>
          <w:b/>
        </w:rPr>
        <w:t>čímž spáchali</w:t>
      </w:r>
    </w:p>
    <w:p w14:paraId="03F1E436" w14:textId="2FC4D00C" w:rsidR="00470726" w:rsidRPr="000A577C" w:rsidRDefault="00470726" w:rsidP="00470726">
      <w:pPr>
        <w:rPr>
          <w:rFonts w:eastAsia="Calibri" w:cs="Arial"/>
          <w:b/>
          <w:bCs/>
        </w:rPr>
      </w:pPr>
      <w:r w:rsidRPr="000A577C">
        <w:rPr>
          <w:rFonts w:eastAsia="Calibri" w:cs="Arial"/>
          <w:b/>
          <w:bCs/>
        </w:rPr>
        <w:lastRenderedPageBreak/>
        <w:t xml:space="preserve">obžalovaná </w:t>
      </w:r>
      <w:r w:rsidR="008D0C14">
        <w:rPr>
          <w:rFonts w:eastAsia="Calibri" w:cs="Arial"/>
          <w:b/>
          <w:bCs/>
        </w:rPr>
        <w:t>M.V.</w:t>
      </w:r>
    </w:p>
    <w:p w14:paraId="71CC9F9D" w14:textId="77777777" w:rsidR="00470726" w:rsidRPr="000A577C" w:rsidRDefault="00470726" w:rsidP="00470726">
      <w:pPr>
        <w:numPr>
          <w:ilvl w:val="0"/>
          <w:numId w:val="6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přečin porušení povinnosti při správě cizího majetku podle § 220 odst. 1 trestního zákoníku, </w:t>
      </w:r>
    </w:p>
    <w:p w14:paraId="52144C7C" w14:textId="77777777" w:rsidR="00470726" w:rsidRPr="000A577C" w:rsidRDefault="00470726" w:rsidP="00470726">
      <w:pPr>
        <w:numPr>
          <w:ilvl w:val="0"/>
          <w:numId w:val="6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zločin dotačního podvodu podle § 212 odst. 1, odst. 5 písm. a) trestního zákoníku, </w:t>
      </w:r>
    </w:p>
    <w:p w14:paraId="6FC71406" w14:textId="77777777" w:rsidR="00470726" w:rsidRPr="000A577C" w:rsidRDefault="00470726" w:rsidP="00470726">
      <w:pPr>
        <w:numPr>
          <w:ilvl w:val="0"/>
          <w:numId w:val="6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přečin zjednání výhody při zadání veřejné zakázky, při veřejné soutěži a veřejné dražbě podle § 256 odst. 1, trestního zákoníku, </w:t>
      </w:r>
    </w:p>
    <w:p w14:paraId="4358285C" w14:textId="77777777" w:rsidR="00470726" w:rsidRPr="000A577C" w:rsidRDefault="00470726" w:rsidP="00470726">
      <w:pPr>
        <w:numPr>
          <w:ilvl w:val="0"/>
          <w:numId w:val="6"/>
        </w:numPr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>zločin poškození finančních zájmů Evropské unie podle § 260 odst. 1, odst. 4 písm. c) trestního zákoníku,</w:t>
      </w:r>
    </w:p>
    <w:p w14:paraId="281126C4" w14:textId="77777777" w:rsidR="00470726" w:rsidRPr="000A577C" w:rsidRDefault="00470726" w:rsidP="00470726">
      <w:pPr>
        <w:numPr>
          <w:ilvl w:val="0"/>
          <w:numId w:val="6"/>
        </w:numPr>
        <w:spacing w:after="240"/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přečin zneužití pravomoci úřední osoby podle § 329 odst. 1 písm. a) trestního zákoníku, </w:t>
      </w:r>
    </w:p>
    <w:p w14:paraId="350902C6" w14:textId="0A4A0C34" w:rsidR="00470726" w:rsidRPr="000A577C" w:rsidRDefault="00470726" w:rsidP="00470726">
      <w:pPr>
        <w:rPr>
          <w:rFonts w:eastAsia="Calibri" w:cs="Arial"/>
          <w:b/>
          <w:bCs/>
          <w:lang w:eastAsia="zh-CN"/>
        </w:rPr>
      </w:pPr>
      <w:r w:rsidRPr="000A577C">
        <w:rPr>
          <w:rFonts w:eastAsia="Calibri" w:cs="Arial"/>
          <w:b/>
          <w:bCs/>
          <w:lang w:eastAsia="zh-CN"/>
        </w:rPr>
        <w:t xml:space="preserve">obžalovaný </w:t>
      </w:r>
      <w:r w:rsidR="008D0C14">
        <w:rPr>
          <w:rFonts w:eastAsia="Calibri" w:cs="Arial"/>
          <w:b/>
          <w:bCs/>
          <w:lang w:eastAsia="zh-CN"/>
        </w:rPr>
        <w:t>J.H.</w:t>
      </w:r>
    </w:p>
    <w:p w14:paraId="35BC2A0A" w14:textId="77777777" w:rsidR="00470726" w:rsidRPr="000A577C" w:rsidRDefault="00470726" w:rsidP="00470726">
      <w:pPr>
        <w:numPr>
          <w:ilvl w:val="0"/>
          <w:numId w:val="6"/>
        </w:numPr>
        <w:spacing w:line="257" w:lineRule="auto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 xml:space="preserve">přečin porušení povinnosti při správě cizího majetku podle § 220 odst. 1 trestního zákoníku ve formě pomoci podle § 24 odst. 1 písm. c) trestního zákoníku,  </w:t>
      </w:r>
    </w:p>
    <w:p w14:paraId="0EA59FBF" w14:textId="77777777" w:rsidR="00470726" w:rsidRPr="000A577C" w:rsidRDefault="00470726" w:rsidP="00470726">
      <w:pPr>
        <w:numPr>
          <w:ilvl w:val="0"/>
          <w:numId w:val="6"/>
        </w:numPr>
        <w:spacing w:line="257" w:lineRule="auto"/>
        <w:rPr>
          <w:rFonts w:eastAsia="Calibri"/>
          <w:lang w:eastAsia="zh-CN"/>
        </w:rPr>
      </w:pPr>
      <w:r w:rsidRPr="000A577C">
        <w:rPr>
          <w:rFonts w:eastAsia="Calibri" w:cs="Arial"/>
          <w:lang w:eastAsia="zh-CN"/>
        </w:rPr>
        <w:t xml:space="preserve">zločin dotačního podvodu podle § 212 odst. 1, odst. 5 písm. a) trestního zákoníku ve formě pomoci podle § 24 odst. 1 písm. c) trestního zákoníku, </w:t>
      </w:r>
    </w:p>
    <w:p w14:paraId="02EE1B43" w14:textId="77777777" w:rsidR="00470726" w:rsidRPr="000A577C" w:rsidRDefault="00470726" w:rsidP="00470726">
      <w:pPr>
        <w:numPr>
          <w:ilvl w:val="0"/>
          <w:numId w:val="6"/>
        </w:numPr>
        <w:spacing w:after="240" w:line="257" w:lineRule="auto"/>
        <w:ind w:left="357" w:hanging="357"/>
        <w:rPr>
          <w:rFonts w:eastAsia="Calibri" w:cs="Arial"/>
          <w:lang w:eastAsia="zh-CN"/>
        </w:rPr>
      </w:pPr>
      <w:r w:rsidRPr="000A577C">
        <w:rPr>
          <w:rFonts w:eastAsia="Calibri" w:cs="Arial"/>
          <w:lang w:eastAsia="zh-CN"/>
        </w:rPr>
        <w:t>zločin poškození finančních zájmů Evropské unie podle § 260 odst. 1, odst. 4 písm. c) trestního zákoníku ve formě pomoci podle § 24 odst. 1 písm. c) trestního zákoníku,</w:t>
      </w:r>
    </w:p>
    <w:p w14:paraId="039887A6" w14:textId="77777777" w:rsidR="00470726" w:rsidRPr="000A577C" w:rsidRDefault="00470726" w:rsidP="00470726">
      <w:pPr>
        <w:jc w:val="center"/>
        <w:rPr>
          <w:rFonts w:eastAsia="Calibri"/>
          <w:b/>
        </w:rPr>
      </w:pPr>
      <w:r w:rsidRPr="000A577C">
        <w:rPr>
          <w:rFonts w:eastAsia="Calibri"/>
          <w:b/>
        </w:rPr>
        <w:t>a odsuzují se</w:t>
      </w:r>
    </w:p>
    <w:p w14:paraId="0D98A887" w14:textId="2F79973C" w:rsidR="00470726" w:rsidRPr="000A577C" w:rsidRDefault="00470726" w:rsidP="00470726">
      <w:pPr>
        <w:spacing w:after="240"/>
        <w:rPr>
          <w:rFonts w:eastAsia="Calibri"/>
          <w:b/>
          <w:bCs/>
        </w:rPr>
      </w:pPr>
      <w:r w:rsidRPr="000A577C">
        <w:rPr>
          <w:rFonts w:eastAsia="Calibri"/>
          <w:b/>
          <w:bCs/>
        </w:rPr>
        <w:t xml:space="preserve">obžalovaný </w:t>
      </w:r>
      <w:r w:rsidR="008D0C14">
        <w:rPr>
          <w:rFonts w:eastAsia="Calibri"/>
          <w:b/>
          <w:bCs/>
        </w:rPr>
        <w:t>J.H.</w:t>
      </w:r>
    </w:p>
    <w:p w14:paraId="3485F683" w14:textId="77777777" w:rsidR="00470726" w:rsidRPr="000A577C" w:rsidRDefault="00470726" w:rsidP="00470726">
      <w:pPr>
        <w:autoSpaceDE w:val="0"/>
        <w:autoSpaceDN w:val="0"/>
        <w:adjustRightInd w:val="0"/>
        <w:spacing w:after="240"/>
        <w:rPr>
          <w:rFonts w:eastAsia="Calibri" w:cs="Arial"/>
        </w:rPr>
      </w:pPr>
      <w:r w:rsidRPr="000A577C">
        <w:rPr>
          <w:rFonts w:eastAsia="Calibri" w:cs="Arial"/>
        </w:rPr>
        <w:t xml:space="preserve">podle § 212 odst. 5 trestního zákoníku za užití § 43 odst. 1 trestního zákoníku k úhrnnému trestu odnětí svobody v trvání </w:t>
      </w:r>
    </w:p>
    <w:p w14:paraId="124EC204" w14:textId="77777777" w:rsidR="00470726" w:rsidRPr="000A577C" w:rsidRDefault="00470726" w:rsidP="00470726">
      <w:pPr>
        <w:jc w:val="center"/>
        <w:rPr>
          <w:rFonts w:eastAsia="Calibri" w:cs="Arial"/>
        </w:rPr>
      </w:pPr>
      <w:r w:rsidRPr="000A577C">
        <w:rPr>
          <w:rFonts w:eastAsia="Calibri" w:cs="Arial"/>
          <w:b/>
          <w:bCs/>
        </w:rPr>
        <w:t>3 (tří) roků</w:t>
      </w:r>
      <w:r w:rsidRPr="000A577C">
        <w:rPr>
          <w:rFonts w:eastAsia="Calibri" w:cs="Arial"/>
        </w:rPr>
        <w:t>.</w:t>
      </w:r>
    </w:p>
    <w:p w14:paraId="7275DB0B" w14:textId="77777777" w:rsidR="00470726" w:rsidRPr="000A577C" w:rsidRDefault="00470726" w:rsidP="00470726">
      <w:pPr>
        <w:spacing w:after="240"/>
        <w:rPr>
          <w:rFonts w:eastAsia="Calibri"/>
        </w:rPr>
      </w:pPr>
      <w:r w:rsidRPr="000A577C">
        <w:rPr>
          <w:rFonts w:eastAsia="Calibri"/>
        </w:rPr>
        <w:t>Podle § 81 odst. 1 trestního zákoníku a § 82 odst. 1 trestního zákoníku se výkon tohoto trestu podmíněně odkládá na zkušební dobu v trvání</w:t>
      </w:r>
    </w:p>
    <w:p w14:paraId="2E613769" w14:textId="77777777" w:rsidR="00470726" w:rsidRPr="000A577C" w:rsidRDefault="00470726" w:rsidP="00470726">
      <w:pPr>
        <w:jc w:val="center"/>
        <w:rPr>
          <w:rFonts w:eastAsia="Calibri"/>
          <w:b/>
        </w:rPr>
      </w:pPr>
      <w:r w:rsidRPr="000A577C">
        <w:rPr>
          <w:rFonts w:eastAsia="Calibri"/>
          <w:b/>
        </w:rPr>
        <w:t>5 (pěti) let.</w:t>
      </w:r>
    </w:p>
    <w:p w14:paraId="6297837F" w14:textId="6C712A81" w:rsidR="00470726" w:rsidRPr="000A577C" w:rsidRDefault="00470726" w:rsidP="00470726">
      <w:pPr>
        <w:spacing w:after="240"/>
        <w:rPr>
          <w:rFonts w:eastAsia="Calibri"/>
          <w:b/>
          <w:bCs/>
        </w:rPr>
      </w:pPr>
      <w:r w:rsidRPr="000A577C">
        <w:rPr>
          <w:rFonts w:eastAsia="Calibri"/>
          <w:b/>
          <w:bCs/>
        </w:rPr>
        <w:t xml:space="preserve">obžalovaná </w:t>
      </w:r>
      <w:r w:rsidR="008D0C14">
        <w:rPr>
          <w:rFonts w:eastAsia="Calibri"/>
          <w:b/>
          <w:bCs/>
        </w:rPr>
        <w:t>M.V.</w:t>
      </w:r>
    </w:p>
    <w:p w14:paraId="699C7C7F" w14:textId="77777777" w:rsidR="00470726" w:rsidRPr="000A577C" w:rsidRDefault="00470726" w:rsidP="0047072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0A577C">
        <w:rPr>
          <w:rFonts w:eastAsia="Calibri" w:cs="Arial"/>
        </w:rPr>
        <w:t xml:space="preserve">Podle § 44 trestního zákoníku se upouští od uložení souhrnného trestu k trestu, který jí byl uložen rozsudkem Krajského soudu v Brně ze dne 4. 3. 2022, sp. zn. 46 T 14/2020 ve spojení s usnesením Vrchního soudu v Olomouci ze dne 27. 4. 2023 sp. zn. 1 To 59/2022. </w:t>
      </w:r>
    </w:p>
    <w:p w14:paraId="3360FA6A" w14:textId="77777777" w:rsidR="00470726" w:rsidRPr="000A577C" w:rsidRDefault="00470726" w:rsidP="00470726">
      <w:pPr>
        <w:autoSpaceDE w:val="0"/>
        <w:autoSpaceDN w:val="0"/>
        <w:adjustRightInd w:val="0"/>
        <w:spacing w:after="0"/>
        <w:rPr>
          <w:rFonts w:eastAsia="Calibri" w:cs="Arial"/>
        </w:rPr>
      </w:pPr>
    </w:p>
    <w:p w14:paraId="2A738C07" w14:textId="7D3523E4" w:rsidR="00470726" w:rsidRPr="000A577C" w:rsidRDefault="00470726" w:rsidP="00470726">
      <w:pPr>
        <w:spacing w:after="0"/>
        <w:rPr>
          <w:rFonts w:eastAsia="Calibri" w:cs="Arial"/>
        </w:rPr>
      </w:pPr>
      <w:r w:rsidRPr="000A577C">
        <w:rPr>
          <w:rFonts w:eastAsia="Calibri" w:cs="Arial"/>
          <w:iCs/>
        </w:rPr>
        <w:t xml:space="preserve">Podle § 228 odst. 1 trestního řádu je obžalovaná  </w:t>
      </w:r>
      <w:r w:rsidR="008D0C14">
        <w:rPr>
          <w:rFonts w:eastAsia="Calibri" w:cs="Arial"/>
          <w:iCs/>
        </w:rPr>
        <w:t>M.V.</w:t>
      </w:r>
      <w:r w:rsidRPr="000A577C">
        <w:rPr>
          <w:rFonts w:eastAsia="Calibri" w:cs="Arial"/>
          <w:iCs/>
        </w:rPr>
        <w:t xml:space="preserve"> povinna nahradit poškozené obci </w:t>
      </w:r>
      <w:r w:rsidR="006C4ABC">
        <w:rPr>
          <w:rFonts w:eastAsia="Calibri" w:cs="Arial"/>
          <w:iCs/>
        </w:rPr>
        <w:t>XXXXX</w:t>
      </w:r>
      <w:r w:rsidRPr="000A577C">
        <w:rPr>
          <w:rFonts w:eastAsia="Calibri" w:cs="Arial"/>
          <w:iCs/>
        </w:rPr>
        <w:t xml:space="preserve">, IČ: </w:t>
      </w:r>
      <w:r w:rsidR="00FD6F8E">
        <w:rPr>
          <w:rFonts w:eastAsia="Calibri" w:cs="Arial"/>
        </w:rPr>
        <w:t>XXXXX</w:t>
      </w:r>
      <w:r w:rsidRPr="000A577C">
        <w:rPr>
          <w:rFonts w:eastAsia="Calibri" w:cs="Arial"/>
        </w:rPr>
        <w:t xml:space="preserve">, se sídlem </w:t>
      </w:r>
      <w:r w:rsidR="006C4ABC">
        <w:rPr>
          <w:rFonts w:eastAsia="Calibri" w:cs="Arial"/>
        </w:rPr>
        <w:t>XXXXX</w:t>
      </w:r>
      <w:r w:rsidRPr="000A577C">
        <w:rPr>
          <w:rFonts w:eastAsia="Calibri" w:cs="Arial"/>
        </w:rPr>
        <w:t xml:space="preserve">, majetkovou škodu ve výši 415.896 Kč. </w:t>
      </w:r>
      <w:r w:rsidRPr="000A577C">
        <w:rPr>
          <w:rFonts w:eastAsia="Calibri" w:cs="Arial"/>
          <w:iCs/>
        </w:rPr>
        <w:t xml:space="preserve"> </w:t>
      </w:r>
    </w:p>
    <w:p w14:paraId="2DCFA204" w14:textId="77777777" w:rsidR="00470726" w:rsidRPr="000A577C" w:rsidRDefault="00470726" w:rsidP="00470726">
      <w:pPr>
        <w:spacing w:after="0"/>
        <w:rPr>
          <w:rFonts w:eastAsia="Calibri" w:cs="Arial"/>
        </w:rPr>
      </w:pPr>
    </w:p>
    <w:p w14:paraId="11873325" w14:textId="6E5838A8" w:rsidR="00470726" w:rsidRPr="002519D3" w:rsidRDefault="00470726" w:rsidP="00470726">
      <w:pPr>
        <w:numPr>
          <w:ilvl w:val="0"/>
          <w:numId w:val="1"/>
        </w:numPr>
        <w:suppressAutoHyphens/>
        <w:autoSpaceDN w:val="0"/>
        <w:spacing w:after="240"/>
        <w:ind w:left="0" w:hanging="425"/>
        <w:rPr>
          <w:rFonts w:cs="Arial"/>
          <w:bCs/>
          <w:iCs/>
          <w:kern w:val="3"/>
        </w:rPr>
      </w:pPr>
      <w:r w:rsidRPr="002519D3">
        <w:rPr>
          <w:rFonts w:cs="Arial"/>
          <w:bCs/>
          <w:iCs/>
          <w:kern w:val="3"/>
        </w:rPr>
        <w:t xml:space="preserve">Podle § 229 odst. 2 trestního řádu se poškozená obec </w:t>
      </w:r>
      <w:r w:rsidR="006C4ABC">
        <w:rPr>
          <w:rFonts w:cs="Arial"/>
          <w:iCs/>
          <w:kern w:val="3"/>
        </w:rPr>
        <w:t>XXXXX</w:t>
      </w:r>
      <w:r w:rsidRPr="002519D3">
        <w:rPr>
          <w:rFonts w:cs="Arial"/>
          <w:iCs/>
          <w:kern w:val="3"/>
        </w:rPr>
        <w:t xml:space="preserve">, IČ: </w:t>
      </w:r>
      <w:r w:rsidR="006C4ABC">
        <w:rPr>
          <w:rFonts w:cs="Arial"/>
          <w:iCs/>
          <w:kern w:val="3"/>
        </w:rPr>
        <w:t xml:space="preserve">XXXXX,   </w:t>
      </w:r>
      <w:r w:rsidRPr="002519D3">
        <w:rPr>
          <w:rFonts w:cs="Arial"/>
          <w:kern w:val="3"/>
        </w:rPr>
        <w:t xml:space="preserve"> se sídlem </w:t>
      </w:r>
      <w:r w:rsidR="006C4ABC">
        <w:rPr>
          <w:rFonts w:cs="Arial"/>
          <w:kern w:val="3"/>
        </w:rPr>
        <w:t>XXXXX</w:t>
      </w:r>
      <w:r w:rsidRPr="002519D3">
        <w:rPr>
          <w:rFonts w:cs="Arial"/>
          <w:kern w:val="3"/>
        </w:rPr>
        <w:t xml:space="preserve"> odkazuje se zbytkem svého nároku na náhradu majetkové škody vůči obžalované </w:t>
      </w:r>
      <w:r w:rsidR="006C4ABC">
        <w:rPr>
          <w:rFonts w:cs="Arial"/>
          <w:kern w:val="3"/>
        </w:rPr>
        <w:t>M.V.</w:t>
      </w:r>
      <w:r w:rsidRPr="002519D3">
        <w:rPr>
          <w:rFonts w:cs="Arial"/>
          <w:kern w:val="3"/>
        </w:rPr>
        <w:t xml:space="preserve"> na řízení ve věcech občanskoprávních.</w:t>
      </w:r>
    </w:p>
    <w:p w14:paraId="0AC1D50E" w14:textId="44700F94" w:rsidR="00470726" w:rsidRPr="00B05127" w:rsidRDefault="00470726" w:rsidP="00470726">
      <w:pPr>
        <w:suppressAutoHyphens/>
        <w:autoSpaceDN w:val="0"/>
        <w:spacing w:after="240"/>
        <w:rPr>
          <w:rFonts w:cs="Arial"/>
          <w:bCs/>
          <w:iCs/>
          <w:kern w:val="3"/>
        </w:rPr>
      </w:pPr>
      <w:r w:rsidRPr="002519D3">
        <w:rPr>
          <w:rFonts w:cs="Arial"/>
          <w:bCs/>
          <w:iCs/>
          <w:kern w:val="3"/>
        </w:rPr>
        <w:t xml:space="preserve">Podle § 229 odst. 1 trestního řádu se poškozená obec </w:t>
      </w:r>
      <w:r w:rsidR="006C4ABC">
        <w:rPr>
          <w:rFonts w:cs="Arial"/>
          <w:iCs/>
          <w:kern w:val="3"/>
        </w:rPr>
        <w:t>XXXXX</w:t>
      </w:r>
      <w:r w:rsidRPr="002519D3">
        <w:rPr>
          <w:rFonts w:cs="Arial"/>
          <w:iCs/>
          <w:kern w:val="3"/>
        </w:rPr>
        <w:t xml:space="preserve">, IČ: </w:t>
      </w:r>
      <w:r w:rsidR="006C4ABC">
        <w:rPr>
          <w:rFonts w:cs="Arial"/>
          <w:iCs/>
          <w:kern w:val="3"/>
        </w:rPr>
        <w:t xml:space="preserve">XXXXX,   </w:t>
      </w:r>
      <w:r w:rsidRPr="002519D3">
        <w:rPr>
          <w:rFonts w:cs="Arial"/>
          <w:kern w:val="3"/>
        </w:rPr>
        <w:t xml:space="preserve"> se sídlem </w:t>
      </w:r>
      <w:r w:rsidR="006C4ABC">
        <w:rPr>
          <w:rFonts w:cs="Arial"/>
          <w:kern w:val="3"/>
        </w:rPr>
        <w:t xml:space="preserve">XXXXX,   </w:t>
      </w:r>
      <w:r w:rsidRPr="002519D3">
        <w:rPr>
          <w:rFonts w:cs="Arial"/>
          <w:kern w:val="3"/>
        </w:rPr>
        <w:t xml:space="preserve"> odkazuje se svým nárokem na náhradu majetkové škody vůči obžalovanému </w:t>
      </w:r>
      <w:r w:rsidR="006C4ABC">
        <w:rPr>
          <w:rFonts w:cs="Arial"/>
          <w:kern w:val="3"/>
        </w:rPr>
        <w:t>J.H. n</w:t>
      </w:r>
      <w:r w:rsidRPr="002519D3">
        <w:rPr>
          <w:rFonts w:cs="Arial"/>
          <w:kern w:val="3"/>
        </w:rPr>
        <w:t>a řízení ve věcech občanskoprávních.</w:t>
      </w:r>
    </w:p>
    <w:bookmarkEnd w:id="0"/>
    <w:p w14:paraId="49173FEB" w14:textId="77777777" w:rsidR="00470726" w:rsidRPr="002D211F" w:rsidRDefault="00470726" w:rsidP="00470726">
      <w:pPr>
        <w:jc w:val="center"/>
        <w:rPr>
          <w:b/>
        </w:rPr>
      </w:pPr>
      <w:r w:rsidRPr="002D211F">
        <w:rPr>
          <w:b/>
        </w:rPr>
        <w:t>Odůvodnění:</w:t>
      </w:r>
    </w:p>
    <w:p w14:paraId="1BFBFF4D" w14:textId="77777777" w:rsidR="00470726" w:rsidRPr="00D209D5" w:rsidRDefault="00470726" w:rsidP="00470726">
      <w:pPr>
        <w:numPr>
          <w:ilvl w:val="0"/>
          <w:numId w:val="7"/>
        </w:numPr>
        <w:spacing w:after="240"/>
        <w:ind w:left="0" w:hanging="426"/>
        <w:rPr>
          <w:iCs/>
        </w:rPr>
      </w:pPr>
      <w:r w:rsidRPr="002D211F">
        <w:rPr>
          <w:iCs/>
        </w:rPr>
        <w:lastRenderedPageBreak/>
        <w:t>Vzhledem k tomu, že po vyhlášení rozsudku se státní zástupce a o</w:t>
      </w:r>
      <w:r>
        <w:rPr>
          <w:iCs/>
        </w:rPr>
        <w:t>bžalovaní</w:t>
      </w:r>
      <w:r w:rsidRPr="002D211F">
        <w:rPr>
          <w:iCs/>
        </w:rPr>
        <w:t xml:space="preserve"> vzdali odvolání a prohlásili, že netrvají na písemném vyhotovení odůvodnění, přičemž o</w:t>
      </w:r>
      <w:r>
        <w:rPr>
          <w:iCs/>
        </w:rPr>
        <w:t xml:space="preserve">bžalovaní </w:t>
      </w:r>
      <w:r w:rsidRPr="002D211F">
        <w:rPr>
          <w:iCs/>
        </w:rPr>
        <w:t>zároveň prohlásil</w:t>
      </w:r>
      <w:r>
        <w:rPr>
          <w:iCs/>
        </w:rPr>
        <w:t>i, že si nepřejí</w:t>
      </w:r>
      <w:r w:rsidRPr="002D211F">
        <w:rPr>
          <w:iCs/>
        </w:rPr>
        <w:t>, aby v je</w:t>
      </w:r>
      <w:r>
        <w:rPr>
          <w:iCs/>
        </w:rPr>
        <w:t>jich</w:t>
      </w:r>
      <w:r w:rsidRPr="002D211F">
        <w:rPr>
          <w:iCs/>
        </w:rPr>
        <w:t xml:space="preserve"> prospěch podaly odvolání jiné oprávněné osoby, byl dle § 129 odst. 2 trestního řádu vyhotoven </w:t>
      </w:r>
      <w:r>
        <w:rPr>
          <w:iCs/>
        </w:rPr>
        <w:t xml:space="preserve">ve vztahu k výrokům I. a II. (v části týkající se viny a trestu) </w:t>
      </w:r>
      <w:r w:rsidRPr="002D211F">
        <w:rPr>
          <w:iCs/>
        </w:rPr>
        <w:t xml:space="preserve">zjednodušený rozsudek, který takové odůvodnění neobsahuje. </w:t>
      </w:r>
      <w:r>
        <w:rPr>
          <w:iCs/>
        </w:rPr>
        <w:t>S ohledem na právo poškozené podat si opravný prostředek do výroku o náhradě škody, jsou tyto výroky (ad III. a částečně ad II.) níže odůvodněny.</w:t>
      </w:r>
    </w:p>
    <w:p w14:paraId="2D7DFA26" w14:textId="77777777" w:rsidR="00470726" w:rsidRDefault="00470726" w:rsidP="00470726">
      <w:pPr>
        <w:jc w:val="center"/>
        <w:rPr>
          <w:b/>
          <w:iCs/>
        </w:rPr>
      </w:pPr>
      <w:r>
        <w:rPr>
          <w:b/>
          <w:iCs/>
        </w:rPr>
        <w:t>Náhrada škody</w:t>
      </w:r>
    </w:p>
    <w:p w14:paraId="54F26117" w14:textId="77777777" w:rsidR="00470726" w:rsidRDefault="00470726" w:rsidP="00470726">
      <w:pPr>
        <w:numPr>
          <w:ilvl w:val="0"/>
          <w:numId w:val="7"/>
        </w:numPr>
        <w:ind w:left="0" w:hanging="426"/>
      </w:pPr>
      <w:r w:rsidRPr="00D44B72">
        <w:t xml:space="preserve">V rámci adhezního řízení, které je součástí řízení trestního, rozhoduje soud o nárocích na náhradu </w:t>
      </w:r>
      <w:r w:rsidRPr="00AA2D78">
        <w:t xml:space="preserve">škody či nemajetkové újmy těch poškozených, kteří se řádně a včas připojili k trestnímu řízení </w:t>
      </w:r>
      <w:r>
        <w:t xml:space="preserve">zejména </w:t>
      </w:r>
      <w:r w:rsidRPr="00AA2D78">
        <w:t xml:space="preserve">s nárokem na náhradu majetkové škody či nemajetkové újmy a výši svého nároku prokázali. </w:t>
      </w:r>
    </w:p>
    <w:p w14:paraId="71838EA9" w14:textId="3C90F50D" w:rsidR="00470726" w:rsidRDefault="00470726" w:rsidP="00470726">
      <w:pPr>
        <w:numPr>
          <w:ilvl w:val="0"/>
          <w:numId w:val="7"/>
        </w:numPr>
        <w:ind w:left="0" w:hanging="426"/>
      </w:pPr>
      <w:r>
        <w:t xml:space="preserve">V případě tohoto trestného jednání se s nárokem na náhradu majetkové škody prostřednictvím svého zmocněnce řádně připojila (tedy včas a tak, že z uplatněného nároku je zřejmé, z jakých důvodů a v jaké výši se nárok uplatňuje, i vůči kterému z obžalovaných) poškozená obec </w:t>
      </w:r>
      <w:r w:rsidR="006C4ABC">
        <w:t>XXXXX</w:t>
      </w:r>
      <w:r>
        <w:t xml:space="preserve">, která i důvod a výši svého nároku doložila. Takto požadovala škodu ve výši 2.889.127,02 Kč (sestávající z částky 484.000 Kč představující hodnotu nedodaného štěpkovače včetně DPH a dále z výše vrácené dotace v částkách 2.271.508,87 Kč a 133.618,15 Kč) s tím, aby tuto oba obžalovaní uhradili v penězích společně a nerozdílně (viz poslední uplatnění č. l. 1237-1238). Pro úplnost je nutno dodat, že další primárně poškození poskytovatelé dotace, tedy Česká republika zastoupená </w:t>
      </w:r>
      <w:r w:rsidRPr="000A577C">
        <w:rPr>
          <w:rFonts w:eastAsia="Calibri"/>
          <w:lang w:eastAsia="zh-CN"/>
        </w:rPr>
        <w:t xml:space="preserve">Ministerstvem životního prostředí a Státní fond životního prostředí České republiky, se k trestnímu řízení s nárokem na náhradu (obecně) škody nepřipojili, když jimi vyplacené prostředky jim byly v plné výši navráceny zde sekundárně poškozenou obcí </w:t>
      </w:r>
      <w:r w:rsidR="006C4ABC">
        <w:rPr>
          <w:rFonts w:eastAsia="Calibri"/>
          <w:lang w:eastAsia="zh-CN"/>
        </w:rPr>
        <w:t>XXXXX</w:t>
      </w:r>
      <w:r w:rsidRPr="000A577C">
        <w:rPr>
          <w:rFonts w:eastAsia="Calibri"/>
          <w:lang w:eastAsia="zh-CN"/>
        </w:rPr>
        <w:t xml:space="preserve"> (viz č. l. 1157 a násl. a č. l. 1226).</w:t>
      </w:r>
    </w:p>
    <w:p w14:paraId="5F04EB65" w14:textId="3D2AC923" w:rsidR="00470726" w:rsidRDefault="00470726" w:rsidP="00470726">
      <w:pPr>
        <w:numPr>
          <w:ilvl w:val="0"/>
          <w:numId w:val="7"/>
        </w:numPr>
        <w:ind w:left="0" w:hanging="426"/>
      </w:pPr>
      <w:r>
        <w:t>Soud zde musí konstatovat, že v rámci tohoto řízení byla soudu prvotně předložena dohoda o vině a trestu uzavřená</w:t>
      </w:r>
      <w:r w:rsidRPr="00296F71">
        <w:t xml:space="preserve"> </w:t>
      </w:r>
      <w:r>
        <w:t xml:space="preserve">dne 3. 5. 2023 mezi </w:t>
      </w:r>
      <w:r w:rsidRPr="002519D3">
        <w:t>státní zástupkyní Krajského státního zastupitelství v Brně</w:t>
      </w:r>
      <w:r>
        <w:t xml:space="preserve"> a oběma </w:t>
      </w:r>
      <w:r w:rsidRPr="002519D3">
        <w:t>obžalovan</w:t>
      </w:r>
      <w:r>
        <w:t xml:space="preserve">ými (č. l. 1263-1266), která ve vztahu k náhradě škody obsahovala v bodě V. ujednání mezi státní zástupkyní a obžalovanými, dle kterého jsou tito povinni společně a nerozdílně nahradit poškozené obci </w:t>
      </w:r>
      <w:r w:rsidR="006C4ABC">
        <w:t>XXXXX</w:t>
      </w:r>
      <w:r>
        <w:t xml:space="preserve"> škodu ve výši 415.896 Kč. Tuto dohodu soud v hlavním líčení dne 12. 5. 2023 po objasnění majetkové situace obžalovaného </w:t>
      </w:r>
      <w:r w:rsidR="008D0C14">
        <w:t>J.H.</w:t>
      </w:r>
      <w:r>
        <w:t xml:space="preserve"> neschválil, resp. dle </w:t>
      </w:r>
      <w:r w:rsidRPr="002F0F0F">
        <w:t>§ 314r odst. 3 trestního řádu předseda senátu stranám trestního řízení sdělil výhrady, které soud m</w:t>
      </w:r>
      <w:r>
        <w:t>ěl k této</w:t>
      </w:r>
      <w:r w:rsidRPr="002F0F0F">
        <w:t> dohodě o vině a trestu</w:t>
      </w:r>
      <w:r>
        <w:t>, kdy tyto spočívaly zejména v možnosti uložit povinnost k náhradě škody obžalovanému</w:t>
      </w:r>
      <w:r w:rsidR="006C4ABC">
        <w:t xml:space="preserve"> J.H. </w:t>
      </w:r>
      <w:r>
        <w:t>jak bude podrobně rozvedeno níže</w:t>
      </w:r>
      <w:r w:rsidRPr="002F0F0F">
        <w:t>.</w:t>
      </w:r>
      <w:r>
        <w:t xml:space="preserve"> V návaznosti na toto byla dne 12. 5. 2023 mezi </w:t>
      </w:r>
      <w:r w:rsidRPr="002519D3">
        <w:t>státní zástupkyní Krajského státního zastupitelství v Brně</w:t>
      </w:r>
      <w:r>
        <w:t xml:space="preserve"> a oběma </w:t>
      </w:r>
      <w:r w:rsidRPr="002519D3">
        <w:t>obžalovan</w:t>
      </w:r>
      <w:r>
        <w:t xml:space="preserve">ými sjednána nová dohoda o vině a trestu za účasti zmocněnce poškozené, kdy došlo ke změně v bodě V., kdy státní zástupkyně se s obžalovanými dohodla na povinnosti nahradit poškozené obci </w:t>
      </w:r>
      <w:r w:rsidR="006C4ABC">
        <w:t>XXXXX</w:t>
      </w:r>
      <w:r>
        <w:t xml:space="preserve"> majetkovou škodu ve výši 415.896 Kč, ale pouze ze strany obžalované </w:t>
      </w:r>
      <w:r w:rsidR="006C4ABC">
        <w:t>M.V.</w:t>
      </w:r>
      <w:r>
        <w:t>. Zmocněnec poškozené pak s touto částí dohody o vině a trestu vyslovil nesouhlas, kdy trval na náhradě celé nárokované částky.</w:t>
      </w:r>
    </w:p>
    <w:p w14:paraId="5AC76139" w14:textId="5254A278" w:rsidR="00470726" w:rsidRDefault="00470726" w:rsidP="00470726">
      <w:pPr>
        <w:numPr>
          <w:ilvl w:val="0"/>
          <w:numId w:val="7"/>
        </w:numPr>
        <w:spacing w:after="0"/>
        <w:ind w:left="0" w:hanging="426"/>
      </w:pPr>
      <w:r>
        <w:t xml:space="preserve">Soud zde nejprve popíše důvody, které vedly k neakceptaci původní dohody a následně i k výroku o odkázání poškozené s jejím nárokem na náhradu majetkové škody na řízení ve věcech občanskoprávních ve vztahu k obžalovanému </w:t>
      </w:r>
      <w:r w:rsidR="00FD6F8E">
        <w:t>J.H.</w:t>
      </w:r>
      <w:r>
        <w:t>.</w:t>
      </w:r>
    </w:p>
    <w:p w14:paraId="2DE9B840" w14:textId="284BAEEC" w:rsidR="00470726" w:rsidRPr="001F79DC" w:rsidRDefault="00470726" w:rsidP="00470726">
      <w:pPr>
        <w:numPr>
          <w:ilvl w:val="0"/>
          <w:numId w:val="7"/>
        </w:numPr>
        <w:ind w:left="0" w:hanging="426"/>
      </w:pPr>
      <w:r>
        <w:t>Z usnesení Krajského soudu v Brně ze dne 8</w:t>
      </w:r>
      <w:r w:rsidRPr="00363FC2">
        <w:t xml:space="preserve">. 6. 2021, sp. zn. KSBR 30 INS 1573/2021 A-14 (č. l. </w:t>
      </w:r>
      <w:r>
        <w:t xml:space="preserve">1275-1279) vyplývá, že byl zjištěn úpadek obžalovaného </w:t>
      </w:r>
      <w:r w:rsidR="008D0C14">
        <w:t>J.H.</w:t>
      </w:r>
      <w:r>
        <w:t xml:space="preserve"> a tento bude řešen oddlužením. Z usnesení Krajského soudu v Brně ze dne 14</w:t>
      </w:r>
      <w:r w:rsidRPr="00363FC2">
        <w:t xml:space="preserve">. </w:t>
      </w:r>
      <w:r>
        <w:t>3</w:t>
      </w:r>
      <w:r w:rsidRPr="00363FC2">
        <w:t>. 202</w:t>
      </w:r>
      <w:r>
        <w:t>2</w:t>
      </w:r>
      <w:r w:rsidRPr="00363FC2">
        <w:t xml:space="preserve">, sp. zn. KSBR 30 INS 1573/2021 </w:t>
      </w:r>
      <w:r>
        <w:t>B</w:t>
      </w:r>
      <w:r w:rsidRPr="00363FC2">
        <w:t>-1</w:t>
      </w:r>
      <w:r>
        <w:t>9</w:t>
      </w:r>
      <w:r w:rsidRPr="00363FC2">
        <w:t xml:space="preserve"> (č. l. </w:t>
      </w:r>
      <w:r>
        <w:t xml:space="preserve">1217-1220, 1271-1274) pak vyplývá, že bylo </w:t>
      </w:r>
      <w:r w:rsidRPr="001F79DC">
        <w:t xml:space="preserve">schváleno oddlužení plněním splátkového kalendáře se zpeněžením majetkové podstaty. Zveřejněním rozhodnutí o úpadku v insolvenčním rejstříku nastaly jeho účinky </w:t>
      </w:r>
      <w:r w:rsidRPr="001F79DC">
        <w:rPr>
          <w:rFonts w:cs="Tms Rmn"/>
          <w:color w:val="000000"/>
        </w:rPr>
        <w:t>(podle § 109 odst. 4 a 5 insolvenčního zákona zveřejnění vyhlášky, kterou se oznamuje zahájení insolvenčního řízení, nastávají jeho účinky)</w:t>
      </w:r>
      <w:r>
        <w:rPr>
          <w:rFonts w:cs="Tms Rmn"/>
          <w:color w:val="000000"/>
        </w:rPr>
        <w:t>,</w:t>
      </w:r>
      <w:r w:rsidRPr="001F79DC">
        <w:t xml:space="preserve"> kdy předmětné insolvenční řízení vedené proti obžalovanému doposud nebylo skončeno (ověřeno ve veřejném rejstříku) a</w:t>
      </w:r>
      <w:r w:rsidRPr="001F79DC">
        <w:rPr>
          <w:rFonts w:cs="Tms Rmn"/>
          <w:color w:val="000000"/>
        </w:rPr>
        <w:t xml:space="preserve"> účinky spojené se zahájením insolvenčního řízení trvají do skončení insolvenčního řízení</w:t>
      </w:r>
    </w:p>
    <w:p w14:paraId="7A4E4258" w14:textId="77777777" w:rsidR="00470726" w:rsidRPr="00847680" w:rsidRDefault="00470726" w:rsidP="00470726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 w:line="260" w:lineRule="atLeast"/>
        <w:ind w:left="0" w:hanging="426"/>
        <w:jc w:val="both"/>
        <w:rPr>
          <w:rFonts w:ascii="Garamond" w:hAnsi="Garamond" w:cs="Arial"/>
          <w:color w:val="000000"/>
          <w:shd w:val="clear" w:color="auto" w:fill="FFFFFF"/>
        </w:rPr>
      </w:pPr>
      <w:r w:rsidRPr="00847680">
        <w:rPr>
          <w:rFonts w:ascii="Garamond" w:hAnsi="Garamond"/>
        </w:rPr>
        <w:lastRenderedPageBreak/>
        <w:t>Ve smyslu ustanovení</w:t>
      </w:r>
      <w:r w:rsidRPr="00847680">
        <w:rPr>
          <w:rFonts w:ascii="Garamond" w:hAnsi="Garamond" w:cs="Arial"/>
          <w:color w:val="000000"/>
        </w:rPr>
        <w:t xml:space="preserve"> § 140b zákona č. 182/2006 Sb., o úpadku a způsobech jeho řešení (dále jen „insolvenční zákon“) nejde-li o řízení uvedená v § 140a insolvenčního zákona, nelze </w:t>
      </w:r>
      <w:r w:rsidRPr="00847680">
        <w:rPr>
          <w:rFonts w:ascii="Garamond" w:hAnsi="Garamond" w:cs="Arial"/>
          <w:color w:val="000000"/>
          <w:shd w:val="clear" w:color="auto" w:fill="FFFFFF"/>
        </w:rPr>
        <w:t>v jiných soudních nebo rozhodčích řízeních po dobu, po kterou trvají účinky rozhodnutí o úpadku, rozhodnout o pohledávkách a jiných právech týkajících se majetkové podstaty, které mají být v insolvenčním řízení uplatněny přihláškou, nebo na které se v insolvenčním řízení pohlíží jako na přihlášené, anebo o pohledávkách, které se v insolvenčním řízení neuspokojují (§ 170 insolvenčního zákona); to neplatí, jde-li o pohledávky věřitelů na náhradu škody nebo nemajetkové újmy způsobené trestným činem nebo na vydání bezdůvodného obohacení získaného trestným činem, pokud v trestním řízení o tomto trestném činu byl zajištěn majetek v majetkové podstatě dlužníka. K rozhodnutím vydaným v rozporu s tímto zákazem se v insolvenčním řízení nepřihlíží.</w:t>
      </w:r>
    </w:p>
    <w:p w14:paraId="275414AB" w14:textId="77777777" w:rsidR="00470726" w:rsidRDefault="00470726" w:rsidP="00470726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 w:line="260" w:lineRule="atLeast"/>
        <w:ind w:left="0" w:hanging="426"/>
        <w:jc w:val="both"/>
        <w:rPr>
          <w:rFonts w:ascii="Garamond" w:hAnsi="Garamond" w:cs="Arial"/>
          <w:color w:val="000000"/>
        </w:rPr>
      </w:pPr>
      <w:r w:rsidRPr="00847680">
        <w:rPr>
          <w:rFonts w:ascii="Garamond" w:hAnsi="Garamond" w:cs="Arial"/>
          <w:color w:val="000000"/>
        </w:rPr>
        <w:t>Podle § 140c insolvenčního zákona v době, po kterou trvají účinky rozhodnutí o úpadku, nelze zahájit soudní a rozhodčí řízení o pohledávkách a jiných právech týkajících se majetkové podstaty, které mají být v insolvenčním řízení uplatněny přihláškou, nebo na které se v insolvenčním řízení pohlíží jako na přihlášené, nejde-li o incidenční spory, ani řízení o pohledávkách, které se v insolvenčním řízení neuspokojují (§ 170 insolvenčního zákona).</w:t>
      </w:r>
    </w:p>
    <w:p w14:paraId="5FA9B0C5" w14:textId="6B9E7F0E" w:rsidR="00470726" w:rsidRDefault="00470726" w:rsidP="00470726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 w:line="260" w:lineRule="atLeast"/>
        <w:ind w:left="0" w:hanging="426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S ohledem na výše uvedené je zřejmé, že probíhající insolvenční řízení obžalovaného </w:t>
      </w:r>
      <w:r w:rsidR="008D0C14">
        <w:rPr>
          <w:rFonts w:ascii="Garamond" w:hAnsi="Garamond" w:cs="Arial"/>
          <w:color w:val="000000"/>
        </w:rPr>
        <w:t>J.H.</w:t>
      </w:r>
      <w:r>
        <w:rPr>
          <w:rFonts w:ascii="Garamond" w:hAnsi="Garamond" w:cs="Arial"/>
          <w:color w:val="000000"/>
        </w:rPr>
        <w:t xml:space="preserve"> představuje formální překážku pro to, aby soud o uplatněném nároku poškozené rozhodl jiným způsobem, než že tuto ve smyslu § 229 odst. 1 trestního řádu s celým jejich nárokem odkáže na řízení ve věcech občanskoprávních (k tomu blíže rozsudek Nejvyššího soudu ze dne 3. 12. 2019, č. j. 7 Tz 83/2019-216). Soud se proto v této části nezabýval důvodností uplatněného nároku poškozené a pouze, i s přihlédnutím ke skutečnosti, že v předmětném trestním řízení nebyl zajištěn majetek tohoto obžalovaného, který by mohl být použit k uspokojení nároku poškozené, postupoval výše naznačeným způsobem, tedy odkázal poškozenou obec </w:t>
      </w:r>
      <w:r w:rsidR="006C4ABC">
        <w:rPr>
          <w:rFonts w:ascii="Garamond" w:hAnsi="Garamond" w:cs="Arial"/>
          <w:color w:val="000000"/>
        </w:rPr>
        <w:t>XXXXX</w:t>
      </w:r>
      <w:r>
        <w:rPr>
          <w:rFonts w:ascii="Garamond" w:hAnsi="Garamond" w:cs="Arial"/>
          <w:color w:val="000000"/>
        </w:rPr>
        <w:t xml:space="preserve"> s jejím nárokem na náhradu (majetkové) škody ve vztahu k tomuto obžalovanému na řízení ve věcech občanskoprávních ve smyslu § 229 odst. 1 trestního řádu.</w:t>
      </w:r>
    </w:p>
    <w:p w14:paraId="0BEF6ECE" w14:textId="27F05ACA" w:rsidR="00470726" w:rsidRDefault="00470726" w:rsidP="00470726">
      <w:pPr>
        <w:numPr>
          <w:ilvl w:val="0"/>
          <w:numId w:val="7"/>
        </w:numPr>
        <w:ind w:left="0" w:hanging="426"/>
      </w:pPr>
      <w:r w:rsidRPr="00CC332B">
        <w:t xml:space="preserve">V případě obžalované </w:t>
      </w:r>
      <w:r w:rsidR="006C4ABC">
        <w:t>M.V.</w:t>
      </w:r>
      <w:r w:rsidRPr="00CC332B">
        <w:t xml:space="preserve"> </w:t>
      </w:r>
      <w:r>
        <w:t>je situace odlišná, když</w:t>
      </w:r>
      <w:r w:rsidRPr="00725175">
        <w:t xml:space="preserve"> tato v rámci dohody o vině a trestu souhlasila s uplatněným nárokem na náhradu škody pouze do výše</w:t>
      </w:r>
      <w:r w:rsidRPr="000A577C">
        <w:rPr>
          <w:rFonts w:eastAsia="Calibri" w:cs="Arial"/>
        </w:rPr>
        <w:t xml:space="preserve"> 415.896 Kč</w:t>
      </w:r>
      <w:r w:rsidRPr="00725175">
        <w:t xml:space="preserve"> (v tomto rozsahu souhlasila s výrokem o povinnosti tuto majetkovou škodu uhradit)</w:t>
      </w:r>
      <w:r>
        <w:t xml:space="preserve">. Tato částka představuje zjevně hodnotu nedodaného štěpkovače ovšem bez DPH, ostatně tak, jak je výše škody způsobená poškozené obci </w:t>
      </w:r>
      <w:r w:rsidR="006C4ABC">
        <w:t>XXXXX</w:t>
      </w:r>
      <w:r>
        <w:t xml:space="preserve"> popsána ve výrokové části tohoto rozsudku (fakticky v předmětné dohodě). Soud si je vědom skutečnosti, že škoda způsobená obci </w:t>
      </w:r>
      <w:r w:rsidR="006C4ABC">
        <w:t>XXXXX</w:t>
      </w:r>
      <w:r>
        <w:t xml:space="preserve"> celým komplexem jednání zejména obžalované </w:t>
      </w:r>
      <w:r w:rsidR="006C4ABC">
        <w:t>M.V.</w:t>
      </w:r>
      <w:r>
        <w:t xml:space="preserve"> je od této částky odlišná, ale její uplatnění v rámci trestního řízení je v daném okamžiku problematické. Nárok na náhradu škody se sestává fakticky ze dvou samostatných nároků, kdy prvním je otázka nedodaného štěpkovače, ve vztahu ke kterému jednak obžalovaná deklarovala jeho převzetí (a v tomto směru i uváděla v omyl další osoby) a jednak jeho nedodání (tedy nenaplnění předmětu smlouvy) neřešila v rámci svých povinností. Přestože primárně tuto škodu (nesplněním podmínek smlouvy) způsobil spoluobžalovaný </w:t>
      </w:r>
      <w:r w:rsidR="00FD6F8E">
        <w:t>H.</w:t>
      </w:r>
      <w:r>
        <w:t>, jednání obžalované na tomto fakticky vykazuje podíl a lze tak v souvislosti s tímto jednáním vnímat i (její) příslušnou škodu. Na druhou stranu soud nemá v tomto okamžiku podklady, které by jednoznačně danou problematiku z hlediska obce uzavíraly. K určitému datu obžalovaná skončila ve funkci starostky a její práva, tedy zastupovat obec i v případných sporech, přešly na další osobu. Není přitom zcela zřejmé, jak danou skutečnost, reálné nedodání části předmětu smlouvy (části technologie) obec dále řešila (pokud ji vůbec řešila) i z hlediska možného nároku vůči jinému subjektu s případnými dopady právě na uplatněný nárok.</w:t>
      </w:r>
    </w:p>
    <w:p w14:paraId="7B7A8443" w14:textId="09917E98" w:rsidR="00470726" w:rsidRDefault="00470726" w:rsidP="00470726">
      <w:pPr>
        <w:numPr>
          <w:ilvl w:val="0"/>
          <w:numId w:val="7"/>
        </w:numPr>
        <w:ind w:left="0" w:hanging="426"/>
      </w:pPr>
      <w:r>
        <w:t xml:space="preserve">Druhým nárokem je ve své podstatě nárok na úhradu částek „dotace“, kterou obec musela v plném rozsahu vrátit právě v důsledku předchozího jednání zejména obžalované </w:t>
      </w:r>
      <w:r w:rsidR="006C4ABC">
        <w:t>M.V.</w:t>
      </w:r>
      <w:r>
        <w:t xml:space="preserve"> (manipulace s dotačním řízením). Ve skutkové větě je z logiky trestného činu popsána škoda způsobená poskytovateli dotace, kdy tuto obec vrátila, a tedy fakticky byla nucena vyplatit prostředky, které by v případě řádného průběhu dotace nemusela vynaložit. Zde je nepochybná výše jednotlivých úhrad, tedy jak škoda způsobená poskytovateli dotace, tak následná úhrada ze strany obce </w:t>
      </w:r>
      <w:r w:rsidR="006C4ABC">
        <w:t>XXXXX</w:t>
      </w:r>
      <w:r>
        <w:t xml:space="preserve">, která </w:t>
      </w:r>
      <w:r>
        <w:lastRenderedPageBreak/>
        <w:t xml:space="preserve">je jistým způsobem sekundárním poškozeným. Důvodem vrácení dotace přitom formálně bylo </w:t>
      </w:r>
      <w:r w:rsidRPr="000A577C">
        <w:rPr>
          <w:rFonts w:eastAsia="Calibri" w:cs="Arial"/>
          <w:lang w:eastAsia="zh-CN"/>
        </w:rPr>
        <w:t>porušení podmínky poskytnutí dotace, a to jednak specifikované v příloze č. 1 Rozhodnutí o poskytnutí dotace v oddílu A, písm. c) a ve Smlouvě o poskytnutí podpory ze Státního fondu životního prostředí České republiky v části III, oddílu A, písm. c) a jednak uvedené v příloze č. 1 Rozhodnutí o poskytnutí dotace v oddílu B, odstavci 1, písmenu b) a části III, oddílu 6 A, písmenu b) Smlouvy o poskytnutí podpory ze Státního fondu životního prostředí České republiky. Fakticky se jednalo o nedodržení termínu plnění dle smlouvy o dílo, nedodání kompletní technologie (štěpkovače) a tím nenaplnění účelu dotace a neoprávněné platby záloh (resp. zde i nedoložení řádných dokladů). V příloze č. 1 Rozhodnutí o poskytnutí dotace v oddílu A, písm. c) je přitom zejména uvedeno, že „akce bude provedena v souladu s předloženou žádostí“, kdy nedodržení podmínek je sankcionováno odvodem ve výši 100</w:t>
      </w:r>
      <w:r>
        <w:rPr>
          <w:rFonts w:eastAsia="Calibri" w:cs="Arial"/>
          <w:lang w:eastAsia="zh-CN"/>
        </w:rPr>
        <w:t xml:space="preserve"> </w:t>
      </w:r>
      <w:r w:rsidRPr="000A577C">
        <w:rPr>
          <w:rFonts w:eastAsia="Calibri" w:cs="Arial"/>
          <w:lang w:eastAsia="zh-CN"/>
        </w:rPr>
        <w:t>% s výjimkou nesplnění závazných indikátorů, kde jsou poměrné sazby (oddíl C1). Obdobný termín „akce bude realizována v souladu s předloženou žádostí“ je přitom již obsahem povinnosti pod písm. a) těchto základních podmínek (viz č. l. 13 Přílohy spisu), tedy jakési primární podmínky zmiňující i účel dotace (s obdobnou 100</w:t>
      </w:r>
      <w:r>
        <w:rPr>
          <w:rFonts w:eastAsia="Calibri" w:cs="Arial"/>
          <w:lang w:eastAsia="zh-CN"/>
        </w:rPr>
        <w:t xml:space="preserve"> </w:t>
      </w:r>
      <w:r w:rsidRPr="000A577C">
        <w:rPr>
          <w:rFonts w:eastAsia="Calibri" w:cs="Arial"/>
          <w:lang w:eastAsia="zh-CN"/>
        </w:rPr>
        <w:t xml:space="preserve">% sankcí), jejíž porušení nebylo shledáno. Ustanovení písm. c) přitom tento předpoklad fakticky specifikuje (logicky se tedy týká specifických podmínek), kdy zmiňuje plochu a kapacitu sběrného dvora, které pravděpodobně představují ony závazné indikátory (v rozhodnutí jsou popsány pouze jako indikátory) a jeho minimální vybavení (které ovšem explicitně nezmiňuje technologii štěpkování). Z hlediska plateb je zjevné, že obžalovaná měla snahu formálně vytvořit (byť logicky ex post) předpoklady pro možnou úhradu záloh, kdy s tímto měl být seznámen poskytovatel dotace. Ze spisového materiálu přitom není dostatečně zjevný průběh dané komunikace a její výsledek, stejně tak jako celkový průběh komunikace se SFŽP, když některé dokumenty (monitorovací zprávy) zjevně nemohou souhlasit s reálným stavem a vykazují známky „manipulace“ (obsahují datově údaje z pozdější doby). Soud zde, i s ohledem na další (zjištěné a prokázané) porušení povinností žadatele o dotaci (zejména ve vztahu k platbám), nehodlá zpochybňovat konečnou výši sankce, která je bezesporu oprávněná i s ohledem na další skutková zjištění, které by soud musel při vlastním dokazování doplnit ohledně již prvotních manipulací s výběrovým řízením (předložení různých podkladů k nabídce spoluobžalovaného </w:t>
      </w:r>
      <w:r w:rsidR="00FD6F8E">
        <w:rPr>
          <w:rFonts w:eastAsia="Calibri" w:cs="Arial"/>
          <w:lang w:eastAsia="zh-CN"/>
        </w:rPr>
        <w:t>H.</w:t>
      </w:r>
      <w:r w:rsidRPr="000A577C">
        <w:rPr>
          <w:rFonts w:eastAsia="Calibri" w:cs="Arial"/>
          <w:lang w:eastAsia="zh-CN"/>
        </w:rPr>
        <w:t xml:space="preserve"> atd.), pouze poukazuje na skutečnost, že objektivní závěry by vyžadovaly podrobnější posouzení.  Z hlediska možného následku ve vztahu k obci by pak bylo nutné i podrobněji zkoumat možnost přerušení kauzálního nexu (zaviněné jednání obžalované a vracení vyplacené dotace), byť jako vysoce pravděpodobná se její varianta jeho zachování, když toto není předmětem vlastního skutku. Stejně tak z hlediska nároku by soud musel zvažovat (a prokazovat) i možné kontrolní mechanismy obce v rámci daného dotačního řízení (jejich existenci, oprávnění a faktické jednání). </w:t>
      </w:r>
    </w:p>
    <w:p w14:paraId="2630FDB8" w14:textId="77777777" w:rsidR="00470726" w:rsidRDefault="00470726" w:rsidP="00470726">
      <w:pPr>
        <w:numPr>
          <w:ilvl w:val="0"/>
          <w:numId w:val="7"/>
        </w:numPr>
        <w:ind w:left="0" w:hanging="426"/>
      </w:pPr>
      <w:r>
        <w:t>Za účelem objasnění těchto skutečností by však bylo nutno provádět další dokazování, které by tak prodloužilo trestní řízení, a s přihlédnutím k tomu, že v předmětném trestním řízení byla předložena dohoda o vině a trestu a rozhodování o jejím případném schválení fakticky žádné dodatečné dokazování v tomto směru nepředpokládá, soudu nezbylo, než poškozenou se zbytkem jí uplatněného nároku na náhradu majetkové škody ve smyslu § 229 odst. 2 trestního řádu odkázat na řízení ve věcech občanskoprávních.</w:t>
      </w:r>
    </w:p>
    <w:p w14:paraId="40824D97" w14:textId="77777777" w:rsidR="00470726" w:rsidRPr="00AA2D78" w:rsidRDefault="00470726" w:rsidP="00470726">
      <w:pPr>
        <w:numPr>
          <w:ilvl w:val="0"/>
          <w:numId w:val="7"/>
        </w:numPr>
        <w:spacing w:after="240"/>
        <w:ind w:left="0" w:hanging="426"/>
      </w:pPr>
      <w:r>
        <w:t>Zde je nutno konstatovat, že postup soudu, tj. odkázání poškozené na řízení ve věcech občanskoprávních, vychází zejména z novější judikatury Ústavního soudu, zejména soudce zpravodaje JUDr. Vojtěcha Šimíčka, viz nález Ústavního soudu ze dne 6. 12. 2022, sp. zn. III. ÚS 1420/</w:t>
      </w:r>
      <w:r w:rsidRPr="003272DD">
        <w:t xml:space="preserve">22, případně </w:t>
      </w:r>
      <w:r>
        <w:t xml:space="preserve">nález Ústavního soudu </w:t>
      </w:r>
      <w:r w:rsidRPr="003272DD">
        <w:t xml:space="preserve">ze dne 9. 5. 2023, sp. zn. </w:t>
      </w:r>
      <w:r w:rsidRPr="000A577C">
        <w:rPr>
          <w:rFonts w:ascii="Times New Roman" w:eastAsia="Calibri" w:hAnsi="Times New Roman"/>
          <w:color w:val="000000"/>
          <w:sz w:val="23"/>
          <w:szCs w:val="23"/>
        </w:rPr>
        <w:t>III. ÚS 236/23</w:t>
      </w:r>
      <w:r w:rsidRPr="003272DD">
        <w:t>, ze kterých se podává, že v řízení, ve kterém je schvalována dohoda o vině a trestu, kde obžalovaný nesouhlasí s uložením povinnosti k náhradě</w:t>
      </w:r>
      <w:r>
        <w:t xml:space="preserve"> škody (a to i v případě, že je výše škody uvedena v popisu skutku), není soud bez toho, aby byl ve vztahu k uplatněnému nároku na náhradu škody skutkový stav spolehlivě prokázán opatřenými důkazy (tedy bez nutnosti provádět další dokazování prodlužující trestní řízení), oprávněn obžalovanému povinnost k náhradě škody uložit.</w:t>
      </w:r>
    </w:p>
    <w:p w14:paraId="61E77A36" w14:textId="77777777" w:rsidR="00470726" w:rsidRPr="002D211F" w:rsidRDefault="00470726" w:rsidP="00470726">
      <w:pPr>
        <w:jc w:val="center"/>
        <w:rPr>
          <w:b/>
        </w:rPr>
      </w:pPr>
      <w:r w:rsidRPr="002D211F">
        <w:rPr>
          <w:b/>
        </w:rPr>
        <w:t>Poučení:</w:t>
      </w:r>
    </w:p>
    <w:p w14:paraId="08485A17" w14:textId="77777777" w:rsidR="00470726" w:rsidRPr="002D211F" w:rsidRDefault="00470726" w:rsidP="00470726">
      <w:pPr>
        <w:autoSpaceDE w:val="0"/>
        <w:autoSpaceDN w:val="0"/>
        <w:adjustRightInd w:val="0"/>
        <w:spacing w:before="120"/>
      </w:pPr>
      <w:r w:rsidRPr="002D211F">
        <w:lastRenderedPageBreak/>
        <w:t xml:space="preserve">Proti tomuto rozsudku je možné podat odvolání do 8 dnů ode dne doručení jeho </w:t>
      </w:r>
      <w:r>
        <w:t>písemného vyhotovení</w:t>
      </w:r>
      <w:r w:rsidRPr="002D211F">
        <w:t xml:space="preserve"> k Vrchnímu soudu v Olomouci prostřednictvím Krajského soudu v</w:t>
      </w:r>
      <w:r>
        <w:t> </w:t>
      </w:r>
      <w:r w:rsidRPr="002D211F">
        <w:t>Brně</w:t>
      </w:r>
      <w:r>
        <w:t xml:space="preserve">, </w:t>
      </w:r>
      <w:r w:rsidRPr="00DB69FB">
        <w:t>proti výrokům I. a II. rozsudku však pouze v případě, že tyto nejsou v souladu s dohodou o vině a trestu, jejíž schválení státní zástupce soudu navrhl.</w:t>
      </w:r>
    </w:p>
    <w:p w14:paraId="5AB4CA1E" w14:textId="77777777" w:rsidR="00470726" w:rsidRPr="002D211F" w:rsidRDefault="00470726" w:rsidP="00470726">
      <w:pPr>
        <w:pStyle w:val="Zkladntext"/>
        <w:rPr>
          <w:rFonts w:ascii="Garamond" w:hAnsi="Garamond"/>
          <w:lang w:val="cs-CZ"/>
        </w:rPr>
      </w:pPr>
      <w:r w:rsidRPr="00C653C2">
        <w:rPr>
          <w:rFonts w:ascii="Garamond" w:hAnsi="Garamond" w:cs="Arial"/>
        </w:rPr>
        <w:t>Rozsudek může odvoláním napadnout státní zástupce pro nesprávnost kteréhokoliv výroku, obžalovaný pro nesprávnost výroku, který se ho dotýká, zúčastněná osoba pro nesprávnost výroku o zabrání věci</w:t>
      </w:r>
      <w:r>
        <w:rPr>
          <w:rFonts w:ascii="Garamond" w:hAnsi="Garamond" w:cs="Arial"/>
          <w:lang w:val="cs-CZ"/>
        </w:rPr>
        <w:t>.</w:t>
      </w:r>
      <w:r>
        <w:rPr>
          <w:rFonts w:ascii="Garamond" w:hAnsi="Garamond"/>
          <w:lang w:val="cs-CZ"/>
        </w:rPr>
        <w:t xml:space="preserve"> </w:t>
      </w:r>
      <w:r w:rsidRPr="002D211F">
        <w:rPr>
          <w:rFonts w:ascii="Garamond" w:hAnsi="Garamond"/>
          <w:lang w:val="cs-CZ"/>
        </w:rPr>
        <w:t>Poškozený, který uplatnil nárok na náhradu škody nebo nemajetkové újmy nebo na vydání bezdůvodného obohacení</w:t>
      </w:r>
      <w:r>
        <w:rPr>
          <w:rFonts w:ascii="Garamond" w:hAnsi="Garamond"/>
          <w:lang w:val="cs-CZ"/>
        </w:rPr>
        <w:t>,</w:t>
      </w:r>
      <w:r w:rsidRPr="002D211F">
        <w:rPr>
          <w:rFonts w:ascii="Garamond" w:hAnsi="Garamond"/>
          <w:lang w:val="cs-CZ"/>
        </w:rPr>
        <w:t xml:space="preserve"> může proti tomuto rozsudku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14:paraId="64BACFB7" w14:textId="77777777" w:rsidR="00470726" w:rsidRPr="00DE2B7F" w:rsidRDefault="00470726" w:rsidP="00470726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Poškozený může žádat o uspokojení nároku na náhradu škody nebo nemajetkové újmy způsobené trestným činem nebo na vydání bezdůvodného obohacení získaného trestným činem podle zákona o použití peněžních prostředků z majetkových trestních sankcí, je-li tímto rozsudkem ukládána sankce, která je majetkovou trestní sankcí podle zákona o použití peněžních prostředků z majetkových trestních sankcí (§ 2 odst. 1 zákona č. 59/2017 Sb.).</w:t>
      </w:r>
    </w:p>
    <w:p w14:paraId="6DBF921E" w14:textId="77777777" w:rsidR="00470726" w:rsidRPr="002D211F" w:rsidRDefault="00470726" w:rsidP="00470726">
      <w:pPr>
        <w:autoSpaceDE w:val="0"/>
        <w:autoSpaceDN w:val="0"/>
        <w:adjustRightInd w:val="0"/>
        <w:spacing w:before="120"/>
      </w:pPr>
      <w:r w:rsidRPr="002D211F">
        <w:t xml:space="preserve">Osoba oprávněná napadat rozsudek pro nesprávnost některého jeho výroku jej může napadat také proto, že takový výrok učiněn nebyl, jakož i pro porušení ustanovení o řízení předcházejícím rozsudku, jestliže toto porušení mohlo způsobit, že výrok je nesprávný, nebo že chybí. </w:t>
      </w:r>
    </w:p>
    <w:p w14:paraId="695585A7" w14:textId="77777777" w:rsidR="00470726" w:rsidRPr="002D211F" w:rsidRDefault="00470726" w:rsidP="00470726">
      <w:pPr>
        <w:pStyle w:val="Zkladntext"/>
        <w:rPr>
          <w:rFonts w:ascii="Garamond" w:hAnsi="Garamond"/>
          <w:lang w:val="cs-CZ"/>
        </w:rPr>
      </w:pPr>
      <w:r w:rsidRPr="002D211F">
        <w:rPr>
          <w:rFonts w:ascii="Garamond" w:hAnsi="Garamond"/>
        </w:rPr>
        <w:t>Odvolání musí být v zákonné lhůtě případně v další lhůtě určené předsedou senátu odůvodněno  tak, aby bylo patrno, v kterých výrocích je rozsudek napadán a jaké vady jsou rozsudku nebo řízení, které mu předcházelo</w:t>
      </w:r>
      <w:r w:rsidRPr="002D211F">
        <w:rPr>
          <w:rFonts w:ascii="Garamond" w:hAnsi="Garamond"/>
          <w:lang w:val="cs-CZ"/>
        </w:rPr>
        <w:t>,</w:t>
      </w:r>
      <w:r w:rsidRPr="002D211F">
        <w:rPr>
          <w:rFonts w:ascii="Garamond" w:hAnsi="Garamond"/>
        </w:rPr>
        <w:t xml:space="preserve"> vytýkány. Státní zástupce je povinen uvést</w:t>
      </w:r>
      <w:r w:rsidRPr="002D211F">
        <w:rPr>
          <w:rFonts w:ascii="Garamond" w:hAnsi="Garamond"/>
          <w:lang w:val="cs-CZ"/>
        </w:rPr>
        <w:t>,</w:t>
      </w:r>
      <w:r w:rsidRPr="002D211F">
        <w:rPr>
          <w:rFonts w:ascii="Garamond" w:hAnsi="Garamond"/>
        </w:rPr>
        <w:t xml:space="preserve"> zda odvolání podává</w:t>
      </w:r>
      <w:r w:rsidRPr="002D211F">
        <w:rPr>
          <w:rFonts w:ascii="Garamond" w:hAnsi="Garamond"/>
          <w:lang w:val="cs-CZ"/>
        </w:rPr>
        <w:t>,</w:t>
      </w:r>
      <w:r w:rsidRPr="002D211F">
        <w:rPr>
          <w:rFonts w:ascii="Garamond" w:hAnsi="Garamond"/>
        </w:rPr>
        <w:t xml:space="preserve">  byť i z části</w:t>
      </w:r>
      <w:r w:rsidRPr="002D211F">
        <w:rPr>
          <w:rFonts w:ascii="Garamond" w:hAnsi="Garamond"/>
          <w:lang w:val="cs-CZ"/>
        </w:rPr>
        <w:t>,</w:t>
      </w:r>
      <w:r w:rsidRPr="002D211F">
        <w:rPr>
          <w:rFonts w:ascii="Garamond" w:hAnsi="Garamond"/>
        </w:rPr>
        <w:t xml:space="preserve"> ve prospěch </w:t>
      </w:r>
      <w:r w:rsidRPr="002D211F">
        <w:rPr>
          <w:rFonts w:ascii="Garamond" w:hAnsi="Garamond"/>
          <w:lang w:val="cs-CZ"/>
        </w:rPr>
        <w:t>nebo v</w:t>
      </w:r>
      <w:r w:rsidRPr="002D211F">
        <w:rPr>
          <w:rFonts w:ascii="Garamond" w:hAnsi="Garamond"/>
        </w:rPr>
        <w:t xml:space="preserve"> neprospěch obžalovaného. </w:t>
      </w:r>
    </w:p>
    <w:p w14:paraId="10F54225" w14:textId="77777777" w:rsidR="00470726" w:rsidRPr="002D211F" w:rsidRDefault="00470726" w:rsidP="00470726">
      <w:pPr>
        <w:pStyle w:val="Zkladntext"/>
        <w:rPr>
          <w:rFonts w:ascii="Garamond" w:hAnsi="Garamond"/>
        </w:rPr>
      </w:pPr>
      <w:r w:rsidRPr="002D211F">
        <w:rPr>
          <w:rFonts w:ascii="Garamond" w:hAnsi="Garamond"/>
        </w:rPr>
        <w:t xml:space="preserve">Odvolacím soudem bude odmítnuto odvolání, které nesplňuje náležitosti obsahu odvolání. </w:t>
      </w:r>
    </w:p>
    <w:p w14:paraId="2BF73D31" w14:textId="77777777" w:rsidR="00470726" w:rsidRPr="002D211F" w:rsidRDefault="00470726" w:rsidP="00470726">
      <w:pPr>
        <w:pStyle w:val="Zkladntext"/>
        <w:rPr>
          <w:rFonts w:ascii="Garamond" w:hAnsi="Garamond"/>
          <w:lang w:val="cs-CZ"/>
        </w:rPr>
      </w:pPr>
      <w:r w:rsidRPr="002D211F">
        <w:rPr>
          <w:rFonts w:ascii="Garamond" w:hAnsi="Garamond"/>
          <w:lang w:val="cs-CZ"/>
        </w:rPr>
        <w:t xml:space="preserve">Odvolacím soudem bude zamítnuto odvolání, bylo-li podáno osobou, která se odvolání výslovně vzdala. </w:t>
      </w:r>
    </w:p>
    <w:p w14:paraId="46F339AC" w14:textId="77777777" w:rsidR="00470726" w:rsidRPr="002D211F" w:rsidRDefault="00470726" w:rsidP="00470726">
      <w:pPr>
        <w:pStyle w:val="Zkladntext"/>
        <w:rPr>
          <w:rFonts w:ascii="Garamond" w:hAnsi="Garamond"/>
          <w:lang w:val="cs-CZ"/>
        </w:rPr>
      </w:pPr>
      <w:r w:rsidRPr="002D211F">
        <w:rPr>
          <w:rFonts w:ascii="Garamond" w:hAnsi="Garamond"/>
          <w:lang w:val="cs-CZ"/>
        </w:rPr>
        <w:t xml:space="preserve">Brno </w:t>
      </w:r>
      <w:r>
        <w:rPr>
          <w:rFonts w:ascii="Garamond" w:hAnsi="Garamond"/>
          <w:lang w:val="cs-CZ"/>
        </w:rPr>
        <w:t>12. květen 2023</w:t>
      </w:r>
    </w:p>
    <w:p w14:paraId="7BF85026" w14:textId="77777777" w:rsidR="00470726" w:rsidRPr="002D211F" w:rsidRDefault="00470726" w:rsidP="00470726">
      <w:pPr>
        <w:pStyle w:val="Zkladntext"/>
        <w:rPr>
          <w:rFonts w:ascii="Garamond" w:hAnsi="Garamond"/>
          <w:lang w:val="cs-CZ"/>
        </w:rPr>
      </w:pPr>
    </w:p>
    <w:p w14:paraId="0027CBC0" w14:textId="77777777" w:rsidR="00470726" w:rsidRPr="002D211F" w:rsidRDefault="00470726" w:rsidP="00470726">
      <w:pPr>
        <w:pStyle w:val="Zkladntext"/>
        <w:spacing w:before="0"/>
        <w:rPr>
          <w:rFonts w:ascii="Garamond" w:hAnsi="Garamond"/>
          <w:lang w:val="cs-CZ"/>
        </w:rPr>
      </w:pPr>
      <w:r w:rsidRPr="002D211F">
        <w:rPr>
          <w:rFonts w:ascii="Garamond" w:hAnsi="Garamond"/>
          <w:lang w:val="cs-CZ"/>
        </w:rPr>
        <w:t xml:space="preserve">Mgr. Aleš Novotný </w:t>
      </w:r>
      <w:r>
        <w:rPr>
          <w:rFonts w:ascii="Garamond" w:hAnsi="Garamond"/>
          <w:lang w:val="cs-CZ"/>
        </w:rPr>
        <w:t xml:space="preserve">v. r. </w:t>
      </w:r>
    </w:p>
    <w:p w14:paraId="11C047AA" w14:textId="77777777" w:rsidR="00470726" w:rsidRDefault="00470726" w:rsidP="00470726">
      <w:pPr>
        <w:pStyle w:val="Zkladntext"/>
        <w:spacing w:before="0"/>
        <w:rPr>
          <w:rFonts w:ascii="Garamond" w:hAnsi="Garamond"/>
          <w:lang w:val="cs-CZ"/>
        </w:rPr>
      </w:pPr>
      <w:r w:rsidRPr="002D211F">
        <w:rPr>
          <w:rFonts w:ascii="Garamond" w:hAnsi="Garamond"/>
          <w:lang w:val="cs-CZ"/>
        </w:rPr>
        <w:t>předseda senátu</w:t>
      </w:r>
    </w:p>
    <w:p w14:paraId="188A001B" w14:textId="77777777" w:rsidR="00470726" w:rsidRDefault="00470726" w:rsidP="00470726">
      <w:pPr>
        <w:pStyle w:val="Zkladntext"/>
        <w:spacing w:before="0"/>
        <w:rPr>
          <w:rFonts w:ascii="Garamond" w:hAnsi="Garamond"/>
          <w:lang w:val="cs-CZ"/>
        </w:rPr>
      </w:pPr>
    </w:p>
    <w:p w14:paraId="0132C843" w14:textId="77777777" w:rsidR="00470726" w:rsidRDefault="00470726" w:rsidP="00470726">
      <w:pPr>
        <w:pStyle w:val="Zkladntext"/>
        <w:spacing w:before="0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>Tento rozsudek ze dne 12.5.2023, č.j. 46 T 6/2021-1296, nabyl právní moci dne 12.5.2023- ve výroku I., II.</w:t>
      </w:r>
    </w:p>
    <w:p w14:paraId="14395DB5" w14:textId="77777777" w:rsidR="00470726" w:rsidRPr="000A577C" w:rsidRDefault="00470726" w:rsidP="00470726">
      <w:pPr>
        <w:pStyle w:val="Zkladntext"/>
        <w:spacing w:before="0"/>
      </w:pPr>
      <w:r>
        <w:rPr>
          <w:rFonts w:ascii="Garamond" w:hAnsi="Garamond"/>
          <w:lang w:val="cs-CZ"/>
        </w:rPr>
        <w:t>Připojení doložky provedla I. Čechová dne 27.6.2023.</w:t>
      </w:r>
    </w:p>
    <w:p w14:paraId="591200CD" w14:textId="77777777" w:rsidR="00282005" w:rsidRDefault="00282005"/>
    <w:sectPr w:rsidR="00282005" w:rsidSect="004A0AB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2397" w14:textId="77777777" w:rsidR="00707508" w:rsidRDefault="00707508">
      <w:pPr>
        <w:spacing w:after="0"/>
      </w:pPr>
      <w:r>
        <w:separator/>
      </w:r>
    </w:p>
  </w:endnote>
  <w:endnote w:type="continuationSeparator" w:id="0">
    <w:p w14:paraId="010AF54C" w14:textId="77777777" w:rsidR="00707508" w:rsidRDefault="00707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19C2" w14:textId="77777777" w:rsidR="00470726" w:rsidRDefault="00470726">
    <w:pPr>
      <w:pStyle w:val="Zpat"/>
    </w:pPr>
    <w:r>
      <w:t>Shodu s prvopisem potvrzuje: Martina Střechová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75E2" w14:textId="77777777" w:rsidR="00707508" w:rsidRDefault="00707508">
      <w:pPr>
        <w:spacing w:after="0"/>
      </w:pPr>
      <w:r>
        <w:separator/>
      </w:r>
    </w:p>
  </w:footnote>
  <w:footnote w:type="continuationSeparator" w:id="0">
    <w:p w14:paraId="7DEB1995" w14:textId="77777777" w:rsidR="00707508" w:rsidRDefault="00707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AA98" w14:textId="77777777" w:rsidR="00470726" w:rsidRPr="004A0AB2" w:rsidRDefault="00470726" w:rsidP="004A0AB2">
    <w:pPr>
      <w:pStyle w:val="Zhlav"/>
      <w:jc w:val="left"/>
      <w:rPr>
        <w:szCs w:val="24"/>
      </w:rPr>
    </w:pPr>
    <w:r>
      <w:rPr>
        <w:szCs w:val="24"/>
      </w:rPr>
      <w:tab/>
    </w:r>
    <w:r w:rsidRPr="004A0AB2">
      <w:rPr>
        <w:szCs w:val="24"/>
      </w:rPr>
      <w:fldChar w:fldCharType="begin"/>
    </w:r>
    <w:r w:rsidRPr="004A0AB2">
      <w:rPr>
        <w:szCs w:val="24"/>
      </w:rPr>
      <w:instrText>PAGE   \* MERGEFORMAT</w:instrText>
    </w:r>
    <w:r w:rsidRPr="004A0AB2">
      <w:rPr>
        <w:szCs w:val="24"/>
      </w:rPr>
      <w:fldChar w:fldCharType="separate"/>
    </w:r>
    <w:r>
      <w:rPr>
        <w:noProof/>
        <w:szCs w:val="24"/>
      </w:rPr>
      <w:t>6</w:t>
    </w:r>
    <w:r w:rsidRPr="004A0AB2">
      <w:rPr>
        <w:szCs w:val="24"/>
      </w:rPr>
      <w:fldChar w:fldCharType="end"/>
    </w:r>
    <w:r>
      <w:rPr>
        <w:szCs w:val="24"/>
      </w:rPr>
      <w:tab/>
      <w:t>46 T 6/2021</w:t>
    </w:r>
  </w:p>
  <w:p w14:paraId="01B98FD0" w14:textId="77777777" w:rsidR="00470726" w:rsidRPr="001A575E" w:rsidRDefault="00470726" w:rsidP="001A575E">
    <w:pPr>
      <w:pStyle w:val="Zhlav"/>
      <w:jc w:val="right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6087" w14:textId="77777777" w:rsidR="00470726" w:rsidRPr="001A575E" w:rsidRDefault="00470726" w:rsidP="004A0AB2">
    <w:pPr>
      <w:pStyle w:val="Zhlav"/>
      <w:jc w:val="right"/>
      <w:rPr>
        <w:szCs w:val="24"/>
      </w:rPr>
    </w:pPr>
    <w:r>
      <w:rPr>
        <w:szCs w:val="24"/>
      </w:rPr>
      <w:t>č. j. 46 T 6/2021-1296</w:t>
    </w:r>
  </w:p>
  <w:p w14:paraId="69EAE3B9" w14:textId="77777777" w:rsidR="00470726" w:rsidRDefault="00470726" w:rsidP="004A0AB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3C1B"/>
    <w:multiLevelType w:val="hybridMultilevel"/>
    <w:tmpl w:val="FFFFFFFF"/>
    <w:lvl w:ilvl="0" w:tplc="078AA65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F020B"/>
    <w:multiLevelType w:val="hybridMultilevel"/>
    <w:tmpl w:val="1EBEE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47E60"/>
    <w:multiLevelType w:val="hybridMultilevel"/>
    <w:tmpl w:val="BC12A34A"/>
    <w:lvl w:ilvl="0" w:tplc="F198F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D7735"/>
    <w:multiLevelType w:val="hybridMultilevel"/>
    <w:tmpl w:val="FFFFFFFF"/>
    <w:lvl w:ilvl="0" w:tplc="0CCEBCD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774EF"/>
    <w:multiLevelType w:val="hybridMultilevel"/>
    <w:tmpl w:val="6E7C1D50"/>
    <w:lvl w:ilvl="0" w:tplc="B0B6EB4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4F7B03"/>
    <w:multiLevelType w:val="hybridMultilevel"/>
    <w:tmpl w:val="FFFFFFFF"/>
    <w:lvl w:ilvl="0" w:tplc="47F8471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14F98"/>
    <w:multiLevelType w:val="hybridMultilevel"/>
    <w:tmpl w:val="7116DED6"/>
    <w:lvl w:ilvl="0" w:tplc="F9AA7732">
      <w:start w:val="1"/>
      <w:numFmt w:val="upperRoman"/>
      <w:lvlText w:val="%1."/>
      <w:lvlJc w:val="left"/>
      <w:pPr>
        <w:ind w:left="720" w:hanging="720"/>
      </w:pPr>
      <w:rPr>
        <w:rFonts w:ascii="Garamond" w:eastAsia="Times New Roman" w:hAnsi="Garamond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489877">
    <w:abstractNumId w:val="6"/>
  </w:num>
  <w:num w:numId="2" w16cid:durableId="1896548315">
    <w:abstractNumId w:val="2"/>
  </w:num>
  <w:num w:numId="3" w16cid:durableId="283081558">
    <w:abstractNumId w:val="5"/>
  </w:num>
  <w:num w:numId="4" w16cid:durableId="1998071593">
    <w:abstractNumId w:val="4"/>
  </w:num>
  <w:num w:numId="5" w16cid:durableId="30690067">
    <w:abstractNumId w:val="3"/>
  </w:num>
  <w:num w:numId="6" w16cid:durableId="1403138824">
    <w:abstractNumId w:val="0"/>
  </w:num>
  <w:num w:numId="7" w16cid:durableId="183102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26"/>
    <w:rsid w:val="00282005"/>
    <w:rsid w:val="003332A8"/>
    <w:rsid w:val="00340ACA"/>
    <w:rsid w:val="00397888"/>
    <w:rsid w:val="00441248"/>
    <w:rsid w:val="00470726"/>
    <w:rsid w:val="004815F7"/>
    <w:rsid w:val="00600D6E"/>
    <w:rsid w:val="006C4ABC"/>
    <w:rsid w:val="00707508"/>
    <w:rsid w:val="007B5D17"/>
    <w:rsid w:val="008463C9"/>
    <w:rsid w:val="008D0C14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7962"/>
  <w15:chartTrackingRefBased/>
  <w15:docId w15:val="{DDDD882C-7A85-4FED-AE95-AB7CA20D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726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470726"/>
    <w:pPr>
      <w:tabs>
        <w:tab w:val="center" w:pos="4536"/>
        <w:tab w:val="right" w:pos="9072"/>
      </w:tabs>
      <w:spacing w:after="0"/>
    </w:pPr>
    <w:rPr>
      <w:szCs w:val="22"/>
      <w:lang w:val="en-US" w:eastAsia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470726"/>
    <w:rPr>
      <w:rFonts w:ascii="Garamond" w:eastAsia="Times New Roman" w:hAnsi="Garamond" w:cs="Times New Roman"/>
      <w:kern w:val="0"/>
      <w:sz w:val="24"/>
      <w:lang w:val="en-US" w:bidi="en-US"/>
      <w14:ligatures w14:val="none"/>
    </w:rPr>
  </w:style>
  <w:style w:type="paragraph" w:styleId="Zkladntext">
    <w:name w:val="Body Text"/>
    <w:basedOn w:val="Normln"/>
    <w:link w:val="ZkladntextChar"/>
    <w:rsid w:val="00470726"/>
    <w:pPr>
      <w:autoSpaceDE w:val="0"/>
      <w:autoSpaceDN w:val="0"/>
      <w:adjustRightInd w:val="0"/>
      <w:spacing w:before="120" w:after="0"/>
    </w:pPr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7072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ormlnweb">
    <w:name w:val="Normal (Web)"/>
    <w:basedOn w:val="Normln"/>
    <w:uiPriority w:val="99"/>
    <w:unhideWhenUsed/>
    <w:rsid w:val="0047072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707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0726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4579</Words>
  <Characters>24915</Characters>
  <Application>Microsoft Office Word</Application>
  <DocSecurity>0</DocSecurity>
  <Lines>1245</Lines>
  <Paragraphs>670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6</cp:revision>
  <dcterms:created xsi:type="dcterms:W3CDTF">2024-02-13T06:15:00Z</dcterms:created>
  <dcterms:modified xsi:type="dcterms:W3CDTF">2024-02-22T13:24:00Z</dcterms:modified>
</cp:coreProperties>
</file>