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8AAD" w14:textId="77777777" w:rsidR="00613FEF" w:rsidRDefault="00613FEF">
      <w:pPr>
        <w:pStyle w:val="Zkladntext"/>
        <w:rPr>
          <w:rFonts w:ascii="Times New Roman"/>
          <w:sz w:val="20"/>
        </w:rPr>
      </w:pPr>
    </w:p>
    <w:p w14:paraId="5A2600E3" w14:textId="77777777" w:rsidR="00613FEF" w:rsidRDefault="00613FEF">
      <w:pPr>
        <w:pStyle w:val="Zkladntext"/>
        <w:rPr>
          <w:rFonts w:ascii="Times New Roman"/>
          <w:sz w:val="20"/>
        </w:rPr>
      </w:pPr>
    </w:p>
    <w:p w14:paraId="7EFCEFFC" w14:textId="77777777" w:rsidR="00613FEF" w:rsidRDefault="00613FEF">
      <w:pPr>
        <w:pStyle w:val="Zkladntext"/>
        <w:rPr>
          <w:rFonts w:ascii="Times New Roman"/>
          <w:sz w:val="20"/>
        </w:rPr>
      </w:pPr>
    </w:p>
    <w:p w14:paraId="488F897D" w14:textId="77777777" w:rsidR="00613FEF" w:rsidRDefault="00613FEF">
      <w:pPr>
        <w:pStyle w:val="Zkladntext"/>
        <w:rPr>
          <w:rFonts w:ascii="Times New Roman"/>
          <w:sz w:val="20"/>
        </w:rPr>
      </w:pPr>
    </w:p>
    <w:p w14:paraId="459A4C76" w14:textId="77777777" w:rsidR="00613FEF" w:rsidRDefault="00613FEF">
      <w:pPr>
        <w:pStyle w:val="Zkladntext"/>
        <w:rPr>
          <w:rFonts w:ascii="Times New Roman"/>
          <w:sz w:val="20"/>
        </w:rPr>
      </w:pPr>
    </w:p>
    <w:p w14:paraId="4B7432B8" w14:textId="77777777" w:rsidR="00613FEF" w:rsidRDefault="00613FEF">
      <w:pPr>
        <w:pStyle w:val="Zkladntext"/>
        <w:spacing w:before="4"/>
        <w:rPr>
          <w:rFonts w:ascii="Times New Roman"/>
        </w:rPr>
      </w:pPr>
    </w:p>
    <w:p w14:paraId="43CA8D3E" w14:textId="77777777" w:rsidR="00613FEF" w:rsidRDefault="002A4E05">
      <w:pPr>
        <w:spacing w:before="100"/>
        <w:ind w:left="3998" w:right="3579"/>
        <w:jc w:val="center"/>
        <w:rPr>
          <w:b/>
          <w:sz w:val="40"/>
        </w:rPr>
      </w:pPr>
      <w:r>
        <w:rPr>
          <w:b/>
          <w:sz w:val="40"/>
        </w:rPr>
        <w:t>USNESENÍ</w:t>
      </w:r>
    </w:p>
    <w:p w14:paraId="4C99598A" w14:textId="77777777" w:rsidR="00613FEF" w:rsidRDefault="00613FEF">
      <w:pPr>
        <w:pStyle w:val="Zkladntext"/>
        <w:spacing w:before="7"/>
        <w:rPr>
          <w:b/>
          <w:sz w:val="42"/>
        </w:rPr>
      </w:pPr>
    </w:p>
    <w:p w14:paraId="320CF10E" w14:textId="77777777" w:rsidR="00613FEF" w:rsidRDefault="002A4E05">
      <w:pPr>
        <w:pStyle w:val="Zkladntext"/>
        <w:ind w:left="537" w:right="408"/>
      </w:pPr>
      <w:r>
        <w:t xml:space="preserve">Vrchní soud v Olomouci rozhodl v senátě složeném z předsedy senátu Mgr. Jakuba Černoška     a soudců JUDr. Ladislava </w:t>
      </w:r>
      <w:proofErr w:type="spellStart"/>
      <w:r>
        <w:t>Bognára</w:t>
      </w:r>
      <w:proofErr w:type="spellEnd"/>
      <w:r>
        <w:t xml:space="preserve"> a JUDr. Pavla Koláře ve</w:t>
      </w:r>
      <w:r>
        <w:rPr>
          <w:spacing w:val="-10"/>
        </w:rPr>
        <w:t xml:space="preserve"> </w:t>
      </w:r>
      <w:r>
        <w:t>věci</w:t>
      </w:r>
    </w:p>
    <w:p w14:paraId="35886B78" w14:textId="77777777" w:rsidR="00613FEF" w:rsidRDefault="00613FEF">
      <w:pPr>
        <w:pStyle w:val="Zkladntext"/>
        <w:spacing w:before="4"/>
        <w:rPr>
          <w:sz w:val="21"/>
        </w:rPr>
      </w:pPr>
    </w:p>
    <w:p w14:paraId="4D8FBC13" w14:textId="77777777" w:rsidR="00613FEF" w:rsidRDefault="002A4E05">
      <w:pPr>
        <w:tabs>
          <w:tab w:val="left" w:pos="2664"/>
        </w:tabs>
        <w:ind w:left="537"/>
        <w:rPr>
          <w:sz w:val="24"/>
        </w:rPr>
      </w:pPr>
      <w:r>
        <w:rPr>
          <w:sz w:val="24"/>
        </w:rPr>
        <w:t>žalobkyně:</w:t>
      </w:r>
      <w:r>
        <w:rPr>
          <w:sz w:val="24"/>
        </w:rPr>
        <w:tab/>
      </w:r>
      <w:r>
        <w:rPr>
          <w:b/>
          <w:sz w:val="24"/>
        </w:rPr>
        <w:t xml:space="preserve">HSK Invest, a.s., </w:t>
      </w:r>
      <w:r>
        <w:rPr>
          <w:sz w:val="24"/>
        </w:rPr>
        <w:t>IČO</w:t>
      </w:r>
      <w:r>
        <w:rPr>
          <w:spacing w:val="-5"/>
          <w:sz w:val="24"/>
        </w:rPr>
        <w:t xml:space="preserve"> </w:t>
      </w:r>
      <w:r>
        <w:rPr>
          <w:sz w:val="24"/>
        </w:rPr>
        <w:t>60727357</w:t>
      </w:r>
    </w:p>
    <w:p w14:paraId="1E2F0ACF" w14:textId="77777777" w:rsidR="00613FEF" w:rsidRDefault="002A4E05">
      <w:pPr>
        <w:pStyle w:val="Zkladntext"/>
        <w:ind w:left="2663"/>
      </w:pPr>
      <w:r>
        <w:t>sídlem Václavská 316/12, Nové Město, 120 00 Praha 2</w:t>
      </w:r>
    </w:p>
    <w:p w14:paraId="0DBE5BE1" w14:textId="77777777" w:rsidR="00613FEF" w:rsidRDefault="002A4E05">
      <w:pPr>
        <w:pStyle w:val="Zkladntext"/>
        <w:ind w:left="2663" w:right="480"/>
      </w:pPr>
      <w:r>
        <w:t>zastoup</w:t>
      </w:r>
      <w:r>
        <w:t xml:space="preserve">ená společností </w:t>
      </w:r>
      <w:proofErr w:type="spellStart"/>
      <w:r>
        <w:t>Crane</w:t>
      </w:r>
      <w:proofErr w:type="spellEnd"/>
      <w:r>
        <w:t xml:space="preserve"> </w:t>
      </w:r>
      <w:proofErr w:type="spellStart"/>
      <w:r>
        <w:t>Constancy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I., a.s., IČO 09883231 sídlem Vinohradská 343/6, 120 00 Praha 2</w:t>
      </w:r>
    </w:p>
    <w:p w14:paraId="5AD76E73" w14:textId="77777777" w:rsidR="00613FEF" w:rsidRDefault="002A4E05">
      <w:pPr>
        <w:pStyle w:val="Zkladntext"/>
        <w:ind w:left="2661" w:right="1712" w:firstLine="2"/>
      </w:pPr>
      <w:r>
        <w:t>tato dále zastoupena advokátem Mgr. Radkem Pokorným sídlem Klimentská 1216/46, 110 00 Praha</w:t>
      </w:r>
    </w:p>
    <w:p w14:paraId="15B515F6" w14:textId="77777777" w:rsidR="00613FEF" w:rsidRDefault="002A4E05">
      <w:pPr>
        <w:pStyle w:val="Zkladntext"/>
        <w:spacing w:before="120"/>
        <w:ind w:left="537"/>
      </w:pPr>
      <w:r>
        <w:t>proti</w:t>
      </w:r>
    </w:p>
    <w:p w14:paraId="5F182C39" w14:textId="7B2CB6E4" w:rsidR="00613FEF" w:rsidRDefault="002A4E05">
      <w:pPr>
        <w:tabs>
          <w:tab w:val="left" w:pos="2664"/>
        </w:tabs>
        <w:ind w:left="537"/>
        <w:rPr>
          <w:sz w:val="24"/>
        </w:rPr>
      </w:pPr>
      <w:r>
        <w:rPr>
          <w:sz w:val="24"/>
        </w:rPr>
        <w:t>žalovanému:</w:t>
      </w:r>
      <w:r>
        <w:rPr>
          <w:sz w:val="24"/>
        </w:rPr>
        <w:tab/>
      </w:r>
      <w:r>
        <w:rPr>
          <w:b/>
          <w:sz w:val="24"/>
        </w:rPr>
        <w:t>K.K.</w:t>
      </w:r>
      <w:r>
        <w:rPr>
          <w:b/>
          <w:sz w:val="24"/>
        </w:rPr>
        <w:t xml:space="preserve">, </w:t>
      </w:r>
      <w:r>
        <w:rPr>
          <w:sz w:val="24"/>
        </w:rPr>
        <w:t>narozený XXXXX</w:t>
      </w:r>
    </w:p>
    <w:p w14:paraId="3D6566D7" w14:textId="5B70FB83" w:rsidR="00613FEF" w:rsidRDefault="002A4E05">
      <w:pPr>
        <w:pStyle w:val="Zkladntext"/>
        <w:ind w:left="2661" w:right="1830"/>
        <w:jc w:val="both"/>
      </w:pPr>
      <w:r>
        <w:t xml:space="preserve">bytem </w:t>
      </w:r>
      <w:r>
        <w:t>XXXXX</w:t>
      </w:r>
      <w:r>
        <w:t xml:space="preserve"> </w:t>
      </w:r>
      <w:r>
        <w:t>zastoupený advokátem Mgr. Tomášem Troupem, LL.M. sídlem Velehradská 88/1, 130 00</w:t>
      </w:r>
      <w:r>
        <w:rPr>
          <w:spacing w:val="54"/>
        </w:rPr>
        <w:t xml:space="preserve"> </w:t>
      </w:r>
      <w:r>
        <w:t>Praha</w:t>
      </w:r>
    </w:p>
    <w:p w14:paraId="762721AA" w14:textId="77777777" w:rsidR="00613FEF" w:rsidRDefault="00613FEF">
      <w:pPr>
        <w:pStyle w:val="Zkladntext"/>
      </w:pPr>
    </w:p>
    <w:p w14:paraId="5643759C" w14:textId="77777777" w:rsidR="00613FEF" w:rsidRDefault="002A4E05">
      <w:pPr>
        <w:pStyle w:val="Nadpis2"/>
        <w:ind w:left="537"/>
      </w:pPr>
      <w:r>
        <w:t>o zaplacení 169 929 909 Kč s příslušenstvím a 37 328 591 Kč s příslušenstvím</w:t>
      </w:r>
    </w:p>
    <w:p w14:paraId="7503CF70" w14:textId="77777777" w:rsidR="00613FEF" w:rsidRDefault="002A4E05">
      <w:pPr>
        <w:pStyle w:val="Zkladntext"/>
        <w:spacing w:before="120"/>
        <w:ind w:left="537" w:right="193"/>
      </w:pPr>
      <w:proofErr w:type="gramStart"/>
      <w:r>
        <w:t>o  odvolání</w:t>
      </w:r>
      <w:proofErr w:type="gramEnd"/>
      <w:r>
        <w:t xml:space="preserve">  žalovaného   proti   usnesení   Krajského   soudu   v Brně   ze   dne   13.   2.   2023  č. j. 36 Cm</w:t>
      </w:r>
      <w:r>
        <w:rPr>
          <w:spacing w:val="-2"/>
        </w:rPr>
        <w:t xml:space="preserve"> </w:t>
      </w:r>
      <w:r>
        <w:t>119/2022-80</w:t>
      </w:r>
    </w:p>
    <w:p w14:paraId="2E39FFDD" w14:textId="77777777" w:rsidR="00613FEF" w:rsidRDefault="00613FEF">
      <w:pPr>
        <w:pStyle w:val="Zkladntext"/>
        <w:spacing w:before="5"/>
        <w:rPr>
          <w:sz w:val="12"/>
        </w:rPr>
      </w:pPr>
    </w:p>
    <w:p w14:paraId="021984A6" w14:textId="77777777" w:rsidR="00613FEF" w:rsidRDefault="002A4E05">
      <w:pPr>
        <w:pStyle w:val="Nadpis2"/>
        <w:spacing w:before="100"/>
        <w:ind w:right="3578"/>
        <w:jc w:val="center"/>
      </w:pPr>
      <w:r>
        <w:t>takto:</w:t>
      </w:r>
    </w:p>
    <w:p w14:paraId="28029319" w14:textId="77777777" w:rsidR="00613FEF" w:rsidRDefault="002A4E05">
      <w:pPr>
        <w:pStyle w:val="Odstavecseseznamem"/>
        <w:numPr>
          <w:ilvl w:val="0"/>
          <w:numId w:val="2"/>
        </w:numPr>
        <w:tabs>
          <w:tab w:val="left" w:pos="746"/>
        </w:tabs>
        <w:spacing w:before="120"/>
        <w:ind w:right="116" w:firstLine="0"/>
        <w:jc w:val="both"/>
        <w:rPr>
          <w:sz w:val="24"/>
        </w:rPr>
      </w:pPr>
      <w:r>
        <w:rPr>
          <w:sz w:val="24"/>
        </w:rPr>
        <w:t>Usnesení Krajského soudu v Brně se v napadené</w:t>
      </w:r>
      <w:r>
        <w:rPr>
          <w:sz w:val="24"/>
        </w:rPr>
        <w:t xml:space="preserve"> části, tj. výroku II. </w:t>
      </w:r>
      <w:r>
        <w:rPr>
          <w:b/>
          <w:sz w:val="24"/>
        </w:rPr>
        <w:t xml:space="preserve">mění </w:t>
      </w:r>
      <w:r>
        <w:rPr>
          <w:sz w:val="24"/>
        </w:rPr>
        <w:t>tak, že žalobkyně je povinna zaplatit žalovanému náhradu nákladů řízení ve výši 154 299,20 Kč, do tří dnů od právní moci tohoto usnesení, a to k rukám advokáta Mgr. Tomáše Troupa,</w:t>
      </w:r>
      <w:r>
        <w:rPr>
          <w:spacing w:val="-11"/>
          <w:sz w:val="24"/>
        </w:rPr>
        <w:t xml:space="preserve"> </w:t>
      </w:r>
      <w:r>
        <w:rPr>
          <w:sz w:val="24"/>
        </w:rPr>
        <w:t>LL.M.</w:t>
      </w:r>
    </w:p>
    <w:p w14:paraId="05D1E1CE" w14:textId="77777777" w:rsidR="00613FEF" w:rsidRDefault="002A4E05">
      <w:pPr>
        <w:pStyle w:val="Odstavecseseznamem"/>
        <w:numPr>
          <w:ilvl w:val="0"/>
          <w:numId w:val="2"/>
        </w:numPr>
        <w:tabs>
          <w:tab w:val="left" w:pos="821"/>
        </w:tabs>
        <w:spacing w:before="120"/>
        <w:ind w:left="820" w:right="0" w:hanging="284"/>
        <w:jc w:val="both"/>
        <w:rPr>
          <w:sz w:val="24"/>
        </w:rPr>
      </w:pPr>
      <w:r>
        <w:rPr>
          <w:sz w:val="24"/>
        </w:rPr>
        <w:t>Žádný z účastníků nemá právo na náhradu ná</w:t>
      </w:r>
      <w:r>
        <w:rPr>
          <w:sz w:val="24"/>
        </w:rPr>
        <w:t>kladů odvolacího</w:t>
      </w:r>
      <w:r>
        <w:rPr>
          <w:spacing w:val="-9"/>
          <w:sz w:val="24"/>
        </w:rPr>
        <w:t xml:space="preserve"> </w:t>
      </w:r>
      <w:r>
        <w:rPr>
          <w:sz w:val="24"/>
        </w:rPr>
        <w:t>řízení.</w:t>
      </w:r>
    </w:p>
    <w:p w14:paraId="5FD05D66" w14:textId="77777777" w:rsidR="00613FEF" w:rsidRDefault="00613FEF">
      <w:pPr>
        <w:pStyle w:val="Zkladntext"/>
        <w:spacing w:before="4"/>
        <w:rPr>
          <w:sz w:val="21"/>
        </w:rPr>
      </w:pPr>
    </w:p>
    <w:p w14:paraId="579BE96C" w14:textId="77777777" w:rsidR="00613FEF" w:rsidRDefault="002A4E05">
      <w:pPr>
        <w:pStyle w:val="Nadpis2"/>
        <w:ind w:right="3578"/>
        <w:jc w:val="center"/>
      </w:pPr>
      <w:r>
        <w:t>Odůvodnění:</w:t>
      </w:r>
    </w:p>
    <w:p w14:paraId="1356A622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spacing w:before="120"/>
        <w:jc w:val="both"/>
        <w:rPr>
          <w:sz w:val="24"/>
        </w:rPr>
      </w:pPr>
      <w:r>
        <w:rPr>
          <w:sz w:val="24"/>
        </w:rPr>
        <w:t xml:space="preserve">Soud prvního stupně shora označeným usnesením řízení zastavil (výrok I.) a rozhodl, že žalovanému se náhrada nákladů řízení nepřiznává (výrok II.). Řízení přitom zastavil z důvodu nezaplacení soudního poplatku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z w:val="24"/>
        </w:rPr>
        <w:t xml:space="preserve"> § 9 odst. 1 zákona č. 549/1991 Sb., o soudních poplatcích. Výrok o náhradě nákladů řízení odůvodnil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146 odst. 2 větou první o. s. ř. s tím, že žalovanému, který by měl právo na náhradu nákladů řízení, tyto dle obsahu spisu</w:t>
      </w:r>
      <w:r>
        <w:rPr>
          <w:spacing w:val="-32"/>
          <w:sz w:val="24"/>
        </w:rPr>
        <w:t xml:space="preserve"> </w:t>
      </w:r>
      <w:r>
        <w:rPr>
          <w:sz w:val="24"/>
        </w:rPr>
        <w:t>nevznikly.</w:t>
      </w:r>
    </w:p>
    <w:p w14:paraId="7E302E47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spacing w:before="120"/>
        <w:jc w:val="both"/>
        <w:rPr>
          <w:sz w:val="24"/>
        </w:rPr>
      </w:pPr>
      <w:r>
        <w:rPr>
          <w:sz w:val="24"/>
        </w:rPr>
        <w:t>Proti tomuto u</w:t>
      </w:r>
      <w:r>
        <w:rPr>
          <w:sz w:val="24"/>
        </w:rPr>
        <w:t xml:space="preserve">snesení, a to pouze proti výroku II. o nákladech řízení, podal žalovaný odvolání, kterým se domáhal jeho změny a uložení povinnosti zástupci žalobkyně společnosti </w:t>
      </w:r>
      <w:proofErr w:type="spellStart"/>
      <w:r>
        <w:rPr>
          <w:sz w:val="24"/>
        </w:rPr>
        <w:t>Crane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Constancy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Equity</w:t>
      </w:r>
      <w:proofErr w:type="spellEnd"/>
      <w:r>
        <w:rPr>
          <w:sz w:val="24"/>
        </w:rPr>
        <w:t xml:space="preserve"> I., a.s. zaplatit mu náklady řízení ve výši 308 598,40 Kč, eventuálně </w:t>
      </w:r>
      <w:r>
        <w:rPr>
          <w:sz w:val="24"/>
        </w:rPr>
        <w:t>uložení této povinnosti přímo žalobkyni. Namítal, že s ohledem na předžalobní upomínku očekával zahájení řízení, přičemž dotazem u Krajského soudu v Brně zjistil, že žaloba byla podána. Za účelem zastupování v řízení dne 25. 10. 2022 udělil advokátu Mgr. T</w:t>
      </w:r>
      <w:r>
        <w:rPr>
          <w:sz w:val="24"/>
        </w:rPr>
        <w:t>omáši Troupovi, LL.M. speciální plnou moc pro toto řízení, která byla dne 27. 10. 2022 založena do spisu. Téhož dne zmocněný advokát rovněž nahlédl do spisu za účelem seznámení s jeho obsahem. Do spisu potom znovu nahlédl</w:t>
      </w:r>
      <w:r>
        <w:rPr>
          <w:spacing w:val="10"/>
          <w:sz w:val="24"/>
        </w:rPr>
        <w:t xml:space="preserve"> </w:t>
      </w:r>
      <w:r>
        <w:rPr>
          <w:sz w:val="24"/>
        </w:rPr>
        <w:t>dne</w:t>
      </w:r>
      <w:r>
        <w:rPr>
          <w:spacing w:val="10"/>
          <w:sz w:val="24"/>
        </w:rPr>
        <w:t xml:space="preserve"> </w:t>
      </w:r>
      <w:r>
        <w:rPr>
          <w:sz w:val="24"/>
        </w:rPr>
        <w:t>6.</w:t>
      </w:r>
      <w:r>
        <w:rPr>
          <w:spacing w:val="10"/>
          <w:sz w:val="24"/>
        </w:rPr>
        <w:t xml:space="preserve"> </w:t>
      </w:r>
      <w:r>
        <w:rPr>
          <w:sz w:val="24"/>
        </w:rPr>
        <w:t>1.</w:t>
      </w:r>
      <w:r>
        <w:rPr>
          <w:spacing w:val="10"/>
          <w:sz w:val="24"/>
        </w:rPr>
        <w:t xml:space="preserve"> </w:t>
      </w:r>
      <w:r>
        <w:rPr>
          <w:sz w:val="24"/>
        </w:rPr>
        <w:t>2023.</w:t>
      </w:r>
      <w:r>
        <w:rPr>
          <w:spacing w:val="10"/>
          <w:sz w:val="24"/>
        </w:rPr>
        <w:t xml:space="preserve"> </w:t>
      </w:r>
      <w:r>
        <w:rPr>
          <w:sz w:val="24"/>
        </w:rPr>
        <w:t>Úkon</w:t>
      </w:r>
      <w:r>
        <w:rPr>
          <w:spacing w:val="10"/>
          <w:sz w:val="24"/>
        </w:rPr>
        <w:t xml:space="preserve"> </w:t>
      </w:r>
      <w:r>
        <w:rPr>
          <w:sz w:val="24"/>
        </w:rPr>
        <w:t>v</w:t>
      </w:r>
      <w:r>
        <w:rPr>
          <w:spacing w:val="10"/>
          <w:sz w:val="24"/>
        </w:rPr>
        <w:t xml:space="preserve"> </w:t>
      </w:r>
      <w:r>
        <w:rPr>
          <w:sz w:val="24"/>
        </w:rPr>
        <w:t>podobě</w:t>
      </w:r>
      <w:r>
        <w:rPr>
          <w:spacing w:val="9"/>
          <w:sz w:val="24"/>
        </w:rPr>
        <w:t xml:space="preserve"> </w:t>
      </w:r>
      <w:r>
        <w:rPr>
          <w:sz w:val="24"/>
        </w:rPr>
        <w:t>nahlížení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spisu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9"/>
          <w:sz w:val="24"/>
        </w:rPr>
        <w:t xml:space="preserve"> </w:t>
      </w:r>
      <w:r>
        <w:rPr>
          <w:sz w:val="24"/>
        </w:rPr>
        <w:t>svým</w:t>
      </w:r>
      <w:r>
        <w:rPr>
          <w:spacing w:val="9"/>
          <w:sz w:val="24"/>
        </w:rPr>
        <w:t xml:space="preserve"> </w:t>
      </w:r>
      <w:r>
        <w:rPr>
          <w:sz w:val="24"/>
        </w:rPr>
        <w:t>obsahem</w:t>
      </w:r>
      <w:r>
        <w:rPr>
          <w:spacing w:val="10"/>
          <w:sz w:val="24"/>
        </w:rPr>
        <w:t xml:space="preserve"> </w:t>
      </w:r>
      <w:r>
        <w:rPr>
          <w:sz w:val="24"/>
        </w:rPr>
        <w:t>obdobný</w:t>
      </w:r>
      <w:r>
        <w:rPr>
          <w:spacing w:val="9"/>
          <w:sz w:val="24"/>
        </w:rPr>
        <w:t xml:space="preserve"> </w:t>
      </w:r>
      <w:r>
        <w:rPr>
          <w:sz w:val="24"/>
        </w:rPr>
        <w:t>úkonu</w:t>
      </w:r>
      <w:r>
        <w:rPr>
          <w:spacing w:val="9"/>
          <w:sz w:val="24"/>
        </w:rPr>
        <w:t xml:space="preserve"> </w:t>
      </w:r>
      <w:r>
        <w:rPr>
          <w:sz w:val="24"/>
        </w:rPr>
        <w:t>dle</w:t>
      </w:r>
    </w:p>
    <w:p w14:paraId="196C6862" w14:textId="77777777" w:rsidR="00613FEF" w:rsidRDefault="00613FEF">
      <w:pPr>
        <w:jc w:val="both"/>
        <w:rPr>
          <w:sz w:val="24"/>
        </w:rPr>
        <w:sectPr w:rsidR="00613FEF">
          <w:headerReference w:type="default" r:id="rId7"/>
          <w:footerReference w:type="default" r:id="rId8"/>
          <w:type w:val="continuous"/>
          <w:pgSz w:w="11910" w:h="16840"/>
          <w:pgMar w:top="1320" w:right="1300" w:bottom="1180" w:left="880" w:header="720" w:footer="981" w:gutter="0"/>
          <w:cols w:space="708"/>
        </w:sectPr>
      </w:pPr>
    </w:p>
    <w:p w14:paraId="6EED448D" w14:textId="77777777" w:rsidR="00613FEF" w:rsidRDefault="002A4E05">
      <w:pPr>
        <w:pStyle w:val="Zkladntext"/>
        <w:spacing w:before="90"/>
        <w:ind w:left="537" w:right="114"/>
        <w:jc w:val="both"/>
      </w:pPr>
      <w:proofErr w:type="spellStart"/>
      <w:r>
        <w:lastRenderedPageBreak/>
        <w:t>ust</w:t>
      </w:r>
      <w:proofErr w:type="spellEnd"/>
      <w:r>
        <w:t xml:space="preserve">. § 11 odst. 1 písm. f) advokátního tarifu, tj. prostudování spisu při skončení vyšetřování, a to za každé započaté 2 hodiny. Žalovaný se primárně domáhal aplikace </w:t>
      </w:r>
      <w:proofErr w:type="spellStart"/>
      <w:r>
        <w:t>ust</w:t>
      </w:r>
      <w:proofErr w:type="spellEnd"/>
      <w:r>
        <w:t>. § 147 odst. 1 o. s. ř., neboť měl za to, že byť žaloba vůči němu byla formálně podán</w:t>
      </w:r>
      <w:r>
        <w:t xml:space="preserve">a ze strany společnosti HSK Invest, a.s., nejednaly za ni volené orgány, ale společnost </w:t>
      </w:r>
      <w:proofErr w:type="spellStart"/>
      <w:r>
        <w:t>Crane</w:t>
      </w:r>
      <w:proofErr w:type="spellEnd"/>
      <w:r>
        <w:t xml:space="preserve"> </w:t>
      </w:r>
      <w:proofErr w:type="spellStart"/>
      <w:r>
        <w:t>Constancy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I., a.s. jako její akcionář dle </w:t>
      </w:r>
      <w:proofErr w:type="spellStart"/>
      <w:r>
        <w:t>ust</w:t>
      </w:r>
      <w:proofErr w:type="spellEnd"/>
      <w:r>
        <w:t>. § 371 z. o. k. Řízení tedy nebylo zahájeno z vůle žalobkyně, ale z vůle jejího zákonného zástupce, a lze pro</w:t>
      </w:r>
      <w:r>
        <w:t>to považovat za nespravedlivé, aby žalobkyně nesla negativní důsledky vůle tohoto zákonného zástupce. Proto by mělo být aplikováno pravidlo v § 147 odst. 1</w:t>
      </w:r>
    </w:p>
    <w:p w14:paraId="1F6BC3F8" w14:textId="77777777" w:rsidR="00613FEF" w:rsidRDefault="002A4E05">
      <w:pPr>
        <w:pStyle w:val="Zkladntext"/>
        <w:ind w:left="537" w:right="117"/>
        <w:jc w:val="both"/>
      </w:pPr>
      <w:r>
        <w:t>o. s. ř. a povinnost k náhradě nákladů řízení uložena zákonnému zástupci, který vznik těchto nákladů</w:t>
      </w:r>
      <w:r>
        <w:t xml:space="preserve"> zavinil. Pro případ, že by aplikace uvedeného ustanovení nebyla možná, měla by povinnost k náhradě nákladů řízení být uložena samotné žalobkyni dle </w:t>
      </w:r>
      <w:proofErr w:type="spellStart"/>
      <w:r>
        <w:t>ust</w:t>
      </w:r>
      <w:proofErr w:type="spellEnd"/>
      <w:r>
        <w:t>. § 146 odst. 2 o. s. ř.</w:t>
      </w:r>
    </w:p>
    <w:p w14:paraId="0449C68E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spacing w:before="120"/>
        <w:ind w:right="0" w:hanging="427"/>
        <w:jc w:val="both"/>
        <w:rPr>
          <w:sz w:val="24"/>
        </w:rPr>
      </w:pPr>
      <w:r>
        <w:rPr>
          <w:sz w:val="24"/>
        </w:rPr>
        <w:t>Žalobkyně se k podanému odvolání</w:t>
      </w:r>
      <w:r>
        <w:rPr>
          <w:spacing w:val="-4"/>
          <w:sz w:val="24"/>
        </w:rPr>
        <w:t xml:space="preserve"> </w:t>
      </w:r>
      <w:r>
        <w:rPr>
          <w:sz w:val="24"/>
        </w:rPr>
        <w:t>nevyjádřila.</w:t>
      </w:r>
    </w:p>
    <w:p w14:paraId="1D52F7AD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spacing w:before="120"/>
        <w:ind w:right="115"/>
        <w:jc w:val="both"/>
        <w:rPr>
          <w:sz w:val="24"/>
        </w:rPr>
      </w:pPr>
      <w:r>
        <w:rPr>
          <w:sz w:val="24"/>
        </w:rPr>
        <w:t>Odvolací soud přezkoumal napadené usnesení, a to v rozsahu výroku II. o nákladech řízení,  jakož i řízení jeho vydání předcházející, a poté dospěl k závěru, že odvolání žalovaného je částečně</w:t>
      </w:r>
      <w:r>
        <w:rPr>
          <w:spacing w:val="-2"/>
          <w:sz w:val="24"/>
        </w:rPr>
        <w:t xml:space="preserve"> </w:t>
      </w:r>
      <w:r>
        <w:rPr>
          <w:sz w:val="24"/>
        </w:rPr>
        <w:t>opodstatněné.</w:t>
      </w:r>
    </w:p>
    <w:p w14:paraId="12F46345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spacing w:before="120"/>
        <w:jc w:val="both"/>
        <w:rPr>
          <w:sz w:val="24"/>
        </w:rPr>
      </w:pPr>
      <w:r>
        <w:rPr>
          <w:sz w:val="24"/>
        </w:rPr>
        <w:t>Z obsahu spisu pro účely tohoto rozhodnutí vyplývá</w:t>
      </w:r>
      <w:r>
        <w:rPr>
          <w:sz w:val="24"/>
        </w:rPr>
        <w:t>, že žalobou doručenou soudu prvního stupně dne 14. 7. 2022 se žalobkyně zastoupená uvedeným zákonným zástupcem jakožto jejím akcionářem  domáhala   uložení   povinnosti   žalovanému   zaplatit   jí   částky   169 929 909 Kč a 37 328 591 Kč s příslušenství</w:t>
      </w:r>
      <w:r>
        <w:rPr>
          <w:sz w:val="24"/>
        </w:rPr>
        <w:t>m. Dne 27. 10. 2022 byla do spisu ze strany Mgr. Tomáše Troupa, LL.M. založena plná moc udělená mu žalovaným  pro toto řízení, přičemž advokát téhož dne      v době od 10.42 do 10.52 hodin nahlížel do spisu. Tentýž advokát následně nahlížel do spisu dne 6.</w:t>
      </w:r>
      <w:r>
        <w:rPr>
          <w:sz w:val="24"/>
        </w:rPr>
        <w:t xml:space="preserve"> 1. 2023, a to v době od 10.10 do 10.30</w:t>
      </w:r>
      <w:r>
        <w:rPr>
          <w:spacing w:val="-5"/>
          <w:sz w:val="24"/>
        </w:rPr>
        <w:t xml:space="preserve"> </w:t>
      </w:r>
      <w:r>
        <w:rPr>
          <w:sz w:val="24"/>
        </w:rPr>
        <w:t>hodin.</w:t>
      </w:r>
    </w:p>
    <w:p w14:paraId="4491031E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115"/>
        <w:jc w:val="both"/>
        <w:rPr>
          <w:sz w:val="24"/>
        </w:rPr>
      </w:pPr>
      <w:r>
        <w:rPr>
          <w:sz w:val="24"/>
        </w:rPr>
        <w:t xml:space="preserve">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146 odst. 2 o. s. ř. jestliže některý z účastníků zavinil, že řízení muselo být zastaveno, je povinen hradit jeho náklady. Byl-li však pro chování žalovaného (jiného účastníka řízení) vzat zpět návrh, který byl podán důvodně, je povinen hradit n</w:t>
      </w:r>
      <w:r>
        <w:rPr>
          <w:sz w:val="24"/>
        </w:rPr>
        <w:t>áklady řízení žalovaný (jiný účastník řízení).</w:t>
      </w:r>
    </w:p>
    <w:p w14:paraId="0A316075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115"/>
        <w:jc w:val="both"/>
        <w:rPr>
          <w:sz w:val="24"/>
        </w:rPr>
      </w:pPr>
      <w:r>
        <w:rPr>
          <w:sz w:val="24"/>
        </w:rPr>
        <w:t xml:space="preserve">Po zhodnocení výše uvedeného má odvolací soud za to, že soud prvního stupně sice správně dovodil, že žalobkyně nezaplacením soudního poplatku zavinila zastavení řízení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146 odst. 2 věty první o. s. ř</w:t>
      </w:r>
      <w:r>
        <w:rPr>
          <w:sz w:val="24"/>
        </w:rPr>
        <w:t>., avšak v rozporu s obsahem spisu nesprávně uzavřel, že žalovanému náklady v řízení</w:t>
      </w:r>
      <w:r>
        <w:rPr>
          <w:spacing w:val="-2"/>
          <w:sz w:val="24"/>
        </w:rPr>
        <w:t xml:space="preserve"> </w:t>
      </w:r>
      <w:r>
        <w:rPr>
          <w:sz w:val="24"/>
        </w:rPr>
        <w:t>nevznikly.</w:t>
      </w:r>
    </w:p>
    <w:p w14:paraId="234E11B7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115"/>
        <w:jc w:val="both"/>
        <w:rPr>
          <w:sz w:val="24"/>
        </w:rPr>
      </w:pPr>
      <w:r>
        <w:rPr>
          <w:sz w:val="24"/>
        </w:rPr>
        <w:t>Soud prvního stupně zcela pominul žalovaným doloženou procesní plnou moc pro advokáta Mgr. Tomáše Troupa, LL.M. a rovněž aktivitu advokáta v řízení v podobě nah</w:t>
      </w:r>
      <w:r>
        <w:rPr>
          <w:sz w:val="24"/>
        </w:rPr>
        <w:t>lížení do</w:t>
      </w:r>
      <w:r>
        <w:rPr>
          <w:spacing w:val="-25"/>
          <w:sz w:val="24"/>
        </w:rPr>
        <w:t xml:space="preserve"> </w:t>
      </w:r>
      <w:r>
        <w:rPr>
          <w:sz w:val="24"/>
        </w:rPr>
        <w:t>spisu.</w:t>
      </w:r>
    </w:p>
    <w:p w14:paraId="050A6F94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jc w:val="both"/>
        <w:rPr>
          <w:sz w:val="24"/>
        </w:rPr>
      </w:pPr>
      <w:r>
        <w:rPr>
          <w:sz w:val="24"/>
        </w:rPr>
        <w:t xml:space="preserve">Odvolací soud proto uložil žalobkyni povinnost zaplatit žalovanému náhradu nákladů řízení sestávající z odměny advokáta za 1 úkon právní služby v podobě převzetí a přípravy zastoupení ve výši 127 220 Kč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7 a § 11 odst. 1 písm. a)</w:t>
      </w:r>
      <w:r>
        <w:rPr>
          <w:sz w:val="24"/>
        </w:rPr>
        <w:t xml:space="preserve"> advokátního tarifu, z náhrady hotových výdajů ve výši 300 Kč za uvedený úkon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13 odst. 4 advokátního tarifu a z náhrady 21 % DPH ve výši 26 779,20 Kč, celkem tedy ve výši 154 299,20</w:t>
      </w:r>
      <w:r>
        <w:rPr>
          <w:spacing w:val="-9"/>
          <w:sz w:val="24"/>
        </w:rPr>
        <w:t xml:space="preserve"> </w:t>
      </w:r>
      <w:r>
        <w:rPr>
          <w:sz w:val="24"/>
        </w:rPr>
        <w:t>Kč.</w:t>
      </w:r>
    </w:p>
    <w:p w14:paraId="7C6728ED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jc w:val="both"/>
        <w:rPr>
          <w:sz w:val="24"/>
        </w:rPr>
      </w:pPr>
      <w:r>
        <w:rPr>
          <w:sz w:val="24"/>
        </w:rPr>
        <w:t>Ve vztahu k námitce ohledně dalšího úkonu právní služby v p</w:t>
      </w:r>
      <w:r>
        <w:rPr>
          <w:sz w:val="24"/>
        </w:rPr>
        <w:t xml:space="preserve">odobě „nahlížení do spisu“ má odvolací soud za to, že  jde o námitku zjevně nedůvodnou.  Nahlížení do spisu není žádným        z výslovně uvedených úkonů právní služby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11 odst. 1 a 2 advokátního tarifu, přičemž nemá žádnou souvislost či blízkost</w:t>
      </w:r>
      <w:r>
        <w:rPr>
          <w:sz w:val="24"/>
        </w:rPr>
        <w:t xml:space="preserve"> se žalovaným namítaným úkonem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11 odst. 1 písm. f) advokátního tarifu (prostudování spisu při skončení vyšetřování), dopadajícím výlučně na trestní řízení. Není proto důvodu jej považovat za úkon právní služby ani za aplikace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11 odst. 3 a</w:t>
      </w:r>
      <w:r>
        <w:rPr>
          <w:sz w:val="24"/>
        </w:rPr>
        <w:t>dvokátního tarifu. Nahlížení do spisu v civilním řízení je formou přípravy na projednání věci,     a</w:t>
      </w:r>
      <w:r>
        <w:rPr>
          <w:spacing w:val="27"/>
          <w:sz w:val="24"/>
        </w:rPr>
        <w:t xml:space="preserve"> </w:t>
      </w:r>
      <w:r>
        <w:rPr>
          <w:sz w:val="24"/>
        </w:rPr>
        <w:t>je</w:t>
      </w:r>
      <w:r>
        <w:rPr>
          <w:spacing w:val="28"/>
          <w:sz w:val="24"/>
        </w:rPr>
        <w:t xml:space="preserve"> </w:t>
      </w:r>
      <w:r>
        <w:rPr>
          <w:sz w:val="24"/>
        </w:rPr>
        <w:t>tedy</w:t>
      </w:r>
      <w:r>
        <w:rPr>
          <w:spacing w:val="28"/>
          <w:sz w:val="24"/>
        </w:rPr>
        <w:t xml:space="preserve"> </w:t>
      </w:r>
      <w:r>
        <w:rPr>
          <w:sz w:val="24"/>
        </w:rPr>
        <w:t>součástí</w:t>
      </w:r>
      <w:r>
        <w:rPr>
          <w:spacing w:val="29"/>
          <w:sz w:val="24"/>
        </w:rPr>
        <w:t xml:space="preserve"> </w:t>
      </w:r>
      <w:r>
        <w:rPr>
          <w:sz w:val="24"/>
        </w:rPr>
        <w:t>dalších</w:t>
      </w:r>
      <w:r>
        <w:rPr>
          <w:spacing w:val="28"/>
          <w:sz w:val="24"/>
        </w:rPr>
        <w:t xml:space="preserve"> </w:t>
      </w:r>
      <w:r>
        <w:rPr>
          <w:sz w:val="24"/>
        </w:rPr>
        <w:t>(honorovaných)</w:t>
      </w:r>
      <w:r>
        <w:rPr>
          <w:spacing w:val="29"/>
          <w:sz w:val="24"/>
        </w:rPr>
        <w:t xml:space="preserve"> </w:t>
      </w:r>
      <w:r>
        <w:rPr>
          <w:sz w:val="24"/>
        </w:rPr>
        <w:t>úkonů</w:t>
      </w:r>
      <w:r>
        <w:rPr>
          <w:spacing w:val="30"/>
          <w:sz w:val="24"/>
        </w:rPr>
        <w:t xml:space="preserve"> </w:t>
      </w:r>
      <w:r>
        <w:rPr>
          <w:sz w:val="24"/>
        </w:rPr>
        <w:t>advokáta</w:t>
      </w:r>
      <w:r>
        <w:rPr>
          <w:spacing w:val="2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řízení,</w:t>
      </w:r>
      <w:r>
        <w:rPr>
          <w:spacing w:val="29"/>
          <w:sz w:val="24"/>
        </w:rPr>
        <w:t xml:space="preserve"> </w:t>
      </w:r>
      <w:r>
        <w:rPr>
          <w:sz w:val="24"/>
        </w:rPr>
        <w:t>jako</w:t>
      </w:r>
      <w:r>
        <w:rPr>
          <w:spacing w:val="28"/>
          <w:sz w:val="24"/>
        </w:rPr>
        <w:t xml:space="preserve"> </w:t>
      </w:r>
      <w:r>
        <w:rPr>
          <w:sz w:val="24"/>
        </w:rPr>
        <w:t>je</w:t>
      </w:r>
      <w:r>
        <w:rPr>
          <w:spacing w:val="28"/>
          <w:sz w:val="24"/>
        </w:rPr>
        <w:t xml:space="preserve"> </w:t>
      </w:r>
      <w:r>
        <w:rPr>
          <w:sz w:val="24"/>
        </w:rPr>
        <w:t>výše</w:t>
      </w:r>
      <w:r>
        <w:rPr>
          <w:spacing w:val="28"/>
          <w:sz w:val="24"/>
        </w:rPr>
        <w:t xml:space="preserve"> </w:t>
      </w:r>
      <w:r>
        <w:rPr>
          <w:sz w:val="24"/>
        </w:rPr>
        <w:t>přiznaný</w:t>
      </w:r>
      <w:r>
        <w:rPr>
          <w:spacing w:val="28"/>
          <w:sz w:val="24"/>
        </w:rPr>
        <w:t xml:space="preserve"> </w:t>
      </w:r>
      <w:r>
        <w:rPr>
          <w:sz w:val="24"/>
        </w:rPr>
        <w:t>úkon</w:t>
      </w:r>
    </w:p>
    <w:p w14:paraId="1C99F3BA" w14:textId="77777777" w:rsidR="00613FEF" w:rsidRDefault="002A4E05">
      <w:pPr>
        <w:pStyle w:val="Zkladntext"/>
        <w:ind w:left="537"/>
        <w:jc w:val="both"/>
      </w:pPr>
      <w:r>
        <w:t xml:space="preserve">„příprava a převzetí zastoupení“ či úkonů v podobě vyjádření k </w:t>
      </w:r>
      <w:r>
        <w:t>věci nebo účasti u jednání.</w:t>
      </w:r>
    </w:p>
    <w:p w14:paraId="5927E223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116"/>
        <w:jc w:val="both"/>
        <w:rPr>
          <w:sz w:val="24"/>
        </w:rPr>
      </w:pPr>
      <w:r>
        <w:rPr>
          <w:sz w:val="24"/>
        </w:rPr>
        <w:t xml:space="preserve">K námitce týkající se aplikace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147 odst. 1 o. s. ř. odvolací soud uvádí, že toto ustanovení dopadá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zcela</w:t>
      </w:r>
      <w:r>
        <w:rPr>
          <w:spacing w:val="44"/>
          <w:sz w:val="24"/>
        </w:rPr>
        <w:t xml:space="preserve"> </w:t>
      </w:r>
      <w:r>
        <w:rPr>
          <w:sz w:val="24"/>
        </w:rPr>
        <w:t>jiné</w:t>
      </w:r>
      <w:r>
        <w:rPr>
          <w:spacing w:val="43"/>
          <w:sz w:val="24"/>
        </w:rPr>
        <w:t xml:space="preserve"> </w:t>
      </w:r>
      <w:r>
        <w:rPr>
          <w:sz w:val="24"/>
        </w:rPr>
        <w:t>situace,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vznik</w:t>
      </w:r>
      <w:r>
        <w:rPr>
          <w:spacing w:val="45"/>
          <w:sz w:val="24"/>
        </w:rPr>
        <w:t xml:space="preserve"> </w:t>
      </w:r>
      <w:r>
        <w:rPr>
          <w:sz w:val="24"/>
        </w:rPr>
        <w:t>nákladů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řízení</w:t>
      </w:r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způsobených</w:t>
      </w:r>
      <w:r>
        <w:rPr>
          <w:spacing w:val="44"/>
          <w:sz w:val="24"/>
        </w:rPr>
        <w:t xml:space="preserve"> </w:t>
      </w:r>
      <w:r>
        <w:rPr>
          <w:sz w:val="24"/>
        </w:rPr>
        <w:t>účastníkem</w:t>
      </w:r>
      <w:r>
        <w:rPr>
          <w:spacing w:val="44"/>
          <w:sz w:val="24"/>
        </w:rPr>
        <w:t xml:space="preserve"> </w:t>
      </w:r>
      <w:r>
        <w:rPr>
          <w:sz w:val="24"/>
        </w:rPr>
        <w:t>či</w:t>
      </w:r>
      <w:r>
        <w:rPr>
          <w:spacing w:val="45"/>
          <w:sz w:val="24"/>
        </w:rPr>
        <w:t xml:space="preserve"> </w:t>
      </w:r>
      <w:r>
        <w:rPr>
          <w:sz w:val="24"/>
        </w:rPr>
        <w:t>jeho</w:t>
      </w:r>
    </w:p>
    <w:p w14:paraId="6A1B4210" w14:textId="77777777" w:rsidR="00613FEF" w:rsidRDefault="00613FEF">
      <w:pPr>
        <w:jc w:val="both"/>
        <w:rPr>
          <w:sz w:val="24"/>
        </w:rPr>
        <w:sectPr w:rsidR="00613FEF">
          <w:headerReference w:type="default" r:id="rId9"/>
          <w:footerReference w:type="default" r:id="rId10"/>
          <w:pgSz w:w="11910" w:h="16840"/>
          <w:pgMar w:top="1320" w:right="1300" w:bottom="1180" w:left="880" w:header="720" w:footer="981" w:gutter="0"/>
          <w:pgNumType w:start="2"/>
          <w:cols w:space="708"/>
        </w:sectPr>
      </w:pPr>
    </w:p>
    <w:p w14:paraId="32C2487D" w14:textId="77777777" w:rsidR="00613FEF" w:rsidRDefault="002A4E05">
      <w:pPr>
        <w:pStyle w:val="Zkladntext"/>
        <w:spacing w:before="90"/>
        <w:ind w:left="537" w:right="114"/>
        <w:jc w:val="both"/>
      </w:pPr>
      <w:r>
        <w:lastRenderedPageBreak/>
        <w:t xml:space="preserve">zástupcem zaviněním či náhodou. Musí se jednat o zbytečné náklady, které by </w:t>
      </w:r>
      <w:r>
        <w:rPr>
          <w:i/>
        </w:rPr>
        <w:t xml:space="preserve">v řízení </w:t>
      </w:r>
      <w:r>
        <w:t xml:space="preserve">jinak nevznikly.  Principiálně  se  proto  nemůže  jednat  o  úkon  právní  služby  v podobě  přípravy    a převzetí zastoupení dle </w:t>
      </w:r>
      <w:proofErr w:type="spellStart"/>
      <w:r>
        <w:t>ust</w:t>
      </w:r>
      <w:proofErr w:type="spellEnd"/>
      <w:r>
        <w:t>. § 11 odst. 1 písm. a) advokátního tarifu jakožto úkon, kterým účastník do řízení teprve vstupuje. Takový úkon nikdy nem</w:t>
      </w:r>
      <w:r>
        <w:t>ůže být „zbytečným nákladem“ ve výše uvedeném smyslu a nikdy nemůže být způsoben jiným účastníkem řízení či jeho</w:t>
      </w:r>
      <w:r>
        <w:rPr>
          <w:spacing w:val="-37"/>
        </w:rPr>
        <w:t xml:space="preserve"> </w:t>
      </w:r>
      <w:r>
        <w:t>zástupcem.</w:t>
      </w:r>
    </w:p>
    <w:p w14:paraId="6263B3BB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0" w:hanging="427"/>
        <w:jc w:val="both"/>
        <w:rPr>
          <w:sz w:val="24"/>
        </w:rPr>
      </w:pPr>
      <w:r>
        <w:rPr>
          <w:sz w:val="24"/>
        </w:rPr>
        <w:t xml:space="preserve">Jelikož odvolací soud neshledal důvody pro potvrzení napadeného usnesení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</w:t>
      </w:r>
      <w:r>
        <w:rPr>
          <w:spacing w:val="10"/>
          <w:sz w:val="24"/>
        </w:rPr>
        <w:t xml:space="preserve"> </w:t>
      </w:r>
      <w:r>
        <w:rPr>
          <w:sz w:val="24"/>
        </w:rPr>
        <w:t>219</w:t>
      </w:r>
    </w:p>
    <w:p w14:paraId="25F30259" w14:textId="77777777" w:rsidR="00613FEF" w:rsidRDefault="002A4E05">
      <w:pPr>
        <w:pStyle w:val="Zkladntext"/>
        <w:ind w:left="537" w:right="116"/>
        <w:jc w:val="both"/>
      </w:pPr>
      <w:r>
        <w:t xml:space="preserve">o. s. ř. ani pro jeho zrušení dle </w:t>
      </w:r>
      <w:proofErr w:type="spellStart"/>
      <w:r>
        <w:t>ust</w:t>
      </w:r>
      <w:proofErr w:type="spellEnd"/>
      <w:r>
        <w:t>. § 219</w:t>
      </w:r>
      <w:r>
        <w:t>a o. s. ř., usnesení soudu prvního stupně změnil tak, že uložil žalobkyni povinnost zaplatit žalovanému náhradu nákladů řízení ve výši 154 299,20 Kč.</w:t>
      </w:r>
    </w:p>
    <w:p w14:paraId="76ADDC02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115"/>
        <w:rPr>
          <w:sz w:val="24"/>
        </w:rPr>
      </w:pPr>
      <w:r>
        <w:rPr>
          <w:sz w:val="24"/>
        </w:rPr>
        <w:t xml:space="preserve">O místě a lhůtě plnění odvolací soud rozhodl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149 odst. 1 a § 160 odst. 1 věty před středníkem o</w:t>
      </w:r>
      <w:r>
        <w:rPr>
          <w:sz w:val="24"/>
        </w:rPr>
        <w:t>. s.</w:t>
      </w:r>
      <w:r>
        <w:rPr>
          <w:spacing w:val="-2"/>
          <w:sz w:val="24"/>
        </w:rPr>
        <w:t xml:space="preserve"> </w:t>
      </w:r>
      <w:r>
        <w:rPr>
          <w:sz w:val="24"/>
        </w:rPr>
        <w:t>ř.</w:t>
      </w:r>
    </w:p>
    <w:p w14:paraId="06DE241A" w14:textId="77777777" w:rsidR="00613FEF" w:rsidRDefault="002A4E05">
      <w:pPr>
        <w:pStyle w:val="Odstavecseseznamem"/>
        <w:numPr>
          <w:ilvl w:val="0"/>
          <w:numId w:val="1"/>
        </w:numPr>
        <w:tabs>
          <w:tab w:val="left" w:pos="538"/>
        </w:tabs>
        <w:ind w:right="0" w:hanging="427"/>
        <w:jc w:val="both"/>
        <w:rPr>
          <w:sz w:val="24"/>
        </w:rPr>
      </w:pP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nákladech</w:t>
      </w:r>
      <w:r>
        <w:rPr>
          <w:spacing w:val="42"/>
          <w:sz w:val="24"/>
        </w:rPr>
        <w:t xml:space="preserve"> </w:t>
      </w:r>
      <w:r>
        <w:rPr>
          <w:sz w:val="24"/>
        </w:rPr>
        <w:t>odvolacího</w:t>
      </w:r>
      <w:r>
        <w:rPr>
          <w:spacing w:val="41"/>
          <w:sz w:val="24"/>
        </w:rPr>
        <w:t xml:space="preserve"> </w:t>
      </w:r>
      <w:r>
        <w:rPr>
          <w:sz w:val="24"/>
        </w:rPr>
        <w:t>řízení</w:t>
      </w:r>
      <w:r>
        <w:rPr>
          <w:spacing w:val="41"/>
          <w:sz w:val="24"/>
        </w:rPr>
        <w:t xml:space="preserve"> </w:t>
      </w:r>
      <w:r>
        <w:rPr>
          <w:sz w:val="24"/>
        </w:rPr>
        <w:t>odvolací</w:t>
      </w:r>
      <w:r>
        <w:rPr>
          <w:spacing w:val="41"/>
          <w:sz w:val="24"/>
        </w:rPr>
        <w:t xml:space="preserve"> </w:t>
      </w:r>
      <w:r>
        <w:rPr>
          <w:sz w:val="24"/>
        </w:rPr>
        <w:t>soud</w:t>
      </w:r>
      <w:r>
        <w:rPr>
          <w:spacing w:val="41"/>
          <w:sz w:val="24"/>
        </w:rPr>
        <w:t xml:space="preserve"> </w:t>
      </w:r>
      <w:r>
        <w:rPr>
          <w:sz w:val="24"/>
        </w:rPr>
        <w:t>rozhodl</w:t>
      </w:r>
      <w:r>
        <w:rPr>
          <w:spacing w:val="41"/>
          <w:sz w:val="24"/>
        </w:rPr>
        <w:t xml:space="preserve"> </w:t>
      </w:r>
      <w:r>
        <w:rPr>
          <w:sz w:val="24"/>
        </w:rPr>
        <w:t>dle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41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224</w:t>
      </w:r>
      <w:r>
        <w:rPr>
          <w:spacing w:val="40"/>
          <w:sz w:val="24"/>
        </w:rPr>
        <w:t xml:space="preserve"> </w:t>
      </w:r>
      <w:r>
        <w:rPr>
          <w:sz w:val="24"/>
        </w:rPr>
        <w:t>odst.</w:t>
      </w:r>
      <w:r>
        <w:rPr>
          <w:spacing w:val="41"/>
          <w:sz w:val="24"/>
        </w:rPr>
        <w:t xml:space="preserve"> </w:t>
      </w:r>
      <w:r>
        <w:rPr>
          <w:sz w:val="24"/>
        </w:rPr>
        <w:t>1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39"/>
          <w:sz w:val="24"/>
        </w:rPr>
        <w:t xml:space="preserve"> </w:t>
      </w:r>
      <w:r>
        <w:rPr>
          <w:sz w:val="24"/>
        </w:rPr>
        <w:t>142</w:t>
      </w:r>
      <w:r>
        <w:rPr>
          <w:spacing w:val="40"/>
          <w:sz w:val="24"/>
        </w:rPr>
        <w:t xml:space="preserve"> </w:t>
      </w:r>
      <w:r>
        <w:rPr>
          <w:sz w:val="24"/>
        </w:rPr>
        <w:t>odst.</w:t>
      </w:r>
      <w:r>
        <w:rPr>
          <w:spacing w:val="41"/>
          <w:sz w:val="24"/>
        </w:rPr>
        <w:t xml:space="preserve"> </w:t>
      </w:r>
      <w:r>
        <w:rPr>
          <w:sz w:val="24"/>
        </w:rPr>
        <w:t>2</w:t>
      </w:r>
    </w:p>
    <w:p w14:paraId="131BB82A" w14:textId="77777777" w:rsidR="00613FEF" w:rsidRDefault="002A4E05">
      <w:pPr>
        <w:pStyle w:val="Zkladntext"/>
        <w:ind w:left="537" w:right="115"/>
        <w:jc w:val="both"/>
      </w:pPr>
      <w:r>
        <w:t>o. s. ř. Žalobkyně i žalovaný byli v odvolacím řízení úspěšní i neúspěšní co do ½, neboli jejich procesní úspěch a neúspěch byl shodný, a proto odvolací soud žádnému z nich náhradu nákladů odvolacího řízení nepřiznal.</w:t>
      </w:r>
    </w:p>
    <w:p w14:paraId="2974D802" w14:textId="77777777" w:rsidR="00613FEF" w:rsidRDefault="002A4E05">
      <w:pPr>
        <w:pStyle w:val="Nadpis2"/>
        <w:spacing w:before="150"/>
        <w:ind w:left="4626"/>
      </w:pPr>
      <w:r>
        <w:t>Poučení:</w:t>
      </w:r>
    </w:p>
    <w:p w14:paraId="028F99C6" w14:textId="77777777" w:rsidR="00613FEF" w:rsidRDefault="002A4E05">
      <w:pPr>
        <w:pStyle w:val="Zkladntext"/>
        <w:spacing w:before="150" w:line="374" w:lineRule="auto"/>
        <w:ind w:left="537" w:right="4793"/>
      </w:pPr>
      <w:r>
        <w:t>Proti tomuto usnesení není do</w:t>
      </w:r>
      <w:r>
        <w:t>volání přípustné. Olomouc 31. května 2023</w:t>
      </w:r>
    </w:p>
    <w:p w14:paraId="5A0AFAA0" w14:textId="77777777" w:rsidR="00613FEF" w:rsidRDefault="00613FEF">
      <w:pPr>
        <w:pStyle w:val="Zkladntext"/>
        <w:spacing w:before="1"/>
        <w:rPr>
          <w:sz w:val="37"/>
        </w:rPr>
      </w:pPr>
    </w:p>
    <w:p w14:paraId="723DA0B8" w14:textId="77777777" w:rsidR="00613FEF" w:rsidRDefault="002A4E05">
      <w:pPr>
        <w:pStyle w:val="Zkladntext"/>
        <w:ind w:left="537" w:right="6788"/>
      </w:pPr>
      <w:r>
        <w:t>Mgr. Jakub Černošek v. r. předseda senátu</w:t>
      </w:r>
    </w:p>
    <w:p w14:paraId="414BA675" w14:textId="77777777" w:rsidR="00613FEF" w:rsidRDefault="00613FEF">
      <w:pPr>
        <w:pStyle w:val="Zkladntext"/>
        <w:rPr>
          <w:sz w:val="20"/>
        </w:rPr>
      </w:pPr>
    </w:p>
    <w:p w14:paraId="0E3DBAD6" w14:textId="77777777" w:rsidR="00613FEF" w:rsidRDefault="00613FEF">
      <w:pPr>
        <w:pStyle w:val="Zkladntext"/>
        <w:rPr>
          <w:sz w:val="20"/>
        </w:rPr>
      </w:pPr>
    </w:p>
    <w:p w14:paraId="71355F88" w14:textId="77777777" w:rsidR="00613FEF" w:rsidRDefault="00613FEF">
      <w:pPr>
        <w:pStyle w:val="Zkladntext"/>
        <w:rPr>
          <w:sz w:val="20"/>
        </w:rPr>
      </w:pPr>
    </w:p>
    <w:p w14:paraId="279EE2AA" w14:textId="77777777" w:rsidR="00613FEF" w:rsidRDefault="00613FEF">
      <w:pPr>
        <w:pStyle w:val="Zkladntext"/>
        <w:rPr>
          <w:sz w:val="20"/>
        </w:rPr>
      </w:pPr>
    </w:p>
    <w:p w14:paraId="156A49C9" w14:textId="77777777" w:rsidR="00613FEF" w:rsidRDefault="00613FEF">
      <w:pPr>
        <w:pStyle w:val="Zkladntext"/>
        <w:rPr>
          <w:sz w:val="20"/>
        </w:rPr>
      </w:pPr>
    </w:p>
    <w:p w14:paraId="299D5613" w14:textId="77777777" w:rsidR="00613FEF" w:rsidRDefault="00613FEF">
      <w:pPr>
        <w:pStyle w:val="Zkladntext"/>
        <w:rPr>
          <w:sz w:val="20"/>
        </w:rPr>
      </w:pPr>
    </w:p>
    <w:p w14:paraId="13FBD745" w14:textId="77777777" w:rsidR="00613FEF" w:rsidRDefault="00613FEF">
      <w:pPr>
        <w:pStyle w:val="Zkladntext"/>
        <w:rPr>
          <w:sz w:val="20"/>
        </w:rPr>
      </w:pPr>
    </w:p>
    <w:p w14:paraId="3F7E26AB" w14:textId="77777777" w:rsidR="00613FEF" w:rsidRDefault="00613FEF">
      <w:pPr>
        <w:pStyle w:val="Zkladntext"/>
        <w:rPr>
          <w:sz w:val="20"/>
        </w:rPr>
      </w:pPr>
    </w:p>
    <w:p w14:paraId="659E353A" w14:textId="77777777" w:rsidR="00613FEF" w:rsidRDefault="00613FEF">
      <w:pPr>
        <w:pStyle w:val="Zkladntext"/>
        <w:rPr>
          <w:sz w:val="20"/>
        </w:rPr>
      </w:pPr>
    </w:p>
    <w:p w14:paraId="016CDA60" w14:textId="77777777" w:rsidR="00613FEF" w:rsidRDefault="00613FEF">
      <w:pPr>
        <w:pStyle w:val="Zkladntext"/>
        <w:rPr>
          <w:sz w:val="20"/>
        </w:rPr>
      </w:pPr>
    </w:p>
    <w:p w14:paraId="4802425B" w14:textId="77777777" w:rsidR="00613FEF" w:rsidRDefault="00613FEF">
      <w:pPr>
        <w:pStyle w:val="Zkladntext"/>
        <w:rPr>
          <w:sz w:val="20"/>
        </w:rPr>
      </w:pPr>
    </w:p>
    <w:p w14:paraId="19B880B8" w14:textId="77777777" w:rsidR="00613FEF" w:rsidRDefault="00613FEF">
      <w:pPr>
        <w:pStyle w:val="Zkladntext"/>
        <w:rPr>
          <w:sz w:val="20"/>
        </w:rPr>
      </w:pPr>
    </w:p>
    <w:p w14:paraId="562EC1BF" w14:textId="77777777" w:rsidR="00613FEF" w:rsidRDefault="00613FEF">
      <w:pPr>
        <w:pStyle w:val="Zkladntext"/>
        <w:rPr>
          <w:sz w:val="20"/>
        </w:rPr>
      </w:pPr>
    </w:p>
    <w:p w14:paraId="5ACBB159" w14:textId="77777777" w:rsidR="00613FEF" w:rsidRDefault="00613FEF">
      <w:pPr>
        <w:pStyle w:val="Zkladntext"/>
        <w:rPr>
          <w:sz w:val="20"/>
        </w:rPr>
      </w:pPr>
    </w:p>
    <w:p w14:paraId="535F91ED" w14:textId="77777777" w:rsidR="00613FEF" w:rsidRDefault="00613FEF">
      <w:pPr>
        <w:pStyle w:val="Zkladntext"/>
        <w:rPr>
          <w:sz w:val="20"/>
        </w:rPr>
      </w:pPr>
    </w:p>
    <w:p w14:paraId="146E0ED6" w14:textId="77777777" w:rsidR="00613FEF" w:rsidRDefault="00613FEF">
      <w:pPr>
        <w:pStyle w:val="Zkladntext"/>
        <w:rPr>
          <w:sz w:val="20"/>
        </w:rPr>
      </w:pPr>
    </w:p>
    <w:p w14:paraId="5D3BE422" w14:textId="77777777" w:rsidR="00613FEF" w:rsidRDefault="00613FEF">
      <w:pPr>
        <w:pStyle w:val="Zkladntext"/>
        <w:rPr>
          <w:sz w:val="20"/>
        </w:rPr>
      </w:pPr>
    </w:p>
    <w:p w14:paraId="5DABD5A0" w14:textId="77777777" w:rsidR="00613FEF" w:rsidRDefault="00613FEF">
      <w:pPr>
        <w:pStyle w:val="Zkladntext"/>
        <w:rPr>
          <w:sz w:val="20"/>
        </w:rPr>
      </w:pPr>
    </w:p>
    <w:p w14:paraId="242F3CD5" w14:textId="77777777" w:rsidR="00613FEF" w:rsidRDefault="00613FEF">
      <w:pPr>
        <w:pStyle w:val="Zkladntext"/>
        <w:rPr>
          <w:sz w:val="20"/>
        </w:rPr>
      </w:pPr>
    </w:p>
    <w:p w14:paraId="433D8BD3" w14:textId="77777777" w:rsidR="00613FEF" w:rsidRDefault="00613FEF">
      <w:pPr>
        <w:pStyle w:val="Zkladntext"/>
        <w:rPr>
          <w:sz w:val="20"/>
        </w:rPr>
      </w:pPr>
    </w:p>
    <w:p w14:paraId="2B29EC54" w14:textId="77777777" w:rsidR="00613FEF" w:rsidRDefault="00613FEF">
      <w:pPr>
        <w:pStyle w:val="Zkladntext"/>
        <w:rPr>
          <w:sz w:val="20"/>
        </w:rPr>
      </w:pPr>
    </w:p>
    <w:p w14:paraId="025C21B8" w14:textId="77777777" w:rsidR="00613FEF" w:rsidRDefault="00613FEF">
      <w:pPr>
        <w:pStyle w:val="Zkladntext"/>
        <w:rPr>
          <w:sz w:val="20"/>
        </w:rPr>
      </w:pPr>
    </w:p>
    <w:p w14:paraId="23864319" w14:textId="77777777" w:rsidR="00613FEF" w:rsidRDefault="00613FEF">
      <w:pPr>
        <w:pStyle w:val="Zkladntext"/>
        <w:rPr>
          <w:sz w:val="20"/>
        </w:rPr>
      </w:pPr>
    </w:p>
    <w:p w14:paraId="70C8D2D9" w14:textId="77777777" w:rsidR="00613FEF" w:rsidRDefault="00613FEF">
      <w:pPr>
        <w:pStyle w:val="Zkladntext"/>
        <w:rPr>
          <w:sz w:val="20"/>
        </w:rPr>
      </w:pPr>
    </w:p>
    <w:p w14:paraId="634DCB96" w14:textId="77777777" w:rsidR="00613FEF" w:rsidRDefault="00613FEF">
      <w:pPr>
        <w:pStyle w:val="Zkladntext"/>
        <w:rPr>
          <w:sz w:val="20"/>
        </w:rPr>
      </w:pPr>
    </w:p>
    <w:p w14:paraId="3A8823F7" w14:textId="77777777" w:rsidR="00613FEF" w:rsidRDefault="00613FEF">
      <w:pPr>
        <w:pStyle w:val="Zkladntext"/>
        <w:spacing w:before="4"/>
        <w:rPr>
          <w:sz w:val="26"/>
        </w:rPr>
      </w:pPr>
    </w:p>
    <w:p w14:paraId="13D898D8" w14:textId="77777777" w:rsidR="00613FEF" w:rsidRDefault="00613FEF">
      <w:pPr>
        <w:rPr>
          <w:sz w:val="26"/>
        </w:rPr>
        <w:sectPr w:rsidR="00613FEF">
          <w:pgSz w:w="11910" w:h="16840"/>
          <w:pgMar w:top="1320" w:right="1300" w:bottom="1180" w:left="880" w:header="720" w:footer="981" w:gutter="0"/>
          <w:cols w:space="708"/>
        </w:sectPr>
      </w:pPr>
    </w:p>
    <w:p w14:paraId="776C4F56" w14:textId="77777777" w:rsidR="00613FEF" w:rsidRDefault="002A4E05">
      <w:pPr>
        <w:spacing w:before="111" w:line="237" w:lineRule="auto"/>
        <w:ind w:left="441"/>
        <w:rPr>
          <w:rFonts w:ascii="Calibri" w:hAnsi="Calibri"/>
          <w:sz w:val="55"/>
        </w:rPr>
      </w:pPr>
      <w:r>
        <w:rPr>
          <w:rFonts w:ascii="Calibri" w:hAnsi="Calibri"/>
          <w:sz w:val="55"/>
        </w:rPr>
        <w:t>Martin Vymlátil</w:t>
      </w:r>
    </w:p>
    <w:p w14:paraId="112C9147" w14:textId="0CB0E9F0" w:rsidR="002A4E05" w:rsidRDefault="002A4E05" w:rsidP="002A4E05">
      <w:pPr>
        <w:pStyle w:val="Nadpis1"/>
        <w:spacing w:before="139"/>
        <w:ind w:right="2761"/>
      </w:pPr>
      <w:r>
        <w:br w:type="column"/>
      </w:r>
    </w:p>
    <w:p w14:paraId="7D020BAA" w14:textId="439D2CDA" w:rsidR="00613FEF" w:rsidRDefault="00613FEF">
      <w:pPr>
        <w:spacing w:before="1"/>
        <w:ind w:left="441"/>
        <w:rPr>
          <w:rFonts w:ascii="Calibri"/>
          <w:sz w:val="27"/>
        </w:rPr>
      </w:pPr>
    </w:p>
    <w:sectPr w:rsidR="00613FEF">
      <w:type w:val="continuous"/>
      <w:pgSz w:w="11910" w:h="16840"/>
      <w:pgMar w:top="1320" w:right="1300" w:bottom="1180" w:left="880" w:header="708" w:footer="708" w:gutter="0"/>
      <w:cols w:num="2" w:space="708" w:equalWidth="0">
        <w:col w:w="2362" w:space="1158"/>
        <w:col w:w="62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591A" w14:textId="77777777" w:rsidR="00000000" w:rsidRDefault="002A4E05">
      <w:r>
        <w:separator/>
      </w:r>
    </w:p>
  </w:endnote>
  <w:endnote w:type="continuationSeparator" w:id="0">
    <w:p w14:paraId="547FEB1F" w14:textId="77777777" w:rsidR="00000000" w:rsidRDefault="002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5BA7" w14:textId="77777777" w:rsidR="00613FEF" w:rsidRDefault="002A4E05">
    <w:pPr>
      <w:pStyle w:val="Zkladntext"/>
      <w:spacing w:line="14" w:lineRule="auto"/>
      <w:rPr>
        <w:sz w:val="20"/>
      </w:rPr>
    </w:pPr>
    <w:r>
      <w:pict w14:anchorId="7EE2813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5pt;margin-top:781.9pt;width:181.7pt;height:13.3pt;z-index:-251808768;mso-position-horizontal-relative:page;mso-position-vertical-relative:page" filled="f" stroked="f">
          <v:textbox inset="0,0,0,0">
            <w:txbxContent>
              <w:p w14:paraId="0B9AD9DA" w14:textId="77777777" w:rsidR="00613FEF" w:rsidRDefault="002A4E0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Shodu s prvopisem potvrzuje Martin Vymlátil.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F1BD" w14:textId="77777777" w:rsidR="00613FEF" w:rsidRDefault="002A4E05">
    <w:pPr>
      <w:pStyle w:val="Zkladntext"/>
      <w:spacing w:line="14" w:lineRule="auto"/>
      <w:rPr>
        <w:sz w:val="20"/>
      </w:rPr>
    </w:pPr>
    <w:r>
      <w:pict w14:anchorId="3E2D4E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5pt;margin-top:781.9pt;width:181.7pt;height:13.3pt;z-index:-251805696;mso-position-horizontal-relative:page;mso-position-vertical-relative:page" filled="f" stroked="f">
          <v:textbox inset="0,0,0,0">
            <w:txbxContent>
              <w:p w14:paraId="32933242" w14:textId="77777777" w:rsidR="00613FEF" w:rsidRDefault="002A4E0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Shodu s prvopisem potvrzuje Martin Vymlátil.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5388" w14:textId="77777777" w:rsidR="00000000" w:rsidRDefault="002A4E05">
      <w:r>
        <w:separator/>
      </w:r>
    </w:p>
  </w:footnote>
  <w:footnote w:type="continuationSeparator" w:id="0">
    <w:p w14:paraId="6DB81ED4" w14:textId="77777777" w:rsidR="00000000" w:rsidRDefault="002A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8CD3" w14:textId="77777777" w:rsidR="00613FEF" w:rsidRDefault="002A4E05">
    <w:pPr>
      <w:pStyle w:val="Zkladntext"/>
      <w:spacing w:line="14" w:lineRule="auto"/>
      <w:rPr>
        <w:sz w:val="20"/>
      </w:rPr>
    </w:pPr>
    <w:r>
      <w:pict w14:anchorId="4FD0232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9.45pt;margin-top:35pt;width:115.95pt;height:15.5pt;z-index:-251809792;mso-position-horizontal-relative:page;mso-position-vertical-relative:page" filled="f" stroked="f">
          <v:textbox inset="0,0,0,0">
            <w:txbxContent>
              <w:p w14:paraId="6B321327" w14:textId="77777777" w:rsidR="00613FEF" w:rsidRDefault="002A4E05">
                <w:pPr>
                  <w:pStyle w:val="Zkladntext"/>
                  <w:spacing w:before="20"/>
                  <w:ind w:left="20"/>
                </w:pPr>
                <w:r>
                  <w:t xml:space="preserve">č. j. 8 </w:t>
                </w:r>
                <w:proofErr w:type="spellStart"/>
                <w:r>
                  <w:t>Cmo</w:t>
                </w:r>
                <w:proofErr w:type="spellEnd"/>
                <w:r>
                  <w:t xml:space="preserve"> 112/2023-95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995D" w14:textId="77777777" w:rsidR="00613FEF" w:rsidRDefault="002A4E05">
    <w:pPr>
      <w:pStyle w:val="Zkladntext"/>
      <w:spacing w:line="14" w:lineRule="auto"/>
      <w:rPr>
        <w:sz w:val="20"/>
      </w:rPr>
    </w:pPr>
    <w:r>
      <w:pict w14:anchorId="5284DFB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85pt;margin-top:35pt;width:11.65pt;height:15.5pt;z-index:-251807744;mso-position-horizontal-relative:page;mso-position-vertical-relative:page" filled="f" stroked="f">
          <v:textbox inset="0,0,0,0">
            <w:txbxContent>
              <w:p w14:paraId="0D7312BF" w14:textId="77777777" w:rsidR="00613FEF" w:rsidRDefault="002A4E05">
                <w:pPr>
                  <w:pStyle w:val="Zkladn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E8778AC">
        <v:shape id="_x0000_s1026" type="#_x0000_t202" style="position:absolute;margin-left:443.5pt;margin-top:35pt;width:82.05pt;height:15.5pt;z-index:-251806720;mso-position-horizontal-relative:page;mso-position-vertical-relative:page" filled="f" stroked="f">
          <v:textbox inset="0,0,0,0">
            <w:txbxContent>
              <w:p w14:paraId="0B22B16E" w14:textId="77777777" w:rsidR="00613FEF" w:rsidRDefault="002A4E05">
                <w:pPr>
                  <w:pStyle w:val="Zkladntext"/>
                  <w:spacing w:before="20"/>
                  <w:ind w:left="20"/>
                </w:pPr>
                <w:r>
                  <w:t xml:space="preserve">8 </w:t>
                </w:r>
                <w:proofErr w:type="spellStart"/>
                <w:r>
                  <w:t>Cmo</w:t>
                </w:r>
                <w:proofErr w:type="spellEnd"/>
                <w:r>
                  <w:t xml:space="preserve"> 112/2023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4BA5"/>
    <w:multiLevelType w:val="hybridMultilevel"/>
    <w:tmpl w:val="9F90EE8C"/>
    <w:lvl w:ilvl="0" w:tplc="0E0661D0">
      <w:start w:val="1"/>
      <w:numFmt w:val="upperRoman"/>
      <w:lvlText w:val="%1."/>
      <w:lvlJc w:val="left"/>
      <w:pPr>
        <w:ind w:left="537" w:hanging="209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1" w:tplc="E896580E">
      <w:numFmt w:val="bullet"/>
      <w:lvlText w:val="•"/>
      <w:lvlJc w:val="left"/>
      <w:pPr>
        <w:ind w:left="1458" w:hanging="209"/>
      </w:pPr>
      <w:rPr>
        <w:rFonts w:hint="default"/>
        <w:lang w:val="cs-CZ" w:eastAsia="cs-CZ" w:bidi="cs-CZ"/>
      </w:rPr>
    </w:lvl>
    <w:lvl w:ilvl="2" w:tplc="91CE0E7C">
      <w:numFmt w:val="bullet"/>
      <w:lvlText w:val="•"/>
      <w:lvlJc w:val="left"/>
      <w:pPr>
        <w:ind w:left="2377" w:hanging="209"/>
      </w:pPr>
      <w:rPr>
        <w:rFonts w:hint="default"/>
        <w:lang w:val="cs-CZ" w:eastAsia="cs-CZ" w:bidi="cs-CZ"/>
      </w:rPr>
    </w:lvl>
    <w:lvl w:ilvl="3" w:tplc="00924F0E">
      <w:numFmt w:val="bullet"/>
      <w:lvlText w:val="•"/>
      <w:lvlJc w:val="left"/>
      <w:pPr>
        <w:ind w:left="3295" w:hanging="209"/>
      </w:pPr>
      <w:rPr>
        <w:rFonts w:hint="default"/>
        <w:lang w:val="cs-CZ" w:eastAsia="cs-CZ" w:bidi="cs-CZ"/>
      </w:rPr>
    </w:lvl>
    <w:lvl w:ilvl="4" w:tplc="3432B80E">
      <w:numFmt w:val="bullet"/>
      <w:lvlText w:val="•"/>
      <w:lvlJc w:val="left"/>
      <w:pPr>
        <w:ind w:left="4214" w:hanging="209"/>
      </w:pPr>
      <w:rPr>
        <w:rFonts w:hint="default"/>
        <w:lang w:val="cs-CZ" w:eastAsia="cs-CZ" w:bidi="cs-CZ"/>
      </w:rPr>
    </w:lvl>
    <w:lvl w:ilvl="5" w:tplc="69008F72">
      <w:numFmt w:val="bullet"/>
      <w:lvlText w:val="•"/>
      <w:lvlJc w:val="left"/>
      <w:pPr>
        <w:ind w:left="5133" w:hanging="209"/>
      </w:pPr>
      <w:rPr>
        <w:rFonts w:hint="default"/>
        <w:lang w:val="cs-CZ" w:eastAsia="cs-CZ" w:bidi="cs-CZ"/>
      </w:rPr>
    </w:lvl>
    <w:lvl w:ilvl="6" w:tplc="A9F830C0">
      <w:numFmt w:val="bullet"/>
      <w:lvlText w:val="•"/>
      <w:lvlJc w:val="left"/>
      <w:pPr>
        <w:ind w:left="6051" w:hanging="209"/>
      </w:pPr>
      <w:rPr>
        <w:rFonts w:hint="default"/>
        <w:lang w:val="cs-CZ" w:eastAsia="cs-CZ" w:bidi="cs-CZ"/>
      </w:rPr>
    </w:lvl>
    <w:lvl w:ilvl="7" w:tplc="86FC0F36">
      <w:numFmt w:val="bullet"/>
      <w:lvlText w:val="•"/>
      <w:lvlJc w:val="left"/>
      <w:pPr>
        <w:ind w:left="6970" w:hanging="209"/>
      </w:pPr>
      <w:rPr>
        <w:rFonts w:hint="default"/>
        <w:lang w:val="cs-CZ" w:eastAsia="cs-CZ" w:bidi="cs-CZ"/>
      </w:rPr>
    </w:lvl>
    <w:lvl w:ilvl="8" w:tplc="CC545686">
      <w:numFmt w:val="bullet"/>
      <w:lvlText w:val="•"/>
      <w:lvlJc w:val="left"/>
      <w:pPr>
        <w:ind w:left="7889" w:hanging="209"/>
      </w:pPr>
      <w:rPr>
        <w:rFonts w:hint="default"/>
        <w:lang w:val="cs-CZ" w:eastAsia="cs-CZ" w:bidi="cs-CZ"/>
      </w:rPr>
    </w:lvl>
  </w:abstractNum>
  <w:abstractNum w:abstractNumId="1" w15:restartNumberingAfterBreak="0">
    <w:nsid w:val="770C6606"/>
    <w:multiLevelType w:val="hybridMultilevel"/>
    <w:tmpl w:val="75C0C1A0"/>
    <w:lvl w:ilvl="0" w:tplc="C1D498D8">
      <w:start w:val="1"/>
      <w:numFmt w:val="decimal"/>
      <w:lvlText w:val="%1."/>
      <w:lvlJc w:val="left"/>
      <w:pPr>
        <w:ind w:left="537" w:hanging="426"/>
        <w:jc w:val="left"/>
      </w:pPr>
      <w:rPr>
        <w:rFonts w:ascii="Garamond" w:eastAsia="Garamond" w:hAnsi="Garamond" w:cs="Garamond" w:hint="default"/>
        <w:spacing w:val="-26"/>
        <w:w w:val="100"/>
        <w:sz w:val="24"/>
        <w:szCs w:val="24"/>
        <w:lang w:val="cs-CZ" w:eastAsia="cs-CZ" w:bidi="cs-CZ"/>
      </w:rPr>
    </w:lvl>
    <w:lvl w:ilvl="1" w:tplc="18480990">
      <w:numFmt w:val="bullet"/>
      <w:lvlText w:val="•"/>
      <w:lvlJc w:val="left"/>
      <w:pPr>
        <w:ind w:left="1458" w:hanging="426"/>
      </w:pPr>
      <w:rPr>
        <w:rFonts w:hint="default"/>
        <w:lang w:val="cs-CZ" w:eastAsia="cs-CZ" w:bidi="cs-CZ"/>
      </w:rPr>
    </w:lvl>
    <w:lvl w:ilvl="2" w:tplc="424A9FFA">
      <w:numFmt w:val="bullet"/>
      <w:lvlText w:val="•"/>
      <w:lvlJc w:val="left"/>
      <w:pPr>
        <w:ind w:left="2377" w:hanging="426"/>
      </w:pPr>
      <w:rPr>
        <w:rFonts w:hint="default"/>
        <w:lang w:val="cs-CZ" w:eastAsia="cs-CZ" w:bidi="cs-CZ"/>
      </w:rPr>
    </w:lvl>
    <w:lvl w:ilvl="3" w:tplc="CA64123E">
      <w:numFmt w:val="bullet"/>
      <w:lvlText w:val="•"/>
      <w:lvlJc w:val="left"/>
      <w:pPr>
        <w:ind w:left="3295" w:hanging="426"/>
      </w:pPr>
      <w:rPr>
        <w:rFonts w:hint="default"/>
        <w:lang w:val="cs-CZ" w:eastAsia="cs-CZ" w:bidi="cs-CZ"/>
      </w:rPr>
    </w:lvl>
    <w:lvl w:ilvl="4" w:tplc="44B070A2">
      <w:numFmt w:val="bullet"/>
      <w:lvlText w:val="•"/>
      <w:lvlJc w:val="left"/>
      <w:pPr>
        <w:ind w:left="4214" w:hanging="426"/>
      </w:pPr>
      <w:rPr>
        <w:rFonts w:hint="default"/>
        <w:lang w:val="cs-CZ" w:eastAsia="cs-CZ" w:bidi="cs-CZ"/>
      </w:rPr>
    </w:lvl>
    <w:lvl w:ilvl="5" w:tplc="71CC23A2">
      <w:numFmt w:val="bullet"/>
      <w:lvlText w:val="•"/>
      <w:lvlJc w:val="left"/>
      <w:pPr>
        <w:ind w:left="5133" w:hanging="426"/>
      </w:pPr>
      <w:rPr>
        <w:rFonts w:hint="default"/>
        <w:lang w:val="cs-CZ" w:eastAsia="cs-CZ" w:bidi="cs-CZ"/>
      </w:rPr>
    </w:lvl>
    <w:lvl w:ilvl="6" w:tplc="774E55BC">
      <w:numFmt w:val="bullet"/>
      <w:lvlText w:val="•"/>
      <w:lvlJc w:val="left"/>
      <w:pPr>
        <w:ind w:left="6051" w:hanging="426"/>
      </w:pPr>
      <w:rPr>
        <w:rFonts w:hint="default"/>
        <w:lang w:val="cs-CZ" w:eastAsia="cs-CZ" w:bidi="cs-CZ"/>
      </w:rPr>
    </w:lvl>
    <w:lvl w:ilvl="7" w:tplc="86F61A1A">
      <w:numFmt w:val="bullet"/>
      <w:lvlText w:val="•"/>
      <w:lvlJc w:val="left"/>
      <w:pPr>
        <w:ind w:left="6970" w:hanging="426"/>
      </w:pPr>
      <w:rPr>
        <w:rFonts w:hint="default"/>
        <w:lang w:val="cs-CZ" w:eastAsia="cs-CZ" w:bidi="cs-CZ"/>
      </w:rPr>
    </w:lvl>
    <w:lvl w:ilvl="8" w:tplc="9DC40E02">
      <w:numFmt w:val="bullet"/>
      <w:lvlText w:val="•"/>
      <w:lvlJc w:val="left"/>
      <w:pPr>
        <w:ind w:left="7889" w:hanging="426"/>
      </w:pPr>
      <w:rPr>
        <w:rFonts w:hint="default"/>
        <w:lang w:val="cs-CZ" w:eastAsia="cs-CZ" w:bidi="cs-CZ"/>
      </w:rPr>
    </w:lvl>
  </w:abstractNum>
  <w:num w:numId="1" w16cid:durableId="498469297">
    <w:abstractNumId w:val="1"/>
  </w:num>
  <w:num w:numId="2" w16cid:durableId="206510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FEF"/>
    <w:rsid w:val="002A4E05"/>
    <w:rsid w:val="006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CA5D4D"/>
  <w15:docId w15:val="{32519FE6-D7A1-4F7A-9E48-5CBDFA4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441"/>
      <w:outlineLvl w:val="0"/>
    </w:pPr>
    <w:rPr>
      <w:rFonts w:ascii="Calibri" w:eastAsia="Calibri" w:hAnsi="Calibri" w:cs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399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0"/>
      <w:ind w:left="537" w:right="114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Vymlátil Martin</dc:creator>
  <cp:lastModifiedBy>Belkovová Klára Mgr.</cp:lastModifiedBy>
  <cp:revision>2</cp:revision>
  <dcterms:created xsi:type="dcterms:W3CDTF">2024-01-15T11:04:00Z</dcterms:created>
  <dcterms:modified xsi:type="dcterms:W3CDTF">2024-01-15T13:15:00Z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2024-01-15T00:00:00Z</vt:filetime>
  </property>
</Properties>
</file>